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917548" w:rsidRDefault="00077C4F" w:rsidP="00442552">
      <w:pPr>
        <w:rPr>
          <w:rFonts w:ascii="Times New Roman" w:hAnsi="Times New Roman"/>
          <w:b/>
          <w:sz w:val="2"/>
          <w:szCs w:val="2"/>
          <w:u w:val="single"/>
          <w:lang w:val="en-IE"/>
        </w:rPr>
      </w:pPr>
    </w:p>
    <w:tbl>
      <w:tblPr>
        <w:tblW w:w="1012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3"/>
      </w:tblGrid>
      <w:tr w:rsidR="001C4138" w:rsidRPr="00F865C6" w14:paraId="7E6372DC" w14:textId="77777777" w:rsidTr="005A7869">
        <w:trPr>
          <w:jc w:val="center"/>
        </w:trPr>
        <w:tc>
          <w:tcPr>
            <w:tcW w:w="10123" w:type="dxa"/>
          </w:tcPr>
          <w:p w14:paraId="3A4EDC3A" w14:textId="2EEA5BC9" w:rsidR="001C4138" w:rsidRPr="00917548" w:rsidRDefault="00093767" w:rsidP="00917548">
            <w:pPr>
              <w:widowControl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Evaluating the impact of public policies in the medium and long term through intergenerational budgeting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="00E7605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B02C40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(own-initiative opinion)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>EESC-</w:t>
            </w:r>
            <w:r w:rsidR="003D48E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2025-00476 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‒ </w:t>
            </w:r>
            <w:r w:rsidR="00B02C40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SOC/827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FF453D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599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IE"/>
              </w:rPr>
              <w:t>th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Plenary Session – </w:t>
            </w:r>
            <w:r w:rsidR="00FF453D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September 2025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 xml:space="preserve">Rapporteur: </w:t>
            </w:r>
            <w:r w:rsidR="004D78FD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Nicoletta MERLO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(</w:t>
            </w:r>
            <w:r w:rsidR="00C26ECA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IT</w:t>
            </w:r>
            <w:r w:rsidR="00F865C6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-II</w:t>
            </w:r>
            <w:r w:rsidR="003309F7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)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 xml:space="preserve">DG </w:t>
            </w:r>
            <w:r w:rsidR="003309F7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EAC</w:t>
            </w:r>
            <w:r w:rsidR="001C413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– Commissioner </w:t>
            </w:r>
            <w:r w:rsidR="00917548" w:rsidRPr="0091754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MICALLEF</w:t>
            </w:r>
          </w:p>
        </w:tc>
      </w:tr>
      <w:tr w:rsidR="00734613" w:rsidRPr="006626FA" w14:paraId="1937071F" w14:textId="77777777" w:rsidTr="005A7869">
        <w:trPr>
          <w:jc w:val="center"/>
        </w:trPr>
        <w:tc>
          <w:tcPr>
            <w:tcW w:w="10123" w:type="dxa"/>
          </w:tcPr>
          <w:p w14:paraId="1E50B4DB" w14:textId="525DF34D" w:rsidR="00734613" w:rsidRPr="006626FA" w:rsidRDefault="004F6117" w:rsidP="00917548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</w:pPr>
            <w:r w:rsidRPr="23C6C723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European Commission position on points </w:t>
            </w:r>
            <w:r>
              <w:br/>
            </w:r>
            <w:r w:rsidRPr="23C6C723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of the European Economic and Social Committee </w:t>
            </w:r>
            <w:r w:rsidR="007E7C79" w:rsidRPr="23C6C723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(EESC) </w:t>
            </w:r>
            <w:r w:rsidRPr="23C6C723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opinion</w:t>
            </w:r>
            <w:r w:rsidR="00E83C12" w:rsidRPr="23C6C723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considered as essential</w:t>
            </w:r>
          </w:p>
        </w:tc>
      </w:tr>
      <w:tr w:rsidR="00734613" w:rsidRPr="006626FA" w14:paraId="673DDC1B" w14:textId="77777777" w:rsidTr="005A7869">
        <w:trPr>
          <w:jc w:val="center"/>
        </w:trPr>
        <w:tc>
          <w:tcPr>
            <w:tcW w:w="10123" w:type="dxa"/>
          </w:tcPr>
          <w:p w14:paraId="59C937F5" w14:textId="09AC4A74" w:rsidR="007E7C79" w:rsidRPr="002146C4" w:rsidRDefault="3E773B9C" w:rsidP="0091754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Commission welcomes the </w:t>
            </w:r>
            <w:r w:rsidR="0091754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Committee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’s opinion, which provides valuable input in the design process of the Strategy on Intergenerational Fairness</w:t>
            </w:r>
            <w:r w:rsidR="002758A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(I</w:t>
            </w:r>
            <w:r w:rsidR="006C43F4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GF)</w:t>
            </w:r>
            <w:r w:rsidR="000C02C2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. It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values its commitment to contribute to the initiatives in this area. The </w:t>
            </w:r>
            <w:r w:rsidR="006C43F4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IG</w:t>
            </w:r>
            <w:r w:rsidR="00783A6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F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will strengthen communication between generations and ensure that the </w:t>
            </w:r>
            <w:r w:rsidR="6D91906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interests of present and future generations are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respect</w:t>
            </w:r>
            <w:r w:rsidR="6D91906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ed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6D91906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throughout </w:t>
            </w:r>
            <w:r w:rsidR="00783A6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Commission’s </w:t>
            </w:r>
            <w:r w:rsidR="6D91906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policy and law making</w:t>
            </w:r>
            <w:r w:rsidR="196AF5B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01229BE7" w14:textId="384EECAD" w:rsidR="001E1274" w:rsidRPr="002146C4" w:rsidRDefault="565873EF" w:rsidP="0091754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Commission’s recent proposal for National and Regional Partnership Plans </w:t>
            </w:r>
            <w:r w:rsidR="379DB25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(NRP</w:t>
            </w:r>
            <w:r w:rsidR="5C179E2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379DB25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P</w:t>
            </w:r>
            <w:r w:rsidR="5C179E2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lan</w:t>
            </w:r>
            <w:r w:rsidR="070D4B8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379DB25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="00917548" w:rsidRPr="002146C4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2"/>
            </w:r>
            <w:r w:rsidR="379DB25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11EE3271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aims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enhance youth participation in financial programming and implementation. Member States will be expected to </w:t>
            </w:r>
            <w:r w:rsidR="4BC8949C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consult </w:t>
            </w:r>
            <w:r w:rsidR="38B603F9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youth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organisations </w:t>
            </w:r>
            <w:r w:rsidR="00BE41B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whe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n defining funding priorities and </w:t>
            </w:r>
            <w:r w:rsidR="007C5C30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associate</w:t>
            </w:r>
            <w:r w:rsidR="007C5C30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them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to the monitoring of the Plans, where relevant. </w:t>
            </w:r>
            <w:r w:rsidR="7075BEBA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proposal requires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investments and reforms </w:t>
            </w:r>
            <w:r w:rsidR="22EA55B9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build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capacity for civil society and social partners, </w:t>
            </w:r>
            <w:r w:rsidR="17DDA2DA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facilitating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effective </w:t>
            </w:r>
            <w:r w:rsidR="0D89586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engagement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support </w:t>
            </w:r>
            <w:r w:rsidR="0388376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youth participation.</w:t>
            </w:r>
            <w:r w:rsidR="2FD27986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4417AB61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 new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performance monitoring system under the Performance Regulation for the next M</w:t>
            </w:r>
            <w:r w:rsidR="638BC17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ultiannual Financial Framework (M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FF</w:t>
            </w:r>
            <w:r w:rsidR="638BC17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will track and monit</w:t>
            </w:r>
            <w:r w:rsidR="007C5C30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or</w:t>
            </w:r>
            <w:r w:rsidR="02BBC26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he effects of funding allocated to youth. 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For the 2028-20</w:t>
            </w:r>
            <w:r w:rsidR="00BE41B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3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4 MFF programming period, two horizontal conditions are </w:t>
            </w:r>
            <w:r w:rsidR="3390974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planned</w:t>
            </w:r>
            <w:r w:rsidR="26D32C5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on the Charter of Fundamental Rights and on the Rule of Law. </w:t>
            </w:r>
            <w:r w:rsidR="14C09B66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21D65B5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hough 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intergenerational budgeting</w:t>
            </w:r>
            <w:r w:rsidR="732A314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is not a</w:t>
            </w:r>
            <w:r w:rsidR="0091754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732A314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dedicated condition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7BB86C0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Member States are en</w:t>
            </w:r>
            <w:r w:rsidR="41B4F1B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c</w:t>
            </w:r>
            <w:r w:rsidR="7BB86C0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ouraged to </w:t>
            </w:r>
            <w:r w:rsidR="37FD1BE6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incorporate 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intergenerational fa</w:t>
            </w:r>
            <w:r w:rsidR="496D5F8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i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rness</w:t>
            </w:r>
            <w:r w:rsidR="2FB9B0A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6A9E5FF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 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their NRP</w:t>
            </w:r>
            <w:r w:rsidR="070D4B8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P</w:t>
            </w:r>
            <w:r w:rsidR="070D4B8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lan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5799707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, notably through the European Social Fund, which support</w:t>
            </w:r>
            <w:r w:rsidR="7ACCAB2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5799707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policies promoting employment, social inclusion and intergenerational fairness.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48740D2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I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ntergenerational cooperation is </w:t>
            </w:r>
            <w:r w:rsidR="303B410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further 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promoted </w:t>
            </w:r>
            <w:r w:rsidR="00BE41B7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by</w:t>
            </w:r>
            <w:r w:rsidR="649D62F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territorial and local cooperation initiatives</w:t>
            </w:r>
            <w:r w:rsidR="2DF7028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2DF70283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(point</w:t>
            </w:r>
            <w:r w:rsidR="649D62FB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s</w:t>
            </w:r>
            <w:r w:rsidR="2DF70283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1.1</w:t>
            </w:r>
            <w:r w:rsidR="649D62FB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and 1.6</w:t>
            </w:r>
            <w:r w:rsidR="2DF70283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)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48AB3617" w14:textId="293D7BDF" w:rsidR="006626FA" w:rsidRPr="002146C4" w:rsidRDefault="001E1274" w:rsidP="0091754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6C4">
              <w:rPr>
                <w:rFonts w:ascii="Times New Roman" w:hAnsi="Times New Roman"/>
                <w:sz w:val="24"/>
                <w:szCs w:val="24"/>
              </w:rPr>
              <w:t xml:space="preserve">The Commission supports youth impact assessment tools </w:t>
            </w:r>
            <w:r w:rsidR="1F97B2AA" w:rsidRPr="002146C4">
              <w:rPr>
                <w:rFonts w:ascii="Times New Roman" w:hAnsi="Times New Roman"/>
                <w:sz w:val="24"/>
                <w:szCs w:val="24"/>
              </w:rPr>
              <w:t>like</w:t>
            </w:r>
            <w:r w:rsidRPr="002146C4">
              <w:rPr>
                <w:rFonts w:ascii="Times New Roman" w:hAnsi="Times New Roman"/>
                <w:sz w:val="24"/>
                <w:szCs w:val="24"/>
              </w:rPr>
              <w:t xml:space="preserve"> the Commission Youth Check</w:t>
            </w:r>
            <w:r w:rsidR="006E2FD4" w:rsidRPr="002146C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 w:rsidRPr="002146C4">
              <w:rPr>
                <w:rFonts w:ascii="Times New Roman" w:hAnsi="Times New Roman"/>
                <w:sz w:val="24"/>
                <w:szCs w:val="24"/>
              </w:rPr>
              <w:t xml:space="preserve"> to integrat</w:t>
            </w:r>
            <w:r w:rsidR="32C16646" w:rsidRPr="002146C4">
              <w:rPr>
                <w:rFonts w:ascii="Times New Roman" w:hAnsi="Times New Roman"/>
                <w:sz w:val="24"/>
                <w:szCs w:val="24"/>
              </w:rPr>
              <w:t>e</w:t>
            </w:r>
            <w:r w:rsidRPr="002146C4">
              <w:rPr>
                <w:rFonts w:ascii="Times New Roman" w:hAnsi="Times New Roman"/>
                <w:sz w:val="24"/>
                <w:szCs w:val="24"/>
              </w:rPr>
              <w:t xml:space="preserve"> youth perspectives in </w:t>
            </w:r>
            <w:r w:rsidR="113A6B18" w:rsidRPr="002146C4">
              <w:rPr>
                <w:rFonts w:ascii="Times New Roman" w:hAnsi="Times New Roman"/>
                <w:sz w:val="24"/>
                <w:szCs w:val="24"/>
              </w:rPr>
              <w:t xml:space="preserve">relevant </w:t>
            </w:r>
            <w:r w:rsidRPr="002146C4">
              <w:rPr>
                <w:rFonts w:ascii="Times New Roman" w:hAnsi="Times New Roman"/>
                <w:sz w:val="24"/>
                <w:szCs w:val="24"/>
              </w:rPr>
              <w:t xml:space="preserve">policy areas. 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Launched in 2025, the Youth Check </w:t>
            </w:r>
            <w:r w:rsidR="49D5EADB" w:rsidRPr="002146C4">
              <w:rPr>
                <w:rFonts w:ascii="Times New Roman" w:hAnsi="Times New Roman"/>
                <w:sz w:val="24"/>
                <w:szCs w:val="24"/>
              </w:rPr>
              <w:t xml:space="preserve">was applied 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30ED085F" w:rsidRPr="002146C4">
              <w:rPr>
                <w:rFonts w:ascii="Times New Roman" w:hAnsi="Times New Roman"/>
                <w:sz w:val="24"/>
                <w:szCs w:val="24"/>
              </w:rPr>
              <w:t xml:space="preserve">the Commission’s </w:t>
            </w:r>
            <w:r w:rsidR="00DB2C8D" w:rsidRPr="002146C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>annual work programme</w:t>
            </w:r>
            <w:r w:rsidR="0250F8CA" w:rsidRPr="002146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>assess</w:t>
            </w:r>
            <w:r w:rsidR="2AFE9084" w:rsidRPr="002146C4">
              <w:rPr>
                <w:rFonts w:ascii="Times New Roman" w:hAnsi="Times New Roman"/>
                <w:sz w:val="24"/>
                <w:szCs w:val="24"/>
              </w:rPr>
              <w:t>ing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initiatives for their impact on you</w:t>
            </w:r>
            <w:r w:rsidR="3320E5E4" w:rsidRPr="002146C4">
              <w:rPr>
                <w:rFonts w:ascii="Times New Roman" w:hAnsi="Times New Roman"/>
                <w:sz w:val="24"/>
                <w:szCs w:val="24"/>
              </w:rPr>
              <w:t>th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and consult</w:t>
            </w:r>
            <w:r w:rsidR="49B9465D" w:rsidRPr="002146C4">
              <w:rPr>
                <w:rFonts w:ascii="Times New Roman" w:hAnsi="Times New Roman"/>
                <w:sz w:val="24"/>
                <w:szCs w:val="24"/>
              </w:rPr>
              <w:t>ing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young people and youth civil society on 12 </w:t>
            </w:r>
            <w:r w:rsidR="4D34987B" w:rsidRPr="002146C4">
              <w:rPr>
                <w:rFonts w:ascii="Times New Roman" w:hAnsi="Times New Roman"/>
                <w:sz w:val="24"/>
                <w:szCs w:val="24"/>
              </w:rPr>
              <w:t xml:space="preserve">Annex I 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>initiatives</w:t>
            </w:r>
            <w:r w:rsidR="001A65E5" w:rsidRPr="002146C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listed on the European Youth Portal. </w:t>
            </w:r>
            <w:r w:rsidR="001C79FE" w:rsidRPr="002146C4">
              <w:rPr>
                <w:rFonts w:ascii="Times New Roman" w:hAnsi="Times New Roman"/>
                <w:sz w:val="24"/>
                <w:szCs w:val="24"/>
              </w:rPr>
              <w:t>Following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the 2022 European Year of Youth</w:t>
            </w:r>
            <w:r w:rsidR="006E2FD4" w:rsidRPr="002146C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5"/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and in line with the Political </w:t>
            </w:r>
            <w:r w:rsidR="001C79FE" w:rsidRPr="002146C4">
              <w:rPr>
                <w:rFonts w:ascii="Times New Roman" w:hAnsi="Times New Roman"/>
                <w:sz w:val="24"/>
                <w:szCs w:val="24"/>
              </w:rPr>
              <w:t>G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uidelines 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lastRenderedPageBreak/>
              <w:t>2024-2029, the Commission has strengthened youth participation by setting up structural initiatives and bodies, such as the Youth Policy Dialogues with Commissioners</w:t>
            </w:r>
            <w:r w:rsidR="006E2FD4" w:rsidRPr="002146C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6"/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>, the President’s Youth Advisory Board</w:t>
            </w:r>
            <w:r w:rsidR="006E2FD4" w:rsidRPr="002146C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7"/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and the EU Youth Stakeholders Group</w:t>
            </w:r>
            <w:r w:rsidR="006E2FD4" w:rsidRPr="002146C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46C4">
              <w:rPr>
                <w:rFonts w:ascii="Times New Roman" w:hAnsi="Times New Roman"/>
                <w:sz w:val="24"/>
                <w:szCs w:val="24"/>
              </w:rPr>
              <w:t>In 2024</w:t>
            </w:r>
            <w:r w:rsidR="006626FA" w:rsidRPr="002146C4">
              <w:rPr>
                <w:rFonts w:ascii="Times New Roman" w:hAnsi="Times New Roman"/>
                <w:sz w:val="24"/>
                <w:szCs w:val="24"/>
              </w:rPr>
              <w:t>,</w:t>
            </w:r>
            <w:r w:rsidRPr="002146C4">
              <w:rPr>
                <w:rFonts w:ascii="Times New Roman" w:hAnsi="Times New Roman"/>
                <w:sz w:val="24"/>
                <w:szCs w:val="24"/>
              </w:rPr>
              <w:t xml:space="preserve"> the European Education and Culture Executive Agency published a report</w:t>
            </w:r>
            <w:r w:rsidR="006E2FD4" w:rsidRPr="002146C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9"/>
            </w:r>
            <w:r w:rsidRPr="002146C4">
              <w:rPr>
                <w:rFonts w:ascii="Times New Roman" w:hAnsi="Times New Roman"/>
                <w:sz w:val="24"/>
                <w:szCs w:val="24"/>
              </w:rPr>
              <w:t xml:space="preserve"> on youth mainstreaming practices </w:t>
            </w:r>
            <w:r w:rsidR="65A52690" w:rsidRPr="002146C4">
              <w:rPr>
                <w:rFonts w:ascii="Times New Roman" w:hAnsi="Times New Roman"/>
                <w:sz w:val="24"/>
                <w:szCs w:val="24"/>
              </w:rPr>
              <w:t xml:space="preserve">across </w:t>
            </w:r>
            <w:r w:rsidRPr="002146C4">
              <w:rPr>
                <w:rFonts w:ascii="Times New Roman" w:hAnsi="Times New Roman"/>
                <w:sz w:val="24"/>
                <w:szCs w:val="24"/>
              </w:rPr>
              <w:t xml:space="preserve">Europe. </w:t>
            </w:r>
            <w:r w:rsidR="00B06703" w:rsidRPr="002146C4">
              <w:rPr>
                <w:rFonts w:ascii="Times New Roman" w:hAnsi="Times New Roman"/>
                <w:sz w:val="24"/>
                <w:szCs w:val="24"/>
              </w:rPr>
              <w:t>Further</w:t>
            </w:r>
            <w:r w:rsidR="008D7A35" w:rsidRPr="002146C4">
              <w:rPr>
                <w:rFonts w:ascii="Times New Roman" w:hAnsi="Times New Roman"/>
                <w:sz w:val="24"/>
                <w:szCs w:val="24"/>
              </w:rPr>
              <w:t>more</w:t>
            </w:r>
            <w:r w:rsidR="00B06703" w:rsidRPr="002146C4">
              <w:rPr>
                <w:rFonts w:ascii="Times New Roman" w:hAnsi="Times New Roman"/>
                <w:sz w:val="24"/>
                <w:szCs w:val="24"/>
              </w:rPr>
              <w:t>, t</w:t>
            </w:r>
            <w:r w:rsidRPr="002146C4">
              <w:rPr>
                <w:rFonts w:ascii="Times New Roman" w:hAnsi="Times New Roman"/>
                <w:sz w:val="24"/>
                <w:szCs w:val="24"/>
              </w:rPr>
              <w:t>he EU-Council of Europe Youth Partnership is finalising a book on youth mainstreaming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. In </w:t>
            </w:r>
            <w:r w:rsidR="023A2E8E" w:rsidRPr="002146C4">
              <w:rPr>
                <w:rFonts w:ascii="Times New Roman" w:hAnsi="Times New Roman"/>
                <w:sz w:val="24"/>
                <w:szCs w:val="24"/>
              </w:rPr>
              <w:t xml:space="preserve">early 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>2025, the Commission organised a Citizens’ Panel on the new EU budget</w:t>
            </w:r>
            <w:r w:rsidR="006E2FD4" w:rsidRPr="002146C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0"/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03B" w:rsidRPr="002146C4">
              <w:rPr>
                <w:rFonts w:ascii="Times New Roman" w:hAnsi="Times New Roman"/>
                <w:sz w:val="24"/>
                <w:szCs w:val="24"/>
              </w:rPr>
              <w:t>including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150 randomly selected citizens from all Member States, </w:t>
            </w:r>
            <w:r w:rsidR="35061E0D" w:rsidRPr="002146C4">
              <w:rPr>
                <w:rFonts w:ascii="Times New Roman" w:hAnsi="Times New Roman"/>
                <w:sz w:val="24"/>
                <w:szCs w:val="24"/>
              </w:rPr>
              <w:t>over a third</w:t>
            </w:r>
            <w:r w:rsidR="004175FC" w:rsidRPr="002146C4">
              <w:rPr>
                <w:rFonts w:ascii="Times New Roman" w:hAnsi="Times New Roman"/>
                <w:sz w:val="24"/>
                <w:szCs w:val="24"/>
              </w:rPr>
              <w:t xml:space="preserve"> of them</w:t>
            </w:r>
            <w:r w:rsidR="35061E0D" w:rsidRPr="0021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4490416" w:rsidRPr="002146C4">
              <w:rPr>
                <w:rFonts w:ascii="Times New Roman" w:hAnsi="Times New Roman"/>
                <w:sz w:val="24"/>
                <w:szCs w:val="24"/>
              </w:rPr>
              <w:t>under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4175FC" w:rsidRPr="002146C4">
              <w:rPr>
                <w:rFonts w:ascii="Times New Roman" w:hAnsi="Times New Roman"/>
                <w:sz w:val="24"/>
                <w:szCs w:val="24"/>
              </w:rPr>
              <w:t xml:space="preserve"> years of age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34E5CB86" w:rsidRPr="002146C4">
              <w:rPr>
                <w:rFonts w:ascii="Times New Roman" w:hAnsi="Times New Roman"/>
                <w:sz w:val="24"/>
                <w:szCs w:val="24"/>
              </w:rPr>
              <w:t xml:space="preserve">The panel’s 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>22 recommendations and 11 guiding principles</w:t>
            </w:r>
            <w:r w:rsidR="351DC723" w:rsidRPr="002146C4">
              <w:rPr>
                <w:rFonts w:ascii="Times New Roman" w:hAnsi="Times New Roman"/>
                <w:sz w:val="24"/>
                <w:szCs w:val="24"/>
              </w:rPr>
              <w:t xml:space="preserve"> prominently</w:t>
            </w:r>
            <w:r w:rsidR="4B7C1F4E" w:rsidRPr="002146C4">
              <w:rPr>
                <w:rFonts w:ascii="Times New Roman" w:hAnsi="Times New Roman"/>
                <w:sz w:val="24"/>
                <w:szCs w:val="24"/>
              </w:rPr>
              <w:t xml:space="preserve"> featured </w:t>
            </w:r>
            <w:r w:rsidR="008D7A35" w:rsidRPr="002146C4">
              <w:rPr>
                <w:rFonts w:ascii="Times New Roman" w:hAnsi="Times New Roman"/>
                <w:sz w:val="24"/>
                <w:szCs w:val="24"/>
              </w:rPr>
              <w:t>youth concerns</w:t>
            </w:r>
            <w:r w:rsidR="4D815C9F" w:rsidRPr="002146C4">
              <w:rPr>
                <w:rFonts w:ascii="Times New Roman" w:hAnsi="Times New Roman"/>
                <w:sz w:val="24"/>
                <w:szCs w:val="24"/>
              </w:rPr>
              <w:t>.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The European Commission carefully considered the</w:t>
            </w:r>
            <w:r w:rsidR="2F2CA09A" w:rsidRPr="002146C4">
              <w:rPr>
                <w:rFonts w:ascii="Times New Roman" w:hAnsi="Times New Roman"/>
                <w:sz w:val="24"/>
                <w:szCs w:val="24"/>
              </w:rPr>
              <w:t xml:space="preserve"> citizens’</w:t>
            </w:r>
            <w:r w:rsidR="006E2FD4" w:rsidRPr="002146C4">
              <w:rPr>
                <w:rFonts w:ascii="Times New Roman" w:hAnsi="Times New Roman"/>
                <w:sz w:val="24"/>
                <w:szCs w:val="24"/>
              </w:rPr>
              <w:t xml:space="preserve"> recommendations when developing its proposal </w:t>
            </w:r>
            <w:r w:rsidR="006E2FD4" w:rsidRPr="002146C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6626FA" w:rsidRPr="002146C4">
              <w:rPr>
                <w:rFonts w:ascii="Times New Roman" w:hAnsi="Times New Roman"/>
                <w:b/>
                <w:bCs/>
                <w:sz w:val="24"/>
                <w:szCs w:val="24"/>
              </w:rPr>
              <w:t>point</w:t>
            </w:r>
            <w:r w:rsidR="006E2FD4" w:rsidRPr="002146C4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6626FA" w:rsidRPr="002146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1.2</w:t>
            </w:r>
            <w:r w:rsidR="006E2FD4" w:rsidRPr="002146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1.3</w:t>
            </w:r>
            <w:r w:rsidR="006626FA" w:rsidRPr="002146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2146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D14481" w14:textId="56BFCC37" w:rsidR="001E1274" w:rsidRPr="002146C4" w:rsidRDefault="001E1274" w:rsidP="0091754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</w:t>
            </w:r>
            <w:r w:rsidR="00F47835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support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Member States </w:t>
            </w:r>
            <w:r w:rsidR="00C3379A" w:rsidRPr="002146C4">
              <w:rPr>
                <w:rFonts w:ascii="Times New Roman" w:hAnsi="Times New Roman"/>
                <w:sz w:val="24"/>
                <w:szCs w:val="24"/>
              </w:rPr>
              <w:t xml:space="preserve">in safeguarding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welfare of </w:t>
            </w:r>
            <w:r w:rsidR="00C3379A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current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future generations, the Commission </w:t>
            </w:r>
            <w:r w:rsidR="00C3379A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assesses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1C79F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current and future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adequacy and sustainability of </w:t>
            </w:r>
            <w:r w:rsidR="00C3379A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old-age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social protection and provides Member States with </w:t>
            </w:r>
            <w:r w:rsidR="00B779C9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corresponding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policy guidance.</w:t>
            </w:r>
            <w:r w:rsidR="001C79F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 terms of adequacy </w:t>
            </w:r>
            <w:r w:rsidR="001C79FE" w:rsidRPr="002146C4">
              <w:rPr>
                <w:rFonts w:ascii="Times New Roman" w:hAnsi="Times New Roman"/>
                <w:sz w:val="24"/>
                <w:szCs w:val="24"/>
              </w:rPr>
              <w:t>of old-age incomes in EU Member States, three dimensions are particularly looked at: poverty prevention, income maintenance, and retirement duration.</w:t>
            </w:r>
            <w:r w:rsidR="001C79F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The Pension Adequacy Report 2024</w:t>
            </w:r>
            <w:r w:rsidR="007C0B2D" w:rsidRPr="002146C4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11"/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, produced by the Commission and the Social Protection Committee</w:t>
            </w:r>
            <w:r w:rsidR="00240B45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(SPC)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 w:rsidR="6CA42E6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highlights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that </w:t>
            </w:r>
            <w:r w:rsidR="22BF6FAD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nearly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one in five people aged 65</w:t>
            </w:r>
            <w:r w:rsidR="2427318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+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were at risk of poverty or social exclusion in 2024</w:t>
            </w:r>
            <w:r w:rsidR="3190B20D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043929F4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with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pensions projected to significantly decrease over the next four decades in most Member States. </w:t>
            </w:r>
            <w:r w:rsidR="51BA646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L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onger working lives and </w:t>
            </w:r>
            <w:r w:rsidR="001C79F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enhanced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labour market participation are </w:t>
            </w:r>
            <w:r w:rsidR="0F900F95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crucial for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support</w:t>
            </w:r>
            <w:r w:rsidR="2BA7E43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ing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social protection </w:t>
            </w:r>
            <w:r w:rsidR="6DCDA3F9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across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generations. </w:t>
            </w:r>
            <w:r w:rsidR="001C79F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The Quality Jobs Roadmap</w:t>
            </w:r>
            <w:r w:rsidR="001C79FE" w:rsidRPr="002146C4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12"/>
            </w:r>
            <w:r w:rsidR="001C79FE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furthermore underlines that supporting older people to update their skills, stay in the labour market or pass on their experience can turn demographic change into a source of social cohesion and shared prosperity</w:t>
            </w:r>
            <w:r w:rsidR="001C79FE" w:rsidRPr="004665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4692135B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00B0670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he </w:t>
            </w:r>
            <w:r w:rsidR="003C4305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report of the </w:t>
            </w:r>
            <w:r w:rsidR="00B0670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High-</w:t>
            </w:r>
            <w:r w:rsidR="003C4305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L</w:t>
            </w:r>
            <w:r w:rsidR="00B0670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evel </w:t>
            </w:r>
            <w:r w:rsidR="003C4305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G</w:t>
            </w:r>
            <w:r w:rsidR="00B0670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roup</w:t>
            </w:r>
            <w:r w:rsidR="3010D7E8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B0670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on the future of social protection </w:t>
            </w:r>
            <w:r w:rsidR="55A539D1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stresses the importance of 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lifecycle and social investment</w:t>
            </w:r>
            <w:r w:rsidR="00B0670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DA60F03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policies.</w:t>
            </w:r>
            <w:r w:rsidR="006E2FD4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Further</w:t>
            </w:r>
            <w:r w:rsidR="00EE140F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more</w:t>
            </w:r>
            <w:r w:rsidR="006E2FD4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the Ageing Working Group </w:t>
            </w:r>
            <w:r w:rsidR="7667BAD4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offers </w:t>
            </w:r>
            <w:r w:rsidR="006E2FD4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long-term budgetary projections (pensions, healthcare, long-term care and education), </w:t>
            </w:r>
            <w:r w:rsidR="003C4305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al</w:t>
            </w:r>
            <w:r w:rsidR="006E2FD4" w:rsidRPr="002146C4">
              <w:rPr>
                <w:rFonts w:ascii="Times New Roman" w:hAnsi="Times New Roman"/>
                <w:sz w:val="24"/>
                <w:szCs w:val="24"/>
                <w:lang w:val="en-IE"/>
              </w:rPr>
              <w:t>though this does not include intergenerational fairness. In parallel to these sustainability projections, the Commission and the SPC analyse the current and future adequacy of pensions and long-term care</w:t>
            </w:r>
            <w:r w:rsidR="007C0B2D" w:rsidRPr="002146C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7C0B2D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(point</w:t>
            </w:r>
            <w:r w:rsidR="006E2FD4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s</w:t>
            </w:r>
            <w:r w:rsidR="007C0B2D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1.4</w:t>
            </w:r>
            <w:r w:rsidR="006E2FD4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and 1.5</w:t>
            </w:r>
            <w:r w:rsidR="007C0B2D" w:rsidRPr="002146C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)</w:t>
            </w:r>
            <w:r w:rsidRPr="002146C4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</w:tc>
      </w:tr>
    </w:tbl>
    <w:p w14:paraId="4B31F071" w14:textId="77777777" w:rsidR="00077C4F" w:rsidRPr="00917548" w:rsidRDefault="00077C4F" w:rsidP="00077C4F">
      <w:pPr>
        <w:rPr>
          <w:rFonts w:ascii="Times New Roman" w:hAnsi="Times New Roman"/>
          <w:sz w:val="2"/>
          <w:szCs w:val="2"/>
          <w:lang w:val="en-IE"/>
        </w:rPr>
      </w:pPr>
    </w:p>
    <w:sectPr w:rsidR="00077C4F" w:rsidRPr="0091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08C7" w14:textId="77777777" w:rsidR="007801F4" w:rsidRDefault="007801F4" w:rsidP="00FF63EA">
      <w:pPr>
        <w:spacing w:after="0" w:line="240" w:lineRule="auto"/>
      </w:pPr>
      <w:r>
        <w:separator/>
      </w:r>
    </w:p>
  </w:endnote>
  <w:endnote w:type="continuationSeparator" w:id="0">
    <w:p w14:paraId="76539A40" w14:textId="77777777" w:rsidR="007801F4" w:rsidRDefault="007801F4" w:rsidP="00FF63EA">
      <w:pPr>
        <w:spacing w:after="0" w:line="240" w:lineRule="auto"/>
      </w:pPr>
      <w:r>
        <w:continuationSeparator/>
      </w:r>
    </w:p>
  </w:endnote>
  <w:endnote w:type="continuationNotice" w:id="1">
    <w:p w14:paraId="51808AFE" w14:textId="77777777" w:rsidR="007801F4" w:rsidRDefault="00780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CF02" w14:textId="77777777" w:rsidR="007801F4" w:rsidRDefault="007801F4" w:rsidP="00FF63EA">
      <w:pPr>
        <w:spacing w:after="0" w:line="240" w:lineRule="auto"/>
      </w:pPr>
      <w:r>
        <w:separator/>
      </w:r>
    </w:p>
  </w:footnote>
  <w:footnote w:type="continuationSeparator" w:id="0">
    <w:p w14:paraId="2F9D6D6F" w14:textId="77777777" w:rsidR="007801F4" w:rsidRDefault="007801F4" w:rsidP="00FF63EA">
      <w:pPr>
        <w:spacing w:after="0" w:line="240" w:lineRule="auto"/>
      </w:pPr>
      <w:r>
        <w:continuationSeparator/>
      </w:r>
    </w:p>
  </w:footnote>
  <w:footnote w:type="continuationNotice" w:id="1">
    <w:p w14:paraId="40062ED1" w14:textId="77777777" w:rsidR="007801F4" w:rsidRDefault="007801F4">
      <w:pPr>
        <w:spacing w:after="0" w:line="240" w:lineRule="auto"/>
      </w:pPr>
    </w:p>
  </w:footnote>
  <w:footnote w:id="2">
    <w:p w14:paraId="52C06DC4" w14:textId="536882A3" w:rsidR="00917548" w:rsidRPr="0017027F" w:rsidRDefault="00917548" w:rsidP="0017027F">
      <w:pPr>
        <w:widowControl w:val="0"/>
        <w:spacing w:after="0" w:line="240" w:lineRule="auto"/>
        <w:ind w:left="142" w:right="-284" w:hanging="426"/>
        <w:jc w:val="both"/>
        <w:rPr>
          <w:rFonts w:ascii="Times New Roman" w:hAnsi="Times New Roman"/>
          <w:sz w:val="20"/>
          <w:szCs w:val="20"/>
          <w:lang w:val="pt-PT"/>
        </w:rPr>
      </w:pPr>
      <w:r w:rsidRPr="0017027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7027F">
        <w:rPr>
          <w:rFonts w:ascii="Times New Roman" w:hAnsi="Times New Roman"/>
          <w:sz w:val="20"/>
          <w:szCs w:val="20"/>
          <w:lang w:val="pt-PT"/>
        </w:rPr>
        <w:t xml:space="preserve"> </w:t>
      </w:r>
      <w:r w:rsidR="002146C4" w:rsidRPr="0017027F">
        <w:rPr>
          <w:rFonts w:ascii="Times New Roman" w:hAnsi="Times New Roman"/>
          <w:sz w:val="20"/>
          <w:szCs w:val="20"/>
          <w:lang w:val="pt-PT"/>
        </w:rPr>
        <w:tab/>
      </w:r>
      <w:r w:rsidR="005A7524" w:rsidRPr="0017027F">
        <w:rPr>
          <w:rFonts w:ascii="Times New Roman" w:hAnsi="Times New Roman"/>
          <w:sz w:val="20"/>
          <w:szCs w:val="20"/>
          <w:lang w:val="pt-PT"/>
        </w:rPr>
        <w:t>COM/2025/565 final (</w:t>
      </w:r>
      <w:hyperlink r:id="rId1" w:history="1">
        <w:r w:rsidR="00937E02" w:rsidRPr="0017027F">
          <w:rPr>
            <w:rStyle w:val="Hyperlink"/>
            <w:rFonts w:ascii="Times New Roman" w:hAnsi="Times New Roman"/>
            <w:sz w:val="20"/>
            <w:szCs w:val="20"/>
            <w:lang w:val="pt-PT"/>
          </w:rPr>
          <w:t>https://eur-lex.europa.eu/legal-content/EN/TXT/?uri=CELEX%3A52025PC0565&amp;qid=1753801752960</w:t>
        </w:r>
      </w:hyperlink>
      <w:r w:rsidR="00937E02" w:rsidRPr="0017027F">
        <w:rPr>
          <w:rFonts w:ascii="Times New Roman" w:hAnsi="Times New Roman"/>
          <w:sz w:val="20"/>
          <w:szCs w:val="20"/>
          <w:lang w:val="pt-PT"/>
        </w:rPr>
        <w:t>)</w:t>
      </w:r>
    </w:p>
  </w:footnote>
  <w:footnote w:id="3">
    <w:p w14:paraId="139F8A10" w14:textId="04B6B3D3" w:rsidR="006E2FD4" w:rsidRPr="0017027F" w:rsidRDefault="006E2FD4" w:rsidP="0017027F">
      <w:pPr>
        <w:pStyle w:val="FootnoteText"/>
        <w:widowControl w:val="0"/>
        <w:spacing w:after="0" w:line="240" w:lineRule="auto"/>
        <w:ind w:left="142" w:right="-284" w:hanging="426"/>
        <w:jc w:val="both"/>
        <w:rPr>
          <w:rFonts w:ascii="Times New Roman" w:hAnsi="Times New Roman"/>
          <w:lang w:val="en-IE"/>
        </w:rPr>
      </w:pPr>
      <w:r w:rsidRPr="0017027F">
        <w:rPr>
          <w:rStyle w:val="FootnoteReference"/>
          <w:rFonts w:ascii="Times New Roman" w:hAnsi="Times New Roman"/>
        </w:rPr>
        <w:footnoteRef/>
      </w:r>
      <w:r w:rsidRPr="0017027F">
        <w:rPr>
          <w:rFonts w:ascii="Times New Roman" w:hAnsi="Times New Roman"/>
          <w:lang w:val="en-IE"/>
        </w:rPr>
        <w:t xml:space="preserve"> </w:t>
      </w:r>
      <w:r w:rsidR="002146C4" w:rsidRPr="0017027F">
        <w:rPr>
          <w:rFonts w:ascii="Times New Roman" w:hAnsi="Times New Roman"/>
          <w:lang w:val="en-IE"/>
        </w:rPr>
        <w:tab/>
      </w:r>
      <w:r w:rsidR="004E65E4" w:rsidRPr="0017027F">
        <w:rPr>
          <w:rFonts w:ascii="Times New Roman" w:hAnsi="Times New Roman"/>
          <w:lang w:val="en-IE"/>
        </w:rPr>
        <w:t>EU Youth Strategy (</w:t>
      </w:r>
      <w:hyperlink r:id="rId2" w:history="1">
        <w:r w:rsidR="004E65E4" w:rsidRPr="0017027F">
          <w:rPr>
            <w:rStyle w:val="Hyperlink"/>
            <w:rFonts w:ascii="Times New Roman" w:hAnsi="Times New Roman"/>
            <w:lang w:val="en-IE"/>
          </w:rPr>
          <w:t>https://youth.europa.eu/strategy/youth-check_en</w:t>
        </w:r>
      </w:hyperlink>
      <w:r w:rsidR="004E65E4" w:rsidRPr="0017027F">
        <w:rPr>
          <w:rFonts w:ascii="Times New Roman" w:hAnsi="Times New Roman"/>
          <w:lang w:val="en-IE"/>
        </w:rPr>
        <w:t>).</w:t>
      </w:r>
    </w:p>
  </w:footnote>
  <w:footnote w:id="4">
    <w:p w14:paraId="07210000" w14:textId="0D823E79" w:rsidR="001A65E5" w:rsidRPr="0017027F" w:rsidRDefault="001A65E5" w:rsidP="0017027F">
      <w:pPr>
        <w:pStyle w:val="FootnoteText"/>
        <w:widowControl w:val="0"/>
        <w:spacing w:after="0" w:line="240" w:lineRule="auto"/>
        <w:ind w:left="142" w:right="-284" w:hanging="426"/>
        <w:jc w:val="both"/>
        <w:rPr>
          <w:rFonts w:ascii="Times New Roman" w:hAnsi="Times New Roman"/>
        </w:rPr>
      </w:pPr>
      <w:r w:rsidRPr="0017027F">
        <w:rPr>
          <w:rStyle w:val="FootnoteReference"/>
          <w:rFonts w:ascii="Times New Roman" w:hAnsi="Times New Roman"/>
        </w:rPr>
        <w:footnoteRef/>
      </w:r>
      <w:r w:rsidRPr="0017027F">
        <w:rPr>
          <w:rFonts w:ascii="Times New Roman" w:hAnsi="Times New Roman"/>
        </w:rPr>
        <w:t xml:space="preserve"> </w:t>
      </w:r>
      <w:r w:rsidR="002146C4" w:rsidRPr="0017027F">
        <w:rPr>
          <w:rFonts w:ascii="Times New Roman" w:hAnsi="Times New Roman"/>
        </w:rPr>
        <w:tab/>
      </w:r>
      <w:hyperlink r:id="rId3" w:history="1">
        <w:r w:rsidR="002146C4" w:rsidRPr="0017027F">
          <w:rPr>
            <w:rStyle w:val="Hyperlink"/>
            <w:rFonts w:ascii="Times New Roman" w:hAnsi="Times New Roman"/>
          </w:rPr>
          <w:t>https://youth.europa.eu/news/progress-european-commission-youth-check-amplifying-young-voices-eu-policymaking_en</w:t>
        </w:r>
      </w:hyperlink>
    </w:p>
  </w:footnote>
  <w:footnote w:id="5">
    <w:p w14:paraId="76EEC6D6" w14:textId="3084AEEE" w:rsidR="006E2FD4" w:rsidRPr="002146C4" w:rsidRDefault="006E2FD4" w:rsidP="0017027F">
      <w:pPr>
        <w:pStyle w:val="FootnoteText"/>
        <w:widowControl w:val="0"/>
        <w:spacing w:after="0" w:line="240" w:lineRule="auto"/>
        <w:ind w:left="142" w:right="-284" w:hanging="426"/>
        <w:jc w:val="both"/>
        <w:rPr>
          <w:rFonts w:ascii="Times New Roman" w:hAnsi="Times New Roman"/>
        </w:rPr>
      </w:pPr>
      <w:r w:rsidRPr="0017027F">
        <w:rPr>
          <w:rStyle w:val="FootnoteReference"/>
          <w:rFonts w:ascii="Times New Roman" w:hAnsi="Times New Roman"/>
        </w:rPr>
        <w:footnoteRef/>
      </w:r>
      <w:r w:rsidRPr="0017027F">
        <w:rPr>
          <w:rFonts w:ascii="Times New Roman" w:hAnsi="Times New Roman"/>
        </w:rPr>
        <w:t xml:space="preserve"> </w:t>
      </w:r>
      <w:r w:rsidR="002146C4" w:rsidRPr="0017027F">
        <w:rPr>
          <w:rFonts w:ascii="Times New Roman" w:hAnsi="Times New Roman"/>
        </w:rPr>
        <w:tab/>
      </w:r>
      <w:r w:rsidR="004E65E4" w:rsidRPr="0017027F">
        <w:rPr>
          <w:rFonts w:ascii="Times New Roman" w:hAnsi="Times New Roman"/>
        </w:rPr>
        <w:t>Year of Youth (</w:t>
      </w:r>
      <w:hyperlink r:id="rId4" w:history="1">
        <w:r w:rsidR="00136BD8" w:rsidRPr="0017027F">
          <w:rPr>
            <w:rStyle w:val="Hyperlink"/>
            <w:rFonts w:ascii="Times New Roman" w:hAnsi="Times New Roman"/>
          </w:rPr>
          <w:t>https://youth.europa.eu/year-of-youth_en</w:t>
        </w:r>
      </w:hyperlink>
      <w:r w:rsidR="004E65E4" w:rsidRPr="0017027F">
        <w:rPr>
          <w:rFonts w:ascii="Times New Roman" w:hAnsi="Times New Roman"/>
        </w:rPr>
        <w:t>).</w:t>
      </w:r>
    </w:p>
  </w:footnote>
  <w:footnote w:id="6">
    <w:p w14:paraId="0019C40B" w14:textId="419D901B" w:rsidR="006E2FD4" w:rsidRPr="009910D1" w:rsidRDefault="006E2FD4" w:rsidP="0017027F">
      <w:pPr>
        <w:pStyle w:val="FootnoteText"/>
        <w:widowControl w:val="0"/>
        <w:spacing w:after="0" w:line="240" w:lineRule="auto"/>
        <w:ind w:left="-142" w:right="-425" w:hanging="284"/>
        <w:jc w:val="both"/>
        <w:rPr>
          <w:rFonts w:ascii="Times New Roman" w:hAnsi="Times New Roman"/>
        </w:rPr>
      </w:pPr>
      <w:r w:rsidRPr="002146C4">
        <w:rPr>
          <w:rStyle w:val="FootnoteReference"/>
          <w:rFonts w:ascii="Times New Roman" w:hAnsi="Times New Roman"/>
        </w:rPr>
        <w:footnoteRef/>
      </w:r>
      <w:r w:rsidRPr="002146C4">
        <w:rPr>
          <w:rFonts w:ascii="Times New Roman" w:hAnsi="Times New Roman"/>
        </w:rPr>
        <w:t xml:space="preserve"> </w:t>
      </w:r>
      <w:r w:rsidR="002146C4" w:rsidRPr="002146C4">
        <w:rPr>
          <w:rFonts w:ascii="Times New Roman" w:hAnsi="Times New Roman"/>
        </w:rPr>
        <w:tab/>
      </w:r>
      <w:r w:rsidR="004E65E4" w:rsidRPr="002146C4">
        <w:rPr>
          <w:rFonts w:ascii="Times New Roman" w:hAnsi="Times New Roman"/>
        </w:rPr>
        <w:t>Youth Policy Dialogues (</w:t>
      </w:r>
      <w:hyperlink r:id="rId5" w:history="1">
        <w:r w:rsidR="004E65E4" w:rsidRPr="002146C4">
          <w:rPr>
            <w:rStyle w:val="Hyperlink"/>
            <w:rFonts w:ascii="Times New Roman" w:hAnsi="Times New Roman"/>
          </w:rPr>
          <w:t>https://youth.europa.eu/youth-policy/dialogues_en</w:t>
        </w:r>
      </w:hyperlink>
      <w:r w:rsidR="004E65E4" w:rsidRPr="002146C4">
        <w:rPr>
          <w:rFonts w:ascii="Times New Roman" w:hAnsi="Times New Roman"/>
        </w:rPr>
        <w:t>).</w:t>
      </w:r>
    </w:p>
  </w:footnote>
  <w:footnote w:id="7">
    <w:p w14:paraId="778291F7" w14:textId="73385574" w:rsidR="006E2FD4" w:rsidRPr="002146C4" w:rsidRDefault="006E2FD4" w:rsidP="00466532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</w:rPr>
      </w:pPr>
      <w:r w:rsidRPr="002146C4">
        <w:rPr>
          <w:rStyle w:val="FootnoteReference"/>
          <w:rFonts w:ascii="Times New Roman" w:hAnsi="Times New Roman"/>
        </w:rPr>
        <w:footnoteRef/>
      </w:r>
      <w:r w:rsidRPr="002146C4">
        <w:rPr>
          <w:rFonts w:ascii="Times New Roman" w:hAnsi="Times New Roman"/>
        </w:rPr>
        <w:t xml:space="preserve"> </w:t>
      </w:r>
      <w:r w:rsidR="002146C4" w:rsidRPr="002146C4">
        <w:rPr>
          <w:rFonts w:ascii="Times New Roman" w:hAnsi="Times New Roman"/>
        </w:rPr>
        <w:tab/>
      </w:r>
      <w:r w:rsidR="004E65E4" w:rsidRPr="002146C4">
        <w:rPr>
          <w:rFonts w:ascii="Times New Roman" w:hAnsi="Times New Roman"/>
        </w:rPr>
        <w:t>Europe listens: The President’s Youth Advisory Board takes off (</w:t>
      </w:r>
      <w:hyperlink r:id="rId6" w:history="1">
        <w:r w:rsidR="004E65E4" w:rsidRPr="002146C4">
          <w:rPr>
            <w:rStyle w:val="Hyperlink"/>
            <w:rFonts w:ascii="Times New Roman" w:hAnsi="Times New Roman"/>
          </w:rPr>
          <w:t>https://youth.europa.eu/news/europe-listens-presidents-youth-advisory-board-takes_en</w:t>
        </w:r>
      </w:hyperlink>
      <w:r w:rsidR="004E65E4" w:rsidRPr="002146C4">
        <w:rPr>
          <w:rFonts w:ascii="Times New Roman" w:hAnsi="Times New Roman"/>
        </w:rPr>
        <w:t>).</w:t>
      </w:r>
    </w:p>
  </w:footnote>
  <w:footnote w:id="8">
    <w:p w14:paraId="6726A4DE" w14:textId="5216FA48" w:rsidR="006E2FD4" w:rsidRPr="002146C4" w:rsidRDefault="006E2FD4" w:rsidP="00466532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  <w:lang w:val="en-IE"/>
        </w:rPr>
      </w:pPr>
      <w:r w:rsidRPr="002146C4">
        <w:rPr>
          <w:rStyle w:val="FootnoteReference"/>
          <w:rFonts w:ascii="Times New Roman" w:hAnsi="Times New Roman"/>
        </w:rPr>
        <w:footnoteRef/>
      </w:r>
      <w:r w:rsidRPr="002146C4">
        <w:rPr>
          <w:rFonts w:ascii="Times New Roman" w:hAnsi="Times New Roman"/>
          <w:lang w:val="en-IE"/>
        </w:rPr>
        <w:t xml:space="preserve"> </w:t>
      </w:r>
      <w:r w:rsidR="002146C4" w:rsidRPr="002146C4">
        <w:rPr>
          <w:rFonts w:ascii="Times New Roman" w:hAnsi="Times New Roman"/>
          <w:lang w:val="en-IE"/>
        </w:rPr>
        <w:tab/>
      </w:r>
      <w:r w:rsidR="004E65E4" w:rsidRPr="002146C4">
        <w:rPr>
          <w:rFonts w:ascii="Times New Roman" w:hAnsi="Times New Roman"/>
          <w:lang w:val="en-IE"/>
        </w:rPr>
        <w:t>EU Youth Strategy (</w:t>
      </w:r>
      <w:hyperlink r:id="rId7" w:history="1">
        <w:r w:rsidR="004E65E4" w:rsidRPr="002146C4">
          <w:rPr>
            <w:rStyle w:val="Hyperlink"/>
            <w:rFonts w:ascii="Times New Roman" w:hAnsi="Times New Roman"/>
            <w:lang w:val="en-IE"/>
          </w:rPr>
          <w:t>https://youth.europa.eu/strategy/euyouthstrategygroup_en</w:t>
        </w:r>
      </w:hyperlink>
      <w:r w:rsidR="004E65E4" w:rsidRPr="002146C4">
        <w:rPr>
          <w:rFonts w:ascii="Times New Roman" w:hAnsi="Times New Roman"/>
          <w:lang w:val="en-IE"/>
        </w:rPr>
        <w:t>).</w:t>
      </w:r>
    </w:p>
  </w:footnote>
  <w:footnote w:id="9">
    <w:p w14:paraId="47A7DC28" w14:textId="7997CEBE" w:rsidR="006E2FD4" w:rsidRPr="002146C4" w:rsidRDefault="006E2FD4" w:rsidP="00466532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</w:rPr>
      </w:pPr>
      <w:r w:rsidRPr="002146C4">
        <w:rPr>
          <w:rStyle w:val="FootnoteReference"/>
          <w:rFonts w:ascii="Times New Roman" w:hAnsi="Times New Roman"/>
        </w:rPr>
        <w:footnoteRef/>
      </w:r>
      <w:r w:rsidR="005A7869" w:rsidRPr="002146C4">
        <w:rPr>
          <w:rFonts w:ascii="Times New Roman" w:hAnsi="Times New Roman"/>
        </w:rPr>
        <w:t xml:space="preserve"> </w:t>
      </w:r>
      <w:r w:rsidR="002146C4" w:rsidRPr="002146C4">
        <w:rPr>
          <w:rFonts w:ascii="Times New Roman" w:hAnsi="Times New Roman"/>
        </w:rPr>
        <w:tab/>
      </w:r>
      <w:r w:rsidR="004E65E4" w:rsidRPr="002146C4">
        <w:rPr>
          <w:rFonts w:ascii="Times New Roman" w:hAnsi="Times New Roman"/>
        </w:rPr>
        <w:t>New publication: Youth mainstreaming, youth impact assessment and youth checks (</w:t>
      </w:r>
      <w:hyperlink r:id="rId8" w:history="1">
        <w:r w:rsidR="004E65E4" w:rsidRPr="002146C4">
          <w:rPr>
            <w:rStyle w:val="Hyperlink"/>
            <w:rFonts w:ascii="Times New Roman" w:hAnsi="Times New Roman"/>
          </w:rPr>
          <w:t>https://www.eacea.ec.europa.eu/news-events/news/new-publication-youth-mainstreaming-youth-impact-assessment-and-youth-checks-2024-08-23_en</w:t>
        </w:r>
      </w:hyperlink>
      <w:r w:rsidR="004E65E4" w:rsidRPr="002146C4">
        <w:rPr>
          <w:rFonts w:ascii="Times New Roman" w:hAnsi="Times New Roman"/>
        </w:rPr>
        <w:t>).</w:t>
      </w:r>
    </w:p>
  </w:footnote>
  <w:footnote w:id="10">
    <w:p w14:paraId="63D030FE" w14:textId="77CE530F" w:rsidR="006E2FD4" w:rsidRPr="002146C4" w:rsidRDefault="006E2FD4" w:rsidP="00466532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</w:rPr>
      </w:pPr>
      <w:r w:rsidRPr="002146C4">
        <w:rPr>
          <w:rStyle w:val="FootnoteReference"/>
          <w:rFonts w:ascii="Times New Roman" w:hAnsi="Times New Roman"/>
        </w:rPr>
        <w:footnoteRef/>
      </w:r>
      <w:r w:rsidRPr="002146C4">
        <w:rPr>
          <w:rFonts w:ascii="Times New Roman" w:hAnsi="Times New Roman"/>
        </w:rPr>
        <w:t xml:space="preserve"> </w:t>
      </w:r>
      <w:r w:rsidR="002146C4" w:rsidRPr="002146C4">
        <w:rPr>
          <w:rFonts w:ascii="Times New Roman" w:hAnsi="Times New Roman"/>
        </w:rPr>
        <w:tab/>
      </w:r>
      <w:r w:rsidR="004E65E4" w:rsidRPr="002146C4">
        <w:rPr>
          <w:rFonts w:ascii="Times New Roman" w:hAnsi="Times New Roman"/>
        </w:rPr>
        <w:t>A new European budget fit for our ambitions (</w:t>
      </w:r>
      <w:hyperlink r:id="rId9" w:history="1">
        <w:r w:rsidR="004E65E4" w:rsidRPr="002146C4">
          <w:rPr>
            <w:rStyle w:val="Hyperlink"/>
            <w:rFonts w:ascii="Times New Roman" w:hAnsi="Times New Roman"/>
          </w:rPr>
          <w:t>https://citizens.ec.europa.eu/european-citizens-panels/european-citizens-panel-new-european-budget_en</w:t>
        </w:r>
      </w:hyperlink>
      <w:r w:rsidR="004E65E4" w:rsidRPr="002146C4">
        <w:rPr>
          <w:rFonts w:ascii="Times New Roman" w:hAnsi="Times New Roman"/>
        </w:rPr>
        <w:t>).</w:t>
      </w:r>
    </w:p>
  </w:footnote>
  <w:footnote w:id="11">
    <w:p w14:paraId="53EF6255" w14:textId="53005DF6" w:rsidR="007C0B2D" w:rsidRPr="002146C4" w:rsidRDefault="007C0B2D" w:rsidP="00466532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  <w:lang w:val="en-IE"/>
        </w:rPr>
      </w:pPr>
      <w:r w:rsidRPr="002146C4">
        <w:rPr>
          <w:rStyle w:val="FootnoteReference"/>
          <w:rFonts w:ascii="Times New Roman" w:hAnsi="Times New Roman"/>
        </w:rPr>
        <w:footnoteRef/>
      </w:r>
      <w:r w:rsidRPr="002146C4">
        <w:rPr>
          <w:rFonts w:ascii="Times New Roman" w:hAnsi="Times New Roman"/>
        </w:rPr>
        <w:t xml:space="preserve"> </w:t>
      </w:r>
      <w:r w:rsidR="002146C4" w:rsidRPr="002146C4">
        <w:rPr>
          <w:rFonts w:ascii="Times New Roman" w:hAnsi="Times New Roman"/>
        </w:rPr>
        <w:tab/>
      </w:r>
      <w:r w:rsidR="00F865C6" w:rsidRPr="002146C4">
        <w:rPr>
          <w:rFonts w:ascii="Times New Roman" w:hAnsi="Times New Roman"/>
          <w:i/>
          <w:iCs/>
        </w:rPr>
        <w:t>The 2024 pension adequacy report – Current and future income adequacy in old age in the EU. Volume I</w:t>
      </w:r>
      <w:r w:rsidR="00F865C6" w:rsidRPr="002146C4">
        <w:rPr>
          <w:rFonts w:ascii="Times New Roman" w:hAnsi="Times New Roman"/>
        </w:rPr>
        <w:t>, Publications Office of the European Union, 2024, (</w:t>
      </w:r>
      <w:hyperlink r:id="rId10" w:history="1">
        <w:r w:rsidR="00F865C6" w:rsidRPr="002146C4">
          <w:rPr>
            <w:rStyle w:val="Hyperlink"/>
            <w:rFonts w:ascii="Times New Roman" w:hAnsi="Times New Roman"/>
          </w:rPr>
          <w:t>https://data.europa.eu/doi/10.2767/909323</w:t>
        </w:r>
      </w:hyperlink>
      <w:r w:rsidR="00F865C6" w:rsidRPr="002146C4">
        <w:rPr>
          <w:rFonts w:ascii="Times New Roman" w:hAnsi="Times New Roman"/>
        </w:rPr>
        <w:t>).</w:t>
      </w:r>
    </w:p>
  </w:footnote>
  <w:footnote w:id="12">
    <w:p w14:paraId="2CC45CC2" w14:textId="314156C0" w:rsidR="001C79FE" w:rsidRPr="00E7605D" w:rsidRDefault="001C79FE" w:rsidP="00466532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  <w:lang w:val="pt-PT"/>
        </w:rPr>
      </w:pPr>
      <w:r w:rsidRPr="002146C4">
        <w:rPr>
          <w:rStyle w:val="FootnoteReference"/>
          <w:rFonts w:ascii="Times New Roman" w:hAnsi="Times New Roman"/>
        </w:rPr>
        <w:footnoteRef/>
      </w:r>
      <w:r w:rsidRPr="00E7605D">
        <w:rPr>
          <w:rFonts w:ascii="Times New Roman" w:hAnsi="Times New Roman"/>
          <w:lang w:val="pt-PT"/>
        </w:rPr>
        <w:t xml:space="preserve"> </w:t>
      </w:r>
      <w:r w:rsidR="002146C4" w:rsidRPr="00E7605D">
        <w:rPr>
          <w:rFonts w:ascii="Times New Roman" w:hAnsi="Times New Roman"/>
          <w:lang w:val="pt-PT"/>
        </w:rPr>
        <w:tab/>
      </w:r>
      <w:proofErr w:type="gramStart"/>
      <w:r w:rsidRPr="00E7605D">
        <w:rPr>
          <w:rFonts w:ascii="Times New Roman" w:hAnsi="Times New Roman"/>
          <w:lang w:val="pt-PT"/>
        </w:rPr>
        <w:t>COM(</w:t>
      </w:r>
      <w:proofErr w:type="gramEnd"/>
      <w:r w:rsidRPr="00E7605D">
        <w:rPr>
          <w:rFonts w:ascii="Times New Roman" w:hAnsi="Times New Roman"/>
          <w:lang w:val="pt-PT"/>
        </w:rPr>
        <w:t>2025) 944</w:t>
      </w:r>
      <w:r w:rsidR="00DB2FD9" w:rsidRPr="00E7605D">
        <w:rPr>
          <w:rFonts w:ascii="Times New Roman" w:hAnsi="Times New Roman"/>
          <w:lang w:val="pt-PT"/>
        </w:rPr>
        <w:t xml:space="preserve"> (</w:t>
      </w:r>
      <w:hyperlink r:id="rId11" w:history="1">
        <w:r w:rsidR="00B96944" w:rsidRPr="00E7605D">
          <w:rPr>
            <w:rStyle w:val="Hyperlink"/>
            <w:rFonts w:ascii="Times New Roman" w:hAnsi="Times New Roman"/>
            <w:lang w:val="pt-PT"/>
          </w:rPr>
          <w:t>https://eur-lex.europa.eu/legal-content/EN/TXT/?uri=celex:52025DC0944</w:t>
        </w:r>
      </w:hyperlink>
      <w:r w:rsidR="00B96944" w:rsidRPr="00E7605D">
        <w:rPr>
          <w:rFonts w:ascii="Times New Roman" w:hAnsi="Times New Roman"/>
          <w:lang w:val="pt-PT"/>
        </w:rPr>
        <w:t>)</w:t>
      </w:r>
      <w:r w:rsidR="00550C37" w:rsidRPr="00E7605D">
        <w:rPr>
          <w:rFonts w:ascii="Times New Roman" w:hAnsi="Times New Roman"/>
          <w:lang w:val="pt-PT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12A37"/>
    <w:rsid w:val="00017713"/>
    <w:rsid w:val="00046B15"/>
    <w:rsid w:val="00050DC7"/>
    <w:rsid w:val="00052954"/>
    <w:rsid w:val="000661B1"/>
    <w:rsid w:val="00076109"/>
    <w:rsid w:val="00077C4F"/>
    <w:rsid w:val="00093767"/>
    <w:rsid w:val="00095B01"/>
    <w:rsid w:val="000C02C2"/>
    <w:rsid w:val="000D6984"/>
    <w:rsid w:val="000F5FD8"/>
    <w:rsid w:val="001167C0"/>
    <w:rsid w:val="00135C2A"/>
    <w:rsid w:val="00136BD8"/>
    <w:rsid w:val="0015342E"/>
    <w:rsid w:val="001557FE"/>
    <w:rsid w:val="0017027F"/>
    <w:rsid w:val="0017174A"/>
    <w:rsid w:val="001864F2"/>
    <w:rsid w:val="001A65E5"/>
    <w:rsid w:val="001B0E0B"/>
    <w:rsid w:val="001C4138"/>
    <w:rsid w:val="001C79FE"/>
    <w:rsid w:val="001D5C5D"/>
    <w:rsid w:val="001E1274"/>
    <w:rsid w:val="001F2EC6"/>
    <w:rsid w:val="001F65D0"/>
    <w:rsid w:val="00206EF0"/>
    <w:rsid w:val="00207A0D"/>
    <w:rsid w:val="0021103B"/>
    <w:rsid w:val="002146C4"/>
    <w:rsid w:val="00217E59"/>
    <w:rsid w:val="00231AC2"/>
    <w:rsid w:val="00237670"/>
    <w:rsid w:val="00237F22"/>
    <w:rsid w:val="00240B45"/>
    <w:rsid w:val="00242829"/>
    <w:rsid w:val="00244F23"/>
    <w:rsid w:val="002758AB"/>
    <w:rsid w:val="00294BDB"/>
    <w:rsid w:val="002954C8"/>
    <w:rsid w:val="002A7D81"/>
    <w:rsid w:val="002F03FA"/>
    <w:rsid w:val="003004D2"/>
    <w:rsid w:val="00310433"/>
    <w:rsid w:val="003309F7"/>
    <w:rsid w:val="003349A3"/>
    <w:rsid w:val="00377967"/>
    <w:rsid w:val="003827B2"/>
    <w:rsid w:val="00386143"/>
    <w:rsid w:val="003A6972"/>
    <w:rsid w:val="003A7FF0"/>
    <w:rsid w:val="003B58DC"/>
    <w:rsid w:val="003B7342"/>
    <w:rsid w:val="003C4305"/>
    <w:rsid w:val="003D48E8"/>
    <w:rsid w:val="003F402F"/>
    <w:rsid w:val="003F686E"/>
    <w:rsid w:val="00400414"/>
    <w:rsid w:val="0041050F"/>
    <w:rsid w:val="004175FC"/>
    <w:rsid w:val="00433E0A"/>
    <w:rsid w:val="00434ADE"/>
    <w:rsid w:val="00442552"/>
    <w:rsid w:val="00455A1C"/>
    <w:rsid w:val="0046598B"/>
    <w:rsid w:val="00466532"/>
    <w:rsid w:val="004675B5"/>
    <w:rsid w:val="004770D6"/>
    <w:rsid w:val="0049246C"/>
    <w:rsid w:val="004A4E64"/>
    <w:rsid w:val="004D78FD"/>
    <w:rsid w:val="004E65E4"/>
    <w:rsid w:val="004F6117"/>
    <w:rsid w:val="004F63F1"/>
    <w:rsid w:val="004F651E"/>
    <w:rsid w:val="005047AF"/>
    <w:rsid w:val="0051267F"/>
    <w:rsid w:val="005167E7"/>
    <w:rsid w:val="0052596B"/>
    <w:rsid w:val="00550C37"/>
    <w:rsid w:val="00554D8D"/>
    <w:rsid w:val="00564CE9"/>
    <w:rsid w:val="0057092B"/>
    <w:rsid w:val="00573835"/>
    <w:rsid w:val="00581306"/>
    <w:rsid w:val="00591B80"/>
    <w:rsid w:val="005A2CAF"/>
    <w:rsid w:val="005A7524"/>
    <w:rsid w:val="005A7869"/>
    <w:rsid w:val="005C0FD9"/>
    <w:rsid w:val="005C3105"/>
    <w:rsid w:val="005F522A"/>
    <w:rsid w:val="005F597E"/>
    <w:rsid w:val="0060512A"/>
    <w:rsid w:val="00620862"/>
    <w:rsid w:val="0064578B"/>
    <w:rsid w:val="006626FA"/>
    <w:rsid w:val="00692C2F"/>
    <w:rsid w:val="00694EEE"/>
    <w:rsid w:val="00695797"/>
    <w:rsid w:val="00696A5E"/>
    <w:rsid w:val="006B3B69"/>
    <w:rsid w:val="006B6C01"/>
    <w:rsid w:val="006C04E9"/>
    <w:rsid w:val="006C43F4"/>
    <w:rsid w:val="006D5D13"/>
    <w:rsid w:val="006E2FD4"/>
    <w:rsid w:val="00721D22"/>
    <w:rsid w:val="007256AB"/>
    <w:rsid w:val="00730B2B"/>
    <w:rsid w:val="00734613"/>
    <w:rsid w:val="00751910"/>
    <w:rsid w:val="00751E60"/>
    <w:rsid w:val="00751E91"/>
    <w:rsid w:val="007547B5"/>
    <w:rsid w:val="007801F4"/>
    <w:rsid w:val="00783A6F"/>
    <w:rsid w:val="00790409"/>
    <w:rsid w:val="00795A9E"/>
    <w:rsid w:val="007A606D"/>
    <w:rsid w:val="007B0A72"/>
    <w:rsid w:val="007C0B2D"/>
    <w:rsid w:val="007C2214"/>
    <w:rsid w:val="007C5C30"/>
    <w:rsid w:val="007E7C79"/>
    <w:rsid w:val="008061E4"/>
    <w:rsid w:val="00806436"/>
    <w:rsid w:val="00807B48"/>
    <w:rsid w:val="008135CA"/>
    <w:rsid w:val="0081584F"/>
    <w:rsid w:val="008503F2"/>
    <w:rsid w:val="00857E57"/>
    <w:rsid w:val="008671A7"/>
    <w:rsid w:val="008703BF"/>
    <w:rsid w:val="00874939"/>
    <w:rsid w:val="008846A6"/>
    <w:rsid w:val="008925CE"/>
    <w:rsid w:val="008A18E7"/>
    <w:rsid w:val="008A3205"/>
    <w:rsid w:val="008C4D41"/>
    <w:rsid w:val="008D7A35"/>
    <w:rsid w:val="009003B1"/>
    <w:rsid w:val="00917548"/>
    <w:rsid w:val="00937E02"/>
    <w:rsid w:val="009752CD"/>
    <w:rsid w:val="00981F45"/>
    <w:rsid w:val="009910D1"/>
    <w:rsid w:val="00994D12"/>
    <w:rsid w:val="009A4626"/>
    <w:rsid w:val="009A58B1"/>
    <w:rsid w:val="009B128B"/>
    <w:rsid w:val="00A161AE"/>
    <w:rsid w:val="00A16F07"/>
    <w:rsid w:val="00A62C7B"/>
    <w:rsid w:val="00A7709A"/>
    <w:rsid w:val="00A94159"/>
    <w:rsid w:val="00AE1842"/>
    <w:rsid w:val="00AE24BD"/>
    <w:rsid w:val="00AE3C7C"/>
    <w:rsid w:val="00AF7013"/>
    <w:rsid w:val="00B02C40"/>
    <w:rsid w:val="00B06703"/>
    <w:rsid w:val="00B31306"/>
    <w:rsid w:val="00B40D75"/>
    <w:rsid w:val="00B423E7"/>
    <w:rsid w:val="00B42814"/>
    <w:rsid w:val="00B779C9"/>
    <w:rsid w:val="00B77E6C"/>
    <w:rsid w:val="00B83936"/>
    <w:rsid w:val="00B96944"/>
    <w:rsid w:val="00BD6EB7"/>
    <w:rsid w:val="00BE1D1E"/>
    <w:rsid w:val="00BE41B7"/>
    <w:rsid w:val="00C25C72"/>
    <w:rsid w:val="00C26ECA"/>
    <w:rsid w:val="00C3379A"/>
    <w:rsid w:val="00C54D27"/>
    <w:rsid w:val="00C76EEB"/>
    <w:rsid w:val="00C77BEF"/>
    <w:rsid w:val="00C860FF"/>
    <w:rsid w:val="00CE54DE"/>
    <w:rsid w:val="00CF01E6"/>
    <w:rsid w:val="00D01F5A"/>
    <w:rsid w:val="00D0533E"/>
    <w:rsid w:val="00D1716E"/>
    <w:rsid w:val="00D377A7"/>
    <w:rsid w:val="00D53001"/>
    <w:rsid w:val="00D557EB"/>
    <w:rsid w:val="00D64E05"/>
    <w:rsid w:val="00D92FD3"/>
    <w:rsid w:val="00DA3B6E"/>
    <w:rsid w:val="00DB2C8D"/>
    <w:rsid w:val="00DB2FD9"/>
    <w:rsid w:val="00DB7581"/>
    <w:rsid w:val="00DC6969"/>
    <w:rsid w:val="00DC70C1"/>
    <w:rsid w:val="00DD225B"/>
    <w:rsid w:val="00DD6C68"/>
    <w:rsid w:val="00E06D99"/>
    <w:rsid w:val="00E22F47"/>
    <w:rsid w:val="00E336CF"/>
    <w:rsid w:val="00E41025"/>
    <w:rsid w:val="00E54075"/>
    <w:rsid w:val="00E62B62"/>
    <w:rsid w:val="00E7605D"/>
    <w:rsid w:val="00E83C12"/>
    <w:rsid w:val="00E904C8"/>
    <w:rsid w:val="00E93F09"/>
    <w:rsid w:val="00E9595C"/>
    <w:rsid w:val="00EA1BBF"/>
    <w:rsid w:val="00EA21CA"/>
    <w:rsid w:val="00EB29A9"/>
    <w:rsid w:val="00EB77D2"/>
    <w:rsid w:val="00EC5130"/>
    <w:rsid w:val="00EE140F"/>
    <w:rsid w:val="00EE4821"/>
    <w:rsid w:val="00F1250C"/>
    <w:rsid w:val="00F13CD0"/>
    <w:rsid w:val="00F149D5"/>
    <w:rsid w:val="00F24B79"/>
    <w:rsid w:val="00F316C8"/>
    <w:rsid w:val="00F47835"/>
    <w:rsid w:val="00F632DE"/>
    <w:rsid w:val="00F673A9"/>
    <w:rsid w:val="00F735E4"/>
    <w:rsid w:val="00F77CAF"/>
    <w:rsid w:val="00F865C6"/>
    <w:rsid w:val="00FA6A92"/>
    <w:rsid w:val="00FB7834"/>
    <w:rsid w:val="00FD4B6A"/>
    <w:rsid w:val="00FF03A8"/>
    <w:rsid w:val="00FF453D"/>
    <w:rsid w:val="00FF63EA"/>
    <w:rsid w:val="023A2E8E"/>
    <w:rsid w:val="0250F8CA"/>
    <w:rsid w:val="02BBC26B"/>
    <w:rsid w:val="037457D1"/>
    <w:rsid w:val="03883763"/>
    <w:rsid w:val="043929F4"/>
    <w:rsid w:val="04B3F037"/>
    <w:rsid w:val="052242C1"/>
    <w:rsid w:val="058B9D7F"/>
    <w:rsid w:val="0663ED58"/>
    <w:rsid w:val="070D4B88"/>
    <w:rsid w:val="072A45A3"/>
    <w:rsid w:val="077ABDDF"/>
    <w:rsid w:val="0900C11E"/>
    <w:rsid w:val="093A9D32"/>
    <w:rsid w:val="09602DAA"/>
    <w:rsid w:val="09E85E58"/>
    <w:rsid w:val="09F3B2BC"/>
    <w:rsid w:val="0B174340"/>
    <w:rsid w:val="0C02A9B9"/>
    <w:rsid w:val="0D895863"/>
    <w:rsid w:val="0DA60F03"/>
    <w:rsid w:val="0F900F95"/>
    <w:rsid w:val="0FEF32A0"/>
    <w:rsid w:val="1011D0CE"/>
    <w:rsid w:val="1096A5E6"/>
    <w:rsid w:val="113A6B18"/>
    <w:rsid w:val="11EE3271"/>
    <w:rsid w:val="1223BD43"/>
    <w:rsid w:val="12E0E389"/>
    <w:rsid w:val="13A5C665"/>
    <w:rsid w:val="13C36315"/>
    <w:rsid w:val="13C3AE95"/>
    <w:rsid w:val="14490416"/>
    <w:rsid w:val="1486E186"/>
    <w:rsid w:val="149D7914"/>
    <w:rsid w:val="14C09B66"/>
    <w:rsid w:val="154279BC"/>
    <w:rsid w:val="176E8E18"/>
    <w:rsid w:val="178738C3"/>
    <w:rsid w:val="17DDA2DA"/>
    <w:rsid w:val="196AF5B7"/>
    <w:rsid w:val="1AD010C6"/>
    <w:rsid w:val="1BCA4372"/>
    <w:rsid w:val="1CEFFE11"/>
    <w:rsid w:val="1F97B2AA"/>
    <w:rsid w:val="2061DF5C"/>
    <w:rsid w:val="20BABFB8"/>
    <w:rsid w:val="218F562E"/>
    <w:rsid w:val="21D65B5F"/>
    <w:rsid w:val="22BF6FAD"/>
    <w:rsid w:val="22EA55B9"/>
    <w:rsid w:val="2362E965"/>
    <w:rsid w:val="23B59C48"/>
    <w:rsid w:val="23C6C723"/>
    <w:rsid w:val="240618B7"/>
    <w:rsid w:val="24273183"/>
    <w:rsid w:val="24577F57"/>
    <w:rsid w:val="24D94102"/>
    <w:rsid w:val="2685A59C"/>
    <w:rsid w:val="26D32C5B"/>
    <w:rsid w:val="283D60EA"/>
    <w:rsid w:val="291CA528"/>
    <w:rsid w:val="2ADA9B8A"/>
    <w:rsid w:val="2AFE9084"/>
    <w:rsid w:val="2B4A9488"/>
    <w:rsid w:val="2B8AE778"/>
    <w:rsid w:val="2BA7E433"/>
    <w:rsid w:val="2BF06C7C"/>
    <w:rsid w:val="2D720A4D"/>
    <w:rsid w:val="2DF70283"/>
    <w:rsid w:val="2E26F0DF"/>
    <w:rsid w:val="2EBE70A5"/>
    <w:rsid w:val="2F0F9533"/>
    <w:rsid w:val="2F2CA09A"/>
    <w:rsid w:val="2F4C10D3"/>
    <w:rsid w:val="2FB9B0A3"/>
    <w:rsid w:val="2FC40B39"/>
    <w:rsid w:val="2FD27986"/>
    <w:rsid w:val="2FF250C9"/>
    <w:rsid w:val="3010D7E8"/>
    <w:rsid w:val="303B4107"/>
    <w:rsid w:val="3080C1B8"/>
    <w:rsid w:val="30ED085F"/>
    <w:rsid w:val="314F2897"/>
    <w:rsid w:val="3190B20D"/>
    <w:rsid w:val="31968305"/>
    <w:rsid w:val="31C54AD2"/>
    <w:rsid w:val="32A9B695"/>
    <w:rsid w:val="32C16646"/>
    <w:rsid w:val="3320E5E4"/>
    <w:rsid w:val="33546666"/>
    <w:rsid w:val="33826D87"/>
    <w:rsid w:val="3386AB6F"/>
    <w:rsid w:val="3390974B"/>
    <w:rsid w:val="349BC1EC"/>
    <w:rsid w:val="34E5CB86"/>
    <w:rsid w:val="35061E0D"/>
    <w:rsid w:val="351DC723"/>
    <w:rsid w:val="37418AE9"/>
    <w:rsid w:val="379DB257"/>
    <w:rsid w:val="37B6AFFF"/>
    <w:rsid w:val="37FD1BE6"/>
    <w:rsid w:val="381DF874"/>
    <w:rsid w:val="38245E67"/>
    <w:rsid w:val="38B603F9"/>
    <w:rsid w:val="39220DD6"/>
    <w:rsid w:val="398020AB"/>
    <w:rsid w:val="39E538B6"/>
    <w:rsid w:val="3A0A2620"/>
    <w:rsid w:val="3A960C98"/>
    <w:rsid w:val="3B0D5AEA"/>
    <w:rsid w:val="3C5B87A6"/>
    <w:rsid w:val="3DA91E76"/>
    <w:rsid w:val="3E773B9C"/>
    <w:rsid w:val="3F328A40"/>
    <w:rsid w:val="3FC1A6E3"/>
    <w:rsid w:val="411D3115"/>
    <w:rsid w:val="41B4F1B8"/>
    <w:rsid w:val="41CB1602"/>
    <w:rsid w:val="4265A605"/>
    <w:rsid w:val="430DA701"/>
    <w:rsid w:val="433474F2"/>
    <w:rsid w:val="436BE6D3"/>
    <w:rsid w:val="4417AB61"/>
    <w:rsid w:val="446B987D"/>
    <w:rsid w:val="44B71552"/>
    <w:rsid w:val="453BB2DA"/>
    <w:rsid w:val="45988C04"/>
    <w:rsid w:val="46888AD0"/>
    <w:rsid w:val="4692135B"/>
    <w:rsid w:val="486BFAB2"/>
    <w:rsid w:val="48740D2F"/>
    <w:rsid w:val="48B8196F"/>
    <w:rsid w:val="48C320D4"/>
    <w:rsid w:val="496D5F8B"/>
    <w:rsid w:val="49B9465D"/>
    <w:rsid w:val="49D5EADB"/>
    <w:rsid w:val="4B11D130"/>
    <w:rsid w:val="4B3C42E9"/>
    <w:rsid w:val="4B7C1F4E"/>
    <w:rsid w:val="4BA15FE0"/>
    <w:rsid w:val="4BB9B8CD"/>
    <w:rsid w:val="4BC8949C"/>
    <w:rsid w:val="4C35A980"/>
    <w:rsid w:val="4D28124F"/>
    <w:rsid w:val="4D34987B"/>
    <w:rsid w:val="4D5D3BF6"/>
    <w:rsid w:val="4D815C9F"/>
    <w:rsid w:val="501633BF"/>
    <w:rsid w:val="5033B1E9"/>
    <w:rsid w:val="50544F1E"/>
    <w:rsid w:val="515307AF"/>
    <w:rsid w:val="51BA646F"/>
    <w:rsid w:val="53DD2BB9"/>
    <w:rsid w:val="54E62DD2"/>
    <w:rsid w:val="555D0212"/>
    <w:rsid w:val="55A539D1"/>
    <w:rsid w:val="55DF9256"/>
    <w:rsid w:val="561F13F2"/>
    <w:rsid w:val="565873EF"/>
    <w:rsid w:val="56C8B0FD"/>
    <w:rsid w:val="5799707F"/>
    <w:rsid w:val="58110100"/>
    <w:rsid w:val="59006DF6"/>
    <w:rsid w:val="59477A13"/>
    <w:rsid w:val="59B26948"/>
    <w:rsid w:val="5A11F874"/>
    <w:rsid w:val="5A2988C2"/>
    <w:rsid w:val="5A659518"/>
    <w:rsid w:val="5B593294"/>
    <w:rsid w:val="5B71C8B7"/>
    <w:rsid w:val="5BC6E59F"/>
    <w:rsid w:val="5C179E28"/>
    <w:rsid w:val="5F7358CE"/>
    <w:rsid w:val="5F9B4FD4"/>
    <w:rsid w:val="638BC17F"/>
    <w:rsid w:val="63EFB22B"/>
    <w:rsid w:val="649D62FB"/>
    <w:rsid w:val="656BDBEF"/>
    <w:rsid w:val="65A52690"/>
    <w:rsid w:val="65B7901C"/>
    <w:rsid w:val="66BB6945"/>
    <w:rsid w:val="66DCD33B"/>
    <w:rsid w:val="67839463"/>
    <w:rsid w:val="692C7AFA"/>
    <w:rsid w:val="69A90555"/>
    <w:rsid w:val="69E58458"/>
    <w:rsid w:val="6A296AA3"/>
    <w:rsid w:val="6A9E5FFE"/>
    <w:rsid w:val="6CA42E6E"/>
    <w:rsid w:val="6CFE302B"/>
    <w:rsid w:val="6D055CF8"/>
    <w:rsid w:val="6D5CC193"/>
    <w:rsid w:val="6D91906B"/>
    <w:rsid w:val="6DCDA3F9"/>
    <w:rsid w:val="6DCF15BA"/>
    <w:rsid w:val="6E24EE28"/>
    <w:rsid w:val="7075BEBA"/>
    <w:rsid w:val="719CBEFE"/>
    <w:rsid w:val="720D18D0"/>
    <w:rsid w:val="72C31C6B"/>
    <w:rsid w:val="732A3148"/>
    <w:rsid w:val="733A0872"/>
    <w:rsid w:val="734583C0"/>
    <w:rsid w:val="747A28D5"/>
    <w:rsid w:val="7667BAD4"/>
    <w:rsid w:val="7A63E4A9"/>
    <w:rsid w:val="7ACCAB2E"/>
    <w:rsid w:val="7BB86C07"/>
    <w:rsid w:val="7C23FCED"/>
    <w:rsid w:val="7C2C449D"/>
    <w:rsid w:val="7CEFBF13"/>
    <w:rsid w:val="7D9AC412"/>
    <w:rsid w:val="7E39A72F"/>
    <w:rsid w:val="7E58DF06"/>
    <w:rsid w:val="7F4F2561"/>
    <w:rsid w:val="7FE49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BB9DBF6C-9096-4C9A-A65B-09DA61D8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2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1274"/>
    <w:rPr>
      <w:color w:val="467886"/>
      <w:u w:val="single"/>
    </w:rPr>
  </w:style>
  <w:style w:type="character" w:styleId="FollowedHyperlink">
    <w:name w:val="FollowedHyperlink"/>
    <w:uiPriority w:val="99"/>
    <w:semiHidden/>
    <w:unhideWhenUsed/>
    <w:rsid w:val="006626FA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6F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626FA"/>
    <w:rPr>
      <w:lang w:eastAsia="en-US"/>
    </w:rPr>
  </w:style>
  <w:style w:type="character" w:styleId="FootnoteReference">
    <w:name w:val="footnote reference"/>
    <w:uiPriority w:val="99"/>
    <w:semiHidden/>
    <w:unhideWhenUsed/>
    <w:rsid w:val="006626FA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626FA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30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B2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30B2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B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0B2B"/>
    <w:rPr>
      <w:b/>
      <w:bCs/>
      <w:lang w:eastAsia="en-US"/>
    </w:rPr>
  </w:style>
  <w:style w:type="paragraph" w:styleId="Revision">
    <w:name w:val="Revision"/>
    <w:hidden/>
    <w:uiPriority w:val="99"/>
    <w:semiHidden/>
    <w:rsid w:val="0015342E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A69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A697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A69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3A697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cea.ec.europa.eu/news-events/news/new-publication-youth-mainstreaming-youth-impact-assessment-and-youth-checks-2024-08-23_en" TargetMode="External"/><Relationship Id="rId3" Type="http://schemas.openxmlformats.org/officeDocument/2006/relationships/hyperlink" Target="https://youth.europa.eu/news/progress-european-commission-youth-check-amplifying-young-voices-eu-policymaking_en" TargetMode="External"/><Relationship Id="rId7" Type="http://schemas.openxmlformats.org/officeDocument/2006/relationships/hyperlink" Target="https://youth.europa.eu/strategy/euyouthstrategygroup_en" TargetMode="External"/><Relationship Id="rId2" Type="http://schemas.openxmlformats.org/officeDocument/2006/relationships/hyperlink" Target="https://youth.europa.eu/strategy/youth-check_en" TargetMode="External"/><Relationship Id="rId1" Type="http://schemas.openxmlformats.org/officeDocument/2006/relationships/hyperlink" Target="https://eur-lex.europa.eu/legal-content/EN/TXT/?uri=CELEX%3A52025PC0565&amp;qid=1753801752960" TargetMode="External"/><Relationship Id="rId6" Type="http://schemas.openxmlformats.org/officeDocument/2006/relationships/hyperlink" Target="https://youth.europa.eu/news/europe-listens-presidents-youth-advisory-board-takes_en" TargetMode="External"/><Relationship Id="rId11" Type="http://schemas.openxmlformats.org/officeDocument/2006/relationships/hyperlink" Target="https://eur-lex.europa.eu/legal-content/EN/TXT/?uri=celex:52025DC0944" TargetMode="External"/><Relationship Id="rId5" Type="http://schemas.openxmlformats.org/officeDocument/2006/relationships/hyperlink" Target="https://youth.europa.eu/youth-policy/dialogues_en" TargetMode="External"/><Relationship Id="rId10" Type="http://schemas.openxmlformats.org/officeDocument/2006/relationships/hyperlink" Target="https://data.europa.eu/doi/10.2767/909323" TargetMode="External"/><Relationship Id="rId4" Type="http://schemas.openxmlformats.org/officeDocument/2006/relationships/hyperlink" Target="https://youth.europa.eu/year-of-youth_en" TargetMode="External"/><Relationship Id="rId9" Type="http://schemas.openxmlformats.org/officeDocument/2006/relationships/hyperlink" Target="https://citizens.ec.europa.eu/european-citizens-panels/european-citizens-panel-new-european-budget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9A588E0F14746BFAC081FD6A566B8" ma:contentTypeVersion="24" ma:contentTypeDescription="Create a new document." ma:contentTypeScope="" ma:versionID="e50a621c3738c3073905c6bc6fe079cd">
  <xsd:schema xmlns:xsd="http://www.w3.org/2001/XMLSchema" xmlns:xs="http://www.w3.org/2001/XMLSchema" xmlns:p="http://schemas.microsoft.com/office/2006/metadata/properties" xmlns:ns1="http://schemas.microsoft.com/sharepoint/v3" xmlns:ns2="a280f3ed-f921-4226-9525-27fa6d577539" xmlns:ns3="278287c8-5be4-4613-8138-480f9be48247" xmlns:ns4="http://schemas.microsoft.com/sharepoint/v4" targetNamespace="http://schemas.microsoft.com/office/2006/metadata/properties" ma:root="true" ma:fieldsID="1d3e076832bea1e680b368dd0d45a2c2" ns1:_="" ns2:_="" ns3:_="" ns4:_="">
    <xsd:import namespace="http://schemas.microsoft.com/sharepoint/v3"/>
    <xsd:import namespace="a280f3ed-f921-4226-9525-27fa6d577539"/>
    <xsd:import namespace="278287c8-5be4-4613-8138-480f9be482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EC_ARES_NUMBER" minOccurs="0"/>
                <xsd:element ref="ns3:EC_ARES_DATE_TRANSFERRED" minOccurs="0"/>
                <xsd:element ref="ns3:EC_ARES_TRANSFERRED_BY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f3ed-f921-4226-9525-27fa6d577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287c8-5be4-4613-8138-480f9be482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03ac72e2-97ce-4cc7-a917-47074297667e}" ma:internalName="TaxCatchAll" ma:showField="CatchAllData" ma:web="278287c8-5be4-4613-8138-480f9be48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_ARES_NUMBER" ma:index="24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25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26" nillable="true" ma:displayName="Transferred By" ma:hidden="true" ma:internalName="EC_ARES_TRANSFERRED_B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ARES_NUMBER xmlns="278287c8-5be4-4613-8138-480f9be48247">
      <Url xsi:nil="true"/>
      <Description xsi:nil="true"/>
    </EC_ARES_NUMBER>
    <EC_ARES_TRANSFERRED_BY xmlns="278287c8-5be4-4613-8138-480f9be48247" xsi:nil="true"/>
    <IconOverlay xmlns="http://schemas.microsoft.com/sharepoint/v4" xsi:nil="true"/>
    <TaxCatchAll xmlns="278287c8-5be4-4613-8138-480f9be48247" xsi:nil="true"/>
    <EC_ARES_DATE_TRANSFERRED xmlns="278287c8-5be4-4613-8138-480f9be48247" xsi:nil="true"/>
    <lcf76f155ced4ddcb4097134ff3c332f xmlns="a280f3ed-f921-4226-9525-27fa6d57753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39601-15EE-47AB-9E8B-FE4E5ECBD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0f3ed-f921-4226-9525-27fa6d577539"/>
    <ds:schemaRef ds:uri="278287c8-5be4-4613-8138-480f9be4824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CEE49-0206-49CA-8C0E-D5B742B97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F7015-AB07-409C-8B7A-077F52B46B63}">
  <ds:schemaRefs>
    <ds:schemaRef ds:uri="http://schemas.microsoft.com/office/2006/metadata/properties"/>
    <ds:schemaRef ds:uri="http://schemas.microsoft.com/office/infopath/2007/PartnerControls"/>
    <ds:schemaRef ds:uri="278287c8-5be4-4613-8138-480f9be48247"/>
    <ds:schemaRef ds:uri="http://schemas.microsoft.com/sharepoint/v4"/>
    <ds:schemaRef ds:uri="a280f3ed-f921-4226-9525-27fa6d577539"/>
  </ds:schemaRefs>
</ds:datastoreItem>
</file>

<file path=customXml/itemProps4.xml><?xml version="1.0" encoding="utf-8"?>
<ds:datastoreItem xmlns:ds="http://schemas.openxmlformats.org/officeDocument/2006/customXml" ds:itemID="{9F6DB4D9-95D5-425E-85E9-80252F229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715</Words>
  <Characters>4313</Characters>
  <Application>Microsoft Office Word</Application>
  <DocSecurity>0</DocSecurity>
  <Lines>59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3</cp:revision>
  <cp:lastPrinted>2013-02-28T03:02:00Z</cp:lastPrinted>
  <dcterms:created xsi:type="dcterms:W3CDTF">2026-02-25T07:58:00Z</dcterms:created>
  <dcterms:modified xsi:type="dcterms:W3CDTF">2026-02-25T08:00:00Z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0x010100F099A588E0F14746BFAC081FD6A566B8</vt:lpwstr>
  </property>
  <property fmtid="{D5CDD505-2E9C-101B-9397-08002B2CF9AE}" pid="10" name="MediaServiceImageTags">
    <vt:lpwstr/>
  </property>
</Properties>
</file>