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619"/>
      </w:tblGrid>
      <w:tr w:rsidR="00824FDB" w:rsidRPr="00A06E27" w14:paraId="673DDC1B" w14:textId="7FE2AEF6" w:rsidTr="0017201D">
        <w:trPr>
          <w:trHeight w:val="300"/>
          <w:jc w:val="center"/>
        </w:trPr>
        <w:tc>
          <w:tcPr>
            <w:tcW w:w="10619" w:type="dxa"/>
          </w:tcPr>
          <w:p w14:paraId="181430AB" w14:textId="6B441A03" w:rsidR="00824FDB" w:rsidRPr="00CF13B6" w:rsidRDefault="00824FDB" w:rsidP="0017201D">
            <w:pPr>
              <w:spacing w:before="120" w:after="120"/>
              <w:rPr>
                <w:rFonts w:ascii="Times New Roman" w:eastAsia="Times New Roman" w:hAnsi="Times New Roman"/>
                <w:sz w:val="24"/>
                <w:szCs w:val="24"/>
                <w:lang w:val="en-IE"/>
              </w:rPr>
            </w:pPr>
            <w:r w:rsidRPr="0017201D">
              <w:rPr>
                <w:rFonts w:ascii="Times New Roman" w:hAnsi="Times New Roman"/>
                <w:b/>
                <w:bCs/>
                <w:sz w:val="24"/>
                <w:szCs w:val="24"/>
              </w:rPr>
              <w:t>European public goods:</w:t>
            </w:r>
            <w:r w:rsidR="0017201D" w:rsidRPr="005B4F5C" w:rsidDel="0017201D">
              <w:rPr>
                <w:rFonts w:ascii="Times New Roman" w:hAnsi="Times New Roman"/>
                <w:b/>
                <w:bCs/>
                <w:sz w:val="24"/>
                <w:szCs w:val="24"/>
              </w:rPr>
              <w:t xml:space="preserve"> </w:t>
            </w:r>
            <w:r w:rsidRPr="0017201D">
              <w:rPr>
                <w:rFonts w:ascii="Times New Roman" w:hAnsi="Times New Roman"/>
                <w:b/>
                <w:bCs/>
                <w:sz w:val="24"/>
                <w:szCs w:val="24"/>
              </w:rPr>
              <w:t>policy priority for financing the EU’s sustainability growth and facing global challenges</w:t>
            </w:r>
            <w:r w:rsidR="0017201D" w:rsidRPr="0017201D">
              <w:rPr>
                <w:rFonts w:ascii="Times New Roman" w:hAnsi="Times New Roman"/>
                <w:b/>
                <w:bCs/>
                <w:sz w:val="24"/>
                <w:szCs w:val="24"/>
              </w:rPr>
              <w:br/>
            </w:r>
            <w:r w:rsidR="0017201D" w:rsidRPr="00CF13B6">
              <w:rPr>
                <w:rFonts w:ascii="Times New Roman" w:hAnsi="Times New Roman"/>
                <w:b/>
                <w:bCs/>
                <w:sz w:val="24"/>
                <w:szCs w:val="24"/>
              </w:rPr>
              <w:t>(own-initiative opinion)</w:t>
            </w:r>
            <w:r w:rsidR="0017201D" w:rsidRPr="0017201D">
              <w:rPr>
                <w:rFonts w:ascii="Times New Roman" w:hAnsi="Times New Roman"/>
                <w:b/>
                <w:bCs/>
                <w:sz w:val="24"/>
                <w:szCs w:val="24"/>
              </w:rPr>
              <w:br/>
            </w:r>
            <w:r w:rsidRPr="0017201D">
              <w:rPr>
                <w:rFonts w:ascii="Times New Roman" w:hAnsi="Times New Roman"/>
                <w:b/>
                <w:bCs/>
                <w:sz w:val="24"/>
                <w:szCs w:val="24"/>
                <w:lang w:val="en-IE"/>
              </w:rPr>
              <w:t>EESC-2025 -01686</w:t>
            </w:r>
            <w:r w:rsidRPr="0017201D">
              <w:rPr>
                <w:rFonts w:ascii="Times New Roman" w:hAnsi="Times New Roman"/>
                <w:b/>
                <w:bCs/>
                <w:sz w:val="24"/>
                <w:szCs w:val="24"/>
              </w:rPr>
              <w:t xml:space="preserve"> </w:t>
            </w:r>
            <w:r w:rsidR="0017201D" w:rsidRPr="002A2F44">
              <w:rPr>
                <w:rFonts w:ascii="Times New Roman" w:hAnsi="Times New Roman"/>
                <w:b/>
                <w:bCs/>
                <w:sz w:val="24"/>
                <w:szCs w:val="24"/>
                <w:lang w:val="en-IE"/>
              </w:rPr>
              <w:t>–</w:t>
            </w:r>
            <w:r w:rsidRPr="0017201D">
              <w:rPr>
                <w:rFonts w:ascii="Times New Roman" w:hAnsi="Times New Roman"/>
                <w:b/>
                <w:bCs/>
                <w:sz w:val="24"/>
                <w:szCs w:val="24"/>
                <w:lang w:val="en-IE"/>
              </w:rPr>
              <w:t xml:space="preserve"> ECO/667</w:t>
            </w:r>
            <w:r w:rsidRPr="00CF13B6">
              <w:rPr>
                <w:rFonts w:ascii="Times New Roman" w:hAnsi="Times New Roman"/>
              </w:rPr>
              <w:br/>
            </w:r>
            <w:r w:rsidRPr="0017201D">
              <w:rPr>
                <w:rFonts w:ascii="Times New Roman" w:hAnsi="Times New Roman"/>
                <w:b/>
                <w:bCs/>
                <w:sz w:val="24"/>
                <w:szCs w:val="24"/>
              </w:rPr>
              <w:t>599</w:t>
            </w:r>
            <w:r w:rsidRPr="00CF13B6">
              <w:rPr>
                <w:rFonts w:ascii="Times New Roman" w:hAnsi="Times New Roman"/>
                <w:b/>
                <w:bCs/>
                <w:sz w:val="24"/>
                <w:szCs w:val="24"/>
                <w:vertAlign w:val="superscript"/>
              </w:rPr>
              <w:t>th</w:t>
            </w:r>
            <w:r w:rsidRPr="0017201D">
              <w:rPr>
                <w:rFonts w:ascii="Times New Roman" w:hAnsi="Times New Roman"/>
                <w:b/>
                <w:bCs/>
                <w:sz w:val="24"/>
                <w:szCs w:val="24"/>
              </w:rPr>
              <w:t xml:space="preserve"> Plenary Session – September 2025</w:t>
            </w:r>
            <w:r w:rsidRPr="00CF13B6">
              <w:rPr>
                <w:rFonts w:ascii="Times New Roman" w:hAnsi="Times New Roman"/>
              </w:rPr>
              <w:br/>
            </w:r>
            <w:r w:rsidRPr="0017201D">
              <w:rPr>
                <w:rFonts w:ascii="Times New Roman" w:eastAsia="Times New Roman" w:hAnsi="Times New Roman"/>
                <w:b/>
                <w:bCs/>
                <w:sz w:val="24"/>
                <w:szCs w:val="24"/>
              </w:rPr>
              <w:t xml:space="preserve">Rapporteur: </w:t>
            </w:r>
            <w:r w:rsidRPr="0017201D">
              <w:rPr>
                <w:rFonts w:ascii="Times New Roman" w:hAnsi="Times New Roman"/>
                <w:b/>
                <w:bCs/>
                <w:sz w:val="24"/>
                <w:szCs w:val="24"/>
              </w:rPr>
              <w:t>Stefano PALMIERI</w:t>
            </w:r>
            <w:r w:rsidR="0017201D">
              <w:rPr>
                <w:rFonts w:ascii="Times New Roman" w:hAnsi="Times New Roman"/>
                <w:b/>
                <w:bCs/>
                <w:sz w:val="24"/>
                <w:szCs w:val="24"/>
              </w:rPr>
              <w:t xml:space="preserve"> </w:t>
            </w:r>
            <w:r w:rsidR="0017201D" w:rsidRPr="00CF13B6">
              <w:rPr>
                <w:rFonts w:ascii="Times New Roman" w:hAnsi="Times New Roman"/>
                <w:b/>
                <w:bCs/>
                <w:sz w:val="24"/>
                <w:szCs w:val="24"/>
              </w:rPr>
              <w:t>(IT-II)</w:t>
            </w:r>
            <w:r w:rsidR="0017201D">
              <w:rPr>
                <w:rFonts w:ascii="Times New Roman" w:hAnsi="Times New Roman"/>
                <w:b/>
                <w:bCs/>
                <w:sz w:val="24"/>
                <w:szCs w:val="24"/>
              </w:rPr>
              <w:br/>
            </w:r>
            <w:r w:rsidRPr="00CF13B6">
              <w:rPr>
                <w:rFonts w:ascii="Times New Roman" w:hAnsi="Times New Roman"/>
                <w:b/>
                <w:bCs/>
                <w:sz w:val="24"/>
                <w:szCs w:val="24"/>
                <w:lang w:val="en-IE"/>
              </w:rPr>
              <w:t>DG BUDG – Commissioner SERAFIN</w:t>
            </w:r>
          </w:p>
        </w:tc>
      </w:tr>
      <w:tr w:rsidR="00824FDB" w14:paraId="1AE95660" w14:textId="77777777" w:rsidTr="0017201D">
        <w:trPr>
          <w:trHeight w:val="300"/>
          <w:jc w:val="center"/>
        </w:trPr>
        <w:tc>
          <w:tcPr>
            <w:tcW w:w="10619" w:type="dxa"/>
          </w:tcPr>
          <w:p w14:paraId="0E2E0880" w14:textId="41F21646" w:rsidR="00824FDB" w:rsidRDefault="00824FDB" w:rsidP="0017201D">
            <w:pPr>
              <w:spacing w:before="120" w:after="120"/>
              <w:jc w:val="center"/>
              <w:rPr>
                <w:rFonts w:ascii="Times New Roman" w:eastAsia="Times New Roman" w:hAnsi="Times New Roman"/>
                <w:sz w:val="24"/>
                <w:szCs w:val="24"/>
              </w:rPr>
            </w:pPr>
            <w:r w:rsidRPr="46267037">
              <w:rPr>
                <w:rFonts w:ascii="Times New Roman" w:hAnsi="Times New Roman"/>
                <w:b/>
                <w:bCs/>
                <w:sz w:val="24"/>
                <w:szCs w:val="24"/>
              </w:rPr>
              <w:t>European Commission position on points</w:t>
            </w:r>
            <w:r>
              <w:br/>
            </w:r>
            <w:r w:rsidRPr="46267037">
              <w:rPr>
                <w:rFonts w:ascii="Times New Roman" w:hAnsi="Times New Roman"/>
                <w:b/>
                <w:bCs/>
                <w:sz w:val="24"/>
                <w:szCs w:val="24"/>
              </w:rPr>
              <w:t xml:space="preserve">of the European Economic and Social Committee </w:t>
            </w:r>
            <w:r w:rsidR="00AB6C0C">
              <w:rPr>
                <w:rFonts w:ascii="Times New Roman" w:hAnsi="Times New Roman"/>
                <w:b/>
                <w:bCs/>
                <w:sz w:val="24"/>
                <w:szCs w:val="24"/>
              </w:rPr>
              <w:t xml:space="preserve">(EESC) </w:t>
            </w:r>
            <w:r w:rsidRPr="46267037">
              <w:rPr>
                <w:rFonts w:ascii="Times New Roman" w:hAnsi="Times New Roman"/>
                <w:b/>
                <w:bCs/>
                <w:sz w:val="24"/>
                <w:szCs w:val="24"/>
              </w:rPr>
              <w:t>opinion considered as essential</w:t>
            </w:r>
          </w:p>
        </w:tc>
      </w:tr>
      <w:tr w:rsidR="00824FDB" w14:paraId="76113AA3" w14:textId="77777777" w:rsidTr="0017201D">
        <w:trPr>
          <w:trHeight w:val="300"/>
          <w:jc w:val="center"/>
        </w:trPr>
        <w:tc>
          <w:tcPr>
            <w:tcW w:w="10619" w:type="dxa"/>
          </w:tcPr>
          <w:p w14:paraId="73D8F705" w14:textId="0F3E61BD" w:rsidR="002C4A1E" w:rsidRPr="0017201D" w:rsidRDefault="002C4A1E" w:rsidP="0017201D">
            <w:pPr>
              <w:widowControl w:val="0"/>
              <w:spacing w:before="120" w:after="120"/>
              <w:jc w:val="both"/>
              <w:rPr>
                <w:rFonts w:ascii="Times New Roman" w:hAnsi="Times New Roman"/>
                <w:b/>
                <w:bCs/>
                <w:i/>
                <w:iCs/>
                <w:sz w:val="24"/>
                <w:szCs w:val="24"/>
              </w:rPr>
            </w:pPr>
            <w:r w:rsidRPr="0017201D">
              <w:rPr>
                <w:rFonts w:ascii="Times New Roman" w:hAnsi="Times New Roman"/>
                <w:b/>
                <w:bCs/>
                <w:i/>
                <w:iCs/>
                <w:sz w:val="24"/>
                <w:szCs w:val="24"/>
              </w:rPr>
              <w:t xml:space="preserve">The level of </w:t>
            </w:r>
            <w:r w:rsidR="382C8DBD" w:rsidRPr="0017201D">
              <w:rPr>
                <w:rFonts w:ascii="Times New Roman" w:hAnsi="Times New Roman"/>
                <w:b/>
                <w:bCs/>
                <w:i/>
                <w:iCs/>
                <w:sz w:val="24"/>
                <w:szCs w:val="24"/>
              </w:rPr>
              <w:t xml:space="preserve">the </w:t>
            </w:r>
            <w:r w:rsidRPr="0017201D">
              <w:rPr>
                <w:rFonts w:ascii="Times New Roman" w:hAnsi="Times New Roman"/>
                <w:b/>
                <w:bCs/>
                <w:i/>
                <w:iCs/>
                <w:sz w:val="24"/>
                <w:szCs w:val="24"/>
              </w:rPr>
              <w:t>next MFF (section 1.7)</w:t>
            </w:r>
            <w:r w:rsidR="0017201D">
              <w:rPr>
                <w:rFonts w:ascii="Times New Roman" w:hAnsi="Times New Roman"/>
                <w:b/>
                <w:bCs/>
                <w:i/>
                <w:iCs/>
                <w:sz w:val="24"/>
                <w:szCs w:val="24"/>
              </w:rPr>
              <w:t>:</w:t>
            </w:r>
          </w:p>
          <w:p w14:paraId="7194DFFF" w14:textId="729629AF" w:rsidR="00B91E97" w:rsidRPr="0017201D" w:rsidRDefault="00B91E97"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The Commission values the Committee’s recognition of the importance of European public goods (EPGs). The next </w:t>
            </w:r>
            <w:r w:rsidR="0079613F">
              <w:rPr>
                <w:rFonts w:ascii="Times New Roman" w:hAnsi="Times New Roman"/>
                <w:sz w:val="24"/>
                <w:szCs w:val="24"/>
              </w:rPr>
              <w:t>m</w:t>
            </w:r>
            <w:r w:rsidR="0079613F" w:rsidRPr="0079613F">
              <w:rPr>
                <w:rFonts w:ascii="Times New Roman" w:hAnsi="Times New Roman"/>
                <w:sz w:val="24"/>
                <w:szCs w:val="24"/>
              </w:rPr>
              <w:t xml:space="preserve">ultiannual </w:t>
            </w:r>
            <w:r w:rsidR="0079613F">
              <w:rPr>
                <w:rFonts w:ascii="Times New Roman" w:hAnsi="Times New Roman"/>
                <w:sz w:val="24"/>
                <w:szCs w:val="24"/>
              </w:rPr>
              <w:t>f</w:t>
            </w:r>
            <w:r w:rsidR="0079613F" w:rsidRPr="0079613F">
              <w:rPr>
                <w:rFonts w:ascii="Times New Roman" w:hAnsi="Times New Roman"/>
                <w:sz w:val="24"/>
                <w:szCs w:val="24"/>
              </w:rPr>
              <w:t xml:space="preserve">inancial </w:t>
            </w:r>
            <w:r w:rsidR="0079613F">
              <w:rPr>
                <w:rFonts w:ascii="Times New Roman" w:hAnsi="Times New Roman"/>
                <w:sz w:val="24"/>
                <w:szCs w:val="24"/>
              </w:rPr>
              <w:t>f</w:t>
            </w:r>
            <w:r w:rsidR="0079613F" w:rsidRPr="0079613F">
              <w:rPr>
                <w:rFonts w:ascii="Times New Roman" w:hAnsi="Times New Roman"/>
                <w:sz w:val="24"/>
                <w:szCs w:val="24"/>
              </w:rPr>
              <w:t>ramework</w:t>
            </w:r>
            <w:r w:rsidR="0079613F">
              <w:rPr>
                <w:rFonts w:ascii="Times New Roman" w:hAnsi="Times New Roman"/>
                <w:sz w:val="24"/>
                <w:szCs w:val="24"/>
              </w:rPr>
              <w:t> </w:t>
            </w:r>
            <w:r w:rsidR="0017201D">
              <w:rPr>
                <w:rFonts w:ascii="Times New Roman" w:hAnsi="Times New Roman"/>
                <w:sz w:val="24"/>
                <w:szCs w:val="24"/>
              </w:rPr>
              <w:t>(</w:t>
            </w:r>
            <w:r w:rsidRPr="0017201D">
              <w:rPr>
                <w:rFonts w:ascii="Times New Roman" w:hAnsi="Times New Roman"/>
                <w:sz w:val="24"/>
                <w:szCs w:val="24"/>
              </w:rPr>
              <w:t>MFF</w:t>
            </w:r>
            <w:r w:rsidR="0017201D">
              <w:rPr>
                <w:rFonts w:ascii="Times New Roman" w:hAnsi="Times New Roman"/>
                <w:sz w:val="24"/>
                <w:szCs w:val="24"/>
              </w:rPr>
              <w:t>)</w:t>
            </w:r>
            <w:r w:rsidRPr="0017201D">
              <w:rPr>
                <w:rFonts w:ascii="Times New Roman" w:hAnsi="Times New Roman"/>
                <w:sz w:val="24"/>
                <w:szCs w:val="24"/>
              </w:rPr>
              <w:t xml:space="preserve"> proposal</w:t>
            </w:r>
            <w:r w:rsidR="7095C4BB" w:rsidRPr="0017201D">
              <w:rPr>
                <w:rFonts w:ascii="Times New Roman" w:hAnsi="Times New Roman"/>
                <w:sz w:val="24"/>
                <w:szCs w:val="24"/>
              </w:rPr>
              <w:t>s</w:t>
            </w:r>
            <w:r w:rsidRPr="0017201D">
              <w:rPr>
                <w:rFonts w:ascii="Times New Roman" w:hAnsi="Times New Roman"/>
                <w:sz w:val="24"/>
                <w:szCs w:val="24"/>
              </w:rPr>
              <w:t xml:space="preserve"> combine financing of new priorities and of existing needs, that remain pressing. </w:t>
            </w:r>
            <w:r w:rsidR="3A0030A7" w:rsidRPr="0017201D">
              <w:rPr>
                <w:rFonts w:ascii="Times New Roman" w:hAnsi="Times New Roman"/>
                <w:sz w:val="24"/>
                <w:szCs w:val="24"/>
              </w:rPr>
              <w:t>They</w:t>
            </w:r>
            <w:r w:rsidRPr="0017201D">
              <w:rPr>
                <w:rFonts w:ascii="Times New Roman" w:hAnsi="Times New Roman"/>
                <w:sz w:val="24"/>
                <w:szCs w:val="24"/>
              </w:rPr>
              <w:t xml:space="preserve"> focus on EU public goods, where the value-added of EU funding is greatest and public investment at EU level is justified. The Commission proposes an ambitious long- term budget of </w:t>
            </w:r>
            <w:r w:rsidR="0079613F">
              <w:rPr>
                <w:rFonts w:ascii="Times New Roman" w:hAnsi="Times New Roman"/>
                <w:sz w:val="24"/>
                <w:szCs w:val="24"/>
              </w:rPr>
              <w:t>EUR </w:t>
            </w:r>
            <w:r w:rsidRPr="0017201D">
              <w:rPr>
                <w:rFonts w:ascii="Times New Roman" w:hAnsi="Times New Roman"/>
                <w:sz w:val="24"/>
                <w:szCs w:val="24"/>
              </w:rPr>
              <w:t xml:space="preserve">1.98 trillion in current prices. This is equivalent to 1.26 % EU </w:t>
            </w:r>
            <w:r w:rsidR="0079613F">
              <w:rPr>
                <w:rFonts w:ascii="Times New Roman" w:hAnsi="Times New Roman"/>
                <w:sz w:val="24"/>
                <w:szCs w:val="24"/>
              </w:rPr>
              <w:t>g</w:t>
            </w:r>
            <w:r w:rsidR="0079613F" w:rsidRPr="0079613F">
              <w:rPr>
                <w:rFonts w:ascii="Times New Roman" w:hAnsi="Times New Roman"/>
                <w:sz w:val="24"/>
                <w:szCs w:val="24"/>
              </w:rPr>
              <w:t>ross national income</w:t>
            </w:r>
            <w:r w:rsidR="0079613F">
              <w:rPr>
                <w:rFonts w:ascii="Times New Roman" w:hAnsi="Times New Roman"/>
                <w:sz w:val="24"/>
                <w:szCs w:val="24"/>
              </w:rPr>
              <w:t> (</w:t>
            </w:r>
            <w:r w:rsidRPr="0017201D">
              <w:rPr>
                <w:rFonts w:ascii="Times New Roman" w:hAnsi="Times New Roman"/>
                <w:sz w:val="24"/>
                <w:szCs w:val="24"/>
              </w:rPr>
              <w:t>GNI</w:t>
            </w:r>
            <w:r w:rsidR="0079613F">
              <w:rPr>
                <w:rFonts w:ascii="Times New Roman" w:hAnsi="Times New Roman"/>
                <w:sz w:val="24"/>
                <w:szCs w:val="24"/>
              </w:rPr>
              <w:t>)</w:t>
            </w:r>
            <w:r w:rsidRPr="0017201D">
              <w:rPr>
                <w:rFonts w:ascii="Times New Roman" w:hAnsi="Times New Roman"/>
                <w:sz w:val="24"/>
                <w:szCs w:val="24"/>
              </w:rPr>
              <w:t xml:space="preserve"> for the period 2028-2034. The Commission has also proposed </w:t>
            </w:r>
            <w:r w:rsidR="00A06E27" w:rsidRPr="0017201D">
              <w:rPr>
                <w:rFonts w:ascii="Times New Roman" w:hAnsi="Times New Roman"/>
                <w:sz w:val="24"/>
                <w:szCs w:val="24"/>
              </w:rPr>
              <w:t xml:space="preserve">several new own resources which could generate </w:t>
            </w:r>
            <w:r w:rsidRPr="0017201D">
              <w:rPr>
                <w:rFonts w:ascii="Times New Roman" w:hAnsi="Times New Roman"/>
                <w:sz w:val="24"/>
                <w:szCs w:val="24"/>
              </w:rPr>
              <w:t>EUR</w:t>
            </w:r>
            <w:r w:rsidR="0079613F">
              <w:rPr>
                <w:rFonts w:ascii="Times New Roman" w:hAnsi="Times New Roman"/>
                <w:sz w:val="24"/>
                <w:szCs w:val="24"/>
              </w:rPr>
              <w:t> </w:t>
            </w:r>
            <w:r w:rsidRPr="0017201D">
              <w:rPr>
                <w:rFonts w:ascii="Times New Roman" w:hAnsi="Times New Roman"/>
                <w:sz w:val="24"/>
                <w:szCs w:val="24"/>
              </w:rPr>
              <w:t>65.6 b</w:t>
            </w:r>
            <w:r w:rsidR="0079613F">
              <w:rPr>
                <w:rFonts w:ascii="Times New Roman" w:hAnsi="Times New Roman"/>
                <w:sz w:val="24"/>
                <w:szCs w:val="24"/>
              </w:rPr>
              <w:t>illio</w:t>
            </w:r>
            <w:r w:rsidRPr="0017201D">
              <w:rPr>
                <w:rFonts w:ascii="Times New Roman" w:hAnsi="Times New Roman"/>
                <w:sz w:val="24"/>
                <w:szCs w:val="24"/>
              </w:rPr>
              <w:t>n</w:t>
            </w:r>
            <w:r w:rsidR="00A06E27" w:rsidRPr="0017201D">
              <w:rPr>
                <w:rFonts w:ascii="Times New Roman" w:hAnsi="Times New Roman"/>
                <w:sz w:val="24"/>
                <w:szCs w:val="24"/>
              </w:rPr>
              <w:t xml:space="preserve"> per year as additional revenue</w:t>
            </w:r>
            <w:r w:rsidRPr="0017201D">
              <w:rPr>
                <w:rFonts w:ascii="Times New Roman" w:hAnsi="Times New Roman"/>
                <w:sz w:val="24"/>
                <w:szCs w:val="24"/>
              </w:rPr>
              <w:t xml:space="preserve"> to provide the budget with the financing capabilities without weighing further on Member States national budgets.</w:t>
            </w:r>
          </w:p>
          <w:p w14:paraId="7762362A" w14:textId="037FAD74" w:rsidR="00B91E97" w:rsidRPr="0017201D" w:rsidRDefault="00B91E97"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A Ukraine reserve of EUR</w:t>
            </w:r>
            <w:r w:rsidR="0079613F">
              <w:rPr>
                <w:rFonts w:ascii="Times New Roman" w:hAnsi="Times New Roman"/>
                <w:sz w:val="24"/>
                <w:szCs w:val="24"/>
              </w:rPr>
              <w:t> </w:t>
            </w:r>
            <w:r w:rsidRPr="0017201D">
              <w:rPr>
                <w:rFonts w:ascii="Times New Roman" w:hAnsi="Times New Roman"/>
                <w:sz w:val="24"/>
                <w:szCs w:val="24"/>
              </w:rPr>
              <w:t>100 billion over and above the expenditure ceilings will provide financial support for Ukraine’s pre-accession and reconstruction</w:t>
            </w:r>
            <w:r w:rsidR="000F6907">
              <w:rPr>
                <w:rFonts w:ascii="Times New Roman" w:hAnsi="Times New Roman"/>
                <w:sz w:val="24"/>
                <w:szCs w:val="24"/>
              </w:rPr>
              <w:t>,</w:t>
            </w:r>
            <w:r w:rsidRPr="0017201D">
              <w:rPr>
                <w:rFonts w:ascii="Times New Roman" w:hAnsi="Times New Roman"/>
                <w:sz w:val="24"/>
                <w:szCs w:val="24"/>
              </w:rPr>
              <w:t xml:space="preserve"> to be implemented in the Global Europe Instrument</w:t>
            </w:r>
            <w:r w:rsidR="0079613F">
              <w:rPr>
                <w:rStyle w:val="FootnoteReference"/>
                <w:rFonts w:ascii="Times New Roman" w:hAnsi="Times New Roman"/>
                <w:sz w:val="24"/>
                <w:szCs w:val="24"/>
              </w:rPr>
              <w:footnoteReference w:id="2"/>
            </w:r>
            <w:r w:rsidRPr="0017201D">
              <w:rPr>
                <w:rFonts w:ascii="Times New Roman" w:hAnsi="Times New Roman"/>
                <w:sz w:val="24"/>
                <w:szCs w:val="24"/>
              </w:rPr>
              <w:t>. Moreover, the future long-term budget will aim at crowding in private expenditure and bringing in synergies with national expenditures to achieve more impact.</w:t>
            </w:r>
          </w:p>
          <w:p w14:paraId="6C91F6E0" w14:textId="7806EA1A" w:rsidR="005F20CC" w:rsidRPr="0017201D" w:rsidRDefault="005F20CC" w:rsidP="0017201D">
            <w:pPr>
              <w:widowControl w:val="0"/>
              <w:spacing w:before="120" w:after="120"/>
              <w:jc w:val="both"/>
              <w:rPr>
                <w:rFonts w:ascii="Times New Roman" w:hAnsi="Times New Roman"/>
                <w:b/>
                <w:bCs/>
                <w:i/>
                <w:iCs/>
                <w:sz w:val="24"/>
                <w:szCs w:val="24"/>
              </w:rPr>
            </w:pPr>
            <w:r w:rsidRPr="0017201D">
              <w:rPr>
                <w:rFonts w:ascii="Times New Roman" w:eastAsia="Times New Roman" w:hAnsi="Times New Roman"/>
                <w:b/>
                <w:bCs/>
                <w:i/>
                <w:iCs/>
                <w:sz w:val="24"/>
                <w:szCs w:val="24"/>
                <w:lang w:val="en-US"/>
              </w:rPr>
              <w:t>EU’s own resources</w:t>
            </w:r>
            <w:r w:rsidRPr="0017201D">
              <w:rPr>
                <w:rFonts w:ascii="Times New Roman" w:hAnsi="Times New Roman"/>
                <w:b/>
                <w:bCs/>
                <w:i/>
                <w:iCs/>
                <w:sz w:val="24"/>
                <w:szCs w:val="24"/>
              </w:rPr>
              <w:t xml:space="preserve"> (section 1.9)</w:t>
            </w:r>
            <w:r w:rsidR="0079613F">
              <w:rPr>
                <w:rFonts w:ascii="Times New Roman" w:hAnsi="Times New Roman"/>
                <w:b/>
                <w:bCs/>
                <w:i/>
                <w:iCs/>
                <w:sz w:val="24"/>
                <w:szCs w:val="24"/>
              </w:rPr>
              <w:t>:</w:t>
            </w:r>
          </w:p>
          <w:p w14:paraId="1B40D971" w14:textId="542DEA45" w:rsidR="00B91E97" w:rsidRPr="0017201D" w:rsidRDefault="00B91E97"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Equipping the EU budget with a more diversified revenue structure is a priority. On 16</w:t>
            </w:r>
            <w:r w:rsidR="0079613F">
              <w:rPr>
                <w:rFonts w:ascii="Times New Roman" w:hAnsi="Times New Roman"/>
                <w:sz w:val="24"/>
                <w:szCs w:val="24"/>
              </w:rPr>
              <w:t> </w:t>
            </w:r>
            <w:r w:rsidRPr="0017201D">
              <w:rPr>
                <w:rFonts w:ascii="Times New Roman" w:hAnsi="Times New Roman"/>
                <w:sz w:val="24"/>
                <w:szCs w:val="24"/>
              </w:rPr>
              <w:t>July 2025</w:t>
            </w:r>
            <w:r w:rsidR="009F7E5A" w:rsidRPr="0017201D">
              <w:rPr>
                <w:rFonts w:ascii="Times New Roman" w:hAnsi="Times New Roman"/>
                <w:sz w:val="24"/>
                <w:szCs w:val="24"/>
              </w:rPr>
              <w:t xml:space="preserve">, </w:t>
            </w:r>
            <w:r w:rsidRPr="0017201D">
              <w:rPr>
                <w:rFonts w:ascii="Times New Roman" w:hAnsi="Times New Roman"/>
                <w:sz w:val="24"/>
                <w:szCs w:val="24"/>
              </w:rPr>
              <w:t>the Commission proposed an ambitious package of own resources</w:t>
            </w:r>
            <w:r w:rsidR="008A7E8E">
              <w:rPr>
                <w:rStyle w:val="FootnoteReference"/>
                <w:rFonts w:ascii="Times New Roman" w:hAnsi="Times New Roman"/>
                <w:sz w:val="24"/>
                <w:szCs w:val="24"/>
              </w:rPr>
              <w:footnoteReference w:id="3"/>
            </w:r>
            <w:r w:rsidRPr="0017201D">
              <w:rPr>
                <w:rFonts w:ascii="Times New Roman" w:hAnsi="Times New Roman"/>
                <w:sz w:val="24"/>
                <w:szCs w:val="24"/>
              </w:rPr>
              <w:t xml:space="preserve"> aiming at modernising the financing of the EU budget and </w:t>
            </w:r>
            <w:r w:rsidR="00A06E27" w:rsidRPr="0017201D">
              <w:rPr>
                <w:rFonts w:ascii="Times New Roman" w:hAnsi="Times New Roman"/>
                <w:sz w:val="24"/>
                <w:szCs w:val="24"/>
              </w:rPr>
              <w:t xml:space="preserve">ensuring sustained revenues to </w:t>
            </w:r>
            <w:r w:rsidRPr="0017201D">
              <w:rPr>
                <w:rFonts w:ascii="Times New Roman" w:hAnsi="Times New Roman"/>
                <w:sz w:val="24"/>
                <w:szCs w:val="24"/>
              </w:rPr>
              <w:t>support the EU's political priorities.</w:t>
            </w:r>
          </w:p>
          <w:p w14:paraId="3DE01338" w14:textId="3CCDA034" w:rsidR="009B306B" w:rsidRPr="0017201D" w:rsidRDefault="009B306B" w:rsidP="0017201D">
            <w:pPr>
              <w:widowControl w:val="0"/>
              <w:spacing w:before="120" w:after="120"/>
              <w:jc w:val="both"/>
              <w:rPr>
                <w:rFonts w:ascii="Times New Roman" w:hAnsi="Times New Roman"/>
                <w:i/>
                <w:iCs/>
                <w:sz w:val="24"/>
                <w:szCs w:val="24"/>
              </w:rPr>
            </w:pPr>
            <w:r w:rsidRPr="0017201D">
              <w:rPr>
                <w:rFonts w:ascii="Times New Roman" w:hAnsi="Times New Roman"/>
                <w:b/>
                <w:bCs/>
                <w:i/>
                <w:iCs/>
                <w:sz w:val="24"/>
                <w:szCs w:val="24"/>
              </w:rPr>
              <w:t>EU open strategic autonomy (section 6.2)</w:t>
            </w:r>
            <w:r w:rsidRPr="0017201D">
              <w:rPr>
                <w:rFonts w:ascii="Times New Roman" w:hAnsi="Times New Roman"/>
                <w:i/>
                <w:iCs/>
                <w:sz w:val="24"/>
                <w:szCs w:val="24"/>
              </w:rPr>
              <w:t xml:space="preserve"> - </w:t>
            </w:r>
            <w:r w:rsidRPr="0017201D">
              <w:rPr>
                <w:rFonts w:ascii="Times New Roman" w:hAnsi="Times New Roman"/>
                <w:b/>
                <w:bCs/>
                <w:i/>
                <w:iCs/>
                <w:sz w:val="24"/>
                <w:szCs w:val="24"/>
              </w:rPr>
              <w:t>a joint EU health policy</w:t>
            </w:r>
            <w:r w:rsidR="0079613F">
              <w:rPr>
                <w:rFonts w:ascii="Times New Roman" w:hAnsi="Times New Roman"/>
                <w:b/>
                <w:bCs/>
                <w:i/>
                <w:iCs/>
                <w:sz w:val="24"/>
                <w:szCs w:val="24"/>
              </w:rPr>
              <w:t>:</w:t>
            </w:r>
          </w:p>
          <w:p w14:paraId="2966262F" w14:textId="78FD8F44" w:rsidR="00824FDB" w:rsidRPr="0017201D" w:rsidRDefault="00B91E97"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F</w:t>
            </w:r>
            <w:r w:rsidR="00824FDB" w:rsidRPr="0017201D">
              <w:rPr>
                <w:rFonts w:ascii="Times New Roman" w:hAnsi="Times New Roman"/>
                <w:sz w:val="24"/>
                <w:szCs w:val="24"/>
              </w:rPr>
              <w:t>or an MFF built around the ‘preparedness by design principle’, the Commission proposes to allocate EUR</w:t>
            </w:r>
            <w:r w:rsidR="008A7E8E">
              <w:rPr>
                <w:rFonts w:ascii="Times New Roman" w:hAnsi="Times New Roman"/>
                <w:sz w:val="24"/>
                <w:szCs w:val="24"/>
              </w:rPr>
              <w:t> </w:t>
            </w:r>
            <w:r w:rsidR="00824FDB" w:rsidRPr="0017201D">
              <w:rPr>
                <w:rFonts w:ascii="Times New Roman" w:hAnsi="Times New Roman"/>
                <w:sz w:val="24"/>
                <w:szCs w:val="24"/>
              </w:rPr>
              <w:t xml:space="preserve">10.7 billion to the new Union Civil Protection Mechanism and </w:t>
            </w:r>
            <w:r w:rsidR="67AB1507" w:rsidRPr="0017201D">
              <w:rPr>
                <w:rFonts w:ascii="Times New Roman" w:hAnsi="Times New Roman"/>
                <w:sz w:val="24"/>
                <w:szCs w:val="24"/>
              </w:rPr>
              <w:t xml:space="preserve">Union support for </w:t>
            </w:r>
            <w:r w:rsidR="00824FDB" w:rsidRPr="0017201D">
              <w:rPr>
                <w:rFonts w:ascii="Times New Roman" w:hAnsi="Times New Roman"/>
                <w:sz w:val="24"/>
                <w:szCs w:val="24"/>
              </w:rPr>
              <w:t>health emergency preparedness and response. This substantially reinforced Union Civil Protection Mechanism, coupled with health emergency preparedness and response, will ensure better cross-sectoral coordination and address capacity gaps for emergencies created by the evolving global health landscape.</w:t>
            </w:r>
          </w:p>
          <w:p w14:paraId="1EA64738" w14:textId="4724EFD4" w:rsidR="00824FDB" w:rsidRPr="0017201D" w:rsidRDefault="00824FDB"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As mentioned in Title 3 of the proposed regulation</w:t>
            </w:r>
            <w:r w:rsidR="00645FC1" w:rsidRPr="0017201D">
              <w:rPr>
                <w:rStyle w:val="FootnoteReference"/>
                <w:rFonts w:ascii="Times New Roman" w:hAnsi="Times New Roman"/>
                <w:sz w:val="24"/>
                <w:szCs w:val="24"/>
              </w:rPr>
              <w:footnoteReference w:id="4"/>
            </w:r>
            <w:r w:rsidRPr="0017201D">
              <w:rPr>
                <w:rFonts w:ascii="Times New Roman" w:hAnsi="Times New Roman"/>
                <w:sz w:val="24"/>
                <w:szCs w:val="24"/>
              </w:rPr>
              <w:t xml:space="preserve">, </w:t>
            </w:r>
            <w:r w:rsidR="008A7E8E">
              <w:rPr>
                <w:rFonts w:ascii="Times New Roman" w:hAnsi="Times New Roman"/>
                <w:sz w:val="24"/>
                <w:szCs w:val="24"/>
              </w:rPr>
              <w:t xml:space="preserve">the </w:t>
            </w:r>
            <w:r w:rsidR="008A7E8E" w:rsidRPr="00CF13B6">
              <w:rPr>
                <w:rFonts w:ascii="Times New Roman" w:hAnsi="Times New Roman"/>
                <w:sz w:val="24"/>
                <w:szCs w:val="24"/>
              </w:rPr>
              <w:t>EU Civil Protection Mechanism</w:t>
            </w:r>
            <w:r w:rsidR="008A7E8E">
              <w:rPr>
                <w:rFonts w:ascii="Times New Roman" w:hAnsi="Times New Roman"/>
                <w:sz w:val="24"/>
                <w:szCs w:val="24"/>
              </w:rPr>
              <w:t> (</w:t>
            </w:r>
            <w:r w:rsidRPr="0017201D">
              <w:rPr>
                <w:rFonts w:ascii="Times New Roman" w:hAnsi="Times New Roman"/>
                <w:sz w:val="24"/>
                <w:szCs w:val="24"/>
              </w:rPr>
              <w:t>UCPM</w:t>
            </w:r>
            <w:r w:rsidR="008A7E8E">
              <w:rPr>
                <w:rFonts w:ascii="Times New Roman" w:hAnsi="Times New Roman"/>
                <w:sz w:val="24"/>
                <w:szCs w:val="24"/>
              </w:rPr>
              <w:t>)</w:t>
            </w:r>
            <w:r w:rsidRPr="0017201D">
              <w:rPr>
                <w:rFonts w:ascii="Times New Roman" w:hAnsi="Times New Roman"/>
                <w:sz w:val="24"/>
                <w:szCs w:val="24"/>
              </w:rPr>
              <w:t>-Health Emergency Response will aim at the prevention, preparedness and response to serious cross-border threats to health</w:t>
            </w:r>
            <w:r w:rsidR="004D430C">
              <w:rPr>
                <w:rFonts w:ascii="Times New Roman" w:hAnsi="Times New Roman"/>
                <w:sz w:val="24"/>
                <w:szCs w:val="24"/>
              </w:rPr>
              <w:t>.</w:t>
            </w:r>
            <w:r w:rsidRPr="0017201D">
              <w:rPr>
                <w:rFonts w:ascii="Times New Roman" w:hAnsi="Times New Roman"/>
                <w:sz w:val="24"/>
                <w:szCs w:val="24"/>
              </w:rPr>
              <w:t xml:space="preserve"> </w:t>
            </w:r>
            <w:r w:rsidR="004D430C">
              <w:rPr>
                <w:rFonts w:ascii="Times New Roman" w:hAnsi="Times New Roman"/>
                <w:sz w:val="24"/>
                <w:szCs w:val="24"/>
              </w:rPr>
              <w:t xml:space="preserve">This includes the support to </w:t>
            </w:r>
            <w:r w:rsidRPr="0017201D">
              <w:rPr>
                <w:rFonts w:ascii="Times New Roman" w:hAnsi="Times New Roman"/>
                <w:sz w:val="24"/>
                <w:szCs w:val="24"/>
              </w:rPr>
              <w:t xml:space="preserve">data collection, information exchange, early warning and surveillance </w:t>
            </w:r>
            <w:r w:rsidRPr="0017201D">
              <w:rPr>
                <w:rFonts w:ascii="Times New Roman" w:hAnsi="Times New Roman"/>
                <w:sz w:val="24"/>
                <w:szCs w:val="24"/>
              </w:rPr>
              <w:lastRenderedPageBreak/>
              <w:t>systems; enhancing the availability and accessibility of medical countermeasures, e.g. via procurement and stockpiling; capacity building; support actions, e.g. cooperation between national authorities and IT infrastructures.</w:t>
            </w:r>
          </w:p>
          <w:p w14:paraId="3D04BAEE" w14:textId="23FF891B" w:rsidR="0060124E" w:rsidRPr="0017201D" w:rsidRDefault="00824FDB"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On top of these activities under the Union Civil Protection Mechanism and</w:t>
            </w:r>
            <w:r w:rsidR="1A0FC76D" w:rsidRPr="0017201D">
              <w:rPr>
                <w:rFonts w:ascii="Times New Roman" w:hAnsi="Times New Roman"/>
                <w:sz w:val="24"/>
                <w:szCs w:val="24"/>
              </w:rPr>
              <w:t xml:space="preserve"> Union support for</w:t>
            </w:r>
            <w:r w:rsidRPr="0017201D">
              <w:rPr>
                <w:rFonts w:ascii="Times New Roman" w:hAnsi="Times New Roman"/>
                <w:sz w:val="24"/>
                <w:szCs w:val="24"/>
              </w:rPr>
              <w:t xml:space="preserve"> health emergency preparedness and response, an important task is to support the development of new medical countermeasures and the resilience of their supply chains.</w:t>
            </w:r>
          </w:p>
          <w:p w14:paraId="3CAF2B7F" w14:textId="68A3E7C0" w:rsidR="008F560B" w:rsidRPr="0017201D" w:rsidRDefault="008F560B" w:rsidP="0017201D">
            <w:pPr>
              <w:widowControl w:val="0"/>
              <w:spacing w:before="120" w:after="120"/>
              <w:jc w:val="both"/>
              <w:rPr>
                <w:rFonts w:ascii="Times New Roman" w:hAnsi="Times New Roman"/>
                <w:i/>
                <w:iCs/>
                <w:sz w:val="24"/>
                <w:szCs w:val="24"/>
              </w:rPr>
            </w:pPr>
            <w:r w:rsidRPr="0017201D">
              <w:rPr>
                <w:rFonts w:ascii="Times New Roman" w:hAnsi="Times New Roman"/>
                <w:b/>
                <w:bCs/>
                <w:i/>
                <w:iCs/>
                <w:sz w:val="24"/>
                <w:szCs w:val="24"/>
              </w:rPr>
              <w:t>EU open strategic autonomy (section 6.2)</w:t>
            </w:r>
            <w:r w:rsidR="009B306B" w:rsidRPr="0017201D">
              <w:rPr>
                <w:rFonts w:ascii="Times New Roman" w:hAnsi="Times New Roman"/>
                <w:b/>
                <w:bCs/>
                <w:i/>
                <w:iCs/>
                <w:sz w:val="24"/>
                <w:szCs w:val="24"/>
              </w:rPr>
              <w:t xml:space="preserve"> – food security</w:t>
            </w:r>
            <w:r w:rsidR="008A7E8E">
              <w:rPr>
                <w:rFonts w:ascii="Times New Roman" w:hAnsi="Times New Roman"/>
                <w:b/>
                <w:bCs/>
                <w:i/>
                <w:iCs/>
                <w:sz w:val="24"/>
                <w:szCs w:val="24"/>
              </w:rPr>
              <w:t>:</w:t>
            </w:r>
          </w:p>
          <w:p w14:paraId="651DB1E4" w14:textId="05B29422" w:rsidR="0060124E" w:rsidRPr="0017201D" w:rsidRDefault="008F560B"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Food security</w:t>
            </w:r>
            <w:r w:rsidR="0060124E" w:rsidRPr="0017201D">
              <w:rPr>
                <w:rFonts w:ascii="Times New Roman" w:hAnsi="Times New Roman"/>
                <w:sz w:val="24"/>
                <w:szCs w:val="24"/>
              </w:rPr>
              <w:t xml:space="preserve"> will remain a</w:t>
            </w:r>
            <w:r w:rsidR="00A06E27" w:rsidRPr="0017201D">
              <w:rPr>
                <w:rFonts w:ascii="Times New Roman" w:hAnsi="Times New Roman"/>
                <w:sz w:val="24"/>
                <w:szCs w:val="24"/>
              </w:rPr>
              <w:t xml:space="preserve"> key</w:t>
            </w:r>
            <w:r w:rsidR="0060124E" w:rsidRPr="0017201D">
              <w:rPr>
                <w:rFonts w:ascii="Times New Roman" w:hAnsi="Times New Roman"/>
                <w:sz w:val="24"/>
                <w:szCs w:val="24"/>
              </w:rPr>
              <w:t xml:space="preserve"> objective under the next MFF 2028-2034. The Common Agricultural Policy</w:t>
            </w:r>
            <w:r w:rsidR="008A7E8E">
              <w:rPr>
                <w:rFonts w:ascii="Times New Roman" w:hAnsi="Times New Roman"/>
                <w:sz w:val="24"/>
                <w:szCs w:val="24"/>
              </w:rPr>
              <w:t> </w:t>
            </w:r>
            <w:r w:rsidR="0060124E" w:rsidRPr="0017201D">
              <w:rPr>
                <w:rFonts w:ascii="Times New Roman" w:hAnsi="Times New Roman"/>
                <w:sz w:val="24"/>
                <w:szCs w:val="24"/>
              </w:rPr>
              <w:t xml:space="preserve">(CAP) will continue to play a central role in ensuring the EU’s strategic autonomy while supporting farmers and rural communities across </w:t>
            </w:r>
            <w:r w:rsidR="5B64C142" w:rsidRPr="0017201D">
              <w:rPr>
                <w:rFonts w:ascii="Times New Roman" w:hAnsi="Times New Roman"/>
                <w:sz w:val="24"/>
                <w:szCs w:val="24"/>
              </w:rPr>
              <w:t xml:space="preserve">the European Union </w:t>
            </w:r>
            <w:r w:rsidR="0060124E" w:rsidRPr="0017201D">
              <w:rPr>
                <w:rFonts w:ascii="Times New Roman" w:hAnsi="Times New Roman"/>
                <w:sz w:val="24"/>
                <w:szCs w:val="24"/>
              </w:rPr>
              <w:t>by providing stability and predictability in a</w:t>
            </w:r>
            <w:r w:rsidR="008A7E8E">
              <w:rPr>
                <w:rFonts w:ascii="Times New Roman" w:hAnsi="Times New Roman"/>
                <w:sz w:val="24"/>
                <w:szCs w:val="24"/>
              </w:rPr>
              <w:t> </w:t>
            </w:r>
            <w:r w:rsidR="0060124E" w:rsidRPr="0017201D">
              <w:rPr>
                <w:rFonts w:ascii="Times New Roman" w:hAnsi="Times New Roman"/>
                <w:sz w:val="24"/>
                <w:szCs w:val="24"/>
              </w:rPr>
              <w:t>sector facing changing geopolitical situations, persistent structural challenges (</w:t>
            </w:r>
            <w:r w:rsidR="14D6172F" w:rsidRPr="0017201D">
              <w:rPr>
                <w:rFonts w:ascii="Times New Roman" w:hAnsi="Times New Roman"/>
                <w:sz w:val="24"/>
                <w:szCs w:val="24"/>
              </w:rPr>
              <w:t>i.e.</w:t>
            </w:r>
            <w:r w:rsidR="0060124E" w:rsidRPr="0017201D">
              <w:rPr>
                <w:rFonts w:ascii="Times New Roman" w:hAnsi="Times New Roman"/>
                <w:sz w:val="24"/>
                <w:szCs w:val="24"/>
              </w:rPr>
              <w:t xml:space="preserve"> generational renewal) and extreme weather events. The structure of the CAP post-2027 is simplified and streamlined. This will bring policy synergies and allow for</w:t>
            </w:r>
            <w:r w:rsidR="000F6907">
              <w:rPr>
                <w:rFonts w:ascii="Times New Roman" w:hAnsi="Times New Roman"/>
                <w:sz w:val="24"/>
                <w:szCs w:val="24"/>
              </w:rPr>
              <w:t xml:space="preserve"> a</w:t>
            </w:r>
            <w:r w:rsidR="0060124E" w:rsidRPr="0017201D">
              <w:rPr>
                <w:rFonts w:ascii="Times New Roman" w:hAnsi="Times New Roman"/>
                <w:sz w:val="24"/>
                <w:szCs w:val="24"/>
              </w:rPr>
              <w:t xml:space="preserve"> more flexible use of resources, and ensure all measures align with shared objectives.</w:t>
            </w:r>
          </w:p>
          <w:p w14:paraId="3F3E60A7" w14:textId="66B8130F"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Support for farmers will be more targeted and fairer. A simplified degressive area-based payment will replace the current complex system of payment schemes. While maintaining </w:t>
            </w:r>
            <w:r w:rsidR="00A06E27" w:rsidRPr="0017201D">
              <w:rPr>
                <w:rFonts w:ascii="Times New Roman" w:hAnsi="Times New Roman"/>
                <w:sz w:val="24"/>
                <w:szCs w:val="24"/>
              </w:rPr>
              <w:t xml:space="preserve">degressive area-based </w:t>
            </w:r>
            <w:r w:rsidRPr="0017201D">
              <w:rPr>
                <w:rFonts w:ascii="Times New Roman" w:hAnsi="Times New Roman"/>
                <w:sz w:val="24"/>
                <w:szCs w:val="24"/>
              </w:rPr>
              <w:t xml:space="preserve">payments, the reform introduces measures to prioritise support for young, small, and family-run farms while reducing support for big farms by capping and </w:t>
            </w:r>
            <w:proofErr w:type="spellStart"/>
            <w:r w:rsidRPr="0017201D">
              <w:rPr>
                <w:rFonts w:ascii="Times New Roman" w:hAnsi="Times New Roman"/>
                <w:sz w:val="24"/>
                <w:szCs w:val="24"/>
              </w:rPr>
              <w:t>degressivity</w:t>
            </w:r>
            <w:proofErr w:type="spellEnd"/>
            <w:r w:rsidRPr="0017201D">
              <w:rPr>
                <w:rFonts w:ascii="Times New Roman" w:hAnsi="Times New Roman"/>
                <w:sz w:val="24"/>
                <w:szCs w:val="24"/>
              </w:rPr>
              <w:t>. Coupled income support is also increased, with the maximum spending going up from 13% to 20%, with an additional 5% possible for sectors and regions that need it most, such as livestock farming and sensitive border areas.</w:t>
            </w:r>
          </w:p>
          <w:p w14:paraId="570EC4ED" w14:textId="2EE98437"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Environmental protection and climate action remain central. Farmers will receive clear incentives to adopt practices that benefit biodiversity, the climate, and animal welfare. Young farmers will receive unprecedented support. Every Member State will be required to adopt a Generational Renewal Strategy</w:t>
            </w:r>
            <w:r w:rsidR="008A7E8E">
              <w:rPr>
                <w:rStyle w:val="FootnoteReference"/>
                <w:rFonts w:ascii="Times New Roman" w:hAnsi="Times New Roman"/>
                <w:sz w:val="24"/>
                <w:szCs w:val="24"/>
              </w:rPr>
              <w:footnoteReference w:id="5"/>
            </w:r>
            <w:r w:rsidRPr="0017201D">
              <w:rPr>
                <w:rFonts w:ascii="Times New Roman" w:hAnsi="Times New Roman"/>
                <w:sz w:val="24"/>
                <w:szCs w:val="24"/>
              </w:rPr>
              <w:t>, ensuring that structural, financial, and social barriers to entering the profession are addressed.</w:t>
            </w:r>
          </w:p>
          <w:p w14:paraId="6CA5A544" w14:textId="48EFE146"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Rural areas and innovation will also benefit</w:t>
            </w:r>
            <w:r w:rsidR="00B8407D" w:rsidRPr="0017201D">
              <w:rPr>
                <w:rFonts w:ascii="Times New Roman" w:hAnsi="Times New Roman"/>
                <w:sz w:val="24"/>
                <w:szCs w:val="24"/>
              </w:rPr>
              <w:t xml:space="preserve"> as</w:t>
            </w:r>
            <w:r w:rsidR="003A0AA8" w:rsidRPr="0017201D">
              <w:rPr>
                <w:rFonts w:ascii="Times New Roman" w:hAnsi="Times New Roman"/>
                <w:sz w:val="24"/>
                <w:szCs w:val="24"/>
              </w:rPr>
              <w:t xml:space="preserve"> </w:t>
            </w:r>
            <w:r w:rsidR="00F673CB" w:rsidRPr="0017201D">
              <w:rPr>
                <w:rFonts w:ascii="Times New Roman" w:hAnsi="Times New Roman"/>
                <w:sz w:val="24"/>
                <w:szCs w:val="24"/>
              </w:rPr>
              <w:t>a</w:t>
            </w:r>
            <w:r w:rsidRPr="0017201D">
              <w:rPr>
                <w:rFonts w:ascii="Times New Roman" w:hAnsi="Times New Roman"/>
                <w:sz w:val="24"/>
                <w:szCs w:val="24"/>
              </w:rPr>
              <w:t>ll current rural development tools will be retained and strengthened, including the</w:t>
            </w:r>
            <w:r w:rsidR="00120527" w:rsidRPr="0017201D">
              <w:rPr>
                <w:rFonts w:ascii="Times New Roman" w:hAnsi="Times New Roman"/>
                <w:sz w:val="24"/>
                <w:szCs w:val="24"/>
              </w:rPr>
              <w:t xml:space="preserve"> </w:t>
            </w:r>
            <w:r w:rsidR="00293140">
              <w:rPr>
                <w:rFonts w:ascii="Times New Roman" w:hAnsi="Times New Roman"/>
                <w:sz w:val="24"/>
                <w:szCs w:val="24"/>
              </w:rPr>
              <w:t>LEADER</w:t>
            </w:r>
            <w:r w:rsidR="00293140" w:rsidRPr="0017201D">
              <w:rPr>
                <w:rFonts w:ascii="Times New Roman" w:hAnsi="Times New Roman"/>
                <w:sz w:val="24"/>
                <w:szCs w:val="24"/>
              </w:rPr>
              <w:t xml:space="preserve"> </w:t>
            </w:r>
            <w:r w:rsidRPr="0017201D">
              <w:rPr>
                <w:rFonts w:ascii="Times New Roman" w:hAnsi="Times New Roman"/>
                <w:sz w:val="24"/>
                <w:szCs w:val="24"/>
              </w:rPr>
              <w:t>programme. Innovation, research, and advisory services will be expanded, with a new focus on mental health and work-life balance for farmers. For the first time, farmers will be able to access relief services and benefit from the help of replacement workers when they are sick, on leave, or dealing with family responsibilities.</w:t>
            </w:r>
          </w:p>
          <w:p w14:paraId="29C2147F" w14:textId="35A21B50"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Finally, the proposal for the Regulation on Common Market Organisation</w:t>
            </w:r>
            <w:r w:rsidR="00FC0ED4" w:rsidRPr="0017201D">
              <w:rPr>
                <w:rStyle w:val="FootnoteReference"/>
                <w:rFonts w:ascii="Times New Roman" w:hAnsi="Times New Roman"/>
                <w:sz w:val="24"/>
                <w:szCs w:val="24"/>
              </w:rPr>
              <w:footnoteReference w:id="6"/>
            </w:r>
            <w:r w:rsidR="003A581C" w:rsidRPr="0017201D">
              <w:rPr>
                <w:rFonts w:ascii="Times New Roman" w:hAnsi="Times New Roman"/>
                <w:sz w:val="24"/>
                <w:szCs w:val="24"/>
              </w:rPr>
              <w:t xml:space="preserve"> </w:t>
            </w:r>
            <w:r w:rsidRPr="0017201D">
              <w:rPr>
                <w:rFonts w:ascii="Times New Roman" w:hAnsi="Times New Roman"/>
                <w:sz w:val="24"/>
                <w:szCs w:val="24"/>
              </w:rPr>
              <w:t>includes targeted market reforms. These aim to support the growth of the plant protein sector, protect traditional meat product designations, and introduce a legal basis for country-of-origin labelling in the future. EU-grown products will also be prioritised in school schemes distributing fruit, vegetables and dairy products to schoolchildren, reinforcing food security and local agriculture.</w:t>
            </w:r>
          </w:p>
          <w:p w14:paraId="38487CB9" w14:textId="2CA74D4F" w:rsidR="009B306B" w:rsidRPr="0017201D" w:rsidRDefault="009B306B" w:rsidP="00CF13B6">
            <w:pPr>
              <w:keepNext/>
              <w:keepLines/>
              <w:spacing w:before="120" w:after="120"/>
              <w:jc w:val="both"/>
              <w:rPr>
                <w:rFonts w:ascii="Times New Roman" w:hAnsi="Times New Roman"/>
                <w:sz w:val="24"/>
                <w:szCs w:val="24"/>
              </w:rPr>
            </w:pPr>
            <w:r w:rsidRPr="0017201D">
              <w:rPr>
                <w:rFonts w:ascii="Times New Roman" w:hAnsi="Times New Roman"/>
                <w:b/>
                <w:bCs/>
                <w:i/>
                <w:iCs/>
                <w:sz w:val="24"/>
                <w:szCs w:val="24"/>
              </w:rPr>
              <w:t>EU open strategic autonomy (section 6.2) - an EU energy union</w:t>
            </w:r>
            <w:r w:rsidR="008A7E8E">
              <w:rPr>
                <w:rFonts w:ascii="Times New Roman" w:hAnsi="Times New Roman"/>
                <w:b/>
                <w:bCs/>
                <w:i/>
                <w:iCs/>
                <w:sz w:val="24"/>
                <w:szCs w:val="24"/>
              </w:rPr>
              <w:t>:</w:t>
            </w:r>
          </w:p>
          <w:p w14:paraId="15990A1B" w14:textId="03CCEFDD" w:rsidR="0060124E" w:rsidRPr="0017201D" w:rsidRDefault="65B99985" w:rsidP="00CF13B6">
            <w:pPr>
              <w:keepNext/>
              <w:keepLines/>
              <w:spacing w:before="120" w:after="120"/>
              <w:jc w:val="both"/>
              <w:rPr>
                <w:rFonts w:ascii="Times New Roman" w:hAnsi="Times New Roman"/>
                <w:sz w:val="24"/>
                <w:szCs w:val="24"/>
              </w:rPr>
            </w:pPr>
            <w:r w:rsidRPr="0017201D">
              <w:rPr>
                <w:rFonts w:ascii="Times New Roman" w:hAnsi="Times New Roman"/>
                <w:sz w:val="24"/>
                <w:szCs w:val="24"/>
              </w:rPr>
              <w:lastRenderedPageBreak/>
              <w:t xml:space="preserve">The proposed budget will boost investments to support innovative companies and maintain Europe’s leading role in cleantech sectors and circularity, while </w:t>
            </w:r>
            <w:r w:rsidR="003A0AA8" w:rsidRPr="0017201D">
              <w:rPr>
                <w:rFonts w:ascii="Times New Roman" w:hAnsi="Times New Roman"/>
                <w:sz w:val="24"/>
                <w:szCs w:val="24"/>
              </w:rPr>
              <w:t>ensuring that</w:t>
            </w:r>
            <w:r w:rsidRPr="0017201D">
              <w:rPr>
                <w:rFonts w:ascii="Times New Roman" w:hAnsi="Times New Roman"/>
                <w:sz w:val="24"/>
                <w:szCs w:val="24"/>
              </w:rPr>
              <w:t xml:space="preserve"> the transition is socially just and fair. National and regional partnership plans will link reforms with clean investments, supporting the EU 2040 climate and energy targets and supporting local communities and businesses in the clean transition. These plans will help take better account of the needs of each territory, as regions are at the core of the transition. The European Competitiveness Fund will strengthen the EU’s economy through investments aiming to decarbonise the European economy. This will strengthen the development of clean technologies and the circular economy, drive forward sustainable </w:t>
            </w:r>
            <w:r w:rsidR="00592BA8" w:rsidRPr="0017201D">
              <w:rPr>
                <w:rFonts w:ascii="Times New Roman" w:hAnsi="Times New Roman"/>
                <w:sz w:val="24"/>
                <w:szCs w:val="24"/>
              </w:rPr>
              <w:t xml:space="preserve">and </w:t>
            </w:r>
            <w:r w:rsidR="00592BA8" w:rsidRPr="00322F2C">
              <w:rPr>
                <w:rFonts w:ascii="Times New Roman" w:hAnsi="Times New Roman"/>
                <w:sz w:val="24"/>
                <w:szCs w:val="24"/>
              </w:rPr>
              <w:t xml:space="preserve">smart </w:t>
            </w:r>
            <w:r w:rsidRPr="00322F2C">
              <w:rPr>
                <w:rFonts w:ascii="Times New Roman" w:hAnsi="Times New Roman"/>
                <w:sz w:val="24"/>
                <w:szCs w:val="24"/>
              </w:rPr>
              <w:t xml:space="preserve">transport </w:t>
            </w:r>
            <w:r w:rsidR="00592BA8" w:rsidRPr="00322F2C">
              <w:rPr>
                <w:rFonts w:ascii="Times New Roman" w:hAnsi="Times New Roman"/>
                <w:sz w:val="24"/>
                <w:szCs w:val="24"/>
              </w:rPr>
              <w:t xml:space="preserve">solutions </w:t>
            </w:r>
            <w:r w:rsidR="00293140" w:rsidRPr="00322F2C">
              <w:rPr>
                <w:rFonts w:ascii="Times New Roman" w:hAnsi="Times New Roman"/>
                <w:sz w:val="24"/>
                <w:szCs w:val="24"/>
              </w:rPr>
              <w:t xml:space="preserve">and </w:t>
            </w:r>
            <w:r w:rsidRPr="00322F2C">
              <w:rPr>
                <w:rFonts w:ascii="Times New Roman" w:hAnsi="Times New Roman"/>
                <w:sz w:val="24"/>
                <w:szCs w:val="24"/>
              </w:rPr>
              <w:t>the energy transition</w:t>
            </w:r>
            <w:r w:rsidR="00293140">
              <w:rPr>
                <w:rFonts w:ascii="Times New Roman" w:hAnsi="Times New Roman"/>
                <w:sz w:val="24"/>
                <w:szCs w:val="24"/>
              </w:rPr>
              <w:t>,</w:t>
            </w:r>
            <w:r w:rsidRPr="0017201D">
              <w:rPr>
                <w:rFonts w:ascii="Times New Roman" w:hAnsi="Times New Roman"/>
                <w:sz w:val="24"/>
                <w:szCs w:val="24"/>
              </w:rPr>
              <w:t xml:space="preserve"> while protecting the climate and the natural environment. The Innovation Fund will reinforce the European Competitiveness Fund, boosting support to industrial decarbonisation and innovation of clean technologies. Horizon Europe</w:t>
            </w:r>
            <w:r w:rsidR="22165CE7" w:rsidRPr="0017201D">
              <w:rPr>
                <w:rFonts w:ascii="Times New Roman" w:hAnsi="Times New Roman"/>
                <w:sz w:val="24"/>
                <w:szCs w:val="24"/>
              </w:rPr>
              <w:t xml:space="preserve"> 2028-2034</w:t>
            </w:r>
            <w:r w:rsidRPr="0017201D">
              <w:rPr>
                <w:rFonts w:ascii="Times New Roman" w:hAnsi="Times New Roman"/>
                <w:sz w:val="24"/>
                <w:szCs w:val="24"/>
              </w:rPr>
              <w:t xml:space="preserve"> </w:t>
            </w:r>
            <w:r w:rsidR="50EBD440" w:rsidRPr="0017201D">
              <w:rPr>
                <w:rFonts w:ascii="Times New Roman" w:hAnsi="Times New Roman"/>
                <w:sz w:val="24"/>
                <w:szCs w:val="24"/>
              </w:rPr>
              <w:t>is interlinked</w:t>
            </w:r>
            <w:r w:rsidRPr="0017201D">
              <w:rPr>
                <w:rFonts w:ascii="Times New Roman" w:hAnsi="Times New Roman"/>
                <w:sz w:val="24"/>
                <w:szCs w:val="24"/>
              </w:rPr>
              <w:t xml:space="preserve"> with the European Competitiveness Fund and </w:t>
            </w:r>
            <w:r w:rsidR="50EBD440" w:rsidRPr="0017201D">
              <w:rPr>
                <w:rFonts w:ascii="Times New Roman" w:hAnsi="Times New Roman"/>
                <w:sz w:val="24"/>
                <w:szCs w:val="24"/>
              </w:rPr>
              <w:t xml:space="preserve">the </w:t>
            </w:r>
            <w:r w:rsidRPr="0017201D">
              <w:rPr>
                <w:rFonts w:ascii="Times New Roman" w:hAnsi="Times New Roman"/>
                <w:sz w:val="24"/>
                <w:szCs w:val="24"/>
              </w:rPr>
              <w:t xml:space="preserve">Innovation Fund </w:t>
            </w:r>
            <w:r w:rsidR="50EBD440" w:rsidRPr="0017201D">
              <w:rPr>
                <w:rFonts w:ascii="Times New Roman" w:hAnsi="Times New Roman"/>
                <w:sz w:val="24"/>
                <w:szCs w:val="24"/>
              </w:rPr>
              <w:t xml:space="preserve">and </w:t>
            </w:r>
            <w:r w:rsidR="373BD76C" w:rsidRPr="0017201D">
              <w:rPr>
                <w:rFonts w:ascii="Times New Roman" w:hAnsi="Times New Roman"/>
                <w:sz w:val="24"/>
                <w:szCs w:val="24"/>
              </w:rPr>
              <w:t>will provide</w:t>
            </w:r>
            <w:r w:rsidRPr="0017201D">
              <w:rPr>
                <w:rFonts w:ascii="Times New Roman" w:hAnsi="Times New Roman"/>
                <w:sz w:val="24"/>
                <w:szCs w:val="24"/>
              </w:rPr>
              <w:t xml:space="preserve"> research applications and innovation supporting the decarbonisation efforts. The Connecting Europe Facility will boost investments in key cross-border infrastructure projects in the </w:t>
            </w:r>
            <w:r w:rsidR="00592BA8" w:rsidRPr="0017201D">
              <w:rPr>
                <w:rFonts w:ascii="Times New Roman" w:hAnsi="Times New Roman"/>
                <w:sz w:val="24"/>
                <w:szCs w:val="24"/>
              </w:rPr>
              <w:t xml:space="preserve">transport </w:t>
            </w:r>
            <w:r w:rsidRPr="0017201D">
              <w:rPr>
                <w:rFonts w:ascii="Times New Roman" w:hAnsi="Times New Roman"/>
                <w:sz w:val="24"/>
                <w:szCs w:val="24"/>
              </w:rPr>
              <w:t xml:space="preserve">and </w:t>
            </w:r>
            <w:r w:rsidR="00592BA8" w:rsidRPr="0017201D">
              <w:rPr>
                <w:rFonts w:ascii="Times New Roman" w:hAnsi="Times New Roman"/>
                <w:sz w:val="24"/>
                <w:szCs w:val="24"/>
              </w:rPr>
              <w:t xml:space="preserve">energy </w:t>
            </w:r>
            <w:r w:rsidRPr="0017201D">
              <w:rPr>
                <w:rFonts w:ascii="Times New Roman" w:hAnsi="Times New Roman"/>
                <w:sz w:val="24"/>
                <w:szCs w:val="24"/>
              </w:rPr>
              <w:t>sectors, that are crucial to complete the Energy Union and complete trans-European network for transport.</w:t>
            </w:r>
          </w:p>
          <w:p w14:paraId="63810FD6" w14:textId="1CDD11D1" w:rsidR="009B306B" w:rsidRPr="0017201D" w:rsidRDefault="009B306B" w:rsidP="0017201D">
            <w:pPr>
              <w:widowControl w:val="0"/>
              <w:spacing w:before="120" w:after="120"/>
              <w:jc w:val="both"/>
              <w:rPr>
                <w:rFonts w:ascii="Times New Roman" w:hAnsi="Times New Roman"/>
                <w:sz w:val="24"/>
                <w:szCs w:val="24"/>
              </w:rPr>
            </w:pPr>
            <w:r w:rsidRPr="0017201D">
              <w:rPr>
                <w:rFonts w:ascii="Times New Roman" w:hAnsi="Times New Roman"/>
                <w:b/>
                <w:bCs/>
                <w:i/>
                <w:iCs/>
                <w:sz w:val="24"/>
                <w:szCs w:val="24"/>
              </w:rPr>
              <w:t>EU open strategic autonomy (section 6.2) – defence of EU’s external borders</w:t>
            </w:r>
            <w:r w:rsidR="0064618D">
              <w:rPr>
                <w:rFonts w:ascii="Times New Roman" w:hAnsi="Times New Roman"/>
                <w:b/>
                <w:bCs/>
                <w:i/>
                <w:iCs/>
                <w:sz w:val="24"/>
                <w:szCs w:val="24"/>
              </w:rPr>
              <w:t>:</w:t>
            </w:r>
          </w:p>
          <w:p w14:paraId="6C38F4A6" w14:textId="3426501F" w:rsidR="008F560B"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The proposed </w:t>
            </w:r>
            <w:r w:rsidR="008F560B" w:rsidRPr="0017201D">
              <w:rPr>
                <w:rFonts w:ascii="Times New Roman" w:hAnsi="Times New Roman"/>
                <w:sz w:val="24"/>
                <w:szCs w:val="24"/>
              </w:rPr>
              <w:t>long-term</w:t>
            </w:r>
            <w:r w:rsidRPr="0017201D">
              <w:rPr>
                <w:rFonts w:ascii="Times New Roman" w:hAnsi="Times New Roman"/>
                <w:sz w:val="24"/>
                <w:szCs w:val="24"/>
              </w:rPr>
              <w:t xml:space="preserve"> budget will help build a European Defence Union that can defend itself, stay connected, and act fast whenever needed, thus contributing to the objectives laid out in the White Paper for European Defence Readiness 2030</w:t>
            </w:r>
            <w:r w:rsidR="0064618D">
              <w:rPr>
                <w:rStyle w:val="FootnoteReference"/>
                <w:rFonts w:ascii="Times New Roman" w:hAnsi="Times New Roman"/>
                <w:sz w:val="24"/>
                <w:szCs w:val="24"/>
              </w:rPr>
              <w:footnoteReference w:id="7"/>
            </w:r>
            <w:r w:rsidRPr="0017201D">
              <w:rPr>
                <w:rFonts w:ascii="Times New Roman" w:hAnsi="Times New Roman"/>
                <w:sz w:val="24"/>
                <w:szCs w:val="24"/>
              </w:rPr>
              <w:t>. Several Union programmes will contribute in a consistent and synergetic manner to these objectives:</w:t>
            </w:r>
          </w:p>
          <w:p w14:paraId="21FFBE0E" w14:textId="116349C6" w:rsidR="0060124E" w:rsidRPr="0017201D" w:rsidRDefault="03974BA2"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Through its proposal on t</w:t>
            </w:r>
            <w:r w:rsidR="0060124E" w:rsidRPr="0017201D">
              <w:rPr>
                <w:rFonts w:ascii="Times New Roman" w:hAnsi="Times New Roman"/>
                <w:sz w:val="24"/>
                <w:szCs w:val="24"/>
              </w:rPr>
              <w:t>he European Competitiveness Fund</w:t>
            </w:r>
            <w:r w:rsidR="0064618D">
              <w:rPr>
                <w:rFonts w:ascii="Times New Roman" w:hAnsi="Times New Roman"/>
                <w:sz w:val="24"/>
                <w:szCs w:val="24"/>
              </w:rPr>
              <w:t> </w:t>
            </w:r>
            <w:r w:rsidR="05972C59" w:rsidRPr="0017201D">
              <w:rPr>
                <w:rFonts w:ascii="Times New Roman" w:hAnsi="Times New Roman"/>
                <w:sz w:val="24"/>
                <w:szCs w:val="24"/>
              </w:rPr>
              <w:t>(ECF)</w:t>
            </w:r>
            <w:r w:rsidR="45F96703" w:rsidRPr="0017201D">
              <w:rPr>
                <w:rFonts w:ascii="Times New Roman" w:hAnsi="Times New Roman"/>
                <w:sz w:val="24"/>
                <w:szCs w:val="24"/>
              </w:rPr>
              <w:t>, the Commission is proposing to</w:t>
            </w:r>
            <w:r w:rsidR="0060124E" w:rsidRPr="0017201D">
              <w:rPr>
                <w:rFonts w:ascii="Times New Roman" w:hAnsi="Times New Roman"/>
                <w:sz w:val="24"/>
                <w:szCs w:val="24"/>
              </w:rPr>
              <w:t xml:space="preserve"> allocate </w:t>
            </w:r>
            <w:r w:rsidR="1C12CF29" w:rsidRPr="0017201D">
              <w:rPr>
                <w:rFonts w:ascii="Times New Roman" w:hAnsi="Times New Roman"/>
                <w:sz w:val="24"/>
                <w:szCs w:val="24"/>
              </w:rPr>
              <w:t xml:space="preserve">(indicatively) </w:t>
            </w:r>
            <w:r w:rsidR="0060124E" w:rsidRPr="0017201D">
              <w:rPr>
                <w:rFonts w:ascii="Times New Roman" w:hAnsi="Times New Roman"/>
                <w:sz w:val="24"/>
                <w:szCs w:val="24"/>
              </w:rPr>
              <w:t>EUR</w:t>
            </w:r>
            <w:r w:rsidR="0064618D">
              <w:rPr>
                <w:rFonts w:ascii="Times New Roman" w:hAnsi="Times New Roman"/>
                <w:sz w:val="24"/>
                <w:szCs w:val="24"/>
              </w:rPr>
              <w:t> </w:t>
            </w:r>
            <w:r w:rsidR="0060124E" w:rsidRPr="0017201D">
              <w:rPr>
                <w:rFonts w:ascii="Times New Roman" w:hAnsi="Times New Roman"/>
                <w:sz w:val="24"/>
                <w:szCs w:val="24"/>
              </w:rPr>
              <w:t xml:space="preserve">131 billion to EU activities in support of </w:t>
            </w:r>
            <w:r w:rsidR="00040BC1" w:rsidRPr="0017201D">
              <w:rPr>
                <w:rFonts w:ascii="Times New Roman" w:hAnsi="Times New Roman"/>
                <w:sz w:val="24"/>
                <w:szCs w:val="24"/>
              </w:rPr>
              <w:t>resilience and security, defence industry and space.</w:t>
            </w:r>
            <w:r w:rsidR="0060124E" w:rsidRPr="0017201D">
              <w:rPr>
                <w:rFonts w:ascii="Times New Roman" w:hAnsi="Times New Roman"/>
                <w:sz w:val="24"/>
                <w:szCs w:val="24"/>
              </w:rPr>
              <w:t xml:space="preserve"> The comprehensive architecture of the ECF will allow to cover the full </w:t>
            </w:r>
            <w:r w:rsidR="58B222E3" w:rsidRPr="0017201D">
              <w:rPr>
                <w:rFonts w:ascii="Times New Roman" w:hAnsi="Times New Roman"/>
                <w:sz w:val="24"/>
                <w:szCs w:val="24"/>
              </w:rPr>
              <w:t>i</w:t>
            </w:r>
            <w:r w:rsidR="0060124E" w:rsidRPr="0017201D">
              <w:rPr>
                <w:rFonts w:ascii="Times New Roman" w:hAnsi="Times New Roman"/>
                <w:sz w:val="24"/>
                <w:szCs w:val="24"/>
              </w:rPr>
              <w:t>nvestment journey for defence industry projects: from research to scale-up and deployment. In addition, dual-use technologies, materials, knowledge, or products that can be used for both civilian and military purposes may be supported across the ECF.</w:t>
            </w:r>
          </w:p>
          <w:p w14:paraId="695A7C40" w14:textId="2911FC02" w:rsidR="0060124E" w:rsidRPr="0017201D" w:rsidRDefault="65B99985"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Similarly, Horizon Europe</w:t>
            </w:r>
            <w:r w:rsidR="2CAE1DE7" w:rsidRPr="0017201D">
              <w:rPr>
                <w:rFonts w:ascii="Times New Roman" w:hAnsi="Times New Roman"/>
                <w:sz w:val="24"/>
                <w:szCs w:val="24"/>
              </w:rPr>
              <w:t xml:space="preserve"> 2</w:t>
            </w:r>
            <w:r w:rsidR="4D691E62" w:rsidRPr="0017201D">
              <w:rPr>
                <w:rFonts w:ascii="Times New Roman" w:hAnsi="Times New Roman"/>
                <w:sz w:val="24"/>
                <w:szCs w:val="24"/>
              </w:rPr>
              <w:t>0</w:t>
            </w:r>
            <w:r w:rsidR="2CAE1DE7" w:rsidRPr="0017201D">
              <w:rPr>
                <w:rFonts w:ascii="Times New Roman" w:hAnsi="Times New Roman"/>
                <w:sz w:val="24"/>
                <w:szCs w:val="24"/>
              </w:rPr>
              <w:t xml:space="preserve">28-2034 </w:t>
            </w:r>
            <w:r w:rsidRPr="0017201D">
              <w:rPr>
                <w:rFonts w:ascii="Times New Roman" w:hAnsi="Times New Roman"/>
                <w:sz w:val="24"/>
                <w:szCs w:val="24"/>
              </w:rPr>
              <w:t>could also support dual-use actions across the entire programme, which will allow to better exploit the potential civil-defence synergies. Moreover, the European Innovation Council</w:t>
            </w:r>
            <w:r w:rsidR="0064618D">
              <w:rPr>
                <w:rFonts w:ascii="Times New Roman" w:hAnsi="Times New Roman"/>
                <w:sz w:val="24"/>
                <w:szCs w:val="24"/>
              </w:rPr>
              <w:t> </w:t>
            </w:r>
            <w:r w:rsidRPr="0017201D">
              <w:rPr>
                <w:rFonts w:ascii="Times New Roman" w:hAnsi="Times New Roman"/>
                <w:sz w:val="24"/>
                <w:szCs w:val="24"/>
              </w:rPr>
              <w:t xml:space="preserve">(EIC) could support, in close synergy and coordination with </w:t>
            </w:r>
            <w:r w:rsidR="59EF0578" w:rsidRPr="0017201D">
              <w:rPr>
                <w:rFonts w:ascii="Times New Roman" w:hAnsi="Times New Roman"/>
                <w:sz w:val="24"/>
                <w:szCs w:val="24"/>
              </w:rPr>
              <w:t xml:space="preserve">the </w:t>
            </w:r>
            <w:r w:rsidRPr="0017201D">
              <w:rPr>
                <w:rFonts w:ascii="Times New Roman" w:hAnsi="Times New Roman"/>
                <w:sz w:val="24"/>
                <w:szCs w:val="24"/>
              </w:rPr>
              <w:t>ECF, breakthrough innovation in critical technologies with defence applications.</w:t>
            </w:r>
          </w:p>
          <w:p w14:paraId="5676E942" w14:textId="31FDB2B7"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The Connecting Europe Facility (CEF) will support investments </w:t>
            </w:r>
            <w:r w:rsidR="00592BA8" w:rsidRPr="0017201D">
              <w:rPr>
                <w:rFonts w:ascii="Times New Roman" w:hAnsi="Times New Roman"/>
                <w:sz w:val="24"/>
                <w:szCs w:val="24"/>
              </w:rPr>
              <w:t xml:space="preserve">in </w:t>
            </w:r>
            <w:r w:rsidRPr="0017201D">
              <w:rPr>
                <w:rFonts w:ascii="Times New Roman" w:hAnsi="Times New Roman"/>
                <w:sz w:val="24"/>
                <w:szCs w:val="24"/>
              </w:rPr>
              <w:t xml:space="preserve">dual-use infrastructure (which has both military and civilian use) on the </w:t>
            </w:r>
            <w:r w:rsidR="0064618D" w:rsidRPr="0064618D">
              <w:rPr>
                <w:rFonts w:ascii="Times New Roman" w:hAnsi="Times New Roman"/>
                <w:sz w:val="24"/>
                <w:szCs w:val="24"/>
              </w:rPr>
              <w:t>EU’s trans-European transport network</w:t>
            </w:r>
            <w:r w:rsidR="0064618D">
              <w:rPr>
                <w:rFonts w:ascii="Times New Roman" w:hAnsi="Times New Roman"/>
                <w:sz w:val="24"/>
                <w:szCs w:val="24"/>
              </w:rPr>
              <w:t> (</w:t>
            </w:r>
            <w:r w:rsidRPr="0017201D">
              <w:rPr>
                <w:rFonts w:ascii="Times New Roman" w:hAnsi="Times New Roman"/>
                <w:sz w:val="24"/>
                <w:szCs w:val="24"/>
              </w:rPr>
              <w:t>TEN-T</w:t>
            </w:r>
            <w:r w:rsidR="0064618D">
              <w:rPr>
                <w:rFonts w:ascii="Times New Roman" w:hAnsi="Times New Roman"/>
                <w:sz w:val="24"/>
                <w:szCs w:val="24"/>
              </w:rPr>
              <w:t>)</w:t>
            </w:r>
            <w:r w:rsidRPr="0017201D">
              <w:rPr>
                <w:rFonts w:ascii="Times New Roman" w:hAnsi="Times New Roman"/>
                <w:sz w:val="24"/>
                <w:szCs w:val="24"/>
              </w:rPr>
              <w:t>, focusing on the four EU Priority Military Mobility Corridors identified by Member States, with nearly EUR</w:t>
            </w:r>
            <w:r w:rsidR="0064618D">
              <w:rPr>
                <w:rFonts w:ascii="Times New Roman" w:hAnsi="Times New Roman"/>
                <w:sz w:val="24"/>
                <w:szCs w:val="24"/>
              </w:rPr>
              <w:t> </w:t>
            </w:r>
            <w:r w:rsidRPr="0017201D">
              <w:rPr>
                <w:rFonts w:ascii="Times New Roman" w:hAnsi="Times New Roman"/>
                <w:sz w:val="24"/>
                <w:szCs w:val="24"/>
              </w:rPr>
              <w:t>18 billion.</w:t>
            </w:r>
          </w:p>
          <w:p w14:paraId="5AE3CF4C" w14:textId="4E96A181"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The National and Regional Partnership Plans will also include reforms and investments supporting, among others, defence industry, internal security, cybersecurity, as well as border and migration management. Key measures under the specific objective o</w:t>
            </w:r>
            <w:r w:rsidR="0092105B">
              <w:rPr>
                <w:rFonts w:ascii="Times New Roman" w:hAnsi="Times New Roman"/>
                <w:sz w:val="24"/>
                <w:szCs w:val="24"/>
              </w:rPr>
              <w:t>f the</w:t>
            </w:r>
            <w:r w:rsidRPr="0017201D">
              <w:rPr>
                <w:rFonts w:ascii="Times New Roman" w:hAnsi="Times New Roman"/>
                <w:sz w:val="24"/>
                <w:szCs w:val="24"/>
              </w:rPr>
              <w:t xml:space="preserve"> Union’s defence capabilities and security include reinforcing the competitiveness of the European defence and technological industrial base, strengthening the Union’s security by improving threat detection, prevention and response threat detection capabilities, including cybersecurity, as well as strengthening the Union’s preparedness to crises and disasters. The European </w:t>
            </w:r>
            <w:r w:rsidRPr="0017201D">
              <w:rPr>
                <w:rFonts w:ascii="Times New Roman" w:hAnsi="Times New Roman"/>
                <w:sz w:val="24"/>
                <w:szCs w:val="24"/>
              </w:rPr>
              <w:lastRenderedPageBreak/>
              <w:t>Peace Facility</w:t>
            </w:r>
            <w:r w:rsidR="0064618D">
              <w:rPr>
                <w:rFonts w:ascii="Times New Roman" w:hAnsi="Times New Roman"/>
                <w:sz w:val="24"/>
                <w:szCs w:val="24"/>
              </w:rPr>
              <w:t> </w:t>
            </w:r>
            <w:r w:rsidRPr="0017201D">
              <w:rPr>
                <w:rFonts w:ascii="Times New Roman" w:hAnsi="Times New Roman"/>
                <w:sz w:val="24"/>
                <w:szCs w:val="24"/>
              </w:rPr>
              <w:t>(EPF) will remain an off-budget instrument to finance expenditure arising from operations having military and defence implications.</w:t>
            </w:r>
          </w:p>
          <w:p w14:paraId="7347D06A" w14:textId="0DE5505D" w:rsidR="009B306B" w:rsidRPr="0017201D" w:rsidRDefault="009B306B" w:rsidP="0017201D">
            <w:pPr>
              <w:widowControl w:val="0"/>
              <w:spacing w:before="120" w:after="120"/>
              <w:jc w:val="both"/>
              <w:rPr>
                <w:rFonts w:ascii="Times New Roman" w:hAnsi="Times New Roman"/>
                <w:b/>
                <w:bCs/>
                <w:i/>
                <w:iCs/>
                <w:sz w:val="24"/>
                <w:szCs w:val="24"/>
              </w:rPr>
            </w:pPr>
            <w:r w:rsidRPr="0017201D">
              <w:rPr>
                <w:rFonts w:ascii="Times New Roman" w:hAnsi="Times New Roman"/>
                <w:b/>
                <w:bCs/>
                <w:i/>
                <w:iCs/>
                <w:sz w:val="24"/>
                <w:szCs w:val="24"/>
              </w:rPr>
              <w:t>EU open strategic autonomy (section 6.2) - Strengthened EU research and development</w:t>
            </w:r>
            <w:r w:rsidR="0064618D">
              <w:rPr>
                <w:rFonts w:ascii="Times New Roman" w:hAnsi="Times New Roman"/>
                <w:b/>
                <w:bCs/>
                <w:i/>
                <w:iCs/>
                <w:sz w:val="24"/>
                <w:szCs w:val="24"/>
              </w:rPr>
              <w:t>:</w:t>
            </w:r>
          </w:p>
          <w:p w14:paraId="709484D4" w14:textId="03BEA0EB" w:rsidR="0060124E" w:rsidRPr="0017201D" w:rsidRDefault="4462AFD5"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The</w:t>
            </w:r>
            <w:r w:rsidR="65B99985" w:rsidRPr="0017201D">
              <w:rPr>
                <w:rFonts w:ascii="Times New Roman" w:hAnsi="Times New Roman"/>
                <w:sz w:val="24"/>
                <w:szCs w:val="24"/>
              </w:rPr>
              <w:t xml:space="preserve"> Horizon Europe </w:t>
            </w:r>
            <w:r w:rsidR="6A3E82CB" w:rsidRPr="0017201D">
              <w:rPr>
                <w:rFonts w:ascii="Times New Roman" w:hAnsi="Times New Roman"/>
                <w:sz w:val="24"/>
                <w:szCs w:val="24"/>
              </w:rPr>
              <w:t xml:space="preserve">2028-2034 </w:t>
            </w:r>
            <w:r w:rsidR="65B99985" w:rsidRPr="0017201D">
              <w:rPr>
                <w:rFonts w:ascii="Times New Roman" w:hAnsi="Times New Roman"/>
                <w:sz w:val="24"/>
                <w:szCs w:val="24"/>
              </w:rPr>
              <w:t>budget is proposed to reach EUR</w:t>
            </w:r>
            <w:r w:rsidR="0064618D">
              <w:rPr>
                <w:rFonts w:ascii="Times New Roman" w:hAnsi="Times New Roman"/>
                <w:sz w:val="24"/>
                <w:szCs w:val="24"/>
              </w:rPr>
              <w:t> </w:t>
            </w:r>
            <w:r w:rsidR="65B99985" w:rsidRPr="0017201D">
              <w:rPr>
                <w:rFonts w:ascii="Times New Roman" w:hAnsi="Times New Roman"/>
                <w:sz w:val="24"/>
                <w:szCs w:val="24"/>
              </w:rPr>
              <w:t>175 billion, doubling the funding for research</w:t>
            </w:r>
            <w:r w:rsidR="3145B519" w:rsidRPr="0017201D">
              <w:rPr>
                <w:rFonts w:ascii="Times New Roman" w:eastAsia="Times New Roman" w:hAnsi="Times New Roman"/>
                <w:sz w:val="24"/>
                <w:szCs w:val="24"/>
              </w:rPr>
              <w:t xml:space="preserve"> and innovation under the current MFF</w:t>
            </w:r>
            <w:r w:rsidR="65B99985" w:rsidRPr="0017201D">
              <w:rPr>
                <w:rFonts w:ascii="Times New Roman" w:hAnsi="Times New Roman"/>
                <w:sz w:val="24"/>
                <w:szCs w:val="24"/>
              </w:rPr>
              <w:t>.</w:t>
            </w:r>
          </w:p>
          <w:p w14:paraId="21034094" w14:textId="1322EA54" w:rsidR="0060124E" w:rsidRPr="0017201D" w:rsidRDefault="65B99985"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Horizon Europe (2028-2034) will build on the achievements of its predecessor</w:t>
            </w:r>
            <w:r w:rsidR="33179494" w:rsidRPr="0017201D">
              <w:rPr>
                <w:rFonts w:ascii="Times New Roman" w:hAnsi="Times New Roman"/>
                <w:sz w:val="24"/>
                <w:szCs w:val="24"/>
              </w:rPr>
              <w:t xml:space="preserve"> </w:t>
            </w:r>
            <w:r w:rsidR="33179494" w:rsidRPr="0017201D">
              <w:rPr>
                <w:rFonts w:ascii="Times New Roman" w:eastAsia="Times New Roman" w:hAnsi="Times New Roman"/>
                <w:sz w:val="24"/>
                <w:szCs w:val="24"/>
              </w:rPr>
              <w:t>Framework programmes for Research and Innovation</w:t>
            </w:r>
            <w:r w:rsidRPr="0017201D">
              <w:rPr>
                <w:rFonts w:ascii="Times New Roman" w:hAnsi="Times New Roman"/>
                <w:sz w:val="24"/>
                <w:szCs w:val="24"/>
              </w:rPr>
              <w:t xml:space="preserve">. It will be tightly connected to the European Competitiveness Fund to ensure integration of collaborative and applied research with later and more mature stages </w:t>
            </w:r>
            <w:r w:rsidR="61775BB7" w:rsidRPr="0017201D">
              <w:rPr>
                <w:rFonts w:ascii="Times New Roman" w:eastAsia="Times New Roman" w:hAnsi="Times New Roman"/>
                <w:sz w:val="24"/>
                <w:szCs w:val="24"/>
              </w:rPr>
              <w:t xml:space="preserve">relating to market uptake </w:t>
            </w:r>
            <w:r w:rsidRPr="0017201D">
              <w:rPr>
                <w:rFonts w:ascii="Times New Roman" w:hAnsi="Times New Roman"/>
                <w:sz w:val="24"/>
                <w:szCs w:val="24"/>
              </w:rPr>
              <w:t xml:space="preserve">of the investment journey, so that </w:t>
            </w:r>
            <w:r w:rsidR="01CD11CC" w:rsidRPr="0017201D">
              <w:rPr>
                <w:rFonts w:ascii="Times New Roman" w:hAnsi="Times New Roman"/>
                <w:sz w:val="24"/>
                <w:szCs w:val="24"/>
              </w:rPr>
              <w:t xml:space="preserve">innovative </w:t>
            </w:r>
            <w:r w:rsidRPr="0017201D">
              <w:rPr>
                <w:rFonts w:ascii="Times New Roman" w:hAnsi="Times New Roman"/>
                <w:sz w:val="24"/>
                <w:szCs w:val="24"/>
              </w:rPr>
              <w:t>ideas can be brought successfully to markets much more often and faster.</w:t>
            </w:r>
          </w:p>
          <w:p w14:paraId="14D13CBE" w14:textId="4EE4DE7A" w:rsidR="0060124E" w:rsidRPr="0017201D" w:rsidRDefault="65B99985"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The </w:t>
            </w:r>
            <w:r w:rsidR="622E82E6" w:rsidRPr="0017201D">
              <w:rPr>
                <w:rFonts w:ascii="Times New Roman" w:hAnsi="Times New Roman"/>
                <w:sz w:val="24"/>
                <w:szCs w:val="24"/>
              </w:rPr>
              <w:t xml:space="preserve">next </w:t>
            </w:r>
            <w:r w:rsidRPr="0017201D">
              <w:rPr>
                <w:rFonts w:ascii="Times New Roman" w:hAnsi="Times New Roman"/>
                <w:sz w:val="24"/>
                <w:szCs w:val="24"/>
              </w:rPr>
              <w:t>Horizon Europe</w:t>
            </w:r>
            <w:r w:rsidR="27C90876" w:rsidRPr="0017201D">
              <w:rPr>
                <w:rFonts w:ascii="Times New Roman" w:hAnsi="Times New Roman"/>
                <w:sz w:val="24"/>
                <w:szCs w:val="24"/>
              </w:rPr>
              <w:t xml:space="preserve"> 2028-2034 </w:t>
            </w:r>
            <w:r w:rsidRPr="0017201D">
              <w:rPr>
                <w:rFonts w:ascii="Times New Roman" w:hAnsi="Times New Roman"/>
                <w:sz w:val="24"/>
                <w:szCs w:val="24"/>
              </w:rPr>
              <w:t>will be based on four pillars: Excellent Science (EUR</w:t>
            </w:r>
            <w:r w:rsidR="0064618D">
              <w:rPr>
                <w:rFonts w:ascii="Times New Roman" w:hAnsi="Times New Roman"/>
                <w:sz w:val="24"/>
                <w:szCs w:val="24"/>
              </w:rPr>
              <w:t> </w:t>
            </w:r>
            <w:r w:rsidRPr="0017201D">
              <w:rPr>
                <w:rFonts w:ascii="Times New Roman" w:hAnsi="Times New Roman"/>
                <w:sz w:val="24"/>
                <w:szCs w:val="24"/>
              </w:rPr>
              <w:t>44 b</w:t>
            </w:r>
            <w:r w:rsidR="0064618D">
              <w:rPr>
                <w:rFonts w:ascii="Times New Roman" w:hAnsi="Times New Roman"/>
                <w:sz w:val="24"/>
                <w:szCs w:val="24"/>
              </w:rPr>
              <w:t>illio</w:t>
            </w:r>
            <w:r w:rsidRPr="0017201D">
              <w:rPr>
                <w:rFonts w:ascii="Times New Roman" w:hAnsi="Times New Roman"/>
                <w:sz w:val="24"/>
                <w:szCs w:val="24"/>
              </w:rPr>
              <w:t xml:space="preserve">n: European Research Council, Marie </w:t>
            </w:r>
            <w:proofErr w:type="spellStart"/>
            <w:r w:rsidRPr="0017201D">
              <w:rPr>
                <w:rFonts w:ascii="Times New Roman" w:hAnsi="Times New Roman"/>
                <w:sz w:val="24"/>
                <w:szCs w:val="24"/>
              </w:rPr>
              <w:t>Skłodowska</w:t>
            </w:r>
            <w:proofErr w:type="spellEnd"/>
            <w:r w:rsidRPr="0017201D">
              <w:rPr>
                <w:rFonts w:ascii="Times New Roman" w:hAnsi="Times New Roman"/>
                <w:sz w:val="24"/>
                <w:szCs w:val="24"/>
              </w:rPr>
              <w:t xml:space="preserve">-Curie Actions, Science for </w:t>
            </w:r>
            <w:r w:rsidR="1AF78DAD" w:rsidRPr="0017201D">
              <w:rPr>
                <w:rFonts w:ascii="Times New Roman" w:hAnsi="Times New Roman"/>
                <w:sz w:val="24"/>
                <w:szCs w:val="24"/>
              </w:rPr>
              <w:t>Union</w:t>
            </w:r>
            <w:r w:rsidRPr="0017201D">
              <w:rPr>
                <w:rFonts w:ascii="Times New Roman" w:hAnsi="Times New Roman"/>
                <w:sz w:val="24"/>
                <w:szCs w:val="24"/>
              </w:rPr>
              <w:t xml:space="preserve"> policies), Competitiveness and Society (EUR</w:t>
            </w:r>
            <w:r w:rsidR="0064618D">
              <w:rPr>
                <w:rFonts w:ascii="Times New Roman" w:hAnsi="Times New Roman"/>
                <w:sz w:val="24"/>
                <w:szCs w:val="24"/>
              </w:rPr>
              <w:t> </w:t>
            </w:r>
            <w:r w:rsidRPr="0017201D">
              <w:rPr>
                <w:rFonts w:ascii="Times New Roman" w:hAnsi="Times New Roman"/>
                <w:sz w:val="24"/>
                <w:szCs w:val="24"/>
              </w:rPr>
              <w:t>76 b</w:t>
            </w:r>
            <w:r w:rsidR="0064618D">
              <w:rPr>
                <w:rFonts w:ascii="Times New Roman" w:hAnsi="Times New Roman"/>
                <w:sz w:val="24"/>
                <w:szCs w:val="24"/>
              </w:rPr>
              <w:t>illio</w:t>
            </w:r>
            <w:r w:rsidRPr="0017201D">
              <w:rPr>
                <w:rFonts w:ascii="Times New Roman" w:hAnsi="Times New Roman"/>
                <w:sz w:val="24"/>
                <w:szCs w:val="24"/>
              </w:rPr>
              <w:t>n: Competitiveness, Society), Innovation (EU</w:t>
            </w:r>
            <w:r w:rsidR="0064618D">
              <w:rPr>
                <w:rFonts w:ascii="Times New Roman" w:hAnsi="Times New Roman"/>
                <w:sz w:val="24"/>
                <w:szCs w:val="24"/>
              </w:rPr>
              <w:t> </w:t>
            </w:r>
            <w:r w:rsidRPr="0017201D">
              <w:rPr>
                <w:rFonts w:ascii="Times New Roman" w:hAnsi="Times New Roman"/>
                <w:sz w:val="24"/>
                <w:szCs w:val="24"/>
              </w:rPr>
              <w:t>39 b</w:t>
            </w:r>
            <w:r w:rsidR="0064618D">
              <w:rPr>
                <w:rFonts w:ascii="Times New Roman" w:hAnsi="Times New Roman"/>
                <w:sz w:val="24"/>
                <w:szCs w:val="24"/>
              </w:rPr>
              <w:t>illio</w:t>
            </w:r>
            <w:r w:rsidRPr="0017201D">
              <w:rPr>
                <w:rFonts w:ascii="Times New Roman" w:hAnsi="Times New Roman"/>
                <w:sz w:val="24"/>
                <w:szCs w:val="24"/>
              </w:rPr>
              <w:t>n: European Innovation Council, innovation ecosystems), European Research Area (EUR</w:t>
            </w:r>
            <w:r w:rsidR="0064618D">
              <w:rPr>
                <w:rFonts w:ascii="Times New Roman" w:hAnsi="Times New Roman"/>
                <w:sz w:val="24"/>
                <w:szCs w:val="24"/>
              </w:rPr>
              <w:t> </w:t>
            </w:r>
            <w:r w:rsidRPr="0017201D">
              <w:rPr>
                <w:rFonts w:ascii="Times New Roman" w:hAnsi="Times New Roman"/>
                <w:sz w:val="24"/>
                <w:szCs w:val="24"/>
              </w:rPr>
              <w:t>16</w:t>
            </w:r>
            <w:r w:rsidR="0064618D">
              <w:rPr>
                <w:rFonts w:ascii="Times New Roman" w:hAnsi="Times New Roman"/>
                <w:sz w:val="24"/>
                <w:szCs w:val="24"/>
              </w:rPr>
              <w:t xml:space="preserve"> </w:t>
            </w:r>
            <w:r w:rsidRPr="0017201D">
              <w:rPr>
                <w:rFonts w:ascii="Times New Roman" w:hAnsi="Times New Roman"/>
                <w:sz w:val="24"/>
                <w:szCs w:val="24"/>
              </w:rPr>
              <w:t>b</w:t>
            </w:r>
            <w:r w:rsidR="0064618D">
              <w:rPr>
                <w:rFonts w:ascii="Times New Roman" w:hAnsi="Times New Roman"/>
                <w:sz w:val="24"/>
                <w:szCs w:val="24"/>
              </w:rPr>
              <w:t>illio</w:t>
            </w:r>
            <w:r w:rsidRPr="0017201D">
              <w:rPr>
                <w:rFonts w:ascii="Times New Roman" w:hAnsi="Times New Roman"/>
                <w:sz w:val="24"/>
                <w:szCs w:val="24"/>
              </w:rPr>
              <w:t xml:space="preserve">n, </w:t>
            </w:r>
            <w:r w:rsidR="243987D2" w:rsidRPr="0017201D">
              <w:rPr>
                <w:rFonts w:ascii="Times New Roman" w:eastAsia="Times New Roman" w:hAnsi="Times New Roman"/>
                <w:sz w:val="24"/>
                <w:szCs w:val="24"/>
              </w:rPr>
              <w:t xml:space="preserve">reforming and enhancing the European </w:t>
            </w:r>
            <w:r w:rsidR="00DB3DC2">
              <w:rPr>
                <w:rFonts w:ascii="Times New Roman" w:eastAsia="Times New Roman" w:hAnsi="Times New Roman"/>
                <w:sz w:val="24"/>
                <w:szCs w:val="24"/>
              </w:rPr>
              <w:t>r</w:t>
            </w:r>
            <w:r w:rsidR="00DB3DC2" w:rsidRPr="00DB3DC2">
              <w:rPr>
                <w:rFonts w:ascii="Times New Roman" w:eastAsia="Times New Roman" w:hAnsi="Times New Roman"/>
                <w:sz w:val="24"/>
                <w:szCs w:val="24"/>
              </w:rPr>
              <w:t xml:space="preserve">esearch and </w:t>
            </w:r>
            <w:r w:rsidR="00DB3DC2">
              <w:rPr>
                <w:rFonts w:ascii="Times New Roman" w:eastAsia="Times New Roman" w:hAnsi="Times New Roman"/>
                <w:sz w:val="24"/>
                <w:szCs w:val="24"/>
              </w:rPr>
              <w:t>i</w:t>
            </w:r>
            <w:r w:rsidR="00DB3DC2" w:rsidRPr="00DB3DC2">
              <w:rPr>
                <w:rFonts w:ascii="Times New Roman" w:eastAsia="Times New Roman" w:hAnsi="Times New Roman"/>
                <w:sz w:val="24"/>
                <w:szCs w:val="24"/>
              </w:rPr>
              <w:t>nnovation</w:t>
            </w:r>
            <w:r w:rsidR="00DB3DC2">
              <w:rPr>
                <w:rFonts w:ascii="Times New Roman" w:eastAsia="Times New Roman" w:hAnsi="Times New Roman"/>
                <w:sz w:val="24"/>
                <w:szCs w:val="24"/>
              </w:rPr>
              <w:t> </w:t>
            </w:r>
            <w:r w:rsidR="00716D37">
              <w:rPr>
                <w:rFonts w:ascii="Times New Roman" w:eastAsia="Times New Roman" w:hAnsi="Times New Roman"/>
                <w:sz w:val="24"/>
                <w:szCs w:val="24"/>
              </w:rPr>
              <w:t>[</w:t>
            </w:r>
            <w:r w:rsidR="243987D2" w:rsidRPr="0017201D">
              <w:rPr>
                <w:rFonts w:ascii="Times New Roman" w:eastAsia="Times New Roman" w:hAnsi="Times New Roman"/>
                <w:sz w:val="24"/>
                <w:szCs w:val="24"/>
              </w:rPr>
              <w:t>R&amp;I</w:t>
            </w:r>
            <w:r w:rsidR="00716D37">
              <w:rPr>
                <w:rFonts w:ascii="Times New Roman" w:eastAsia="Times New Roman" w:hAnsi="Times New Roman"/>
                <w:sz w:val="24"/>
                <w:szCs w:val="24"/>
              </w:rPr>
              <w:t>]</w:t>
            </w:r>
            <w:r w:rsidR="243987D2" w:rsidRPr="0017201D">
              <w:rPr>
                <w:rFonts w:ascii="Times New Roman" w:eastAsia="Times New Roman" w:hAnsi="Times New Roman"/>
                <w:sz w:val="24"/>
                <w:szCs w:val="24"/>
              </w:rPr>
              <w:t xml:space="preserve"> system</w:t>
            </w:r>
            <w:r w:rsidRPr="0017201D">
              <w:rPr>
                <w:rFonts w:ascii="Times New Roman" w:hAnsi="Times New Roman"/>
                <w:sz w:val="24"/>
                <w:szCs w:val="24"/>
              </w:rPr>
              <w:t xml:space="preserve"> policies, </w:t>
            </w:r>
            <w:r w:rsidR="771D9C11" w:rsidRPr="0017201D">
              <w:rPr>
                <w:rFonts w:ascii="Times New Roman" w:eastAsia="Times New Roman" w:hAnsi="Times New Roman"/>
                <w:sz w:val="24"/>
                <w:szCs w:val="24"/>
              </w:rPr>
              <w:t xml:space="preserve">research and technology </w:t>
            </w:r>
            <w:r w:rsidRPr="0017201D">
              <w:rPr>
                <w:rFonts w:ascii="Times New Roman" w:hAnsi="Times New Roman"/>
                <w:sz w:val="24"/>
                <w:szCs w:val="24"/>
              </w:rPr>
              <w:t>infrastructures, widening</w:t>
            </w:r>
            <w:r w:rsidR="46880637" w:rsidRPr="0017201D">
              <w:rPr>
                <w:rFonts w:ascii="Times New Roman" w:eastAsia="Times New Roman" w:hAnsi="Times New Roman"/>
                <w:sz w:val="24"/>
                <w:szCs w:val="24"/>
              </w:rPr>
              <w:t xml:space="preserve"> participation and spreading excellence</w:t>
            </w:r>
            <w:r w:rsidRPr="0017201D">
              <w:rPr>
                <w:rFonts w:ascii="Times New Roman" w:hAnsi="Times New Roman"/>
                <w:sz w:val="24"/>
                <w:szCs w:val="24"/>
              </w:rPr>
              <w:t>)</w:t>
            </w:r>
            <w:r w:rsidR="00DB3DC2">
              <w:rPr>
                <w:rFonts w:ascii="Times New Roman" w:hAnsi="Times New Roman"/>
                <w:sz w:val="24"/>
                <w:szCs w:val="24"/>
              </w:rPr>
              <w:t>.</w:t>
            </w:r>
          </w:p>
          <w:p w14:paraId="00347A0B" w14:textId="5038846D" w:rsidR="009B306B" w:rsidRPr="0017201D" w:rsidRDefault="009B306B" w:rsidP="0017201D">
            <w:pPr>
              <w:widowControl w:val="0"/>
              <w:spacing w:before="120" w:after="120"/>
              <w:jc w:val="both"/>
              <w:rPr>
                <w:rFonts w:ascii="Times New Roman" w:hAnsi="Times New Roman"/>
                <w:sz w:val="24"/>
                <w:szCs w:val="24"/>
              </w:rPr>
            </w:pPr>
            <w:r w:rsidRPr="0017201D">
              <w:rPr>
                <w:rFonts w:ascii="Times New Roman" w:hAnsi="Times New Roman"/>
                <w:b/>
                <w:bCs/>
                <w:i/>
                <w:iCs/>
                <w:sz w:val="24"/>
                <w:szCs w:val="24"/>
              </w:rPr>
              <w:t>EU open strategic autonomy (section 6.2) - Rule of Law</w:t>
            </w:r>
            <w:r w:rsidR="00DB3DC2">
              <w:rPr>
                <w:rFonts w:ascii="Times New Roman" w:hAnsi="Times New Roman"/>
                <w:b/>
                <w:bCs/>
                <w:i/>
                <w:iCs/>
                <w:sz w:val="24"/>
                <w:szCs w:val="24"/>
              </w:rPr>
              <w:t>:</w:t>
            </w:r>
          </w:p>
          <w:p w14:paraId="2DC63A6E" w14:textId="02B70969" w:rsidR="0060124E" w:rsidRPr="0017201D" w:rsidRDefault="65B99985"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The </w:t>
            </w:r>
            <w:r w:rsidR="597B3B2F" w:rsidRPr="0017201D">
              <w:rPr>
                <w:rFonts w:ascii="Times New Roman" w:hAnsi="Times New Roman"/>
                <w:sz w:val="24"/>
                <w:szCs w:val="24"/>
              </w:rPr>
              <w:t>Rule of Law</w:t>
            </w:r>
            <w:r w:rsidR="6CA080FD" w:rsidRPr="0017201D">
              <w:rPr>
                <w:rFonts w:ascii="Times New Roman" w:hAnsi="Times New Roman"/>
                <w:sz w:val="24"/>
                <w:szCs w:val="24"/>
              </w:rPr>
              <w:t xml:space="preserve"> </w:t>
            </w:r>
            <w:r w:rsidRPr="0017201D">
              <w:rPr>
                <w:rFonts w:ascii="Times New Roman" w:hAnsi="Times New Roman"/>
                <w:sz w:val="24"/>
                <w:szCs w:val="24"/>
              </w:rPr>
              <w:t>Conditionality Regulation</w:t>
            </w:r>
            <w:r w:rsidR="0060124E" w:rsidRPr="0017201D">
              <w:rPr>
                <w:rStyle w:val="FootnoteReference"/>
                <w:rFonts w:ascii="Times New Roman" w:hAnsi="Times New Roman"/>
                <w:sz w:val="24"/>
                <w:szCs w:val="24"/>
              </w:rPr>
              <w:footnoteReference w:id="8"/>
            </w:r>
            <w:r w:rsidRPr="0017201D">
              <w:rPr>
                <w:rFonts w:ascii="Times New Roman" w:hAnsi="Times New Roman"/>
                <w:sz w:val="24"/>
                <w:szCs w:val="24"/>
              </w:rPr>
              <w:t xml:space="preserve"> will continue to apply to the whole Union budget (including revenues), and all management modes.</w:t>
            </w:r>
          </w:p>
          <w:p w14:paraId="28BC4C3A" w14:textId="42F0AD0D"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In addition, the Multiannual Financial Framework 2028–2034 will include a reinforced framework to ensure that Member States comply with the principles of the Rule of Law and the Fundamental Rights enshrined in the Charter of Fundamental Rights of the European Union throughout the implementation of their National and Regional Partnership Plans. The Union budget will provide positive incentives, by supporting measures related to enhancing the Rule of Law and Fundamental Rights, and effective safeguards protecting the Union budget from deficiencies relating to the Rule of Law and the Charter.</w:t>
            </w:r>
          </w:p>
          <w:p w14:paraId="1A9F079F" w14:textId="76A23256" w:rsidR="008F560B" w:rsidRPr="0017201D" w:rsidRDefault="008F560B" w:rsidP="0017201D">
            <w:pPr>
              <w:widowControl w:val="0"/>
              <w:spacing w:before="120" w:after="120"/>
              <w:jc w:val="both"/>
              <w:rPr>
                <w:rFonts w:ascii="Times New Roman" w:hAnsi="Times New Roman"/>
                <w:i/>
                <w:iCs/>
                <w:sz w:val="24"/>
                <w:szCs w:val="24"/>
              </w:rPr>
            </w:pPr>
            <w:r w:rsidRPr="0017201D">
              <w:rPr>
                <w:rFonts w:ascii="Times New Roman" w:hAnsi="Times New Roman"/>
                <w:b/>
                <w:bCs/>
                <w:i/>
                <w:iCs/>
                <w:sz w:val="24"/>
                <w:szCs w:val="24"/>
              </w:rPr>
              <w:t>Dedicated investment plans (section 6.3)</w:t>
            </w:r>
            <w:r w:rsidR="00DB3DC2">
              <w:rPr>
                <w:rFonts w:ascii="Times New Roman" w:hAnsi="Times New Roman"/>
                <w:b/>
                <w:bCs/>
                <w:i/>
                <w:iCs/>
                <w:sz w:val="24"/>
                <w:szCs w:val="24"/>
              </w:rPr>
              <w:t>:</w:t>
            </w:r>
          </w:p>
          <w:p w14:paraId="581F2E11" w14:textId="1FAAA2B5" w:rsidR="0060124E" w:rsidRPr="0017201D" w:rsidRDefault="003A0AA8"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The European</w:t>
            </w:r>
            <w:r w:rsidR="65B99985" w:rsidRPr="0017201D">
              <w:rPr>
                <w:rFonts w:ascii="Times New Roman" w:hAnsi="Times New Roman"/>
                <w:sz w:val="24"/>
                <w:szCs w:val="24"/>
              </w:rPr>
              <w:t xml:space="preserve"> Competitiveness Fund</w:t>
            </w:r>
            <w:r w:rsidR="6DD0FA4A" w:rsidRPr="0017201D">
              <w:rPr>
                <w:rFonts w:ascii="Times New Roman" w:hAnsi="Times New Roman"/>
                <w:sz w:val="24"/>
                <w:szCs w:val="24"/>
              </w:rPr>
              <w:t xml:space="preserve"> (ECF)</w:t>
            </w:r>
            <w:r w:rsidR="65B99985" w:rsidRPr="0017201D">
              <w:rPr>
                <w:rFonts w:ascii="Times New Roman" w:hAnsi="Times New Roman"/>
                <w:sz w:val="24"/>
                <w:szCs w:val="24"/>
              </w:rPr>
              <w:t xml:space="preserve"> will address important challenges </w:t>
            </w:r>
            <w:r w:rsidR="00716D37">
              <w:rPr>
                <w:rFonts w:ascii="Times New Roman" w:hAnsi="Times New Roman"/>
                <w:sz w:val="24"/>
                <w:szCs w:val="24"/>
              </w:rPr>
              <w:t>for</w:t>
            </w:r>
            <w:r w:rsidR="65B99985" w:rsidRPr="0017201D">
              <w:rPr>
                <w:rFonts w:ascii="Times New Roman" w:hAnsi="Times New Roman"/>
                <w:sz w:val="24"/>
                <w:szCs w:val="24"/>
              </w:rPr>
              <w:t xml:space="preserve"> European competitiveness: </w:t>
            </w:r>
            <w:r w:rsidR="00DB3DC2">
              <w:rPr>
                <w:rFonts w:ascii="Times New Roman" w:hAnsi="Times New Roman"/>
                <w:sz w:val="24"/>
                <w:szCs w:val="24"/>
              </w:rPr>
              <w:t>i</w:t>
            </w:r>
            <w:r w:rsidR="65B99985" w:rsidRPr="0017201D">
              <w:rPr>
                <w:rFonts w:ascii="Times New Roman" w:hAnsi="Times New Roman"/>
                <w:sz w:val="24"/>
                <w:szCs w:val="24"/>
              </w:rPr>
              <w:t>t will improve EU support along the investment journey, from fundamental research through scale-up, manufacturing and deployment</w:t>
            </w:r>
            <w:r w:rsidR="00716D37">
              <w:rPr>
                <w:rFonts w:ascii="Times New Roman" w:hAnsi="Times New Roman"/>
                <w:sz w:val="24"/>
                <w:szCs w:val="24"/>
              </w:rPr>
              <w:t>.</w:t>
            </w:r>
            <w:r w:rsidR="65B99985" w:rsidRPr="0017201D">
              <w:rPr>
                <w:rFonts w:ascii="Times New Roman" w:hAnsi="Times New Roman"/>
                <w:sz w:val="24"/>
                <w:szCs w:val="24"/>
              </w:rPr>
              <w:t xml:space="preserve"> Importantly, it aims to tackle the persistent innovation gap and reduce excessive strategic dependencies.</w:t>
            </w:r>
          </w:p>
          <w:p w14:paraId="3F371FFD" w14:textId="6A67D0F9" w:rsidR="0060124E" w:rsidRPr="0017201D" w:rsidRDefault="55214FCA"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The </w:t>
            </w:r>
            <w:r w:rsidR="354CB1CF" w:rsidRPr="0017201D">
              <w:rPr>
                <w:rFonts w:ascii="Times New Roman" w:hAnsi="Times New Roman"/>
                <w:sz w:val="24"/>
                <w:szCs w:val="24"/>
              </w:rPr>
              <w:t xml:space="preserve">proposed </w:t>
            </w:r>
            <w:r w:rsidR="00B56F87">
              <w:rPr>
                <w:rFonts w:ascii="Times New Roman" w:hAnsi="Times New Roman"/>
                <w:sz w:val="24"/>
                <w:szCs w:val="24"/>
              </w:rPr>
              <w:t>ECF Policy Window structure</w:t>
            </w:r>
            <w:r w:rsidR="00BE2479">
              <w:rPr>
                <w:rFonts w:ascii="Times New Roman" w:hAnsi="Times New Roman"/>
                <w:sz w:val="24"/>
                <w:szCs w:val="24"/>
              </w:rPr>
              <w:t xml:space="preserve"> </w:t>
            </w:r>
            <w:r w:rsidR="65B99985" w:rsidRPr="0017201D">
              <w:rPr>
                <w:rFonts w:ascii="Times New Roman" w:hAnsi="Times New Roman"/>
                <w:sz w:val="24"/>
                <w:szCs w:val="24"/>
              </w:rPr>
              <w:t>reflects the strategic sectors identified in the Draghi report: Clean Transition and Industrial Decarbonisation; Health, Biotech, Agriculture and Bioeconomy; Digital Leadership; Resilience and Security, Defence Industry, and Space.</w:t>
            </w:r>
          </w:p>
          <w:p w14:paraId="40D2F045" w14:textId="760510C2"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The Fund </w:t>
            </w:r>
            <w:r w:rsidR="474A862B" w:rsidRPr="0017201D">
              <w:rPr>
                <w:rFonts w:ascii="Times New Roman" w:hAnsi="Times New Roman"/>
                <w:sz w:val="24"/>
                <w:szCs w:val="24"/>
              </w:rPr>
              <w:t>is</w:t>
            </w:r>
            <w:r w:rsidRPr="0017201D">
              <w:rPr>
                <w:rFonts w:ascii="Times New Roman" w:hAnsi="Times New Roman"/>
                <w:sz w:val="24"/>
                <w:szCs w:val="24"/>
              </w:rPr>
              <w:t xml:space="preserve"> also </w:t>
            </w:r>
            <w:r w:rsidR="776D904E" w:rsidRPr="0017201D">
              <w:rPr>
                <w:rFonts w:ascii="Times New Roman" w:hAnsi="Times New Roman"/>
                <w:sz w:val="24"/>
                <w:szCs w:val="24"/>
              </w:rPr>
              <w:t xml:space="preserve">proposed to </w:t>
            </w:r>
            <w:r w:rsidRPr="0017201D">
              <w:rPr>
                <w:rFonts w:ascii="Times New Roman" w:hAnsi="Times New Roman"/>
                <w:sz w:val="24"/>
                <w:szCs w:val="24"/>
              </w:rPr>
              <w:t>address shortages of skills critical to all kinds of quality jobs in strategic sectors for EU competitiveness, through both horizontal and specific skills investment, contributing to the availability of skills in future emerging technologies.</w:t>
            </w:r>
          </w:p>
          <w:p w14:paraId="77586C37" w14:textId="3B60CE86"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lastRenderedPageBreak/>
              <w:t xml:space="preserve">The Fund </w:t>
            </w:r>
            <w:r w:rsidR="718BC6C5" w:rsidRPr="0017201D">
              <w:rPr>
                <w:rFonts w:ascii="Times New Roman" w:hAnsi="Times New Roman"/>
                <w:sz w:val="24"/>
                <w:szCs w:val="24"/>
              </w:rPr>
              <w:t>is</w:t>
            </w:r>
            <w:r w:rsidRPr="0017201D">
              <w:rPr>
                <w:rFonts w:ascii="Times New Roman" w:hAnsi="Times New Roman"/>
                <w:sz w:val="24"/>
                <w:szCs w:val="24"/>
              </w:rPr>
              <w:t xml:space="preserve"> also </w:t>
            </w:r>
            <w:r w:rsidR="2A26CE72" w:rsidRPr="0017201D">
              <w:rPr>
                <w:rFonts w:ascii="Times New Roman" w:hAnsi="Times New Roman"/>
                <w:sz w:val="24"/>
                <w:szCs w:val="24"/>
              </w:rPr>
              <w:t xml:space="preserve">proposed to </w:t>
            </w:r>
            <w:r w:rsidRPr="0017201D">
              <w:rPr>
                <w:rFonts w:ascii="Times New Roman" w:hAnsi="Times New Roman"/>
                <w:sz w:val="24"/>
                <w:szCs w:val="24"/>
              </w:rPr>
              <w:t>provide support to public-private partnerships including Important Projects of Common European Interest (IPCEIs).</w:t>
            </w:r>
          </w:p>
          <w:p w14:paraId="163C826E" w14:textId="5EAF1248"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Together with security, competitiveness, agricultural sustainability and environmental protection, economic, social and territorial cohesion will feature amongst the key objectives to which each National and Regional Partnership</w:t>
            </w:r>
            <w:r w:rsidR="00DB3DC2">
              <w:rPr>
                <w:rFonts w:ascii="Times New Roman" w:hAnsi="Times New Roman"/>
                <w:sz w:val="24"/>
                <w:szCs w:val="24"/>
              </w:rPr>
              <w:t> (NPR)</w:t>
            </w:r>
            <w:r w:rsidRPr="0017201D">
              <w:rPr>
                <w:rFonts w:ascii="Times New Roman" w:hAnsi="Times New Roman"/>
                <w:sz w:val="24"/>
                <w:szCs w:val="24"/>
              </w:rPr>
              <w:t xml:space="preserve"> Plan will have to contribute, </w:t>
            </w:r>
            <w:proofErr w:type="gramStart"/>
            <w:r w:rsidRPr="0017201D">
              <w:rPr>
                <w:rFonts w:ascii="Times New Roman" w:hAnsi="Times New Roman"/>
                <w:sz w:val="24"/>
                <w:szCs w:val="24"/>
              </w:rPr>
              <w:t>taking into account</w:t>
            </w:r>
            <w:proofErr w:type="gramEnd"/>
            <w:r w:rsidRPr="0017201D">
              <w:rPr>
                <w:rFonts w:ascii="Times New Roman" w:hAnsi="Times New Roman"/>
                <w:sz w:val="24"/>
                <w:szCs w:val="24"/>
              </w:rPr>
              <w:t xml:space="preserve"> the challenges of the Member State concerned.</w:t>
            </w:r>
          </w:p>
          <w:p w14:paraId="2A646099" w14:textId="77777777"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The assessment procedure will also ensure that supported measures adequately contribute to EU priorities and that each Plan dedicates a sufficient share to meeting the Union's climate and environmental objectives. The Plans will also have a strong social ambition, with a social target of 14%. They will finance</w:t>
            </w:r>
            <w:proofErr w:type="gramStart"/>
            <w:r w:rsidRPr="0017201D">
              <w:rPr>
                <w:rFonts w:ascii="Times New Roman" w:hAnsi="Times New Roman"/>
                <w:sz w:val="24"/>
                <w:szCs w:val="24"/>
              </w:rPr>
              <w:t>, in particular, reforms</w:t>
            </w:r>
            <w:proofErr w:type="gramEnd"/>
            <w:r w:rsidRPr="0017201D">
              <w:rPr>
                <w:rFonts w:ascii="Times New Roman" w:hAnsi="Times New Roman"/>
                <w:sz w:val="24"/>
                <w:szCs w:val="24"/>
              </w:rPr>
              <w:t xml:space="preserve"> and investments to enhance skills, fight poverty, promote social inclusion, boost rural areas, among others, in line with Member States' needs and country-specific recommendations. The EU facility will also help finance social innovation, experimentation and capacity-building, and provide budgetary guarantees to promote microfinance, social enterprise finance, and social infrastructure, including health and educational infrastructure and social and student housing.</w:t>
            </w:r>
          </w:p>
          <w:p w14:paraId="67DA8E9E" w14:textId="0BDFC1D3"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Moreover, each Plan will have to provide for measures with a cross-border, transnational or multi-country dimension, including by </w:t>
            </w:r>
            <w:r w:rsidR="003A0AA8" w:rsidRPr="0017201D">
              <w:rPr>
                <w:rFonts w:ascii="Times New Roman" w:hAnsi="Times New Roman"/>
                <w:sz w:val="24"/>
                <w:szCs w:val="24"/>
              </w:rPr>
              <w:t>supporting IPCEIs</w:t>
            </w:r>
            <w:r w:rsidRPr="0017201D">
              <w:rPr>
                <w:rFonts w:ascii="Times New Roman" w:hAnsi="Times New Roman"/>
                <w:sz w:val="24"/>
                <w:szCs w:val="24"/>
              </w:rPr>
              <w:t xml:space="preserve"> and </w:t>
            </w:r>
            <w:proofErr w:type="gramStart"/>
            <w:r w:rsidRPr="0017201D">
              <w:rPr>
                <w:rFonts w:ascii="Times New Roman" w:hAnsi="Times New Roman"/>
                <w:sz w:val="24"/>
                <w:szCs w:val="24"/>
              </w:rPr>
              <w:t>taking into account</w:t>
            </w:r>
            <w:proofErr w:type="gramEnd"/>
            <w:r w:rsidRPr="0017201D">
              <w:rPr>
                <w:rFonts w:ascii="Times New Roman" w:hAnsi="Times New Roman"/>
                <w:sz w:val="24"/>
                <w:szCs w:val="24"/>
              </w:rPr>
              <w:t xml:space="preserve"> the requirements and maps of the Trans-European Transport Network.</w:t>
            </w:r>
          </w:p>
          <w:p w14:paraId="469E36B7" w14:textId="77777777"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Each NRP Plan is expected to contribute to the completion of the Single Market by supporting the removal of important obstacles in the internal market.</w:t>
            </w:r>
          </w:p>
          <w:p w14:paraId="4ABF9D16" w14:textId="1A7DCC87" w:rsidR="008F560B" w:rsidRPr="0017201D" w:rsidRDefault="008F560B" w:rsidP="0017201D">
            <w:pPr>
              <w:widowControl w:val="0"/>
              <w:spacing w:before="120" w:after="120"/>
              <w:jc w:val="both"/>
              <w:rPr>
                <w:rFonts w:ascii="Times New Roman" w:hAnsi="Times New Roman"/>
                <w:i/>
                <w:iCs/>
                <w:sz w:val="24"/>
                <w:szCs w:val="24"/>
              </w:rPr>
            </w:pPr>
            <w:r w:rsidRPr="0017201D">
              <w:rPr>
                <w:rFonts w:ascii="Times New Roman" w:hAnsi="Times New Roman"/>
                <w:b/>
                <w:bCs/>
                <w:i/>
                <w:iCs/>
                <w:sz w:val="24"/>
                <w:szCs w:val="24"/>
              </w:rPr>
              <w:t>The post-2027 MFF must also be flexible (section 6.4)</w:t>
            </w:r>
            <w:r w:rsidR="00DB3DC2">
              <w:rPr>
                <w:rFonts w:ascii="Times New Roman" w:hAnsi="Times New Roman"/>
                <w:b/>
                <w:bCs/>
                <w:i/>
                <w:iCs/>
                <w:sz w:val="24"/>
                <w:szCs w:val="24"/>
              </w:rPr>
              <w:t>:</w:t>
            </w:r>
          </w:p>
          <w:p w14:paraId="16323FB9" w14:textId="3F9BDF4F" w:rsidR="00B46CFE" w:rsidRPr="0017201D" w:rsidRDefault="00B46CF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The proposed MFF architecture streamline</w:t>
            </w:r>
            <w:r w:rsidR="07A82470" w:rsidRPr="0017201D">
              <w:rPr>
                <w:rFonts w:ascii="Times New Roman" w:hAnsi="Times New Roman"/>
                <w:sz w:val="24"/>
                <w:szCs w:val="24"/>
              </w:rPr>
              <w:t>s</w:t>
            </w:r>
            <w:r w:rsidRPr="0017201D">
              <w:rPr>
                <w:rFonts w:ascii="Times New Roman" w:hAnsi="Times New Roman"/>
                <w:sz w:val="24"/>
                <w:szCs w:val="24"/>
              </w:rPr>
              <w:t xml:space="preserve"> the current financial framework by reducing the number of spending </w:t>
            </w:r>
            <w:proofErr w:type="spellStart"/>
            <w:r w:rsidRPr="0017201D">
              <w:rPr>
                <w:rFonts w:ascii="Times New Roman" w:hAnsi="Times New Roman"/>
                <w:sz w:val="24"/>
                <w:szCs w:val="24"/>
                <w:lang w:val="en-US"/>
              </w:rPr>
              <w:t>programmes</w:t>
            </w:r>
            <w:proofErr w:type="spellEnd"/>
            <w:r w:rsidRPr="0017201D">
              <w:rPr>
                <w:rFonts w:ascii="Times New Roman" w:hAnsi="Times New Roman"/>
                <w:sz w:val="24"/>
                <w:szCs w:val="24"/>
              </w:rPr>
              <w:t xml:space="preserve"> </w:t>
            </w:r>
            <w:proofErr w:type="gramStart"/>
            <w:r w:rsidRPr="0017201D">
              <w:rPr>
                <w:rFonts w:ascii="Times New Roman" w:hAnsi="Times New Roman"/>
                <w:sz w:val="24"/>
                <w:szCs w:val="24"/>
              </w:rPr>
              <w:t>in order to</w:t>
            </w:r>
            <w:proofErr w:type="gramEnd"/>
            <w:r w:rsidRPr="0017201D">
              <w:rPr>
                <w:rFonts w:ascii="Times New Roman" w:hAnsi="Times New Roman"/>
                <w:sz w:val="24"/>
                <w:szCs w:val="24"/>
              </w:rPr>
              <w:t xml:space="preserve"> reduce overlaps and enhance transparency. Additionally, the number of headings is reduced from seven to four. These are expected to foster greater flexibility </w:t>
            </w:r>
            <w:r w:rsidR="004D430C">
              <w:rPr>
                <w:rFonts w:ascii="Times New Roman" w:hAnsi="Times New Roman"/>
                <w:sz w:val="24"/>
                <w:szCs w:val="24"/>
              </w:rPr>
              <w:t>under</w:t>
            </w:r>
            <w:r w:rsidR="004D430C" w:rsidRPr="0017201D">
              <w:rPr>
                <w:rFonts w:ascii="Times New Roman" w:hAnsi="Times New Roman"/>
                <w:sz w:val="24"/>
                <w:szCs w:val="24"/>
              </w:rPr>
              <w:t xml:space="preserve"> </w:t>
            </w:r>
            <w:r w:rsidRPr="0017201D">
              <w:rPr>
                <w:rFonts w:ascii="Times New Roman" w:hAnsi="Times New Roman"/>
                <w:sz w:val="24"/>
                <w:szCs w:val="24"/>
              </w:rPr>
              <w:t xml:space="preserve">more uniform rules and processes, </w:t>
            </w:r>
            <w:r w:rsidR="004D430C">
              <w:rPr>
                <w:rFonts w:ascii="Times New Roman" w:hAnsi="Times New Roman"/>
                <w:sz w:val="24"/>
                <w:szCs w:val="24"/>
              </w:rPr>
              <w:t xml:space="preserve">which will </w:t>
            </w:r>
            <w:r w:rsidRPr="0017201D">
              <w:rPr>
                <w:rFonts w:ascii="Times New Roman" w:hAnsi="Times New Roman"/>
                <w:sz w:val="24"/>
                <w:szCs w:val="24"/>
              </w:rPr>
              <w:t>reduc</w:t>
            </w:r>
            <w:r w:rsidR="004D430C">
              <w:rPr>
                <w:rFonts w:ascii="Times New Roman" w:hAnsi="Times New Roman"/>
                <w:sz w:val="24"/>
                <w:szCs w:val="24"/>
              </w:rPr>
              <w:t>e</w:t>
            </w:r>
            <w:r w:rsidRPr="0017201D">
              <w:rPr>
                <w:rFonts w:ascii="Times New Roman" w:hAnsi="Times New Roman"/>
                <w:sz w:val="24"/>
                <w:szCs w:val="24"/>
              </w:rPr>
              <w:t xml:space="preserve"> complexities for beneficiaries </w:t>
            </w:r>
            <w:r w:rsidR="00E549BB" w:rsidRPr="0017201D">
              <w:rPr>
                <w:rFonts w:ascii="Times New Roman" w:hAnsi="Times New Roman"/>
                <w:sz w:val="24"/>
                <w:szCs w:val="24"/>
              </w:rPr>
              <w:t>and rigidities</w:t>
            </w:r>
            <w:r w:rsidRPr="0017201D">
              <w:rPr>
                <w:rFonts w:ascii="Times New Roman" w:hAnsi="Times New Roman"/>
                <w:sz w:val="24"/>
                <w:szCs w:val="24"/>
              </w:rPr>
              <w:t xml:space="preserve"> in implementation.</w:t>
            </w:r>
          </w:p>
          <w:p w14:paraId="20C3560E" w14:textId="6A19FB95" w:rsidR="00B46CFE" w:rsidRPr="0017201D" w:rsidRDefault="00B46CF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Moreover, the Commission proposal aims at achieving a better balance between predictability for beneficiaries and budgetary flexibility. To address emerging needs, there will be unprogrammed amounts, along with increased flexibilities both within and across </w:t>
            </w:r>
            <w:r w:rsidR="00322F2C" w:rsidRPr="0017201D">
              <w:rPr>
                <w:rFonts w:ascii="Times New Roman" w:hAnsi="Times New Roman"/>
                <w:sz w:val="24"/>
                <w:szCs w:val="24"/>
              </w:rPr>
              <w:t>program</w:t>
            </w:r>
            <w:r w:rsidR="00322F2C">
              <w:rPr>
                <w:rFonts w:ascii="Times New Roman" w:hAnsi="Times New Roman"/>
                <w:sz w:val="24"/>
                <w:szCs w:val="24"/>
              </w:rPr>
              <w:t>mes</w:t>
            </w:r>
            <w:r w:rsidRPr="0017201D">
              <w:rPr>
                <w:rFonts w:ascii="Times New Roman" w:hAnsi="Times New Roman"/>
                <w:sz w:val="24"/>
                <w:szCs w:val="24"/>
              </w:rPr>
              <w:t xml:space="preserve"> to allow for reprioritization when necessary. Cushioning mechanisms built into the program</w:t>
            </w:r>
            <w:r w:rsidR="00E57C46">
              <w:rPr>
                <w:rFonts w:ascii="Times New Roman" w:hAnsi="Times New Roman"/>
                <w:sz w:val="24"/>
                <w:szCs w:val="24"/>
              </w:rPr>
              <w:t>me</w:t>
            </w:r>
            <w:r w:rsidRPr="0017201D">
              <w:rPr>
                <w:rFonts w:ascii="Times New Roman" w:hAnsi="Times New Roman"/>
                <w:sz w:val="24"/>
                <w:szCs w:val="24"/>
              </w:rPr>
              <w:t>s will further enhance adaptability. For instance, Catalyst Europe provides for EUR</w:t>
            </w:r>
            <w:r w:rsidR="00DB3DC2">
              <w:rPr>
                <w:rFonts w:ascii="Times New Roman" w:hAnsi="Times New Roman"/>
                <w:sz w:val="24"/>
                <w:szCs w:val="24"/>
              </w:rPr>
              <w:t> </w:t>
            </w:r>
            <w:r w:rsidRPr="0017201D">
              <w:rPr>
                <w:rFonts w:ascii="Times New Roman" w:hAnsi="Times New Roman"/>
                <w:sz w:val="24"/>
                <w:szCs w:val="24"/>
              </w:rPr>
              <w:t>150 billion in loans to Member States to complement their reforms and investment efforts within the National and Regional Partnership Plans.</w:t>
            </w:r>
          </w:p>
          <w:p w14:paraId="00C91342" w14:textId="77777777" w:rsidR="00B46CFE" w:rsidRPr="0017201D" w:rsidRDefault="00B46CF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Lastly, the expanded use of financial instruments and budgetary guarantees will enable the EU budget to take a more active role in mitigating risks for private investment.</w:t>
            </w:r>
          </w:p>
          <w:p w14:paraId="0E9471C1" w14:textId="12F0263D" w:rsidR="00B46CFE" w:rsidRPr="00CF13B6" w:rsidRDefault="00B46CF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 xml:space="preserve">All this is complemented by </w:t>
            </w:r>
            <w:r w:rsidR="586B0827" w:rsidRPr="0017201D">
              <w:rPr>
                <w:rFonts w:ascii="Times New Roman" w:hAnsi="Times New Roman"/>
                <w:sz w:val="24"/>
                <w:szCs w:val="24"/>
              </w:rPr>
              <w:t xml:space="preserve">three </w:t>
            </w:r>
            <w:r w:rsidRPr="0017201D">
              <w:rPr>
                <w:rFonts w:ascii="Times New Roman" w:hAnsi="Times New Roman"/>
                <w:sz w:val="24"/>
                <w:szCs w:val="24"/>
              </w:rPr>
              <w:t>special instruments that allow to enter appropriations over and above the ceilings to react to unexpected circumstances.</w:t>
            </w:r>
            <w:r w:rsidRPr="00CF13B6">
              <w:rPr>
                <w:rFonts w:ascii="Times New Roman" w:hAnsi="Times New Roman"/>
                <w:sz w:val="24"/>
                <w:szCs w:val="24"/>
              </w:rPr>
              <w:t xml:space="preserve"> </w:t>
            </w:r>
            <w:r w:rsidR="00645FC1" w:rsidRPr="0017201D">
              <w:rPr>
                <w:rFonts w:ascii="Times New Roman" w:hAnsi="Times New Roman"/>
                <w:sz w:val="24"/>
                <w:szCs w:val="24"/>
              </w:rPr>
              <w:t>This represents a significant simplification when compared to the current MFF in which there are currently eight special instruments (thematic and non-thematic).</w:t>
            </w:r>
          </w:p>
          <w:p w14:paraId="4315359D" w14:textId="0F0EA9A6" w:rsidR="00306BAC" w:rsidRPr="0017201D" w:rsidRDefault="00B46CFE" w:rsidP="0017201D">
            <w:pPr>
              <w:widowControl w:val="0"/>
              <w:spacing w:before="120" w:after="120"/>
              <w:jc w:val="both"/>
              <w:rPr>
                <w:rFonts w:ascii="Times New Roman" w:hAnsi="Times New Roman"/>
                <w:i/>
                <w:iCs/>
                <w:sz w:val="24"/>
                <w:szCs w:val="24"/>
              </w:rPr>
            </w:pPr>
            <w:r w:rsidRPr="0017201D">
              <w:rPr>
                <w:rFonts w:ascii="Times New Roman" w:hAnsi="Times New Roman"/>
                <w:b/>
                <w:bCs/>
                <w:i/>
                <w:iCs/>
                <w:sz w:val="24"/>
                <w:szCs w:val="24"/>
              </w:rPr>
              <w:t>EU’s</w:t>
            </w:r>
            <w:r w:rsidR="00306BAC" w:rsidRPr="0017201D">
              <w:rPr>
                <w:rFonts w:ascii="Times New Roman" w:hAnsi="Times New Roman"/>
                <w:b/>
                <w:bCs/>
                <w:i/>
                <w:iCs/>
                <w:sz w:val="24"/>
                <w:szCs w:val="24"/>
              </w:rPr>
              <w:t xml:space="preserve"> own resources (section 7.2)</w:t>
            </w:r>
            <w:r w:rsidR="00DB3DC2">
              <w:rPr>
                <w:rFonts w:ascii="Times New Roman" w:hAnsi="Times New Roman"/>
                <w:b/>
                <w:bCs/>
                <w:i/>
                <w:iCs/>
                <w:sz w:val="24"/>
                <w:szCs w:val="24"/>
              </w:rPr>
              <w:t>:</w:t>
            </w:r>
          </w:p>
          <w:p w14:paraId="14BCFABC" w14:textId="00A684AF" w:rsidR="0060124E" w:rsidRPr="0017201D" w:rsidRDefault="007B006E" w:rsidP="0017201D">
            <w:pPr>
              <w:widowControl w:val="0"/>
              <w:spacing w:before="120" w:after="120"/>
              <w:jc w:val="both"/>
              <w:rPr>
                <w:rFonts w:ascii="Times New Roman" w:hAnsi="Times New Roman"/>
                <w:sz w:val="24"/>
                <w:szCs w:val="24"/>
              </w:rPr>
            </w:pPr>
            <w:r>
              <w:rPr>
                <w:rFonts w:ascii="Times New Roman" w:hAnsi="Times New Roman"/>
                <w:sz w:val="24"/>
                <w:szCs w:val="24"/>
              </w:rPr>
              <w:t>A n</w:t>
            </w:r>
            <w:r w:rsidR="0060124E" w:rsidRPr="0017201D">
              <w:rPr>
                <w:rFonts w:ascii="Times New Roman" w:hAnsi="Times New Roman"/>
                <w:sz w:val="24"/>
                <w:szCs w:val="24"/>
              </w:rPr>
              <w:t>ew extraordinary and temporary mechanism is proposed to respond to the consequences of severe crises affecting the Union or its Member States and provide loans to Member States via a dedicated own resources ceiling of 0.25% EU GNI.</w:t>
            </w:r>
          </w:p>
          <w:p w14:paraId="5F7CAEAA" w14:textId="03CEFB09"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lastRenderedPageBreak/>
              <w:t xml:space="preserve">In its package of 16 July 2025, the Commission proposed five new own resources and </w:t>
            </w:r>
            <w:r w:rsidR="096972F8" w:rsidRPr="0017201D">
              <w:rPr>
                <w:rFonts w:ascii="Times New Roman" w:hAnsi="Times New Roman"/>
                <w:sz w:val="24"/>
                <w:szCs w:val="24"/>
              </w:rPr>
              <w:t>several</w:t>
            </w:r>
            <w:r w:rsidRPr="0017201D">
              <w:rPr>
                <w:rFonts w:ascii="Times New Roman" w:hAnsi="Times New Roman"/>
                <w:sz w:val="24"/>
                <w:szCs w:val="24"/>
              </w:rPr>
              <w:t xml:space="preserve"> adjustments to the current own resources.</w:t>
            </w:r>
          </w:p>
          <w:p w14:paraId="4D45A7B8" w14:textId="77777777"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The five new own resources are:</w:t>
            </w:r>
          </w:p>
          <w:p w14:paraId="04401045" w14:textId="66B31DA0" w:rsidR="0060124E" w:rsidRPr="0017201D" w:rsidRDefault="0060124E" w:rsidP="00CF13B6">
            <w:pPr>
              <w:widowControl w:val="0"/>
              <w:numPr>
                <w:ilvl w:val="0"/>
                <w:numId w:val="18"/>
              </w:numPr>
              <w:spacing w:before="120" w:after="120"/>
              <w:ind w:left="388" w:hanging="283"/>
              <w:jc w:val="both"/>
              <w:rPr>
                <w:rFonts w:ascii="Times New Roman" w:hAnsi="Times New Roman"/>
                <w:sz w:val="24"/>
                <w:szCs w:val="24"/>
              </w:rPr>
            </w:pPr>
            <w:r w:rsidRPr="0017201D">
              <w:rPr>
                <w:rFonts w:ascii="Times New Roman" w:hAnsi="Times New Roman"/>
                <w:sz w:val="24"/>
                <w:szCs w:val="24"/>
              </w:rPr>
              <w:t xml:space="preserve">EU Emissions Trading System (ETS) based own resource: 30% of the revenues generated from existing ETS 1. Expected to generate </w:t>
            </w:r>
            <w:r w:rsidR="007B006E">
              <w:rPr>
                <w:rFonts w:ascii="Times New Roman" w:hAnsi="Times New Roman"/>
                <w:sz w:val="24"/>
                <w:szCs w:val="24"/>
              </w:rPr>
              <w:t>approximately</w:t>
            </w:r>
            <w:r w:rsidRPr="0017201D">
              <w:rPr>
                <w:rFonts w:ascii="Times New Roman" w:hAnsi="Times New Roman"/>
                <w:sz w:val="24"/>
                <w:szCs w:val="24"/>
              </w:rPr>
              <w:t xml:space="preserve"> </w:t>
            </w:r>
            <w:r w:rsidR="00DB3DC2">
              <w:rPr>
                <w:rFonts w:ascii="Times New Roman" w:hAnsi="Times New Roman"/>
                <w:sz w:val="24"/>
                <w:szCs w:val="24"/>
              </w:rPr>
              <w:t>EUR </w:t>
            </w:r>
            <w:r w:rsidRPr="0017201D">
              <w:rPr>
                <w:rFonts w:ascii="Times New Roman" w:hAnsi="Times New Roman"/>
                <w:sz w:val="24"/>
                <w:szCs w:val="24"/>
              </w:rPr>
              <w:t xml:space="preserve">9.6 billion annually, on </w:t>
            </w:r>
            <w:proofErr w:type="gramStart"/>
            <w:r w:rsidRPr="0017201D">
              <w:rPr>
                <w:rFonts w:ascii="Times New Roman" w:hAnsi="Times New Roman"/>
                <w:sz w:val="24"/>
                <w:szCs w:val="24"/>
              </w:rPr>
              <w:t>average;</w:t>
            </w:r>
            <w:proofErr w:type="gramEnd"/>
          </w:p>
          <w:p w14:paraId="28BCD30D" w14:textId="1BBEFB8E" w:rsidR="0060124E" w:rsidRPr="0017201D" w:rsidRDefault="0060124E" w:rsidP="00CF13B6">
            <w:pPr>
              <w:widowControl w:val="0"/>
              <w:numPr>
                <w:ilvl w:val="0"/>
                <w:numId w:val="18"/>
              </w:numPr>
              <w:spacing w:before="120" w:after="120"/>
              <w:ind w:left="388" w:hanging="283"/>
              <w:jc w:val="both"/>
              <w:rPr>
                <w:rFonts w:ascii="Times New Roman" w:hAnsi="Times New Roman"/>
                <w:sz w:val="24"/>
                <w:szCs w:val="24"/>
              </w:rPr>
            </w:pPr>
            <w:r w:rsidRPr="0017201D">
              <w:rPr>
                <w:rFonts w:ascii="Times New Roman" w:hAnsi="Times New Roman"/>
                <w:sz w:val="24"/>
                <w:szCs w:val="24"/>
              </w:rPr>
              <w:t xml:space="preserve">Carbon Border Adjustment Mechanism based own resource: 75% of the revenues generated to be entered into the EU budget. Expected to generate </w:t>
            </w:r>
            <w:r w:rsidR="007B006E">
              <w:rPr>
                <w:rFonts w:ascii="Times New Roman" w:hAnsi="Times New Roman"/>
                <w:sz w:val="24"/>
                <w:szCs w:val="24"/>
              </w:rPr>
              <w:t>approximately</w:t>
            </w:r>
            <w:r w:rsidRPr="0017201D">
              <w:rPr>
                <w:rFonts w:ascii="Times New Roman" w:hAnsi="Times New Roman"/>
                <w:sz w:val="24"/>
                <w:szCs w:val="24"/>
              </w:rPr>
              <w:t xml:space="preserve"> </w:t>
            </w:r>
            <w:r w:rsidR="00DB3DC2">
              <w:rPr>
                <w:rFonts w:ascii="Times New Roman" w:hAnsi="Times New Roman"/>
                <w:sz w:val="24"/>
                <w:szCs w:val="24"/>
              </w:rPr>
              <w:t>EUR </w:t>
            </w:r>
            <w:r w:rsidRPr="0017201D">
              <w:rPr>
                <w:rFonts w:ascii="Times New Roman" w:hAnsi="Times New Roman"/>
                <w:sz w:val="24"/>
                <w:szCs w:val="24"/>
              </w:rPr>
              <w:t xml:space="preserve">1.4 billion annually, on </w:t>
            </w:r>
            <w:proofErr w:type="gramStart"/>
            <w:r w:rsidRPr="0017201D">
              <w:rPr>
                <w:rFonts w:ascii="Times New Roman" w:hAnsi="Times New Roman"/>
                <w:sz w:val="24"/>
                <w:szCs w:val="24"/>
              </w:rPr>
              <w:t>average;</w:t>
            </w:r>
            <w:proofErr w:type="gramEnd"/>
          </w:p>
          <w:p w14:paraId="6EF96519" w14:textId="01D56A62" w:rsidR="0060124E" w:rsidRPr="0017201D" w:rsidRDefault="0060124E" w:rsidP="00CF13B6">
            <w:pPr>
              <w:widowControl w:val="0"/>
              <w:numPr>
                <w:ilvl w:val="0"/>
                <w:numId w:val="18"/>
              </w:numPr>
              <w:spacing w:before="120" w:after="120"/>
              <w:ind w:left="388" w:hanging="283"/>
              <w:jc w:val="both"/>
              <w:rPr>
                <w:rFonts w:ascii="Times New Roman" w:hAnsi="Times New Roman"/>
                <w:sz w:val="24"/>
                <w:szCs w:val="24"/>
              </w:rPr>
            </w:pPr>
            <w:r w:rsidRPr="0017201D">
              <w:rPr>
                <w:rFonts w:ascii="Times New Roman" w:hAnsi="Times New Roman"/>
                <w:sz w:val="24"/>
                <w:szCs w:val="24"/>
              </w:rPr>
              <w:t xml:space="preserve">Non-collected e-waste based own resource: contribution resulting from the application of a call rate of </w:t>
            </w:r>
            <w:r w:rsidR="00DB3DC2">
              <w:rPr>
                <w:rFonts w:ascii="Times New Roman" w:hAnsi="Times New Roman"/>
                <w:sz w:val="24"/>
                <w:szCs w:val="24"/>
              </w:rPr>
              <w:t>EUR </w:t>
            </w:r>
            <w:r w:rsidRPr="0017201D">
              <w:rPr>
                <w:rFonts w:ascii="Times New Roman" w:hAnsi="Times New Roman"/>
                <w:sz w:val="24"/>
                <w:szCs w:val="24"/>
              </w:rPr>
              <w:t>2/kg, annually adjusted for inflation to the weight of non-collected e-waste. Expected to generate</w:t>
            </w:r>
            <w:r w:rsidR="00322F2C">
              <w:rPr>
                <w:rFonts w:ascii="Times New Roman" w:hAnsi="Times New Roman"/>
                <w:sz w:val="24"/>
                <w:szCs w:val="24"/>
              </w:rPr>
              <w:t xml:space="preserve"> </w:t>
            </w:r>
            <w:r w:rsidR="007B006E">
              <w:rPr>
                <w:rFonts w:ascii="Times New Roman" w:hAnsi="Times New Roman"/>
                <w:sz w:val="24"/>
                <w:szCs w:val="24"/>
              </w:rPr>
              <w:t>approximately</w:t>
            </w:r>
            <w:r w:rsidRPr="0017201D">
              <w:rPr>
                <w:rFonts w:ascii="Times New Roman" w:hAnsi="Times New Roman"/>
                <w:sz w:val="24"/>
                <w:szCs w:val="24"/>
              </w:rPr>
              <w:t xml:space="preserve"> </w:t>
            </w:r>
            <w:r w:rsidR="00DB3DC2">
              <w:rPr>
                <w:rFonts w:ascii="Times New Roman" w:hAnsi="Times New Roman"/>
                <w:sz w:val="24"/>
                <w:szCs w:val="24"/>
              </w:rPr>
              <w:t>EUR </w:t>
            </w:r>
            <w:r w:rsidRPr="0017201D">
              <w:rPr>
                <w:rFonts w:ascii="Times New Roman" w:hAnsi="Times New Roman"/>
                <w:sz w:val="24"/>
                <w:szCs w:val="24"/>
              </w:rPr>
              <w:t xml:space="preserve">15.0 billion annually, on </w:t>
            </w:r>
            <w:proofErr w:type="gramStart"/>
            <w:r w:rsidRPr="0017201D">
              <w:rPr>
                <w:rFonts w:ascii="Times New Roman" w:hAnsi="Times New Roman"/>
                <w:sz w:val="24"/>
                <w:szCs w:val="24"/>
              </w:rPr>
              <w:t>average;</w:t>
            </w:r>
            <w:proofErr w:type="gramEnd"/>
          </w:p>
          <w:p w14:paraId="70A865F1" w14:textId="35D69CB4" w:rsidR="0060124E" w:rsidRPr="0017201D" w:rsidRDefault="0060124E" w:rsidP="00CF13B6">
            <w:pPr>
              <w:widowControl w:val="0"/>
              <w:numPr>
                <w:ilvl w:val="0"/>
                <w:numId w:val="18"/>
              </w:numPr>
              <w:spacing w:before="120" w:after="120"/>
              <w:ind w:left="388" w:hanging="283"/>
              <w:jc w:val="both"/>
              <w:rPr>
                <w:rFonts w:ascii="Times New Roman" w:hAnsi="Times New Roman"/>
                <w:sz w:val="24"/>
                <w:szCs w:val="24"/>
              </w:rPr>
            </w:pPr>
            <w:r w:rsidRPr="0017201D">
              <w:rPr>
                <w:rFonts w:ascii="Times New Roman" w:hAnsi="Times New Roman"/>
                <w:sz w:val="24"/>
                <w:szCs w:val="24"/>
              </w:rPr>
              <w:t xml:space="preserve">Tobacco excise Duty Own resource: 15% of the revenues based on the Member State-specific minimum rate for manufactured tobacco and tobacco related products. Expected to generate </w:t>
            </w:r>
            <w:r w:rsidR="007B006E">
              <w:rPr>
                <w:rFonts w:ascii="Times New Roman" w:hAnsi="Times New Roman"/>
                <w:sz w:val="24"/>
                <w:szCs w:val="24"/>
              </w:rPr>
              <w:t>approximately</w:t>
            </w:r>
            <w:r w:rsidRPr="0017201D">
              <w:rPr>
                <w:rFonts w:ascii="Times New Roman" w:hAnsi="Times New Roman"/>
                <w:sz w:val="24"/>
                <w:szCs w:val="24"/>
              </w:rPr>
              <w:t xml:space="preserve"> </w:t>
            </w:r>
            <w:r w:rsidR="00DB3DC2">
              <w:rPr>
                <w:rFonts w:ascii="Times New Roman" w:hAnsi="Times New Roman"/>
                <w:sz w:val="24"/>
                <w:szCs w:val="24"/>
              </w:rPr>
              <w:t>EUR </w:t>
            </w:r>
            <w:r w:rsidRPr="0017201D">
              <w:rPr>
                <w:rFonts w:ascii="Times New Roman" w:hAnsi="Times New Roman"/>
                <w:sz w:val="24"/>
                <w:szCs w:val="24"/>
              </w:rPr>
              <w:t xml:space="preserve">11.2 billion annually, on </w:t>
            </w:r>
            <w:proofErr w:type="gramStart"/>
            <w:r w:rsidRPr="0017201D">
              <w:rPr>
                <w:rFonts w:ascii="Times New Roman" w:hAnsi="Times New Roman"/>
                <w:sz w:val="24"/>
                <w:szCs w:val="24"/>
              </w:rPr>
              <w:t>average;</w:t>
            </w:r>
            <w:proofErr w:type="gramEnd"/>
          </w:p>
          <w:p w14:paraId="075BC41E" w14:textId="7E010D64" w:rsidR="0060124E" w:rsidRPr="0017201D" w:rsidRDefault="0060124E" w:rsidP="00CF13B6">
            <w:pPr>
              <w:widowControl w:val="0"/>
              <w:numPr>
                <w:ilvl w:val="0"/>
                <w:numId w:val="18"/>
              </w:numPr>
              <w:spacing w:before="120" w:after="120"/>
              <w:ind w:left="388" w:hanging="283"/>
              <w:jc w:val="both"/>
              <w:rPr>
                <w:rFonts w:ascii="Times New Roman" w:hAnsi="Times New Roman"/>
                <w:sz w:val="24"/>
                <w:szCs w:val="24"/>
              </w:rPr>
            </w:pPr>
            <w:r w:rsidRPr="0017201D">
              <w:rPr>
                <w:rFonts w:ascii="Times New Roman" w:hAnsi="Times New Roman"/>
                <w:sz w:val="24"/>
                <w:szCs w:val="24"/>
              </w:rPr>
              <w:t>Corporate Resource for Europe (CORE): annual lump sum contribution of all companies in scope operating and selling in the EU with an annual turnover above EUR</w:t>
            </w:r>
            <w:r w:rsidR="00DB3DC2" w:rsidRPr="00DB3DC2">
              <w:t> </w:t>
            </w:r>
            <w:r w:rsidRPr="0017201D">
              <w:rPr>
                <w:rFonts w:ascii="Times New Roman" w:hAnsi="Times New Roman"/>
                <w:sz w:val="24"/>
                <w:szCs w:val="24"/>
              </w:rPr>
              <w:t>100 million. Expected to generate a</w:t>
            </w:r>
            <w:r w:rsidR="007B006E">
              <w:rPr>
                <w:rFonts w:ascii="Times New Roman" w:hAnsi="Times New Roman"/>
                <w:sz w:val="24"/>
                <w:szCs w:val="24"/>
              </w:rPr>
              <w:t>pproximately</w:t>
            </w:r>
            <w:r w:rsidRPr="0017201D">
              <w:rPr>
                <w:rFonts w:ascii="Times New Roman" w:hAnsi="Times New Roman"/>
                <w:sz w:val="24"/>
                <w:szCs w:val="24"/>
              </w:rPr>
              <w:t xml:space="preserve"> </w:t>
            </w:r>
            <w:r w:rsidR="00DB3DC2">
              <w:rPr>
                <w:rFonts w:ascii="Times New Roman" w:hAnsi="Times New Roman"/>
                <w:sz w:val="24"/>
                <w:szCs w:val="24"/>
              </w:rPr>
              <w:t>EUR </w:t>
            </w:r>
            <w:r w:rsidRPr="0017201D">
              <w:rPr>
                <w:rFonts w:ascii="Times New Roman" w:hAnsi="Times New Roman"/>
                <w:sz w:val="24"/>
                <w:szCs w:val="24"/>
              </w:rPr>
              <w:t>6.8 billion annually, on average.</w:t>
            </w:r>
          </w:p>
          <w:p w14:paraId="667F6639" w14:textId="77777777" w:rsidR="0060124E" w:rsidRPr="0017201D"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Adjustments to the current own resources:</w:t>
            </w:r>
          </w:p>
          <w:p w14:paraId="408182CE" w14:textId="03A73997" w:rsidR="0060124E" w:rsidRPr="0017201D" w:rsidRDefault="00DB3DC2" w:rsidP="00CF13B6">
            <w:pPr>
              <w:widowControl w:val="0"/>
              <w:numPr>
                <w:ilvl w:val="0"/>
                <w:numId w:val="20"/>
              </w:numPr>
              <w:spacing w:before="120" w:after="120"/>
              <w:ind w:left="388" w:hanging="218"/>
              <w:jc w:val="both"/>
              <w:rPr>
                <w:rFonts w:ascii="Times New Roman" w:hAnsi="Times New Roman"/>
                <w:sz w:val="24"/>
                <w:szCs w:val="24"/>
              </w:rPr>
            </w:pPr>
            <w:r>
              <w:rPr>
                <w:rFonts w:ascii="Times New Roman" w:hAnsi="Times New Roman"/>
                <w:sz w:val="24"/>
                <w:szCs w:val="24"/>
              </w:rPr>
              <w:t>r</w:t>
            </w:r>
            <w:r w:rsidR="0060124E" w:rsidRPr="0017201D">
              <w:rPr>
                <w:rFonts w:ascii="Times New Roman" w:hAnsi="Times New Roman"/>
                <w:sz w:val="24"/>
                <w:szCs w:val="24"/>
              </w:rPr>
              <w:t xml:space="preserve">eduction of the collection costs to 10% for traditional own </w:t>
            </w:r>
            <w:proofErr w:type="gramStart"/>
            <w:r w:rsidR="0060124E" w:rsidRPr="0017201D">
              <w:rPr>
                <w:rFonts w:ascii="Times New Roman" w:hAnsi="Times New Roman"/>
                <w:sz w:val="24"/>
                <w:szCs w:val="24"/>
              </w:rPr>
              <w:t>resources</w:t>
            </w:r>
            <w:r>
              <w:rPr>
                <w:rFonts w:ascii="Times New Roman" w:hAnsi="Times New Roman"/>
                <w:sz w:val="24"/>
                <w:szCs w:val="24"/>
              </w:rPr>
              <w:t>;</w:t>
            </w:r>
            <w:proofErr w:type="gramEnd"/>
          </w:p>
          <w:p w14:paraId="4383FA78" w14:textId="427E9070" w:rsidR="0060124E" w:rsidRPr="0017201D" w:rsidRDefault="00DB3DC2" w:rsidP="00CF13B6">
            <w:pPr>
              <w:widowControl w:val="0"/>
              <w:numPr>
                <w:ilvl w:val="0"/>
                <w:numId w:val="20"/>
              </w:numPr>
              <w:spacing w:before="120" w:after="120"/>
              <w:ind w:left="388" w:hanging="218"/>
              <w:jc w:val="both"/>
              <w:rPr>
                <w:rFonts w:ascii="Times New Roman" w:hAnsi="Times New Roman"/>
                <w:sz w:val="24"/>
                <w:szCs w:val="24"/>
              </w:rPr>
            </w:pPr>
            <w:r>
              <w:rPr>
                <w:rFonts w:ascii="Times New Roman" w:hAnsi="Times New Roman"/>
                <w:sz w:val="24"/>
                <w:szCs w:val="24"/>
              </w:rPr>
              <w:t>i</w:t>
            </w:r>
            <w:r w:rsidR="0060124E" w:rsidRPr="0017201D">
              <w:rPr>
                <w:rFonts w:ascii="Times New Roman" w:hAnsi="Times New Roman"/>
                <w:sz w:val="24"/>
                <w:szCs w:val="24"/>
              </w:rPr>
              <w:t xml:space="preserve">nflation adjustment of the call rate for the non-recycled plastic packaging waste own </w:t>
            </w:r>
            <w:proofErr w:type="gramStart"/>
            <w:r w:rsidR="0060124E" w:rsidRPr="0017201D">
              <w:rPr>
                <w:rFonts w:ascii="Times New Roman" w:hAnsi="Times New Roman"/>
                <w:sz w:val="24"/>
                <w:szCs w:val="24"/>
              </w:rPr>
              <w:t>resource</w:t>
            </w:r>
            <w:r w:rsidR="00EE5D69">
              <w:rPr>
                <w:rFonts w:ascii="Times New Roman" w:hAnsi="Times New Roman"/>
                <w:sz w:val="24"/>
                <w:szCs w:val="24"/>
              </w:rPr>
              <w:t>s</w:t>
            </w:r>
            <w:r>
              <w:rPr>
                <w:rFonts w:ascii="Times New Roman" w:hAnsi="Times New Roman"/>
                <w:sz w:val="24"/>
                <w:szCs w:val="24"/>
              </w:rPr>
              <w:t>;</w:t>
            </w:r>
            <w:proofErr w:type="gramEnd"/>
          </w:p>
          <w:p w14:paraId="392C9B12" w14:textId="3FACC136" w:rsidR="0060124E" w:rsidRPr="0017201D" w:rsidRDefault="00DB3DC2" w:rsidP="00CF13B6">
            <w:pPr>
              <w:widowControl w:val="0"/>
              <w:numPr>
                <w:ilvl w:val="0"/>
                <w:numId w:val="20"/>
              </w:numPr>
              <w:spacing w:before="120" w:after="120"/>
              <w:ind w:left="388" w:hanging="218"/>
              <w:jc w:val="both"/>
              <w:rPr>
                <w:rFonts w:ascii="Times New Roman" w:hAnsi="Times New Roman"/>
                <w:sz w:val="24"/>
                <w:szCs w:val="24"/>
              </w:rPr>
            </w:pPr>
            <w:r>
              <w:rPr>
                <w:rFonts w:ascii="Times New Roman" w:hAnsi="Times New Roman"/>
                <w:sz w:val="24"/>
                <w:szCs w:val="24"/>
              </w:rPr>
              <w:t>e</w:t>
            </w:r>
            <w:r w:rsidR="0060124E" w:rsidRPr="0017201D">
              <w:rPr>
                <w:rFonts w:ascii="Times New Roman" w:hAnsi="Times New Roman"/>
                <w:sz w:val="24"/>
                <w:szCs w:val="24"/>
              </w:rPr>
              <w:t>nsuring transparency: no correction mechanisms to own resources.</w:t>
            </w:r>
          </w:p>
          <w:p w14:paraId="261A3E36" w14:textId="57EFF854" w:rsidR="00B7419B" w:rsidRPr="0017201D" w:rsidRDefault="00B7419B" w:rsidP="0017201D">
            <w:pPr>
              <w:widowControl w:val="0"/>
              <w:spacing w:before="120" w:after="120"/>
              <w:jc w:val="both"/>
              <w:rPr>
                <w:rFonts w:ascii="Times New Roman" w:hAnsi="Times New Roman"/>
                <w:b/>
                <w:bCs/>
                <w:i/>
                <w:iCs/>
                <w:sz w:val="24"/>
                <w:szCs w:val="24"/>
              </w:rPr>
            </w:pPr>
            <w:r w:rsidRPr="0017201D">
              <w:rPr>
                <w:rFonts w:ascii="Times New Roman" w:hAnsi="Times New Roman"/>
                <w:b/>
                <w:bCs/>
                <w:i/>
                <w:iCs/>
                <w:sz w:val="24"/>
                <w:szCs w:val="24"/>
              </w:rPr>
              <w:t>EU own debt (section 7.3.4)</w:t>
            </w:r>
            <w:r w:rsidR="00DB3DC2">
              <w:rPr>
                <w:rFonts w:ascii="Times New Roman" w:hAnsi="Times New Roman"/>
                <w:b/>
                <w:bCs/>
                <w:i/>
                <w:iCs/>
                <w:sz w:val="24"/>
                <w:szCs w:val="24"/>
              </w:rPr>
              <w:t>:</w:t>
            </w:r>
          </w:p>
          <w:p w14:paraId="5D1BC940" w14:textId="617CFEF2" w:rsidR="00824FDB" w:rsidRPr="0060124E" w:rsidRDefault="0060124E" w:rsidP="0017201D">
            <w:pPr>
              <w:widowControl w:val="0"/>
              <w:spacing w:before="120" w:after="120"/>
              <w:jc w:val="both"/>
              <w:rPr>
                <w:rFonts w:ascii="Times New Roman" w:hAnsi="Times New Roman"/>
                <w:sz w:val="24"/>
                <w:szCs w:val="24"/>
              </w:rPr>
            </w:pPr>
            <w:r w:rsidRPr="0017201D">
              <w:rPr>
                <w:rFonts w:ascii="Times New Roman" w:hAnsi="Times New Roman"/>
                <w:sz w:val="24"/>
                <w:szCs w:val="24"/>
              </w:rPr>
              <w:t>The Commission uses borrowing and lending to provide financial assistance to Member States and third countries including Ukraine. The Commission also uses borrowing and lending to deliver on policy objectives. EUR</w:t>
            </w:r>
            <w:r w:rsidR="00BF7865">
              <w:rPr>
                <w:rFonts w:ascii="Times New Roman" w:hAnsi="Times New Roman"/>
                <w:sz w:val="24"/>
                <w:szCs w:val="24"/>
              </w:rPr>
              <w:t> </w:t>
            </w:r>
            <w:r w:rsidRPr="0017201D">
              <w:rPr>
                <w:rFonts w:ascii="Times New Roman" w:hAnsi="Times New Roman"/>
                <w:sz w:val="24"/>
                <w:szCs w:val="24"/>
              </w:rPr>
              <w:t>150 billion will be available in loans under Catalyst Europe to support additional investments and reforms, implemented under the NRP Plans</w:t>
            </w:r>
            <w:r w:rsidR="00B46CFE" w:rsidRPr="0017201D">
              <w:rPr>
                <w:rFonts w:ascii="Times New Roman" w:hAnsi="Times New Roman"/>
                <w:sz w:val="24"/>
                <w:szCs w:val="24"/>
              </w:rPr>
              <w:t>.</w:t>
            </w:r>
          </w:p>
        </w:tc>
      </w:tr>
    </w:tbl>
    <w:p w14:paraId="6AF07B14" w14:textId="08D728EB" w:rsidR="004F6117" w:rsidRPr="0017201D" w:rsidRDefault="004F6117" w:rsidP="0017201D">
      <w:pPr>
        <w:spacing w:after="0" w:line="240" w:lineRule="auto"/>
        <w:ind w:left="-709"/>
        <w:rPr>
          <w:rFonts w:ascii="Times New Roman" w:hAnsi="Times New Roman"/>
          <w:bCs/>
          <w:sz w:val="16"/>
          <w:szCs w:val="16"/>
        </w:rPr>
      </w:pPr>
    </w:p>
    <w:sectPr w:rsidR="004F6117" w:rsidRPr="001720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F6EE" w14:textId="77777777" w:rsidR="0018750B" w:rsidRDefault="0018750B" w:rsidP="00FF63EA">
      <w:pPr>
        <w:spacing w:after="0" w:line="240" w:lineRule="auto"/>
      </w:pPr>
      <w:r>
        <w:separator/>
      </w:r>
    </w:p>
  </w:endnote>
  <w:endnote w:type="continuationSeparator" w:id="0">
    <w:p w14:paraId="3A3E9DFF" w14:textId="77777777" w:rsidR="0018750B" w:rsidRDefault="0018750B" w:rsidP="00FF63EA">
      <w:pPr>
        <w:spacing w:after="0" w:line="240" w:lineRule="auto"/>
      </w:pPr>
      <w:r>
        <w:continuationSeparator/>
      </w:r>
    </w:p>
  </w:endnote>
  <w:endnote w:type="continuationNotice" w:id="1">
    <w:p w14:paraId="26440FD8" w14:textId="77777777" w:rsidR="0018750B" w:rsidRDefault="00187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B582" w14:textId="77777777" w:rsidR="0018750B" w:rsidRDefault="0018750B" w:rsidP="00FF63EA">
      <w:pPr>
        <w:spacing w:after="0" w:line="240" w:lineRule="auto"/>
      </w:pPr>
      <w:r>
        <w:separator/>
      </w:r>
    </w:p>
  </w:footnote>
  <w:footnote w:type="continuationSeparator" w:id="0">
    <w:p w14:paraId="38C68856" w14:textId="77777777" w:rsidR="0018750B" w:rsidRDefault="0018750B" w:rsidP="00FF63EA">
      <w:pPr>
        <w:spacing w:after="0" w:line="240" w:lineRule="auto"/>
      </w:pPr>
      <w:r>
        <w:continuationSeparator/>
      </w:r>
    </w:p>
  </w:footnote>
  <w:footnote w:type="continuationNotice" w:id="1">
    <w:p w14:paraId="636A2C2E" w14:textId="77777777" w:rsidR="0018750B" w:rsidRDefault="0018750B">
      <w:pPr>
        <w:spacing w:after="0" w:line="240" w:lineRule="auto"/>
      </w:pPr>
    </w:p>
  </w:footnote>
  <w:footnote w:id="2">
    <w:p w14:paraId="517E9BBF" w14:textId="27B2870D" w:rsidR="0079613F" w:rsidRPr="00CF13B6" w:rsidRDefault="0079613F" w:rsidP="00CF13B6">
      <w:pPr>
        <w:pStyle w:val="FootnoteText"/>
        <w:widowControl w:val="0"/>
        <w:spacing w:line="240" w:lineRule="auto"/>
        <w:ind w:left="-425" w:right="-709" w:hanging="284"/>
        <w:jc w:val="both"/>
        <w:rPr>
          <w:rFonts w:ascii="Times New Roman" w:hAnsi="Times New Roman"/>
          <w:lang w:val="fr-BE"/>
        </w:rPr>
      </w:pPr>
      <w:r w:rsidRPr="00CF13B6">
        <w:rPr>
          <w:rStyle w:val="FootnoteReference"/>
          <w:rFonts w:ascii="Times New Roman" w:hAnsi="Times New Roman"/>
        </w:rPr>
        <w:footnoteRef/>
      </w:r>
      <w:r w:rsidRPr="00CF13B6">
        <w:rPr>
          <w:rFonts w:ascii="Times New Roman" w:hAnsi="Times New Roman"/>
          <w:lang w:val="fr-BE"/>
        </w:rPr>
        <w:t xml:space="preserve"> </w:t>
      </w:r>
      <w:r w:rsidRPr="00CF13B6">
        <w:rPr>
          <w:rFonts w:ascii="Times New Roman" w:hAnsi="Times New Roman"/>
          <w:lang w:val="fr-BE"/>
        </w:rPr>
        <w:tab/>
      </w:r>
      <w:proofErr w:type="gramStart"/>
      <w:r w:rsidRPr="00CF13B6">
        <w:rPr>
          <w:rFonts w:ascii="Times New Roman" w:hAnsi="Times New Roman"/>
          <w:lang w:val="fr-BE"/>
        </w:rPr>
        <w:t>COM(</w:t>
      </w:r>
      <w:proofErr w:type="gramEnd"/>
      <w:r w:rsidRPr="00CF13B6">
        <w:rPr>
          <w:rFonts w:ascii="Times New Roman" w:hAnsi="Times New Roman"/>
          <w:lang w:val="fr-BE"/>
        </w:rPr>
        <w:t>2025) 551 final (</w:t>
      </w:r>
      <w:hyperlink r:id="rId1" w:history="1">
        <w:r w:rsidRPr="00CF13B6">
          <w:rPr>
            <w:rStyle w:val="Hyperlink"/>
            <w:rFonts w:ascii="Times New Roman" w:hAnsi="Times New Roman"/>
            <w:lang w:val="fr-BE"/>
          </w:rPr>
          <w:t>EUR-Lex - 52025PC0551 - EN - EUR-Lex</w:t>
        </w:r>
      </w:hyperlink>
      <w:r w:rsidRPr="00CF13B6">
        <w:rPr>
          <w:rFonts w:ascii="Times New Roman" w:hAnsi="Times New Roman"/>
          <w:lang w:val="fr-BE"/>
        </w:rPr>
        <w:t>).</w:t>
      </w:r>
    </w:p>
  </w:footnote>
  <w:footnote w:id="3">
    <w:p w14:paraId="0C902363" w14:textId="7C4816A4" w:rsidR="008A7E8E" w:rsidRPr="00CF13B6" w:rsidRDefault="008A7E8E" w:rsidP="00CF13B6">
      <w:pPr>
        <w:pStyle w:val="FootnoteText"/>
        <w:widowControl w:val="0"/>
        <w:spacing w:line="240" w:lineRule="auto"/>
        <w:ind w:left="-425" w:right="-709" w:hanging="284"/>
        <w:jc w:val="both"/>
        <w:rPr>
          <w:rFonts w:ascii="Times New Roman" w:hAnsi="Times New Roman"/>
          <w:lang w:val="fr-BE"/>
        </w:rPr>
      </w:pPr>
      <w:r w:rsidRPr="00CF13B6">
        <w:rPr>
          <w:rStyle w:val="FootnoteReference"/>
          <w:rFonts w:ascii="Times New Roman" w:hAnsi="Times New Roman"/>
        </w:rPr>
        <w:footnoteRef/>
      </w:r>
      <w:r w:rsidRPr="00CF13B6">
        <w:rPr>
          <w:rFonts w:ascii="Times New Roman" w:hAnsi="Times New Roman"/>
          <w:lang w:val="fr-BE"/>
        </w:rPr>
        <w:t xml:space="preserve"> </w:t>
      </w:r>
      <w:r w:rsidRPr="00CF13B6">
        <w:rPr>
          <w:rFonts w:ascii="Times New Roman" w:hAnsi="Times New Roman"/>
          <w:lang w:val="fr-BE"/>
        </w:rPr>
        <w:tab/>
      </w:r>
      <w:proofErr w:type="gramStart"/>
      <w:r w:rsidRPr="00CF13B6">
        <w:rPr>
          <w:rFonts w:ascii="Times New Roman" w:hAnsi="Times New Roman"/>
          <w:lang w:val="fr-BE"/>
        </w:rPr>
        <w:t>COM(</w:t>
      </w:r>
      <w:proofErr w:type="gramEnd"/>
      <w:r w:rsidRPr="00CF13B6">
        <w:rPr>
          <w:rFonts w:ascii="Times New Roman" w:hAnsi="Times New Roman"/>
          <w:lang w:val="fr-BE"/>
        </w:rPr>
        <w:t>2025) 574 final (</w:t>
      </w:r>
      <w:hyperlink r:id="rId2" w:history="1">
        <w:r w:rsidRPr="00CF13B6">
          <w:rPr>
            <w:rStyle w:val="Hyperlink"/>
            <w:rFonts w:ascii="Times New Roman" w:hAnsi="Times New Roman"/>
            <w:lang w:val="fr-BE"/>
          </w:rPr>
          <w:t>EUR-Lex - 52025PC0574 - EN - EUR-Lex</w:t>
        </w:r>
      </w:hyperlink>
      <w:r w:rsidRPr="00CF13B6">
        <w:rPr>
          <w:rFonts w:ascii="Times New Roman" w:hAnsi="Times New Roman"/>
          <w:lang w:val="fr-BE"/>
        </w:rPr>
        <w:t>).</w:t>
      </w:r>
    </w:p>
  </w:footnote>
  <w:footnote w:id="4">
    <w:p w14:paraId="72DBB0A9" w14:textId="134D6AF3" w:rsidR="00645FC1" w:rsidRPr="00CF13B6" w:rsidRDefault="00645FC1" w:rsidP="00CF13B6">
      <w:pPr>
        <w:pStyle w:val="FootnoteText"/>
        <w:widowControl w:val="0"/>
        <w:spacing w:line="240" w:lineRule="auto"/>
        <w:ind w:left="-425" w:right="-709" w:hanging="284"/>
        <w:jc w:val="both"/>
        <w:rPr>
          <w:rFonts w:ascii="Times New Roman" w:hAnsi="Times New Roman"/>
          <w:lang w:val="fr-BE"/>
        </w:rPr>
      </w:pPr>
      <w:r w:rsidRPr="00CF13B6">
        <w:rPr>
          <w:rStyle w:val="FootnoteReference"/>
          <w:rFonts w:ascii="Times New Roman" w:hAnsi="Times New Roman"/>
        </w:rPr>
        <w:footnoteRef/>
      </w:r>
      <w:r w:rsidRPr="00CF13B6">
        <w:rPr>
          <w:rFonts w:ascii="Times New Roman" w:hAnsi="Times New Roman"/>
          <w:lang w:val="fr-BE"/>
        </w:rPr>
        <w:t xml:space="preserve"> </w:t>
      </w:r>
      <w:r w:rsidR="0079613F" w:rsidRPr="00CF13B6">
        <w:rPr>
          <w:rFonts w:ascii="Times New Roman" w:hAnsi="Times New Roman"/>
          <w:lang w:val="fr-BE"/>
        </w:rPr>
        <w:tab/>
      </w:r>
      <w:proofErr w:type="gramStart"/>
      <w:r w:rsidR="008A7E8E" w:rsidRPr="00CF13B6">
        <w:rPr>
          <w:rFonts w:ascii="Times New Roman" w:hAnsi="Times New Roman"/>
          <w:lang w:val="fr-BE"/>
        </w:rPr>
        <w:t>COM(</w:t>
      </w:r>
      <w:proofErr w:type="gramEnd"/>
      <w:r w:rsidR="008A7E8E" w:rsidRPr="00CF13B6">
        <w:rPr>
          <w:rFonts w:ascii="Times New Roman" w:hAnsi="Times New Roman"/>
          <w:lang w:val="fr-BE"/>
        </w:rPr>
        <w:t>2025) 548 final (</w:t>
      </w:r>
      <w:hyperlink r:id="rId3" w:history="1">
        <w:r w:rsidR="008A7E8E" w:rsidRPr="00CF13B6">
          <w:rPr>
            <w:rStyle w:val="Hyperlink"/>
            <w:rFonts w:ascii="Times New Roman" w:hAnsi="Times New Roman"/>
            <w:lang w:val="fr-BE"/>
          </w:rPr>
          <w:t>EUR-Lex - 52025PC0548 - EN - EUR-Lex</w:t>
        </w:r>
      </w:hyperlink>
      <w:r w:rsidR="008A7E8E" w:rsidRPr="00CF13B6">
        <w:rPr>
          <w:rFonts w:ascii="Times New Roman" w:hAnsi="Times New Roman"/>
          <w:lang w:val="fr-BE"/>
        </w:rPr>
        <w:t>).</w:t>
      </w:r>
    </w:p>
  </w:footnote>
  <w:footnote w:id="5">
    <w:p w14:paraId="388BB879" w14:textId="3174F0DF" w:rsidR="008A7E8E" w:rsidRPr="00CF13B6" w:rsidRDefault="008A7E8E" w:rsidP="00CF13B6">
      <w:pPr>
        <w:pStyle w:val="FootnoteText"/>
        <w:widowControl w:val="0"/>
        <w:spacing w:line="240" w:lineRule="auto"/>
        <w:ind w:left="-283" w:right="-709" w:hanging="284"/>
        <w:jc w:val="both"/>
        <w:rPr>
          <w:rFonts w:ascii="Times New Roman" w:hAnsi="Times New Roman"/>
          <w:lang w:val="pt-PT"/>
        </w:rPr>
      </w:pPr>
      <w:r w:rsidRPr="00CF13B6">
        <w:rPr>
          <w:rStyle w:val="FootnoteReference"/>
          <w:rFonts w:ascii="Times New Roman" w:hAnsi="Times New Roman"/>
        </w:rPr>
        <w:footnoteRef/>
      </w:r>
      <w:r w:rsidRPr="00CF13B6">
        <w:rPr>
          <w:rFonts w:ascii="Times New Roman" w:hAnsi="Times New Roman"/>
          <w:lang w:val="pt-PT"/>
        </w:rPr>
        <w:t xml:space="preserve"> </w:t>
      </w:r>
      <w:r w:rsidRPr="00CF13B6">
        <w:rPr>
          <w:rFonts w:ascii="Times New Roman" w:hAnsi="Times New Roman"/>
          <w:lang w:val="pt-PT"/>
        </w:rPr>
        <w:tab/>
        <w:t>COM(2025) 872 final (</w:t>
      </w:r>
      <w:hyperlink r:id="rId4" w:history="1">
        <w:r w:rsidRPr="00CF13B6">
          <w:rPr>
            <w:rStyle w:val="Hyperlink"/>
            <w:rFonts w:ascii="Times New Roman" w:hAnsi="Times New Roman"/>
            <w:lang w:val="pt-PT"/>
          </w:rPr>
          <w:t>a4574611-30d7-4f48-bfaf-58559edffdc0_en</w:t>
        </w:r>
      </w:hyperlink>
      <w:r w:rsidRPr="00CF13B6">
        <w:rPr>
          <w:rFonts w:ascii="Times New Roman" w:hAnsi="Times New Roman"/>
          <w:lang w:val="pt-PT"/>
        </w:rPr>
        <w:t>).</w:t>
      </w:r>
    </w:p>
  </w:footnote>
  <w:footnote w:id="6">
    <w:p w14:paraId="54EC118E" w14:textId="1C0CA85F" w:rsidR="00FC0ED4" w:rsidRPr="00CF13B6" w:rsidRDefault="00FC0ED4" w:rsidP="00CF13B6">
      <w:pPr>
        <w:pStyle w:val="FootnoteText"/>
        <w:widowControl w:val="0"/>
        <w:spacing w:line="240" w:lineRule="auto"/>
        <w:ind w:left="-283" w:right="-709" w:hanging="284"/>
        <w:jc w:val="both"/>
        <w:rPr>
          <w:rFonts w:ascii="Times New Roman" w:hAnsi="Times New Roman"/>
        </w:rPr>
      </w:pPr>
      <w:r w:rsidRPr="00CF13B6">
        <w:rPr>
          <w:rStyle w:val="FootnoteReference"/>
          <w:rFonts w:ascii="Times New Roman" w:hAnsi="Times New Roman"/>
        </w:rPr>
        <w:footnoteRef/>
      </w:r>
      <w:r w:rsidRPr="00CF13B6">
        <w:rPr>
          <w:rFonts w:ascii="Times New Roman" w:hAnsi="Times New Roman"/>
        </w:rPr>
        <w:t xml:space="preserve"> </w:t>
      </w:r>
      <w:r w:rsidR="008A7E8E" w:rsidRPr="00CF13B6">
        <w:rPr>
          <w:rFonts w:ascii="Times New Roman" w:hAnsi="Times New Roman"/>
        </w:rPr>
        <w:tab/>
      </w:r>
      <w:r w:rsidR="0064618D" w:rsidRPr="00CF13B6">
        <w:rPr>
          <w:rFonts w:ascii="Times New Roman" w:hAnsi="Times New Roman"/>
        </w:rPr>
        <w:t>Regulation (EU) No 1308/2013 of the European Parliament and of the Council of 17 December 2013 establishing a common organisation of the markets in agricultural products and repealing Council Regulations (EEC) No 922/72, (EEC) No 234/79, (EC) No 1037/2001 and (EC) No 1234/2007 (</w:t>
      </w:r>
      <w:hyperlink r:id="rId5" w:tooltip="Gives access to this document through its ELI URI." w:history="1">
        <w:r w:rsidR="0064618D" w:rsidRPr="00CF13B6">
          <w:rPr>
            <w:rStyle w:val="Hyperlink"/>
            <w:rFonts w:ascii="Times New Roman" w:hAnsi="Times New Roman"/>
          </w:rPr>
          <w:t>http://data.europa.eu/eli/reg/2013/1308/oj</w:t>
        </w:r>
      </w:hyperlink>
      <w:r w:rsidR="0064618D" w:rsidRPr="00CF13B6">
        <w:rPr>
          <w:rFonts w:ascii="Times New Roman" w:hAnsi="Times New Roman"/>
        </w:rPr>
        <w:t>).</w:t>
      </w:r>
    </w:p>
  </w:footnote>
  <w:footnote w:id="7">
    <w:p w14:paraId="3CDC9699" w14:textId="00590C77" w:rsidR="0064618D" w:rsidRPr="00CF13B6" w:rsidRDefault="0064618D" w:rsidP="00CF13B6">
      <w:pPr>
        <w:pStyle w:val="FootnoteText"/>
        <w:widowControl w:val="0"/>
        <w:spacing w:line="240" w:lineRule="auto"/>
        <w:ind w:left="-283" w:right="-709" w:hanging="284"/>
        <w:jc w:val="both"/>
        <w:rPr>
          <w:rFonts w:ascii="Times New Roman" w:hAnsi="Times New Roman"/>
          <w:lang w:val="fr-BE"/>
        </w:rPr>
      </w:pPr>
      <w:r w:rsidRPr="00CF13B6">
        <w:rPr>
          <w:rStyle w:val="FootnoteReference"/>
          <w:rFonts w:ascii="Times New Roman" w:hAnsi="Times New Roman"/>
        </w:rPr>
        <w:footnoteRef/>
      </w:r>
      <w:r w:rsidRPr="00CF13B6">
        <w:rPr>
          <w:rFonts w:ascii="Times New Roman" w:hAnsi="Times New Roman"/>
          <w:lang w:val="fr-BE"/>
        </w:rPr>
        <w:t xml:space="preserve"> </w:t>
      </w:r>
      <w:r w:rsidRPr="00CF13B6">
        <w:rPr>
          <w:rFonts w:ascii="Times New Roman" w:hAnsi="Times New Roman"/>
          <w:lang w:val="fr-BE"/>
        </w:rPr>
        <w:tab/>
      </w:r>
      <w:proofErr w:type="gramStart"/>
      <w:r w:rsidRPr="00CF13B6">
        <w:rPr>
          <w:rFonts w:ascii="Times New Roman" w:hAnsi="Times New Roman"/>
          <w:lang w:val="fr-BE"/>
        </w:rPr>
        <w:t>JOIN</w:t>
      </w:r>
      <w:r>
        <w:rPr>
          <w:rFonts w:ascii="Times New Roman" w:hAnsi="Times New Roman"/>
          <w:lang w:val="fr-BE"/>
        </w:rPr>
        <w:t>(</w:t>
      </w:r>
      <w:proofErr w:type="gramEnd"/>
      <w:r w:rsidRPr="00CF13B6">
        <w:rPr>
          <w:rFonts w:ascii="Times New Roman" w:hAnsi="Times New Roman"/>
          <w:lang w:val="fr-BE"/>
        </w:rPr>
        <w:t>2025</w:t>
      </w:r>
      <w:r>
        <w:rPr>
          <w:rFonts w:ascii="Times New Roman" w:hAnsi="Times New Roman"/>
          <w:lang w:val="fr-BE"/>
        </w:rPr>
        <w:t xml:space="preserve">) </w:t>
      </w:r>
      <w:r w:rsidRPr="00CF13B6">
        <w:rPr>
          <w:rFonts w:ascii="Times New Roman" w:hAnsi="Times New Roman"/>
          <w:lang w:val="fr-BE"/>
        </w:rPr>
        <w:t>120 final (</w:t>
      </w:r>
      <w:r>
        <w:fldChar w:fldCharType="begin"/>
      </w:r>
      <w:r w:rsidRPr="003C3A84">
        <w:rPr>
          <w:lang w:val="fr-BE"/>
        </w:rPr>
        <w:instrText>HYPERLINK "https://eur-lex.europa.eu/legal-content/EN/TXT/?uri=CELEX%3A52025JC0120"</w:instrText>
      </w:r>
      <w:r>
        <w:fldChar w:fldCharType="separate"/>
      </w:r>
      <w:r w:rsidRPr="00CF13B6">
        <w:rPr>
          <w:rStyle w:val="Hyperlink"/>
          <w:rFonts w:ascii="Times New Roman" w:hAnsi="Times New Roman"/>
          <w:lang w:val="fr-BE"/>
        </w:rPr>
        <w:t>EUR-Lex - 52025JC0120 - EN - EUR-Lex</w:t>
      </w:r>
      <w:r>
        <w:fldChar w:fldCharType="end"/>
      </w:r>
      <w:r w:rsidRPr="00CF13B6">
        <w:rPr>
          <w:rFonts w:ascii="Times New Roman" w:hAnsi="Times New Roman"/>
          <w:lang w:val="fr-BE"/>
        </w:rPr>
        <w:t>).</w:t>
      </w:r>
    </w:p>
  </w:footnote>
  <w:footnote w:id="8">
    <w:p w14:paraId="40DEAEDF" w14:textId="2D5009D6" w:rsidR="6FEFBFEE" w:rsidRPr="00CF13B6" w:rsidRDefault="6FEFBFEE" w:rsidP="00CF13B6">
      <w:pPr>
        <w:pStyle w:val="FootnoteText"/>
        <w:widowControl w:val="0"/>
        <w:spacing w:line="240" w:lineRule="auto"/>
        <w:ind w:left="-283" w:right="-709" w:hanging="284"/>
        <w:jc w:val="both"/>
        <w:rPr>
          <w:rFonts w:ascii="Times New Roman" w:hAnsi="Times New Roman"/>
          <w:lang w:val="pl-PL"/>
        </w:rPr>
      </w:pPr>
      <w:r w:rsidRPr="00CF13B6">
        <w:rPr>
          <w:rStyle w:val="FootnoteReference"/>
          <w:rFonts w:ascii="Times New Roman" w:hAnsi="Times New Roman"/>
        </w:rPr>
        <w:footnoteRef/>
      </w:r>
      <w:r w:rsidRPr="00CF13B6">
        <w:rPr>
          <w:rFonts w:ascii="Times New Roman" w:hAnsi="Times New Roman"/>
        </w:rPr>
        <w:t xml:space="preserve"> </w:t>
      </w:r>
      <w:r w:rsidR="00DB3DC2" w:rsidRPr="00CF13B6">
        <w:rPr>
          <w:rFonts w:ascii="Times New Roman" w:hAnsi="Times New Roman"/>
        </w:rPr>
        <w:tab/>
      </w:r>
      <w:r w:rsidRPr="00CF13B6">
        <w:rPr>
          <w:rFonts w:ascii="Times New Roman" w:hAnsi="Times New Roman"/>
        </w:rPr>
        <w:t xml:space="preserve">Regulation (EU, Euratom) 2020/2092 of the European Parliament and of the Council of 16 December 2020 on a general regime of conditionality for the protection of the Union budget. </w:t>
      </w:r>
      <w:r w:rsidRPr="00CF13B6">
        <w:rPr>
          <w:rFonts w:ascii="Times New Roman" w:hAnsi="Times New Roman"/>
          <w:lang w:val="pl-PL"/>
        </w:rPr>
        <w:t>(</w:t>
      </w:r>
      <w:hyperlink r:id="rId6" w:history="1">
        <w:r w:rsidR="00DB3DC2" w:rsidRPr="00CF13B6">
          <w:rPr>
            <w:rStyle w:val="Hyperlink"/>
            <w:rFonts w:ascii="Times New Roman" w:hAnsi="Times New Roman"/>
            <w:lang w:val="pl-PL"/>
          </w:rPr>
          <w:t>http://data.europa.eu/eli/reg/2020/2092/oj</w:t>
        </w:r>
      </w:hyperlink>
      <w:r w:rsidRPr="00CF13B6">
        <w:rPr>
          <w:rFonts w:ascii="Times New Roman" w:hAnsi="Times New Roman"/>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32AA"/>
    <w:multiLevelType w:val="hybridMultilevel"/>
    <w:tmpl w:val="FFFFFFFF"/>
    <w:lvl w:ilvl="0" w:tplc="E4927014">
      <w:start w:val="1"/>
      <w:numFmt w:val="bullet"/>
      <w:lvlText w:val="-"/>
      <w:lvlJc w:val="left"/>
      <w:pPr>
        <w:ind w:left="720" w:hanging="360"/>
      </w:pPr>
      <w:rPr>
        <w:rFonts w:ascii="Aptos" w:hAnsi="Aptos" w:hint="default"/>
      </w:rPr>
    </w:lvl>
    <w:lvl w:ilvl="1" w:tplc="21F40420">
      <w:start w:val="1"/>
      <w:numFmt w:val="bullet"/>
      <w:lvlText w:val="o"/>
      <w:lvlJc w:val="left"/>
      <w:pPr>
        <w:ind w:left="1440" w:hanging="360"/>
      </w:pPr>
      <w:rPr>
        <w:rFonts w:ascii="Courier New" w:hAnsi="Courier New" w:hint="default"/>
      </w:rPr>
    </w:lvl>
    <w:lvl w:ilvl="2" w:tplc="7B283ECA">
      <w:start w:val="1"/>
      <w:numFmt w:val="bullet"/>
      <w:lvlText w:val=""/>
      <w:lvlJc w:val="left"/>
      <w:pPr>
        <w:ind w:left="2160" w:hanging="360"/>
      </w:pPr>
      <w:rPr>
        <w:rFonts w:ascii="Wingdings" w:hAnsi="Wingdings" w:hint="default"/>
      </w:rPr>
    </w:lvl>
    <w:lvl w:ilvl="3" w:tplc="3AAC51EE">
      <w:start w:val="1"/>
      <w:numFmt w:val="bullet"/>
      <w:lvlText w:val=""/>
      <w:lvlJc w:val="left"/>
      <w:pPr>
        <w:ind w:left="2880" w:hanging="360"/>
      </w:pPr>
      <w:rPr>
        <w:rFonts w:ascii="Symbol" w:hAnsi="Symbol" w:hint="default"/>
      </w:rPr>
    </w:lvl>
    <w:lvl w:ilvl="4" w:tplc="957412B0">
      <w:start w:val="1"/>
      <w:numFmt w:val="bullet"/>
      <w:lvlText w:val="o"/>
      <w:lvlJc w:val="left"/>
      <w:pPr>
        <w:ind w:left="3600" w:hanging="360"/>
      </w:pPr>
      <w:rPr>
        <w:rFonts w:ascii="Courier New" w:hAnsi="Courier New" w:hint="default"/>
      </w:rPr>
    </w:lvl>
    <w:lvl w:ilvl="5" w:tplc="62888D4E">
      <w:start w:val="1"/>
      <w:numFmt w:val="bullet"/>
      <w:lvlText w:val=""/>
      <w:lvlJc w:val="left"/>
      <w:pPr>
        <w:ind w:left="4320" w:hanging="360"/>
      </w:pPr>
      <w:rPr>
        <w:rFonts w:ascii="Wingdings" w:hAnsi="Wingdings" w:hint="default"/>
      </w:rPr>
    </w:lvl>
    <w:lvl w:ilvl="6" w:tplc="7D8A8AAE">
      <w:start w:val="1"/>
      <w:numFmt w:val="bullet"/>
      <w:lvlText w:val=""/>
      <w:lvlJc w:val="left"/>
      <w:pPr>
        <w:ind w:left="5040" w:hanging="360"/>
      </w:pPr>
      <w:rPr>
        <w:rFonts w:ascii="Symbol" w:hAnsi="Symbol" w:hint="default"/>
      </w:rPr>
    </w:lvl>
    <w:lvl w:ilvl="7" w:tplc="B768B5F4">
      <w:start w:val="1"/>
      <w:numFmt w:val="bullet"/>
      <w:lvlText w:val="o"/>
      <w:lvlJc w:val="left"/>
      <w:pPr>
        <w:ind w:left="5760" w:hanging="360"/>
      </w:pPr>
      <w:rPr>
        <w:rFonts w:ascii="Courier New" w:hAnsi="Courier New" w:hint="default"/>
      </w:rPr>
    </w:lvl>
    <w:lvl w:ilvl="8" w:tplc="D7E4F578">
      <w:start w:val="1"/>
      <w:numFmt w:val="bullet"/>
      <w:lvlText w:val=""/>
      <w:lvlJc w:val="left"/>
      <w:pPr>
        <w:ind w:left="6480" w:hanging="360"/>
      </w:pPr>
      <w:rPr>
        <w:rFonts w:ascii="Wingdings" w:hAnsi="Wingdings" w:hint="default"/>
      </w:rPr>
    </w:lvl>
  </w:abstractNum>
  <w:abstractNum w:abstractNumId="1" w15:restartNumberingAfterBreak="0">
    <w:nsid w:val="19FA0136"/>
    <w:multiLevelType w:val="hybridMultilevel"/>
    <w:tmpl w:val="FFFFFFFF"/>
    <w:lvl w:ilvl="0" w:tplc="9BC4432A">
      <w:start w:val="1"/>
      <w:numFmt w:val="decimal"/>
      <w:lvlText w:val="%1."/>
      <w:lvlJc w:val="left"/>
      <w:pPr>
        <w:ind w:left="720" w:hanging="360"/>
      </w:pPr>
    </w:lvl>
    <w:lvl w:ilvl="1" w:tplc="3760C8EC">
      <w:start w:val="1"/>
      <w:numFmt w:val="decimal"/>
      <w:lvlText w:val="%2.1"/>
      <w:lvlJc w:val="left"/>
      <w:pPr>
        <w:ind w:left="1440" w:hanging="360"/>
      </w:pPr>
    </w:lvl>
    <w:lvl w:ilvl="2" w:tplc="C172DE6A">
      <w:start w:val="1"/>
      <w:numFmt w:val="lowerRoman"/>
      <w:lvlText w:val="%3."/>
      <w:lvlJc w:val="right"/>
      <w:pPr>
        <w:ind w:left="2160" w:hanging="180"/>
      </w:pPr>
    </w:lvl>
    <w:lvl w:ilvl="3" w:tplc="3A680A94">
      <w:start w:val="1"/>
      <w:numFmt w:val="decimal"/>
      <w:lvlText w:val="%4."/>
      <w:lvlJc w:val="left"/>
      <w:pPr>
        <w:ind w:left="2880" w:hanging="360"/>
      </w:pPr>
    </w:lvl>
    <w:lvl w:ilvl="4" w:tplc="47E23BEA">
      <w:start w:val="1"/>
      <w:numFmt w:val="lowerLetter"/>
      <w:lvlText w:val="%5."/>
      <w:lvlJc w:val="left"/>
      <w:pPr>
        <w:ind w:left="3600" w:hanging="360"/>
      </w:pPr>
    </w:lvl>
    <w:lvl w:ilvl="5" w:tplc="0232A8F0">
      <w:start w:val="1"/>
      <w:numFmt w:val="lowerRoman"/>
      <w:lvlText w:val="%6."/>
      <w:lvlJc w:val="right"/>
      <w:pPr>
        <w:ind w:left="4320" w:hanging="180"/>
      </w:pPr>
    </w:lvl>
    <w:lvl w:ilvl="6" w:tplc="6AF4A352">
      <w:start w:val="1"/>
      <w:numFmt w:val="decimal"/>
      <w:lvlText w:val="%7."/>
      <w:lvlJc w:val="left"/>
      <w:pPr>
        <w:ind w:left="5040" w:hanging="360"/>
      </w:pPr>
    </w:lvl>
    <w:lvl w:ilvl="7" w:tplc="210065D2">
      <w:start w:val="1"/>
      <w:numFmt w:val="lowerLetter"/>
      <w:lvlText w:val="%8."/>
      <w:lvlJc w:val="left"/>
      <w:pPr>
        <w:ind w:left="5760" w:hanging="360"/>
      </w:pPr>
    </w:lvl>
    <w:lvl w:ilvl="8" w:tplc="9930719C">
      <w:start w:val="1"/>
      <w:numFmt w:val="lowerRoman"/>
      <w:lvlText w:val="%9."/>
      <w:lvlJc w:val="right"/>
      <w:pPr>
        <w:ind w:left="6480" w:hanging="180"/>
      </w:pPr>
    </w:lvl>
  </w:abstractNum>
  <w:abstractNum w:abstractNumId="2" w15:restartNumberingAfterBreak="0">
    <w:nsid w:val="25264AF4"/>
    <w:multiLevelType w:val="hybridMultilevel"/>
    <w:tmpl w:val="C06C6B12"/>
    <w:lvl w:ilvl="0" w:tplc="7D78D70A">
      <w:start w:val="1"/>
      <w:numFmt w:val="bullet"/>
      <w:lvlText w:val="·"/>
      <w:lvlJc w:val="left"/>
      <w:pPr>
        <w:ind w:left="720" w:hanging="360"/>
      </w:pPr>
      <w:rPr>
        <w:rFonts w:ascii="Times New Roman" w:hAnsi="Times New Roman" w:hint="default"/>
      </w:rPr>
    </w:lvl>
    <w:lvl w:ilvl="1" w:tplc="5B3698EE" w:tentative="1">
      <w:start w:val="1"/>
      <w:numFmt w:val="bullet"/>
      <w:lvlText w:val="o"/>
      <w:lvlJc w:val="left"/>
      <w:pPr>
        <w:ind w:left="1440" w:hanging="360"/>
      </w:pPr>
      <w:rPr>
        <w:rFonts w:ascii="Courier New" w:hAnsi="Courier New" w:hint="default"/>
      </w:rPr>
    </w:lvl>
    <w:lvl w:ilvl="2" w:tplc="64A2299C" w:tentative="1">
      <w:start w:val="1"/>
      <w:numFmt w:val="bullet"/>
      <w:lvlText w:val=""/>
      <w:lvlJc w:val="left"/>
      <w:pPr>
        <w:ind w:left="2160" w:hanging="360"/>
      </w:pPr>
      <w:rPr>
        <w:rFonts w:ascii="Wingdings" w:hAnsi="Wingdings" w:hint="default"/>
      </w:rPr>
    </w:lvl>
    <w:lvl w:ilvl="3" w:tplc="B38C85B2" w:tentative="1">
      <w:start w:val="1"/>
      <w:numFmt w:val="bullet"/>
      <w:lvlText w:val=""/>
      <w:lvlJc w:val="left"/>
      <w:pPr>
        <w:ind w:left="2880" w:hanging="360"/>
      </w:pPr>
      <w:rPr>
        <w:rFonts w:ascii="Symbol" w:hAnsi="Symbol" w:hint="default"/>
      </w:rPr>
    </w:lvl>
    <w:lvl w:ilvl="4" w:tplc="75A2229A" w:tentative="1">
      <w:start w:val="1"/>
      <w:numFmt w:val="bullet"/>
      <w:lvlText w:val="o"/>
      <w:lvlJc w:val="left"/>
      <w:pPr>
        <w:ind w:left="3600" w:hanging="360"/>
      </w:pPr>
      <w:rPr>
        <w:rFonts w:ascii="Courier New" w:hAnsi="Courier New" w:hint="default"/>
      </w:rPr>
    </w:lvl>
    <w:lvl w:ilvl="5" w:tplc="CDFE478E" w:tentative="1">
      <w:start w:val="1"/>
      <w:numFmt w:val="bullet"/>
      <w:lvlText w:val=""/>
      <w:lvlJc w:val="left"/>
      <w:pPr>
        <w:ind w:left="4320" w:hanging="360"/>
      </w:pPr>
      <w:rPr>
        <w:rFonts w:ascii="Wingdings" w:hAnsi="Wingdings" w:hint="default"/>
      </w:rPr>
    </w:lvl>
    <w:lvl w:ilvl="6" w:tplc="99A868AC" w:tentative="1">
      <w:start w:val="1"/>
      <w:numFmt w:val="bullet"/>
      <w:lvlText w:val=""/>
      <w:lvlJc w:val="left"/>
      <w:pPr>
        <w:ind w:left="5040" w:hanging="360"/>
      </w:pPr>
      <w:rPr>
        <w:rFonts w:ascii="Symbol" w:hAnsi="Symbol" w:hint="default"/>
      </w:rPr>
    </w:lvl>
    <w:lvl w:ilvl="7" w:tplc="1098DBEE" w:tentative="1">
      <w:start w:val="1"/>
      <w:numFmt w:val="bullet"/>
      <w:lvlText w:val="o"/>
      <w:lvlJc w:val="left"/>
      <w:pPr>
        <w:ind w:left="5760" w:hanging="360"/>
      </w:pPr>
      <w:rPr>
        <w:rFonts w:ascii="Courier New" w:hAnsi="Courier New" w:hint="default"/>
      </w:rPr>
    </w:lvl>
    <w:lvl w:ilvl="8" w:tplc="B87E5848" w:tentative="1">
      <w:start w:val="1"/>
      <w:numFmt w:val="bullet"/>
      <w:lvlText w:val=""/>
      <w:lvlJc w:val="left"/>
      <w:pPr>
        <w:ind w:left="6480" w:hanging="360"/>
      </w:pPr>
      <w:rPr>
        <w:rFonts w:ascii="Wingdings" w:hAnsi="Wingdings" w:hint="default"/>
      </w:rPr>
    </w:lvl>
  </w:abstractNum>
  <w:abstractNum w:abstractNumId="3" w15:restartNumberingAfterBreak="0">
    <w:nsid w:val="295258F9"/>
    <w:multiLevelType w:val="hybridMultilevel"/>
    <w:tmpl w:val="493AC1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1783C"/>
    <w:multiLevelType w:val="multilevel"/>
    <w:tmpl w:val="164CD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CB115A"/>
    <w:multiLevelType w:val="hybridMultilevel"/>
    <w:tmpl w:val="9DA2D942"/>
    <w:lvl w:ilvl="0" w:tplc="ECF4CEB8">
      <w:numFmt w:val="bullet"/>
      <w:lvlText w:val="-"/>
      <w:lvlJc w:val="left"/>
      <w:pPr>
        <w:ind w:left="720" w:hanging="360"/>
      </w:pPr>
      <w:rPr>
        <w:rFonts w:ascii="Times New Roman" w:eastAsia="Times New Roman"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A7509E"/>
    <w:multiLevelType w:val="hybridMultilevel"/>
    <w:tmpl w:val="690C5CBE"/>
    <w:lvl w:ilvl="0" w:tplc="576087EE">
      <w:start w:val="1"/>
      <w:numFmt w:val="bullet"/>
      <w:lvlText w:val=""/>
      <w:lvlJc w:val="left"/>
      <w:pPr>
        <w:ind w:left="720" w:hanging="360"/>
      </w:pPr>
      <w:rPr>
        <w:rFonts w:ascii="Symbol" w:hAnsi="Symbol" w:hint="default"/>
      </w:rPr>
    </w:lvl>
    <w:lvl w:ilvl="1" w:tplc="3FD2E1B0">
      <w:start w:val="1"/>
      <w:numFmt w:val="bullet"/>
      <w:lvlText w:val="o"/>
      <w:lvlJc w:val="left"/>
      <w:pPr>
        <w:ind w:left="1440" w:hanging="360"/>
      </w:pPr>
      <w:rPr>
        <w:rFonts w:ascii="Courier New" w:hAnsi="Courier New" w:hint="default"/>
      </w:rPr>
    </w:lvl>
    <w:lvl w:ilvl="2" w:tplc="9BB0243A">
      <w:start w:val="1"/>
      <w:numFmt w:val="bullet"/>
      <w:lvlText w:val=""/>
      <w:lvlJc w:val="left"/>
      <w:pPr>
        <w:ind w:left="2160" w:hanging="360"/>
      </w:pPr>
      <w:rPr>
        <w:rFonts w:ascii="Wingdings" w:hAnsi="Wingdings" w:hint="default"/>
      </w:rPr>
    </w:lvl>
    <w:lvl w:ilvl="3" w:tplc="4114F420">
      <w:start w:val="1"/>
      <w:numFmt w:val="bullet"/>
      <w:lvlText w:val=""/>
      <w:lvlJc w:val="left"/>
      <w:pPr>
        <w:ind w:left="2880" w:hanging="360"/>
      </w:pPr>
      <w:rPr>
        <w:rFonts w:ascii="Symbol" w:hAnsi="Symbol" w:hint="default"/>
      </w:rPr>
    </w:lvl>
    <w:lvl w:ilvl="4" w:tplc="1A826CF8">
      <w:start w:val="1"/>
      <w:numFmt w:val="bullet"/>
      <w:lvlText w:val="o"/>
      <w:lvlJc w:val="left"/>
      <w:pPr>
        <w:ind w:left="3600" w:hanging="360"/>
      </w:pPr>
      <w:rPr>
        <w:rFonts w:ascii="Courier New" w:hAnsi="Courier New" w:hint="default"/>
      </w:rPr>
    </w:lvl>
    <w:lvl w:ilvl="5" w:tplc="07E40F18">
      <w:start w:val="1"/>
      <w:numFmt w:val="bullet"/>
      <w:lvlText w:val=""/>
      <w:lvlJc w:val="left"/>
      <w:pPr>
        <w:ind w:left="4320" w:hanging="360"/>
      </w:pPr>
      <w:rPr>
        <w:rFonts w:ascii="Wingdings" w:hAnsi="Wingdings" w:hint="default"/>
      </w:rPr>
    </w:lvl>
    <w:lvl w:ilvl="6" w:tplc="4998CDBA">
      <w:start w:val="1"/>
      <w:numFmt w:val="bullet"/>
      <w:lvlText w:val=""/>
      <w:lvlJc w:val="left"/>
      <w:pPr>
        <w:ind w:left="5040" w:hanging="360"/>
      </w:pPr>
      <w:rPr>
        <w:rFonts w:ascii="Symbol" w:hAnsi="Symbol" w:hint="default"/>
      </w:rPr>
    </w:lvl>
    <w:lvl w:ilvl="7" w:tplc="FC12022E">
      <w:start w:val="1"/>
      <w:numFmt w:val="bullet"/>
      <w:lvlText w:val="o"/>
      <w:lvlJc w:val="left"/>
      <w:pPr>
        <w:ind w:left="5760" w:hanging="360"/>
      </w:pPr>
      <w:rPr>
        <w:rFonts w:ascii="Courier New" w:hAnsi="Courier New" w:hint="default"/>
      </w:rPr>
    </w:lvl>
    <w:lvl w:ilvl="8" w:tplc="1D0835A0">
      <w:start w:val="1"/>
      <w:numFmt w:val="bullet"/>
      <w:lvlText w:val=""/>
      <w:lvlJc w:val="left"/>
      <w:pPr>
        <w:ind w:left="6480" w:hanging="360"/>
      </w:pPr>
      <w:rPr>
        <w:rFonts w:ascii="Wingdings" w:hAnsi="Wingdings" w:hint="default"/>
      </w:rPr>
    </w:lvl>
  </w:abstractNum>
  <w:abstractNum w:abstractNumId="7" w15:restartNumberingAfterBreak="0">
    <w:nsid w:val="3BE52282"/>
    <w:multiLevelType w:val="hybridMultilevel"/>
    <w:tmpl w:val="9F5060B4"/>
    <w:lvl w:ilvl="0" w:tplc="6AA81810">
      <w:start w:val="1"/>
      <w:numFmt w:val="bullet"/>
      <w:lvlText w:val=""/>
      <w:lvlJc w:val="left"/>
      <w:pPr>
        <w:ind w:left="720" w:hanging="360"/>
      </w:pPr>
      <w:rPr>
        <w:rFonts w:ascii="Symbol" w:hAnsi="Symbol" w:hint="default"/>
      </w:rPr>
    </w:lvl>
    <w:lvl w:ilvl="1" w:tplc="9D00AEBC">
      <w:start w:val="1"/>
      <w:numFmt w:val="bullet"/>
      <w:lvlText w:val="o"/>
      <w:lvlJc w:val="left"/>
      <w:pPr>
        <w:ind w:left="1440" w:hanging="360"/>
      </w:pPr>
      <w:rPr>
        <w:rFonts w:ascii="Courier New" w:hAnsi="Courier New" w:hint="default"/>
      </w:rPr>
    </w:lvl>
    <w:lvl w:ilvl="2" w:tplc="FB629270">
      <w:start w:val="1"/>
      <w:numFmt w:val="bullet"/>
      <w:lvlText w:val=""/>
      <w:lvlJc w:val="left"/>
      <w:pPr>
        <w:ind w:left="2160" w:hanging="360"/>
      </w:pPr>
      <w:rPr>
        <w:rFonts w:ascii="Wingdings" w:hAnsi="Wingdings" w:hint="default"/>
      </w:rPr>
    </w:lvl>
    <w:lvl w:ilvl="3" w:tplc="593EF320">
      <w:start w:val="1"/>
      <w:numFmt w:val="bullet"/>
      <w:lvlText w:val=""/>
      <w:lvlJc w:val="left"/>
      <w:pPr>
        <w:ind w:left="2880" w:hanging="360"/>
      </w:pPr>
      <w:rPr>
        <w:rFonts w:ascii="Symbol" w:hAnsi="Symbol" w:hint="default"/>
      </w:rPr>
    </w:lvl>
    <w:lvl w:ilvl="4" w:tplc="DA6E7220">
      <w:start w:val="1"/>
      <w:numFmt w:val="bullet"/>
      <w:lvlText w:val="o"/>
      <w:lvlJc w:val="left"/>
      <w:pPr>
        <w:ind w:left="3600" w:hanging="360"/>
      </w:pPr>
      <w:rPr>
        <w:rFonts w:ascii="Courier New" w:hAnsi="Courier New" w:hint="default"/>
      </w:rPr>
    </w:lvl>
    <w:lvl w:ilvl="5" w:tplc="9A1CD2C6">
      <w:start w:val="1"/>
      <w:numFmt w:val="bullet"/>
      <w:lvlText w:val=""/>
      <w:lvlJc w:val="left"/>
      <w:pPr>
        <w:ind w:left="4320" w:hanging="360"/>
      </w:pPr>
      <w:rPr>
        <w:rFonts w:ascii="Wingdings" w:hAnsi="Wingdings" w:hint="default"/>
      </w:rPr>
    </w:lvl>
    <w:lvl w:ilvl="6" w:tplc="ABFA4744">
      <w:start w:val="1"/>
      <w:numFmt w:val="bullet"/>
      <w:lvlText w:val=""/>
      <w:lvlJc w:val="left"/>
      <w:pPr>
        <w:ind w:left="5040" w:hanging="360"/>
      </w:pPr>
      <w:rPr>
        <w:rFonts w:ascii="Symbol" w:hAnsi="Symbol" w:hint="default"/>
      </w:rPr>
    </w:lvl>
    <w:lvl w:ilvl="7" w:tplc="7BAAC386">
      <w:start w:val="1"/>
      <w:numFmt w:val="bullet"/>
      <w:lvlText w:val="o"/>
      <w:lvlJc w:val="left"/>
      <w:pPr>
        <w:ind w:left="5760" w:hanging="360"/>
      </w:pPr>
      <w:rPr>
        <w:rFonts w:ascii="Courier New" w:hAnsi="Courier New" w:hint="default"/>
      </w:rPr>
    </w:lvl>
    <w:lvl w:ilvl="8" w:tplc="84A2C29C">
      <w:start w:val="1"/>
      <w:numFmt w:val="bullet"/>
      <w:lvlText w:val=""/>
      <w:lvlJc w:val="left"/>
      <w:pPr>
        <w:ind w:left="6480" w:hanging="360"/>
      </w:pPr>
      <w:rPr>
        <w:rFonts w:ascii="Wingdings" w:hAnsi="Wingdings" w:hint="default"/>
      </w:rPr>
    </w:lvl>
  </w:abstractNum>
  <w:abstractNum w:abstractNumId="8" w15:restartNumberingAfterBreak="0">
    <w:nsid w:val="3D29071F"/>
    <w:multiLevelType w:val="hybridMultilevel"/>
    <w:tmpl w:val="3E14D3BC"/>
    <w:lvl w:ilvl="0" w:tplc="89AC0C36">
      <w:numFmt w:val="bullet"/>
      <w:lvlText w:val="-"/>
      <w:lvlJc w:val="left"/>
      <w:pPr>
        <w:ind w:left="720" w:hanging="360"/>
      </w:pPr>
      <w:rPr>
        <w:rFonts w:ascii="Times New Roman" w:hAnsi="Times New Roman" w:hint="default"/>
      </w:rPr>
    </w:lvl>
    <w:lvl w:ilvl="1" w:tplc="D99CEE6E" w:tentative="1">
      <w:start w:val="1"/>
      <w:numFmt w:val="bullet"/>
      <w:lvlText w:val="o"/>
      <w:lvlJc w:val="left"/>
      <w:pPr>
        <w:ind w:left="1440" w:hanging="360"/>
      </w:pPr>
      <w:rPr>
        <w:rFonts w:ascii="Courier New" w:hAnsi="Courier New" w:hint="default"/>
      </w:rPr>
    </w:lvl>
    <w:lvl w:ilvl="2" w:tplc="8D8009D6" w:tentative="1">
      <w:start w:val="1"/>
      <w:numFmt w:val="bullet"/>
      <w:lvlText w:val=""/>
      <w:lvlJc w:val="left"/>
      <w:pPr>
        <w:ind w:left="2160" w:hanging="360"/>
      </w:pPr>
      <w:rPr>
        <w:rFonts w:ascii="Wingdings" w:hAnsi="Wingdings" w:hint="default"/>
      </w:rPr>
    </w:lvl>
    <w:lvl w:ilvl="3" w:tplc="A816DB7A" w:tentative="1">
      <w:start w:val="1"/>
      <w:numFmt w:val="bullet"/>
      <w:lvlText w:val=""/>
      <w:lvlJc w:val="left"/>
      <w:pPr>
        <w:ind w:left="2880" w:hanging="360"/>
      </w:pPr>
      <w:rPr>
        <w:rFonts w:ascii="Symbol" w:hAnsi="Symbol" w:hint="default"/>
      </w:rPr>
    </w:lvl>
    <w:lvl w:ilvl="4" w:tplc="4F80725E" w:tentative="1">
      <w:start w:val="1"/>
      <w:numFmt w:val="bullet"/>
      <w:lvlText w:val="o"/>
      <w:lvlJc w:val="left"/>
      <w:pPr>
        <w:ind w:left="3600" w:hanging="360"/>
      </w:pPr>
      <w:rPr>
        <w:rFonts w:ascii="Courier New" w:hAnsi="Courier New" w:hint="default"/>
      </w:rPr>
    </w:lvl>
    <w:lvl w:ilvl="5" w:tplc="DAE2C6B4" w:tentative="1">
      <w:start w:val="1"/>
      <w:numFmt w:val="bullet"/>
      <w:lvlText w:val=""/>
      <w:lvlJc w:val="left"/>
      <w:pPr>
        <w:ind w:left="4320" w:hanging="360"/>
      </w:pPr>
      <w:rPr>
        <w:rFonts w:ascii="Wingdings" w:hAnsi="Wingdings" w:hint="default"/>
      </w:rPr>
    </w:lvl>
    <w:lvl w:ilvl="6" w:tplc="9C76D118" w:tentative="1">
      <w:start w:val="1"/>
      <w:numFmt w:val="bullet"/>
      <w:lvlText w:val=""/>
      <w:lvlJc w:val="left"/>
      <w:pPr>
        <w:ind w:left="5040" w:hanging="360"/>
      </w:pPr>
      <w:rPr>
        <w:rFonts w:ascii="Symbol" w:hAnsi="Symbol" w:hint="default"/>
      </w:rPr>
    </w:lvl>
    <w:lvl w:ilvl="7" w:tplc="0BF28992" w:tentative="1">
      <w:start w:val="1"/>
      <w:numFmt w:val="bullet"/>
      <w:lvlText w:val="o"/>
      <w:lvlJc w:val="left"/>
      <w:pPr>
        <w:ind w:left="5760" w:hanging="360"/>
      </w:pPr>
      <w:rPr>
        <w:rFonts w:ascii="Courier New" w:hAnsi="Courier New" w:hint="default"/>
      </w:rPr>
    </w:lvl>
    <w:lvl w:ilvl="8" w:tplc="23ACECB4" w:tentative="1">
      <w:start w:val="1"/>
      <w:numFmt w:val="bullet"/>
      <w:lvlText w:val=""/>
      <w:lvlJc w:val="left"/>
      <w:pPr>
        <w:ind w:left="6480" w:hanging="360"/>
      </w:pPr>
      <w:rPr>
        <w:rFonts w:ascii="Wingdings" w:hAnsi="Wingdings" w:hint="default"/>
      </w:rPr>
    </w:lvl>
  </w:abstractNum>
  <w:abstractNum w:abstractNumId="9" w15:restartNumberingAfterBreak="0">
    <w:nsid w:val="48082BC2"/>
    <w:multiLevelType w:val="hybridMultilevel"/>
    <w:tmpl w:val="C75A6C1A"/>
    <w:lvl w:ilvl="0" w:tplc="6C36EFA4">
      <w:start w:val="1"/>
      <w:numFmt w:val="bullet"/>
      <w:lvlText w:val=""/>
      <w:lvlJc w:val="left"/>
      <w:pPr>
        <w:ind w:left="1647" w:hanging="360"/>
      </w:pPr>
      <w:rPr>
        <w:rFonts w:ascii="Symbol" w:hAnsi="Symbol" w:hint="default"/>
      </w:rPr>
    </w:lvl>
    <w:lvl w:ilvl="1" w:tplc="E8ACD014" w:tentative="1">
      <w:start w:val="1"/>
      <w:numFmt w:val="bullet"/>
      <w:lvlText w:val="o"/>
      <w:lvlJc w:val="left"/>
      <w:pPr>
        <w:ind w:left="2367" w:hanging="360"/>
      </w:pPr>
      <w:rPr>
        <w:rFonts w:ascii="Courier New" w:hAnsi="Courier New" w:hint="default"/>
      </w:rPr>
    </w:lvl>
    <w:lvl w:ilvl="2" w:tplc="3F9A8A68" w:tentative="1">
      <w:start w:val="1"/>
      <w:numFmt w:val="bullet"/>
      <w:lvlText w:val=""/>
      <w:lvlJc w:val="left"/>
      <w:pPr>
        <w:ind w:left="3087" w:hanging="360"/>
      </w:pPr>
      <w:rPr>
        <w:rFonts w:ascii="Wingdings" w:hAnsi="Wingdings" w:hint="default"/>
      </w:rPr>
    </w:lvl>
    <w:lvl w:ilvl="3" w:tplc="417E11EE" w:tentative="1">
      <w:start w:val="1"/>
      <w:numFmt w:val="bullet"/>
      <w:lvlText w:val=""/>
      <w:lvlJc w:val="left"/>
      <w:pPr>
        <w:ind w:left="3807" w:hanging="360"/>
      </w:pPr>
      <w:rPr>
        <w:rFonts w:ascii="Symbol" w:hAnsi="Symbol" w:hint="default"/>
      </w:rPr>
    </w:lvl>
    <w:lvl w:ilvl="4" w:tplc="1A6C19F4" w:tentative="1">
      <w:start w:val="1"/>
      <w:numFmt w:val="bullet"/>
      <w:lvlText w:val="o"/>
      <w:lvlJc w:val="left"/>
      <w:pPr>
        <w:ind w:left="4527" w:hanging="360"/>
      </w:pPr>
      <w:rPr>
        <w:rFonts w:ascii="Courier New" w:hAnsi="Courier New" w:hint="default"/>
      </w:rPr>
    </w:lvl>
    <w:lvl w:ilvl="5" w:tplc="E566200C" w:tentative="1">
      <w:start w:val="1"/>
      <w:numFmt w:val="bullet"/>
      <w:lvlText w:val=""/>
      <w:lvlJc w:val="left"/>
      <w:pPr>
        <w:ind w:left="5247" w:hanging="360"/>
      </w:pPr>
      <w:rPr>
        <w:rFonts w:ascii="Wingdings" w:hAnsi="Wingdings" w:hint="default"/>
      </w:rPr>
    </w:lvl>
    <w:lvl w:ilvl="6" w:tplc="CA024FB6" w:tentative="1">
      <w:start w:val="1"/>
      <w:numFmt w:val="bullet"/>
      <w:lvlText w:val=""/>
      <w:lvlJc w:val="left"/>
      <w:pPr>
        <w:ind w:left="5967" w:hanging="360"/>
      </w:pPr>
      <w:rPr>
        <w:rFonts w:ascii="Symbol" w:hAnsi="Symbol" w:hint="default"/>
      </w:rPr>
    </w:lvl>
    <w:lvl w:ilvl="7" w:tplc="66764B70" w:tentative="1">
      <w:start w:val="1"/>
      <w:numFmt w:val="bullet"/>
      <w:lvlText w:val="o"/>
      <w:lvlJc w:val="left"/>
      <w:pPr>
        <w:ind w:left="6687" w:hanging="360"/>
      </w:pPr>
      <w:rPr>
        <w:rFonts w:ascii="Courier New" w:hAnsi="Courier New" w:hint="default"/>
      </w:rPr>
    </w:lvl>
    <w:lvl w:ilvl="8" w:tplc="5964BCD0" w:tentative="1">
      <w:start w:val="1"/>
      <w:numFmt w:val="bullet"/>
      <w:lvlText w:val=""/>
      <w:lvlJc w:val="left"/>
      <w:pPr>
        <w:ind w:left="7407" w:hanging="360"/>
      </w:pPr>
      <w:rPr>
        <w:rFonts w:ascii="Wingdings" w:hAnsi="Wingdings" w:hint="default"/>
      </w:rPr>
    </w:lvl>
  </w:abstractNum>
  <w:abstractNum w:abstractNumId="10" w15:restartNumberingAfterBreak="0">
    <w:nsid w:val="4BAEA4E9"/>
    <w:multiLevelType w:val="hybridMultilevel"/>
    <w:tmpl w:val="9252CC08"/>
    <w:lvl w:ilvl="0" w:tplc="E946A1DC">
      <w:start w:val="1"/>
      <w:numFmt w:val="bullet"/>
      <w:lvlText w:val=""/>
      <w:lvlJc w:val="left"/>
      <w:pPr>
        <w:ind w:left="720" w:hanging="360"/>
      </w:pPr>
      <w:rPr>
        <w:rFonts w:ascii="Symbol" w:hAnsi="Symbol" w:hint="default"/>
      </w:rPr>
    </w:lvl>
    <w:lvl w:ilvl="1" w:tplc="211ECFE6">
      <w:start w:val="1"/>
      <w:numFmt w:val="bullet"/>
      <w:lvlText w:val="o"/>
      <w:lvlJc w:val="left"/>
      <w:pPr>
        <w:ind w:left="1440" w:hanging="360"/>
      </w:pPr>
      <w:rPr>
        <w:rFonts w:ascii="Courier New" w:hAnsi="Courier New" w:hint="default"/>
      </w:rPr>
    </w:lvl>
    <w:lvl w:ilvl="2" w:tplc="44003FF0">
      <w:start w:val="1"/>
      <w:numFmt w:val="bullet"/>
      <w:lvlText w:val=""/>
      <w:lvlJc w:val="left"/>
      <w:pPr>
        <w:ind w:left="2160" w:hanging="360"/>
      </w:pPr>
      <w:rPr>
        <w:rFonts w:ascii="Wingdings" w:hAnsi="Wingdings" w:hint="default"/>
      </w:rPr>
    </w:lvl>
    <w:lvl w:ilvl="3" w:tplc="6A76AFC0">
      <w:start w:val="1"/>
      <w:numFmt w:val="bullet"/>
      <w:lvlText w:val=""/>
      <w:lvlJc w:val="left"/>
      <w:pPr>
        <w:ind w:left="2880" w:hanging="360"/>
      </w:pPr>
      <w:rPr>
        <w:rFonts w:ascii="Symbol" w:hAnsi="Symbol" w:hint="default"/>
      </w:rPr>
    </w:lvl>
    <w:lvl w:ilvl="4" w:tplc="04D0E5EA">
      <w:start w:val="1"/>
      <w:numFmt w:val="bullet"/>
      <w:lvlText w:val="o"/>
      <w:lvlJc w:val="left"/>
      <w:pPr>
        <w:ind w:left="3600" w:hanging="360"/>
      </w:pPr>
      <w:rPr>
        <w:rFonts w:ascii="Courier New" w:hAnsi="Courier New" w:hint="default"/>
      </w:rPr>
    </w:lvl>
    <w:lvl w:ilvl="5" w:tplc="D3B41840">
      <w:start w:val="1"/>
      <w:numFmt w:val="bullet"/>
      <w:lvlText w:val=""/>
      <w:lvlJc w:val="left"/>
      <w:pPr>
        <w:ind w:left="4320" w:hanging="360"/>
      </w:pPr>
      <w:rPr>
        <w:rFonts w:ascii="Wingdings" w:hAnsi="Wingdings" w:hint="default"/>
      </w:rPr>
    </w:lvl>
    <w:lvl w:ilvl="6" w:tplc="91307F7A">
      <w:start w:val="1"/>
      <w:numFmt w:val="bullet"/>
      <w:lvlText w:val=""/>
      <w:lvlJc w:val="left"/>
      <w:pPr>
        <w:ind w:left="5040" w:hanging="360"/>
      </w:pPr>
      <w:rPr>
        <w:rFonts w:ascii="Symbol" w:hAnsi="Symbol" w:hint="default"/>
      </w:rPr>
    </w:lvl>
    <w:lvl w:ilvl="7" w:tplc="D71028A0">
      <w:start w:val="1"/>
      <w:numFmt w:val="bullet"/>
      <w:lvlText w:val="o"/>
      <w:lvlJc w:val="left"/>
      <w:pPr>
        <w:ind w:left="5760" w:hanging="360"/>
      </w:pPr>
      <w:rPr>
        <w:rFonts w:ascii="Courier New" w:hAnsi="Courier New" w:hint="default"/>
      </w:rPr>
    </w:lvl>
    <w:lvl w:ilvl="8" w:tplc="DE46B166">
      <w:start w:val="1"/>
      <w:numFmt w:val="bullet"/>
      <w:lvlText w:val=""/>
      <w:lvlJc w:val="left"/>
      <w:pPr>
        <w:ind w:left="6480" w:hanging="360"/>
      </w:pPr>
      <w:rPr>
        <w:rFonts w:ascii="Wingdings" w:hAnsi="Wingdings" w:hint="default"/>
      </w:rPr>
    </w:lvl>
  </w:abstractNum>
  <w:abstractNum w:abstractNumId="11" w15:restartNumberingAfterBreak="0">
    <w:nsid w:val="525414B4"/>
    <w:multiLevelType w:val="hybridMultilevel"/>
    <w:tmpl w:val="0C9E4A46"/>
    <w:lvl w:ilvl="0" w:tplc="39B09E4A">
      <w:numFmt w:val="bullet"/>
      <w:lvlText w:val="•"/>
      <w:lvlJc w:val="left"/>
      <w:pPr>
        <w:ind w:left="420" w:hanging="360"/>
      </w:pPr>
      <w:rPr>
        <w:rFonts w:ascii="Times New Roman" w:eastAsia="Calibri" w:hAnsi="Times New Roman"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2" w15:restartNumberingAfterBreak="0">
    <w:nsid w:val="52A82E25"/>
    <w:multiLevelType w:val="hybridMultilevel"/>
    <w:tmpl w:val="FAA883A2"/>
    <w:lvl w:ilvl="0" w:tplc="23E4383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BFCA90"/>
    <w:multiLevelType w:val="hybridMultilevel"/>
    <w:tmpl w:val="D2D6DF88"/>
    <w:lvl w:ilvl="0" w:tplc="2092C488">
      <w:start w:val="1"/>
      <w:numFmt w:val="bullet"/>
      <w:lvlText w:val=""/>
      <w:lvlJc w:val="left"/>
      <w:pPr>
        <w:ind w:left="720" w:hanging="360"/>
      </w:pPr>
      <w:rPr>
        <w:rFonts w:ascii="Symbol" w:hAnsi="Symbol" w:hint="default"/>
      </w:rPr>
    </w:lvl>
    <w:lvl w:ilvl="1" w:tplc="2A0A2816">
      <w:start w:val="1"/>
      <w:numFmt w:val="bullet"/>
      <w:lvlText w:val="o"/>
      <w:lvlJc w:val="left"/>
      <w:pPr>
        <w:ind w:left="1440" w:hanging="360"/>
      </w:pPr>
      <w:rPr>
        <w:rFonts w:ascii="Courier New" w:hAnsi="Courier New" w:hint="default"/>
      </w:rPr>
    </w:lvl>
    <w:lvl w:ilvl="2" w:tplc="5F00F400">
      <w:start w:val="1"/>
      <w:numFmt w:val="bullet"/>
      <w:lvlText w:val=""/>
      <w:lvlJc w:val="left"/>
      <w:pPr>
        <w:ind w:left="2160" w:hanging="360"/>
      </w:pPr>
      <w:rPr>
        <w:rFonts w:ascii="Wingdings" w:hAnsi="Wingdings" w:hint="default"/>
      </w:rPr>
    </w:lvl>
    <w:lvl w:ilvl="3" w:tplc="2A54373A">
      <w:start w:val="1"/>
      <w:numFmt w:val="bullet"/>
      <w:lvlText w:val=""/>
      <w:lvlJc w:val="left"/>
      <w:pPr>
        <w:ind w:left="2880" w:hanging="360"/>
      </w:pPr>
      <w:rPr>
        <w:rFonts w:ascii="Symbol" w:hAnsi="Symbol" w:hint="default"/>
      </w:rPr>
    </w:lvl>
    <w:lvl w:ilvl="4" w:tplc="34F28674">
      <w:start w:val="1"/>
      <w:numFmt w:val="bullet"/>
      <w:lvlText w:val="o"/>
      <w:lvlJc w:val="left"/>
      <w:pPr>
        <w:ind w:left="3600" w:hanging="360"/>
      </w:pPr>
      <w:rPr>
        <w:rFonts w:ascii="Courier New" w:hAnsi="Courier New" w:hint="default"/>
      </w:rPr>
    </w:lvl>
    <w:lvl w:ilvl="5" w:tplc="8BE0BCF8">
      <w:start w:val="1"/>
      <w:numFmt w:val="bullet"/>
      <w:lvlText w:val=""/>
      <w:lvlJc w:val="left"/>
      <w:pPr>
        <w:ind w:left="4320" w:hanging="360"/>
      </w:pPr>
      <w:rPr>
        <w:rFonts w:ascii="Wingdings" w:hAnsi="Wingdings" w:hint="default"/>
      </w:rPr>
    </w:lvl>
    <w:lvl w:ilvl="6" w:tplc="FAE6FFDE">
      <w:start w:val="1"/>
      <w:numFmt w:val="bullet"/>
      <w:lvlText w:val=""/>
      <w:lvlJc w:val="left"/>
      <w:pPr>
        <w:ind w:left="5040" w:hanging="360"/>
      </w:pPr>
      <w:rPr>
        <w:rFonts w:ascii="Symbol" w:hAnsi="Symbol" w:hint="default"/>
      </w:rPr>
    </w:lvl>
    <w:lvl w:ilvl="7" w:tplc="9E62A4B6">
      <w:start w:val="1"/>
      <w:numFmt w:val="bullet"/>
      <w:lvlText w:val="o"/>
      <w:lvlJc w:val="left"/>
      <w:pPr>
        <w:ind w:left="5760" w:hanging="360"/>
      </w:pPr>
      <w:rPr>
        <w:rFonts w:ascii="Courier New" w:hAnsi="Courier New" w:hint="default"/>
      </w:rPr>
    </w:lvl>
    <w:lvl w:ilvl="8" w:tplc="77A0A672">
      <w:start w:val="1"/>
      <w:numFmt w:val="bullet"/>
      <w:lvlText w:val=""/>
      <w:lvlJc w:val="left"/>
      <w:pPr>
        <w:ind w:left="6480" w:hanging="360"/>
      </w:pPr>
      <w:rPr>
        <w:rFonts w:ascii="Wingdings" w:hAnsi="Wingdings" w:hint="default"/>
      </w:rPr>
    </w:lvl>
  </w:abstractNum>
  <w:abstractNum w:abstractNumId="14" w15:restartNumberingAfterBreak="0">
    <w:nsid w:val="59D7BA13"/>
    <w:multiLevelType w:val="hybridMultilevel"/>
    <w:tmpl w:val="583C4F0E"/>
    <w:lvl w:ilvl="0" w:tplc="5094C9D2">
      <w:start w:val="1"/>
      <w:numFmt w:val="decimal"/>
      <w:lvlText w:val="%1."/>
      <w:lvlJc w:val="left"/>
      <w:pPr>
        <w:ind w:left="720" w:hanging="360"/>
      </w:pPr>
    </w:lvl>
    <w:lvl w:ilvl="1" w:tplc="F9C0EDDC">
      <w:start w:val="1"/>
      <w:numFmt w:val="decimal"/>
      <w:lvlText w:val="%2.1"/>
      <w:lvlJc w:val="left"/>
      <w:pPr>
        <w:ind w:left="1440" w:hanging="360"/>
      </w:pPr>
    </w:lvl>
    <w:lvl w:ilvl="2" w:tplc="9C5268BE">
      <w:start w:val="1"/>
      <w:numFmt w:val="lowerRoman"/>
      <w:lvlText w:val="%3."/>
      <w:lvlJc w:val="right"/>
      <w:pPr>
        <w:ind w:left="2160" w:hanging="180"/>
      </w:pPr>
    </w:lvl>
    <w:lvl w:ilvl="3" w:tplc="C9C41EBC">
      <w:start w:val="1"/>
      <w:numFmt w:val="decimal"/>
      <w:lvlText w:val="%4."/>
      <w:lvlJc w:val="left"/>
      <w:pPr>
        <w:ind w:left="2880" w:hanging="360"/>
      </w:pPr>
    </w:lvl>
    <w:lvl w:ilvl="4" w:tplc="69683F6A">
      <w:start w:val="1"/>
      <w:numFmt w:val="lowerLetter"/>
      <w:lvlText w:val="%5."/>
      <w:lvlJc w:val="left"/>
      <w:pPr>
        <w:ind w:left="3600" w:hanging="360"/>
      </w:pPr>
    </w:lvl>
    <w:lvl w:ilvl="5" w:tplc="2CC87B70">
      <w:start w:val="1"/>
      <w:numFmt w:val="lowerRoman"/>
      <w:lvlText w:val="%6."/>
      <w:lvlJc w:val="right"/>
      <w:pPr>
        <w:ind w:left="4320" w:hanging="180"/>
      </w:pPr>
    </w:lvl>
    <w:lvl w:ilvl="6" w:tplc="0E54E954">
      <w:start w:val="1"/>
      <w:numFmt w:val="decimal"/>
      <w:lvlText w:val="%7."/>
      <w:lvlJc w:val="left"/>
      <w:pPr>
        <w:ind w:left="5040" w:hanging="360"/>
      </w:pPr>
    </w:lvl>
    <w:lvl w:ilvl="7" w:tplc="BB7872E4">
      <w:start w:val="1"/>
      <w:numFmt w:val="lowerLetter"/>
      <w:lvlText w:val="%8."/>
      <w:lvlJc w:val="left"/>
      <w:pPr>
        <w:ind w:left="5760" w:hanging="360"/>
      </w:pPr>
    </w:lvl>
    <w:lvl w:ilvl="8" w:tplc="2F0C4864">
      <w:start w:val="1"/>
      <w:numFmt w:val="lowerRoman"/>
      <w:lvlText w:val="%9."/>
      <w:lvlJc w:val="right"/>
      <w:pPr>
        <w:ind w:left="6480" w:hanging="180"/>
      </w:pPr>
    </w:lvl>
  </w:abstractNum>
  <w:abstractNum w:abstractNumId="15" w15:restartNumberingAfterBreak="0">
    <w:nsid w:val="5C5B5196"/>
    <w:multiLevelType w:val="hybridMultilevel"/>
    <w:tmpl w:val="7946F3B4"/>
    <w:lvl w:ilvl="0" w:tplc="FFA63FB2">
      <w:start w:val="1"/>
      <w:numFmt w:val="bullet"/>
      <w:lvlText w:val="·"/>
      <w:lvlJc w:val="left"/>
      <w:pPr>
        <w:ind w:left="720" w:hanging="360"/>
      </w:pPr>
      <w:rPr>
        <w:rFonts w:ascii="Symbol" w:hAnsi="Symbol" w:hint="default"/>
      </w:rPr>
    </w:lvl>
    <w:lvl w:ilvl="1" w:tplc="E3EC6EA8">
      <w:start w:val="1"/>
      <w:numFmt w:val="bullet"/>
      <w:lvlText w:val="o"/>
      <w:lvlJc w:val="left"/>
      <w:pPr>
        <w:ind w:left="1440" w:hanging="360"/>
      </w:pPr>
      <w:rPr>
        <w:rFonts w:ascii="Symbol" w:hAnsi="Symbol" w:hint="default"/>
      </w:rPr>
    </w:lvl>
    <w:lvl w:ilvl="2" w:tplc="A7CA93F0">
      <w:start w:val="1"/>
      <w:numFmt w:val="bullet"/>
      <w:lvlText w:val=""/>
      <w:lvlJc w:val="left"/>
      <w:pPr>
        <w:ind w:left="2160" w:hanging="360"/>
      </w:pPr>
      <w:rPr>
        <w:rFonts w:ascii="Wingdings" w:hAnsi="Wingdings" w:hint="default"/>
      </w:rPr>
    </w:lvl>
    <w:lvl w:ilvl="3" w:tplc="FA4CCB80">
      <w:start w:val="1"/>
      <w:numFmt w:val="bullet"/>
      <w:lvlText w:val=""/>
      <w:lvlJc w:val="left"/>
      <w:pPr>
        <w:ind w:left="2880" w:hanging="360"/>
      </w:pPr>
      <w:rPr>
        <w:rFonts w:ascii="Symbol" w:hAnsi="Symbol" w:hint="default"/>
      </w:rPr>
    </w:lvl>
    <w:lvl w:ilvl="4" w:tplc="8E04989A">
      <w:start w:val="1"/>
      <w:numFmt w:val="bullet"/>
      <w:lvlText w:val="o"/>
      <w:lvlJc w:val="left"/>
      <w:pPr>
        <w:ind w:left="3600" w:hanging="360"/>
      </w:pPr>
      <w:rPr>
        <w:rFonts w:ascii="Courier New" w:hAnsi="Courier New" w:hint="default"/>
      </w:rPr>
    </w:lvl>
    <w:lvl w:ilvl="5" w:tplc="B6626FA6">
      <w:start w:val="1"/>
      <w:numFmt w:val="bullet"/>
      <w:lvlText w:val=""/>
      <w:lvlJc w:val="left"/>
      <w:pPr>
        <w:ind w:left="4320" w:hanging="360"/>
      </w:pPr>
      <w:rPr>
        <w:rFonts w:ascii="Wingdings" w:hAnsi="Wingdings" w:hint="default"/>
      </w:rPr>
    </w:lvl>
    <w:lvl w:ilvl="6" w:tplc="8F24DF9E">
      <w:start w:val="1"/>
      <w:numFmt w:val="bullet"/>
      <w:lvlText w:val=""/>
      <w:lvlJc w:val="left"/>
      <w:pPr>
        <w:ind w:left="5040" w:hanging="360"/>
      </w:pPr>
      <w:rPr>
        <w:rFonts w:ascii="Symbol" w:hAnsi="Symbol" w:hint="default"/>
      </w:rPr>
    </w:lvl>
    <w:lvl w:ilvl="7" w:tplc="6AB64A0C">
      <w:start w:val="1"/>
      <w:numFmt w:val="bullet"/>
      <w:lvlText w:val="o"/>
      <w:lvlJc w:val="left"/>
      <w:pPr>
        <w:ind w:left="5760" w:hanging="360"/>
      </w:pPr>
      <w:rPr>
        <w:rFonts w:ascii="Courier New" w:hAnsi="Courier New" w:hint="default"/>
      </w:rPr>
    </w:lvl>
    <w:lvl w:ilvl="8" w:tplc="3BCEC804">
      <w:start w:val="1"/>
      <w:numFmt w:val="bullet"/>
      <w:lvlText w:val=""/>
      <w:lvlJc w:val="left"/>
      <w:pPr>
        <w:ind w:left="6480" w:hanging="360"/>
      </w:pPr>
      <w:rPr>
        <w:rFonts w:ascii="Wingdings" w:hAnsi="Wingdings" w:hint="default"/>
      </w:rPr>
    </w:lvl>
  </w:abstractNum>
  <w:abstractNum w:abstractNumId="16" w15:restartNumberingAfterBreak="0">
    <w:nsid w:val="60C4137B"/>
    <w:multiLevelType w:val="hybridMultilevel"/>
    <w:tmpl w:val="3E00E04A"/>
    <w:lvl w:ilvl="0" w:tplc="1344910E">
      <w:start w:val="1"/>
      <w:numFmt w:val="bullet"/>
      <w:lvlText w:val=""/>
      <w:lvlJc w:val="left"/>
      <w:pPr>
        <w:ind w:left="1080" w:hanging="360"/>
      </w:pPr>
      <w:rPr>
        <w:rFonts w:ascii="Symbol" w:hAnsi="Symbol" w:hint="default"/>
      </w:rPr>
    </w:lvl>
    <w:lvl w:ilvl="1" w:tplc="3EE66CC4">
      <w:start w:val="1"/>
      <w:numFmt w:val="bullet"/>
      <w:lvlText w:val="o"/>
      <w:lvlJc w:val="left"/>
      <w:pPr>
        <w:ind w:left="1800" w:hanging="360"/>
      </w:pPr>
      <w:rPr>
        <w:rFonts w:ascii="Courier New" w:hAnsi="Courier New" w:hint="default"/>
      </w:rPr>
    </w:lvl>
    <w:lvl w:ilvl="2" w:tplc="0568A98A">
      <w:start w:val="1"/>
      <w:numFmt w:val="bullet"/>
      <w:lvlText w:val=""/>
      <w:lvlJc w:val="left"/>
      <w:pPr>
        <w:ind w:left="2520" w:hanging="360"/>
      </w:pPr>
      <w:rPr>
        <w:rFonts w:ascii="Wingdings" w:hAnsi="Wingdings" w:hint="default"/>
      </w:rPr>
    </w:lvl>
    <w:lvl w:ilvl="3" w:tplc="990AA730">
      <w:start w:val="1"/>
      <w:numFmt w:val="bullet"/>
      <w:lvlText w:val=""/>
      <w:lvlJc w:val="left"/>
      <w:pPr>
        <w:ind w:left="3240" w:hanging="360"/>
      </w:pPr>
      <w:rPr>
        <w:rFonts w:ascii="Symbol" w:hAnsi="Symbol" w:hint="default"/>
      </w:rPr>
    </w:lvl>
    <w:lvl w:ilvl="4" w:tplc="48AEB1DA">
      <w:start w:val="1"/>
      <w:numFmt w:val="bullet"/>
      <w:lvlText w:val="o"/>
      <w:lvlJc w:val="left"/>
      <w:pPr>
        <w:ind w:left="3960" w:hanging="360"/>
      </w:pPr>
      <w:rPr>
        <w:rFonts w:ascii="Courier New" w:hAnsi="Courier New" w:hint="default"/>
      </w:rPr>
    </w:lvl>
    <w:lvl w:ilvl="5" w:tplc="7C0A11A6">
      <w:start w:val="1"/>
      <w:numFmt w:val="bullet"/>
      <w:lvlText w:val=""/>
      <w:lvlJc w:val="left"/>
      <w:pPr>
        <w:ind w:left="4680" w:hanging="360"/>
      </w:pPr>
      <w:rPr>
        <w:rFonts w:ascii="Wingdings" w:hAnsi="Wingdings" w:hint="default"/>
      </w:rPr>
    </w:lvl>
    <w:lvl w:ilvl="6" w:tplc="51A8F382">
      <w:start w:val="1"/>
      <w:numFmt w:val="bullet"/>
      <w:lvlText w:val=""/>
      <w:lvlJc w:val="left"/>
      <w:pPr>
        <w:ind w:left="5400" w:hanging="360"/>
      </w:pPr>
      <w:rPr>
        <w:rFonts w:ascii="Symbol" w:hAnsi="Symbol" w:hint="default"/>
      </w:rPr>
    </w:lvl>
    <w:lvl w:ilvl="7" w:tplc="4CD60C80">
      <w:start w:val="1"/>
      <w:numFmt w:val="bullet"/>
      <w:lvlText w:val="o"/>
      <w:lvlJc w:val="left"/>
      <w:pPr>
        <w:ind w:left="6120" w:hanging="360"/>
      </w:pPr>
      <w:rPr>
        <w:rFonts w:ascii="Courier New" w:hAnsi="Courier New" w:hint="default"/>
      </w:rPr>
    </w:lvl>
    <w:lvl w:ilvl="8" w:tplc="025CF730">
      <w:start w:val="1"/>
      <w:numFmt w:val="bullet"/>
      <w:lvlText w:val=""/>
      <w:lvlJc w:val="left"/>
      <w:pPr>
        <w:ind w:left="6840" w:hanging="360"/>
      </w:pPr>
      <w:rPr>
        <w:rFonts w:ascii="Wingdings" w:hAnsi="Wingdings" w:hint="default"/>
      </w:rPr>
    </w:lvl>
  </w:abstractNum>
  <w:abstractNum w:abstractNumId="17" w15:restartNumberingAfterBreak="0">
    <w:nsid w:val="62C27366"/>
    <w:multiLevelType w:val="hybridMultilevel"/>
    <w:tmpl w:val="D430D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A336C3"/>
    <w:multiLevelType w:val="hybridMultilevel"/>
    <w:tmpl w:val="493AC1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8B203B3"/>
    <w:multiLevelType w:val="hybridMultilevel"/>
    <w:tmpl w:val="FFFFFFFF"/>
    <w:lvl w:ilvl="0" w:tplc="3196C492">
      <w:start w:val="1"/>
      <w:numFmt w:val="bullet"/>
      <w:lvlText w:val=""/>
      <w:lvlJc w:val="left"/>
      <w:pPr>
        <w:ind w:left="360" w:hanging="360"/>
      </w:pPr>
      <w:rPr>
        <w:rFonts w:ascii="Symbol" w:hAnsi="Symbol" w:hint="default"/>
      </w:rPr>
    </w:lvl>
    <w:lvl w:ilvl="1" w:tplc="B4F0EC9A">
      <w:start w:val="1"/>
      <w:numFmt w:val="bullet"/>
      <w:lvlText w:val="o"/>
      <w:lvlJc w:val="left"/>
      <w:pPr>
        <w:ind w:left="1080" w:hanging="360"/>
      </w:pPr>
      <w:rPr>
        <w:rFonts w:ascii="Courier New" w:hAnsi="Courier New" w:cs="Times New Roman" w:hint="default"/>
      </w:rPr>
    </w:lvl>
    <w:lvl w:ilvl="2" w:tplc="96469608">
      <w:start w:val="1"/>
      <w:numFmt w:val="bullet"/>
      <w:lvlText w:val=""/>
      <w:lvlJc w:val="left"/>
      <w:pPr>
        <w:ind w:left="1800" w:hanging="360"/>
      </w:pPr>
      <w:rPr>
        <w:rFonts w:ascii="Wingdings" w:hAnsi="Wingdings" w:hint="default"/>
      </w:rPr>
    </w:lvl>
    <w:lvl w:ilvl="3" w:tplc="471C92F4">
      <w:start w:val="1"/>
      <w:numFmt w:val="bullet"/>
      <w:lvlText w:val=""/>
      <w:lvlJc w:val="left"/>
      <w:pPr>
        <w:ind w:left="2520" w:hanging="360"/>
      </w:pPr>
      <w:rPr>
        <w:rFonts w:ascii="Symbol" w:hAnsi="Symbol" w:hint="default"/>
      </w:rPr>
    </w:lvl>
    <w:lvl w:ilvl="4" w:tplc="001684A2">
      <w:start w:val="1"/>
      <w:numFmt w:val="bullet"/>
      <w:lvlText w:val="o"/>
      <w:lvlJc w:val="left"/>
      <w:pPr>
        <w:ind w:left="3240" w:hanging="360"/>
      </w:pPr>
      <w:rPr>
        <w:rFonts w:ascii="Courier New" w:hAnsi="Courier New" w:cs="Times New Roman" w:hint="default"/>
      </w:rPr>
    </w:lvl>
    <w:lvl w:ilvl="5" w:tplc="DC4625CA">
      <w:start w:val="1"/>
      <w:numFmt w:val="bullet"/>
      <w:lvlText w:val=""/>
      <w:lvlJc w:val="left"/>
      <w:pPr>
        <w:ind w:left="3960" w:hanging="360"/>
      </w:pPr>
      <w:rPr>
        <w:rFonts w:ascii="Wingdings" w:hAnsi="Wingdings" w:hint="default"/>
      </w:rPr>
    </w:lvl>
    <w:lvl w:ilvl="6" w:tplc="27CE6A10">
      <w:start w:val="1"/>
      <w:numFmt w:val="bullet"/>
      <w:lvlText w:val=""/>
      <w:lvlJc w:val="left"/>
      <w:pPr>
        <w:ind w:left="4680" w:hanging="360"/>
      </w:pPr>
      <w:rPr>
        <w:rFonts w:ascii="Symbol" w:hAnsi="Symbol" w:hint="default"/>
      </w:rPr>
    </w:lvl>
    <w:lvl w:ilvl="7" w:tplc="78A6DEBA">
      <w:start w:val="1"/>
      <w:numFmt w:val="bullet"/>
      <w:lvlText w:val="o"/>
      <w:lvlJc w:val="left"/>
      <w:pPr>
        <w:ind w:left="5400" w:hanging="360"/>
      </w:pPr>
      <w:rPr>
        <w:rFonts w:ascii="Courier New" w:hAnsi="Courier New" w:cs="Times New Roman" w:hint="default"/>
      </w:rPr>
    </w:lvl>
    <w:lvl w:ilvl="8" w:tplc="33D28268">
      <w:start w:val="1"/>
      <w:numFmt w:val="bullet"/>
      <w:lvlText w:val=""/>
      <w:lvlJc w:val="left"/>
      <w:pPr>
        <w:ind w:left="6120" w:hanging="360"/>
      </w:pPr>
      <w:rPr>
        <w:rFonts w:ascii="Wingdings" w:hAnsi="Wingdings" w:hint="default"/>
      </w:rPr>
    </w:lvl>
  </w:abstractNum>
  <w:abstractNum w:abstractNumId="20" w15:restartNumberingAfterBreak="0">
    <w:nsid w:val="7D209376"/>
    <w:multiLevelType w:val="hybridMultilevel"/>
    <w:tmpl w:val="978431B0"/>
    <w:lvl w:ilvl="0" w:tplc="B662690C">
      <w:start w:val="1"/>
      <w:numFmt w:val="bullet"/>
      <w:lvlText w:val="·"/>
      <w:lvlJc w:val="left"/>
      <w:pPr>
        <w:ind w:left="720" w:hanging="360"/>
      </w:pPr>
      <w:rPr>
        <w:rFonts w:ascii="Symbol" w:hAnsi="Symbol" w:hint="default"/>
      </w:rPr>
    </w:lvl>
    <w:lvl w:ilvl="1" w:tplc="773E0508">
      <w:start w:val="1"/>
      <w:numFmt w:val="bullet"/>
      <w:lvlText w:val="o"/>
      <w:lvlJc w:val="left"/>
      <w:pPr>
        <w:ind w:left="1440" w:hanging="360"/>
      </w:pPr>
      <w:rPr>
        <w:rFonts w:ascii="Courier New" w:hAnsi="Courier New" w:hint="default"/>
      </w:rPr>
    </w:lvl>
    <w:lvl w:ilvl="2" w:tplc="5E3EE780">
      <w:start w:val="1"/>
      <w:numFmt w:val="bullet"/>
      <w:lvlText w:val=""/>
      <w:lvlJc w:val="left"/>
      <w:pPr>
        <w:ind w:left="2160" w:hanging="360"/>
      </w:pPr>
      <w:rPr>
        <w:rFonts w:ascii="Wingdings" w:hAnsi="Wingdings" w:hint="default"/>
      </w:rPr>
    </w:lvl>
    <w:lvl w:ilvl="3" w:tplc="A4EA4416">
      <w:start w:val="1"/>
      <w:numFmt w:val="bullet"/>
      <w:lvlText w:val=""/>
      <w:lvlJc w:val="left"/>
      <w:pPr>
        <w:ind w:left="2880" w:hanging="360"/>
      </w:pPr>
      <w:rPr>
        <w:rFonts w:ascii="Symbol" w:hAnsi="Symbol" w:hint="default"/>
      </w:rPr>
    </w:lvl>
    <w:lvl w:ilvl="4" w:tplc="79D09AF8">
      <w:start w:val="1"/>
      <w:numFmt w:val="bullet"/>
      <w:lvlText w:val="o"/>
      <w:lvlJc w:val="left"/>
      <w:pPr>
        <w:ind w:left="3600" w:hanging="360"/>
      </w:pPr>
      <w:rPr>
        <w:rFonts w:ascii="Courier New" w:hAnsi="Courier New" w:hint="default"/>
      </w:rPr>
    </w:lvl>
    <w:lvl w:ilvl="5" w:tplc="8D90354C">
      <w:start w:val="1"/>
      <w:numFmt w:val="bullet"/>
      <w:lvlText w:val=""/>
      <w:lvlJc w:val="left"/>
      <w:pPr>
        <w:ind w:left="4320" w:hanging="360"/>
      </w:pPr>
      <w:rPr>
        <w:rFonts w:ascii="Wingdings" w:hAnsi="Wingdings" w:hint="default"/>
      </w:rPr>
    </w:lvl>
    <w:lvl w:ilvl="6" w:tplc="29842506">
      <w:start w:val="1"/>
      <w:numFmt w:val="bullet"/>
      <w:lvlText w:val=""/>
      <w:lvlJc w:val="left"/>
      <w:pPr>
        <w:ind w:left="5040" w:hanging="360"/>
      </w:pPr>
      <w:rPr>
        <w:rFonts w:ascii="Symbol" w:hAnsi="Symbol" w:hint="default"/>
      </w:rPr>
    </w:lvl>
    <w:lvl w:ilvl="7" w:tplc="E4A8B152">
      <w:start w:val="1"/>
      <w:numFmt w:val="bullet"/>
      <w:lvlText w:val="o"/>
      <w:lvlJc w:val="left"/>
      <w:pPr>
        <w:ind w:left="5760" w:hanging="360"/>
      </w:pPr>
      <w:rPr>
        <w:rFonts w:ascii="Courier New" w:hAnsi="Courier New" w:hint="default"/>
      </w:rPr>
    </w:lvl>
    <w:lvl w:ilvl="8" w:tplc="2986799E">
      <w:start w:val="1"/>
      <w:numFmt w:val="bullet"/>
      <w:lvlText w:val=""/>
      <w:lvlJc w:val="left"/>
      <w:pPr>
        <w:ind w:left="6480" w:hanging="360"/>
      </w:pPr>
      <w:rPr>
        <w:rFonts w:ascii="Wingdings" w:hAnsi="Wingdings" w:hint="default"/>
      </w:rPr>
    </w:lvl>
  </w:abstractNum>
  <w:num w:numId="1" w16cid:durableId="788937049">
    <w:abstractNumId w:val="10"/>
  </w:num>
  <w:num w:numId="2" w16cid:durableId="1495073735">
    <w:abstractNumId w:val="13"/>
  </w:num>
  <w:num w:numId="3" w16cid:durableId="210502453">
    <w:abstractNumId w:val="7"/>
  </w:num>
  <w:num w:numId="4" w16cid:durableId="1369136398">
    <w:abstractNumId w:val="16"/>
  </w:num>
  <w:num w:numId="5" w16cid:durableId="164319236">
    <w:abstractNumId w:val="15"/>
  </w:num>
  <w:num w:numId="6" w16cid:durableId="72823220">
    <w:abstractNumId w:val="20"/>
  </w:num>
  <w:num w:numId="7" w16cid:durableId="1996372629">
    <w:abstractNumId w:val="4"/>
  </w:num>
  <w:num w:numId="8" w16cid:durableId="248588687">
    <w:abstractNumId w:val="6"/>
  </w:num>
  <w:num w:numId="9" w16cid:durableId="2112116705">
    <w:abstractNumId w:val="14"/>
  </w:num>
  <w:num w:numId="10" w16cid:durableId="178659485">
    <w:abstractNumId w:val="1"/>
  </w:num>
  <w:num w:numId="11" w16cid:durableId="83185401">
    <w:abstractNumId w:val="19"/>
  </w:num>
  <w:num w:numId="12" w16cid:durableId="1280062399">
    <w:abstractNumId w:val="18"/>
  </w:num>
  <w:num w:numId="13" w16cid:durableId="530191348">
    <w:abstractNumId w:val="9"/>
  </w:num>
  <w:num w:numId="14" w16cid:durableId="246814055">
    <w:abstractNumId w:val="3"/>
  </w:num>
  <w:num w:numId="15" w16cid:durableId="1960987457">
    <w:abstractNumId w:val="2"/>
  </w:num>
  <w:num w:numId="16" w16cid:durableId="781461564">
    <w:abstractNumId w:val="8"/>
  </w:num>
  <w:num w:numId="17" w16cid:durableId="1918785964">
    <w:abstractNumId w:val="0"/>
  </w:num>
  <w:num w:numId="18" w16cid:durableId="685792253">
    <w:abstractNumId w:val="5"/>
  </w:num>
  <w:num w:numId="19" w16cid:durableId="1592466653">
    <w:abstractNumId w:val="12"/>
  </w:num>
  <w:num w:numId="20" w16cid:durableId="68160251">
    <w:abstractNumId w:val="17"/>
  </w:num>
  <w:num w:numId="21" w16cid:durableId="737172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2422"/>
    <w:rsid w:val="00007E54"/>
    <w:rsid w:val="00012A37"/>
    <w:rsid w:val="0002378A"/>
    <w:rsid w:val="00023CBD"/>
    <w:rsid w:val="00032549"/>
    <w:rsid w:val="0003462E"/>
    <w:rsid w:val="00034E90"/>
    <w:rsid w:val="00040BC1"/>
    <w:rsid w:val="0004160A"/>
    <w:rsid w:val="0004421E"/>
    <w:rsid w:val="00044E86"/>
    <w:rsid w:val="00046B15"/>
    <w:rsid w:val="00050DC7"/>
    <w:rsid w:val="000517CE"/>
    <w:rsid w:val="00055631"/>
    <w:rsid w:val="0005586E"/>
    <w:rsid w:val="000605D3"/>
    <w:rsid w:val="0006183D"/>
    <w:rsid w:val="00064967"/>
    <w:rsid w:val="000669A7"/>
    <w:rsid w:val="00072671"/>
    <w:rsid w:val="000738F9"/>
    <w:rsid w:val="00073F1E"/>
    <w:rsid w:val="00076109"/>
    <w:rsid w:val="00077441"/>
    <w:rsid w:val="00077C4F"/>
    <w:rsid w:val="00093DBF"/>
    <w:rsid w:val="000970B7"/>
    <w:rsid w:val="00097BAB"/>
    <w:rsid w:val="000A030E"/>
    <w:rsid w:val="000A255B"/>
    <w:rsid w:val="000A2D42"/>
    <w:rsid w:val="000A476A"/>
    <w:rsid w:val="000B2156"/>
    <w:rsid w:val="000B4A85"/>
    <w:rsid w:val="000B56F4"/>
    <w:rsid w:val="000B6831"/>
    <w:rsid w:val="000C5B84"/>
    <w:rsid w:val="000C6E4D"/>
    <w:rsid w:val="000C7A5F"/>
    <w:rsid w:val="000C7BC5"/>
    <w:rsid w:val="000D25EE"/>
    <w:rsid w:val="000D349C"/>
    <w:rsid w:val="000D4525"/>
    <w:rsid w:val="000E0708"/>
    <w:rsid w:val="000E489C"/>
    <w:rsid w:val="000F22F8"/>
    <w:rsid w:val="000F2DBF"/>
    <w:rsid w:val="000F3296"/>
    <w:rsid w:val="000F5FD8"/>
    <w:rsid w:val="000F6907"/>
    <w:rsid w:val="000F7B27"/>
    <w:rsid w:val="00100691"/>
    <w:rsid w:val="00107786"/>
    <w:rsid w:val="00107886"/>
    <w:rsid w:val="00113EE3"/>
    <w:rsid w:val="001146F0"/>
    <w:rsid w:val="001167C0"/>
    <w:rsid w:val="00120527"/>
    <w:rsid w:val="00121CFF"/>
    <w:rsid w:val="001244AF"/>
    <w:rsid w:val="00124F16"/>
    <w:rsid w:val="001274B9"/>
    <w:rsid w:val="00132EC1"/>
    <w:rsid w:val="00134172"/>
    <w:rsid w:val="00135C2A"/>
    <w:rsid w:val="00135F01"/>
    <w:rsid w:val="00136517"/>
    <w:rsid w:val="00136645"/>
    <w:rsid w:val="00140DFF"/>
    <w:rsid w:val="001420C2"/>
    <w:rsid w:val="00142185"/>
    <w:rsid w:val="001459E2"/>
    <w:rsid w:val="00146892"/>
    <w:rsid w:val="00147CEA"/>
    <w:rsid w:val="00152032"/>
    <w:rsid w:val="00153F12"/>
    <w:rsid w:val="00154E1F"/>
    <w:rsid w:val="0016631E"/>
    <w:rsid w:val="0017201D"/>
    <w:rsid w:val="00174201"/>
    <w:rsid w:val="001752E4"/>
    <w:rsid w:val="00176077"/>
    <w:rsid w:val="00180CBE"/>
    <w:rsid w:val="00181414"/>
    <w:rsid w:val="00183C28"/>
    <w:rsid w:val="0018750B"/>
    <w:rsid w:val="001876AD"/>
    <w:rsid w:val="001924FA"/>
    <w:rsid w:val="00193171"/>
    <w:rsid w:val="00194371"/>
    <w:rsid w:val="001A253F"/>
    <w:rsid w:val="001A75A0"/>
    <w:rsid w:val="001A79E8"/>
    <w:rsid w:val="001B0E0B"/>
    <w:rsid w:val="001C1D12"/>
    <w:rsid w:val="001C3A0F"/>
    <w:rsid w:val="001C4138"/>
    <w:rsid w:val="001C6708"/>
    <w:rsid w:val="001C7749"/>
    <w:rsid w:val="001D0192"/>
    <w:rsid w:val="001D43DB"/>
    <w:rsid w:val="001D4ABC"/>
    <w:rsid w:val="001D6988"/>
    <w:rsid w:val="001D7F5D"/>
    <w:rsid w:val="001E1580"/>
    <w:rsid w:val="001E405E"/>
    <w:rsid w:val="001F2EC6"/>
    <w:rsid w:val="001F5A09"/>
    <w:rsid w:val="001F65D0"/>
    <w:rsid w:val="002000E1"/>
    <w:rsid w:val="002036BD"/>
    <w:rsid w:val="002068FA"/>
    <w:rsid w:val="00216128"/>
    <w:rsid w:val="00217E59"/>
    <w:rsid w:val="0023113E"/>
    <w:rsid w:val="0023397E"/>
    <w:rsid w:val="00237302"/>
    <w:rsid w:val="0024152C"/>
    <w:rsid w:val="0024330B"/>
    <w:rsid w:val="002448F5"/>
    <w:rsid w:val="00246248"/>
    <w:rsid w:val="00247759"/>
    <w:rsid w:val="00251990"/>
    <w:rsid w:val="002559D9"/>
    <w:rsid w:val="0025727C"/>
    <w:rsid w:val="00261465"/>
    <w:rsid w:val="0026591C"/>
    <w:rsid w:val="00265BA4"/>
    <w:rsid w:val="0026659A"/>
    <w:rsid w:val="00271C19"/>
    <w:rsid w:val="00272CCD"/>
    <w:rsid w:val="0027399F"/>
    <w:rsid w:val="002754B5"/>
    <w:rsid w:val="0027582E"/>
    <w:rsid w:val="002832E3"/>
    <w:rsid w:val="0028413C"/>
    <w:rsid w:val="00284A08"/>
    <w:rsid w:val="00286D92"/>
    <w:rsid w:val="00293140"/>
    <w:rsid w:val="00296150"/>
    <w:rsid w:val="00296805"/>
    <w:rsid w:val="002A6D04"/>
    <w:rsid w:val="002B06CA"/>
    <w:rsid w:val="002B1708"/>
    <w:rsid w:val="002B2EA9"/>
    <w:rsid w:val="002B41AE"/>
    <w:rsid w:val="002B52D9"/>
    <w:rsid w:val="002BDF46"/>
    <w:rsid w:val="002C297C"/>
    <w:rsid w:val="002C3A33"/>
    <w:rsid w:val="002C4A1E"/>
    <w:rsid w:val="002C78AD"/>
    <w:rsid w:val="002D03A6"/>
    <w:rsid w:val="002D7945"/>
    <w:rsid w:val="002E335C"/>
    <w:rsid w:val="002F03FA"/>
    <w:rsid w:val="002F0BB2"/>
    <w:rsid w:val="003004D2"/>
    <w:rsid w:val="003044EC"/>
    <w:rsid w:val="00306583"/>
    <w:rsid w:val="00306BAC"/>
    <w:rsid w:val="00307961"/>
    <w:rsid w:val="00312133"/>
    <w:rsid w:val="0031287A"/>
    <w:rsid w:val="003209D6"/>
    <w:rsid w:val="00320D5B"/>
    <w:rsid w:val="00322F2C"/>
    <w:rsid w:val="0032308A"/>
    <w:rsid w:val="00327081"/>
    <w:rsid w:val="003349A3"/>
    <w:rsid w:val="00350CD4"/>
    <w:rsid w:val="00352CAE"/>
    <w:rsid w:val="00354633"/>
    <w:rsid w:val="0035490E"/>
    <w:rsid w:val="00355D7F"/>
    <w:rsid w:val="00360053"/>
    <w:rsid w:val="00361645"/>
    <w:rsid w:val="0036512E"/>
    <w:rsid w:val="00365D64"/>
    <w:rsid w:val="003761A2"/>
    <w:rsid w:val="00377967"/>
    <w:rsid w:val="00380E3F"/>
    <w:rsid w:val="00385A58"/>
    <w:rsid w:val="00386143"/>
    <w:rsid w:val="0039226C"/>
    <w:rsid w:val="003935A1"/>
    <w:rsid w:val="00396C80"/>
    <w:rsid w:val="003978A0"/>
    <w:rsid w:val="003A0A7E"/>
    <w:rsid w:val="003A0AA8"/>
    <w:rsid w:val="003A39AF"/>
    <w:rsid w:val="003A562B"/>
    <w:rsid w:val="003A581C"/>
    <w:rsid w:val="003A6193"/>
    <w:rsid w:val="003B3BB8"/>
    <w:rsid w:val="003B47A9"/>
    <w:rsid w:val="003B58DC"/>
    <w:rsid w:val="003C097A"/>
    <w:rsid w:val="003C3A84"/>
    <w:rsid w:val="003C41AE"/>
    <w:rsid w:val="003D20B3"/>
    <w:rsid w:val="003D39E7"/>
    <w:rsid w:val="003D5302"/>
    <w:rsid w:val="003F03B3"/>
    <w:rsid w:val="003F1DAD"/>
    <w:rsid w:val="003F26BD"/>
    <w:rsid w:val="003F686E"/>
    <w:rsid w:val="00400F49"/>
    <w:rsid w:val="00403F42"/>
    <w:rsid w:val="004048B4"/>
    <w:rsid w:val="004063CF"/>
    <w:rsid w:val="0041010F"/>
    <w:rsid w:val="0041125F"/>
    <w:rsid w:val="004118FE"/>
    <w:rsid w:val="00412B47"/>
    <w:rsid w:val="00414FDE"/>
    <w:rsid w:val="00416356"/>
    <w:rsid w:val="00416AB8"/>
    <w:rsid w:val="004218EF"/>
    <w:rsid w:val="0042452F"/>
    <w:rsid w:val="004260BA"/>
    <w:rsid w:val="00432163"/>
    <w:rsid w:val="004329E5"/>
    <w:rsid w:val="00436192"/>
    <w:rsid w:val="00437B22"/>
    <w:rsid w:val="00440B61"/>
    <w:rsid w:val="00440CBA"/>
    <w:rsid w:val="00441AD2"/>
    <w:rsid w:val="00442552"/>
    <w:rsid w:val="00444022"/>
    <w:rsid w:val="0045277C"/>
    <w:rsid w:val="00453867"/>
    <w:rsid w:val="00455A1C"/>
    <w:rsid w:val="00456030"/>
    <w:rsid w:val="00456942"/>
    <w:rsid w:val="004619CB"/>
    <w:rsid w:val="00462B7E"/>
    <w:rsid w:val="004670D9"/>
    <w:rsid w:val="004675B5"/>
    <w:rsid w:val="00471EA4"/>
    <w:rsid w:val="00472ADC"/>
    <w:rsid w:val="004760BB"/>
    <w:rsid w:val="004770D6"/>
    <w:rsid w:val="00480812"/>
    <w:rsid w:val="004812FE"/>
    <w:rsid w:val="0049246C"/>
    <w:rsid w:val="00494271"/>
    <w:rsid w:val="004A04F2"/>
    <w:rsid w:val="004A44CF"/>
    <w:rsid w:val="004A638D"/>
    <w:rsid w:val="004D362A"/>
    <w:rsid w:val="004D430C"/>
    <w:rsid w:val="004E38BA"/>
    <w:rsid w:val="004E4018"/>
    <w:rsid w:val="004E5F96"/>
    <w:rsid w:val="004E61C9"/>
    <w:rsid w:val="004F262F"/>
    <w:rsid w:val="004F459B"/>
    <w:rsid w:val="004F6117"/>
    <w:rsid w:val="004F63F1"/>
    <w:rsid w:val="004F651E"/>
    <w:rsid w:val="004F7A9E"/>
    <w:rsid w:val="00504A4B"/>
    <w:rsid w:val="00506B51"/>
    <w:rsid w:val="00506CCA"/>
    <w:rsid w:val="0051466C"/>
    <w:rsid w:val="005155FC"/>
    <w:rsid w:val="005202DD"/>
    <w:rsid w:val="0052596B"/>
    <w:rsid w:val="0053577D"/>
    <w:rsid w:val="005462A6"/>
    <w:rsid w:val="0055366F"/>
    <w:rsid w:val="00554274"/>
    <w:rsid w:val="00554B59"/>
    <w:rsid w:val="00554D8D"/>
    <w:rsid w:val="00554DD1"/>
    <w:rsid w:val="00555323"/>
    <w:rsid w:val="00560CFD"/>
    <w:rsid w:val="00560D18"/>
    <w:rsid w:val="00566DB5"/>
    <w:rsid w:val="00567B5B"/>
    <w:rsid w:val="00567FD0"/>
    <w:rsid w:val="00571068"/>
    <w:rsid w:val="00573835"/>
    <w:rsid w:val="00574F48"/>
    <w:rsid w:val="00575152"/>
    <w:rsid w:val="00581306"/>
    <w:rsid w:val="00582BD0"/>
    <w:rsid w:val="00587911"/>
    <w:rsid w:val="00587E26"/>
    <w:rsid w:val="00592BA8"/>
    <w:rsid w:val="005932E1"/>
    <w:rsid w:val="005962B0"/>
    <w:rsid w:val="00596A19"/>
    <w:rsid w:val="005A37B4"/>
    <w:rsid w:val="005A5F16"/>
    <w:rsid w:val="005B195C"/>
    <w:rsid w:val="005B20ED"/>
    <w:rsid w:val="005B5DBD"/>
    <w:rsid w:val="005B74CC"/>
    <w:rsid w:val="005C2AE0"/>
    <w:rsid w:val="005C2D37"/>
    <w:rsid w:val="005C3105"/>
    <w:rsid w:val="005C3953"/>
    <w:rsid w:val="005C6383"/>
    <w:rsid w:val="005C64AD"/>
    <w:rsid w:val="005C64D5"/>
    <w:rsid w:val="005D0956"/>
    <w:rsid w:val="005D222A"/>
    <w:rsid w:val="005D526E"/>
    <w:rsid w:val="005D5BF6"/>
    <w:rsid w:val="005D63D0"/>
    <w:rsid w:val="005E27C0"/>
    <w:rsid w:val="005F20CC"/>
    <w:rsid w:val="0060124E"/>
    <w:rsid w:val="006033CA"/>
    <w:rsid w:val="006038D4"/>
    <w:rsid w:val="00605922"/>
    <w:rsid w:val="006061B6"/>
    <w:rsid w:val="0061112B"/>
    <w:rsid w:val="00612EF6"/>
    <w:rsid w:val="006168B4"/>
    <w:rsid w:val="00620FE2"/>
    <w:rsid w:val="00624D4D"/>
    <w:rsid w:val="006253B3"/>
    <w:rsid w:val="006263BF"/>
    <w:rsid w:val="006372F8"/>
    <w:rsid w:val="006373F9"/>
    <w:rsid w:val="0063745E"/>
    <w:rsid w:val="00645FC1"/>
    <w:rsid w:val="0064618D"/>
    <w:rsid w:val="00650396"/>
    <w:rsid w:val="00650644"/>
    <w:rsid w:val="00654307"/>
    <w:rsid w:val="00654FB3"/>
    <w:rsid w:val="0065565E"/>
    <w:rsid w:val="00656432"/>
    <w:rsid w:val="00660EC7"/>
    <w:rsid w:val="006617FC"/>
    <w:rsid w:val="00661BFC"/>
    <w:rsid w:val="00662B7E"/>
    <w:rsid w:val="006651AE"/>
    <w:rsid w:val="00667C24"/>
    <w:rsid w:val="006712F1"/>
    <w:rsid w:val="00672C09"/>
    <w:rsid w:val="00674D52"/>
    <w:rsid w:val="00677688"/>
    <w:rsid w:val="00681007"/>
    <w:rsid w:val="00681334"/>
    <w:rsid w:val="0068244D"/>
    <w:rsid w:val="00686E46"/>
    <w:rsid w:val="00691DCD"/>
    <w:rsid w:val="00692C2F"/>
    <w:rsid w:val="00695797"/>
    <w:rsid w:val="00696A5E"/>
    <w:rsid w:val="006979D5"/>
    <w:rsid w:val="006A20E1"/>
    <w:rsid w:val="006A5D49"/>
    <w:rsid w:val="006A5E9F"/>
    <w:rsid w:val="006B3B69"/>
    <w:rsid w:val="006B4AD9"/>
    <w:rsid w:val="006C2D42"/>
    <w:rsid w:val="006C3080"/>
    <w:rsid w:val="006C3EEC"/>
    <w:rsid w:val="006C4312"/>
    <w:rsid w:val="006C62A3"/>
    <w:rsid w:val="006C78B8"/>
    <w:rsid w:val="006C78E9"/>
    <w:rsid w:val="006C7A37"/>
    <w:rsid w:val="006D0742"/>
    <w:rsid w:val="006D3E2E"/>
    <w:rsid w:val="006D40B2"/>
    <w:rsid w:val="006D440D"/>
    <w:rsid w:val="006E2597"/>
    <w:rsid w:val="006E26EF"/>
    <w:rsid w:val="006E6768"/>
    <w:rsid w:val="006E7857"/>
    <w:rsid w:val="006F138D"/>
    <w:rsid w:val="006F37E8"/>
    <w:rsid w:val="006F4AED"/>
    <w:rsid w:val="00702D22"/>
    <w:rsid w:val="0071089F"/>
    <w:rsid w:val="007118EA"/>
    <w:rsid w:val="0071604F"/>
    <w:rsid w:val="00716D37"/>
    <w:rsid w:val="00725822"/>
    <w:rsid w:val="00726DA0"/>
    <w:rsid w:val="00727EEA"/>
    <w:rsid w:val="007342C2"/>
    <w:rsid w:val="00734613"/>
    <w:rsid w:val="00736FC3"/>
    <w:rsid w:val="007420FA"/>
    <w:rsid w:val="00746529"/>
    <w:rsid w:val="00750098"/>
    <w:rsid w:val="00750E54"/>
    <w:rsid w:val="00751910"/>
    <w:rsid w:val="00751E60"/>
    <w:rsid w:val="007547B5"/>
    <w:rsid w:val="00772E7C"/>
    <w:rsid w:val="00775E73"/>
    <w:rsid w:val="007761CB"/>
    <w:rsid w:val="007763E8"/>
    <w:rsid w:val="00784147"/>
    <w:rsid w:val="0078FD01"/>
    <w:rsid w:val="007915BE"/>
    <w:rsid w:val="00794CAD"/>
    <w:rsid w:val="00795A9E"/>
    <w:rsid w:val="0079613F"/>
    <w:rsid w:val="007A606D"/>
    <w:rsid w:val="007A6FE2"/>
    <w:rsid w:val="007B006E"/>
    <w:rsid w:val="007B1D63"/>
    <w:rsid w:val="007B47EE"/>
    <w:rsid w:val="007C1457"/>
    <w:rsid w:val="007C2214"/>
    <w:rsid w:val="007C64C1"/>
    <w:rsid w:val="007D0B6F"/>
    <w:rsid w:val="007D2D9E"/>
    <w:rsid w:val="007F1ED5"/>
    <w:rsid w:val="007F6D38"/>
    <w:rsid w:val="00806EB1"/>
    <w:rsid w:val="00807B48"/>
    <w:rsid w:val="00811A16"/>
    <w:rsid w:val="008126BF"/>
    <w:rsid w:val="0081328F"/>
    <w:rsid w:val="008135CA"/>
    <w:rsid w:val="00814F68"/>
    <w:rsid w:val="0081584F"/>
    <w:rsid w:val="00817F0F"/>
    <w:rsid w:val="00821244"/>
    <w:rsid w:val="00824FDB"/>
    <w:rsid w:val="008252F7"/>
    <w:rsid w:val="0082636F"/>
    <w:rsid w:val="008266E0"/>
    <w:rsid w:val="00836320"/>
    <w:rsid w:val="00844B28"/>
    <w:rsid w:val="00844E5F"/>
    <w:rsid w:val="0084677E"/>
    <w:rsid w:val="00850779"/>
    <w:rsid w:val="00850B61"/>
    <w:rsid w:val="008516C0"/>
    <w:rsid w:val="008541BC"/>
    <w:rsid w:val="0085736F"/>
    <w:rsid w:val="00862CEE"/>
    <w:rsid w:val="008632E7"/>
    <w:rsid w:val="00863ACC"/>
    <w:rsid w:val="008656CF"/>
    <w:rsid w:val="00867FA0"/>
    <w:rsid w:val="008703BF"/>
    <w:rsid w:val="0087220E"/>
    <w:rsid w:val="00874C97"/>
    <w:rsid w:val="00877DB3"/>
    <w:rsid w:val="0088276A"/>
    <w:rsid w:val="00884412"/>
    <w:rsid w:val="00884AF4"/>
    <w:rsid w:val="00886E35"/>
    <w:rsid w:val="00887898"/>
    <w:rsid w:val="008925CE"/>
    <w:rsid w:val="00894227"/>
    <w:rsid w:val="00896858"/>
    <w:rsid w:val="008A0B74"/>
    <w:rsid w:val="008A55F6"/>
    <w:rsid w:val="008A61F5"/>
    <w:rsid w:val="008A7599"/>
    <w:rsid w:val="008A7E8E"/>
    <w:rsid w:val="008B46BF"/>
    <w:rsid w:val="008B4B33"/>
    <w:rsid w:val="008B4F5B"/>
    <w:rsid w:val="008B5FEA"/>
    <w:rsid w:val="008C0DC1"/>
    <w:rsid w:val="008C2379"/>
    <w:rsid w:val="008C286D"/>
    <w:rsid w:val="008C3937"/>
    <w:rsid w:val="008C4D41"/>
    <w:rsid w:val="008C54FE"/>
    <w:rsid w:val="008D753F"/>
    <w:rsid w:val="008E0346"/>
    <w:rsid w:val="008E2812"/>
    <w:rsid w:val="008F444E"/>
    <w:rsid w:val="008F560B"/>
    <w:rsid w:val="008F6E23"/>
    <w:rsid w:val="008F7173"/>
    <w:rsid w:val="008F731B"/>
    <w:rsid w:val="00900102"/>
    <w:rsid w:val="0090144E"/>
    <w:rsid w:val="00910E2D"/>
    <w:rsid w:val="0092105B"/>
    <w:rsid w:val="0092362C"/>
    <w:rsid w:val="00926F20"/>
    <w:rsid w:val="00927910"/>
    <w:rsid w:val="009309DB"/>
    <w:rsid w:val="0093106D"/>
    <w:rsid w:val="0093233B"/>
    <w:rsid w:val="009351F3"/>
    <w:rsid w:val="0094088B"/>
    <w:rsid w:val="0094732B"/>
    <w:rsid w:val="00947F73"/>
    <w:rsid w:val="00952260"/>
    <w:rsid w:val="00954BCA"/>
    <w:rsid w:val="0095502F"/>
    <w:rsid w:val="00964F6E"/>
    <w:rsid w:val="00967A60"/>
    <w:rsid w:val="0097309F"/>
    <w:rsid w:val="009757DA"/>
    <w:rsid w:val="00976EBB"/>
    <w:rsid w:val="0097780C"/>
    <w:rsid w:val="009819B5"/>
    <w:rsid w:val="00981F45"/>
    <w:rsid w:val="00986993"/>
    <w:rsid w:val="00987429"/>
    <w:rsid w:val="009903B6"/>
    <w:rsid w:val="0099066F"/>
    <w:rsid w:val="00990DF3"/>
    <w:rsid w:val="00993420"/>
    <w:rsid w:val="00994D12"/>
    <w:rsid w:val="009A1176"/>
    <w:rsid w:val="009A2F4A"/>
    <w:rsid w:val="009A3B72"/>
    <w:rsid w:val="009A6EBD"/>
    <w:rsid w:val="009B128B"/>
    <w:rsid w:val="009B306B"/>
    <w:rsid w:val="009B314A"/>
    <w:rsid w:val="009B314C"/>
    <w:rsid w:val="009B6F2E"/>
    <w:rsid w:val="009C09E0"/>
    <w:rsid w:val="009C1B75"/>
    <w:rsid w:val="009C391D"/>
    <w:rsid w:val="009C5324"/>
    <w:rsid w:val="009C7510"/>
    <w:rsid w:val="009D054A"/>
    <w:rsid w:val="009D1994"/>
    <w:rsid w:val="009D44ED"/>
    <w:rsid w:val="009DB191"/>
    <w:rsid w:val="009E1A43"/>
    <w:rsid w:val="009E394D"/>
    <w:rsid w:val="009F7E5A"/>
    <w:rsid w:val="00A05EAF"/>
    <w:rsid w:val="00A0698D"/>
    <w:rsid w:val="00A06E27"/>
    <w:rsid w:val="00A11E8D"/>
    <w:rsid w:val="00A125CF"/>
    <w:rsid w:val="00A161AD"/>
    <w:rsid w:val="00A16F07"/>
    <w:rsid w:val="00A33EF3"/>
    <w:rsid w:val="00A377BD"/>
    <w:rsid w:val="00A44036"/>
    <w:rsid w:val="00A51019"/>
    <w:rsid w:val="00A55ADD"/>
    <w:rsid w:val="00A62C7B"/>
    <w:rsid w:val="00A646FF"/>
    <w:rsid w:val="00A64B12"/>
    <w:rsid w:val="00A65F5A"/>
    <w:rsid w:val="00A6661A"/>
    <w:rsid w:val="00A66C5D"/>
    <w:rsid w:val="00A73888"/>
    <w:rsid w:val="00A7709A"/>
    <w:rsid w:val="00A934C3"/>
    <w:rsid w:val="00A938E9"/>
    <w:rsid w:val="00A95DF4"/>
    <w:rsid w:val="00AA541E"/>
    <w:rsid w:val="00AB4869"/>
    <w:rsid w:val="00AB6C0C"/>
    <w:rsid w:val="00AC65FB"/>
    <w:rsid w:val="00AD2520"/>
    <w:rsid w:val="00AD67E7"/>
    <w:rsid w:val="00AE1842"/>
    <w:rsid w:val="00AE3C7C"/>
    <w:rsid w:val="00AE694F"/>
    <w:rsid w:val="00AF5EF4"/>
    <w:rsid w:val="00B06CF0"/>
    <w:rsid w:val="00B0786E"/>
    <w:rsid w:val="00B12292"/>
    <w:rsid w:val="00B27EAC"/>
    <w:rsid w:val="00B31306"/>
    <w:rsid w:val="00B32E4C"/>
    <w:rsid w:val="00B33BC6"/>
    <w:rsid w:val="00B3600C"/>
    <w:rsid w:val="00B36901"/>
    <w:rsid w:val="00B42814"/>
    <w:rsid w:val="00B44A2B"/>
    <w:rsid w:val="00B45D76"/>
    <w:rsid w:val="00B46CFE"/>
    <w:rsid w:val="00B46EE4"/>
    <w:rsid w:val="00B47C5A"/>
    <w:rsid w:val="00B50D8F"/>
    <w:rsid w:val="00B555DF"/>
    <w:rsid w:val="00B56F87"/>
    <w:rsid w:val="00B6223D"/>
    <w:rsid w:val="00B66E1E"/>
    <w:rsid w:val="00B67D1D"/>
    <w:rsid w:val="00B7219B"/>
    <w:rsid w:val="00B72895"/>
    <w:rsid w:val="00B72FF7"/>
    <w:rsid w:val="00B73B16"/>
    <w:rsid w:val="00B7419B"/>
    <w:rsid w:val="00B75D84"/>
    <w:rsid w:val="00B7641B"/>
    <w:rsid w:val="00B811C4"/>
    <w:rsid w:val="00B81681"/>
    <w:rsid w:val="00B83936"/>
    <w:rsid w:val="00B8407D"/>
    <w:rsid w:val="00B84328"/>
    <w:rsid w:val="00B91AA0"/>
    <w:rsid w:val="00B91E97"/>
    <w:rsid w:val="00B965B1"/>
    <w:rsid w:val="00BA51B2"/>
    <w:rsid w:val="00BA6FD4"/>
    <w:rsid w:val="00BB1CD2"/>
    <w:rsid w:val="00BB7ABD"/>
    <w:rsid w:val="00BC1862"/>
    <w:rsid w:val="00BC32AD"/>
    <w:rsid w:val="00BC5F60"/>
    <w:rsid w:val="00BC6501"/>
    <w:rsid w:val="00BD370F"/>
    <w:rsid w:val="00BD4C5D"/>
    <w:rsid w:val="00BD6EB7"/>
    <w:rsid w:val="00BE2479"/>
    <w:rsid w:val="00BF7865"/>
    <w:rsid w:val="00BF7D53"/>
    <w:rsid w:val="00BFB63A"/>
    <w:rsid w:val="00C0443D"/>
    <w:rsid w:val="00C04991"/>
    <w:rsid w:val="00C1278D"/>
    <w:rsid w:val="00C15D33"/>
    <w:rsid w:val="00C330BF"/>
    <w:rsid w:val="00C3414E"/>
    <w:rsid w:val="00C373A6"/>
    <w:rsid w:val="00C44C54"/>
    <w:rsid w:val="00C54282"/>
    <w:rsid w:val="00C54D27"/>
    <w:rsid w:val="00C56D19"/>
    <w:rsid w:val="00C63692"/>
    <w:rsid w:val="00C66817"/>
    <w:rsid w:val="00C71445"/>
    <w:rsid w:val="00C72592"/>
    <w:rsid w:val="00C74D51"/>
    <w:rsid w:val="00C76EEB"/>
    <w:rsid w:val="00C80405"/>
    <w:rsid w:val="00C92290"/>
    <w:rsid w:val="00C942F0"/>
    <w:rsid w:val="00C97CA9"/>
    <w:rsid w:val="00CA0247"/>
    <w:rsid w:val="00CA24FD"/>
    <w:rsid w:val="00CA3E80"/>
    <w:rsid w:val="00CB2853"/>
    <w:rsid w:val="00CB7EB5"/>
    <w:rsid w:val="00CC22A2"/>
    <w:rsid w:val="00CC438D"/>
    <w:rsid w:val="00CD2131"/>
    <w:rsid w:val="00CE4E48"/>
    <w:rsid w:val="00CE6154"/>
    <w:rsid w:val="00CF13B6"/>
    <w:rsid w:val="00CF1892"/>
    <w:rsid w:val="00CF2CCA"/>
    <w:rsid w:val="00CF309C"/>
    <w:rsid w:val="00D00AE9"/>
    <w:rsid w:val="00D01F5A"/>
    <w:rsid w:val="00D05215"/>
    <w:rsid w:val="00D128E3"/>
    <w:rsid w:val="00D1716E"/>
    <w:rsid w:val="00D20E19"/>
    <w:rsid w:val="00D259A1"/>
    <w:rsid w:val="00D26D4A"/>
    <w:rsid w:val="00D32737"/>
    <w:rsid w:val="00D33436"/>
    <w:rsid w:val="00D40B1C"/>
    <w:rsid w:val="00D4249A"/>
    <w:rsid w:val="00D51C6B"/>
    <w:rsid w:val="00D5252A"/>
    <w:rsid w:val="00D52D53"/>
    <w:rsid w:val="00D52D7C"/>
    <w:rsid w:val="00D52EC2"/>
    <w:rsid w:val="00D5571D"/>
    <w:rsid w:val="00D56977"/>
    <w:rsid w:val="00D64E05"/>
    <w:rsid w:val="00D663D8"/>
    <w:rsid w:val="00D67F87"/>
    <w:rsid w:val="00D713CF"/>
    <w:rsid w:val="00D808E2"/>
    <w:rsid w:val="00D859A7"/>
    <w:rsid w:val="00D87AC1"/>
    <w:rsid w:val="00D90349"/>
    <w:rsid w:val="00D92FD3"/>
    <w:rsid w:val="00D97F91"/>
    <w:rsid w:val="00DA3B6E"/>
    <w:rsid w:val="00DA5F58"/>
    <w:rsid w:val="00DB0D0C"/>
    <w:rsid w:val="00DB30CF"/>
    <w:rsid w:val="00DB335B"/>
    <w:rsid w:val="00DB3DC2"/>
    <w:rsid w:val="00DB405F"/>
    <w:rsid w:val="00DB5C1E"/>
    <w:rsid w:val="00DB63E4"/>
    <w:rsid w:val="00DB6B38"/>
    <w:rsid w:val="00DB7581"/>
    <w:rsid w:val="00DB7D44"/>
    <w:rsid w:val="00DC007F"/>
    <w:rsid w:val="00DC19BC"/>
    <w:rsid w:val="00DC241D"/>
    <w:rsid w:val="00DC6900"/>
    <w:rsid w:val="00DC70C1"/>
    <w:rsid w:val="00DD02A9"/>
    <w:rsid w:val="00DD5FE6"/>
    <w:rsid w:val="00DE0475"/>
    <w:rsid w:val="00DE090E"/>
    <w:rsid w:val="00DE73B0"/>
    <w:rsid w:val="00DF4E47"/>
    <w:rsid w:val="00DF562E"/>
    <w:rsid w:val="00DF5DE8"/>
    <w:rsid w:val="00E00896"/>
    <w:rsid w:val="00E059FE"/>
    <w:rsid w:val="00E06970"/>
    <w:rsid w:val="00E136C1"/>
    <w:rsid w:val="00E15422"/>
    <w:rsid w:val="00E226B8"/>
    <w:rsid w:val="00E33005"/>
    <w:rsid w:val="00E41823"/>
    <w:rsid w:val="00E41C00"/>
    <w:rsid w:val="00E41F5F"/>
    <w:rsid w:val="00E44928"/>
    <w:rsid w:val="00E525ED"/>
    <w:rsid w:val="00E549BB"/>
    <w:rsid w:val="00E574A5"/>
    <w:rsid w:val="00E57C46"/>
    <w:rsid w:val="00E601DE"/>
    <w:rsid w:val="00E611D7"/>
    <w:rsid w:val="00E633FD"/>
    <w:rsid w:val="00E64728"/>
    <w:rsid w:val="00E679DA"/>
    <w:rsid w:val="00E705DD"/>
    <w:rsid w:val="00E75585"/>
    <w:rsid w:val="00E75C52"/>
    <w:rsid w:val="00E8305D"/>
    <w:rsid w:val="00E83C12"/>
    <w:rsid w:val="00E904C8"/>
    <w:rsid w:val="00E9471C"/>
    <w:rsid w:val="00E976EE"/>
    <w:rsid w:val="00EA1BBF"/>
    <w:rsid w:val="00EA2E1D"/>
    <w:rsid w:val="00EA3F41"/>
    <w:rsid w:val="00EA4115"/>
    <w:rsid w:val="00EA65CC"/>
    <w:rsid w:val="00EA6BD3"/>
    <w:rsid w:val="00EA7EFF"/>
    <w:rsid w:val="00EB1FA9"/>
    <w:rsid w:val="00EB29A9"/>
    <w:rsid w:val="00EB38D3"/>
    <w:rsid w:val="00EB7120"/>
    <w:rsid w:val="00EB77D2"/>
    <w:rsid w:val="00EC53A7"/>
    <w:rsid w:val="00ED24B1"/>
    <w:rsid w:val="00ED2D23"/>
    <w:rsid w:val="00ED6783"/>
    <w:rsid w:val="00ED680F"/>
    <w:rsid w:val="00EE5D69"/>
    <w:rsid w:val="00EE6657"/>
    <w:rsid w:val="00EF0BA2"/>
    <w:rsid w:val="00EF42B4"/>
    <w:rsid w:val="00EF52D9"/>
    <w:rsid w:val="00EF7FFC"/>
    <w:rsid w:val="00F01236"/>
    <w:rsid w:val="00F158E5"/>
    <w:rsid w:val="00F23073"/>
    <w:rsid w:val="00F233FD"/>
    <w:rsid w:val="00F23640"/>
    <w:rsid w:val="00F2385A"/>
    <w:rsid w:val="00F245B8"/>
    <w:rsid w:val="00F26355"/>
    <w:rsid w:val="00F316C8"/>
    <w:rsid w:val="00F40BEE"/>
    <w:rsid w:val="00F44056"/>
    <w:rsid w:val="00F47BA8"/>
    <w:rsid w:val="00F50513"/>
    <w:rsid w:val="00F508CB"/>
    <w:rsid w:val="00F53B37"/>
    <w:rsid w:val="00F559C0"/>
    <w:rsid w:val="00F632DE"/>
    <w:rsid w:val="00F673CB"/>
    <w:rsid w:val="00F714DF"/>
    <w:rsid w:val="00F72278"/>
    <w:rsid w:val="00F7290B"/>
    <w:rsid w:val="00F735E4"/>
    <w:rsid w:val="00F74524"/>
    <w:rsid w:val="00F76577"/>
    <w:rsid w:val="00F90AA8"/>
    <w:rsid w:val="00F96B6D"/>
    <w:rsid w:val="00FA00B3"/>
    <w:rsid w:val="00FA1013"/>
    <w:rsid w:val="00FA25B5"/>
    <w:rsid w:val="00FA38E7"/>
    <w:rsid w:val="00FA74BC"/>
    <w:rsid w:val="00FB0487"/>
    <w:rsid w:val="00FB4758"/>
    <w:rsid w:val="00FB7834"/>
    <w:rsid w:val="00FC0ED4"/>
    <w:rsid w:val="00FD0B10"/>
    <w:rsid w:val="00FD2250"/>
    <w:rsid w:val="00FD4B6A"/>
    <w:rsid w:val="00FD7BE9"/>
    <w:rsid w:val="00FE40D7"/>
    <w:rsid w:val="00FF03A8"/>
    <w:rsid w:val="00FF63EA"/>
    <w:rsid w:val="0110C37D"/>
    <w:rsid w:val="0119760C"/>
    <w:rsid w:val="017A4010"/>
    <w:rsid w:val="018693FD"/>
    <w:rsid w:val="019815FC"/>
    <w:rsid w:val="01B57489"/>
    <w:rsid w:val="01BBE1C3"/>
    <w:rsid w:val="01CD11CC"/>
    <w:rsid w:val="023F865E"/>
    <w:rsid w:val="025A0234"/>
    <w:rsid w:val="02643367"/>
    <w:rsid w:val="027BF0A0"/>
    <w:rsid w:val="028D35E5"/>
    <w:rsid w:val="02970179"/>
    <w:rsid w:val="02D52819"/>
    <w:rsid w:val="02EE3EAD"/>
    <w:rsid w:val="02FA6498"/>
    <w:rsid w:val="03047463"/>
    <w:rsid w:val="030F1495"/>
    <w:rsid w:val="032D79B3"/>
    <w:rsid w:val="03331D7E"/>
    <w:rsid w:val="033B5143"/>
    <w:rsid w:val="0354C371"/>
    <w:rsid w:val="03974BA2"/>
    <w:rsid w:val="039A7125"/>
    <w:rsid w:val="03AB419F"/>
    <w:rsid w:val="03D0E792"/>
    <w:rsid w:val="043F8765"/>
    <w:rsid w:val="0494F999"/>
    <w:rsid w:val="04F7427E"/>
    <w:rsid w:val="05230A1B"/>
    <w:rsid w:val="05972C59"/>
    <w:rsid w:val="05D33D37"/>
    <w:rsid w:val="06373346"/>
    <w:rsid w:val="064068AB"/>
    <w:rsid w:val="0653111C"/>
    <w:rsid w:val="0657F4AB"/>
    <w:rsid w:val="06ED5FF2"/>
    <w:rsid w:val="06F9B04F"/>
    <w:rsid w:val="075B7BDC"/>
    <w:rsid w:val="0772F820"/>
    <w:rsid w:val="0773299A"/>
    <w:rsid w:val="0782A64C"/>
    <w:rsid w:val="07A82470"/>
    <w:rsid w:val="07AC1F75"/>
    <w:rsid w:val="07CED228"/>
    <w:rsid w:val="08164228"/>
    <w:rsid w:val="0824814D"/>
    <w:rsid w:val="083143DB"/>
    <w:rsid w:val="08BFE969"/>
    <w:rsid w:val="08D46B51"/>
    <w:rsid w:val="092A5D12"/>
    <w:rsid w:val="095F8336"/>
    <w:rsid w:val="096972F8"/>
    <w:rsid w:val="0992B1EF"/>
    <w:rsid w:val="09AFA0C8"/>
    <w:rsid w:val="09E3CDA3"/>
    <w:rsid w:val="09F7723B"/>
    <w:rsid w:val="0A37133F"/>
    <w:rsid w:val="0A491647"/>
    <w:rsid w:val="0A6CBF56"/>
    <w:rsid w:val="0A9031A3"/>
    <w:rsid w:val="0AA15A8F"/>
    <w:rsid w:val="0AA647C4"/>
    <w:rsid w:val="0B113BFF"/>
    <w:rsid w:val="0B367AF1"/>
    <w:rsid w:val="0B3EC280"/>
    <w:rsid w:val="0B4DC15C"/>
    <w:rsid w:val="0B5C34B5"/>
    <w:rsid w:val="0B61555E"/>
    <w:rsid w:val="0B80FF04"/>
    <w:rsid w:val="0BA66199"/>
    <w:rsid w:val="0BC09191"/>
    <w:rsid w:val="0BC67E45"/>
    <w:rsid w:val="0C0C8198"/>
    <w:rsid w:val="0C20F1CE"/>
    <w:rsid w:val="0C41F5CA"/>
    <w:rsid w:val="0C5561DC"/>
    <w:rsid w:val="0CB7171B"/>
    <w:rsid w:val="0D262041"/>
    <w:rsid w:val="0D781A9D"/>
    <w:rsid w:val="0DBB5039"/>
    <w:rsid w:val="0DBF7FBC"/>
    <w:rsid w:val="0DC28E64"/>
    <w:rsid w:val="0DDEB6AA"/>
    <w:rsid w:val="0DE67F38"/>
    <w:rsid w:val="0DED45B3"/>
    <w:rsid w:val="0DF63188"/>
    <w:rsid w:val="0E56A5AB"/>
    <w:rsid w:val="0E653B9D"/>
    <w:rsid w:val="0E735D82"/>
    <w:rsid w:val="0EC05093"/>
    <w:rsid w:val="0EC8C10D"/>
    <w:rsid w:val="0F290675"/>
    <w:rsid w:val="0F344F2B"/>
    <w:rsid w:val="0F34761C"/>
    <w:rsid w:val="0FA0255F"/>
    <w:rsid w:val="0FA03EFD"/>
    <w:rsid w:val="0FD90361"/>
    <w:rsid w:val="0FE9C0AE"/>
    <w:rsid w:val="0FFC11C3"/>
    <w:rsid w:val="10364448"/>
    <w:rsid w:val="10A5FA8D"/>
    <w:rsid w:val="10B14573"/>
    <w:rsid w:val="10CE6009"/>
    <w:rsid w:val="10F6E321"/>
    <w:rsid w:val="113221AC"/>
    <w:rsid w:val="113AF151"/>
    <w:rsid w:val="113B454D"/>
    <w:rsid w:val="114192D3"/>
    <w:rsid w:val="1158782F"/>
    <w:rsid w:val="1169BFAC"/>
    <w:rsid w:val="119945DC"/>
    <w:rsid w:val="119AD18B"/>
    <w:rsid w:val="11B36981"/>
    <w:rsid w:val="11BBFA57"/>
    <w:rsid w:val="11BFECEB"/>
    <w:rsid w:val="11E1A669"/>
    <w:rsid w:val="11E51891"/>
    <w:rsid w:val="1200C61E"/>
    <w:rsid w:val="12072681"/>
    <w:rsid w:val="121C5D03"/>
    <w:rsid w:val="1254ACED"/>
    <w:rsid w:val="12AC15B9"/>
    <w:rsid w:val="12D42B15"/>
    <w:rsid w:val="12EAE374"/>
    <w:rsid w:val="12EFFA36"/>
    <w:rsid w:val="132D8CE0"/>
    <w:rsid w:val="133F7B82"/>
    <w:rsid w:val="134A0F23"/>
    <w:rsid w:val="1376EDB0"/>
    <w:rsid w:val="13B06B45"/>
    <w:rsid w:val="13FBEE04"/>
    <w:rsid w:val="14246E61"/>
    <w:rsid w:val="14382EB7"/>
    <w:rsid w:val="14B86F54"/>
    <w:rsid w:val="14C477A1"/>
    <w:rsid w:val="14D6172F"/>
    <w:rsid w:val="14DCB2F8"/>
    <w:rsid w:val="1519F7EE"/>
    <w:rsid w:val="15A750E4"/>
    <w:rsid w:val="15A99117"/>
    <w:rsid w:val="163C94D2"/>
    <w:rsid w:val="164950B5"/>
    <w:rsid w:val="168C31C1"/>
    <w:rsid w:val="16AA991C"/>
    <w:rsid w:val="16B452AC"/>
    <w:rsid w:val="1744BE28"/>
    <w:rsid w:val="17779F92"/>
    <w:rsid w:val="18168200"/>
    <w:rsid w:val="183BEE2F"/>
    <w:rsid w:val="183E6B7A"/>
    <w:rsid w:val="1879B4E5"/>
    <w:rsid w:val="18ECFAEE"/>
    <w:rsid w:val="18F0A73D"/>
    <w:rsid w:val="18FB8EF4"/>
    <w:rsid w:val="1920A5A6"/>
    <w:rsid w:val="198B4CE0"/>
    <w:rsid w:val="19A9A725"/>
    <w:rsid w:val="19C6804B"/>
    <w:rsid w:val="19CE3F2A"/>
    <w:rsid w:val="19D78C4B"/>
    <w:rsid w:val="19DEBD9C"/>
    <w:rsid w:val="19E7062B"/>
    <w:rsid w:val="1A0FC76D"/>
    <w:rsid w:val="1A276835"/>
    <w:rsid w:val="1A5BE367"/>
    <w:rsid w:val="1A630B77"/>
    <w:rsid w:val="1A6CDF2F"/>
    <w:rsid w:val="1A74712D"/>
    <w:rsid w:val="1A976F93"/>
    <w:rsid w:val="1AC0150D"/>
    <w:rsid w:val="1AD1CAA1"/>
    <w:rsid w:val="1AF3A7C6"/>
    <w:rsid w:val="1AF78DAD"/>
    <w:rsid w:val="1B0978F2"/>
    <w:rsid w:val="1B0D3528"/>
    <w:rsid w:val="1B6A0E6D"/>
    <w:rsid w:val="1B6BAC85"/>
    <w:rsid w:val="1B9AAEAC"/>
    <w:rsid w:val="1B9EBFD4"/>
    <w:rsid w:val="1BB50091"/>
    <w:rsid w:val="1BEC2FA7"/>
    <w:rsid w:val="1C0597B5"/>
    <w:rsid w:val="1C0E6F9B"/>
    <w:rsid w:val="1C12CF29"/>
    <w:rsid w:val="1C1736B1"/>
    <w:rsid w:val="1C1A7E7C"/>
    <w:rsid w:val="1C26A9ED"/>
    <w:rsid w:val="1C5299E5"/>
    <w:rsid w:val="1C7062B6"/>
    <w:rsid w:val="1CA8EEB4"/>
    <w:rsid w:val="1CF502E5"/>
    <w:rsid w:val="1D0C1ABB"/>
    <w:rsid w:val="1D37B476"/>
    <w:rsid w:val="1D4628FC"/>
    <w:rsid w:val="1DB292C4"/>
    <w:rsid w:val="1DD05277"/>
    <w:rsid w:val="1DF1A189"/>
    <w:rsid w:val="1E16FFE3"/>
    <w:rsid w:val="1E2749EE"/>
    <w:rsid w:val="1E4A96EB"/>
    <w:rsid w:val="1E621FBF"/>
    <w:rsid w:val="1E633D30"/>
    <w:rsid w:val="1E6F2A6E"/>
    <w:rsid w:val="1E77E566"/>
    <w:rsid w:val="1E95DD9D"/>
    <w:rsid w:val="1EB10034"/>
    <w:rsid w:val="1EC831B7"/>
    <w:rsid w:val="1EDFCCF1"/>
    <w:rsid w:val="1EF09908"/>
    <w:rsid w:val="1F079AD4"/>
    <w:rsid w:val="1F0A822B"/>
    <w:rsid w:val="1F1D11F3"/>
    <w:rsid w:val="1F24A3E1"/>
    <w:rsid w:val="1F419B5A"/>
    <w:rsid w:val="1F435599"/>
    <w:rsid w:val="1F53DBD5"/>
    <w:rsid w:val="1F53FD59"/>
    <w:rsid w:val="1F6D7A1C"/>
    <w:rsid w:val="1F86A280"/>
    <w:rsid w:val="1FA34399"/>
    <w:rsid w:val="1FCC23AE"/>
    <w:rsid w:val="20135860"/>
    <w:rsid w:val="2019F40A"/>
    <w:rsid w:val="20477C2B"/>
    <w:rsid w:val="20724AFF"/>
    <w:rsid w:val="208961F9"/>
    <w:rsid w:val="20AE9C43"/>
    <w:rsid w:val="20B3389F"/>
    <w:rsid w:val="20B3A2AC"/>
    <w:rsid w:val="20BEA1DA"/>
    <w:rsid w:val="20C44DAD"/>
    <w:rsid w:val="20D0D2F7"/>
    <w:rsid w:val="20DE4DA1"/>
    <w:rsid w:val="20F7C659"/>
    <w:rsid w:val="2181B2C8"/>
    <w:rsid w:val="21AC0136"/>
    <w:rsid w:val="21B921B5"/>
    <w:rsid w:val="21C4147C"/>
    <w:rsid w:val="21EC8DAA"/>
    <w:rsid w:val="21F55F1B"/>
    <w:rsid w:val="21F94804"/>
    <w:rsid w:val="22165CE7"/>
    <w:rsid w:val="22350687"/>
    <w:rsid w:val="223D2867"/>
    <w:rsid w:val="223F146C"/>
    <w:rsid w:val="223FFD6D"/>
    <w:rsid w:val="22403DCD"/>
    <w:rsid w:val="22B37389"/>
    <w:rsid w:val="22C857AF"/>
    <w:rsid w:val="22D1168C"/>
    <w:rsid w:val="230B10A5"/>
    <w:rsid w:val="230B548C"/>
    <w:rsid w:val="2389FE02"/>
    <w:rsid w:val="23921364"/>
    <w:rsid w:val="242C154F"/>
    <w:rsid w:val="242D16F5"/>
    <w:rsid w:val="243987D2"/>
    <w:rsid w:val="2472DDC6"/>
    <w:rsid w:val="248D8866"/>
    <w:rsid w:val="24B09CB2"/>
    <w:rsid w:val="24B9DA05"/>
    <w:rsid w:val="24C30EBC"/>
    <w:rsid w:val="24CE82D9"/>
    <w:rsid w:val="24D891C3"/>
    <w:rsid w:val="24F89C71"/>
    <w:rsid w:val="251266ED"/>
    <w:rsid w:val="25B8C01F"/>
    <w:rsid w:val="25B92D6D"/>
    <w:rsid w:val="25BC1A44"/>
    <w:rsid w:val="25D12A03"/>
    <w:rsid w:val="25D8FDE5"/>
    <w:rsid w:val="25EA1B15"/>
    <w:rsid w:val="2608F478"/>
    <w:rsid w:val="2630D56E"/>
    <w:rsid w:val="265B4146"/>
    <w:rsid w:val="26667635"/>
    <w:rsid w:val="26DF3242"/>
    <w:rsid w:val="26E2792A"/>
    <w:rsid w:val="26F6A0A5"/>
    <w:rsid w:val="276E6354"/>
    <w:rsid w:val="27C90876"/>
    <w:rsid w:val="27EC871C"/>
    <w:rsid w:val="28724DE4"/>
    <w:rsid w:val="28AA575A"/>
    <w:rsid w:val="28E26CB4"/>
    <w:rsid w:val="28ED467B"/>
    <w:rsid w:val="28FA4553"/>
    <w:rsid w:val="29135516"/>
    <w:rsid w:val="29311B7C"/>
    <w:rsid w:val="2944DC34"/>
    <w:rsid w:val="29A3EA45"/>
    <w:rsid w:val="2A26CE72"/>
    <w:rsid w:val="2A6108C3"/>
    <w:rsid w:val="2AA6E5B0"/>
    <w:rsid w:val="2AE2F507"/>
    <w:rsid w:val="2AF08B82"/>
    <w:rsid w:val="2B044ED6"/>
    <w:rsid w:val="2B0EC890"/>
    <w:rsid w:val="2B54370D"/>
    <w:rsid w:val="2B7C19AD"/>
    <w:rsid w:val="2BD10228"/>
    <w:rsid w:val="2BDA62A3"/>
    <w:rsid w:val="2BE1BC9A"/>
    <w:rsid w:val="2C102D52"/>
    <w:rsid w:val="2C38E961"/>
    <w:rsid w:val="2C798069"/>
    <w:rsid w:val="2C932264"/>
    <w:rsid w:val="2CAE1DE7"/>
    <w:rsid w:val="2CB5983F"/>
    <w:rsid w:val="2CC6846B"/>
    <w:rsid w:val="2D9624E3"/>
    <w:rsid w:val="2DACF63D"/>
    <w:rsid w:val="2DC0530C"/>
    <w:rsid w:val="2DFB9102"/>
    <w:rsid w:val="2E0A40FF"/>
    <w:rsid w:val="2E55E42F"/>
    <w:rsid w:val="2E595418"/>
    <w:rsid w:val="2E613E33"/>
    <w:rsid w:val="2E7DBC65"/>
    <w:rsid w:val="2E8838A5"/>
    <w:rsid w:val="2F20BDD5"/>
    <w:rsid w:val="2F4D54C2"/>
    <w:rsid w:val="2F5B5064"/>
    <w:rsid w:val="2F5B9530"/>
    <w:rsid w:val="2F63FC56"/>
    <w:rsid w:val="2F6B244D"/>
    <w:rsid w:val="2F6FDF68"/>
    <w:rsid w:val="2F8AAA36"/>
    <w:rsid w:val="2F8B825E"/>
    <w:rsid w:val="2F96AEB0"/>
    <w:rsid w:val="2FA39739"/>
    <w:rsid w:val="2FA8575B"/>
    <w:rsid w:val="2FC08D16"/>
    <w:rsid w:val="2FF0252F"/>
    <w:rsid w:val="3049BC7C"/>
    <w:rsid w:val="3050CA0D"/>
    <w:rsid w:val="305E0B98"/>
    <w:rsid w:val="30F7386E"/>
    <w:rsid w:val="3145B519"/>
    <w:rsid w:val="31510569"/>
    <w:rsid w:val="31558F53"/>
    <w:rsid w:val="31ADDA23"/>
    <w:rsid w:val="31DE0A20"/>
    <w:rsid w:val="320FA679"/>
    <w:rsid w:val="322C054B"/>
    <w:rsid w:val="325ADB2E"/>
    <w:rsid w:val="32605A43"/>
    <w:rsid w:val="3289AA55"/>
    <w:rsid w:val="329FC218"/>
    <w:rsid w:val="32C95500"/>
    <w:rsid w:val="32D35706"/>
    <w:rsid w:val="330569B4"/>
    <w:rsid w:val="330F3CD0"/>
    <w:rsid w:val="33179494"/>
    <w:rsid w:val="333DC3C3"/>
    <w:rsid w:val="33425E57"/>
    <w:rsid w:val="3361E3F6"/>
    <w:rsid w:val="336F3AF7"/>
    <w:rsid w:val="33B1345A"/>
    <w:rsid w:val="33CDD537"/>
    <w:rsid w:val="33DAB626"/>
    <w:rsid w:val="3463020F"/>
    <w:rsid w:val="34722BAB"/>
    <w:rsid w:val="349234A3"/>
    <w:rsid w:val="3496FF3C"/>
    <w:rsid w:val="34B2B0E8"/>
    <w:rsid w:val="34DB4FD5"/>
    <w:rsid w:val="34E5311D"/>
    <w:rsid w:val="34F7A433"/>
    <w:rsid w:val="3503D1D3"/>
    <w:rsid w:val="351195DB"/>
    <w:rsid w:val="35288918"/>
    <w:rsid w:val="354CB1CF"/>
    <w:rsid w:val="35502945"/>
    <w:rsid w:val="355461C8"/>
    <w:rsid w:val="35D5ECA5"/>
    <w:rsid w:val="35F05B21"/>
    <w:rsid w:val="36291669"/>
    <w:rsid w:val="362B44FE"/>
    <w:rsid w:val="362E7913"/>
    <w:rsid w:val="3630F1A3"/>
    <w:rsid w:val="366C9380"/>
    <w:rsid w:val="36BEF082"/>
    <w:rsid w:val="36C3E28F"/>
    <w:rsid w:val="370E60F1"/>
    <w:rsid w:val="373BC108"/>
    <w:rsid w:val="373BD76C"/>
    <w:rsid w:val="37553D34"/>
    <w:rsid w:val="375F80DC"/>
    <w:rsid w:val="37817714"/>
    <w:rsid w:val="378F7AE7"/>
    <w:rsid w:val="37D6837E"/>
    <w:rsid w:val="382C8DBD"/>
    <w:rsid w:val="386835A6"/>
    <w:rsid w:val="388C145B"/>
    <w:rsid w:val="39558B21"/>
    <w:rsid w:val="3964270B"/>
    <w:rsid w:val="39AC38EE"/>
    <w:rsid w:val="39C97286"/>
    <w:rsid w:val="39F33E0E"/>
    <w:rsid w:val="3A0030A7"/>
    <w:rsid w:val="3A0957F0"/>
    <w:rsid w:val="3A0C1126"/>
    <w:rsid w:val="3A45325D"/>
    <w:rsid w:val="3A5A6607"/>
    <w:rsid w:val="3A862215"/>
    <w:rsid w:val="3A8D8937"/>
    <w:rsid w:val="3AC92673"/>
    <w:rsid w:val="3AD6A701"/>
    <w:rsid w:val="3AFC4C27"/>
    <w:rsid w:val="3B1F119A"/>
    <w:rsid w:val="3B2AD2ED"/>
    <w:rsid w:val="3B3081BE"/>
    <w:rsid w:val="3B5C9543"/>
    <w:rsid w:val="3B8D281B"/>
    <w:rsid w:val="3BA3CDF7"/>
    <w:rsid w:val="3BBD1111"/>
    <w:rsid w:val="3BEBDEFE"/>
    <w:rsid w:val="3BEE59CA"/>
    <w:rsid w:val="3BFA440F"/>
    <w:rsid w:val="3C05D90E"/>
    <w:rsid w:val="3C4B4CE5"/>
    <w:rsid w:val="3C531C8D"/>
    <w:rsid w:val="3C620588"/>
    <w:rsid w:val="3C762305"/>
    <w:rsid w:val="3C853D51"/>
    <w:rsid w:val="3C8CF1A6"/>
    <w:rsid w:val="3CA193AE"/>
    <w:rsid w:val="3CDAE20D"/>
    <w:rsid w:val="3D0917FC"/>
    <w:rsid w:val="3D142169"/>
    <w:rsid w:val="3D603180"/>
    <w:rsid w:val="3D7562B5"/>
    <w:rsid w:val="3DA022C1"/>
    <w:rsid w:val="3DC8EA58"/>
    <w:rsid w:val="3DF73158"/>
    <w:rsid w:val="3DFF81A8"/>
    <w:rsid w:val="3E036A98"/>
    <w:rsid w:val="3E120668"/>
    <w:rsid w:val="3E1AECD2"/>
    <w:rsid w:val="3E5DBC6A"/>
    <w:rsid w:val="3E7F33D5"/>
    <w:rsid w:val="3ED8CF37"/>
    <w:rsid w:val="3EDF37D0"/>
    <w:rsid w:val="3F5E8344"/>
    <w:rsid w:val="3F901D1E"/>
    <w:rsid w:val="3FB1F630"/>
    <w:rsid w:val="3FBCC94D"/>
    <w:rsid w:val="3FD5E007"/>
    <w:rsid w:val="3FE3C62E"/>
    <w:rsid w:val="3FFA2A84"/>
    <w:rsid w:val="40008393"/>
    <w:rsid w:val="400BD394"/>
    <w:rsid w:val="4021D233"/>
    <w:rsid w:val="40A92DEB"/>
    <w:rsid w:val="40C1604A"/>
    <w:rsid w:val="40FBE5E4"/>
    <w:rsid w:val="41A6F6F8"/>
    <w:rsid w:val="41D5BD99"/>
    <w:rsid w:val="41D8CFF3"/>
    <w:rsid w:val="4228C3D0"/>
    <w:rsid w:val="42514ABC"/>
    <w:rsid w:val="4272DEDB"/>
    <w:rsid w:val="42892973"/>
    <w:rsid w:val="42C76C29"/>
    <w:rsid w:val="42ED71FF"/>
    <w:rsid w:val="431D926E"/>
    <w:rsid w:val="43992C3F"/>
    <w:rsid w:val="43BCF310"/>
    <w:rsid w:val="43E45AC7"/>
    <w:rsid w:val="43F72619"/>
    <w:rsid w:val="44051604"/>
    <w:rsid w:val="441EF338"/>
    <w:rsid w:val="4462AFD5"/>
    <w:rsid w:val="447861B7"/>
    <w:rsid w:val="447E3D3A"/>
    <w:rsid w:val="44AEE2E1"/>
    <w:rsid w:val="44DD0C2F"/>
    <w:rsid w:val="4564AFAC"/>
    <w:rsid w:val="458351CE"/>
    <w:rsid w:val="459DD922"/>
    <w:rsid w:val="459E8EC5"/>
    <w:rsid w:val="459FCF19"/>
    <w:rsid w:val="45D5E3F3"/>
    <w:rsid w:val="45D84C97"/>
    <w:rsid w:val="45F96703"/>
    <w:rsid w:val="46006F7C"/>
    <w:rsid w:val="46267037"/>
    <w:rsid w:val="465D1873"/>
    <w:rsid w:val="46653EF8"/>
    <w:rsid w:val="466587C1"/>
    <w:rsid w:val="46880637"/>
    <w:rsid w:val="4693C8F5"/>
    <w:rsid w:val="46AE458E"/>
    <w:rsid w:val="46BE3A22"/>
    <w:rsid w:val="46E4B885"/>
    <w:rsid w:val="46F811A3"/>
    <w:rsid w:val="4700477C"/>
    <w:rsid w:val="470CC7A6"/>
    <w:rsid w:val="4712C0ED"/>
    <w:rsid w:val="4720BAFC"/>
    <w:rsid w:val="474A862B"/>
    <w:rsid w:val="4751A940"/>
    <w:rsid w:val="47992A6E"/>
    <w:rsid w:val="479FD31D"/>
    <w:rsid w:val="47E99958"/>
    <w:rsid w:val="482D0631"/>
    <w:rsid w:val="482F6D93"/>
    <w:rsid w:val="4840F245"/>
    <w:rsid w:val="485EAE6E"/>
    <w:rsid w:val="487256FB"/>
    <w:rsid w:val="4873E3CE"/>
    <w:rsid w:val="4878E734"/>
    <w:rsid w:val="48CA64F4"/>
    <w:rsid w:val="48E1D410"/>
    <w:rsid w:val="49214184"/>
    <w:rsid w:val="4985AC08"/>
    <w:rsid w:val="49905A49"/>
    <w:rsid w:val="49916A15"/>
    <w:rsid w:val="499E8C46"/>
    <w:rsid w:val="49D071F1"/>
    <w:rsid w:val="4A11C2AA"/>
    <w:rsid w:val="4A28794F"/>
    <w:rsid w:val="4A2CB801"/>
    <w:rsid w:val="4A4209C7"/>
    <w:rsid w:val="4A4718AF"/>
    <w:rsid w:val="4A59CCF2"/>
    <w:rsid w:val="4A71F973"/>
    <w:rsid w:val="4A847833"/>
    <w:rsid w:val="4AA33972"/>
    <w:rsid w:val="4AEEC064"/>
    <w:rsid w:val="4B08D8F4"/>
    <w:rsid w:val="4B367CF0"/>
    <w:rsid w:val="4B48FC7B"/>
    <w:rsid w:val="4B6FBF66"/>
    <w:rsid w:val="4B76435B"/>
    <w:rsid w:val="4B9DF09A"/>
    <w:rsid w:val="4BC866B4"/>
    <w:rsid w:val="4BD0A37A"/>
    <w:rsid w:val="4BDE4DEC"/>
    <w:rsid w:val="4BFA11DA"/>
    <w:rsid w:val="4C229070"/>
    <w:rsid w:val="4C75EE02"/>
    <w:rsid w:val="4C7BD98F"/>
    <w:rsid w:val="4CACDFFF"/>
    <w:rsid w:val="4CC316A2"/>
    <w:rsid w:val="4CE35D06"/>
    <w:rsid w:val="4CFAC07B"/>
    <w:rsid w:val="4D037BBA"/>
    <w:rsid w:val="4D1E6570"/>
    <w:rsid w:val="4D690C89"/>
    <w:rsid w:val="4D691E62"/>
    <w:rsid w:val="4DB6F5FC"/>
    <w:rsid w:val="4DBDDD6A"/>
    <w:rsid w:val="4DF62253"/>
    <w:rsid w:val="4E04C79A"/>
    <w:rsid w:val="4E3A2833"/>
    <w:rsid w:val="4E5B7616"/>
    <w:rsid w:val="4EA9A284"/>
    <w:rsid w:val="4ECF4560"/>
    <w:rsid w:val="4ED9B1E0"/>
    <w:rsid w:val="4EE312C1"/>
    <w:rsid w:val="4EEC522B"/>
    <w:rsid w:val="4EF4E74A"/>
    <w:rsid w:val="4EFCA76C"/>
    <w:rsid w:val="4F59F1B4"/>
    <w:rsid w:val="4F7C5332"/>
    <w:rsid w:val="4F841168"/>
    <w:rsid w:val="4FF166CF"/>
    <w:rsid w:val="50146065"/>
    <w:rsid w:val="5053A276"/>
    <w:rsid w:val="5076E477"/>
    <w:rsid w:val="5087FB18"/>
    <w:rsid w:val="508D38F5"/>
    <w:rsid w:val="50A0B968"/>
    <w:rsid w:val="50C74BB1"/>
    <w:rsid w:val="50C9E839"/>
    <w:rsid w:val="50EBD440"/>
    <w:rsid w:val="51284748"/>
    <w:rsid w:val="513E196C"/>
    <w:rsid w:val="514AFBAB"/>
    <w:rsid w:val="5154126F"/>
    <w:rsid w:val="5159BDAD"/>
    <w:rsid w:val="5189FD09"/>
    <w:rsid w:val="518B20E5"/>
    <w:rsid w:val="519B8861"/>
    <w:rsid w:val="51A94D95"/>
    <w:rsid w:val="51C31030"/>
    <w:rsid w:val="51E60528"/>
    <w:rsid w:val="51ED5860"/>
    <w:rsid w:val="5204DB6D"/>
    <w:rsid w:val="5213418D"/>
    <w:rsid w:val="521F38FD"/>
    <w:rsid w:val="52315EC2"/>
    <w:rsid w:val="529C75E6"/>
    <w:rsid w:val="52D0B861"/>
    <w:rsid w:val="5319A033"/>
    <w:rsid w:val="536D0D40"/>
    <w:rsid w:val="537C1643"/>
    <w:rsid w:val="53B2B70E"/>
    <w:rsid w:val="53C1857E"/>
    <w:rsid w:val="53C9DAFD"/>
    <w:rsid w:val="53D98A14"/>
    <w:rsid w:val="53F6F5CF"/>
    <w:rsid w:val="54216246"/>
    <w:rsid w:val="545AD300"/>
    <w:rsid w:val="547706FC"/>
    <w:rsid w:val="547760BE"/>
    <w:rsid w:val="5477EF09"/>
    <w:rsid w:val="548332A7"/>
    <w:rsid w:val="55214FCA"/>
    <w:rsid w:val="5576B61C"/>
    <w:rsid w:val="559177DF"/>
    <w:rsid w:val="55A97296"/>
    <w:rsid w:val="5601FADF"/>
    <w:rsid w:val="560FB436"/>
    <w:rsid w:val="56401253"/>
    <w:rsid w:val="569818B3"/>
    <w:rsid w:val="56CE114F"/>
    <w:rsid w:val="57154E1D"/>
    <w:rsid w:val="5759AAE0"/>
    <w:rsid w:val="57CC8F7A"/>
    <w:rsid w:val="57D0CE6D"/>
    <w:rsid w:val="57D6DFC5"/>
    <w:rsid w:val="5810058E"/>
    <w:rsid w:val="581234DB"/>
    <w:rsid w:val="583AD904"/>
    <w:rsid w:val="586B0827"/>
    <w:rsid w:val="5899C28D"/>
    <w:rsid w:val="58B222E3"/>
    <w:rsid w:val="58E83B46"/>
    <w:rsid w:val="58EC6945"/>
    <w:rsid w:val="590A2A3F"/>
    <w:rsid w:val="5938A3AF"/>
    <w:rsid w:val="595ADB29"/>
    <w:rsid w:val="5962F561"/>
    <w:rsid w:val="597B3B2F"/>
    <w:rsid w:val="59AF5BA8"/>
    <w:rsid w:val="59B6DCAB"/>
    <w:rsid w:val="59C5F083"/>
    <w:rsid w:val="59EF0578"/>
    <w:rsid w:val="5A061A63"/>
    <w:rsid w:val="5A2E77A8"/>
    <w:rsid w:val="5A304429"/>
    <w:rsid w:val="5A3729DD"/>
    <w:rsid w:val="5A39D867"/>
    <w:rsid w:val="5A583ECC"/>
    <w:rsid w:val="5A7D39E0"/>
    <w:rsid w:val="5A9ABE06"/>
    <w:rsid w:val="5AA0B6C4"/>
    <w:rsid w:val="5B01432C"/>
    <w:rsid w:val="5B13642F"/>
    <w:rsid w:val="5B332D96"/>
    <w:rsid w:val="5B64C142"/>
    <w:rsid w:val="5B70F80C"/>
    <w:rsid w:val="5B88D28F"/>
    <w:rsid w:val="5B97F071"/>
    <w:rsid w:val="5BA037CC"/>
    <w:rsid w:val="5BA0F8E9"/>
    <w:rsid w:val="5BA268AA"/>
    <w:rsid w:val="5BBFD953"/>
    <w:rsid w:val="5BD50E3B"/>
    <w:rsid w:val="5BD9E40F"/>
    <w:rsid w:val="5BDB19D5"/>
    <w:rsid w:val="5BF0A87A"/>
    <w:rsid w:val="5C23CA16"/>
    <w:rsid w:val="5C4693D1"/>
    <w:rsid w:val="5C547C51"/>
    <w:rsid w:val="5C6D1D04"/>
    <w:rsid w:val="5CBFBEAD"/>
    <w:rsid w:val="5CDCC79C"/>
    <w:rsid w:val="5CEA6AB0"/>
    <w:rsid w:val="5CF65D29"/>
    <w:rsid w:val="5D24A67C"/>
    <w:rsid w:val="5D47C094"/>
    <w:rsid w:val="5D5F7A2E"/>
    <w:rsid w:val="5DA1E78D"/>
    <w:rsid w:val="5DA5553F"/>
    <w:rsid w:val="5DD5FE8E"/>
    <w:rsid w:val="5E07CC82"/>
    <w:rsid w:val="5E7FB8DC"/>
    <w:rsid w:val="5E851457"/>
    <w:rsid w:val="5E9BC9DB"/>
    <w:rsid w:val="5EEBE6A6"/>
    <w:rsid w:val="5F022D0B"/>
    <w:rsid w:val="5F167DF6"/>
    <w:rsid w:val="5F2C9EA4"/>
    <w:rsid w:val="5F615B58"/>
    <w:rsid w:val="5F904987"/>
    <w:rsid w:val="5FA02471"/>
    <w:rsid w:val="5FBFA68B"/>
    <w:rsid w:val="5FECF7F8"/>
    <w:rsid w:val="5FFDEAD9"/>
    <w:rsid w:val="6025439F"/>
    <w:rsid w:val="605A0CAC"/>
    <w:rsid w:val="6060F5A4"/>
    <w:rsid w:val="607F5F98"/>
    <w:rsid w:val="6099CCA0"/>
    <w:rsid w:val="60E04E15"/>
    <w:rsid w:val="60E2F16A"/>
    <w:rsid w:val="6125BE06"/>
    <w:rsid w:val="61390A42"/>
    <w:rsid w:val="61775BB7"/>
    <w:rsid w:val="617E76DC"/>
    <w:rsid w:val="61B506E4"/>
    <w:rsid w:val="61D699A3"/>
    <w:rsid w:val="62191642"/>
    <w:rsid w:val="622E82E6"/>
    <w:rsid w:val="6245C377"/>
    <w:rsid w:val="62686AB5"/>
    <w:rsid w:val="629BDCC6"/>
    <w:rsid w:val="62BB8DEF"/>
    <w:rsid w:val="632561AC"/>
    <w:rsid w:val="632A7AC3"/>
    <w:rsid w:val="635BE1BA"/>
    <w:rsid w:val="63625364"/>
    <w:rsid w:val="6378B44A"/>
    <w:rsid w:val="638A32DA"/>
    <w:rsid w:val="63A3DC4F"/>
    <w:rsid w:val="63B90BA6"/>
    <w:rsid w:val="63CC41CB"/>
    <w:rsid w:val="63EF1CBF"/>
    <w:rsid w:val="640F55B0"/>
    <w:rsid w:val="648BF0C7"/>
    <w:rsid w:val="6494D98B"/>
    <w:rsid w:val="64A29C9A"/>
    <w:rsid w:val="64BF1B82"/>
    <w:rsid w:val="64D78381"/>
    <w:rsid w:val="64F34A40"/>
    <w:rsid w:val="65274177"/>
    <w:rsid w:val="65899227"/>
    <w:rsid w:val="65B99985"/>
    <w:rsid w:val="65C86CFF"/>
    <w:rsid w:val="65EEA71C"/>
    <w:rsid w:val="65F71220"/>
    <w:rsid w:val="66215FBF"/>
    <w:rsid w:val="662C7710"/>
    <w:rsid w:val="66C1826D"/>
    <w:rsid w:val="66C94E64"/>
    <w:rsid w:val="66CD9FC2"/>
    <w:rsid w:val="66EEA670"/>
    <w:rsid w:val="67163E3E"/>
    <w:rsid w:val="671FFEF6"/>
    <w:rsid w:val="67853B41"/>
    <w:rsid w:val="67989CB1"/>
    <w:rsid w:val="67A590C7"/>
    <w:rsid w:val="67AB1507"/>
    <w:rsid w:val="67DF0233"/>
    <w:rsid w:val="67F37AED"/>
    <w:rsid w:val="6834B3D0"/>
    <w:rsid w:val="6846D24D"/>
    <w:rsid w:val="68BD15E1"/>
    <w:rsid w:val="68F4E5FB"/>
    <w:rsid w:val="6912123B"/>
    <w:rsid w:val="696B051F"/>
    <w:rsid w:val="69ADFC5B"/>
    <w:rsid w:val="69B2EC4D"/>
    <w:rsid w:val="69B68062"/>
    <w:rsid w:val="69BC9E2A"/>
    <w:rsid w:val="69DEFA27"/>
    <w:rsid w:val="69F688F3"/>
    <w:rsid w:val="6A24A57D"/>
    <w:rsid w:val="6A3E82CB"/>
    <w:rsid w:val="6A62C4DA"/>
    <w:rsid w:val="6A712CA0"/>
    <w:rsid w:val="6A92C4AB"/>
    <w:rsid w:val="6AA687D3"/>
    <w:rsid w:val="6AB7C3DB"/>
    <w:rsid w:val="6ACC2F48"/>
    <w:rsid w:val="6AD93678"/>
    <w:rsid w:val="6AE89E65"/>
    <w:rsid w:val="6B2617C1"/>
    <w:rsid w:val="6B4A5F70"/>
    <w:rsid w:val="6B5D11F1"/>
    <w:rsid w:val="6C075C64"/>
    <w:rsid w:val="6C28045D"/>
    <w:rsid w:val="6C2A7C05"/>
    <w:rsid w:val="6C37135D"/>
    <w:rsid w:val="6C399498"/>
    <w:rsid w:val="6CA080FD"/>
    <w:rsid w:val="6CB86102"/>
    <w:rsid w:val="6CD9692C"/>
    <w:rsid w:val="6CF98EAB"/>
    <w:rsid w:val="6D07DC7F"/>
    <w:rsid w:val="6D104169"/>
    <w:rsid w:val="6D1FDB2D"/>
    <w:rsid w:val="6D2BB3B1"/>
    <w:rsid w:val="6D7CA2C4"/>
    <w:rsid w:val="6D9E5BDA"/>
    <w:rsid w:val="6DA2BA9D"/>
    <w:rsid w:val="6DD0FA4A"/>
    <w:rsid w:val="6DE7FEC2"/>
    <w:rsid w:val="6DF18F75"/>
    <w:rsid w:val="6DF718B8"/>
    <w:rsid w:val="6E0C0CC9"/>
    <w:rsid w:val="6E48BF00"/>
    <w:rsid w:val="6E5DC199"/>
    <w:rsid w:val="6E890880"/>
    <w:rsid w:val="6E896EE7"/>
    <w:rsid w:val="6E92B357"/>
    <w:rsid w:val="6E9B2C84"/>
    <w:rsid w:val="6EAFEA94"/>
    <w:rsid w:val="6EBB8CF2"/>
    <w:rsid w:val="6F04212B"/>
    <w:rsid w:val="6F08D0BD"/>
    <w:rsid w:val="6F268AFB"/>
    <w:rsid w:val="6F38F047"/>
    <w:rsid w:val="6F9986ED"/>
    <w:rsid w:val="6FAD1CB7"/>
    <w:rsid w:val="6FB41B8F"/>
    <w:rsid w:val="6FBDF945"/>
    <w:rsid w:val="6FE23E72"/>
    <w:rsid w:val="6FEFBFEE"/>
    <w:rsid w:val="6FF859BE"/>
    <w:rsid w:val="701D93CE"/>
    <w:rsid w:val="70227AB7"/>
    <w:rsid w:val="7028F6F0"/>
    <w:rsid w:val="7040D2C4"/>
    <w:rsid w:val="7095C4BB"/>
    <w:rsid w:val="709C2140"/>
    <w:rsid w:val="70ACCDC3"/>
    <w:rsid w:val="7110128A"/>
    <w:rsid w:val="712E4554"/>
    <w:rsid w:val="714C30DE"/>
    <w:rsid w:val="71504219"/>
    <w:rsid w:val="71817936"/>
    <w:rsid w:val="718BBA9B"/>
    <w:rsid w:val="718BC6C5"/>
    <w:rsid w:val="71DA4961"/>
    <w:rsid w:val="71FCF648"/>
    <w:rsid w:val="71FD1C75"/>
    <w:rsid w:val="720798EF"/>
    <w:rsid w:val="720EC405"/>
    <w:rsid w:val="7260C3AB"/>
    <w:rsid w:val="7279391B"/>
    <w:rsid w:val="729BBF57"/>
    <w:rsid w:val="73275F0E"/>
    <w:rsid w:val="7350A2AB"/>
    <w:rsid w:val="736033B9"/>
    <w:rsid w:val="73B720C8"/>
    <w:rsid w:val="73CF21EE"/>
    <w:rsid w:val="73E7E543"/>
    <w:rsid w:val="73EF65EE"/>
    <w:rsid w:val="742A9109"/>
    <w:rsid w:val="7442C963"/>
    <w:rsid w:val="74616630"/>
    <w:rsid w:val="74D3A7CA"/>
    <w:rsid w:val="74E8003B"/>
    <w:rsid w:val="74FFAD04"/>
    <w:rsid w:val="751DA609"/>
    <w:rsid w:val="751E3376"/>
    <w:rsid w:val="757C42EB"/>
    <w:rsid w:val="75932624"/>
    <w:rsid w:val="7593ECF2"/>
    <w:rsid w:val="75EDEC73"/>
    <w:rsid w:val="75EFB521"/>
    <w:rsid w:val="761B75D9"/>
    <w:rsid w:val="76279717"/>
    <w:rsid w:val="762E4BA4"/>
    <w:rsid w:val="7679A66C"/>
    <w:rsid w:val="767A78C5"/>
    <w:rsid w:val="7693341F"/>
    <w:rsid w:val="7693AD54"/>
    <w:rsid w:val="769DA6A3"/>
    <w:rsid w:val="76DE0383"/>
    <w:rsid w:val="770738DA"/>
    <w:rsid w:val="770B6FEF"/>
    <w:rsid w:val="771D9C11"/>
    <w:rsid w:val="77251E6B"/>
    <w:rsid w:val="776D904E"/>
    <w:rsid w:val="776E4AEB"/>
    <w:rsid w:val="77B95440"/>
    <w:rsid w:val="780E1AA6"/>
    <w:rsid w:val="7819DCBD"/>
    <w:rsid w:val="784391AC"/>
    <w:rsid w:val="78486A3A"/>
    <w:rsid w:val="78A6D339"/>
    <w:rsid w:val="78C8876C"/>
    <w:rsid w:val="78CD2B27"/>
    <w:rsid w:val="78E27789"/>
    <w:rsid w:val="78E54909"/>
    <w:rsid w:val="78ED2172"/>
    <w:rsid w:val="78FCF437"/>
    <w:rsid w:val="79044374"/>
    <w:rsid w:val="79444CED"/>
    <w:rsid w:val="79536471"/>
    <w:rsid w:val="79599C2E"/>
    <w:rsid w:val="79714C0C"/>
    <w:rsid w:val="79D35DFD"/>
    <w:rsid w:val="79DCF4B5"/>
    <w:rsid w:val="7A26F940"/>
    <w:rsid w:val="7A5D963A"/>
    <w:rsid w:val="7A66CAFF"/>
    <w:rsid w:val="7A7D6F30"/>
    <w:rsid w:val="7B0DFEB0"/>
    <w:rsid w:val="7B67FD6F"/>
    <w:rsid w:val="7B79AF6F"/>
    <w:rsid w:val="7BD61AFC"/>
    <w:rsid w:val="7BEDB501"/>
    <w:rsid w:val="7C2233E7"/>
    <w:rsid w:val="7C569D7A"/>
    <w:rsid w:val="7C56D4C5"/>
    <w:rsid w:val="7C7C3B0B"/>
    <w:rsid w:val="7C9016FA"/>
    <w:rsid w:val="7D1C0288"/>
    <w:rsid w:val="7D59D54C"/>
    <w:rsid w:val="7D8A143A"/>
    <w:rsid w:val="7D9F076B"/>
    <w:rsid w:val="7E0AEE28"/>
    <w:rsid w:val="7E359962"/>
    <w:rsid w:val="7E44904C"/>
    <w:rsid w:val="7E49BC11"/>
    <w:rsid w:val="7E942666"/>
    <w:rsid w:val="7EA9D87F"/>
    <w:rsid w:val="7EC19011"/>
    <w:rsid w:val="7ED6AFFB"/>
    <w:rsid w:val="7F033A12"/>
    <w:rsid w:val="7F07CFEB"/>
    <w:rsid w:val="7F105129"/>
    <w:rsid w:val="7F76499C"/>
    <w:rsid w:val="7FA86BD5"/>
    <w:rsid w:val="7FC8D9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6D3968BC-0D34-401C-B151-59F77EDD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46267037"/>
    <w:pPr>
      <w:keepNext/>
      <w:keepLines/>
      <w:spacing w:before="160" w:after="80"/>
      <w:outlineLvl w:val="1"/>
    </w:pPr>
    <w:rPr>
      <w:rFonts w:ascii="Calibri Light" w:eastAsia="Yu Mincho" w:hAnsi="Calibri Light" w:cs="Yu Gothic Light"/>
      <w:color w:val="2E74B5"/>
      <w:sz w:val="32"/>
      <w:szCs w:val="32"/>
    </w:rPr>
  </w:style>
  <w:style w:type="paragraph" w:styleId="Heading3">
    <w:name w:val="heading 3"/>
    <w:basedOn w:val="Normal"/>
    <w:next w:val="Normal"/>
    <w:link w:val="Heading3Char"/>
    <w:uiPriority w:val="9"/>
    <w:semiHidden/>
    <w:unhideWhenUsed/>
    <w:qFormat/>
    <w:rsid w:val="00D40B1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988"/>
    <w:pPr>
      <w:tabs>
        <w:tab w:val="center" w:pos="4513"/>
        <w:tab w:val="right" w:pos="9026"/>
      </w:tabs>
    </w:pPr>
  </w:style>
  <w:style w:type="character" w:customStyle="1" w:styleId="HeaderChar">
    <w:name w:val="Header Char"/>
    <w:link w:val="Header"/>
    <w:uiPriority w:val="99"/>
    <w:semiHidden/>
    <w:rsid w:val="001D6988"/>
    <w:rPr>
      <w:sz w:val="22"/>
      <w:szCs w:val="22"/>
      <w:lang w:val="en-GB" w:eastAsia="en-US"/>
    </w:rPr>
  </w:style>
  <w:style w:type="paragraph" w:styleId="Footer">
    <w:name w:val="footer"/>
    <w:basedOn w:val="Normal"/>
    <w:link w:val="FooterChar"/>
    <w:uiPriority w:val="99"/>
    <w:semiHidden/>
    <w:unhideWhenUsed/>
    <w:rsid w:val="001D6988"/>
    <w:pPr>
      <w:tabs>
        <w:tab w:val="center" w:pos="4513"/>
        <w:tab w:val="right" w:pos="9026"/>
      </w:tabs>
    </w:pPr>
  </w:style>
  <w:style w:type="character" w:customStyle="1" w:styleId="FooterChar">
    <w:name w:val="Footer Char"/>
    <w:link w:val="Footer"/>
    <w:uiPriority w:val="99"/>
    <w:semiHidden/>
    <w:rsid w:val="001D6988"/>
    <w:rPr>
      <w:sz w:val="22"/>
      <w:szCs w:val="22"/>
      <w:lang w:val="en-GB" w:eastAsia="en-US"/>
    </w:rPr>
  </w:style>
  <w:style w:type="character" w:customStyle="1" w:styleId="Heading2Char">
    <w:name w:val="Heading 2 Char"/>
    <w:link w:val="Heading2"/>
    <w:uiPriority w:val="9"/>
    <w:rsid w:val="00D33436"/>
    <w:rPr>
      <w:rFonts w:ascii="Calibri Light" w:eastAsia="Times New Roman" w:hAnsi="Calibri Light"/>
      <w:color w:val="2E74B5"/>
      <w:sz w:val="32"/>
      <w:szCs w:val="32"/>
      <w:lang w:val="en-GB" w:eastAsia="en-US"/>
    </w:rPr>
  </w:style>
  <w:style w:type="character" w:customStyle="1" w:styleId="Heading3Char">
    <w:name w:val="Heading 3 Char"/>
    <w:link w:val="Heading3"/>
    <w:uiPriority w:val="9"/>
    <w:semiHidden/>
    <w:rsid w:val="00D40B1C"/>
    <w:rPr>
      <w:rFonts w:ascii="Calibri Light" w:eastAsia="Times New Roman" w:hAnsi="Calibri Light"/>
      <w:b/>
      <w:bCs/>
      <w:sz w:val="26"/>
      <w:szCs w:val="26"/>
      <w:lang w:val="en-GB" w:eastAsia="en-US"/>
    </w:rPr>
  </w:style>
  <w:style w:type="paragraph" w:styleId="ListParagraph">
    <w:name w:val="List Paragraph"/>
    <w:basedOn w:val="Normal"/>
    <w:uiPriority w:val="34"/>
    <w:qFormat/>
    <w:rsid w:val="00B7219B"/>
    <w:pPr>
      <w:spacing w:after="0" w:line="288" w:lineRule="auto"/>
      <w:ind w:left="720"/>
      <w:contextualSpacing/>
      <w:jc w:val="both"/>
    </w:pPr>
    <w:rPr>
      <w:rFonts w:ascii="Times New Roman" w:eastAsia="Times New Roman" w:hAnsi="Times New Roman"/>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247759"/>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ED24B1"/>
    <w:rPr>
      <w:b/>
      <w:bCs/>
    </w:rPr>
  </w:style>
  <w:style w:type="character" w:customStyle="1" w:styleId="CommentSubjectChar">
    <w:name w:val="Comment Subject Char"/>
    <w:link w:val="CommentSubject"/>
    <w:uiPriority w:val="99"/>
    <w:semiHidden/>
    <w:rsid w:val="00ED24B1"/>
    <w:rPr>
      <w:b/>
      <w:bCs/>
      <w:lang w:val="en-GB" w:eastAsia="en-US"/>
    </w:rPr>
  </w:style>
  <w:style w:type="character" w:styleId="Mention">
    <w:name w:val="Mention"/>
    <w:uiPriority w:val="99"/>
    <w:unhideWhenUsed/>
    <w:rsid w:val="00ED24B1"/>
    <w:rPr>
      <w:color w:val="2B579A"/>
      <w:shd w:val="clear" w:color="auto" w:fill="E1DFDD"/>
    </w:rPr>
  </w:style>
  <w:style w:type="paragraph" w:styleId="FootnoteText">
    <w:name w:val="footnote text"/>
    <w:basedOn w:val="Normal"/>
    <w:uiPriority w:val="99"/>
    <w:semiHidden/>
    <w:unhideWhenUsed/>
    <w:rsid w:val="6FEFBFEE"/>
    <w:pPr>
      <w:spacing w:after="0"/>
    </w:pPr>
    <w:rPr>
      <w:sz w:val="20"/>
      <w:szCs w:val="20"/>
    </w:rPr>
  </w:style>
  <w:style w:type="character" w:styleId="FootnoteReference">
    <w:name w:val="footnote reference"/>
    <w:uiPriority w:val="99"/>
    <w:semiHidden/>
    <w:unhideWhenUsed/>
    <w:rsid w:val="6FEFBFEE"/>
    <w:rPr>
      <w:vertAlign w:val="superscript"/>
    </w:rPr>
  </w:style>
  <w:style w:type="character" w:styleId="Hyperlink">
    <w:name w:val="Hyperlink"/>
    <w:uiPriority w:val="99"/>
    <w:unhideWhenUsed/>
    <w:rsid w:val="6FEFBFEE"/>
    <w:rPr>
      <w:color w:val="0563C1"/>
      <w:u w:val="single"/>
    </w:rPr>
  </w:style>
  <w:style w:type="character" w:styleId="UnresolvedMention">
    <w:name w:val="Unresolved Mention"/>
    <w:uiPriority w:val="99"/>
    <w:semiHidden/>
    <w:unhideWhenUsed/>
    <w:rsid w:val="003A581C"/>
    <w:rPr>
      <w:color w:val="605E5C"/>
      <w:shd w:val="clear" w:color="auto" w:fill="E1DFDD"/>
    </w:rPr>
  </w:style>
  <w:style w:type="character" w:styleId="FollowedHyperlink">
    <w:name w:val="FollowedHyperlink"/>
    <w:basedOn w:val="DefaultParagraphFont"/>
    <w:uiPriority w:val="99"/>
    <w:semiHidden/>
    <w:unhideWhenUsed/>
    <w:rsid w:val="008A7E8E"/>
    <w:rPr>
      <w:color w:val="954F72" w:themeColor="followedHyperlink"/>
      <w:u w:val="single"/>
    </w:rPr>
  </w:style>
  <w:style w:type="paragraph" w:styleId="NormalWeb">
    <w:name w:val="Normal (Web)"/>
    <w:basedOn w:val="Normal"/>
    <w:uiPriority w:val="99"/>
    <w:semiHidden/>
    <w:unhideWhenUsed/>
    <w:rsid w:val="0064618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7436">
      <w:bodyDiv w:val="1"/>
      <w:marLeft w:val="0"/>
      <w:marRight w:val="0"/>
      <w:marTop w:val="0"/>
      <w:marBottom w:val="0"/>
      <w:divBdr>
        <w:top w:val="none" w:sz="0" w:space="0" w:color="auto"/>
        <w:left w:val="none" w:sz="0" w:space="0" w:color="auto"/>
        <w:bottom w:val="none" w:sz="0" w:space="0" w:color="auto"/>
        <w:right w:val="none" w:sz="0" w:space="0" w:color="auto"/>
      </w:divBdr>
    </w:div>
    <w:div w:id="299309416">
      <w:bodyDiv w:val="1"/>
      <w:marLeft w:val="0"/>
      <w:marRight w:val="0"/>
      <w:marTop w:val="0"/>
      <w:marBottom w:val="0"/>
      <w:divBdr>
        <w:top w:val="none" w:sz="0" w:space="0" w:color="auto"/>
        <w:left w:val="none" w:sz="0" w:space="0" w:color="auto"/>
        <w:bottom w:val="none" w:sz="0" w:space="0" w:color="auto"/>
        <w:right w:val="none" w:sz="0" w:space="0" w:color="auto"/>
      </w:divBdr>
    </w:div>
    <w:div w:id="327640141">
      <w:bodyDiv w:val="1"/>
      <w:marLeft w:val="0"/>
      <w:marRight w:val="0"/>
      <w:marTop w:val="0"/>
      <w:marBottom w:val="0"/>
      <w:divBdr>
        <w:top w:val="none" w:sz="0" w:space="0" w:color="auto"/>
        <w:left w:val="none" w:sz="0" w:space="0" w:color="auto"/>
        <w:bottom w:val="none" w:sz="0" w:space="0" w:color="auto"/>
        <w:right w:val="none" w:sz="0" w:space="0" w:color="auto"/>
      </w:divBdr>
    </w:div>
    <w:div w:id="629634696">
      <w:bodyDiv w:val="1"/>
      <w:marLeft w:val="0"/>
      <w:marRight w:val="0"/>
      <w:marTop w:val="0"/>
      <w:marBottom w:val="0"/>
      <w:divBdr>
        <w:top w:val="none" w:sz="0" w:space="0" w:color="auto"/>
        <w:left w:val="none" w:sz="0" w:space="0" w:color="auto"/>
        <w:bottom w:val="none" w:sz="0" w:space="0" w:color="auto"/>
        <w:right w:val="none" w:sz="0" w:space="0" w:color="auto"/>
      </w:divBdr>
      <w:divsChild>
        <w:div w:id="220289023">
          <w:marLeft w:val="0"/>
          <w:marRight w:val="0"/>
          <w:marTop w:val="0"/>
          <w:marBottom w:val="0"/>
          <w:divBdr>
            <w:top w:val="none" w:sz="0" w:space="0" w:color="auto"/>
            <w:left w:val="none" w:sz="0" w:space="0" w:color="auto"/>
            <w:bottom w:val="none" w:sz="0" w:space="0" w:color="auto"/>
            <w:right w:val="none" w:sz="0" w:space="0" w:color="auto"/>
          </w:divBdr>
          <w:divsChild>
            <w:div w:id="8190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3874">
      <w:bodyDiv w:val="1"/>
      <w:marLeft w:val="0"/>
      <w:marRight w:val="0"/>
      <w:marTop w:val="0"/>
      <w:marBottom w:val="0"/>
      <w:divBdr>
        <w:top w:val="none" w:sz="0" w:space="0" w:color="auto"/>
        <w:left w:val="none" w:sz="0" w:space="0" w:color="auto"/>
        <w:bottom w:val="none" w:sz="0" w:space="0" w:color="auto"/>
        <w:right w:val="none" w:sz="0" w:space="0" w:color="auto"/>
      </w:divBdr>
      <w:divsChild>
        <w:div w:id="980578474">
          <w:marLeft w:val="0"/>
          <w:marRight w:val="0"/>
          <w:marTop w:val="0"/>
          <w:marBottom w:val="0"/>
          <w:divBdr>
            <w:top w:val="none" w:sz="0" w:space="0" w:color="auto"/>
            <w:left w:val="none" w:sz="0" w:space="0" w:color="auto"/>
            <w:bottom w:val="none" w:sz="0" w:space="0" w:color="auto"/>
            <w:right w:val="none" w:sz="0" w:space="0" w:color="auto"/>
          </w:divBdr>
          <w:divsChild>
            <w:div w:id="11303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1864">
      <w:bodyDiv w:val="1"/>
      <w:marLeft w:val="0"/>
      <w:marRight w:val="0"/>
      <w:marTop w:val="0"/>
      <w:marBottom w:val="0"/>
      <w:divBdr>
        <w:top w:val="none" w:sz="0" w:space="0" w:color="auto"/>
        <w:left w:val="none" w:sz="0" w:space="0" w:color="auto"/>
        <w:bottom w:val="none" w:sz="0" w:space="0" w:color="auto"/>
        <w:right w:val="none" w:sz="0" w:space="0" w:color="auto"/>
      </w:divBdr>
    </w:div>
    <w:div w:id="17418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25PC0548&amp;qid=1753799672664" TargetMode="External"/><Relationship Id="rId2" Type="http://schemas.openxmlformats.org/officeDocument/2006/relationships/hyperlink" Target="https://eur-lex.europa.eu/legal-content/EN/TXT/?uri=celex:52025PC0574" TargetMode="External"/><Relationship Id="rId1" Type="http://schemas.openxmlformats.org/officeDocument/2006/relationships/hyperlink" Target="https://eur-lex.europa.eu/legal-content/EN/TXT/?uri=CELEX%3A52025PC0551&amp;qid=1753799711782" TargetMode="External"/><Relationship Id="rId6" Type="http://schemas.openxmlformats.org/officeDocument/2006/relationships/hyperlink" Target="http://data.europa.eu/eli/reg/2020/2092/oj" TargetMode="External"/><Relationship Id="rId5" Type="http://schemas.openxmlformats.org/officeDocument/2006/relationships/hyperlink" Target="http://data.europa.eu/eli/reg/2013/1308/oj" TargetMode="External"/><Relationship Id="rId4" Type="http://schemas.openxmlformats.org/officeDocument/2006/relationships/hyperlink" Target="https://agriculture.ec.europa.eu/document/download/a4574611-30d7-4f48-bfaf-58559edffdc0_en?filename=communication-strategy-generational-renewal-in-agriculture_en.pdf" TargetMode="External"/></Relationships>
</file>

<file path=word/documenttasks/documenttasks1.xml><?xml version="1.0" encoding="utf-8"?>
<t:Tasks xmlns:t="http://schemas.microsoft.com/office/tasks/2019/documenttasks" xmlns:oel="http://schemas.microsoft.com/office/2019/extlst">
  <t:Task id="{5E7691C6-C2F1-48E9-BA48-00886F102391}">
    <t:Anchor>
      <t:Comment id="1139830871"/>
    </t:Anchor>
    <t:History>
      <t:Event id="{152DD514-4A2F-4BF7-A38C-3B8FB512E028}" time="2025-10-13T15:25:55.989Z">
        <t:Attribution userId="S::elena.baschieri@ec.europa.eu::07ea7ca8-b7bc-4ba6-a9a2-45664a634ad3" userProvider="AD" userName="BASCHIERI Elena (BUDG)"/>
        <t:Anchor>
          <t:Comment id="1139830871"/>
        </t:Anchor>
        <t:Create/>
      </t:Event>
      <t:Event id="{957BB031-F557-4482-A14B-B524827F7138}" time="2025-10-13T15:25:55.989Z">
        <t:Attribution userId="S::elena.baschieri@ec.europa.eu::07ea7ca8-b7bc-4ba6-a9a2-45664a634ad3" userProvider="AD" userName="BASCHIERI Elena (BUDG)"/>
        <t:Anchor>
          <t:Comment id="1139830871"/>
        </t:Anchor>
        <t:Assign userId="S::Inmaculada.GARCIA-DE-FERNANDO-SONSECA@ec.europa.eu::b79fc556-182c-46b9-aa04-f816355d34bd" userProvider="AD" userName="GARCIA DE FERNANDO SONSECA Inmaculada (BUDG)"/>
      </t:Event>
      <t:Event id="{FF4AA50E-3DCB-4A6D-BA89-D30CA381FF01}" time="2025-10-13T15:25:55.989Z">
        <t:Attribution userId="S::elena.baschieri@ec.europa.eu::07ea7ca8-b7bc-4ba6-a9a2-45664a634ad3" userProvider="AD" userName="BASCHIERI Elena (BUDG)"/>
        <t:Anchor>
          <t:Comment id="1139830871"/>
        </t:Anchor>
        <t:SetTitle title="@GARCIA DE FERNANDO SONSECA Inmaculada (BUDG) anything else? :)"/>
      </t:Event>
      <t:Event id="{553088DA-6AB6-4347-9960-27F24DEF953F}" time="2025-10-13T16:21:21.262Z">
        <t:Attribution userId="S::anthi.chelioudaki-vardi@ec.europa.eu::6bac25c0-9e33-4893-9954-cea5525ca72e" userProvider="AD" userName="CHELIOUDAKI-VARDI Anthi (BUD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58BC0B0CBC346B2E7729AF1095625" ma:contentTypeVersion="6" ma:contentTypeDescription="Create a new document." ma:contentTypeScope="" ma:versionID="182112c73dc35f581164b99dfbdd6d35">
  <xsd:schema xmlns:xsd="http://www.w3.org/2001/XMLSchema" xmlns:xs="http://www.w3.org/2001/XMLSchema" xmlns:p="http://schemas.microsoft.com/office/2006/metadata/properties" xmlns:ns2="ccf916b9-47c7-4d64-844b-350aa9048d69" xmlns:ns3="7058b7d0-6f54-43d0-ac9b-f95b90dfb0dc" targetNamespace="http://schemas.microsoft.com/office/2006/metadata/properties" ma:root="true" ma:fieldsID="bbaa7a02d32982ee36994f635f97f037" ns2:_="" ns3:_="">
    <xsd:import namespace="ccf916b9-47c7-4d64-844b-350aa9048d69"/>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916b9-47c7-4d64-844b-350aa904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5E41-DD82-4F51-811F-45B2FAD08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916b9-47c7-4d64-844b-350aa9048d69"/>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C0DE6-4987-407D-97F4-E65214A7664D}">
  <ds:schemaRefs>
    <ds:schemaRef ds:uri="http://schemas.microsoft.com/sharepoint/v3/contenttype/forms"/>
  </ds:schemaRefs>
</ds:datastoreItem>
</file>

<file path=customXml/itemProps3.xml><?xml version="1.0" encoding="utf-8"?>
<ds:datastoreItem xmlns:ds="http://schemas.openxmlformats.org/officeDocument/2006/customXml" ds:itemID="{DEC7AAD8-C834-4E05-B866-909A68ECA5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0A2745-B017-47B5-BC10-C1A56215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2601</Words>
  <Characters>15607</Characters>
  <Application>Microsoft Office Word</Application>
  <DocSecurity>0</DocSecurity>
  <Lines>210</Lines>
  <Paragraphs>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2013-03-02T00:02:00Z</cp:lastPrinted>
  <dcterms:created xsi:type="dcterms:W3CDTF">2026-03-06T08:40:00Z</dcterms:created>
  <dcterms:modified xsi:type="dcterms:W3CDTF">2026-03-06T08:40:00Z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0x01010033A58BC0B0CBC346B2E7729AF1095625</vt:lpwstr>
  </property>
  <property fmtid="{D5CDD505-2E9C-101B-9397-08002B2CF9AE}" pid="10" name="MediaServiceImageTags">
    <vt:lpwstr/>
  </property>
</Properties>
</file>