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29"/>
      </w:tblGrid>
      <w:tr w:rsidR="001C4138" w:rsidRPr="00834464" w14:paraId="30B76F57" w14:textId="77777777" w:rsidTr="352223EB">
        <w:trPr>
          <w:jc w:val="center"/>
        </w:trPr>
        <w:tc>
          <w:tcPr>
            <w:tcW w:w="9729" w:type="dxa"/>
          </w:tcPr>
          <w:p w14:paraId="3A99935F" w14:textId="41CC8CC3" w:rsidR="001C4138" w:rsidRPr="00834464" w:rsidRDefault="005E2B51" w:rsidP="00B568F2">
            <w:pPr>
              <w:widowControl w:val="0"/>
              <w:spacing w:before="120" w:after="120"/>
              <w:rPr>
                <w:rFonts w:ascii="Times New Roman" w:hAnsi="Times New Roman"/>
                <w:b/>
                <w:sz w:val="24"/>
                <w:szCs w:val="24"/>
              </w:rPr>
            </w:pPr>
            <w:r w:rsidRPr="00834464">
              <w:rPr>
                <w:rFonts w:ascii="Times New Roman" w:hAnsi="Times New Roman"/>
                <w:b/>
                <w:sz w:val="24"/>
                <w:szCs w:val="24"/>
              </w:rPr>
              <w:t>Future of organic and quality food and how we can step up consumption</w:t>
            </w:r>
            <w:r w:rsidRPr="00834464">
              <w:rPr>
                <w:rFonts w:ascii="Times New Roman" w:hAnsi="Times New Roman"/>
                <w:b/>
                <w:sz w:val="24"/>
                <w:szCs w:val="24"/>
              </w:rPr>
              <w:br/>
              <w:t>(own-initiative opinion)</w:t>
            </w:r>
            <w:r w:rsidR="00EC70C5" w:rsidRPr="00834464">
              <w:rPr>
                <w:rFonts w:ascii="Times New Roman" w:hAnsi="Times New Roman"/>
                <w:b/>
                <w:sz w:val="24"/>
                <w:szCs w:val="24"/>
              </w:rPr>
              <w:br/>
            </w:r>
            <w:r w:rsidRPr="00834464">
              <w:rPr>
                <w:rFonts w:ascii="Times New Roman" w:hAnsi="Times New Roman"/>
                <w:b/>
                <w:sz w:val="24"/>
                <w:szCs w:val="24"/>
              </w:rPr>
              <w:t xml:space="preserve">EESC-2025-00673 </w:t>
            </w:r>
            <w:r w:rsidR="001C4138" w:rsidRPr="00834464">
              <w:rPr>
                <w:rFonts w:ascii="Times New Roman" w:hAnsi="Times New Roman"/>
                <w:b/>
                <w:sz w:val="24"/>
                <w:szCs w:val="24"/>
              </w:rPr>
              <w:t>– NAT/</w:t>
            </w:r>
            <w:r w:rsidR="00EC70C5" w:rsidRPr="00834464">
              <w:rPr>
                <w:rFonts w:ascii="Times New Roman" w:hAnsi="Times New Roman"/>
                <w:b/>
                <w:sz w:val="24"/>
                <w:szCs w:val="24"/>
              </w:rPr>
              <w:t>9</w:t>
            </w:r>
            <w:r w:rsidRPr="00834464">
              <w:rPr>
                <w:rFonts w:ascii="Times New Roman" w:hAnsi="Times New Roman"/>
                <w:b/>
                <w:sz w:val="24"/>
                <w:szCs w:val="24"/>
              </w:rPr>
              <w:t>49</w:t>
            </w:r>
            <w:r w:rsidR="001C4138" w:rsidRPr="00834464">
              <w:rPr>
                <w:rFonts w:ascii="Times New Roman" w:hAnsi="Times New Roman"/>
                <w:b/>
                <w:sz w:val="24"/>
                <w:szCs w:val="24"/>
              </w:rPr>
              <w:br/>
              <w:t>5</w:t>
            </w:r>
            <w:r w:rsidR="00EC70C5" w:rsidRPr="00834464">
              <w:rPr>
                <w:rFonts w:ascii="Times New Roman" w:hAnsi="Times New Roman"/>
                <w:b/>
                <w:sz w:val="24"/>
                <w:szCs w:val="24"/>
              </w:rPr>
              <w:t>99</w:t>
            </w:r>
            <w:r w:rsidR="001C4138" w:rsidRPr="00834464">
              <w:rPr>
                <w:rFonts w:ascii="Times New Roman" w:hAnsi="Times New Roman"/>
                <w:b/>
                <w:sz w:val="24"/>
                <w:szCs w:val="24"/>
                <w:vertAlign w:val="superscript"/>
              </w:rPr>
              <w:t>th</w:t>
            </w:r>
            <w:r w:rsidR="001C4138" w:rsidRPr="00834464">
              <w:rPr>
                <w:rFonts w:ascii="Times New Roman" w:hAnsi="Times New Roman"/>
                <w:b/>
                <w:sz w:val="24"/>
                <w:szCs w:val="24"/>
              </w:rPr>
              <w:t xml:space="preserve"> Plenary Session – </w:t>
            </w:r>
            <w:r w:rsidR="00EC70C5" w:rsidRPr="00834464">
              <w:rPr>
                <w:rFonts w:ascii="Times New Roman" w:hAnsi="Times New Roman"/>
                <w:b/>
                <w:sz w:val="24"/>
                <w:szCs w:val="24"/>
              </w:rPr>
              <w:t>September</w:t>
            </w:r>
            <w:r w:rsidR="001C4138" w:rsidRPr="00834464">
              <w:rPr>
                <w:rFonts w:ascii="Times New Roman" w:hAnsi="Times New Roman"/>
                <w:b/>
                <w:sz w:val="24"/>
                <w:szCs w:val="24"/>
              </w:rPr>
              <w:t xml:space="preserve"> 20</w:t>
            </w:r>
            <w:r w:rsidR="00EC70C5" w:rsidRPr="00834464">
              <w:rPr>
                <w:rFonts w:ascii="Times New Roman" w:hAnsi="Times New Roman"/>
                <w:b/>
                <w:sz w:val="24"/>
                <w:szCs w:val="24"/>
              </w:rPr>
              <w:t>25</w:t>
            </w:r>
            <w:r w:rsidR="001C4138" w:rsidRPr="00834464">
              <w:rPr>
                <w:rFonts w:ascii="Times New Roman" w:hAnsi="Times New Roman"/>
                <w:b/>
                <w:sz w:val="24"/>
                <w:szCs w:val="24"/>
              </w:rPr>
              <w:br/>
            </w:r>
            <w:r w:rsidRPr="00834464">
              <w:rPr>
                <w:rFonts w:ascii="Times New Roman" w:hAnsi="Times New Roman"/>
                <w:b/>
                <w:sz w:val="24"/>
                <w:szCs w:val="24"/>
              </w:rPr>
              <w:t>Rapporteur: Decebal-</w:t>
            </w:r>
            <w:proofErr w:type="spellStart"/>
            <w:r w:rsidRPr="00834464">
              <w:rPr>
                <w:rFonts w:ascii="Times New Roman" w:hAnsi="Times New Roman"/>
                <w:b/>
                <w:sz w:val="24"/>
                <w:szCs w:val="24"/>
              </w:rPr>
              <w:t>Ștefăniță</w:t>
            </w:r>
            <w:proofErr w:type="spellEnd"/>
            <w:r w:rsidRPr="00834464">
              <w:rPr>
                <w:rFonts w:ascii="Times New Roman" w:hAnsi="Times New Roman"/>
                <w:b/>
                <w:sz w:val="24"/>
                <w:szCs w:val="24"/>
              </w:rPr>
              <w:t xml:space="preserve"> PADURE (RO-I)</w:t>
            </w:r>
            <w:r w:rsidRPr="00834464">
              <w:rPr>
                <w:rFonts w:ascii="Times New Roman" w:hAnsi="Times New Roman"/>
                <w:b/>
                <w:sz w:val="24"/>
                <w:szCs w:val="24"/>
              </w:rPr>
              <w:br/>
              <w:t>Co-rapporteur: Kerli ATS (EE-III)</w:t>
            </w:r>
            <w:r w:rsidRPr="00834464">
              <w:rPr>
                <w:rFonts w:ascii="Times New Roman" w:hAnsi="Times New Roman"/>
                <w:b/>
                <w:sz w:val="24"/>
                <w:szCs w:val="24"/>
              </w:rPr>
              <w:br/>
            </w:r>
            <w:r w:rsidR="001C4138" w:rsidRPr="00834464">
              <w:rPr>
                <w:rFonts w:ascii="Times New Roman" w:hAnsi="Times New Roman"/>
                <w:b/>
                <w:sz w:val="24"/>
                <w:szCs w:val="24"/>
              </w:rPr>
              <w:t xml:space="preserve">DG </w:t>
            </w:r>
            <w:r w:rsidR="00EC70C5" w:rsidRPr="00834464">
              <w:rPr>
                <w:rFonts w:ascii="Times New Roman" w:hAnsi="Times New Roman"/>
                <w:b/>
                <w:sz w:val="24"/>
                <w:szCs w:val="24"/>
              </w:rPr>
              <w:t>AGRI</w:t>
            </w:r>
            <w:r w:rsidR="001C4138" w:rsidRPr="00834464">
              <w:rPr>
                <w:rFonts w:ascii="Times New Roman" w:hAnsi="Times New Roman"/>
                <w:b/>
                <w:sz w:val="24"/>
                <w:szCs w:val="24"/>
              </w:rPr>
              <w:t xml:space="preserve"> – Commissioner </w:t>
            </w:r>
            <w:r w:rsidR="00EC70C5" w:rsidRPr="00834464">
              <w:rPr>
                <w:rFonts w:ascii="Times New Roman" w:hAnsi="Times New Roman"/>
                <w:b/>
                <w:sz w:val="24"/>
                <w:szCs w:val="24"/>
              </w:rPr>
              <w:t>HANSEN</w:t>
            </w:r>
          </w:p>
        </w:tc>
      </w:tr>
      <w:tr w:rsidR="004F6117" w:rsidRPr="00834464" w14:paraId="041809D9" w14:textId="77777777" w:rsidTr="352223EB">
        <w:trPr>
          <w:jc w:val="center"/>
        </w:trPr>
        <w:tc>
          <w:tcPr>
            <w:tcW w:w="9729" w:type="dxa"/>
          </w:tcPr>
          <w:p w14:paraId="52C253DC" w14:textId="708FA66A" w:rsidR="004F6117" w:rsidRPr="00834464" w:rsidRDefault="0049246C" w:rsidP="00B568F2">
            <w:pPr>
              <w:widowControl w:val="0"/>
              <w:spacing w:before="120" w:after="120"/>
              <w:jc w:val="center"/>
              <w:rPr>
                <w:rFonts w:ascii="Times New Roman" w:hAnsi="Times New Roman"/>
                <w:b/>
                <w:sz w:val="24"/>
                <w:szCs w:val="24"/>
                <w:highlight w:val="yellow"/>
              </w:rPr>
            </w:pPr>
            <w:r w:rsidRPr="00834464">
              <w:rPr>
                <w:rFonts w:ascii="Times New Roman" w:hAnsi="Times New Roman"/>
                <w:b/>
                <w:sz w:val="24"/>
                <w:szCs w:val="24"/>
              </w:rPr>
              <w:t xml:space="preserve">European Commission position on points </w:t>
            </w:r>
            <w:r w:rsidRPr="00834464">
              <w:rPr>
                <w:rFonts w:ascii="Times New Roman" w:hAnsi="Times New Roman"/>
                <w:b/>
                <w:sz w:val="24"/>
                <w:szCs w:val="24"/>
              </w:rPr>
              <w:br/>
              <w:t>of the European Economic and Social Committee</w:t>
            </w:r>
            <w:r w:rsidR="00B568F2">
              <w:rPr>
                <w:rFonts w:ascii="Times New Roman" w:hAnsi="Times New Roman"/>
                <w:b/>
                <w:sz w:val="24"/>
                <w:szCs w:val="24"/>
              </w:rPr>
              <w:t xml:space="preserve"> (EESC) </w:t>
            </w:r>
            <w:r w:rsidRPr="00834464">
              <w:rPr>
                <w:rFonts w:ascii="Times New Roman" w:hAnsi="Times New Roman"/>
                <w:b/>
                <w:sz w:val="24"/>
                <w:szCs w:val="24"/>
              </w:rPr>
              <w:t>opinion</w:t>
            </w:r>
            <w:r w:rsidR="00E83C12" w:rsidRPr="00834464">
              <w:rPr>
                <w:rFonts w:ascii="Times New Roman" w:hAnsi="Times New Roman"/>
                <w:b/>
                <w:sz w:val="24"/>
                <w:szCs w:val="24"/>
              </w:rPr>
              <w:t xml:space="preserve"> considered as essential</w:t>
            </w:r>
          </w:p>
        </w:tc>
      </w:tr>
      <w:tr w:rsidR="004F6117" w:rsidRPr="00834464" w14:paraId="461CAB07" w14:textId="77777777" w:rsidTr="352223EB">
        <w:trPr>
          <w:jc w:val="center"/>
        </w:trPr>
        <w:tc>
          <w:tcPr>
            <w:tcW w:w="9729" w:type="dxa"/>
          </w:tcPr>
          <w:p w14:paraId="370C8606" w14:textId="0F604A48" w:rsidR="00A147BA" w:rsidRPr="00834464" w:rsidRDefault="00A147B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Commission welcomes this opinion on the future of organic and quality food. It has presented its integrated approach to food policy in the Vision for Agriculture and Food, highlighting the importance of re-establishing the link between food, territory, seasonality, cultures and local traditions. </w:t>
            </w:r>
            <w:r w:rsidR="006353F6" w:rsidRPr="00834464">
              <w:rPr>
                <w:rFonts w:ascii="Times New Roman" w:eastAsia="Times New Roman" w:hAnsi="Times New Roman"/>
                <w:sz w:val="24"/>
                <w:szCs w:val="24"/>
              </w:rPr>
              <w:t xml:space="preserve">In view of a coherent approach throughout the food sector, the </w:t>
            </w:r>
            <w:r w:rsidRPr="00834464">
              <w:rPr>
                <w:rFonts w:ascii="Times New Roman" w:eastAsia="Times New Roman" w:hAnsi="Times New Roman"/>
                <w:sz w:val="24"/>
                <w:szCs w:val="24"/>
              </w:rPr>
              <w:t>Commission has underlined the need for actions at EU level</w:t>
            </w:r>
            <w:r w:rsidR="006353F6" w:rsidRPr="00834464">
              <w:rPr>
                <w:rFonts w:ascii="Times New Roman" w:eastAsia="Times New Roman" w:hAnsi="Times New Roman"/>
                <w:sz w:val="24"/>
                <w:szCs w:val="24"/>
              </w:rPr>
              <w:t xml:space="preserve"> to facilitate sustainable</w:t>
            </w:r>
            <w:r w:rsidR="0017004C" w:rsidRPr="00834464">
              <w:rPr>
                <w:rFonts w:ascii="Times New Roman" w:eastAsia="Times New Roman" w:hAnsi="Times New Roman"/>
                <w:sz w:val="24"/>
                <w:szCs w:val="24"/>
              </w:rPr>
              <w:t xml:space="preserve"> consumption</w:t>
            </w:r>
            <w:r w:rsidR="006353F6" w:rsidRPr="00834464">
              <w:rPr>
                <w:rFonts w:ascii="Times New Roman" w:eastAsia="Times New Roman" w:hAnsi="Times New Roman"/>
                <w:sz w:val="24"/>
                <w:szCs w:val="24"/>
              </w:rPr>
              <w:t xml:space="preserve"> choices</w:t>
            </w:r>
            <w:r w:rsidR="0017004C" w:rsidRPr="00834464">
              <w:rPr>
                <w:rFonts w:ascii="Times New Roman" w:eastAsia="Times New Roman" w:hAnsi="Times New Roman"/>
                <w:sz w:val="24"/>
                <w:szCs w:val="24"/>
              </w:rPr>
              <w:t xml:space="preserve"> </w:t>
            </w:r>
            <w:r w:rsidR="006353F6" w:rsidRPr="00834464">
              <w:rPr>
                <w:rFonts w:ascii="Times New Roman" w:eastAsia="Times New Roman" w:hAnsi="Times New Roman"/>
                <w:sz w:val="24"/>
                <w:szCs w:val="24"/>
              </w:rPr>
              <w:t xml:space="preserve">and to </w:t>
            </w:r>
            <w:r w:rsidR="0017004C" w:rsidRPr="00834464">
              <w:rPr>
                <w:rFonts w:ascii="Times New Roman" w:eastAsia="Times New Roman" w:hAnsi="Times New Roman"/>
                <w:sz w:val="24"/>
                <w:szCs w:val="24"/>
              </w:rPr>
              <w:t xml:space="preserve">better </w:t>
            </w:r>
            <w:r w:rsidR="006353F6" w:rsidRPr="00834464">
              <w:rPr>
                <w:rFonts w:ascii="Times New Roman" w:eastAsia="Times New Roman" w:hAnsi="Times New Roman"/>
                <w:sz w:val="24"/>
                <w:szCs w:val="24"/>
              </w:rPr>
              <w:t xml:space="preserve">reward quality and sustainability efforts made by European farmers </w:t>
            </w:r>
            <w:r w:rsidR="00011C39">
              <w:rPr>
                <w:rFonts w:ascii="Times New Roman" w:eastAsia="Times New Roman" w:hAnsi="Times New Roman"/>
                <w:sz w:val="24"/>
                <w:szCs w:val="24"/>
              </w:rPr>
              <w:t xml:space="preserve">and fishers </w:t>
            </w:r>
            <w:r w:rsidR="006353F6" w:rsidRPr="00834464">
              <w:rPr>
                <w:rFonts w:ascii="Times New Roman" w:eastAsia="Times New Roman" w:hAnsi="Times New Roman"/>
                <w:sz w:val="24"/>
                <w:szCs w:val="24"/>
              </w:rPr>
              <w:t xml:space="preserve">and </w:t>
            </w:r>
            <w:r w:rsidR="0017004C" w:rsidRPr="00834464">
              <w:rPr>
                <w:rFonts w:ascii="Times New Roman" w:eastAsia="Times New Roman" w:hAnsi="Times New Roman"/>
                <w:sz w:val="24"/>
                <w:szCs w:val="24"/>
              </w:rPr>
              <w:t xml:space="preserve">the </w:t>
            </w:r>
            <w:r w:rsidR="006353F6" w:rsidRPr="00834464">
              <w:rPr>
                <w:rFonts w:ascii="Times New Roman" w:eastAsia="Times New Roman" w:hAnsi="Times New Roman"/>
                <w:sz w:val="24"/>
                <w:szCs w:val="24"/>
              </w:rPr>
              <w:t xml:space="preserve">food industry. This includes </w:t>
            </w:r>
            <w:r w:rsidRPr="00834464">
              <w:rPr>
                <w:rFonts w:ascii="Times New Roman" w:eastAsia="Times New Roman" w:hAnsi="Times New Roman"/>
                <w:sz w:val="24"/>
                <w:szCs w:val="24"/>
              </w:rPr>
              <w:t xml:space="preserve">enforcing consumer protection laws, </w:t>
            </w:r>
            <w:r w:rsidR="006353F6" w:rsidRPr="00834464">
              <w:rPr>
                <w:rFonts w:ascii="Times New Roman" w:eastAsia="Times New Roman" w:hAnsi="Times New Roman"/>
                <w:sz w:val="24"/>
                <w:szCs w:val="24"/>
              </w:rPr>
              <w:t xml:space="preserve">strengthening the role of </w:t>
            </w:r>
            <w:r w:rsidRPr="00834464">
              <w:rPr>
                <w:rFonts w:ascii="Times New Roman" w:eastAsia="Times New Roman" w:hAnsi="Times New Roman"/>
                <w:sz w:val="24"/>
                <w:szCs w:val="24"/>
              </w:rPr>
              <w:t>public procurement</w:t>
            </w:r>
            <w:r w:rsidR="006353F6" w:rsidRPr="00834464">
              <w:rPr>
                <w:rFonts w:ascii="Times New Roman" w:eastAsia="Times New Roman" w:hAnsi="Times New Roman"/>
                <w:sz w:val="24"/>
                <w:szCs w:val="24"/>
              </w:rPr>
              <w:t xml:space="preserve"> to promote food produced with high environmental and social standards (including organic products)</w:t>
            </w:r>
            <w:r w:rsidR="005A1662">
              <w:rPr>
                <w:rFonts w:ascii="Times New Roman" w:eastAsia="Times New Roman" w:hAnsi="Times New Roman"/>
                <w:sz w:val="24"/>
                <w:szCs w:val="24"/>
              </w:rPr>
              <w:t>,</w:t>
            </w:r>
            <w:r w:rsidR="00E519E9" w:rsidRPr="00834464">
              <w:rPr>
                <w:rFonts w:ascii="Times New Roman" w:eastAsia="Times New Roman" w:hAnsi="Times New Roman"/>
                <w:sz w:val="24"/>
                <w:szCs w:val="24"/>
              </w:rPr>
              <w:t xml:space="preserve"> </w:t>
            </w:r>
            <w:r w:rsidR="003B7A48" w:rsidRPr="00834464">
              <w:rPr>
                <w:rFonts w:ascii="Times New Roman" w:eastAsia="Times New Roman" w:hAnsi="Times New Roman"/>
                <w:sz w:val="24"/>
                <w:szCs w:val="24"/>
              </w:rPr>
              <w:t>and further using promotion policy to raise consumer awareness about quality schemes, to name</w:t>
            </w:r>
            <w:r w:rsidR="005A1662">
              <w:rPr>
                <w:rFonts w:ascii="Times New Roman" w:eastAsia="Times New Roman" w:hAnsi="Times New Roman"/>
                <w:sz w:val="24"/>
                <w:szCs w:val="24"/>
              </w:rPr>
              <w:t xml:space="preserve"> just</w:t>
            </w:r>
            <w:r w:rsidR="003B7A48" w:rsidRPr="00834464">
              <w:rPr>
                <w:rFonts w:ascii="Times New Roman" w:eastAsia="Times New Roman" w:hAnsi="Times New Roman"/>
                <w:sz w:val="24"/>
                <w:szCs w:val="24"/>
              </w:rPr>
              <w:t xml:space="preserve"> a few initiatives.</w:t>
            </w:r>
            <w:r w:rsidRPr="00834464">
              <w:rPr>
                <w:rFonts w:ascii="Times New Roman" w:eastAsia="Times New Roman" w:hAnsi="Times New Roman"/>
                <w:sz w:val="24"/>
                <w:szCs w:val="24"/>
              </w:rPr>
              <w:t xml:space="preserve"> But first and foremost, the Commission has highlighted the importance of national, regional and local </w:t>
            </w:r>
            <w:r w:rsidR="003B7A48" w:rsidRPr="00834464">
              <w:rPr>
                <w:rFonts w:ascii="Times New Roman" w:eastAsia="Times New Roman" w:hAnsi="Times New Roman"/>
                <w:sz w:val="24"/>
                <w:szCs w:val="24"/>
              </w:rPr>
              <w:t xml:space="preserve">authorities </w:t>
            </w:r>
            <w:r w:rsidRPr="00834464">
              <w:rPr>
                <w:rFonts w:ascii="Times New Roman" w:eastAsia="Times New Roman" w:hAnsi="Times New Roman"/>
                <w:sz w:val="24"/>
                <w:szCs w:val="24"/>
              </w:rPr>
              <w:t xml:space="preserve">in </w:t>
            </w:r>
            <w:r w:rsidR="003B7A48" w:rsidRPr="00834464">
              <w:rPr>
                <w:rFonts w:ascii="Times New Roman" w:eastAsia="Times New Roman" w:hAnsi="Times New Roman"/>
                <w:sz w:val="24"/>
                <w:szCs w:val="24"/>
              </w:rPr>
              <w:t>developing actions related</w:t>
            </w:r>
            <w:r w:rsidRPr="00834464">
              <w:rPr>
                <w:rFonts w:ascii="Times New Roman" w:eastAsia="Times New Roman" w:hAnsi="Times New Roman"/>
                <w:sz w:val="24"/>
                <w:szCs w:val="24"/>
              </w:rPr>
              <w:t xml:space="preserve"> to food, as well as the </w:t>
            </w:r>
            <w:r w:rsidR="003B7A48" w:rsidRPr="00834464">
              <w:rPr>
                <w:rFonts w:ascii="Times New Roman" w:eastAsia="Times New Roman" w:hAnsi="Times New Roman"/>
                <w:sz w:val="24"/>
                <w:szCs w:val="24"/>
              </w:rPr>
              <w:t>need to engage the food industry in discussions on future policy developments. This is why t</w:t>
            </w:r>
            <w:r w:rsidRPr="00834464">
              <w:rPr>
                <w:rFonts w:ascii="Times New Roman" w:eastAsia="Times New Roman" w:hAnsi="Times New Roman"/>
                <w:sz w:val="24"/>
                <w:szCs w:val="24"/>
              </w:rPr>
              <w:t>he Commission announced it will hold an annual Food Dialogue with the food system’s actors, to create a forum at EU level to exchange views</w:t>
            </w:r>
            <w:r w:rsidR="003B7A48" w:rsidRPr="00834464">
              <w:rPr>
                <w:rFonts w:ascii="Times New Roman" w:eastAsia="Times New Roman" w:hAnsi="Times New Roman"/>
                <w:sz w:val="24"/>
                <w:szCs w:val="24"/>
              </w:rPr>
              <w:t xml:space="preserve">, best practices, </w:t>
            </w:r>
            <w:r w:rsidRPr="00834464">
              <w:rPr>
                <w:rFonts w:ascii="Times New Roman" w:eastAsia="Times New Roman" w:hAnsi="Times New Roman"/>
                <w:sz w:val="24"/>
                <w:szCs w:val="24"/>
              </w:rPr>
              <w:t xml:space="preserve">and address pressing issues </w:t>
            </w:r>
            <w:r w:rsidR="003B7A48" w:rsidRPr="00834464">
              <w:rPr>
                <w:rFonts w:ascii="Times New Roman" w:eastAsia="Times New Roman" w:hAnsi="Times New Roman"/>
                <w:sz w:val="24"/>
                <w:szCs w:val="24"/>
              </w:rPr>
              <w:t>in the field of food policy.</w:t>
            </w:r>
            <w:r w:rsidR="005A1662">
              <w:rPr>
                <w:rFonts w:ascii="Times New Roman" w:eastAsia="Times New Roman" w:hAnsi="Times New Roman"/>
                <w:sz w:val="24"/>
                <w:szCs w:val="24"/>
              </w:rPr>
              <w:t xml:space="preserve"> </w:t>
            </w:r>
          </w:p>
          <w:p w14:paraId="3C840FF0" w14:textId="335310E1" w:rsidR="00BD5678" w:rsidRPr="00834464" w:rsidRDefault="00BD5678"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Organic farming, and more broadly organic production, which covers the entire organic supply chain, are situated at the very heart of the EU’s strategies on the transition towards more sustainable agriculture</w:t>
            </w:r>
            <w:r w:rsidR="00011C39">
              <w:rPr>
                <w:rFonts w:ascii="Times New Roman" w:eastAsia="Times New Roman" w:hAnsi="Times New Roman"/>
                <w:sz w:val="24"/>
                <w:szCs w:val="24"/>
              </w:rPr>
              <w:t>, aquaculture</w:t>
            </w:r>
            <w:r w:rsidRPr="00834464">
              <w:rPr>
                <w:rFonts w:ascii="Times New Roman" w:eastAsia="Times New Roman" w:hAnsi="Times New Roman"/>
                <w:sz w:val="24"/>
                <w:szCs w:val="24"/>
              </w:rPr>
              <w:t xml:space="preserve"> and food systems and towards climate neutrality. </w:t>
            </w:r>
          </w:p>
          <w:p w14:paraId="679861B4" w14:textId="3A90CE0F" w:rsidR="006C5414" w:rsidRPr="00834464" w:rsidRDefault="00F464B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To</w:t>
            </w:r>
            <w:r w:rsidR="006C5414" w:rsidRPr="00834464">
              <w:rPr>
                <w:rFonts w:ascii="Times New Roman" w:eastAsia="Times New Roman" w:hAnsi="Times New Roman"/>
                <w:sz w:val="24"/>
                <w:szCs w:val="24"/>
              </w:rPr>
              <w:t xml:space="preserve"> support the organic sector, a number of relevant policy tools and approaches are available.</w:t>
            </w:r>
            <w:r w:rsidR="005A1662">
              <w:rPr>
                <w:rFonts w:ascii="Times New Roman" w:eastAsia="Times New Roman" w:hAnsi="Times New Roman"/>
                <w:sz w:val="24"/>
                <w:szCs w:val="24"/>
              </w:rPr>
              <w:t xml:space="preserve"> </w:t>
            </w:r>
          </w:p>
          <w:p w14:paraId="373A9172" w14:textId="3E653790" w:rsidR="006C5414" w:rsidRPr="00834464" w:rsidRDefault="00F464B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First</w:t>
            </w:r>
            <w:r w:rsidR="006C5414" w:rsidRPr="00834464">
              <w:rPr>
                <w:rFonts w:ascii="Times New Roman" w:eastAsia="Times New Roman" w:hAnsi="Times New Roman"/>
                <w:sz w:val="24"/>
                <w:szCs w:val="24"/>
              </w:rPr>
              <w:t xml:space="preserve">, there is the </w:t>
            </w:r>
            <w:r w:rsidR="00011C39">
              <w:rPr>
                <w:rFonts w:ascii="Times New Roman" w:eastAsia="Times New Roman" w:hAnsi="Times New Roman"/>
                <w:sz w:val="24"/>
                <w:szCs w:val="24"/>
              </w:rPr>
              <w:t xml:space="preserve">EU </w:t>
            </w:r>
            <w:r w:rsidR="006C5414" w:rsidRPr="00834464">
              <w:rPr>
                <w:rFonts w:ascii="Times New Roman" w:eastAsia="Times New Roman" w:hAnsi="Times New Roman"/>
                <w:sz w:val="24"/>
                <w:szCs w:val="24"/>
              </w:rPr>
              <w:t>Action Plan for the Development of Organic Production</w:t>
            </w:r>
            <w:r w:rsidR="008B4D5A">
              <w:rPr>
                <w:rStyle w:val="FootnoteReference"/>
                <w:rFonts w:ascii="Times New Roman" w:eastAsia="Times New Roman" w:hAnsi="Times New Roman"/>
                <w:sz w:val="24"/>
                <w:szCs w:val="24"/>
              </w:rPr>
              <w:footnoteReference w:id="2"/>
            </w:r>
            <w:r w:rsidR="006C5414" w:rsidRPr="00834464">
              <w:rPr>
                <w:rFonts w:ascii="Times New Roman" w:eastAsia="Times New Roman" w:hAnsi="Times New Roman"/>
                <w:sz w:val="24"/>
                <w:szCs w:val="24"/>
              </w:rPr>
              <w:t xml:space="preserve"> adopted in 2021.</w:t>
            </w:r>
            <w:r w:rsidR="001F2516">
              <w:rPr>
                <w:rFonts w:ascii="Times New Roman" w:eastAsia="Times New Roman" w:hAnsi="Times New Roman"/>
                <w:sz w:val="24"/>
                <w:szCs w:val="24"/>
              </w:rPr>
              <w:t xml:space="preserve"> </w:t>
            </w:r>
            <w:bookmarkStart w:id="0" w:name="_Hlk221021677"/>
            <w:r w:rsidR="006C5414" w:rsidRPr="00834464">
              <w:rPr>
                <w:rFonts w:ascii="Times New Roman" w:eastAsia="Times New Roman" w:hAnsi="Times New Roman"/>
                <w:sz w:val="24"/>
                <w:szCs w:val="24"/>
              </w:rPr>
              <w:t>This Action Plan, which functions as an overarching agenda setting tool</w:t>
            </w:r>
            <w:bookmarkEnd w:id="0"/>
            <w:r w:rsidR="006C5414" w:rsidRPr="00834464">
              <w:rPr>
                <w:rFonts w:ascii="Times New Roman" w:eastAsia="Times New Roman" w:hAnsi="Times New Roman"/>
                <w:sz w:val="24"/>
                <w:szCs w:val="24"/>
              </w:rPr>
              <w:t xml:space="preserve">, aims to increase the demand for, and the supply of organic products, and to enhance further the sustainability of organic production. It prioritises actions to increase the demand for organic products, </w:t>
            </w:r>
            <w:r w:rsidR="00AF23EA" w:rsidRPr="00834464">
              <w:rPr>
                <w:rFonts w:ascii="Times New Roman" w:eastAsia="Times New Roman" w:hAnsi="Times New Roman"/>
                <w:sz w:val="24"/>
                <w:szCs w:val="24"/>
              </w:rPr>
              <w:t xml:space="preserve">for instance via promotion campaigns, public procurement of organic products for public canteens, or other means, thereby </w:t>
            </w:r>
            <w:r w:rsidR="006C5414" w:rsidRPr="00834464">
              <w:rPr>
                <w:rFonts w:ascii="Times New Roman" w:eastAsia="Times New Roman" w:hAnsi="Times New Roman"/>
                <w:sz w:val="24"/>
                <w:szCs w:val="24"/>
              </w:rPr>
              <w:t xml:space="preserve">recognizing that the sustainable long-term development of organic production depends importantly on the growth of the final demand for organic products. The Action Plan involves the public sector at different levels (EU, Member States, regional and local authorities) as well as the entire supply chain (from farmers to restaurants). </w:t>
            </w:r>
          </w:p>
          <w:p w14:paraId="5B8B577C" w14:textId="0ECD3AB0" w:rsidR="00A15D0A" w:rsidRDefault="006C5414"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lastRenderedPageBreak/>
              <w:t xml:space="preserve">It is also, to an important extent, </w:t>
            </w:r>
            <w:r w:rsidR="00FD7FE3">
              <w:rPr>
                <w:rFonts w:ascii="Times New Roman" w:eastAsia="Times New Roman" w:hAnsi="Times New Roman"/>
                <w:sz w:val="24"/>
                <w:szCs w:val="24"/>
              </w:rPr>
              <w:t xml:space="preserve">driven by </w:t>
            </w:r>
            <w:r w:rsidRPr="00834464">
              <w:rPr>
                <w:rFonts w:ascii="Times New Roman" w:eastAsia="Times New Roman" w:hAnsi="Times New Roman"/>
                <w:sz w:val="24"/>
                <w:szCs w:val="24"/>
              </w:rPr>
              <w:t>research and innovation</w:t>
            </w:r>
            <w:r w:rsidR="00FD7FE3">
              <w:rPr>
                <w:rFonts w:ascii="Times New Roman" w:eastAsia="Times New Roman" w:hAnsi="Times New Roman"/>
                <w:sz w:val="24"/>
                <w:szCs w:val="24"/>
              </w:rPr>
              <w:t>. This</w:t>
            </w:r>
            <w:r w:rsidR="00282929">
              <w:rPr>
                <w:rFonts w:ascii="Times New Roman" w:eastAsia="Times New Roman" w:hAnsi="Times New Roman"/>
                <w:sz w:val="24"/>
                <w:szCs w:val="24"/>
              </w:rPr>
              <w:t xml:space="preserve"> </w:t>
            </w:r>
            <w:r w:rsidR="00D4035B" w:rsidRPr="00834464">
              <w:rPr>
                <w:rFonts w:ascii="Times New Roman" w:eastAsia="Times New Roman" w:hAnsi="Times New Roman"/>
                <w:sz w:val="24"/>
                <w:szCs w:val="24"/>
              </w:rPr>
              <w:t>follow</w:t>
            </w:r>
            <w:r w:rsidR="00FD7FE3">
              <w:rPr>
                <w:rFonts w:ascii="Times New Roman" w:eastAsia="Times New Roman" w:hAnsi="Times New Roman"/>
                <w:sz w:val="24"/>
                <w:szCs w:val="24"/>
              </w:rPr>
              <w:t>s</w:t>
            </w:r>
            <w:r w:rsidR="00D4035B" w:rsidRPr="00834464">
              <w:rPr>
                <w:rFonts w:ascii="Times New Roman" w:eastAsia="Times New Roman" w:hAnsi="Times New Roman"/>
                <w:sz w:val="24"/>
                <w:szCs w:val="24"/>
              </w:rPr>
              <w:t xml:space="preserve"> the Commission’s expressed intention to </w:t>
            </w:r>
            <w:r w:rsidR="00DC20E2" w:rsidRPr="00834464">
              <w:rPr>
                <w:rFonts w:ascii="Times New Roman" w:eastAsia="Times New Roman" w:hAnsi="Times New Roman"/>
                <w:sz w:val="24"/>
                <w:szCs w:val="24"/>
              </w:rPr>
              <w:t xml:space="preserve">dedicate </w:t>
            </w:r>
            <w:r w:rsidRPr="00834464">
              <w:rPr>
                <w:rFonts w:ascii="Times New Roman" w:eastAsia="Times New Roman" w:hAnsi="Times New Roman"/>
                <w:sz w:val="24"/>
                <w:szCs w:val="24"/>
              </w:rPr>
              <w:t>30% of the Horizon Europe research and innovation framework program</w:t>
            </w:r>
            <w:r w:rsidR="005D3E44">
              <w:rPr>
                <w:rFonts w:ascii="Times New Roman" w:eastAsia="Times New Roman" w:hAnsi="Times New Roman"/>
                <w:sz w:val="24"/>
                <w:szCs w:val="24"/>
              </w:rPr>
              <w:t>me</w:t>
            </w:r>
            <w:r w:rsidRPr="00834464">
              <w:rPr>
                <w:rFonts w:ascii="Times New Roman" w:eastAsia="Times New Roman" w:hAnsi="Times New Roman"/>
                <w:sz w:val="24"/>
                <w:szCs w:val="24"/>
              </w:rPr>
              <w:t xml:space="preserve"> budget </w:t>
            </w:r>
            <w:r w:rsidR="00FD7FE3">
              <w:rPr>
                <w:rFonts w:ascii="Times New Roman" w:eastAsia="Times New Roman" w:hAnsi="Times New Roman"/>
                <w:sz w:val="24"/>
                <w:szCs w:val="24"/>
              </w:rPr>
              <w:t xml:space="preserve">to actions </w:t>
            </w:r>
            <w:r w:rsidRPr="00834464">
              <w:rPr>
                <w:rFonts w:ascii="Times New Roman" w:eastAsia="Times New Roman" w:hAnsi="Times New Roman"/>
                <w:sz w:val="24"/>
                <w:szCs w:val="24"/>
              </w:rPr>
              <w:t xml:space="preserve">on agriculture, </w:t>
            </w:r>
            <w:r w:rsidR="00011C39">
              <w:rPr>
                <w:rFonts w:ascii="Times New Roman" w:eastAsia="Times New Roman" w:hAnsi="Times New Roman"/>
                <w:sz w:val="24"/>
                <w:szCs w:val="24"/>
              </w:rPr>
              <w:t xml:space="preserve">aquaculture, </w:t>
            </w:r>
            <w:r w:rsidRPr="00834464">
              <w:rPr>
                <w:rFonts w:ascii="Times New Roman" w:eastAsia="Times New Roman" w:hAnsi="Times New Roman"/>
                <w:sz w:val="24"/>
                <w:szCs w:val="24"/>
              </w:rPr>
              <w:t xml:space="preserve">forestry and rural areas </w:t>
            </w:r>
            <w:r w:rsidR="009113FD" w:rsidRPr="00834464">
              <w:rPr>
                <w:rFonts w:ascii="Times New Roman" w:eastAsia="Times New Roman" w:hAnsi="Times New Roman"/>
                <w:sz w:val="24"/>
                <w:szCs w:val="24"/>
              </w:rPr>
              <w:t>under Cluster 6</w:t>
            </w:r>
            <w:r w:rsidR="00FD7FE3">
              <w:rPr>
                <w:rFonts w:ascii="Times New Roman" w:eastAsia="Times New Roman" w:hAnsi="Times New Roman"/>
                <w:sz w:val="24"/>
                <w:szCs w:val="24"/>
              </w:rPr>
              <w:t>,</w:t>
            </w:r>
            <w:r w:rsidR="009113FD" w:rsidRPr="00834464">
              <w:rPr>
                <w:rFonts w:ascii="Times New Roman" w:eastAsia="Times New Roman" w:hAnsi="Times New Roman"/>
                <w:sz w:val="24"/>
                <w:szCs w:val="24"/>
              </w:rPr>
              <w:t xml:space="preserve"> </w:t>
            </w:r>
            <w:r w:rsidR="00086929" w:rsidRPr="00086929">
              <w:rPr>
                <w:rFonts w:ascii="Times New Roman" w:eastAsia="Times New Roman" w:hAnsi="Times New Roman"/>
                <w:sz w:val="24"/>
                <w:szCs w:val="24"/>
              </w:rPr>
              <w:t>‘Food Bioeconomy, Natural Resources, Agriculture and Environment’</w:t>
            </w:r>
            <w:r w:rsidR="00FD7FE3">
              <w:rPr>
                <w:rFonts w:ascii="Times New Roman" w:eastAsia="Times New Roman" w:hAnsi="Times New Roman"/>
                <w:sz w:val="24"/>
                <w:szCs w:val="24"/>
              </w:rPr>
              <w:t>,</w:t>
            </w:r>
            <w:r w:rsidR="00086929" w:rsidRPr="00086929">
              <w:rPr>
                <w:rFonts w:ascii="Times New Roman" w:eastAsia="Times New Roman" w:hAnsi="Times New Roman"/>
                <w:sz w:val="24"/>
                <w:szCs w:val="24"/>
              </w:rPr>
              <w:t xml:space="preserve"> </w:t>
            </w:r>
            <w:r w:rsidRPr="00834464">
              <w:rPr>
                <w:rFonts w:ascii="Times New Roman" w:eastAsia="Times New Roman" w:hAnsi="Times New Roman"/>
                <w:sz w:val="24"/>
                <w:szCs w:val="24"/>
              </w:rPr>
              <w:t xml:space="preserve">for topics directly or indirectly relevant for organic production as a quantitative objective. </w:t>
            </w:r>
          </w:p>
          <w:p w14:paraId="08A935A9" w14:textId="7D5F1292" w:rsidR="006C5414" w:rsidRPr="00834464" w:rsidRDefault="00B83DC3"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This commitment has translated so far </w:t>
            </w:r>
            <w:r w:rsidR="00F5172C" w:rsidRPr="00834464">
              <w:rPr>
                <w:rFonts w:ascii="Times New Roman" w:eastAsia="Times New Roman" w:hAnsi="Times New Roman"/>
                <w:sz w:val="24"/>
                <w:szCs w:val="24"/>
              </w:rPr>
              <w:t xml:space="preserve">into at least 73 relevant calls </w:t>
            </w:r>
            <w:r w:rsidR="004A1849" w:rsidRPr="00834464">
              <w:rPr>
                <w:rFonts w:ascii="Times New Roman" w:eastAsia="Times New Roman" w:hAnsi="Times New Roman"/>
                <w:sz w:val="24"/>
                <w:szCs w:val="24"/>
              </w:rPr>
              <w:t xml:space="preserve">in the Cluster 6 Horizon Europe Work Programme (2021-2025) </w:t>
            </w:r>
            <w:r w:rsidR="008F79E6" w:rsidRPr="00834464">
              <w:rPr>
                <w:rFonts w:ascii="Times New Roman" w:eastAsia="Times New Roman" w:hAnsi="Times New Roman"/>
                <w:sz w:val="24"/>
                <w:szCs w:val="24"/>
              </w:rPr>
              <w:t xml:space="preserve">for </w:t>
            </w:r>
            <w:r w:rsidR="00780671" w:rsidRPr="00834464">
              <w:rPr>
                <w:rFonts w:ascii="Times New Roman" w:eastAsia="Times New Roman" w:hAnsi="Times New Roman"/>
                <w:sz w:val="24"/>
                <w:szCs w:val="24"/>
              </w:rPr>
              <w:t>a</w:t>
            </w:r>
            <w:r w:rsidR="00086929">
              <w:rPr>
                <w:rFonts w:ascii="Times New Roman" w:eastAsia="Times New Roman" w:hAnsi="Times New Roman"/>
                <w:sz w:val="24"/>
                <w:szCs w:val="24"/>
              </w:rPr>
              <w:t xml:space="preserve"> total </w:t>
            </w:r>
            <w:r w:rsidR="00780671" w:rsidRPr="00834464">
              <w:rPr>
                <w:rFonts w:ascii="Times New Roman" w:eastAsia="Times New Roman" w:hAnsi="Times New Roman"/>
                <w:sz w:val="24"/>
                <w:szCs w:val="24"/>
              </w:rPr>
              <w:t xml:space="preserve">EU contribution of </w:t>
            </w:r>
            <w:r w:rsidR="008F79E6" w:rsidRPr="00834464">
              <w:rPr>
                <w:rFonts w:ascii="Times New Roman" w:eastAsia="Times New Roman" w:hAnsi="Times New Roman"/>
                <w:sz w:val="24"/>
                <w:szCs w:val="24"/>
              </w:rPr>
              <w:t xml:space="preserve">EUR 670 million. R&amp;I projects are addressing </w:t>
            </w:r>
            <w:r w:rsidR="00F86A62" w:rsidRPr="00834464">
              <w:rPr>
                <w:rFonts w:ascii="Times New Roman" w:eastAsia="Times New Roman" w:hAnsi="Times New Roman"/>
                <w:sz w:val="24"/>
                <w:szCs w:val="24"/>
              </w:rPr>
              <w:t>the key challenges of o</w:t>
            </w:r>
            <w:r w:rsidR="007765E0" w:rsidRPr="00834464">
              <w:rPr>
                <w:rFonts w:ascii="Times New Roman" w:eastAsia="Times New Roman" w:hAnsi="Times New Roman"/>
                <w:sz w:val="24"/>
                <w:szCs w:val="24"/>
              </w:rPr>
              <w:t xml:space="preserve">rganic production, </w:t>
            </w:r>
            <w:r w:rsidR="00F86A62" w:rsidRPr="00834464">
              <w:rPr>
                <w:rFonts w:ascii="Times New Roman" w:eastAsia="Times New Roman" w:hAnsi="Times New Roman"/>
                <w:sz w:val="24"/>
                <w:szCs w:val="24"/>
              </w:rPr>
              <w:t xml:space="preserve">such as finding alternatives to the use of </w:t>
            </w:r>
            <w:r w:rsidR="00846EC2" w:rsidRPr="00834464">
              <w:rPr>
                <w:rFonts w:ascii="Times New Roman" w:eastAsia="Times New Roman" w:hAnsi="Times New Roman"/>
                <w:sz w:val="24"/>
                <w:szCs w:val="24"/>
              </w:rPr>
              <w:t>contentious inputs</w:t>
            </w:r>
            <w:r w:rsidR="003A43F6" w:rsidRPr="00834464">
              <w:rPr>
                <w:rFonts w:ascii="Times New Roman" w:eastAsia="Times New Roman" w:hAnsi="Times New Roman"/>
                <w:sz w:val="24"/>
                <w:szCs w:val="24"/>
              </w:rPr>
              <w:t xml:space="preserve"> (for instance copper)</w:t>
            </w:r>
            <w:r w:rsidR="00846EC2" w:rsidRPr="00834464">
              <w:rPr>
                <w:rFonts w:ascii="Times New Roman" w:eastAsia="Times New Roman" w:hAnsi="Times New Roman"/>
                <w:sz w:val="24"/>
                <w:szCs w:val="24"/>
              </w:rPr>
              <w:t xml:space="preserve">, crop breeding, weed management, </w:t>
            </w:r>
            <w:r w:rsidR="001F05D2" w:rsidRPr="00834464">
              <w:rPr>
                <w:rFonts w:ascii="Times New Roman" w:eastAsia="Times New Roman" w:hAnsi="Times New Roman"/>
                <w:sz w:val="24"/>
                <w:szCs w:val="24"/>
              </w:rPr>
              <w:t xml:space="preserve">and </w:t>
            </w:r>
            <w:r w:rsidR="0012495E" w:rsidRPr="00834464">
              <w:rPr>
                <w:rFonts w:ascii="Times New Roman" w:eastAsia="Times New Roman" w:hAnsi="Times New Roman"/>
                <w:sz w:val="24"/>
                <w:szCs w:val="24"/>
              </w:rPr>
              <w:t>know</w:t>
            </w:r>
            <w:r w:rsidR="005C1FFD" w:rsidRPr="00834464">
              <w:rPr>
                <w:rFonts w:ascii="Times New Roman" w:eastAsia="Times New Roman" w:hAnsi="Times New Roman"/>
                <w:sz w:val="24"/>
                <w:szCs w:val="24"/>
              </w:rPr>
              <w:t>l</w:t>
            </w:r>
            <w:r w:rsidR="0012495E" w:rsidRPr="00834464">
              <w:rPr>
                <w:rFonts w:ascii="Times New Roman" w:eastAsia="Times New Roman" w:hAnsi="Times New Roman"/>
                <w:sz w:val="24"/>
                <w:szCs w:val="24"/>
              </w:rPr>
              <w:t xml:space="preserve">edge sharing and advice, among many others. </w:t>
            </w:r>
            <w:r w:rsidR="0043629C" w:rsidRPr="00834464">
              <w:rPr>
                <w:rFonts w:ascii="Times New Roman" w:eastAsia="Times New Roman" w:hAnsi="Times New Roman"/>
                <w:sz w:val="24"/>
                <w:szCs w:val="24"/>
              </w:rPr>
              <w:t xml:space="preserve">Organic farming relevant </w:t>
            </w:r>
            <w:r w:rsidR="003F300E" w:rsidRPr="00834464">
              <w:rPr>
                <w:rFonts w:ascii="Times New Roman" w:eastAsia="Times New Roman" w:hAnsi="Times New Roman"/>
                <w:sz w:val="24"/>
                <w:szCs w:val="24"/>
              </w:rPr>
              <w:t xml:space="preserve">R&amp;I projects </w:t>
            </w:r>
            <w:r w:rsidR="0043629C" w:rsidRPr="00834464">
              <w:rPr>
                <w:rFonts w:ascii="Times New Roman" w:eastAsia="Times New Roman" w:hAnsi="Times New Roman"/>
                <w:sz w:val="24"/>
                <w:szCs w:val="24"/>
              </w:rPr>
              <w:t xml:space="preserve">adopt a multi-actor approach, by which farmers and other </w:t>
            </w:r>
            <w:r w:rsidR="00914D25" w:rsidRPr="00834464">
              <w:rPr>
                <w:rFonts w:ascii="Times New Roman" w:eastAsia="Times New Roman" w:hAnsi="Times New Roman"/>
                <w:sz w:val="24"/>
                <w:szCs w:val="24"/>
              </w:rPr>
              <w:t>key actors, such as consumers, are engaged in the research activities</w:t>
            </w:r>
            <w:r w:rsidR="003E1387" w:rsidRPr="00834464">
              <w:rPr>
                <w:rFonts w:ascii="Times New Roman" w:eastAsia="Times New Roman" w:hAnsi="Times New Roman"/>
                <w:sz w:val="24"/>
                <w:szCs w:val="24"/>
              </w:rPr>
              <w:t xml:space="preserve">, thus </w:t>
            </w:r>
            <w:r w:rsidR="002060F3" w:rsidRPr="00834464">
              <w:rPr>
                <w:rFonts w:ascii="Times New Roman" w:eastAsia="Times New Roman" w:hAnsi="Times New Roman"/>
                <w:sz w:val="24"/>
                <w:szCs w:val="24"/>
              </w:rPr>
              <w:t xml:space="preserve">contributing to </w:t>
            </w:r>
            <w:r w:rsidR="003E1387" w:rsidRPr="00834464">
              <w:rPr>
                <w:rFonts w:ascii="Times New Roman" w:eastAsia="Times New Roman" w:hAnsi="Times New Roman"/>
                <w:sz w:val="24"/>
                <w:szCs w:val="24"/>
              </w:rPr>
              <w:t>promot</w:t>
            </w:r>
            <w:r w:rsidR="002060F3" w:rsidRPr="00834464">
              <w:rPr>
                <w:rFonts w:ascii="Times New Roman" w:eastAsia="Times New Roman" w:hAnsi="Times New Roman"/>
                <w:sz w:val="24"/>
                <w:szCs w:val="24"/>
              </w:rPr>
              <w:t>e</w:t>
            </w:r>
            <w:r w:rsidR="003E1387" w:rsidRPr="00834464">
              <w:rPr>
                <w:rFonts w:ascii="Times New Roman" w:eastAsia="Times New Roman" w:hAnsi="Times New Roman"/>
                <w:sz w:val="24"/>
                <w:szCs w:val="24"/>
              </w:rPr>
              <w:t xml:space="preserve"> </w:t>
            </w:r>
            <w:r w:rsidR="008D51B5" w:rsidRPr="00834464">
              <w:rPr>
                <w:rFonts w:ascii="Times New Roman" w:eastAsia="Times New Roman" w:hAnsi="Times New Roman"/>
                <w:sz w:val="24"/>
                <w:szCs w:val="24"/>
              </w:rPr>
              <w:t>k</w:t>
            </w:r>
            <w:r w:rsidR="005825CD" w:rsidRPr="00834464">
              <w:rPr>
                <w:rFonts w:ascii="Times New Roman" w:eastAsia="Times New Roman" w:hAnsi="Times New Roman"/>
                <w:sz w:val="24"/>
                <w:szCs w:val="24"/>
              </w:rPr>
              <w:t xml:space="preserve">nowledge change and increasing awareness about the </w:t>
            </w:r>
            <w:r w:rsidR="001B3FEA" w:rsidRPr="00834464">
              <w:rPr>
                <w:rFonts w:ascii="Times New Roman" w:eastAsia="Times New Roman" w:hAnsi="Times New Roman"/>
                <w:sz w:val="24"/>
                <w:szCs w:val="24"/>
              </w:rPr>
              <w:t>benefits</w:t>
            </w:r>
            <w:r w:rsidR="00780ACC" w:rsidRPr="00834464">
              <w:rPr>
                <w:rFonts w:ascii="Times New Roman" w:eastAsia="Times New Roman" w:hAnsi="Times New Roman"/>
                <w:sz w:val="24"/>
                <w:szCs w:val="24"/>
              </w:rPr>
              <w:t xml:space="preserve"> of organic farming</w:t>
            </w:r>
            <w:r w:rsidR="00914D25" w:rsidRPr="00834464">
              <w:rPr>
                <w:rFonts w:ascii="Times New Roman" w:eastAsia="Times New Roman" w:hAnsi="Times New Roman"/>
                <w:sz w:val="24"/>
                <w:szCs w:val="24"/>
              </w:rPr>
              <w:t xml:space="preserve">. </w:t>
            </w:r>
            <w:r w:rsidR="006C5414" w:rsidRPr="00834464">
              <w:rPr>
                <w:rFonts w:ascii="Times New Roman" w:eastAsia="Times New Roman" w:hAnsi="Times New Roman"/>
                <w:sz w:val="24"/>
                <w:szCs w:val="24"/>
              </w:rPr>
              <w:t>Overall, the implementation of the action plan is monitored carefully through frequent progress reports, policy discussions, etc.</w:t>
            </w:r>
          </w:p>
          <w:p w14:paraId="3B53F26F" w14:textId="67B4094D" w:rsidR="00AF23EA" w:rsidRPr="00834464" w:rsidRDefault="00AF23E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The C</w:t>
            </w:r>
            <w:r w:rsidR="0006324F">
              <w:rPr>
                <w:rFonts w:ascii="Times New Roman" w:eastAsia="Times New Roman" w:hAnsi="Times New Roman"/>
                <w:sz w:val="24"/>
                <w:szCs w:val="24"/>
              </w:rPr>
              <w:t xml:space="preserve">ommon </w:t>
            </w:r>
            <w:r w:rsidRPr="00834464">
              <w:rPr>
                <w:rFonts w:ascii="Times New Roman" w:eastAsia="Times New Roman" w:hAnsi="Times New Roman"/>
                <w:sz w:val="24"/>
                <w:szCs w:val="24"/>
              </w:rPr>
              <w:t>A</w:t>
            </w:r>
            <w:r w:rsidR="0006324F">
              <w:rPr>
                <w:rFonts w:ascii="Times New Roman" w:eastAsia="Times New Roman" w:hAnsi="Times New Roman"/>
                <w:sz w:val="24"/>
                <w:szCs w:val="24"/>
              </w:rPr>
              <w:t xml:space="preserve">gricultural </w:t>
            </w:r>
            <w:r w:rsidRPr="00834464">
              <w:rPr>
                <w:rFonts w:ascii="Times New Roman" w:eastAsia="Times New Roman" w:hAnsi="Times New Roman"/>
                <w:sz w:val="24"/>
                <w:szCs w:val="24"/>
              </w:rPr>
              <w:t>P</w:t>
            </w:r>
            <w:r w:rsidR="0006324F">
              <w:rPr>
                <w:rFonts w:ascii="Times New Roman" w:eastAsia="Times New Roman" w:hAnsi="Times New Roman"/>
                <w:sz w:val="24"/>
                <w:szCs w:val="24"/>
              </w:rPr>
              <w:t>olicy</w:t>
            </w:r>
            <w:r w:rsidR="00481817">
              <w:rPr>
                <w:rFonts w:ascii="Times New Roman" w:eastAsia="Times New Roman" w:hAnsi="Times New Roman"/>
                <w:sz w:val="24"/>
                <w:szCs w:val="24"/>
              </w:rPr>
              <w:t xml:space="preserve"> (CAP)</w:t>
            </w:r>
            <w:r w:rsidRPr="00834464">
              <w:rPr>
                <w:rFonts w:ascii="Times New Roman" w:eastAsia="Times New Roman" w:hAnsi="Times New Roman"/>
                <w:sz w:val="24"/>
                <w:szCs w:val="24"/>
              </w:rPr>
              <w:t xml:space="preserve"> supports organic farming as a key instrument for the transition towards more sustainable agriculture. This means that the CAP supports agricultural practices</w:t>
            </w:r>
            <w:r w:rsidR="006A41A7" w:rsidRPr="00834464">
              <w:rPr>
                <w:rFonts w:ascii="Times New Roman" w:eastAsia="Times New Roman" w:hAnsi="Times New Roman"/>
                <w:sz w:val="24"/>
                <w:szCs w:val="24"/>
              </w:rPr>
              <w:t xml:space="preserve"> which </w:t>
            </w:r>
            <w:r w:rsidRPr="00834464">
              <w:rPr>
                <w:rFonts w:ascii="Times New Roman" w:eastAsia="Times New Roman" w:hAnsi="Times New Roman"/>
                <w:sz w:val="24"/>
                <w:szCs w:val="24"/>
              </w:rPr>
              <w:t>contribute to improving soil and water quality, to mitigation and adaptation to climate change and to the improvement of the state of biodiversity. It helps enhancing organic matter in the soils, and hence also the CO2 sequestration and water retention (thus help</w:t>
            </w:r>
            <w:r w:rsidR="00481817">
              <w:rPr>
                <w:rFonts w:ascii="Times New Roman" w:eastAsia="Times New Roman" w:hAnsi="Times New Roman"/>
                <w:sz w:val="24"/>
                <w:szCs w:val="24"/>
              </w:rPr>
              <w:t>ing to</w:t>
            </w:r>
            <w:r w:rsidRPr="00834464">
              <w:rPr>
                <w:rFonts w:ascii="Times New Roman" w:eastAsia="Times New Roman" w:hAnsi="Times New Roman"/>
                <w:sz w:val="24"/>
                <w:szCs w:val="24"/>
              </w:rPr>
              <w:t xml:space="preserve"> prevent erosion, droughts, floods, etc.). It also helps increas</w:t>
            </w:r>
            <w:r w:rsidR="00481817">
              <w:rPr>
                <w:rFonts w:ascii="Times New Roman" w:eastAsia="Times New Roman" w:hAnsi="Times New Roman"/>
                <w:sz w:val="24"/>
                <w:szCs w:val="24"/>
              </w:rPr>
              <w:t>ing</w:t>
            </w:r>
            <w:r w:rsidRPr="00834464">
              <w:rPr>
                <w:rFonts w:ascii="Times New Roman" w:eastAsia="Times New Roman" w:hAnsi="Times New Roman"/>
                <w:sz w:val="24"/>
                <w:szCs w:val="24"/>
              </w:rPr>
              <w:t xml:space="preserve"> biodiversity and reduc</w:t>
            </w:r>
            <w:r w:rsidR="00481817">
              <w:rPr>
                <w:rFonts w:ascii="Times New Roman" w:eastAsia="Times New Roman" w:hAnsi="Times New Roman"/>
                <w:sz w:val="24"/>
                <w:szCs w:val="24"/>
              </w:rPr>
              <w:t>ing</w:t>
            </w:r>
            <w:r w:rsidRPr="00834464">
              <w:rPr>
                <w:rFonts w:ascii="Times New Roman" w:eastAsia="Times New Roman" w:hAnsi="Times New Roman"/>
                <w:sz w:val="24"/>
                <w:szCs w:val="24"/>
              </w:rPr>
              <w:t xml:space="preserve"> fertilizer, pesticide and antibiotics use and the positive impacts the</w:t>
            </w:r>
            <w:r w:rsidR="001F0F84" w:rsidRPr="00834464">
              <w:rPr>
                <w:rFonts w:ascii="Times New Roman" w:eastAsia="Times New Roman" w:hAnsi="Times New Roman"/>
                <w:sz w:val="24"/>
                <w:szCs w:val="24"/>
              </w:rPr>
              <w:t>reof</w:t>
            </w:r>
            <w:r w:rsidRPr="00834464">
              <w:rPr>
                <w:rFonts w:ascii="Times New Roman" w:eastAsia="Times New Roman" w:hAnsi="Times New Roman"/>
                <w:sz w:val="24"/>
                <w:szCs w:val="24"/>
              </w:rPr>
              <w:t xml:space="preserve"> on </w:t>
            </w:r>
            <w:r w:rsidR="001F0F84" w:rsidRPr="00834464">
              <w:rPr>
                <w:rFonts w:ascii="Times New Roman" w:eastAsia="Times New Roman" w:hAnsi="Times New Roman"/>
                <w:sz w:val="24"/>
                <w:szCs w:val="24"/>
              </w:rPr>
              <w:t xml:space="preserve">the </w:t>
            </w:r>
            <w:r w:rsidRPr="00834464">
              <w:rPr>
                <w:rFonts w:ascii="Times New Roman" w:eastAsia="Times New Roman" w:hAnsi="Times New Roman"/>
                <w:sz w:val="24"/>
                <w:szCs w:val="24"/>
              </w:rPr>
              <w:t>environment, climate, soil, water, air, biodiversity, animal welfare, etc.</w:t>
            </w:r>
          </w:p>
          <w:p w14:paraId="72CC9F07" w14:textId="3DACF98C" w:rsidR="00AF23EA" w:rsidRPr="00834464" w:rsidRDefault="00AF23E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The picture is completed by the ambitions set by the Member States and the comprehensive strategies on organic production developed by the Member States comprising two pillars: the National Strategic Plans for the</w:t>
            </w:r>
            <w:r w:rsidR="00481817">
              <w:rPr>
                <w:rFonts w:ascii="Times New Roman" w:eastAsia="Times New Roman" w:hAnsi="Times New Roman"/>
                <w:sz w:val="24"/>
                <w:szCs w:val="24"/>
              </w:rPr>
              <w:t xml:space="preserve"> </w:t>
            </w:r>
            <w:r w:rsidRPr="00834464">
              <w:rPr>
                <w:rFonts w:ascii="Times New Roman" w:eastAsia="Times New Roman" w:hAnsi="Times New Roman"/>
                <w:sz w:val="24"/>
                <w:szCs w:val="24"/>
              </w:rPr>
              <w:t>CAP and complementary national organic action plans.</w:t>
            </w:r>
            <w:r w:rsidR="00481817">
              <w:rPr>
                <w:rFonts w:ascii="Times New Roman" w:eastAsia="Times New Roman" w:hAnsi="Times New Roman"/>
                <w:sz w:val="24"/>
                <w:szCs w:val="24"/>
              </w:rPr>
              <w:t xml:space="preserve"> </w:t>
            </w:r>
          </w:p>
          <w:p w14:paraId="2C5A3063" w14:textId="397DA875" w:rsidR="00011C39" w:rsidRDefault="006C5414"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Other EU programmes, like the EU Agricultural Promotion Policy, as well as many purely national measures help </w:t>
            </w:r>
            <w:r w:rsidR="00136024" w:rsidRPr="00834464">
              <w:rPr>
                <w:rFonts w:ascii="Times New Roman" w:eastAsia="Times New Roman" w:hAnsi="Times New Roman"/>
                <w:sz w:val="24"/>
                <w:szCs w:val="24"/>
              </w:rPr>
              <w:t>expand the sector</w:t>
            </w:r>
            <w:r w:rsidRPr="00834464">
              <w:rPr>
                <w:rFonts w:ascii="Times New Roman" w:eastAsia="Times New Roman" w:hAnsi="Times New Roman"/>
                <w:sz w:val="24"/>
                <w:szCs w:val="24"/>
              </w:rPr>
              <w:t xml:space="preserve">. </w:t>
            </w:r>
            <w:r w:rsidR="00011C39" w:rsidRPr="00011C39">
              <w:rPr>
                <w:rFonts w:ascii="Times New Roman" w:eastAsia="Times New Roman" w:hAnsi="Times New Roman"/>
                <w:sz w:val="24"/>
                <w:szCs w:val="24"/>
              </w:rPr>
              <w:t xml:space="preserve">EU Aquaculture policy, as reflected in the Commission Communication on </w:t>
            </w:r>
            <w:r w:rsidR="002F15F3">
              <w:rPr>
                <w:rFonts w:ascii="Times New Roman" w:eastAsia="Times New Roman" w:hAnsi="Times New Roman"/>
                <w:sz w:val="24"/>
                <w:szCs w:val="24"/>
              </w:rPr>
              <w:t>‘</w:t>
            </w:r>
            <w:r w:rsidR="00011C39" w:rsidRPr="00011C39">
              <w:rPr>
                <w:rFonts w:ascii="Times New Roman" w:eastAsia="Times New Roman" w:hAnsi="Times New Roman"/>
                <w:sz w:val="24"/>
                <w:szCs w:val="24"/>
              </w:rPr>
              <w:t>Strategic guidelines for a more sustainable and competitive EU aquaculture for the period 2021-2030</w:t>
            </w:r>
            <w:r w:rsidR="002F15F3">
              <w:rPr>
                <w:rFonts w:ascii="Times New Roman" w:eastAsia="Times New Roman" w:hAnsi="Times New Roman"/>
                <w:sz w:val="24"/>
                <w:szCs w:val="24"/>
              </w:rPr>
              <w:t>’</w:t>
            </w:r>
            <w:r w:rsidR="008B4D5A">
              <w:rPr>
                <w:rStyle w:val="FootnoteReference"/>
                <w:rFonts w:ascii="Times New Roman" w:eastAsia="Times New Roman" w:hAnsi="Times New Roman"/>
                <w:sz w:val="24"/>
                <w:szCs w:val="24"/>
              </w:rPr>
              <w:footnoteReference w:id="3"/>
            </w:r>
            <w:r w:rsidR="001F2516">
              <w:rPr>
                <w:rFonts w:ascii="Times New Roman" w:eastAsia="Times New Roman" w:hAnsi="Times New Roman"/>
                <w:sz w:val="24"/>
                <w:szCs w:val="24"/>
              </w:rPr>
              <w:t>.</w:t>
            </w:r>
            <w:r w:rsidR="00011C39" w:rsidRPr="00011C39">
              <w:rPr>
                <w:rFonts w:ascii="Times New Roman" w:eastAsia="Times New Roman" w:hAnsi="Times New Roman"/>
                <w:sz w:val="24"/>
                <w:szCs w:val="24"/>
              </w:rPr>
              <w:t xml:space="preserve"> </w:t>
            </w:r>
            <w:r w:rsidR="008B4D5A">
              <w:rPr>
                <w:rFonts w:ascii="Times New Roman" w:eastAsia="Times New Roman" w:hAnsi="Times New Roman"/>
                <w:sz w:val="24"/>
                <w:szCs w:val="24"/>
              </w:rPr>
              <w:t xml:space="preserve">The </w:t>
            </w:r>
            <w:r w:rsidR="00481817">
              <w:rPr>
                <w:rFonts w:ascii="Times New Roman" w:eastAsia="Times New Roman" w:hAnsi="Times New Roman"/>
                <w:sz w:val="24"/>
                <w:szCs w:val="24"/>
              </w:rPr>
              <w:t>C</w:t>
            </w:r>
            <w:r w:rsidR="008B4D5A">
              <w:rPr>
                <w:rFonts w:ascii="Times New Roman" w:eastAsia="Times New Roman" w:hAnsi="Times New Roman"/>
                <w:sz w:val="24"/>
                <w:szCs w:val="24"/>
              </w:rPr>
              <w:t xml:space="preserve">ommunication </w:t>
            </w:r>
            <w:r w:rsidR="00011C39" w:rsidRPr="00011C39">
              <w:rPr>
                <w:rFonts w:ascii="Times New Roman" w:eastAsia="Times New Roman" w:hAnsi="Times New Roman"/>
                <w:sz w:val="24"/>
                <w:szCs w:val="24"/>
              </w:rPr>
              <w:t>also supports the development of organic aquaculture production as one means to enhance overall environmental sustainability of EU aquaculture.</w:t>
            </w:r>
            <w:r w:rsidR="00481817">
              <w:rPr>
                <w:rFonts w:ascii="Times New Roman" w:eastAsia="Times New Roman" w:hAnsi="Times New Roman"/>
                <w:sz w:val="24"/>
                <w:szCs w:val="24"/>
              </w:rPr>
              <w:t xml:space="preserve"> </w:t>
            </w:r>
          </w:p>
          <w:p w14:paraId="4405C927" w14:textId="667EFB01" w:rsidR="007A1525" w:rsidRPr="00834464" w:rsidRDefault="00AF23EA" w:rsidP="00B568F2">
            <w:pPr>
              <w:widowControl w:val="0"/>
              <w:spacing w:before="120" w:after="120"/>
              <w:jc w:val="both"/>
              <w:rPr>
                <w:rFonts w:ascii="Times New Roman" w:eastAsia="Times New Roman" w:hAnsi="Times New Roman"/>
                <w:sz w:val="24"/>
                <w:szCs w:val="24"/>
              </w:rPr>
            </w:pPr>
            <w:bookmarkStart w:id="1" w:name="_Hlk221022012"/>
            <w:r w:rsidRPr="00834464">
              <w:rPr>
                <w:rFonts w:ascii="Times New Roman" w:eastAsia="Times New Roman" w:hAnsi="Times New Roman"/>
                <w:sz w:val="24"/>
                <w:szCs w:val="24"/>
              </w:rPr>
              <w:t xml:space="preserve">Looking further ahead, </w:t>
            </w:r>
            <w:r w:rsidR="007A1525" w:rsidRPr="00834464">
              <w:rPr>
                <w:rFonts w:ascii="Times New Roman" w:eastAsia="Times New Roman" w:hAnsi="Times New Roman"/>
                <w:sz w:val="24"/>
                <w:szCs w:val="24"/>
              </w:rPr>
              <w:t xml:space="preserve">the </w:t>
            </w:r>
            <w:r w:rsidR="008B4D5A">
              <w:rPr>
                <w:rFonts w:ascii="Times New Roman" w:eastAsia="Times New Roman" w:hAnsi="Times New Roman"/>
                <w:sz w:val="24"/>
                <w:szCs w:val="24"/>
              </w:rPr>
              <w:t>Multiannual financial framework (</w:t>
            </w:r>
            <w:r w:rsidR="007A1525" w:rsidRPr="00834464">
              <w:rPr>
                <w:rFonts w:ascii="Times New Roman" w:eastAsia="Times New Roman" w:hAnsi="Times New Roman"/>
                <w:sz w:val="24"/>
                <w:szCs w:val="24"/>
              </w:rPr>
              <w:t>MFF</w:t>
            </w:r>
            <w:r w:rsidR="008B4D5A">
              <w:rPr>
                <w:rFonts w:ascii="Times New Roman" w:eastAsia="Times New Roman" w:hAnsi="Times New Roman"/>
                <w:sz w:val="24"/>
                <w:szCs w:val="24"/>
              </w:rPr>
              <w:t>)</w:t>
            </w:r>
            <w:r w:rsidR="007A1525" w:rsidRPr="00834464">
              <w:rPr>
                <w:rFonts w:ascii="Times New Roman" w:eastAsia="Times New Roman" w:hAnsi="Times New Roman"/>
                <w:sz w:val="24"/>
                <w:szCs w:val="24"/>
              </w:rPr>
              <w:t xml:space="preserve"> proposals that the Commission tabled before the summer </w:t>
            </w:r>
            <w:r w:rsidR="00481817">
              <w:rPr>
                <w:rFonts w:ascii="Times New Roman" w:eastAsia="Times New Roman" w:hAnsi="Times New Roman"/>
                <w:sz w:val="24"/>
                <w:szCs w:val="24"/>
              </w:rPr>
              <w:t>recess</w:t>
            </w:r>
            <w:r w:rsidR="007A1525" w:rsidRPr="00834464">
              <w:rPr>
                <w:rFonts w:ascii="Times New Roman" w:eastAsia="Times New Roman" w:hAnsi="Times New Roman"/>
                <w:sz w:val="24"/>
                <w:szCs w:val="24"/>
              </w:rPr>
              <w:t xml:space="preserve"> include a number of elements of importance to the </w:t>
            </w:r>
            <w:bookmarkEnd w:id="1"/>
            <w:r w:rsidR="007A1525" w:rsidRPr="00834464">
              <w:rPr>
                <w:rFonts w:ascii="Times New Roman" w:eastAsia="Times New Roman" w:hAnsi="Times New Roman"/>
                <w:sz w:val="24"/>
                <w:szCs w:val="24"/>
              </w:rPr>
              <w:t xml:space="preserve">organic sector to secure sustainable supply chains, scale-up innovation and lead the global race for clean and smart technology. </w:t>
            </w:r>
          </w:p>
          <w:p w14:paraId="2D02B07D" w14:textId="78F5B0D5" w:rsidR="007A1525" w:rsidRPr="00035B33" w:rsidRDefault="007A1525"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The organic sector can continue to rely on a strong income support policy of at least</w:t>
            </w:r>
            <w:r w:rsidR="008408E4">
              <w:rPr>
                <w:rFonts w:ascii="Times New Roman" w:eastAsia="Times New Roman" w:hAnsi="Times New Roman"/>
                <w:sz w:val="24"/>
                <w:szCs w:val="24"/>
              </w:rPr>
              <w:t xml:space="preserve"> EUR</w:t>
            </w:r>
            <w:r w:rsidRPr="00834464">
              <w:rPr>
                <w:rFonts w:ascii="Times New Roman" w:eastAsia="Times New Roman" w:hAnsi="Times New Roman"/>
                <w:sz w:val="24"/>
                <w:szCs w:val="24"/>
              </w:rPr>
              <w:t xml:space="preserve"> 293.7 billion for the next </w:t>
            </w:r>
            <w:r w:rsidR="00086929">
              <w:rPr>
                <w:rFonts w:ascii="Times New Roman" w:eastAsia="Times New Roman" w:hAnsi="Times New Roman"/>
                <w:sz w:val="24"/>
                <w:szCs w:val="24"/>
              </w:rPr>
              <w:t>MFF</w:t>
            </w:r>
            <w:r w:rsidR="001F2516">
              <w:rPr>
                <w:rFonts w:ascii="Times New Roman" w:eastAsia="Times New Roman" w:hAnsi="Times New Roman"/>
                <w:sz w:val="24"/>
                <w:szCs w:val="24"/>
              </w:rPr>
              <w:t xml:space="preserve">. </w:t>
            </w:r>
            <w:r w:rsidR="00035B33" w:rsidRPr="00035B33">
              <w:rPr>
                <w:rFonts w:ascii="Times New Roman" w:eastAsia="Times New Roman" w:hAnsi="Times New Roman"/>
                <w:sz w:val="24"/>
                <w:szCs w:val="24"/>
              </w:rPr>
              <w:t>Furthermore</w:t>
            </w:r>
            <w:r w:rsidRPr="00035B33">
              <w:rPr>
                <w:rFonts w:ascii="Times New Roman" w:eastAsia="Times New Roman" w:hAnsi="Times New Roman"/>
                <w:sz w:val="24"/>
                <w:szCs w:val="24"/>
              </w:rPr>
              <w:t xml:space="preserve">, </w:t>
            </w:r>
            <w:r w:rsidR="008408E4" w:rsidRPr="00035B33">
              <w:rPr>
                <w:rFonts w:ascii="Times New Roman" w:eastAsia="Times New Roman" w:hAnsi="Times New Roman"/>
                <w:sz w:val="24"/>
                <w:szCs w:val="24"/>
              </w:rPr>
              <w:t>an</w:t>
            </w:r>
            <w:r w:rsidRPr="00035B33">
              <w:rPr>
                <w:rFonts w:ascii="Times New Roman" w:eastAsia="Times New Roman" w:hAnsi="Times New Roman"/>
                <w:sz w:val="24"/>
                <w:szCs w:val="24"/>
              </w:rPr>
              <w:t xml:space="preserve"> additional EUR 452.9 billion </w:t>
            </w:r>
            <w:r w:rsidR="00035B33" w:rsidRPr="00035B33">
              <w:rPr>
                <w:rFonts w:ascii="Times New Roman" w:eastAsia="Times New Roman" w:hAnsi="Times New Roman"/>
                <w:sz w:val="24"/>
                <w:szCs w:val="24"/>
              </w:rPr>
              <w:t xml:space="preserve">will be </w:t>
            </w:r>
            <w:r w:rsidRPr="00035B33">
              <w:rPr>
                <w:rFonts w:ascii="Times New Roman" w:eastAsia="Times New Roman" w:hAnsi="Times New Roman"/>
                <w:sz w:val="24"/>
                <w:szCs w:val="24"/>
              </w:rPr>
              <w:t xml:space="preserve">available for </w:t>
            </w:r>
            <w:r w:rsidR="00035B33" w:rsidRPr="00035B33">
              <w:rPr>
                <w:rFonts w:ascii="Times New Roman" w:eastAsia="Times New Roman" w:hAnsi="Times New Roman"/>
                <w:sz w:val="24"/>
                <w:szCs w:val="24"/>
              </w:rPr>
              <w:t xml:space="preserve">Member States to promote </w:t>
            </w:r>
            <w:r w:rsidR="00035B33" w:rsidRPr="00035B33">
              <w:rPr>
                <w:rFonts w:ascii="Times New Roman" w:hAnsi="Times New Roman"/>
                <w:bCs/>
                <w:sz w:val="24"/>
                <w:szCs w:val="24"/>
              </w:rPr>
              <w:t xml:space="preserve">economic, social and territorial cohesion, including to address the </w:t>
            </w:r>
            <w:r w:rsidR="00035B33" w:rsidRPr="00035B33">
              <w:rPr>
                <w:rFonts w:ascii="Times New Roman" w:hAnsi="Times New Roman"/>
                <w:bCs/>
                <w:sz w:val="24"/>
                <w:szCs w:val="24"/>
              </w:rPr>
              <w:lastRenderedPageBreak/>
              <w:t xml:space="preserve">challenges of </w:t>
            </w:r>
            <w:r w:rsidRPr="00035B33">
              <w:rPr>
                <w:rFonts w:ascii="Times New Roman" w:eastAsia="Times New Roman" w:hAnsi="Times New Roman"/>
                <w:sz w:val="24"/>
                <w:szCs w:val="24"/>
              </w:rPr>
              <w:t xml:space="preserve">rural areas based on national needs. </w:t>
            </w:r>
          </w:p>
          <w:p w14:paraId="5E82240D" w14:textId="4D669B2A" w:rsidR="004F6117" w:rsidRPr="00834464" w:rsidRDefault="007A1525"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At the same time, a number of funding instruments have been introduced to better reward farmers for their efforts on environmental and climate objectives. This is in line with what</w:t>
            </w:r>
            <w:r w:rsidR="00C729DA" w:rsidRPr="00834464">
              <w:rPr>
                <w:rFonts w:ascii="Times New Roman" w:eastAsia="Times New Roman" w:hAnsi="Times New Roman"/>
                <w:sz w:val="24"/>
                <w:szCs w:val="24"/>
              </w:rPr>
              <w:t xml:space="preserve"> was</w:t>
            </w:r>
            <w:r w:rsidRPr="00834464">
              <w:rPr>
                <w:rFonts w:ascii="Times New Roman" w:eastAsia="Times New Roman" w:hAnsi="Times New Roman"/>
                <w:sz w:val="24"/>
                <w:szCs w:val="24"/>
              </w:rPr>
              <w:t xml:space="preserve"> announced under the Vision for EU Agriculture and Food, with the aim to move from “conditions to incentives”</w:t>
            </w:r>
            <w:r w:rsidR="00C729DA" w:rsidRPr="00834464">
              <w:rPr>
                <w:rFonts w:ascii="Times New Roman" w:eastAsia="Times New Roman" w:hAnsi="Times New Roman"/>
                <w:sz w:val="24"/>
                <w:szCs w:val="24"/>
              </w:rPr>
              <w:t xml:space="preserve"> a</w:t>
            </w:r>
            <w:r w:rsidRPr="00834464">
              <w:rPr>
                <w:rFonts w:ascii="Times New Roman" w:eastAsia="Times New Roman" w:hAnsi="Times New Roman"/>
                <w:sz w:val="24"/>
                <w:szCs w:val="24"/>
              </w:rPr>
              <w:t xml:space="preserve">nd </w:t>
            </w:r>
            <w:r w:rsidR="001F2516">
              <w:rPr>
                <w:rFonts w:ascii="Times New Roman" w:eastAsia="Times New Roman" w:hAnsi="Times New Roman"/>
                <w:sz w:val="24"/>
                <w:szCs w:val="24"/>
              </w:rPr>
              <w:t>o</w:t>
            </w:r>
            <w:r w:rsidRPr="00834464">
              <w:rPr>
                <w:rFonts w:ascii="Times New Roman" w:eastAsia="Times New Roman" w:hAnsi="Times New Roman"/>
                <w:sz w:val="24"/>
                <w:szCs w:val="24"/>
              </w:rPr>
              <w:t xml:space="preserve">rganic </w:t>
            </w:r>
            <w:r w:rsidR="00011C39">
              <w:rPr>
                <w:rFonts w:ascii="Times New Roman" w:eastAsia="Times New Roman" w:hAnsi="Times New Roman"/>
                <w:sz w:val="24"/>
                <w:szCs w:val="24"/>
              </w:rPr>
              <w:t xml:space="preserve">production </w:t>
            </w:r>
            <w:r w:rsidRPr="00834464">
              <w:rPr>
                <w:rFonts w:ascii="Times New Roman" w:eastAsia="Times New Roman" w:hAnsi="Times New Roman"/>
                <w:sz w:val="24"/>
                <w:szCs w:val="24"/>
              </w:rPr>
              <w:t xml:space="preserve">is at the heart of </w:t>
            </w:r>
            <w:r w:rsidR="008C5A9C" w:rsidRPr="00834464">
              <w:rPr>
                <w:rFonts w:ascii="Times New Roman" w:eastAsia="Times New Roman" w:hAnsi="Times New Roman"/>
                <w:sz w:val="24"/>
                <w:szCs w:val="24"/>
              </w:rPr>
              <w:t>these discussions</w:t>
            </w:r>
            <w:r w:rsidRPr="00834464">
              <w:rPr>
                <w:rFonts w:ascii="Times New Roman" w:eastAsia="Times New Roman" w:hAnsi="Times New Roman"/>
                <w:sz w:val="24"/>
                <w:szCs w:val="24"/>
              </w:rPr>
              <w:t>.</w:t>
            </w:r>
            <w:r w:rsidR="00413D2D">
              <w:rPr>
                <w:rFonts w:ascii="Times New Roman" w:eastAsia="Times New Roman" w:hAnsi="Times New Roman"/>
                <w:sz w:val="24"/>
                <w:szCs w:val="24"/>
              </w:rPr>
              <w:t xml:space="preserve"> </w:t>
            </w:r>
          </w:p>
          <w:p w14:paraId="066748A8" w14:textId="745B83C1" w:rsidR="00AB5A01" w:rsidRPr="00834464" w:rsidRDefault="00AB5A01"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This is also reinforced by a new European Competitiveness Fund</w:t>
            </w:r>
            <w:r w:rsidR="00413D2D">
              <w:rPr>
                <w:rFonts w:ascii="Times New Roman" w:eastAsia="Times New Roman" w:hAnsi="Times New Roman"/>
                <w:sz w:val="24"/>
                <w:szCs w:val="24"/>
              </w:rPr>
              <w:t xml:space="preserve"> (ECF)</w:t>
            </w:r>
            <w:r w:rsidRPr="00834464">
              <w:rPr>
                <w:rFonts w:ascii="Times New Roman" w:eastAsia="Times New Roman" w:hAnsi="Times New Roman"/>
                <w:sz w:val="24"/>
                <w:szCs w:val="24"/>
              </w:rPr>
              <w:t xml:space="preserve"> that will invest EUR 20.4 billion in strategic technologies of direct relevance to organic farming to support the sustainability transition.</w:t>
            </w:r>
            <w:r w:rsidR="00C377DE" w:rsidRPr="00834464">
              <w:rPr>
                <w:rFonts w:ascii="Times New Roman" w:eastAsia="Times New Roman" w:hAnsi="Times New Roman"/>
                <w:sz w:val="24"/>
                <w:szCs w:val="24"/>
              </w:rPr>
              <w:t xml:space="preserve"> </w:t>
            </w:r>
            <w:r w:rsidRPr="00834464">
              <w:rPr>
                <w:rFonts w:ascii="Times New Roman" w:eastAsia="Times New Roman" w:hAnsi="Times New Roman"/>
                <w:sz w:val="24"/>
                <w:szCs w:val="24"/>
              </w:rPr>
              <w:t xml:space="preserve">In close connection with the European Competitiveness Fund, the renowned Horizon Europe </w:t>
            </w:r>
            <w:r w:rsidR="00086929">
              <w:rPr>
                <w:rFonts w:ascii="Times New Roman" w:eastAsia="Times New Roman" w:hAnsi="Times New Roman"/>
                <w:sz w:val="24"/>
                <w:szCs w:val="24"/>
              </w:rPr>
              <w:t xml:space="preserve">2028-2034 </w:t>
            </w:r>
            <w:r w:rsidRPr="00834464">
              <w:rPr>
                <w:rFonts w:ascii="Times New Roman" w:eastAsia="Times New Roman" w:hAnsi="Times New Roman"/>
                <w:sz w:val="24"/>
                <w:szCs w:val="24"/>
              </w:rPr>
              <w:t>programme, will invest EUR 19,7 billion on collaborative research under the</w:t>
            </w:r>
            <w:r w:rsidR="008B4D5A">
              <w:rPr>
                <w:rFonts w:ascii="Times New Roman" w:eastAsia="Times New Roman" w:hAnsi="Times New Roman"/>
                <w:sz w:val="24"/>
                <w:szCs w:val="24"/>
              </w:rPr>
              <w:t xml:space="preserve"> </w:t>
            </w:r>
            <w:r w:rsidR="00086929">
              <w:rPr>
                <w:rFonts w:ascii="Times New Roman" w:eastAsia="Times New Roman" w:hAnsi="Times New Roman"/>
                <w:sz w:val="24"/>
                <w:szCs w:val="24"/>
              </w:rPr>
              <w:t>ECF policy</w:t>
            </w:r>
            <w:r w:rsidRPr="00834464">
              <w:rPr>
                <w:rFonts w:ascii="Times New Roman" w:eastAsia="Times New Roman" w:hAnsi="Times New Roman"/>
                <w:sz w:val="24"/>
                <w:szCs w:val="24"/>
              </w:rPr>
              <w:t xml:space="preserve"> window </w:t>
            </w:r>
            <w:r w:rsidR="008B4D5A">
              <w:rPr>
                <w:rFonts w:ascii="Times New Roman" w:eastAsia="Times New Roman" w:hAnsi="Times New Roman"/>
                <w:sz w:val="24"/>
                <w:szCs w:val="24"/>
              </w:rPr>
              <w:t>‘</w:t>
            </w:r>
            <w:r w:rsidRPr="00834464">
              <w:rPr>
                <w:rFonts w:ascii="Times New Roman" w:eastAsia="Times New Roman" w:hAnsi="Times New Roman"/>
                <w:sz w:val="24"/>
                <w:szCs w:val="24"/>
              </w:rPr>
              <w:t>health, biotech, agriculture and bioeconomy</w:t>
            </w:r>
            <w:r w:rsidR="008B4D5A">
              <w:rPr>
                <w:rFonts w:ascii="Times New Roman" w:eastAsia="Times New Roman" w:hAnsi="Times New Roman"/>
                <w:sz w:val="24"/>
                <w:szCs w:val="24"/>
              </w:rPr>
              <w:t>’</w:t>
            </w:r>
            <w:r w:rsidRPr="00834464">
              <w:rPr>
                <w:rFonts w:ascii="Times New Roman" w:eastAsia="Times New Roman" w:hAnsi="Times New Roman"/>
                <w:sz w:val="24"/>
                <w:szCs w:val="24"/>
              </w:rPr>
              <w:t>. This means continuing to fund world-class innovation. Organic farming will remain a key focus.</w:t>
            </w:r>
            <w:r w:rsidR="00413D2D">
              <w:rPr>
                <w:rFonts w:ascii="Times New Roman" w:eastAsia="Times New Roman" w:hAnsi="Times New Roman"/>
                <w:sz w:val="24"/>
                <w:szCs w:val="24"/>
              </w:rPr>
              <w:t xml:space="preserve"> </w:t>
            </w:r>
          </w:p>
          <w:p w14:paraId="48F1DAAA" w14:textId="2D053812" w:rsidR="00AD1DCE" w:rsidRPr="00834464" w:rsidRDefault="001F0F84"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To</w:t>
            </w:r>
            <w:r w:rsidR="00AD1DCE" w:rsidRPr="00834464">
              <w:rPr>
                <w:rFonts w:ascii="Times New Roman" w:eastAsia="Times New Roman" w:hAnsi="Times New Roman"/>
                <w:sz w:val="24"/>
                <w:szCs w:val="24"/>
              </w:rPr>
              <w:t xml:space="preserve"> further improve the competitiveness of the sector, </w:t>
            </w:r>
            <w:r w:rsidR="00CD4353" w:rsidRPr="00834464">
              <w:rPr>
                <w:rFonts w:ascii="Times New Roman" w:eastAsia="Times New Roman" w:hAnsi="Times New Roman"/>
                <w:sz w:val="24"/>
                <w:szCs w:val="24"/>
              </w:rPr>
              <w:t xml:space="preserve">the </w:t>
            </w:r>
            <w:r w:rsidR="00AD1DCE" w:rsidRPr="00834464">
              <w:rPr>
                <w:rFonts w:ascii="Times New Roman" w:eastAsia="Times New Roman" w:hAnsi="Times New Roman"/>
                <w:sz w:val="24"/>
                <w:szCs w:val="24"/>
              </w:rPr>
              <w:t xml:space="preserve">Commission </w:t>
            </w:r>
            <w:r w:rsidR="00CD4353" w:rsidRPr="00834464">
              <w:rPr>
                <w:rFonts w:ascii="Times New Roman" w:eastAsia="Times New Roman" w:hAnsi="Times New Roman"/>
                <w:sz w:val="24"/>
                <w:szCs w:val="24"/>
              </w:rPr>
              <w:t xml:space="preserve">presented </w:t>
            </w:r>
            <w:r w:rsidR="00F14D95" w:rsidRPr="00834464">
              <w:rPr>
                <w:rFonts w:ascii="Times New Roman" w:eastAsia="Times New Roman" w:hAnsi="Times New Roman"/>
                <w:sz w:val="24"/>
                <w:szCs w:val="24"/>
              </w:rPr>
              <w:t xml:space="preserve">on 16 December 2025 </w:t>
            </w:r>
            <w:r w:rsidR="00CD4353" w:rsidRPr="00834464">
              <w:rPr>
                <w:rFonts w:ascii="Times New Roman" w:eastAsia="Times New Roman" w:hAnsi="Times New Roman"/>
                <w:sz w:val="24"/>
                <w:szCs w:val="24"/>
              </w:rPr>
              <w:t>a legislative proposal to</w:t>
            </w:r>
            <w:r w:rsidR="00AD1DCE" w:rsidRPr="00834464">
              <w:rPr>
                <w:rFonts w:ascii="Times New Roman" w:eastAsia="Times New Roman" w:hAnsi="Times New Roman"/>
                <w:sz w:val="24"/>
                <w:szCs w:val="24"/>
              </w:rPr>
              <w:t xml:space="preserve"> amend the </w:t>
            </w:r>
            <w:r w:rsidR="00011C39">
              <w:rPr>
                <w:rFonts w:ascii="Times New Roman" w:eastAsia="Times New Roman" w:hAnsi="Times New Roman"/>
                <w:sz w:val="24"/>
                <w:szCs w:val="24"/>
              </w:rPr>
              <w:t xml:space="preserve">EU </w:t>
            </w:r>
            <w:r w:rsidR="00AD1DCE" w:rsidRPr="00834464">
              <w:rPr>
                <w:rFonts w:ascii="Times New Roman" w:eastAsia="Times New Roman" w:hAnsi="Times New Roman"/>
                <w:sz w:val="24"/>
                <w:szCs w:val="24"/>
              </w:rPr>
              <w:t>Organic Regulation. The changes relate to international matters, for instance to</w:t>
            </w:r>
            <w:r w:rsidR="008408E4">
              <w:rPr>
                <w:rFonts w:ascii="Times New Roman" w:eastAsia="Times New Roman" w:hAnsi="Times New Roman"/>
                <w:sz w:val="24"/>
                <w:szCs w:val="24"/>
              </w:rPr>
              <w:t xml:space="preserve"> the</w:t>
            </w:r>
            <w:r w:rsidR="00AD1DCE" w:rsidRPr="00834464">
              <w:rPr>
                <w:rFonts w:ascii="Times New Roman" w:eastAsia="Times New Roman" w:hAnsi="Times New Roman"/>
                <w:sz w:val="24"/>
                <w:szCs w:val="24"/>
              </w:rPr>
              <w:t xml:space="preserve"> follow-up </w:t>
            </w:r>
            <w:r w:rsidR="008408E4">
              <w:rPr>
                <w:rFonts w:ascii="Times New Roman" w:eastAsia="Times New Roman" w:hAnsi="Times New Roman"/>
                <w:sz w:val="24"/>
                <w:szCs w:val="24"/>
              </w:rPr>
              <w:t>on</w:t>
            </w:r>
            <w:r w:rsidR="00AD1DCE" w:rsidRPr="00834464">
              <w:rPr>
                <w:rFonts w:ascii="Times New Roman" w:eastAsia="Times New Roman" w:hAnsi="Times New Roman"/>
                <w:sz w:val="24"/>
                <w:szCs w:val="24"/>
              </w:rPr>
              <w:t xml:space="preserve"> a recent </w:t>
            </w:r>
            <w:r w:rsidR="008B4D5A">
              <w:rPr>
                <w:rFonts w:ascii="Times New Roman" w:eastAsia="Times New Roman" w:hAnsi="Times New Roman"/>
                <w:sz w:val="24"/>
                <w:szCs w:val="24"/>
              </w:rPr>
              <w:t>European Court of Justice (</w:t>
            </w:r>
            <w:r w:rsidR="00AD1DCE" w:rsidRPr="00834464">
              <w:rPr>
                <w:rFonts w:ascii="Times New Roman" w:eastAsia="Times New Roman" w:hAnsi="Times New Roman"/>
                <w:sz w:val="24"/>
                <w:szCs w:val="24"/>
              </w:rPr>
              <w:t>ECJ</w:t>
            </w:r>
            <w:r w:rsidR="008B4D5A">
              <w:rPr>
                <w:rFonts w:ascii="Times New Roman" w:eastAsia="Times New Roman" w:hAnsi="Times New Roman"/>
                <w:sz w:val="24"/>
                <w:szCs w:val="24"/>
              </w:rPr>
              <w:t>)</w:t>
            </w:r>
            <w:r w:rsidR="00AD1DCE" w:rsidRPr="00834464">
              <w:rPr>
                <w:rFonts w:ascii="Times New Roman" w:eastAsia="Times New Roman" w:hAnsi="Times New Roman"/>
                <w:sz w:val="24"/>
                <w:szCs w:val="24"/>
              </w:rPr>
              <w:t xml:space="preserve"> ruling, as well as </w:t>
            </w:r>
            <w:r w:rsidRPr="00834464">
              <w:rPr>
                <w:rFonts w:ascii="Times New Roman" w:eastAsia="Times New Roman" w:hAnsi="Times New Roman"/>
                <w:sz w:val="24"/>
                <w:szCs w:val="24"/>
              </w:rPr>
              <w:t>several</w:t>
            </w:r>
            <w:r w:rsidR="00AD1DCE" w:rsidRPr="00834464">
              <w:rPr>
                <w:rFonts w:ascii="Times New Roman" w:eastAsia="Times New Roman" w:hAnsi="Times New Roman"/>
                <w:sz w:val="24"/>
                <w:szCs w:val="24"/>
              </w:rPr>
              <w:t xml:space="preserve"> very targeted simplification elements, which will simplify the life of organic farmers and operators without affecting the high organic standard. </w:t>
            </w:r>
            <w:bookmarkStart w:id="2" w:name="_Hlk221022291"/>
            <w:r w:rsidR="00AD1DCE" w:rsidRPr="00834464">
              <w:rPr>
                <w:rFonts w:ascii="Times New Roman" w:eastAsia="Times New Roman" w:hAnsi="Times New Roman"/>
                <w:sz w:val="24"/>
                <w:szCs w:val="24"/>
              </w:rPr>
              <w:t xml:space="preserve">In addition, the </w:t>
            </w:r>
            <w:r w:rsidR="00CD4353" w:rsidRPr="00834464">
              <w:rPr>
                <w:rFonts w:ascii="Times New Roman" w:eastAsia="Times New Roman" w:hAnsi="Times New Roman"/>
                <w:sz w:val="24"/>
                <w:szCs w:val="24"/>
              </w:rPr>
              <w:t>proposal was accompanied by an</w:t>
            </w:r>
            <w:r w:rsidR="00B568F2">
              <w:rPr>
                <w:rFonts w:ascii="Times New Roman" w:eastAsia="Times New Roman" w:hAnsi="Times New Roman"/>
                <w:sz w:val="24"/>
                <w:szCs w:val="24"/>
              </w:rPr>
              <w:t> </w:t>
            </w:r>
            <w:r w:rsidR="00CD4353" w:rsidRPr="00834464">
              <w:rPr>
                <w:rFonts w:ascii="Times New Roman" w:eastAsia="Times New Roman" w:hAnsi="Times New Roman"/>
                <w:sz w:val="24"/>
                <w:szCs w:val="24"/>
              </w:rPr>
              <w:t xml:space="preserve">ambitious roadmap to further improve the competitiveness of the sector. The actions presented in the roadmap </w:t>
            </w:r>
            <w:r w:rsidR="00AD1DCE" w:rsidRPr="00834464">
              <w:rPr>
                <w:rFonts w:ascii="Times New Roman" w:eastAsia="Times New Roman" w:hAnsi="Times New Roman"/>
                <w:sz w:val="24"/>
                <w:szCs w:val="24"/>
              </w:rPr>
              <w:t xml:space="preserve">can </w:t>
            </w:r>
            <w:r w:rsidR="00CD4353" w:rsidRPr="00834464">
              <w:rPr>
                <w:rFonts w:ascii="Times New Roman" w:eastAsia="Times New Roman" w:hAnsi="Times New Roman"/>
                <w:sz w:val="24"/>
                <w:szCs w:val="24"/>
              </w:rPr>
              <w:t xml:space="preserve">generally </w:t>
            </w:r>
            <w:r w:rsidR="00AD1DCE" w:rsidRPr="00834464">
              <w:rPr>
                <w:rFonts w:ascii="Times New Roman" w:eastAsia="Times New Roman" w:hAnsi="Times New Roman"/>
                <w:sz w:val="24"/>
                <w:szCs w:val="24"/>
              </w:rPr>
              <w:t>be accomplished by adjusting secondary legislation to further ease the burden on organic farmers and operators.</w:t>
            </w:r>
            <w:r w:rsidR="00413D2D">
              <w:rPr>
                <w:rFonts w:ascii="Times New Roman" w:eastAsia="Times New Roman" w:hAnsi="Times New Roman"/>
                <w:sz w:val="24"/>
                <w:szCs w:val="24"/>
              </w:rPr>
              <w:t xml:space="preserve"> </w:t>
            </w:r>
          </w:p>
          <w:bookmarkEnd w:id="2"/>
          <w:p w14:paraId="502EEEED" w14:textId="6C8D3872" w:rsidR="72DB533A" w:rsidRPr="00834464" w:rsidRDefault="72DB533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EU quality policy aims to protect the names of specific products to promote their unique characteristics, linked to their geographical origin as well as traditional know-how.</w:t>
            </w:r>
            <w:r w:rsidR="008408E4">
              <w:rPr>
                <w:rFonts w:ascii="Times New Roman" w:eastAsia="Times New Roman" w:hAnsi="Times New Roman"/>
                <w:sz w:val="24"/>
                <w:szCs w:val="24"/>
              </w:rPr>
              <w:t xml:space="preserve"> </w:t>
            </w:r>
          </w:p>
          <w:p w14:paraId="7D5A1217" w14:textId="3919F900" w:rsidR="72DB533A" w:rsidRPr="00834464" w:rsidRDefault="72DB533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Product names can be granted a 'geographical indication' (GI) if they have a specific link to the place where they are made. The GI recognition enables consumers to trust and distinguish quality products while also helping producers to </w:t>
            </w:r>
            <w:r w:rsidR="008408E4">
              <w:rPr>
                <w:rFonts w:ascii="Times New Roman" w:eastAsia="Times New Roman" w:hAnsi="Times New Roman"/>
                <w:sz w:val="24"/>
                <w:szCs w:val="24"/>
              </w:rPr>
              <w:t xml:space="preserve">better </w:t>
            </w:r>
            <w:r w:rsidRPr="00834464">
              <w:rPr>
                <w:rFonts w:ascii="Times New Roman" w:eastAsia="Times New Roman" w:hAnsi="Times New Roman"/>
                <w:sz w:val="24"/>
                <w:szCs w:val="24"/>
              </w:rPr>
              <w:t>market their products. Traditional speciality guaranteed (TSG) highlights the traditional aspects, such as the way the product is made or its composition, without being linked to a specific geographical area.</w:t>
            </w:r>
            <w:r w:rsidR="008408E4">
              <w:rPr>
                <w:rFonts w:ascii="Times New Roman" w:eastAsia="Times New Roman" w:hAnsi="Times New Roman"/>
                <w:sz w:val="24"/>
                <w:szCs w:val="24"/>
              </w:rPr>
              <w:t xml:space="preserve"> </w:t>
            </w:r>
          </w:p>
          <w:p w14:paraId="59DC0647" w14:textId="665908A1" w:rsidR="72DB533A" w:rsidRPr="00834464" w:rsidRDefault="72DB533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There are more than 3600 GI</w:t>
            </w:r>
            <w:r w:rsidR="001F1DF3">
              <w:rPr>
                <w:rFonts w:ascii="Times New Roman" w:eastAsia="Times New Roman" w:hAnsi="Times New Roman"/>
                <w:sz w:val="24"/>
                <w:szCs w:val="24"/>
              </w:rPr>
              <w:t xml:space="preserve">s </w:t>
            </w:r>
            <w:r w:rsidRPr="00834464">
              <w:rPr>
                <w:rFonts w:ascii="Times New Roman" w:eastAsia="Times New Roman" w:hAnsi="Times New Roman"/>
                <w:sz w:val="24"/>
                <w:szCs w:val="24"/>
              </w:rPr>
              <w:t>and more than 70 TSG</w:t>
            </w:r>
            <w:r w:rsidR="001F1DF3">
              <w:rPr>
                <w:rFonts w:ascii="Times New Roman" w:eastAsia="Times New Roman" w:hAnsi="Times New Roman"/>
                <w:sz w:val="24"/>
                <w:szCs w:val="24"/>
              </w:rPr>
              <w:t>s</w:t>
            </w:r>
            <w:r w:rsidRPr="00834464">
              <w:rPr>
                <w:rFonts w:ascii="Times New Roman" w:eastAsia="Times New Roman" w:hAnsi="Times New Roman"/>
                <w:sz w:val="24"/>
                <w:szCs w:val="24"/>
              </w:rPr>
              <w:t xml:space="preserve"> registered in the EU Registers.</w:t>
            </w:r>
            <w:r w:rsidR="008408E4">
              <w:rPr>
                <w:rFonts w:ascii="Times New Roman" w:eastAsia="Times New Roman" w:hAnsi="Times New Roman"/>
                <w:sz w:val="24"/>
                <w:szCs w:val="24"/>
              </w:rPr>
              <w:t xml:space="preserve"> </w:t>
            </w:r>
          </w:p>
          <w:p w14:paraId="5D1B6A7F" w14:textId="38C1DE94" w:rsidR="72DB533A" w:rsidRPr="00834464" w:rsidRDefault="72DB533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recent legal review process of EU quality schemes covering GIs and TSGs resulting </w:t>
            </w:r>
            <w:r w:rsidR="00C675A7" w:rsidRPr="00834464">
              <w:rPr>
                <w:rFonts w:ascii="Times New Roman" w:eastAsia="Times New Roman" w:hAnsi="Times New Roman"/>
                <w:sz w:val="24"/>
                <w:szCs w:val="24"/>
              </w:rPr>
              <w:t xml:space="preserve">in </w:t>
            </w:r>
            <w:r w:rsidR="00F14E88">
              <w:rPr>
                <w:rFonts w:ascii="Times New Roman" w:eastAsia="Times New Roman" w:hAnsi="Times New Roman"/>
                <w:sz w:val="24"/>
                <w:szCs w:val="24"/>
              </w:rPr>
              <w:t xml:space="preserve">the </w:t>
            </w:r>
            <w:r w:rsidR="00C675A7" w:rsidRPr="00834464">
              <w:rPr>
                <w:rFonts w:ascii="Times New Roman" w:eastAsia="Times New Roman" w:hAnsi="Times New Roman"/>
                <w:sz w:val="24"/>
                <w:szCs w:val="24"/>
              </w:rPr>
              <w:t>Regulation</w:t>
            </w:r>
            <w:r w:rsidR="00F14E88">
              <w:rPr>
                <w:rFonts w:ascii="Times New Roman" w:eastAsia="Times New Roman" w:hAnsi="Times New Roman"/>
                <w:sz w:val="24"/>
                <w:szCs w:val="24"/>
              </w:rPr>
              <w:t xml:space="preserve"> </w:t>
            </w:r>
            <w:r w:rsidR="00F14E88" w:rsidRPr="00F14E88">
              <w:rPr>
                <w:rFonts w:ascii="Times New Roman" w:eastAsia="Times New Roman" w:hAnsi="Times New Roman"/>
                <w:b/>
                <w:bCs/>
                <w:sz w:val="24"/>
                <w:szCs w:val="24"/>
              </w:rPr>
              <w:t> </w:t>
            </w:r>
            <w:r w:rsidR="00F14E88" w:rsidRPr="003F2A61">
              <w:rPr>
                <w:rFonts w:ascii="Times New Roman" w:eastAsia="Times New Roman" w:hAnsi="Times New Roman"/>
                <w:sz w:val="24"/>
                <w:szCs w:val="24"/>
              </w:rPr>
              <w:t>on geographical indications for wine, spirit drinks and agricultural products, as well as traditional specialities guaranteed and optional quality terms for agricultural products</w:t>
            </w:r>
            <w:r w:rsidR="00160928">
              <w:rPr>
                <w:rStyle w:val="FootnoteReference"/>
                <w:rFonts w:ascii="Times New Roman" w:eastAsia="Times New Roman" w:hAnsi="Times New Roman"/>
                <w:sz w:val="24"/>
                <w:szCs w:val="24"/>
              </w:rPr>
              <w:footnoteReference w:id="4"/>
            </w:r>
            <w:r w:rsidRPr="00834464">
              <w:rPr>
                <w:rFonts w:ascii="Times New Roman" w:eastAsia="Times New Roman" w:hAnsi="Times New Roman"/>
                <w:sz w:val="24"/>
                <w:szCs w:val="24"/>
              </w:rPr>
              <w:t xml:space="preserve"> </w:t>
            </w:r>
            <w:r w:rsidR="00F14E88">
              <w:rPr>
                <w:rFonts w:ascii="Times New Roman" w:eastAsia="Times New Roman" w:hAnsi="Times New Roman"/>
                <w:sz w:val="24"/>
                <w:szCs w:val="24"/>
              </w:rPr>
              <w:t xml:space="preserve">, </w:t>
            </w:r>
            <w:r w:rsidRPr="00834464">
              <w:rPr>
                <w:rFonts w:ascii="Times New Roman" w:eastAsia="Times New Roman" w:hAnsi="Times New Roman"/>
                <w:sz w:val="24"/>
                <w:szCs w:val="24"/>
              </w:rPr>
              <w:t>aims at strengthening the protection of GIs and streamlines the legal framework also with a view to empower</w:t>
            </w:r>
            <w:r w:rsidR="001C32BE">
              <w:rPr>
                <w:rFonts w:ascii="Times New Roman" w:eastAsia="Times New Roman" w:hAnsi="Times New Roman"/>
                <w:sz w:val="24"/>
                <w:szCs w:val="24"/>
              </w:rPr>
              <w:t>ing</w:t>
            </w:r>
            <w:r w:rsidRPr="00834464">
              <w:rPr>
                <w:rFonts w:ascii="Times New Roman" w:eastAsia="Times New Roman" w:hAnsi="Times New Roman"/>
                <w:sz w:val="24"/>
                <w:szCs w:val="24"/>
              </w:rPr>
              <w:t xml:space="preserve"> GI producers and enhanc</w:t>
            </w:r>
            <w:r w:rsidR="001C32BE">
              <w:rPr>
                <w:rFonts w:ascii="Times New Roman" w:eastAsia="Times New Roman" w:hAnsi="Times New Roman"/>
                <w:sz w:val="24"/>
                <w:szCs w:val="24"/>
              </w:rPr>
              <w:t>ing</w:t>
            </w:r>
            <w:r w:rsidRPr="00834464">
              <w:rPr>
                <w:rFonts w:ascii="Times New Roman" w:eastAsia="Times New Roman" w:hAnsi="Times New Roman"/>
                <w:sz w:val="24"/>
                <w:szCs w:val="24"/>
              </w:rPr>
              <w:t xml:space="preserve"> the uptake of GIs as well as to strengthen</w:t>
            </w:r>
            <w:r w:rsidR="001C32BE">
              <w:rPr>
                <w:rFonts w:ascii="Times New Roman" w:eastAsia="Times New Roman" w:hAnsi="Times New Roman"/>
                <w:sz w:val="24"/>
                <w:szCs w:val="24"/>
              </w:rPr>
              <w:t>ing</w:t>
            </w:r>
            <w:r w:rsidRPr="00834464">
              <w:rPr>
                <w:rFonts w:ascii="Times New Roman" w:eastAsia="Times New Roman" w:hAnsi="Times New Roman"/>
                <w:sz w:val="24"/>
                <w:szCs w:val="24"/>
              </w:rPr>
              <w:t xml:space="preserve"> consumers awareness and trust in the schemes. </w:t>
            </w:r>
          </w:p>
          <w:p w14:paraId="6EC15033" w14:textId="6204075F" w:rsidR="72DB533A" w:rsidRPr="00834464" w:rsidRDefault="00F464B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To</w:t>
            </w:r>
            <w:r w:rsidR="72DB533A" w:rsidRPr="00834464">
              <w:rPr>
                <w:rFonts w:ascii="Times New Roman" w:eastAsia="Times New Roman" w:hAnsi="Times New Roman"/>
                <w:sz w:val="24"/>
                <w:szCs w:val="24"/>
              </w:rPr>
              <w:t xml:space="preserve"> strengthen consumer trust in the GI/TSG </w:t>
            </w:r>
            <w:r w:rsidR="001F1DF3">
              <w:rPr>
                <w:rFonts w:ascii="Times New Roman" w:eastAsia="Times New Roman" w:hAnsi="Times New Roman"/>
                <w:sz w:val="24"/>
                <w:szCs w:val="24"/>
              </w:rPr>
              <w:t xml:space="preserve">labelled </w:t>
            </w:r>
            <w:r w:rsidR="72DB533A" w:rsidRPr="00834464">
              <w:rPr>
                <w:rFonts w:ascii="Times New Roman" w:eastAsia="Times New Roman" w:hAnsi="Times New Roman"/>
                <w:sz w:val="24"/>
                <w:szCs w:val="24"/>
              </w:rPr>
              <w:t xml:space="preserve">products, the Commission is making efforts to strengthen further the controls of GIs/TSGs. The </w:t>
            </w:r>
            <w:bookmarkStart w:id="3" w:name="_Hlk221022607"/>
            <w:r w:rsidR="72DB533A" w:rsidRPr="00834464">
              <w:rPr>
                <w:rFonts w:ascii="Times New Roman" w:eastAsia="Times New Roman" w:hAnsi="Times New Roman"/>
                <w:sz w:val="24"/>
                <w:szCs w:val="24"/>
              </w:rPr>
              <w:t>yearly control seminar organised by the Commission provide</w:t>
            </w:r>
            <w:r w:rsidR="008408E4">
              <w:rPr>
                <w:rFonts w:ascii="Times New Roman" w:eastAsia="Times New Roman" w:hAnsi="Times New Roman"/>
                <w:sz w:val="24"/>
                <w:szCs w:val="24"/>
              </w:rPr>
              <w:t>s</w:t>
            </w:r>
            <w:r w:rsidR="72DB533A" w:rsidRPr="00834464">
              <w:rPr>
                <w:rFonts w:ascii="Times New Roman" w:eastAsia="Times New Roman" w:hAnsi="Times New Roman"/>
                <w:sz w:val="24"/>
                <w:szCs w:val="24"/>
              </w:rPr>
              <w:t xml:space="preserve"> an opportunity to Member States to exchange views on the control procedures and challenges of GI/TSG controls. Linked to this, in collaboration with the Member </w:t>
            </w:r>
            <w:r w:rsidR="72DB533A" w:rsidRPr="00834464">
              <w:rPr>
                <w:rFonts w:ascii="Times New Roman" w:eastAsia="Times New Roman" w:hAnsi="Times New Roman"/>
                <w:sz w:val="24"/>
                <w:szCs w:val="24"/>
              </w:rPr>
              <w:lastRenderedPageBreak/>
              <w:t xml:space="preserve">States, an informal guidance document will be prepared by the Commission on GI/TSG controls, in order to establish a knowledge base and to share best practices among Member States </w:t>
            </w:r>
            <w:bookmarkEnd w:id="3"/>
            <w:r w:rsidR="72DB533A" w:rsidRPr="00834464">
              <w:rPr>
                <w:rFonts w:ascii="Times New Roman" w:eastAsia="Times New Roman" w:hAnsi="Times New Roman"/>
                <w:sz w:val="24"/>
                <w:szCs w:val="24"/>
              </w:rPr>
              <w:t>for more efficient GI/TSG controls and thus contribute to the credibility of the EU GI/TSG policy.</w:t>
            </w:r>
            <w:r w:rsidR="008408E4">
              <w:rPr>
                <w:rFonts w:ascii="Times New Roman" w:eastAsia="Times New Roman" w:hAnsi="Times New Roman"/>
                <w:sz w:val="24"/>
                <w:szCs w:val="24"/>
              </w:rPr>
              <w:t xml:space="preserve"> </w:t>
            </w:r>
          </w:p>
          <w:p w14:paraId="590FD58A" w14:textId="0E305515" w:rsidR="72DB533A" w:rsidRPr="00834464" w:rsidRDefault="72DB533A" w:rsidP="00B568F2">
            <w:pPr>
              <w:widowControl w:val="0"/>
              <w:spacing w:before="120" w:after="120"/>
              <w:jc w:val="both"/>
              <w:rPr>
                <w:rFonts w:ascii="Times New Roman" w:eastAsia="Times New Roman" w:hAnsi="Times New Roman"/>
                <w:sz w:val="24"/>
                <w:szCs w:val="24"/>
              </w:rPr>
            </w:pPr>
            <w:bookmarkStart w:id="4" w:name="_Hlk221022636"/>
            <w:r w:rsidRPr="00834464">
              <w:rPr>
                <w:rFonts w:ascii="Times New Roman" w:eastAsia="Times New Roman" w:hAnsi="Times New Roman"/>
                <w:sz w:val="24"/>
                <w:szCs w:val="24"/>
              </w:rPr>
              <w:t xml:space="preserve">With a view to assist farmers, the Commission has prepared a </w:t>
            </w:r>
            <w:r w:rsidR="004C3FD7" w:rsidRPr="00834464">
              <w:rPr>
                <w:rFonts w:ascii="Times New Roman" w:eastAsia="Times New Roman" w:hAnsi="Times New Roman"/>
                <w:sz w:val="24"/>
                <w:szCs w:val="24"/>
              </w:rPr>
              <w:t>web-based</w:t>
            </w:r>
            <w:r w:rsidRPr="00834464">
              <w:rPr>
                <w:rFonts w:ascii="Times New Roman" w:eastAsia="Times New Roman" w:hAnsi="Times New Roman"/>
                <w:sz w:val="24"/>
                <w:szCs w:val="24"/>
              </w:rPr>
              <w:t xml:space="preserve"> GI Toolkit to promote the benefits of the policy and help producers with the GI application process. </w:t>
            </w:r>
          </w:p>
          <w:p w14:paraId="2AB8B0F1" w14:textId="34723690" w:rsidR="008C5A9C" w:rsidRPr="00834464" w:rsidRDefault="008C5A9C" w:rsidP="00B568F2">
            <w:pPr>
              <w:widowControl w:val="0"/>
              <w:spacing w:before="120" w:after="120"/>
              <w:jc w:val="both"/>
              <w:rPr>
                <w:rFonts w:ascii="Times New Roman" w:eastAsia="Times New Roman" w:hAnsi="Times New Roman"/>
                <w:sz w:val="24"/>
                <w:szCs w:val="24"/>
              </w:rPr>
            </w:pPr>
            <w:bookmarkStart w:id="5" w:name="_Hlk221022717"/>
            <w:bookmarkEnd w:id="4"/>
            <w:r w:rsidRPr="00834464">
              <w:rPr>
                <w:rFonts w:ascii="Times New Roman" w:eastAsia="Times New Roman" w:hAnsi="Times New Roman"/>
                <w:sz w:val="24"/>
                <w:szCs w:val="24"/>
              </w:rPr>
              <w:t>Trade agreements with third countries offer a major avenue to protect EU GIs in third countries</w:t>
            </w:r>
            <w:r w:rsidR="00B9327D">
              <w:rPr>
                <w:rFonts w:ascii="Times New Roman" w:eastAsia="Times New Roman" w:hAnsi="Times New Roman"/>
                <w:sz w:val="24"/>
                <w:szCs w:val="24"/>
              </w:rPr>
              <w:t>,</w:t>
            </w:r>
            <w:r w:rsidR="00D374CE">
              <w:rPr>
                <w:rFonts w:ascii="Times New Roman" w:eastAsia="Times New Roman" w:hAnsi="Times New Roman"/>
                <w:sz w:val="24"/>
                <w:szCs w:val="24"/>
              </w:rPr>
              <w:t xml:space="preserve"> </w:t>
            </w:r>
            <w:r w:rsidR="00B9327D" w:rsidRPr="00B9327D">
              <w:rPr>
                <w:rFonts w:ascii="Times New Roman" w:eastAsia="Times New Roman" w:hAnsi="Times New Roman"/>
                <w:sz w:val="24"/>
                <w:szCs w:val="24"/>
                <w:lang w:val="en-IE"/>
              </w:rPr>
              <w:t xml:space="preserve">giving quality products with strong export potential an improved </w:t>
            </w:r>
            <w:r w:rsidR="00A131F0">
              <w:rPr>
                <w:rFonts w:ascii="Times New Roman" w:eastAsia="Times New Roman" w:hAnsi="Times New Roman"/>
                <w:sz w:val="24"/>
                <w:szCs w:val="24"/>
                <w:lang w:val="en-IE"/>
              </w:rPr>
              <w:t xml:space="preserve">exposure </w:t>
            </w:r>
            <w:r w:rsidR="00B9327D" w:rsidRPr="00B9327D">
              <w:rPr>
                <w:rFonts w:ascii="Times New Roman" w:eastAsia="Times New Roman" w:hAnsi="Times New Roman"/>
                <w:sz w:val="24"/>
                <w:szCs w:val="24"/>
                <w:lang w:val="en-IE"/>
              </w:rPr>
              <w:t xml:space="preserve">into international markets </w:t>
            </w:r>
            <w:r w:rsidR="00D374CE">
              <w:rPr>
                <w:rFonts w:ascii="Times New Roman" w:eastAsia="Times New Roman" w:hAnsi="Times New Roman"/>
                <w:sz w:val="24"/>
                <w:szCs w:val="24"/>
              </w:rPr>
              <w:t xml:space="preserve">and </w:t>
            </w:r>
            <w:r w:rsidR="00D374CE" w:rsidRPr="00D374CE">
              <w:rPr>
                <w:rFonts w:ascii="Times New Roman" w:eastAsia="Times New Roman" w:hAnsi="Times New Roman"/>
                <w:sz w:val="24"/>
                <w:szCs w:val="24"/>
              </w:rPr>
              <w:t xml:space="preserve">enable producers already present in </w:t>
            </w:r>
            <w:r w:rsidRPr="00834464">
              <w:rPr>
                <w:rFonts w:ascii="Times New Roman" w:eastAsia="Times New Roman" w:hAnsi="Times New Roman"/>
                <w:sz w:val="24"/>
                <w:szCs w:val="24"/>
              </w:rPr>
              <w:t xml:space="preserve">international markets to </w:t>
            </w:r>
            <w:r w:rsidR="00A131F0">
              <w:rPr>
                <w:rFonts w:ascii="Times New Roman" w:eastAsia="Times New Roman" w:hAnsi="Times New Roman"/>
                <w:sz w:val="24"/>
                <w:szCs w:val="24"/>
              </w:rPr>
              <w:t xml:space="preserve">secure </w:t>
            </w:r>
            <w:r w:rsidRPr="00834464">
              <w:rPr>
                <w:rFonts w:ascii="Times New Roman" w:eastAsia="Times New Roman" w:hAnsi="Times New Roman"/>
                <w:sz w:val="24"/>
                <w:szCs w:val="24"/>
              </w:rPr>
              <w:t>their businesses</w:t>
            </w:r>
            <w:bookmarkEnd w:id="5"/>
            <w:r w:rsidR="00D374CE">
              <w:rPr>
                <w:rFonts w:ascii="Times New Roman" w:eastAsia="Times New Roman" w:hAnsi="Times New Roman"/>
                <w:sz w:val="24"/>
                <w:szCs w:val="24"/>
              </w:rPr>
              <w:t>.</w:t>
            </w:r>
            <w:r w:rsidRPr="00834464">
              <w:rPr>
                <w:rFonts w:ascii="Times New Roman" w:eastAsia="Times New Roman" w:hAnsi="Times New Roman"/>
                <w:sz w:val="24"/>
                <w:szCs w:val="24"/>
              </w:rPr>
              <w:t xml:space="preserve"> Trade agreements concluded by the EU </w:t>
            </w:r>
            <w:r w:rsidR="004818F6">
              <w:rPr>
                <w:rFonts w:ascii="Times New Roman" w:eastAsia="Times New Roman" w:hAnsi="Times New Roman"/>
                <w:sz w:val="24"/>
                <w:szCs w:val="24"/>
              </w:rPr>
              <w:t>with</w:t>
            </w:r>
            <w:r w:rsidRPr="00834464">
              <w:rPr>
                <w:rFonts w:ascii="Times New Roman" w:eastAsia="Times New Roman" w:hAnsi="Times New Roman"/>
                <w:sz w:val="24"/>
                <w:szCs w:val="24"/>
              </w:rPr>
              <w:t xml:space="preserve"> GI </w:t>
            </w:r>
            <w:r w:rsidR="00DB239C">
              <w:rPr>
                <w:rFonts w:ascii="Times New Roman" w:eastAsia="Times New Roman" w:hAnsi="Times New Roman"/>
                <w:sz w:val="24"/>
                <w:szCs w:val="24"/>
              </w:rPr>
              <w:t>provisions</w:t>
            </w:r>
            <w:r w:rsidRPr="00834464">
              <w:rPr>
                <w:rFonts w:ascii="Times New Roman" w:eastAsia="Times New Roman" w:hAnsi="Times New Roman"/>
                <w:sz w:val="24"/>
                <w:szCs w:val="24"/>
              </w:rPr>
              <w:t xml:space="preserve"> or GI stand-alone agreement</w:t>
            </w:r>
            <w:r w:rsidR="00DB239C">
              <w:rPr>
                <w:rFonts w:ascii="Times New Roman" w:eastAsia="Times New Roman" w:hAnsi="Times New Roman"/>
                <w:sz w:val="24"/>
                <w:szCs w:val="24"/>
              </w:rPr>
              <w:t>s</w:t>
            </w:r>
            <w:r w:rsidRPr="00834464">
              <w:rPr>
                <w:rFonts w:ascii="Times New Roman" w:eastAsia="Times New Roman" w:hAnsi="Times New Roman"/>
                <w:sz w:val="24"/>
                <w:szCs w:val="24"/>
              </w:rPr>
              <w:t xml:space="preserve"> aim at ensuring an adequate and effective high level of protection and enforcement of GI rights. They also improve the effectiveness of enforcement of </w:t>
            </w:r>
            <w:r w:rsidR="00DB239C">
              <w:rPr>
                <w:rFonts w:ascii="Times New Roman" w:eastAsia="Times New Roman" w:hAnsi="Times New Roman"/>
                <w:sz w:val="24"/>
                <w:szCs w:val="24"/>
              </w:rPr>
              <w:t>GI</w:t>
            </w:r>
            <w:r w:rsidR="00470B8A">
              <w:rPr>
                <w:rFonts w:ascii="Times New Roman" w:eastAsia="Times New Roman" w:hAnsi="Times New Roman"/>
                <w:sz w:val="24"/>
                <w:szCs w:val="24"/>
              </w:rPr>
              <w:t xml:space="preserve"> right</w:t>
            </w:r>
            <w:r w:rsidR="00DB239C">
              <w:rPr>
                <w:rFonts w:ascii="Times New Roman" w:eastAsia="Times New Roman" w:hAnsi="Times New Roman"/>
                <w:sz w:val="24"/>
                <w:szCs w:val="24"/>
              </w:rPr>
              <w:t>s</w:t>
            </w:r>
            <w:r w:rsidRPr="00834464">
              <w:rPr>
                <w:rFonts w:ascii="Times New Roman" w:eastAsia="Times New Roman" w:hAnsi="Times New Roman"/>
                <w:sz w:val="24"/>
                <w:szCs w:val="24"/>
              </w:rPr>
              <w:t xml:space="preserve">, including in the digital environment and at the border (including on exports). The agreements negotiated by the EU provide protection and effective recognition through </w:t>
            </w:r>
            <w:r w:rsidR="00D374CE">
              <w:rPr>
                <w:rFonts w:ascii="Times New Roman" w:eastAsia="Times New Roman" w:hAnsi="Times New Roman"/>
                <w:sz w:val="24"/>
                <w:szCs w:val="24"/>
              </w:rPr>
              <w:t>agreed</w:t>
            </w:r>
            <w:r w:rsidRPr="00834464">
              <w:rPr>
                <w:rFonts w:ascii="Times New Roman" w:eastAsia="Times New Roman" w:hAnsi="Times New Roman"/>
                <w:sz w:val="24"/>
                <w:szCs w:val="24"/>
              </w:rPr>
              <w:t xml:space="preserve"> list</w:t>
            </w:r>
            <w:r w:rsidR="00D374CE">
              <w:rPr>
                <w:rFonts w:ascii="Times New Roman" w:eastAsia="Times New Roman" w:hAnsi="Times New Roman"/>
                <w:sz w:val="24"/>
                <w:szCs w:val="24"/>
              </w:rPr>
              <w:t>s</w:t>
            </w:r>
            <w:r w:rsidRPr="00834464">
              <w:rPr>
                <w:rFonts w:ascii="Times New Roman" w:eastAsia="Times New Roman" w:hAnsi="Times New Roman"/>
                <w:sz w:val="24"/>
                <w:szCs w:val="24"/>
              </w:rPr>
              <w:t xml:space="preserve"> of GIs (wines, spirits, agricultural products and foodstuffs), which are effectively protected as of the date of entry into force of the agreements. The </w:t>
            </w:r>
            <w:r w:rsidR="004818F6">
              <w:rPr>
                <w:rFonts w:ascii="Times New Roman" w:eastAsia="Times New Roman" w:hAnsi="Times New Roman"/>
                <w:sz w:val="24"/>
                <w:szCs w:val="24"/>
              </w:rPr>
              <w:t xml:space="preserve">agreements also </w:t>
            </w:r>
            <w:r w:rsidRPr="00834464">
              <w:rPr>
                <w:rFonts w:ascii="Times New Roman" w:eastAsia="Times New Roman" w:hAnsi="Times New Roman"/>
                <w:sz w:val="24"/>
                <w:szCs w:val="24"/>
              </w:rPr>
              <w:t>allow</w:t>
            </w:r>
            <w:r w:rsidR="000D29F6">
              <w:rPr>
                <w:rFonts w:ascii="Times New Roman" w:eastAsia="Times New Roman" w:hAnsi="Times New Roman"/>
                <w:sz w:val="24"/>
                <w:szCs w:val="24"/>
              </w:rPr>
              <w:t>s</w:t>
            </w:r>
            <w:r w:rsidRPr="00834464">
              <w:rPr>
                <w:rFonts w:ascii="Times New Roman" w:eastAsia="Times New Roman" w:hAnsi="Times New Roman"/>
                <w:sz w:val="24"/>
                <w:szCs w:val="24"/>
              </w:rPr>
              <w:t xml:space="preserve"> for the addition of </w:t>
            </w:r>
            <w:r w:rsidR="00470B8A">
              <w:rPr>
                <w:rFonts w:ascii="Times New Roman" w:eastAsia="Times New Roman" w:hAnsi="Times New Roman"/>
                <w:sz w:val="24"/>
                <w:szCs w:val="24"/>
              </w:rPr>
              <w:t xml:space="preserve">further </w:t>
            </w:r>
            <w:r w:rsidRPr="00834464">
              <w:rPr>
                <w:rFonts w:ascii="Times New Roman" w:eastAsia="Times New Roman" w:hAnsi="Times New Roman"/>
                <w:sz w:val="24"/>
                <w:szCs w:val="24"/>
              </w:rPr>
              <w:t>GI</w:t>
            </w:r>
            <w:r w:rsidR="00470B8A">
              <w:rPr>
                <w:rFonts w:ascii="Times New Roman" w:eastAsia="Times New Roman" w:hAnsi="Times New Roman"/>
                <w:sz w:val="24"/>
                <w:szCs w:val="24"/>
              </w:rPr>
              <w:t>s</w:t>
            </w:r>
            <w:r w:rsidRPr="00834464">
              <w:rPr>
                <w:rFonts w:ascii="Times New Roman" w:eastAsia="Times New Roman" w:hAnsi="Times New Roman"/>
                <w:sz w:val="24"/>
                <w:szCs w:val="24"/>
              </w:rPr>
              <w:t xml:space="preserve"> </w:t>
            </w:r>
            <w:r w:rsidR="00470B8A">
              <w:rPr>
                <w:rFonts w:ascii="Times New Roman" w:eastAsia="Times New Roman" w:hAnsi="Times New Roman"/>
                <w:sz w:val="24"/>
                <w:szCs w:val="24"/>
              </w:rPr>
              <w:t xml:space="preserve">to </w:t>
            </w:r>
            <w:r w:rsidR="004818F6">
              <w:rPr>
                <w:rFonts w:ascii="Times New Roman" w:eastAsia="Times New Roman" w:hAnsi="Times New Roman"/>
                <w:sz w:val="24"/>
                <w:szCs w:val="24"/>
              </w:rPr>
              <w:t>the list of protected GIs after</w:t>
            </w:r>
            <w:r w:rsidRPr="00834464">
              <w:rPr>
                <w:rFonts w:ascii="Times New Roman" w:eastAsia="Times New Roman" w:hAnsi="Times New Roman"/>
                <w:sz w:val="24"/>
                <w:szCs w:val="24"/>
              </w:rPr>
              <w:t xml:space="preserve"> the agreement has taken effect. </w:t>
            </w:r>
          </w:p>
          <w:p w14:paraId="41D5ABD5" w14:textId="5C142A1B" w:rsidR="000A1F84" w:rsidRPr="00834464" w:rsidRDefault="004C3FD7"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An important priority of </w:t>
            </w:r>
            <w:r w:rsidR="000A1F84" w:rsidRPr="00834464">
              <w:rPr>
                <w:rFonts w:ascii="Times New Roman" w:eastAsia="Times New Roman" w:hAnsi="Times New Roman"/>
                <w:sz w:val="24"/>
                <w:szCs w:val="24"/>
              </w:rPr>
              <w:t xml:space="preserve">the </w:t>
            </w:r>
            <w:r w:rsidR="00011C39">
              <w:rPr>
                <w:rFonts w:ascii="Times New Roman" w:eastAsia="Times New Roman" w:hAnsi="Times New Roman"/>
                <w:sz w:val="24"/>
                <w:szCs w:val="24"/>
              </w:rPr>
              <w:t xml:space="preserve">EU </w:t>
            </w:r>
            <w:r w:rsidR="000A1F84" w:rsidRPr="00834464">
              <w:rPr>
                <w:rFonts w:ascii="Times New Roman" w:eastAsia="Times New Roman" w:hAnsi="Times New Roman"/>
                <w:sz w:val="24"/>
                <w:szCs w:val="24"/>
              </w:rPr>
              <w:t xml:space="preserve">Action Plan for the Development of Organic Production </w:t>
            </w:r>
            <w:r w:rsidRPr="00834464">
              <w:rPr>
                <w:rFonts w:ascii="Times New Roman" w:eastAsia="Times New Roman" w:hAnsi="Times New Roman"/>
                <w:sz w:val="24"/>
                <w:szCs w:val="24"/>
              </w:rPr>
              <w:t xml:space="preserve">is to raise awareness of the organic logo and the nature and benefits of organic farming and organic production. Against this background, </w:t>
            </w:r>
            <w:r w:rsidR="000A1F84" w:rsidRPr="00834464">
              <w:rPr>
                <w:rFonts w:ascii="Times New Roman" w:eastAsia="Times New Roman" w:hAnsi="Times New Roman"/>
                <w:sz w:val="24"/>
                <w:szCs w:val="24"/>
              </w:rPr>
              <w:t xml:space="preserve">the Commission launched a study in 2024 on: </w:t>
            </w:r>
            <w:r w:rsidR="007E5A8E">
              <w:rPr>
                <w:rFonts w:ascii="Times New Roman" w:eastAsia="Times New Roman" w:hAnsi="Times New Roman"/>
                <w:sz w:val="24"/>
                <w:szCs w:val="24"/>
              </w:rPr>
              <w:t>‘</w:t>
            </w:r>
            <w:r w:rsidRPr="00834464">
              <w:rPr>
                <w:rFonts w:ascii="Times New Roman" w:eastAsia="Times New Roman" w:hAnsi="Times New Roman"/>
                <w:sz w:val="24"/>
                <w:szCs w:val="24"/>
              </w:rPr>
              <w:t>Improving the place of organic products in collective catering</w:t>
            </w:r>
            <w:r w:rsidR="007E5A8E">
              <w:rPr>
                <w:rFonts w:ascii="Times New Roman" w:eastAsia="Times New Roman" w:hAnsi="Times New Roman"/>
                <w:sz w:val="24"/>
                <w:szCs w:val="24"/>
              </w:rPr>
              <w:t>’</w:t>
            </w:r>
            <w:r w:rsidR="000A1F84" w:rsidRPr="00834464">
              <w:rPr>
                <w:rFonts w:ascii="Times New Roman" w:eastAsia="Times New Roman" w:hAnsi="Times New Roman"/>
                <w:sz w:val="24"/>
                <w:szCs w:val="24"/>
              </w:rPr>
              <w:t>.</w:t>
            </w:r>
            <w:r w:rsidR="00B6639A">
              <w:rPr>
                <w:rFonts w:ascii="Times New Roman" w:eastAsia="Times New Roman" w:hAnsi="Times New Roman"/>
                <w:sz w:val="24"/>
                <w:szCs w:val="24"/>
              </w:rPr>
              <w:t xml:space="preserve"> </w:t>
            </w:r>
          </w:p>
          <w:p w14:paraId="09245812" w14:textId="641051E5" w:rsidR="004C3FD7" w:rsidRPr="00834464" w:rsidRDefault="000A1F84"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study </w:t>
            </w:r>
            <w:r w:rsidR="004C3FD7" w:rsidRPr="00834464">
              <w:rPr>
                <w:rFonts w:ascii="Times New Roman" w:eastAsia="Times New Roman" w:hAnsi="Times New Roman"/>
                <w:sz w:val="24"/>
                <w:szCs w:val="24"/>
              </w:rPr>
              <w:t>intend</w:t>
            </w:r>
            <w:r w:rsidRPr="00834464">
              <w:rPr>
                <w:rFonts w:ascii="Times New Roman" w:eastAsia="Times New Roman" w:hAnsi="Times New Roman"/>
                <w:sz w:val="24"/>
                <w:szCs w:val="24"/>
              </w:rPr>
              <w:t xml:space="preserve">s </w:t>
            </w:r>
            <w:r w:rsidR="004C3FD7" w:rsidRPr="00834464">
              <w:rPr>
                <w:rFonts w:ascii="Times New Roman" w:eastAsia="Times New Roman" w:hAnsi="Times New Roman"/>
                <w:sz w:val="24"/>
                <w:szCs w:val="24"/>
              </w:rPr>
              <w:t>to identify critical success factors and individual success stories</w:t>
            </w:r>
            <w:r w:rsidRPr="00834464">
              <w:rPr>
                <w:rFonts w:ascii="Times New Roman" w:eastAsia="Times New Roman" w:hAnsi="Times New Roman"/>
                <w:sz w:val="24"/>
                <w:szCs w:val="24"/>
              </w:rPr>
              <w:t xml:space="preserve"> for </w:t>
            </w:r>
            <w:r w:rsidR="004C3FD7" w:rsidRPr="00834464">
              <w:rPr>
                <w:rFonts w:ascii="Times New Roman" w:eastAsia="Times New Roman" w:hAnsi="Times New Roman"/>
                <w:sz w:val="24"/>
                <w:szCs w:val="24"/>
              </w:rPr>
              <w:t>increas</w:t>
            </w:r>
            <w:r w:rsidRPr="00834464">
              <w:rPr>
                <w:rFonts w:ascii="Times New Roman" w:eastAsia="Times New Roman" w:hAnsi="Times New Roman"/>
                <w:sz w:val="24"/>
                <w:szCs w:val="24"/>
              </w:rPr>
              <w:t>ing</w:t>
            </w:r>
            <w:r w:rsidR="004C3FD7" w:rsidRPr="00834464">
              <w:rPr>
                <w:rFonts w:ascii="Times New Roman" w:eastAsia="Times New Roman" w:hAnsi="Times New Roman"/>
                <w:sz w:val="24"/>
                <w:szCs w:val="24"/>
              </w:rPr>
              <w:t xml:space="preserve"> the share of organic food in public canteens and organising educational activities on the organic logo and the nature and benefits of organic farming and production in the EU-27. </w:t>
            </w:r>
          </w:p>
          <w:p w14:paraId="6244FCE4" w14:textId="0CA03C1B" w:rsidR="004C3FD7" w:rsidRPr="00834464" w:rsidRDefault="004C3FD7"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ongoing </w:t>
            </w:r>
            <w:r w:rsidR="000A1F84" w:rsidRPr="00834464">
              <w:rPr>
                <w:rFonts w:ascii="Times New Roman" w:eastAsia="Times New Roman" w:hAnsi="Times New Roman"/>
                <w:sz w:val="24"/>
                <w:szCs w:val="24"/>
              </w:rPr>
              <w:t>study will ident</w:t>
            </w:r>
            <w:r w:rsidR="00F464BA" w:rsidRPr="00834464">
              <w:rPr>
                <w:rFonts w:ascii="Times New Roman" w:eastAsia="Times New Roman" w:hAnsi="Times New Roman"/>
                <w:sz w:val="24"/>
                <w:szCs w:val="24"/>
              </w:rPr>
              <w:t>i</w:t>
            </w:r>
            <w:r w:rsidR="000A1F84" w:rsidRPr="00834464">
              <w:rPr>
                <w:rFonts w:ascii="Times New Roman" w:eastAsia="Times New Roman" w:hAnsi="Times New Roman"/>
                <w:sz w:val="24"/>
                <w:szCs w:val="24"/>
              </w:rPr>
              <w:t xml:space="preserve">fy </w:t>
            </w:r>
            <w:r w:rsidRPr="00834464">
              <w:rPr>
                <w:rFonts w:ascii="Times New Roman" w:eastAsia="Times New Roman" w:hAnsi="Times New Roman"/>
                <w:sz w:val="24"/>
                <w:szCs w:val="24"/>
              </w:rPr>
              <w:t xml:space="preserve">for each EU Member State, the current ambition and state of play at national, regional and possibly even local level as regards the share of organic food in public canteens. Furthermore, it will analyse strategies aimed at increasing the share of organic food in public canteens. The study looks into educational activities regarding organic and other types of food in primary and secondary schools. To this end it should identify all the relevant issues and parameters to be considered, the success factors and obstacles and the success stories and horizontal best practices. </w:t>
            </w:r>
          </w:p>
          <w:p w14:paraId="6BFBC51F" w14:textId="7A2E99AB" w:rsidR="352223EB" w:rsidRPr="00834464" w:rsidRDefault="000A1F84"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T</w:t>
            </w:r>
            <w:r w:rsidR="004C3FD7" w:rsidRPr="00834464">
              <w:rPr>
                <w:rFonts w:ascii="Times New Roman" w:eastAsia="Times New Roman" w:hAnsi="Times New Roman"/>
                <w:sz w:val="24"/>
                <w:szCs w:val="24"/>
              </w:rPr>
              <w:t xml:space="preserve">he delivery of the final report of this study is to be expected in </w:t>
            </w:r>
            <w:r w:rsidR="00F313E8">
              <w:rPr>
                <w:rFonts w:ascii="Times New Roman" w:eastAsia="Times New Roman" w:hAnsi="Times New Roman"/>
                <w:sz w:val="24"/>
                <w:szCs w:val="24"/>
              </w:rPr>
              <w:t xml:space="preserve">quarter </w:t>
            </w:r>
            <w:r w:rsidR="004C3FD7" w:rsidRPr="00834464">
              <w:rPr>
                <w:rFonts w:ascii="Times New Roman" w:eastAsia="Times New Roman" w:hAnsi="Times New Roman"/>
                <w:sz w:val="24"/>
                <w:szCs w:val="24"/>
              </w:rPr>
              <w:t xml:space="preserve">3 </w:t>
            </w:r>
            <w:r w:rsidR="00B6639A">
              <w:rPr>
                <w:rFonts w:ascii="Times New Roman" w:eastAsia="Times New Roman" w:hAnsi="Times New Roman"/>
                <w:sz w:val="24"/>
                <w:szCs w:val="24"/>
              </w:rPr>
              <w:t>of</w:t>
            </w:r>
            <w:r w:rsidR="00F313E8">
              <w:rPr>
                <w:rFonts w:ascii="Times New Roman" w:eastAsia="Times New Roman" w:hAnsi="Times New Roman"/>
                <w:sz w:val="24"/>
                <w:szCs w:val="24"/>
              </w:rPr>
              <w:t xml:space="preserve"> </w:t>
            </w:r>
            <w:r w:rsidR="004C3FD7" w:rsidRPr="00834464">
              <w:rPr>
                <w:rFonts w:ascii="Times New Roman" w:eastAsia="Times New Roman" w:hAnsi="Times New Roman"/>
                <w:sz w:val="24"/>
                <w:szCs w:val="24"/>
              </w:rPr>
              <w:t>2026.</w:t>
            </w:r>
            <w:r w:rsidR="00884C6B">
              <w:rPr>
                <w:rFonts w:ascii="Times New Roman" w:eastAsia="Times New Roman" w:hAnsi="Times New Roman"/>
                <w:sz w:val="24"/>
                <w:szCs w:val="24"/>
              </w:rPr>
              <w:t xml:space="preserve"> </w:t>
            </w:r>
          </w:p>
          <w:p w14:paraId="67DA401D" w14:textId="187A7E38" w:rsidR="00292D1A" w:rsidRPr="00834464" w:rsidRDefault="00292D1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beneficial role of Sustainable Food Public Procurement is also recognised in the Vision for Agriculture and Food. </w:t>
            </w:r>
          </w:p>
          <w:p w14:paraId="323FBB79" w14:textId="77777777" w:rsidR="00292D1A" w:rsidRPr="00834464" w:rsidRDefault="00292D1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Among the key actions proposed, the Vision for Agriculture and Food emphasises the strengthening of public procurement policies to support sustainability objectives and to foster vibrant rural economies. It announces a legal proposal that would empower contracting authorities to pursue a “best value” approach over the lowest price alone, to reward quality and sustainability efforts made by European farmers, food industry and services, and provide opportunities for small and medium-sized enterprises (‘SMEs’) to participate in such activities. </w:t>
            </w:r>
          </w:p>
          <w:p w14:paraId="52DF9CE5" w14:textId="1C52E528" w:rsidR="00292D1A" w:rsidRPr="00834464" w:rsidRDefault="00292D1A"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Vision for Agriculture and Food underscores the role of public procurement as a means to </w:t>
            </w:r>
            <w:r w:rsidRPr="00834464">
              <w:rPr>
                <w:rFonts w:ascii="Times New Roman" w:eastAsia="Times New Roman" w:hAnsi="Times New Roman"/>
                <w:sz w:val="24"/>
                <w:szCs w:val="24"/>
              </w:rPr>
              <w:lastRenderedPageBreak/>
              <w:t xml:space="preserve">provide the right incentives </w:t>
            </w:r>
            <w:r w:rsidR="00F14E88">
              <w:rPr>
                <w:rFonts w:ascii="Times New Roman" w:eastAsia="Times New Roman" w:hAnsi="Times New Roman"/>
                <w:sz w:val="24"/>
                <w:szCs w:val="24"/>
              </w:rPr>
              <w:t>‘</w:t>
            </w:r>
            <w:r w:rsidRPr="00834464">
              <w:rPr>
                <w:rFonts w:ascii="Times New Roman" w:eastAsia="Times New Roman" w:hAnsi="Times New Roman"/>
                <w:sz w:val="24"/>
                <w:szCs w:val="24"/>
              </w:rPr>
              <w:t>to promote the consumption of local, seasonal products, and food produced with high environmental and social standards, including organic products and food originating from shorter supply chains.</w:t>
            </w:r>
            <w:r w:rsidR="00F14E88">
              <w:rPr>
                <w:rFonts w:ascii="Times New Roman" w:eastAsia="Times New Roman" w:hAnsi="Times New Roman"/>
                <w:sz w:val="24"/>
                <w:szCs w:val="24"/>
              </w:rPr>
              <w:t>’</w:t>
            </w:r>
            <w:r w:rsidRPr="00834464">
              <w:rPr>
                <w:rFonts w:ascii="Times New Roman" w:eastAsia="Times New Roman" w:hAnsi="Times New Roman"/>
                <w:sz w:val="24"/>
                <w:szCs w:val="24"/>
              </w:rPr>
              <w:t xml:space="preserve"> </w:t>
            </w:r>
          </w:p>
          <w:p w14:paraId="149E81E7" w14:textId="19F0B68B" w:rsidR="004111A1" w:rsidRPr="00834464" w:rsidRDefault="004111A1" w:rsidP="004111A1">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In this process, the Commission will therefore carefully consider </w:t>
            </w:r>
            <w:r>
              <w:rPr>
                <w:rFonts w:ascii="Times New Roman" w:eastAsia="Times New Roman" w:hAnsi="Times New Roman"/>
                <w:sz w:val="24"/>
                <w:szCs w:val="24"/>
              </w:rPr>
              <w:t xml:space="preserve">how to increase the opportunities for </w:t>
            </w:r>
            <w:r w:rsidRPr="00834464">
              <w:rPr>
                <w:rFonts w:ascii="Times New Roman" w:eastAsia="Times New Roman" w:hAnsi="Times New Roman"/>
                <w:sz w:val="24"/>
                <w:szCs w:val="24"/>
              </w:rPr>
              <w:t>organic products in public procurement</w:t>
            </w:r>
            <w:r>
              <w:rPr>
                <w:rFonts w:ascii="Times New Roman" w:eastAsia="Times New Roman" w:hAnsi="Times New Roman"/>
                <w:sz w:val="24"/>
                <w:szCs w:val="24"/>
              </w:rPr>
              <w:t xml:space="preserve"> to further stimulate the demand</w:t>
            </w:r>
            <w:r>
              <w:rPr>
                <w:rStyle w:val="FootnoteReference"/>
                <w:rFonts w:ascii="Times New Roman" w:eastAsia="Times New Roman" w:hAnsi="Times New Roman"/>
                <w:sz w:val="24"/>
                <w:szCs w:val="24"/>
              </w:rPr>
              <w:footnoteReference w:id="5"/>
            </w:r>
            <w:r w:rsidRPr="00834464">
              <w:rPr>
                <w:rFonts w:ascii="Times New Roman" w:eastAsia="Times New Roman" w:hAnsi="Times New Roman"/>
                <w:sz w:val="24"/>
                <w:szCs w:val="24"/>
              </w:rPr>
              <w:t xml:space="preserve">. </w:t>
            </w:r>
          </w:p>
          <w:p w14:paraId="06EDD766" w14:textId="6F3CC125" w:rsidR="00103C75" w:rsidRPr="00834464" w:rsidRDefault="00D0691A" w:rsidP="00B568F2">
            <w:pPr>
              <w:widowControl w:val="0"/>
              <w:spacing w:before="120" w:after="120"/>
              <w:jc w:val="both"/>
              <w:rPr>
                <w:rFonts w:ascii="Times New Roman" w:eastAsia="Times New Roman" w:hAnsi="Times New Roman"/>
                <w:sz w:val="24"/>
                <w:szCs w:val="24"/>
              </w:rPr>
            </w:pPr>
            <w:r w:rsidRPr="00282929">
              <w:rPr>
                <w:rFonts w:ascii="Times New Roman" w:eastAsia="Times New Roman" w:hAnsi="Times New Roman"/>
                <w:sz w:val="24"/>
                <w:szCs w:val="24"/>
              </w:rPr>
              <w:t xml:space="preserve">EU funded </w:t>
            </w:r>
            <w:r w:rsidR="00103C75" w:rsidRPr="00282929">
              <w:rPr>
                <w:rFonts w:ascii="Times New Roman" w:eastAsia="Times New Roman" w:hAnsi="Times New Roman"/>
                <w:sz w:val="24"/>
                <w:szCs w:val="24"/>
              </w:rPr>
              <w:t xml:space="preserve">Research and </w:t>
            </w:r>
            <w:r w:rsidR="00990A58" w:rsidRPr="00282929">
              <w:rPr>
                <w:rFonts w:ascii="Times New Roman" w:eastAsia="Times New Roman" w:hAnsi="Times New Roman"/>
                <w:sz w:val="24"/>
                <w:szCs w:val="24"/>
              </w:rPr>
              <w:t>I</w:t>
            </w:r>
            <w:r w:rsidR="00103C75" w:rsidRPr="00282929">
              <w:rPr>
                <w:rFonts w:ascii="Times New Roman" w:eastAsia="Times New Roman" w:hAnsi="Times New Roman"/>
                <w:sz w:val="24"/>
                <w:szCs w:val="24"/>
              </w:rPr>
              <w:t>nnovation</w:t>
            </w:r>
            <w:r w:rsidR="00990A58" w:rsidRPr="00282929">
              <w:rPr>
                <w:rFonts w:ascii="Times New Roman" w:eastAsia="Times New Roman" w:hAnsi="Times New Roman"/>
                <w:sz w:val="24"/>
                <w:szCs w:val="24"/>
                <w:vertAlign w:val="superscript"/>
              </w:rPr>
              <w:footnoteReference w:id="6"/>
            </w:r>
            <w:r w:rsidR="00103C75" w:rsidRPr="00834464">
              <w:rPr>
                <w:rFonts w:ascii="Times New Roman" w:eastAsia="Times New Roman" w:hAnsi="Times New Roman"/>
                <w:sz w:val="24"/>
                <w:szCs w:val="24"/>
              </w:rPr>
              <w:t xml:space="preserve"> also play a</w:t>
            </w:r>
            <w:r w:rsidR="00701D04" w:rsidRPr="00834464">
              <w:rPr>
                <w:rFonts w:ascii="Times New Roman" w:eastAsia="Times New Roman" w:hAnsi="Times New Roman"/>
                <w:sz w:val="24"/>
                <w:szCs w:val="24"/>
              </w:rPr>
              <w:t xml:space="preserve">n important role </w:t>
            </w:r>
            <w:r w:rsidR="00C84925" w:rsidRPr="00834464">
              <w:rPr>
                <w:rFonts w:ascii="Times New Roman" w:eastAsia="Times New Roman" w:hAnsi="Times New Roman"/>
                <w:sz w:val="24"/>
                <w:szCs w:val="24"/>
              </w:rPr>
              <w:t xml:space="preserve">in promoting </w:t>
            </w:r>
            <w:r w:rsidR="000406EA" w:rsidRPr="00834464">
              <w:rPr>
                <w:rFonts w:ascii="Times New Roman" w:eastAsia="Times New Roman" w:hAnsi="Times New Roman"/>
                <w:sz w:val="24"/>
                <w:szCs w:val="24"/>
              </w:rPr>
              <w:t>the consumption of</w:t>
            </w:r>
            <w:r w:rsidR="00E841AA" w:rsidRPr="00834464">
              <w:rPr>
                <w:rFonts w:ascii="Times New Roman" w:eastAsia="Times New Roman" w:hAnsi="Times New Roman"/>
                <w:sz w:val="24"/>
                <w:szCs w:val="24"/>
              </w:rPr>
              <w:t xml:space="preserve"> Organic and</w:t>
            </w:r>
            <w:r w:rsidR="000406EA" w:rsidRPr="00834464">
              <w:rPr>
                <w:rFonts w:ascii="Times New Roman" w:eastAsia="Times New Roman" w:hAnsi="Times New Roman"/>
                <w:sz w:val="24"/>
                <w:szCs w:val="24"/>
              </w:rPr>
              <w:t xml:space="preserve"> </w:t>
            </w:r>
            <w:r w:rsidR="00E841AA" w:rsidRPr="00834464">
              <w:rPr>
                <w:rFonts w:ascii="Times New Roman" w:eastAsia="Times New Roman" w:hAnsi="Times New Roman"/>
                <w:sz w:val="24"/>
                <w:szCs w:val="24"/>
              </w:rPr>
              <w:t xml:space="preserve">Geographical Indication products. </w:t>
            </w:r>
          </w:p>
          <w:p w14:paraId="19CEE934" w14:textId="2956603A" w:rsidR="00307230" w:rsidRPr="00834464" w:rsidRDefault="009A4328" w:rsidP="00B568F2">
            <w:pPr>
              <w:widowControl w:val="0"/>
              <w:spacing w:before="120" w:after="120"/>
              <w:jc w:val="both"/>
              <w:rPr>
                <w:rFonts w:ascii="Times New Roman" w:eastAsia="Times New Roman" w:hAnsi="Times New Roman"/>
                <w:sz w:val="24"/>
                <w:szCs w:val="24"/>
              </w:rPr>
            </w:pPr>
            <w:r w:rsidRPr="00834464">
              <w:rPr>
                <w:rFonts w:ascii="Times New Roman" w:eastAsia="Times New Roman" w:hAnsi="Times New Roman"/>
                <w:sz w:val="24"/>
                <w:szCs w:val="24"/>
              </w:rPr>
              <w:t xml:space="preserve">The </w:t>
            </w:r>
            <w:r w:rsidR="00906285" w:rsidRPr="00834464">
              <w:rPr>
                <w:rFonts w:ascii="Times New Roman" w:eastAsia="Times New Roman" w:hAnsi="Times New Roman"/>
                <w:sz w:val="24"/>
                <w:szCs w:val="24"/>
              </w:rPr>
              <w:t>ALLIANCE project</w:t>
            </w:r>
            <w:r w:rsidR="006374C2">
              <w:rPr>
                <w:rStyle w:val="FootnoteReference"/>
                <w:rFonts w:ascii="Times New Roman" w:eastAsia="Times New Roman" w:hAnsi="Times New Roman"/>
                <w:sz w:val="24"/>
                <w:szCs w:val="24"/>
              </w:rPr>
              <w:footnoteReference w:id="7"/>
            </w:r>
            <w:r w:rsidR="00906285" w:rsidRPr="00834464">
              <w:rPr>
                <w:rFonts w:ascii="Times New Roman" w:eastAsia="Times New Roman" w:hAnsi="Times New Roman"/>
                <w:sz w:val="24"/>
                <w:szCs w:val="24"/>
              </w:rPr>
              <w:t xml:space="preserve"> aims to provide operational tools to enhance traceability and transparency in </w:t>
            </w:r>
            <w:r w:rsidR="005842E4" w:rsidRPr="00834464">
              <w:rPr>
                <w:rFonts w:ascii="Times New Roman" w:eastAsia="Times New Roman" w:hAnsi="Times New Roman"/>
                <w:sz w:val="24"/>
                <w:szCs w:val="24"/>
              </w:rPr>
              <w:t xml:space="preserve">the </w:t>
            </w:r>
            <w:r w:rsidR="00530B4D" w:rsidRPr="00834464">
              <w:rPr>
                <w:rFonts w:ascii="Times New Roman" w:eastAsia="Times New Roman" w:hAnsi="Times New Roman"/>
                <w:sz w:val="24"/>
                <w:szCs w:val="24"/>
              </w:rPr>
              <w:t>organic and geographical indication</w:t>
            </w:r>
            <w:r w:rsidR="00906285" w:rsidRPr="00834464">
              <w:rPr>
                <w:rFonts w:ascii="Times New Roman" w:eastAsia="Times New Roman" w:hAnsi="Times New Roman"/>
                <w:sz w:val="24"/>
                <w:szCs w:val="24"/>
              </w:rPr>
              <w:t xml:space="preserve"> food supply chain</w:t>
            </w:r>
            <w:r w:rsidR="00530B4D" w:rsidRPr="00834464">
              <w:rPr>
                <w:rFonts w:ascii="Times New Roman" w:eastAsia="Times New Roman" w:hAnsi="Times New Roman"/>
                <w:sz w:val="24"/>
                <w:szCs w:val="24"/>
              </w:rPr>
              <w:t>s</w:t>
            </w:r>
            <w:r w:rsidR="008A6DB2" w:rsidRPr="00834464">
              <w:rPr>
                <w:rFonts w:ascii="Times New Roman" w:eastAsia="Times New Roman" w:hAnsi="Times New Roman"/>
                <w:sz w:val="24"/>
                <w:szCs w:val="24"/>
              </w:rPr>
              <w:t>.</w:t>
            </w:r>
            <w:r w:rsidR="001C32BE">
              <w:rPr>
                <w:rFonts w:ascii="Times New Roman" w:eastAsia="Times New Roman" w:hAnsi="Times New Roman"/>
                <w:sz w:val="24"/>
                <w:szCs w:val="24"/>
              </w:rPr>
              <w:t xml:space="preserve"> </w:t>
            </w:r>
            <w:hyperlink r:id="rId8" w:history="1">
              <w:r w:rsidR="00307230" w:rsidRPr="00834464">
                <w:rPr>
                  <w:rFonts w:ascii="Times New Roman" w:eastAsia="Times New Roman" w:hAnsi="Times New Roman"/>
                  <w:sz w:val="24"/>
                  <w:szCs w:val="24"/>
                </w:rPr>
                <w:t>GI Smart</w:t>
              </w:r>
            </w:hyperlink>
            <w:r w:rsidR="00307230" w:rsidRPr="00834464">
              <w:rPr>
                <w:rFonts w:ascii="Times New Roman" w:eastAsia="Times New Roman" w:hAnsi="Times New Roman"/>
                <w:sz w:val="24"/>
                <w:szCs w:val="24"/>
              </w:rPr>
              <w:t xml:space="preserve"> aims to support EU registered Geographical Indications in achieving better recognition and improved implementation of their sustainability benefits</w:t>
            </w:r>
            <w:r w:rsidR="008A6DB2" w:rsidRPr="00834464">
              <w:rPr>
                <w:rFonts w:ascii="Times New Roman" w:eastAsia="Times New Roman" w:hAnsi="Times New Roman"/>
                <w:sz w:val="24"/>
                <w:szCs w:val="24"/>
              </w:rPr>
              <w:t>.</w:t>
            </w:r>
            <w:r w:rsidR="008408E4">
              <w:rPr>
                <w:rFonts w:ascii="Times New Roman" w:eastAsia="Times New Roman" w:hAnsi="Times New Roman"/>
                <w:sz w:val="24"/>
                <w:szCs w:val="24"/>
              </w:rPr>
              <w:t xml:space="preserve"> </w:t>
            </w:r>
          </w:p>
          <w:p w14:paraId="41ADDDA4" w14:textId="25215FFA" w:rsidR="004F6117" w:rsidRPr="00834464" w:rsidRDefault="008A6DB2" w:rsidP="00B568F2">
            <w:pPr>
              <w:widowControl w:val="0"/>
              <w:spacing w:before="120" w:after="120"/>
              <w:jc w:val="both"/>
              <w:rPr>
                <w:rFonts w:ascii="Times New Roman" w:eastAsia="Times New Roman" w:hAnsi="Times New Roman"/>
                <w:sz w:val="24"/>
                <w:szCs w:val="24"/>
              </w:rPr>
            </w:pPr>
            <w:hyperlink r:id="rId9" w:history="1">
              <w:proofErr w:type="spellStart"/>
              <w:r w:rsidRPr="00834464">
                <w:rPr>
                  <w:rFonts w:ascii="Times New Roman" w:eastAsia="Times New Roman" w:hAnsi="Times New Roman"/>
                  <w:sz w:val="24"/>
                  <w:szCs w:val="24"/>
                </w:rPr>
                <w:t>WinnOrganic</w:t>
              </w:r>
              <w:proofErr w:type="spellEnd"/>
            </w:hyperlink>
            <w:r w:rsidR="006374C2">
              <w:rPr>
                <w:rStyle w:val="FootnoteReference"/>
              </w:rPr>
              <w:footnoteReference w:id="8"/>
            </w:r>
            <w:r w:rsidRPr="00834464">
              <w:rPr>
                <w:rFonts w:ascii="Times New Roman" w:eastAsia="Times New Roman" w:hAnsi="Times New Roman"/>
                <w:sz w:val="24"/>
                <w:szCs w:val="24"/>
              </w:rPr>
              <w:t xml:space="preserve"> and </w:t>
            </w:r>
            <w:hyperlink r:id="rId10" w:history="1">
              <w:proofErr w:type="spellStart"/>
              <w:r w:rsidR="00555BE3" w:rsidRPr="00834464">
                <w:rPr>
                  <w:rFonts w:ascii="Times New Roman" w:eastAsia="Times New Roman" w:hAnsi="Times New Roman"/>
                  <w:sz w:val="24"/>
                  <w:szCs w:val="24"/>
                </w:rPr>
                <w:t>InnoFoodLabs</w:t>
              </w:r>
              <w:proofErr w:type="spellEnd"/>
            </w:hyperlink>
            <w:r w:rsidR="006374C2">
              <w:rPr>
                <w:rStyle w:val="FootnoteReference"/>
              </w:rPr>
              <w:footnoteReference w:id="9"/>
            </w:r>
            <w:r w:rsidR="00555BE3" w:rsidRPr="00834464">
              <w:rPr>
                <w:rFonts w:ascii="Times New Roman" w:eastAsia="Times New Roman" w:hAnsi="Times New Roman"/>
                <w:sz w:val="24"/>
                <w:szCs w:val="24"/>
              </w:rPr>
              <w:t xml:space="preserve"> projects, will</w:t>
            </w:r>
            <w:r w:rsidR="00CF0C67" w:rsidRPr="00834464">
              <w:rPr>
                <w:rFonts w:ascii="Times New Roman" w:eastAsia="Times New Roman" w:hAnsi="Times New Roman"/>
                <w:sz w:val="24"/>
                <w:szCs w:val="24"/>
              </w:rPr>
              <w:t xml:space="preserve"> propose innovative supply and distribution models and short trade circuits for organic products </w:t>
            </w:r>
            <w:r w:rsidR="00616589" w:rsidRPr="00834464">
              <w:rPr>
                <w:rFonts w:ascii="Times New Roman" w:eastAsia="Times New Roman" w:hAnsi="Times New Roman"/>
                <w:sz w:val="24"/>
                <w:szCs w:val="24"/>
              </w:rPr>
              <w:t>favouring</w:t>
            </w:r>
            <w:r w:rsidR="00CF0C67" w:rsidRPr="00834464">
              <w:rPr>
                <w:rFonts w:ascii="Times New Roman" w:eastAsia="Times New Roman" w:hAnsi="Times New Roman"/>
                <w:sz w:val="24"/>
                <w:szCs w:val="24"/>
              </w:rPr>
              <w:t xml:space="preserve"> better market penetration of organic products. </w:t>
            </w:r>
          </w:p>
        </w:tc>
      </w:tr>
    </w:tbl>
    <w:p w14:paraId="6AF07B14" w14:textId="26AEAB66" w:rsidR="004F6117" w:rsidRPr="00B568F2" w:rsidRDefault="004F6117" w:rsidP="00834464">
      <w:pPr>
        <w:spacing w:before="120" w:after="120"/>
        <w:rPr>
          <w:rFonts w:ascii="Times New Roman" w:hAnsi="Times New Roman"/>
          <w:b/>
          <w:strike/>
          <w:sz w:val="2"/>
          <w:szCs w:val="2"/>
          <w:u w:val="single"/>
        </w:rPr>
      </w:pPr>
    </w:p>
    <w:sectPr w:rsidR="004F6117" w:rsidRPr="00B568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D1FC" w14:textId="77777777" w:rsidR="00730B3F" w:rsidRPr="00F464BA" w:rsidRDefault="00730B3F" w:rsidP="00FF63EA">
      <w:pPr>
        <w:spacing w:after="0" w:line="240" w:lineRule="auto"/>
      </w:pPr>
      <w:r w:rsidRPr="00F464BA">
        <w:separator/>
      </w:r>
    </w:p>
  </w:endnote>
  <w:endnote w:type="continuationSeparator" w:id="0">
    <w:p w14:paraId="6E2BB3F7" w14:textId="77777777" w:rsidR="00730B3F" w:rsidRPr="00F464BA" w:rsidRDefault="00730B3F" w:rsidP="00FF63EA">
      <w:pPr>
        <w:spacing w:after="0" w:line="240" w:lineRule="auto"/>
      </w:pPr>
      <w:r w:rsidRPr="00F464BA">
        <w:continuationSeparator/>
      </w:r>
    </w:p>
  </w:endnote>
  <w:endnote w:type="continuationNotice" w:id="1">
    <w:p w14:paraId="35E02BA1" w14:textId="77777777" w:rsidR="00730B3F" w:rsidRPr="00F464BA" w:rsidRDefault="00730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6DF7" w14:textId="77777777" w:rsidR="00730B3F" w:rsidRPr="00F464BA" w:rsidRDefault="00730B3F" w:rsidP="00FF63EA">
      <w:pPr>
        <w:spacing w:after="0" w:line="240" w:lineRule="auto"/>
      </w:pPr>
      <w:r w:rsidRPr="00F464BA">
        <w:separator/>
      </w:r>
    </w:p>
  </w:footnote>
  <w:footnote w:type="continuationSeparator" w:id="0">
    <w:p w14:paraId="74FD2C2E" w14:textId="77777777" w:rsidR="00730B3F" w:rsidRPr="00F464BA" w:rsidRDefault="00730B3F" w:rsidP="00FF63EA">
      <w:pPr>
        <w:spacing w:after="0" w:line="240" w:lineRule="auto"/>
      </w:pPr>
      <w:r w:rsidRPr="00F464BA">
        <w:continuationSeparator/>
      </w:r>
    </w:p>
  </w:footnote>
  <w:footnote w:type="continuationNotice" w:id="1">
    <w:p w14:paraId="7ED8737E" w14:textId="77777777" w:rsidR="00730B3F" w:rsidRPr="00F464BA" w:rsidRDefault="00730B3F">
      <w:pPr>
        <w:spacing w:after="0" w:line="240" w:lineRule="auto"/>
      </w:pPr>
    </w:p>
  </w:footnote>
  <w:footnote w:id="2">
    <w:p w14:paraId="3BFEDB58" w14:textId="02425737" w:rsidR="008B4D5A" w:rsidRPr="00282929" w:rsidRDefault="008B4D5A" w:rsidP="00282929">
      <w:pPr>
        <w:pStyle w:val="FootnoteText"/>
        <w:widowControl w:val="0"/>
        <w:spacing w:after="0" w:line="240" w:lineRule="auto"/>
        <w:ind w:left="142" w:hanging="284"/>
        <w:jc w:val="both"/>
        <w:rPr>
          <w:rFonts w:ascii="Times New Roman" w:hAnsi="Times New Roman"/>
          <w:lang w:val="fr-BE"/>
        </w:rPr>
      </w:pPr>
      <w:r w:rsidRPr="00282929">
        <w:rPr>
          <w:rStyle w:val="FootnoteReference"/>
          <w:rFonts w:ascii="Times New Roman" w:hAnsi="Times New Roman"/>
        </w:rPr>
        <w:footnoteRef/>
      </w:r>
      <w:r w:rsidRPr="00282929">
        <w:rPr>
          <w:rFonts w:ascii="Times New Roman" w:hAnsi="Times New Roman"/>
          <w:lang w:val="fr-BE"/>
        </w:rPr>
        <w:t xml:space="preserve"> </w:t>
      </w:r>
      <w:r w:rsidRPr="00282929">
        <w:rPr>
          <w:rFonts w:ascii="Times New Roman" w:hAnsi="Times New Roman"/>
          <w:lang w:val="fr-BE"/>
        </w:rPr>
        <w:tab/>
        <w:t>COM</w:t>
      </w:r>
      <w:r w:rsidR="00F14E88">
        <w:rPr>
          <w:rFonts w:ascii="Times New Roman" w:hAnsi="Times New Roman"/>
          <w:lang w:val="fr-BE"/>
        </w:rPr>
        <w:t>(</w:t>
      </w:r>
      <w:r w:rsidRPr="00282929">
        <w:rPr>
          <w:rFonts w:ascii="Times New Roman" w:hAnsi="Times New Roman"/>
          <w:lang w:val="fr-BE"/>
        </w:rPr>
        <w:t>2021</w:t>
      </w:r>
      <w:r w:rsidR="00F14E88">
        <w:rPr>
          <w:rFonts w:ascii="Times New Roman" w:hAnsi="Times New Roman"/>
          <w:lang w:val="fr-BE"/>
        </w:rPr>
        <w:t xml:space="preserve">) </w:t>
      </w:r>
      <w:r w:rsidRPr="00282929">
        <w:rPr>
          <w:rFonts w:ascii="Times New Roman" w:hAnsi="Times New Roman"/>
          <w:lang w:val="fr-BE"/>
        </w:rPr>
        <w:t>141 final (</w:t>
      </w:r>
      <w:hyperlink r:id="rId1" w:history="1">
        <w:r w:rsidRPr="00282929">
          <w:rPr>
            <w:rStyle w:val="Hyperlink"/>
            <w:rFonts w:ascii="Times New Roman" w:hAnsi="Times New Roman"/>
            <w:lang w:val="fr-BE"/>
          </w:rPr>
          <w:t>EUR-Lex - 52021DC0141 - EN - EUR-Lex</w:t>
        </w:r>
      </w:hyperlink>
      <w:r w:rsidRPr="00282929">
        <w:rPr>
          <w:rFonts w:ascii="Times New Roman" w:hAnsi="Times New Roman"/>
          <w:lang w:val="fr-BE"/>
        </w:rPr>
        <w:t>).</w:t>
      </w:r>
    </w:p>
  </w:footnote>
  <w:footnote w:id="3">
    <w:p w14:paraId="303FBB8B" w14:textId="6C29899D" w:rsidR="008B4D5A" w:rsidRPr="00282929" w:rsidRDefault="008B4D5A" w:rsidP="00282929">
      <w:pPr>
        <w:pStyle w:val="FootnoteText"/>
        <w:widowControl w:val="0"/>
        <w:spacing w:after="0" w:line="240" w:lineRule="auto"/>
        <w:ind w:left="142" w:hanging="284"/>
        <w:jc w:val="both"/>
        <w:rPr>
          <w:rFonts w:ascii="Times New Roman" w:hAnsi="Times New Roman"/>
          <w:lang w:val="fr-BE"/>
        </w:rPr>
      </w:pPr>
      <w:r w:rsidRPr="00282929">
        <w:rPr>
          <w:rStyle w:val="FootnoteReference"/>
          <w:rFonts w:ascii="Times New Roman" w:hAnsi="Times New Roman"/>
        </w:rPr>
        <w:footnoteRef/>
      </w:r>
      <w:r w:rsidRPr="00282929">
        <w:rPr>
          <w:rFonts w:ascii="Times New Roman" w:hAnsi="Times New Roman"/>
          <w:lang w:val="fr-BE"/>
        </w:rPr>
        <w:t xml:space="preserve"> </w:t>
      </w:r>
      <w:r w:rsidRPr="00282929">
        <w:rPr>
          <w:rFonts w:ascii="Times New Roman" w:hAnsi="Times New Roman"/>
          <w:lang w:val="fr-BE"/>
        </w:rPr>
        <w:tab/>
        <w:t>COM(2021) 236 final (</w:t>
      </w:r>
      <w:hyperlink r:id="rId2" w:history="1">
        <w:r w:rsidRPr="00282929">
          <w:rPr>
            <w:rStyle w:val="Hyperlink"/>
            <w:rFonts w:ascii="Times New Roman" w:hAnsi="Times New Roman"/>
            <w:lang w:val="fr-BE"/>
          </w:rPr>
          <w:t>EUR-Lex - 52021DC0236 - EN - EUR-Lex</w:t>
        </w:r>
      </w:hyperlink>
      <w:r w:rsidRPr="00282929">
        <w:rPr>
          <w:rFonts w:ascii="Times New Roman" w:hAnsi="Times New Roman"/>
          <w:lang w:val="fr-BE"/>
        </w:rPr>
        <w:t>).</w:t>
      </w:r>
    </w:p>
  </w:footnote>
  <w:footnote w:id="4">
    <w:p w14:paraId="6D5D3962" w14:textId="461878FA" w:rsidR="00160928" w:rsidRPr="00282929" w:rsidRDefault="00160928">
      <w:pPr>
        <w:pStyle w:val="FootnoteText"/>
        <w:rPr>
          <w:rFonts w:ascii="Times New Roman" w:hAnsi="Times New Roman"/>
          <w:lang w:val="fr-BE"/>
        </w:rPr>
      </w:pPr>
      <w:r w:rsidRPr="00282929">
        <w:rPr>
          <w:rStyle w:val="FootnoteReference"/>
          <w:rFonts w:ascii="Times New Roman" w:hAnsi="Times New Roman"/>
        </w:rPr>
        <w:footnoteRef/>
      </w:r>
      <w:r w:rsidRPr="00282929">
        <w:rPr>
          <w:rFonts w:ascii="Times New Roman" w:hAnsi="Times New Roman"/>
          <w:lang w:val="fr-BE"/>
        </w:rPr>
        <w:t xml:space="preserve"> </w:t>
      </w:r>
      <w:r w:rsidRPr="00282929">
        <w:rPr>
          <w:rFonts w:ascii="Times New Roman" w:hAnsi="Times New Roman"/>
          <w:lang w:val="fr-BE"/>
        </w:rPr>
        <w:tab/>
      </w:r>
      <w:hyperlink r:id="rId3" w:tooltip="Gives access to this document through its ELI URI." w:history="1">
        <w:r w:rsidR="00F14E88" w:rsidRPr="003F2A61">
          <w:rPr>
            <w:rStyle w:val="Hyperlink"/>
            <w:rFonts w:ascii="Times New Roman" w:hAnsi="Times New Roman"/>
            <w:lang w:val="fr-BE"/>
          </w:rPr>
          <w:t>http://data.europa.eu/eli/reg/2024/1143/oj</w:t>
        </w:r>
      </w:hyperlink>
      <w:r w:rsidR="00F14E88">
        <w:rPr>
          <w:rFonts w:ascii="Times New Roman" w:hAnsi="Times New Roman"/>
          <w:lang w:val="fr-BE"/>
        </w:rPr>
        <w:t>.</w:t>
      </w:r>
    </w:p>
  </w:footnote>
  <w:footnote w:id="5">
    <w:p w14:paraId="1FEA3A89" w14:textId="77777777" w:rsidR="004111A1" w:rsidRPr="0086333B" w:rsidRDefault="004111A1" w:rsidP="004111A1">
      <w:pPr>
        <w:pStyle w:val="FootnoteText"/>
        <w:widowControl w:val="0"/>
        <w:spacing w:after="0" w:line="240" w:lineRule="auto"/>
        <w:ind w:left="142" w:hanging="284"/>
        <w:jc w:val="both"/>
        <w:rPr>
          <w:rFonts w:ascii="Times New Roman" w:hAnsi="Times New Roman"/>
        </w:rPr>
      </w:pPr>
      <w:r w:rsidRPr="0086333B">
        <w:rPr>
          <w:rStyle w:val="FootnoteReference"/>
          <w:rFonts w:ascii="Times New Roman" w:hAnsi="Times New Roman"/>
        </w:rPr>
        <w:footnoteRef/>
      </w:r>
      <w:r w:rsidRPr="0086333B">
        <w:rPr>
          <w:rFonts w:ascii="Times New Roman" w:hAnsi="Times New Roman"/>
        </w:rPr>
        <w:t xml:space="preserve"> </w:t>
      </w:r>
      <w:r w:rsidRPr="0086333B">
        <w:rPr>
          <w:rFonts w:ascii="Times New Roman" w:hAnsi="Times New Roman"/>
        </w:rPr>
        <w:tab/>
        <w:t>Directive 2014/24/EU of the European Parliament and of the Council of 26 February 2014 on public procurement and repealing Directive 2004/18/EC (</w:t>
      </w:r>
      <w:hyperlink r:id="rId4" w:tooltip="Gives access to this document through its ELI URI." w:history="1">
        <w:r w:rsidRPr="0086333B">
          <w:rPr>
            <w:rStyle w:val="Hyperlink"/>
            <w:rFonts w:ascii="Times New Roman" w:hAnsi="Times New Roman"/>
            <w:u w:val="none"/>
          </w:rPr>
          <w:t>http://data.europa.eu/eli/dir/2014/24/oj</w:t>
        </w:r>
      </w:hyperlink>
      <w:r w:rsidRPr="0086333B">
        <w:rPr>
          <w:rFonts w:ascii="Times New Roman" w:hAnsi="Times New Roman"/>
        </w:rPr>
        <w:t>).</w:t>
      </w:r>
    </w:p>
  </w:footnote>
  <w:footnote w:id="6">
    <w:p w14:paraId="7A8B25A6" w14:textId="450C7AB0" w:rsidR="00990A58" w:rsidRPr="0086333B" w:rsidRDefault="00990A58" w:rsidP="00282929">
      <w:pPr>
        <w:pStyle w:val="FootnoteText"/>
        <w:widowControl w:val="0"/>
        <w:spacing w:after="0" w:line="240" w:lineRule="auto"/>
        <w:ind w:left="142" w:hanging="284"/>
        <w:jc w:val="both"/>
        <w:rPr>
          <w:rFonts w:ascii="Times New Roman" w:hAnsi="Times New Roman"/>
        </w:rPr>
      </w:pPr>
      <w:r w:rsidRPr="0086333B">
        <w:rPr>
          <w:rStyle w:val="FootnoteReference"/>
          <w:rFonts w:ascii="Times New Roman" w:hAnsi="Times New Roman"/>
        </w:rPr>
        <w:footnoteRef/>
      </w:r>
      <w:r w:rsidRPr="0086333B">
        <w:rPr>
          <w:rFonts w:ascii="Times New Roman" w:hAnsi="Times New Roman"/>
        </w:rPr>
        <w:t xml:space="preserve"> </w:t>
      </w:r>
      <w:r w:rsidR="00754C53" w:rsidRPr="0086333B">
        <w:rPr>
          <w:rFonts w:ascii="Times New Roman" w:hAnsi="Times New Roman"/>
        </w:rPr>
        <w:tab/>
      </w:r>
      <w:hyperlink r:id="rId5" w:history="1">
        <w:r w:rsidRPr="0086333B">
          <w:rPr>
            <w:rStyle w:val="Hyperlink"/>
            <w:rFonts w:ascii="Times New Roman" w:hAnsi="Times New Roman"/>
            <w:u w:val="none"/>
          </w:rPr>
          <w:t>Cluster 6: Food, Bioeconomy, Natural Resources, Agriculture and Environment - Research and innovation</w:t>
        </w:r>
      </w:hyperlink>
      <w:r w:rsidR="00CA43E9" w:rsidRPr="0086333B">
        <w:rPr>
          <w:rFonts w:ascii="Times New Roman" w:hAnsi="Times New Roman"/>
        </w:rPr>
        <w:t>.</w:t>
      </w:r>
    </w:p>
  </w:footnote>
  <w:footnote w:id="7">
    <w:p w14:paraId="6AB9F440" w14:textId="247DC7D6" w:rsidR="006374C2" w:rsidRPr="0086333B" w:rsidRDefault="006374C2" w:rsidP="00282929">
      <w:pPr>
        <w:pStyle w:val="FootnoteText"/>
        <w:widowControl w:val="0"/>
        <w:spacing w:after="0" w:line="240" w:lineRule="auto"/>
        <w:ind w:left="142" w:hanging="284"/>
        <w:jc w:val="both"/>
        <w:rPr>
          <w:rFonts w:ascii="Times New Roman" w:hAnsi="Times New Roman"/>
        </w:rPr>
      </w:pPr>
      <w:r w:rsidRPr="0086333B">
        <w:rPr>
          <w:rStyle w:val="FootnoteReference"/>
          <w:rFonts w:ascii="Times New Roman" w:hAnsi="Times New Roman"/>
        </w:rPr>
        <w:footnoteRef/>
      </w:r>
      <w:r w:rsidRPr="0086333B">
        <w:rPr>
          <w:rFonts w:ascii="Times New Roman" w:hAnsi="Times New Roman"/>
        </w:rPr>
        <w:t xml:space="preserve"> </w:t>
      </w:r>
      <w:r w:rsidR="00245CC8" w:rsidRPr="0086333B">
        <w:rPr>
          <w:rFonts w:ascii="Times New Roman" w:hAnsi="Times New Roman"/>
        </w:rPr>
        <w:tab/>
      </w:r>
      <w:hyperlink r:id="rId6" w:history="1">
        <w:r w:rsidR="00245CC8" w:rsidRPr="0086333B">
          <w:rPr>
            <w:rStyle w:val="Hyperlink"/>
            <w:rFonts w:ascii="Times New Roman" w:hAnsi="Times New Roman"/>
            <w:u w:val="none"/>
          </w:rPr>
          <w:t>https://cordis.europa.eu/project/id/101084188</w:t>
        </w:r>
      </w:hyperlink>
      <w:r w:rsidR="00A804CE">
        <w:t>.</w:t>
      </w:r>
      <w:r w:rsidR="00CA43E9" w:rsidRPr="0086333B">
        <w:rPr>
          <w:rFonts w:ascii="Times New Roman" w:hAnsi="Times New Roman"/>
        </w:rPr>
        <w:t xml:space="preserve"> </w:t>
      </w:r>
    </w:p>
  </w:footnote>
  <w:footnote w:id="8">
    <w:p w14:paraId="61BBEBEC" w14:textId="2F63D8B8" w:rsidR="006374C2" w:rsidRPr="0086333B" w:rsidRDefault="006374C2" w:rsidP="00282929">
      <w:pPr>
        <w:pStyle w:val="FootnoteText"/>
        <w:widowControl w:val="0"/>
        <w:spacing w:after="0" w:line="240" w:lineRule="auto"/>
        <w:ind w:left="142" w:hanging="284"/>
        <w:jc w:val="both"/>
        <w:rPr>
          <w:rFonts w:ascii="Times New Roman" w:hAnsi="Times New Roman"/>
        </w:rPr>
      </w:pPr>
      <w:r w:rsidRPr="0086333B">
        <w:rPr>
          <w:rStyle w:val="FootnoteReference"/>
          <w:rFonts w:ascii="Times New Roman" w:hAnsi="Times New Roman"/>
        </w:rPr>
        <w:footnoteRef/>
      </w:r>
      <w:r w:rsidRPr="0086333B">
        <w:rPr>
          <w:rFonts w:ascii="Times New Roman" w:hAnsi="Times New Roman"/>
        </w:rPr>
        <w:t xml:space="preserve"> </w:t>
      </w:r>
      <w:r w:rsidR="00245CC8" w:rsidRPr="0086333B">
        <w:rPr>
          <w:rFonts w:ascii="Times New Roman" w:hAnsi="Times New Roman"/>
        </w:rPr>
        <w:tab/>
      </w:r>
      <w:hyperlink r:id="rId7" w:history="1">
        <w:r w:rsidR="00245CC8" w:rsidRPr="0086333B">
          <w:rPr>
            <w:rStyle w:val="Hyperlink"/>
            <w:rFonts w:ascii="Times New Roman" w:hAnsi="Times New Roman"/>
            <w:u w:val="none"/>
          </w:rPr>
          <w:t>https://cordis.europa.eu/project/id/101182360</w:t>
        </w:r>
      </w:hyperlink>
      <w:r w:rsidR="00A804CE">
        <w:t>.</w:t>
      </w:r>
      <w:r w:rsidR="00CA43E9" w:rsidRPr="0086333B">
        <w:rPr>
          <w:rFonts w:ascii="Times New Roman" w:hAnsi="Times New Roman"/>
        </w:rPr>
        <w:t xml:space="preserve"> </w:t>
      </w:r>
    </w:p>
  </w:footnote>
  <w:footnote w:id="9">
    <w:p w14:paraId="0C6BCE1E" w14:textId="1ED368B0" w:rsidR="006374C2" w:rsidRDefault="006374C2" w:rsidP="00282929">
      <w:pPr>
        <w:pStyle w:val="FootnoteText"/>
        <w:widowControl w:val="0"/>
        <w:spacing w:after="0" w:line="240" w:lineRule="auto"/>
        <w:ind w:left="142" w:hanging="284"/>
        <w:jc w:val="both"/>
      </w:pPr>
      <w:r w:rsidRPr="0086333B">
        <w:rPr>
          <w:rStyle w:val="FootnoteReference"/>
          <w:rFonts w:ascii="Times New Roman" w:hAnsi="Times New Roman"/>
        </w:rPr>
        <w:footnoteRef/>
      </w:r>
      <w:r w:rsidRPr="0086333B">
        <w:rPr>
          <w:rFonts w:ascii="Times New Roman" w:hAnsi="Times New Roman"/>
        </w:rPr>
        <w:t xml:space="preserve"> </w:t>
      </w:r>
      <w:r w:rsidR="00245CC8" w:rsidRPr="0086333B">
        <w:rPr>
          <w:rFonts w:ascii="Times New Roman" w:hAnsi="Times New Roman"/>
        </w:rPr>
        <w:tab/>
      </w:r>
      <w:hyperlink r:id="rId8" w:history="1">
        <w:r w:rsidR="00245CC8" w:rsidRPr="0086333B">
          <w:rPr>
            <w:rStyle w:val="Hyperlink"/>
            <w:rFonts w:ascii="Times New Roman" w:hAnsi="Times New Roman"/>
            <w:u w:val="none"/>
          </w:rPr>
          <w:t>https://cordis.europa.eu/project/id/101181923</w:t>
        </w:r>
      </w:hyperlink>
      <w:r w:rsidR="00A804CE">
        <w:t>.</w:t>
      </w:r>
      <w:r w:rsidR="00CA43E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D38C3"/>
    <w:multiLevelType w:val="hybridMultilevel"/>
    <w:tmpl w:val="65503844"/>
    <w:lvl w:ilvl="0" w:tplc="50040A66">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78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1C39"/>
    <w:rsid w:val="000121C6"/>
    <w:rsid w:val="00012A37"/>
    <w:rsid w:val="00016802"/>
    <w:rsid w:val="00035B33"/>
    <w:rsid w:val="000406EA"/>
    <w:rsid w:val="0004267A"/>
    <w:rsid w:val="00046B15"/>
    <w:rsid w:val="00050DC7"/>
    <w:rsid w:val="0005505F"/>
    <w:rsid w:val="000611FA"/>
    <w:rsid w:val="0006324F"/>
    <w:rsid w:val="00076109"/>
    <w:rsid w:val="00077C4F"/>
    <w:rsid w:val="00080EA6"/>
    <w:rsid w:val="00082360"/>
    <w:rsid w:val="00086929"/>
    <w:rsid w:val="000977AD"/>
    <w:rsid w:val="000A1F84"/>
    <w:rsid w:val="000D29F6"/>
    <w:rsid w:val="000F5FD8"/>
    <w:rsid w:val="00103C75"/>
    <w:rsid w:val="00115B13"/>
    <w:rsid w:val="001164DC"/>
    <w:rsid w:val="001167C0"/>
    <w:rsid w:val="00123B70"/>
    <w:rsid w:val="00124320"/>
    <w:rsid w:val="0012495E"/>
    <w:rsid w:val="001340CD"/>
    <w:rsid w:val="0013544A"/>
    <w:rsid w:val="00135C2A"/>
    <w:rsid w:val="00136024"/>
    <w:rsid w:val="00145393"/>
    <w:rsid w:val="00155B9E"/>
    <w:rsid w:val="00160928"/>
    <w:rsid w:val="00163CE6"/>
    <w:rsid w:val="001671B7"/>
    <w:rsid w:val="0017004C"/>
    <w:rsid w:val="00175221"/>
    <w:rsid w:val="001837A8"/>
    <w:rsid w:val="0019259A"/>
    <w:rsid w:val="001A4859"/>
    <w:rsid w:val="001A4DB9"/>
    <w:rsid w:val="001B0E0B"/>
    <w:rsid w:val="001B3FEA"/>
    <w:rsid w:val="001C32BE"/>
    <w:rsid w:val="001C4138"/>
    <w:rsid w:val="001C456D"/>
    <w:rsid w:val="001D0319"/>
    <w:rsid w:val="001F05D2"/>
    <w:rsid w:val="001F0F84"/>
    <w:rsid w:val="001F1DF3"/>
    <w:rsid w:val="001F2516"/>
    <w:rsid w:val="001F2EC6"/>
    <w:rsid w:val="001F65D0"/>
    <w:rsid w:val="00201A6F"/>
    <w:rsid w:val="00201F89"/>
    <w:rsid w:val="00202E17"/>
    <w:rsid w:val="002060F3"/>
    <w:rsid w:val="002128AF"/>
    <w:rsid w:val="002146E4"/>
    <w:rsid w:val="00216F02"/>
    <w:rsid w:val="00217E59"/>
    <w:rsid w:val="002217BD"/>
    <w:rsid w:val="002347DC"/>
    <w:rsid w:val="00244651"/>
    <w:rsid w:val="00245CC8"/>
    <w:rsid w:val="002561E3"/>
    <w:rsid w:val="002624D2"/>
    <w:rsid w:val="00264C09"/>
    <w:rsid w:val="00265662"/>
    <w:rsid w:val="00282929"/>
    <w:rsid w:val="00292D1A"/>
    <w:rsid w:val="002B3B00"/>
    <w:rsid w:val="002B53CA"/>
    <w:rsid w:val="002C150D"/>
    <w:rsid w:val="002C15AA"/>
    <w:rsid w:val="002C3538"/>
    <w:rsid w:val="002E475E"/>
    <w:rsid w:val="002F03FA"/>
    <w:rsid w:val="002F15F3"/>
    <w:rsid w:val="003004D2"/>
    <w:rsid w:val="003036BA"/>
    <w:rsid w:val="00307230"/>
    <w:rsid w:val="00316E56"/>
    <w:rsid w:val="0032585F"/>
    <w:rsid w:val="003349A3"/>
    <w:rsid w:val="00340510"/>
    <w:rsid w:val="00340D03"/>
    <w:rsid w:val="00377967"/>
    <w:rsid w:val="0038095D"/>
    <w:rsid w:val="00382FA7"/>
    <w:rsid w:val="00386143"/>
    <w:rsid w:val="00391BE3"/>
    <w:rsid w:val="003A43F6"/>
    <w:rsid w:val="003B58DC"/>
    <w:rsid w:val="003B7A48"/>
    <w:rsid w:val="003E1387"/>
    <w:rsid w:val="003F2A61"/>
    <w:rsid w:val="003F2D3C"/>
    <w:rsid w:val="003F300E"/>
    <w:rsid w:val="003F3F65"/>
    <w:rsid w:val="003F5F15"/>
    <w:rsid w:val="003F686E"/>
    <w:rsid w:val="003F7B4B"/>
    <w:rsid w:val="004111A1"/>
    <w:rsid w:val="00413801"/>
    <w:rsid w:val="00413D2D"/>
    <w:rsid w:val="00415194"/>
    <w:rsid w:val="00424E95"/>
    <w:rsid w:val="00431549"/>
    <w:rsid w:val="0043629C"/>
    <w:rsid w:val="00442552"/>
    <w:rsid w:val="00455A1C"/>
    <w:rsid w:val="004675B5"/>
    <w:rsid w:val="004701BD"/>
    <w:rsid w:val="00470B8A"/>
    <w:rsid w:val="004770D6"/>
    <w:rsid w:val="00481817"/>
    <w:rsid w:val="004818F6"/>
    <w:rsid w:val="0049246C"/>
    <w:rsid w:val="004A1849"/>
    <w:rsid w:val="004A33CC"/>
    <w:rsid w:val="004C3FD7"/>
    <w:rsid w:val="004E2C12"/>
    <w:rsid w:val="004E75E9"/>
    <w:rsid w:val="004F6117"/>
    <w:rsid w:val="004F63F1"/>
    <w:rsid w:val="004F651E"/>
    <w:rsid w:val="0051117B"/>
    <w:rsid w:val="0052176B"/>
    <w:rsid w:val="00522125"/>
    <w:rsid w:val="0052596B"/>
    <w:rsid w:val="00530B4D"/>
    <w:rsid w:val="005403E4"/>
    <w:rsid w:val="00554D8D"/>
    <w:rsid w:val="00555BE3"/>
    <w:rsid w:val="0056791A"/>
    <w:rsid w:val="00573835"/>
    <w:rsid w:val="00577CF4"/>
    <w:rsid w:val="00581306"/>
    <w:rsid w:val="005825CD"/>
    <w:rsid w:val="005842E4"/>
    <w:rsid w:val="005A1662"/>
    <w:rsid w:val="005A4E3E"/>
    <w:rsid w:val="005A62D0"/>
    <w:rsid w:val="005B0CF4"/>
    <w:rsid w:val="005B695C"/>
    <w:rsid w:val="005C1FFD"/>
    <w:rsid w:val="005C3105"/>
    <w:rsid w:val="005D04BC"/>
    <w:rsid w:val="005D3E44"/>
    <w:rsid w:val="005E2B51"/>
    <w:rsid w:val="005E6211"/>
    <w:rsid w:val="005F537A"/>
    <w:rsid w:val="005F5580"/>
    <w:rsid w:val="00603162"/>
    <w:rsid w:val="00612F7F"/>
    <w:rsid w:val="00614920"/>
    <w:rsid w:val="00616589"/>
    <w:rsid w:val="00624263"/>
    <w:rsid w:val="00632005"/>
    <w:rsid w:val="006353F6"/>
    <w:rsid w:val="006374C2"/>
    <w:rsid w:val="00656BDC"/>
    <w:rsid w:val="00656C82"/>
    <w:rsid w:val="00664D11"/>
    <w:rsid w:val="00680314"/>
    <w:rsid w:val="00685A48"/>
    <w:rsid w:val="00692C2F"/>
    <w:rsid w:val="00695797"/>
    <w:rsid w:val="00696A5E"/>
    <w:rsid w:val="006A41A7"/>
    <w:rsid w:val="006B3B69"/>
    <w:rsid w:val="006C2AB8"/>
    <w:rsid w:val="006C5414"/>
    <w:rsid w:val="006D0B20"/>
    <w:rsid w:val="00701D04"/>
    <w:rsid w:val="007103AC"/>
    <w:rsid w:val="007136C9"/>
    <w:rsid w:val="0071419C"/>
    <w:rsid w:val="00730B3F"/>
    <w:rsid w:val="0073194A"/>
    <w:rsid w:val="00734613"/>
    <w:rsid w:val="0073765B"/>
    <w:rsid w:val="0074020A"/>
    <w:rsid w:val="0074134A"/>
    <w:rsid w:val="00751910"/>
    <w:rsid w:val="00751E60"/>
    <w:rsid w:val="0075436F"/>
    <w:rsid w:val="007547B5"/>
    <w:rsid w:val="00754C53"/>
    <w:rsid w:val="00754C99"/>
    <w:rsid w:val="00754D76"/>
    <w:rsid w:val="007567A7"/>
    <w:rsid w:val="0076526E"/>
    <w:rsid w:val="00774B87"/>
    <w:rsid w:val="007765E0"/>
    <w:rsid w:val="00780671"/>
    <w:rsid w:val="00780ACC"/>
    <w:rsid w:val="0078231C"/>
    <w:rsid w:val="0078278F"/>
    <w:rsid w:val="00786979"/>
    <w:rsid w:val="00790CB3"/>
    <w:rsid w:val="007919A2"/>
    <w:rsid w:val="00795A9E"/>
    <w:rsid w:val="007A0147"/>
    <w:rsid w:val="007A1525"/>
    <w:rsid w:val="007A606D"/>
    <w:rsid w:val="007C2214"/>
    <w:rsid w:val="007C272A"/>
    <w:rsid w:val="007C58D9"/>
    <w:rsid w:val="007D3BE9"/>
    <w:rsid w:val="007E0674"/>
    <w:rsid w:val="007E5A8E"/>
    <w:rsid w:val="008068ED"/>
    <w:rsid w:val="00807B48"/>
    <w:rsid w:val="008135CA"/>
    <w:rsid w:val="0081584F"/>
    <w:rsid w:val="00825B71"/>
    <w:rsid w:val="00826964"/>
    <w:rsid w:val="00834464"/>
    <w:rsid w:val="008408E4"/>
    <w:rsid w:val="00842F37"/>
    <w:rsid w:val="00846EC2"/>
    <w:rsid w:val="008522FF"/>
    <w:rsid w:val="00854CC4"/>
    <w:rsid w:val="0086333B"/>
    <w:rsid w:val="008703BF"/>
    <w:rsid w:val="00884C6B"/>
    <w:rsid w:val="008925CE"/>
    <w:rsid w:val="008A6DB2"/>
    <w:rsid w:val="008B4D5A"/>
    <w:rsid w:val="008B4EF8"/>
    <w:rsid w:val="008B6491"/>
    <w:rsid w:val="008C4D41"/>
    <w:rsid w:val="008C5A9C"/>
    <w:rsid w:val="008D1BBD"/>
    <w:rsid w:val="008D51B5"/>
    <w:rsid w:val="008D7F8B"/>
    <w:rsid w:val="008F79E6"/>
    <w:rsid w:val="00906285"/>
    <w:rsid w:val="009113FD"/>
    <w:rsid w:val="00914D25"/>
    <w:rsid w:val="009261C6"/>
    <w:rsid w:val="009440B9"/>
    <w:rsid w:val="00960192"/>
    <w:rsid w:val="0096736F"/>
    <w:rsid w:val="00981F45"/>
    <w:rsid w:val="00990A58"/>
    <w:rsid w:val="00993339"/>
    <w:rsid w:val="00994D12"/>
    <w:rsid w:val="009A4328"/>
    <w:rsid w:val="009A7A56"/>
    <w:rsid w:val="009B128B"/>
    <w:rsid w:val="009B5FF1"/>
    <w:rsid w:val="009E057A"/>
    <w:rsid w:val="00A131F0"/>
    <w:rsid w:val="00A147BA"/>
    <w:rsid w:val="00A14B2A"/>
    <w:rsid w:val="00A15D0A"/>
    <w:rsid w:val="00A16F07"/>
    <w:rsid w:val="00A34CFF"/>
    <w:rsid w:val="00A35BAD"/>
    <w:rsid w:val="00A376F0"/>
    <w:rsid w:val="00A4540B"/>
    <w:rsid w:val="00A56063"/>
    <w:rsid w:val="00A62C7B"/>
    <w:rsid w:val="00A64817"/>
    <w:rsid w:val="00A70DDF"/>
    <w:rsid w:val="00A74CB7"/>
    <w:rsid w:val="00A75B4D"/>
    <w:rsid w:val="00A7709A"/>
    <w:rsid w:val="00A804CE"/>
    <w:rsid w:val="00AA1D71"/>
    <w:rsid w:val="00AB5A01"/>
    <w:rsid w:val="00AC067C"/>
    <w:rsid w:val="00AD1DCE"/>
    <w:rsid w:val="00AE1842"/>
    <w:rsid w:val="00AE3C7C"/>
    <w:rsid w:val="00AE5717"/>
    <w:rsid w:val="00AF23EA"/>
    <w:rsid w:val="00B1351E"/>
    <w:rsid w:val="00B14059"/>
    <w:rsid w:val="00B276F5"/>
    <w:rsid w:val="00B31306"/>
    <w:rsid w:val="00B40A36"/>
    <w:rsid w:val="00B42814"/>
    <w:rsid w:val="00B436A3"/>
    <w:rsid w:val="00B4441E"/>
    <w:rsid w:val="00B45EC6"/>
    <w:rsid w:val="00B519C4"/>
    <w:rsid w:val="00B568F2"/>
    <w:rsid w:val="00B6639A"/>
    <w:rsid w:val="00B82782"/>
    <w:rsid w:val="00B83936"/>
    <w:rsid w:val="00B83DC3"/>
    <w:rsid w:val="00B9327D"/>
    <w:rsid w:val="00BA656A"/>
    <w:rsid w:val="00BC1696"/>
    <w:rsid w:val="00BC177A"/>
    <w:rsid w:val="00BC7714"/>
    <w:rsid w:val="00BD3428"/>
    <w:rsid w:val="00BD5678"/>
    <w:rsid w:val="00BD5BB7"/>
    <w:rsid w:val="00BD6E27"/>
    <w:rsid w:val="00BD6EB7"/>
    <w:rsid w:val="00BE4A5E"/>
    <w:rsid w:val="00BE63BB"/>
    <w:rsid w:val="00BE735F"/>
    <w:rsid w:val="00BE74E0"/>
    <w:rsid w:val="00BF0812"/>
    <w:rsid w:val="00BF0CA4"/>
    <w:rsid w:val="00C01022"/>
    <w:rsid w:val="00C01065"/>
    <w:rsid w:val="00C22299"/>
    <w:rsid w:val="00C236AD"/>
    <w:rsid w:val="00C377DE"/>
    <w:rsid w:val="00C54D27"/>
    <w:rsid w:val="00C675A7"/>
    <w:rsid w:val="00C70FD1"/>
    <w:rsid w:val="00C729DA"/>
    <w:rsid w:val="00C76EEB"/>
    <w:rsid w:val="00C77682"/>
    <w:rsid w:val="00C776BF"/>
    <w:rsid w:val="00C84925"/>
    <w:rsid w:val="00C84A73"/>
    <w:rsid w:val="00CA16FD"/>
    <w:rsid w:val="00CA43E9"/>
    <w:rsid w:val="00CC3C56"/>
    <w:rsid w:val="00CD4353"/>
    <w:rsid w:val="00CD57B0"/>
    <w:rsid w:val="00CF0C67"/>
    <w:rsid w:val="00D01F5A"/>
    <w:rsid w:val="00D0691A"/>
    <w:rsid w:val="00D1716E"/>
    <w:rsid w:val="00D354D0"/>
    <w:rsid w:val="00D374CE"/>
    <w:rsid w:val="00D4035B"/>
    <w:rsid w:val="00D51462"/>
    <w:rsid w:val="00D604EB"/>
    <w:rsid w:val="00D64E05"/>
    <w:rsid w:val="00D73BA8"/>
    <w:rsid w:val="00D87052"/>
    <w:rsid w:val="00D92A91"/>
    <w:rsid w:val="00D92FD3"/>
    <w:rsid w:val="00D954CF"/>
    <w:rsid w:val="00DA3B6E"/>
    <w:rsid w:val="00DA7C4A"/>
    <w:rsid w:val="00DA7D93"/>
    <w:rsid w:val="00DB239C"/>
    <w:rsid w:val="00DB7581"/>
    <w:rsid w:val="00DC20E2"/>
    <w:rsid w:val="00DC3ACF"/>
    <w:rsid w:val="00DC70C1"/>
    <w:rsid w:val="00DE5362"/>
    <w:rsid w:val="00E030BB"/>
    <w:rsid w:val="00E0746C"/>
    <w:rsid w:val="00E45230"/>
    <w:rsid w:val="00E519E9"/>
    <w:rsid w:val="00E5275E"/>
    <w:rsid w:val="00E63BB1"/>
    <w:rsid w:val="00E81403"/>
    <w:rsid w:val="00E83C12"/>
    <w:rsid w:val="00E841AA"/>
    <w:rsid w:val="00E904C8"/>
    <w:rsid w:val="00E95234"/>
    <w:rsid w:val="00EA122A"/>
    <w:rsid w:val="00EA1BBF"/>
    <w:rsid w:val="00EA1F67"/>
    <w:rsid w:val="00EB29A9"/>
    <w:rsid w:val="00EB77D2"/>
    <w:rsid w:val="00EC70C5"/>
    <w:rsid w:val="00ED07B1"/>
    <w:rsid w:val="00ED5B98"/>
    <w:rsid w:val="00EE68FC"/>
    <w:rsid w:val="00F025A3"/>
    <w:rsid w:val="00F073BA"/>
    <w:rsid w:val="00F14D95"/>
    <w:rsid w:val="00F14E88"/>
    <w:rsid w:val="00F313E8"/>
    <w:rsid w:val="00F316C8"/>
    <w:rsid w:val="00F35280"/>
    <w:rsid w:val="00F44C4D"/>
    <w:rsid w:val="00F464BA"/>
    <w:rsid w:val="00F5172C"/>
    <w:rsid w:val="00F626CE"/>
    <w:rsid w:val="00F632DE"/>
    <w:rsid w:val="00F735E4"/>
    <w:rsid w:val="00F81A9C"/>
    <w:rsid w:val="00F83759"/>
    <w:rsid w:val="00F84622"/>
    <w:rsid w:val="00F8583D"/>
    <w:rsid w:val="00F86A62"/>
    <w:rsid w:val="00FB1F56"/>
    <w:rsid w:val="00FB35D6"/>
    <w:rsid w:val="00FB7834"/>
    <w:rsid w:val="00FD42A8"/>
    <w:rsid w:val="00FD4B6A"/>
    <w:rsid w:val="00FD68C3"/>
    <w:rsid w:val="00FD7FE3"/>
    <w:rsid w:val="00FF03A8"/>
    <w:rsid w:val="00FF19D2"/>
    <w:rsid w:val="00FF63EA"/>
    <w:rsid w:val="115C906C"/>
    <w:rsid w:val="175246A6"/>
    <w:rsid w:val="352223EB"/>
    <w:rsid w:val="378BEF18"/>
    <w:rsid w:val="5628831A"/>
    <w:rsid w:val="72DB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B6F85519-2CBE-4E4D-9DC2-1ED1C06A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695C"/>
    <w:rPr>
      <w:sz w:val="22"/>
      <w:szCs w:val="22"/>
      <w:lang w:val="es-ES" w:eastAsia="en-US"/>
    </w:rPr>
  </w:style>
  <w:style w:type="paragraph" w:styleId="Header">
    <w:name w:val="header"/>
    <w:basedOn w:val="Normal"/>
    <w:link w:val="HeaderChar"/>
    <w:uiPriority w:val="99"/>
    <w:semiHidden/>
    <w:unhideWhenUsed/>
    <w:rsid w:val="005B695C"/>
    <w:pPr>
      <w:tabs>
        <w:tab w:val="center" w:pos="4513"/>
        <w:tab w:val="right" w:pos="9026"/>
      </w:tabs>
    </w:pPr>
  </w:style>
  <w:style w:type="character" w:customStyle="1" w:styleId="HeaderChar">
    <w:name w:val="Header Char"/>
    <w:link w:val="Header"/>
    <w:uiPriority w:val="99"/>
    <w:semiHidden/>
    <w:rsid w:val="005B695C"/>
    <w:rPr>
      <w:sz w:val="22"/>
      <w:szCs w:val="22"/>
      <w:lang w:eastAsia="en-US"/>
    </w:rPr>
  </w:style>
  <w:style w:type="paragraph" w:styleId="Footer">
    <w:name w:val="footer"/>
    <w:basedOn w:val="Normal"/>
    <w:link w:val="FooterChar"/>
    <w:uiPriority w:val="99"/>
    <w:semiHidden/>
    <w:unhideWhenUsed/>
    <w:rsid w:val="005B695C"/>
    <w:pPr>
      <w:tabs>
        <w:tab w:val="center" w:pos="4513"/>
        <w:tab w:val="right" w:pos="9026"/>
      </w:tabs>
    </w:pPr>
  </w:style>
  <w:style w:type="character" w:customStyle="1" w:styleId="FooterChar">
    <w:name w:val="Footer Char"/>
    <w:link w:val="Footer"/>
    <w:uiPriority w:val="99"/>
    <w:semiHidden/>
    <w:rsid w:val="005B695C"/>
    <w:rPr>
      <w:sz w:val="22"/>
      <w:szCs w:val="22"/>
      <w:lang w:eastAsia="en-US"/>
    </w:rPr>
  </w:style>
  <w:style w:type="character" w:styleId="Hyperlink">
    <w:name w:val="Hyperlink"/>
    <w:uiPriority w:val="99"/>
    <w:unhideWhenUsed/>
    <w:rsid w:val="000611FA"/>
    <w:rPr>
      <w:color w:val="0563C1"/>
      <w:u w:val="single"/>
    </w:rPr>
  </w:style>
  <w:style w:type="character" w:styleId="UnresolvedMention">
    <w:name w:val="Unresolved Mention"/>
    <w:uiPriority w:val="99"/>
    <w:semiHidden/>
    <w:unhideWhenUsed/>
    <w:rsid w:val="000611FA"/>
    <w:rPr>
      <w:color w:val="605E5C"/>
      <w:shd w:val="clear" w:color="auto" w:fill="E1DFDD"/>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
    <w:uiPriority w:val="99"/>
    <w:unhideWhenUsed/>
    <w:qFormat/>
    <w:rsid w:val="000611FA"/>
    <w:rPr>
      <w:sz w:val="20"/>
      <w:szCs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1"/>
    <w:link w:val="FootnoteText"/>
    <w:uiPriority w:val="99"/>
    <w:semiHidden/>
    <w:rsid w:val="000611FA"/>
    <w:rPr>
      <w:lang w:eastAsia="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unhideWhenUsed/>
    <w:qFormat/>
    <w:rsid w:val="000611FA"/>
    <w:rPr>
      <w:vertAlign w:val="superscript"/>
    </w:rPr>
  </w:style>
  <w:style w:type="character" w:styleId="CommentReference">
    <w:name w:val="annotation reference"/>
    <w:basedOn w:val="DefaultParagraphFont"/>
    <w:uiPriority w:val="99"/>
    <w:semiHidden/>
    <w:unhideWhenUsed/>
    <w:rsid w:val="005A62D0"/>
    <w:rPr>
      <w:sz w:val="16"/>
      <w:szCs w:val="16"/>
    </w:rPr>
  </w:style>
  <w:style w:type="paragraph" w:styleId="CommentText">
    <w:name w:val="annotation text"/>
    <w:basedOn w:val="Normal"/>
    <w:link w:val="CommentTextChar"/>
    <w:uiPriority w:val="99"/>
    <w:unhideWhenUsed/>
    <w:rsid w:val="005A62D0"/>
    <w:rPr>
      <w:sz w:val="20"/>
      <w:szCs w:val="20"/>
    </w:rPr>
  </w:style>
  <w:style w:type="character" w:customStyle="1" w:styleId="CommentTextChar">
    <w:name w:val="Comment Text Char"/>
    <w:basedOn w:val="DefaultParagraphFont"/>
    <w:link w:val="CommentText"/>
    <w:uiPriority w:val="99"/>
    <w:rsid w:val="005A62D0"/>
    <w:rPr>
      <w:lang w:val="en-GB" w:eastAsia="en-US"/>
    </w:rPr>
  </w:style>
  <w:style w:type="paragraph" w:styleId="CommentSubject">
    <w:name w:val="annotation subject"/>
    <w:basedOn w:val="CommentText"/>
    <w:next w:val="CommentText"/>
    <w:link w:val="CommentSubjectChar"/>
    <w:uiPriority w:val="99"/>
    <w:semiHidden/>
    <w:unhideWhenUsed/>
    <w:rsid w:val="005A62D0"/>
    <w:rPr>
      <w:b/>
      <w:bCs/>
    </w:rPr>
  </w:style>
  <w:style w:type="character" w:customStyle="1" w:styleId="CommentSubjectChar">
    <w:name w:val="Comment Subject Char"/>
    <w:basedOn w:val="CommentTextChar"/>
    <w:link w:val="CommentSubject"/>
    <w:uiPriority w:val="99"/>
    <w:semiHidden/>
    <w:rsid w:val="005A62D0"/>
    <w:rPr>
      <w:b/>
      <w:bCs/>
      <w:lang w:val="en-GB"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rsid w:val="00035B33"/>
    <w:rPr>
      <w:rFonts w:ascii="Courier New" w:hAnsi="Courier New"/>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35B33"/>
    <w:pPr>
      <w:spacing w:after="160" w:line="240" w:lineRule="exact"/>
    </w:pPr>
    <w:rPr>
      <w:sz w:val="20"/>
      <w:szCs w:val="20"/>
      <w:vertAlign w:val="superscript"/>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ject/id/1011363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rdis.europa.eu/project/id/101181923" TargetMode="External"/><Relationship Id="rId4" Type="http://schemas.openxmlformats.org/officeDocument/2006/relationships/settings" Target="settings.xml"/><Relationship Id="rId9" Type="http://schemas.openxmlformats.org/officeDocument/2006/relationships/hyperlink" Target="https://cordis.europa.eu/project/id/10118236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rdis.europa.eu/project/id/101181923" TargetMode="External"/><Relationship Id="rId3" Type="http://schemas.openxmlformats.org/officeDocument/2006/relationships/hyperlink" Target="http://data.europa.eu/eli/reg/2024/1143/oj" TargetMode="External"/><Relationship Id="rId7" Type="http://schemas.openxmlformats.org/officeDocument/2006/relationships/hyperlink" Target="https://cordis.europa.eu/project/id/101182360" TargetMode="External"/><Relationship Id="rId2" Type="http://schemas.openxmlformats.org/officeDocument/2006/relationships/hyperlink" Target="https://eur-lex.europa.eu/legal-content/EN/TXT/?uri=CELEX:52021DC0236" TargetMode="External"/><Relationship Id="rId1" Type="http://schemas.openxmlformats.org/officeDocument/2006/relationships/hyperlink" Target="https://eur-lex.europa.eu/legal-content/EN/TXT/?uri=celex:52021DC0141" TargetMode="External"/><Relationship Id="rId6" Type="http://schemas.openxmlformats.org/officeDocument/2006/relationships/hyperlink" Target="https://cordis.europa.eu/project/id/101084188" TargetMode="External"/><Relationship Id="rId5" Type="http://schemas.openxmlformats.org/officeDocument/2006/relationships/hyperlink" Target="https://research-and-innovation.ec.europa.eu/funding/funding-opportunities/funding-programmes-and-open-calls/horizon-europe/cluster-6-food-bioeconomy-natural-resources-agriculture-and-environment_en" TargetMode="External"/><Relationship Id="rId4" Type="http://schemas.openxmlformats.org/officeDocument/2006/relationships/hyperlink" Target="http://data.europa.eu/eli/dir/2014/2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9A15-C2F4-496E-8A9C-41A49F65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2147</Words>
  <Characters>12196</Characters>
  <Application>Microsoft Office Word</Application>
  <DocSecurity>0</DocSecurity>
  <Lines>169</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14303</CharactersWithSpaces>
  <SharedDoc>false</SharedDoc>
  <HLinks>
    <vt:vector size="24" baseType="variant">
      <vt:variant>
        <vt:i4>2031638</vt:i4>
      </vt:variant>
      <vt:variant>
        <vt:i4>6</vt:i4>
      </vt:variant>
      <vt:variant>
        <vt:i4>0</vt:i4>
      </vt:variant>
      <vt:variant>
        <vt:i4>5</vt:i4>
      </vt:variant>
      <vt:variant>
        <vt:lpwstr>https://cordis.europa.eu/project/id/101181923</vt:lpwstr>
      </vt:variant>
      <vt:variant>
        <vt:lpwstr/>
      </vt:variant>
      <vt:variant>
        <vt:i4>1572892</vt:i4>
      </vt:variant>
      <vt:variant>
        <vt:i4>3</vt:i4>
      </vt:variant>
      <vt:variant>
        <vt:i4>0</vt:i4>
      </vt:variant>
      <vt:variant>
        <vt:i4>5</vt:i4>
      </vt:variant>
      <vt:variant>
        <vt:lpwstr>https://cordis.europa.eu/project/id/101182360</vt:lpwstr>
      </vt:variant>
      <vt:variant>
        <vt:lpwstr/>
      </vt:variant>
      <vt:variant>
        <vt:i4>1835031</vt:i4>
      </vt:variant>
      <vt:variant>
        <vt:i4>0</vt:i4>
      </vt:variant>
      <vt:variant>
        <vt:i4>0</vt:i4>
      </vt:variant>
      <vt:variant>
        <vt:i4>5</vt:i4>
      </vt:variant>
      <vt:variant>
        <vt:lpwstr>https://cordis.europa.eu/project/id/101136364</vt:lpwstr>
      </vt:variant>
      <vt:variant>
        <vt:lpwstr/>
      </vt:variant>
      <vt:variant>
        <vt:i4>4653167</vt:i4>
      </vt:variant>
      <vt:variant>
        <vt:i4>0</vt:i4>
      </vt:variant>
      <vt:variant>
        <vt:i4>0</vt:i4>
      </vt:variant>
      <vt:variant>
        <vt:i4>5</vt:i4>
      </vt:variant>
      <vt:variant>
        <vt:lpwstr>https://research-and-innovation.ec.europa.eu/funding/funding-opportunities/funding-programmes-and-open-calls/horizon-europe/cluster-6-food-bioeconomy-natural-resources-agriculture-and-environment_en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2025-12-01T16:17:00Z</cp:lastPrinted>
  <dcterms:created xsi:type="dcterms:W3CDTF">2026-02-27T07:13:00Z</dcterms:created>
  <dcterms:modified xsi:type="dcterms:W3CDTF">2026-02-27T07:15:00Z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