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A912CA" w:rsidRDefault="00077C4F" w:rsidP="00A912CA">
      <w:pPr>
        <w:spacing w:after="0" w:line="240" w:lineRule="auto"/>
        <w:ind w:left="-709"/>
        <w:rPr>
          <w:rFonts w:ascii="Times New Roman" w:hAnsi="Times New Roman"/>
          <w:bCs/>
          <w:sz w:val="16"/>
          <w:szCs w:val="16"/>
        </w:rPr>
      </w:pPr>
    </w:p>
    <w:tbl>
      <w:tblPr>
        <w:tblW w:w="10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133"/>
      </w:tblGrid>
      <w:tr w:rsidR="001C4138" w:rsidRPr="008170F5" w14:paraId="7E6372DC" w14:textId="77777777" w:rsidTr="00A912CA">
        <w:trPr>
          <w:jc w:val="center"/>
        </w:trPr>
        <w:tc>
          <w:tcPr>
            <w:tcW w:w="10133" w:type="dxa"/>
          </w:tcPr>
          <w:p w14:paraId="3A4EDC3A" w14:textId="26F38A01" w:rsidR="001C4138" w:rsidRPr="008170F5" w:rsidRDefault="008170F5" w:rsidP="001C4138">
            <w:pPr>
              <w:spacing w:before="120" w:after="120"/>
              <w:rPr>
                <w:rFonts w:ascii="Times New Roman" w:hAnsi="Times New Roman"/>
                <w:b/>
                <w:sz w:val="24"/>
                <w:szCs w:val="24"/>
                <w:lang w:val="en-IE"/>
              </w:rPr>
            </w:pPr>
            <w:r w:rsidRPr="00670616">
              <w:rPr>
                <w:rFonts w:ascii="Times New Roman" w:hAnsi="Times New Roman"/>
                <w:b/>
                <w:sz w:val="24"/>
                <w:szCs w:val="24"/>
              </w:rPr>
              <w:t>Fragmentation of supply chains and impact on the cost of living</w:t>
            </w:r>
            <w:r>
              <w:rPr>
                <w:rFonts w:ascii="Times New Roman" w:hAnsi="Times New Roman"/>
                <w:b/>
                <w:sz w:val="24"/>
                <w:szCs w:val="24"/>
              </w:rPr>
              <w:br/>
            </w:r>
            <w:r w:rsidRPr="006C1D8F">
              <w:rPr>
                <w:rFonts w:ascii="Times New Roman" w:hAnsi="Times New Roman"/>
                <w:b/>
                <w:sz w:val="24"/>
                <w:szCs w:val="24"/>
              </w:rPr>
              <w:t>(own-initiative opinion)</w:t>
            </w:r>
            <w:r>
              <w:rPr>
                <w:rFonts w:ascii="Times New Roman" w:hAnsi="Times New Roman"/>
                <w:b/>
                <w:sz w:val="24"/>
                <w:szCs w:val="24"/>
              </w:rPr>
              <w:br/>
            </w:r>
            <w:r w:rsidRPr="00670616">
              <w:rPr>
                <w:rFonts w:ascii="Times New Roman" w:hAnsi="Times New Roman"/>
                <w:b/>
                <w:sz w:val="24"/>
                <w:szCs w:val="24"/>
              </w:rPr>
              <w:t xml:space="preserve">EESC-2025-00037 </w:t>
            </w:r>
            <w:r w:rsidR="00906271" w:rsidRPr="0063595D">
              <w:rPr>
                <w:rFonts w:ascii="Times New Roman" w:hAnsi="Times New Roman"/>
                <w:b/>
                <w:sz w:val="24"/>
                <w:szCs w:val="24"/>
                <w:lang w:val="en-IE"/>
              </w:rPr>
              <w:t>–</w:t>
            </w:r>
            <w:r w:rsidRPr="00670616">
              <w:rPr>
                <w:rFonts w:ascii="Times New Roman" w:hAnsi="Times New Roman"/>
                <w:b/>
                <w:sz w:val="24"/>
                <w:szCs w:val="24"/>
              </w:rPr>
              <w:t xml:space="preserve"> REX/</w:t>
            </w:r>
            <w:r>
              <w:rPr>
                <w:rFonts w:ascii="Times New Roman" w:hAnsi="Times New Roman"/>
                <w:b/>
                <w:sz w:val="24"/>
                <w:szCs w:val="24"/>
              </w:rPr>
              <w:t>596</w:t>
            </w:r>
            <w:r>
              <w:rPr>
                <w:rFonts w:ascii="Times New Roman" w:hAnsi="Times New Roman"/>
                <w:b/>
                <w:sz w:val="24"/>
                <w:szCs w:val="24"/>
              </w:rPr>
              <w:br/>
            </w:r>
            <w:r w:rsidRPr="00670616">
              <w:rPr>
                <w:rFonts w:ascii="Times New Roman" w:hAnsi="Times New Roman"/>
                <w:b/>
                <w:sz w:val="24"/>
                <w:szCs w:val="24"/>
              </w:rPr>
              <w:t>5</w:t>
            </w:r>
            <w:r w:rsidR="00674A2B">
              <w:rPr>
                <w:rFonts w:ascii="Times New Roman" w:hAnsi="Times New Roman"/>
                <w:b/>
                <w:sz w:val="24"/>
                <w:szCs w:val="24"/>
              </w:rPr>
              <w:t>97</w:t>
            </w:r>
            <w:r w:rsidRPr="009A7321">
              <w:rPr>
                <w:rFonts w:ascii="Times New Roman" w:hAnsi="Times New Roman"/>
                <w:b/>
                <w:sz w:val="24"/>
                <w:szCs w:val="24"/>
                <w:vertAlign w:val="superscript"/>
              </w:rPr>
              <w:t>th</w:t>
            </w:r>
            <w:r w:rsidRPr="00670616">
              <w:rPr>
                <w:rFonts w:ascii="Times New Roman" w:hAnsi="Times New Roman"/>
                <w:b/>
                <w:sz w:val="24"/>
                <w:szCs w:val="24"/>
              </w:rPr>
              <w:t xml:space="preserve"> plenary session – June 2025</w:t>
            </w:r>
            <w:r w:rsidRPr="0063595D">
              <w:rPr>
                <w:rFonts w:ascii="Times New Roman" w:hAnsi="Times New Roman"/>
                <w:b/>
                <w:sz w:val="24"/>
                <w:szCs w:val="24"/>
                <w:lang w:val="en-IE"/>
              </w:rPr>
              <w:br/>
              <w:t>Rapporteur: Dimitris DIMITRIADIS</w:t>
            </w:r>
            <w:r w:rsidR="00906271">
              <w:rPr>
                <w:rFonts w:ascii="Times New Roman" w:hAnsi="Times New Roman"/>
                <w:b/>
                <w:sz w:val="24"/>
                <w:szCs w:val="24"/>
                <w:lang w:val="en-IE"/>
              </w:rPr>
              <w:t xml:space="preserve"> </w:t>
            </w:r>
            <w:r w:rsidR="00906271" w:rsidRPr="009A7321">
              <w:rPr>
                <w:rFonts w:ascii="Times New Roman" w:hAnsi="Times New Roman"/>
                <w:b/>
                <w:sz w:val="24"/>
                <w:szCs w:val="24"/>
                <w:lang w:val="en-IE"/>
              </w:rPr>
              <w:t>(EL-I)</w:t>
            </w:r>
            <w:r w:rsidRPr="0063595D">
              <w:rPr>
                <w:rFonts w:ascii="Times New Roman" w:hAnsi="Times New Roman"/>
                <w:b/>
                <w:sz w:val="24"/>
                <w:szCs w:val="24"/>
                <w:lang w:val="en-IE"/>
              </w:rPr>
              <w:br/>
              <w:t>Co-rapporteur: Anastasis YIAPANIS</w:t>
            </w:r>
            <w:r w:rsidR="00906271">
              <w:rPr>
                <w:rFonts w:ascii="Times New Roman" w:hAnsi="Times New Roman"/>
                <w:b/>
                <w:sz w:val="24"/>
                <w:szCs w:val="24"/>
                <w:lang w:val="en-IE"/>
              </w:rPr>
              <w:t xml:space="preserve"> </w:t>
            </w:r>
            <w:r w:rsidR="00906271" w:rsidRPr="009A7321">
              <w:rPr>
                <w:rFonts w:ascii="Times New Roman" w:hAnsi="Times New Roman"/>
                <w:b/>
                <w:sz w:val="24"/>
                <w:szCs w:val="24"/>
                <w:lang w:val="en-IE"/>
              </w:rPr>
              <w:t>(CY-III)</w:t>
            </w:r>
            <w:r w:rsidRPr="0063595D">
              <w:rPr>
                <w:rFonts w:ascii="Times New Roman" w:hAnsi="Times New Roman"/>
                <w:b/>
                <w:sz w:val="24"/>
                <w:szCs w:val="24"/>
                <w:lang w:val="en-IE"/>
              </w:rPr>
              <w:br/>
              <w:t>DG TRADE – Commissioner ŠEFČOVIČ</w:t>
            </w:r>
          </w:p>
        </w:tc>
      </w:tr>
      <w:tr w:rsidR="00734613" w:rsidRPr="00442552" w14:paraId="1937071F" w14:textId="77777777" w:rsidTr="00A912CA">
        <w:trPr>
          <w:jc w:val="center"/>
        </w:trPr>
        <w:tc>
          <w:tcPr>
            <w:tcW w:w="10133" w:type="dxa"/>
          </w:tcPr>
          <w:p w14:paraId="1E50B4DB" w14:textId="02872441" w:rsidR="00734613" w:rsidRPr="00695797" w:rsidRDefault="004F6117" w:rsidP="004F6117">
            <w:pPr>
              <w:spacing w:before="120" w:after="120"/>
              <w:jc w:val="center"/>
              <w:rPr>
                <w:rFonts w:ascii="Times New Roman" w:hAnsi="Times New Roman"/>
                <w:b/>
                <w:sz w:val="24"/>
                <w:szCs w:val="24"/>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906271">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00A912CA">
        <w:trPr>
          <w:jc w:val="center"/>
        </w:trPr>
        <w:tc>
          <w:tcPr>
            <w:tcW w:w="10133" w:type="dxa"/>
          </w:tcPr>
          <w:p w14:paraId="31EACAD5" w14:textId="0614B899" w:rsidR="00445757" w:rsidRPr="00633744" w:rsidRDefault="00445757" w:rsidP="009A7321">
            <w:pPr>
              <w:spacing w:before="120" w:after="120"/>
              <w:jc w:val="both"/>
              <w:rPr>
                <w:rFonts w:ascii="Times New Roman" w:hAnsi="Times New Roman"/>
                <w:b/>
                <w:bCs/>
                <w:sz w:val="24"/>
                <w:szCs w:val="24"/>
              </w:rPr>
            </w:pPr>
            <w:r w:rsidRPr="00633744">
              <w:rPr>
                <w:rFonts w:ascii="Times New Roman" w:hAnsi="Times New Roman"/>
                <w:b/>
                <w:bCs/>
                <w:sz w:val="24"/>
                <w:szCs w:val="24"/>
              </w:rPr>
              <w:t>Point 1.2:</w:t>
            </w:r>
          </w:p>
          <w:p w14:paraId="28393FA6" w14:textId="0E2E84CD" w:rsidR="00B14DF8" w:rsidRPr="00B14DF8" w:rsidRDefault="00B14DF8" w:rsidP="009A7321">
            <w:pPr>
              <w:spacing w:before="120" w:after="120"/>
              <w:jc w:val="both"/>
              <w:rPr>
                <w:rFonts w:ascii="Times New Roman" w:hAnsi="Times New Roman"/>
                <w:sz w:val="24"/>
                <w:szCs w:val="24"/>
              </w:rPr>
            </w:pPr>
            <w:r w:rsidRPr="00B14DF8">
              <w:rPr>
                <w:rFonts w:ascii="Times New Roman" w:hAnsi="Times New Roman"/>
                <w:sz w:val="24"/>
                <w:szCs w:val="24"/>
              </w:rPr>
              <w:t>The Commission (DG TRADE) is working to enhance the EU's global engagement, with the aim of developing and diversifying investment, production, and trade with reliable partners. To achieve this, the Commission cooperates with third countries to foster mutually beneficial partnerships, ultimately leading to secure, resilient, affordable, and diversified value chains.</w:t>
            </w:r>
          </w:p>
          <w:p w14:paraId="694E97D4" w14:textId="77777777" w:rsidR="00B14DF8" w:rsidRPr="00B14DF8" w:rsidRDefault="00B14DF8" w:rsidP="009A7321">
            <w:pPr>
              <w:spacing w:before="120" w:after="120"/>
              <w:jc w:val="both"/>
              <w:rPr>
                <w:rFonts w:ascii="Times New Roman" w:hAnsi="Times New Roman"/>
                <w:sz w:val="24"/>
                <w:szCs w:val="24"/>
              </w:rPr>
            </w:pPr>
            <w:r w:rsidRPr="00B14DF8">
              <w:rPr>
                <w:rFonts w:ascii="Times New Roman" w:hAnsi="Times New Roman"/>
                <w:sz w:val="24"/>
                <w:szCs w:val="24"/>
              </w:rPr>
              <w:t>For instance, the Commission is strengthening the World Trade Organization (WTO) to ensure fair trade practices and prevent the emergence of new trade barriers, particularly in the raw materials sector. Additionally, it is expanding the EU's network of trade agreements with resource-rich countries to promote predictability and investment.</w:t>
            </w:r>
          </w:p>
          <w:p w14:paraId="7B14498A" w14:textId="77777777" w:rsidR="00B14DF8" w:rsidRPr="00B14DF8" w:rsidRDefault="00B14DF8" w:rsidP="009A7321">
            <w:pPr>
              <w:spacing w:before="120" w:after="120"/>
              <w:jc w:val="both"/>
              <w:rPr>
                <w:rFonts w:ascii="Times New Roman" w:hAnsi="Times New Roman"/>
                <w:sz w:val="24"/>
                <w:szCs w:val="24"/>
              </w:rPr>
            </w:pPr>
            <w:r w:rsidRPr="00B14DF8">
              <w:rPr>
                <w:rFonts w:ascii="Times New Roman" w:hAnsi="Times New Roman"/>
                <w:sz w:val="24"/>
                <w:szCs w:val="24"/>
              </w:rPr>
              <w:t>The Commission is also developing customized trade agreements, such as the Clean Trade and Investment Partnerships (CTIP), tailored to meet the specific needs of its trading partners. Furthermore, it is establishing strategic partnerships on critical raw materials, building on the existing 14 partnerships, including recent agreements with Norway, Uzbekistan, Serbia, and Australia.</w:t>
            </w:r>
          </w:p>
          <w:p w14:paraId="1F319511" w14:textId="5EE8A5E9" w:rsidR="001F6B88" w:rsidRPr="00633744" w:rsidRDefault="00461C75" w:rsidP="009A7321">
            <w:pPr>
              <w:spacing w:before="120" w:after="120"/>
              <w:jc w:val="both"/>
              <w:rPr>
                <w:rFonts w:ascii="Times New Roman" w:hAnsi="Times New Roman"/>
                <w:b/>
                <w:bCs/>
                <w:sz w:val="24"/>
                <w:szCs w:val="24"/>
              </w:rPr>
            </w:pPr>
            <w:r w:rsidRPr="00633744">
              <w:rPr>
                <w:rFonts w:ascii="Times New Roman" w:hAnsi="Times New Roman"/>
                <w:b/>
                <w:bCs/>
                <w:sz w:val="24"/>
                <w:szCs w:val="24"/>
              </w:rPr>
              <w:t>P</w:t>
            </w:r>
            <w:r w:rsidR="00886B35" w:rsidRPr="00633744">
              <w:rPr>
                <w:rFonts w:ascii="Times New Roman" w:hAnsi="Times New Roman"/>
                <w:b/>
                <w:bCs/>
                <w:sz w:val="24"/>
                <w:szCs w:val="24"/>
              </w:rPr>
              <w:t>oint 1.3</w:t>
            </w:r>
            <w:r w:rsidR="001F6B88" w:rsidRPr="00633744">
              <w:rPr>
                <w:rFonts w:ascii="Times New Roman" w:hAnsi="Times New Roman"/>
                <w:b/>
                <w:bCs/>
                <w:sz w:val="24"/>
                <w:szCs w:val="24"/>
              </w:rPr>
              <w:t>:</w:t>
            </w:r>
          </w:p>
          <w:p w14:paraId="3245E046" w14:textId="77777777" w:rsidR="00B80F66" w:rsidRPr="00B80F66" w:rsidRDefault="00B80F66" w:rsidP="009A7321">
            <w:pPr>
              <w:spacing w:before="120" w:after="120"/>
              <w:jc w:val="both"/>
              <w:rPr>
                <w:rFonts w:ascii="Times New Roman" w:hAnsi="Times New Roman"/>
                <w:sz w:val="24"/>
                <w:szCs w:val="24"/>
              </w:rPr>
            </w:pPr>
            <w:r w:rsidRPr="00B80F66">
              <w:rPr>
                <w:rFonts w:ascii="Times New Roman" w:hAnsi="Times New Roman"/>
                <w:sz w:val="24"/>
                <w:szCs w:val="24"/>
              </w:rPr>
              <w:t>The Commission (DG TRADE) endorses the recommendation to expand the network of trade agreements and promote plurilateral and multilateral agreements. Indeed, the Commission is actively working towards this objective.</w:t>
            </w:r>
          </w:p>
          <w:p w14:paraId="150F8DE7" w14:textId="340100E9" w:rsidR="00B80F66" w:rsidRPr="00B80F66" w:rsidRDefault="00B80F66" w:rsidP="009A7321">
            <w:pPr>
              <w:spacing w:before="120" w:after="120"/>
              <w:jc w:val="both"/>
              <w:rPr>
                <w:rFonts w:ascii="Times New Roman" w:hAnsi="Times New Roman"/>
                <w:sz w:val="24"/>
                <w:szCs w:val="24"/>
              </w:rPr>
            </w:pPr>
            <w:r w:rsidRPr="00B80F66">
              <w:rPr>
                <w:rFonts w:ascii="Times New Roman" w:hAnsi="Times New Roman"/>
                <w:sz w:val="24"/>
                <w:szCs w:val="24"/>
              </w:rPr>
              <w:t xml:space="preserve">New Free Trade Agreements (FTAs) not only provide market access and reduce import costs but also mitigate uncertainty </w:t>
            </w:r>
            <w:r w:rsidR="00906271" w:rsidRPr="0063595D">
              <w:rPr>
                <w:rFonts w:ascii="Times New Roman" w:hAnsi="Times New Roman"/>
                <w:b/>
                <w:sz w:val="24"/>
                <w:szCs w:val="24"/>
                <w:lang w:val="en-IE"/>
              </w:rPr>
              <w:t>–</w:t>
            </w:r>
            <w:r w:rsidRPr="00B80F66">
              <w:rPr>
                <w:rFonts w:ascii="Times New Roman" w:hAnsi="Times New Roman"/>
                <w:sz w:val="24"/>
                <w:szCs w:val="24"/>
              </w:rPr>
              <w:t xml:space="preserve"> a crucial factor in the current global context </w:t>
            </w:r>
            <w:r w:rsidR="00906271" w:rsidRPr="0063595D">
              <w:rPr>
                <w:rFonts w:ascii="Times New Roman" w:hAnsi="Times New Roman"/>
                <w:b/>
                <w:sz w:val="24"/>
                <w:szCs w:val="24"/>
                <w:lang w:val="en-IE"/>
              </w:rPr>
              <w:t>–</w:t>
            </w:r>
            <w:r w:rsidRPr="00B80F66">
              <w:rPr>
                <w:rFonts w:ascii="Times New Roman" w:hAnsi="Times New Roman"/>
                <w:sz w:val="24"/>
                <w:szCs w:val="24"/>
              </w:rPr>
              <w:t xml:space="preserve"> by establishing a legal framework for trade. Furthermore, FTAs enable the efficient diversification of supply sources without resorting to reshoring. The EU's trade agreements have already saved Europeans </w:t>
            </w:r>
            <w:r w:rsidR="00812A95">
              <w:rPr>
                <w:rFonts w:ascii="Times New Roman" w:hAnsi="Times New Roman"/>
                <w:sz w:val="24"/>
                <w:szCs w:val="24"/>
              </w:rPr>
              <w:t xml:space="preserve">EUR </w:t>
            </w:r>
            <w:r w:rsidRPr="00B80F66">
              <w:rPr>
                <w:rFonts w:ascii="Times New Roman" w:hAnsi="Times New Roman"/>
                <w:sz w:val="24"/>
                <w:szCs w:val="24"/>
              </w:rPr>
              <w:t>24 billion per year, and it is essential to note that trade wars would lead to higher prices, despite any potential deflationary effects resulting from economic slowdowns caused by trade disruptions.</w:t>
            </w:r>
          </w:p>
          <w:p w14:paraId="38AC95D9" w14:textId="07D3265B" w:rsidR="00B80F66" w:rsidRPr="00B80F66" w:rsidRDefault="00B80F66" w:rsidP="009A7321">
            <w:pPr>
              <w:spacing w:before="120" w:after="120"/>
              <w:jc w:val="both"/>
              <w:rPr>
                <w:rFonts w:ascii="Times New Roman" w:hAnsi="Times New Roman"/>
                <w:sz w:val="24"/>
                <w:szCs w:val="24"/>
              </w:rPr>
            </w:pPr>
            <w:r w:rsidRPr="00B80F66">
              <w:rPr>
                <w:rFonts w:ascii="Times New Roman" w:hAnsi="Times New Roman"/>
                <w:sz w:val="24"/>
                <w:szCs w:val="24"/>
              </w:rPr>
              <w:t xml:space="preserve">European consumers benefit significantly from trade, as they gain access to a wider range of goods at lower prices. The EU's trade agreements have made a substantial contribution to their purchasing power, saving them </w:t>
            </w:r>
            <w:r w:rsidR="008170F5">
              <w:rPr>
                <w:rFonts w:ascii="Times New Roman" w:hAnsi="Times New Roman"/>
                <w:sz w:val="24"/>
                <w:szCs w:val="24"/>
              </w:rPr>
              <w:t xml:space="preserve">EUR </w:t>
            </w:r>
            <w:r w:rsidRPr="00B80F66">
              <w:rPr>
                <w:rFonts w:ascii="Times New Roman" w:hAnsi="Times New Roman"/>
                <w:sz w:val="24"/>
                <w:szCs w:val="24"/>
              </w:rPr>
              <w:t>24 billion annually.</w:t>
            </w:r>
          </w:p>
          <w:p w14:paraId="488E1862" w14:textId="2286B234" w:rsidR="00B80F66" w:rsidRPr="00B80F66" w:rsidRDefault="00B80F66" w:rsidP="009A7321">
            <w:pPr>
              <w:spacing w:before="120" w:after="120"/>
              <w:jc w:val="both"/>
              <w:rPr>
                <w:rFonts w:ascii="Times New Roman" w:hAnsi="Times New Roman"/>
                <w:sz w:val="24"/>
                <w:szCs w:val="24"/>
              </w:rPr>
            </w:pPr>
            <w:r w:rsidRPr="00B80F66">
              <w:rPr>
                <w:rFonts w:ascii="Times New Roman" w:hAnsi="Times New Roman"/>
                <w:sz w:val="24"/>
                <w:szCs w:val="24"/>
              </w:rPr>
              <w:t>Over the years, the EU has invested considerable political capital in engaging with other WTO members, including those that have been less enthusiastic about reform, such as the US since the Trump administration, and countries that are comfortable with the status quo</w:t>
            </w:r>
            <w:r w:rsidR="008170F5">
              <w:t xml:space="preserve"> </w:t>
            </w:r>
            <w:r w:rsidR="008170F5" w:rsidRPr="008170F5">
              <w:rPr>
                <w:rFonts w:ascii="Times New Roman" w:hAnsi="Times New Roman"/>
                <w:sz w:val="24"/>
                <w:szCs w:val="24"/>
              </w:rPr>
              <w:t>like India and China</w:t>
            </w:r>
            <w:r w:rsidRPr="00B80F66">
              <w:rPr>
                <w:rFonts w:ascii="Times New Roman" w:hAnsi="Times New Roman"/>
                <w:sz w:val="24"/>
                <w:szCs w:val="24"/>
              </w:rPr>
              <w:t xml:space="preserve">. The </w:t>
            </w:r>
            <w:r w:rsidRPr="00B80F66">
              <w:rPr>
                <w:rFonts w:ascii="Times New Roman" w:hAnsi="Times New Roman"/>
                <w:sz w:val="24"/>
                <w:szCs w:val="24"/>
              </w:rPr>
              <w:lastRenderedPageBreak/>
              <w:t>EU is widely regarded as the only major WTO member fully committed to reforming the organization.</w:t>
            </w:r>
          </w:p>
          <w:p w14:paraId="53444C22" w14:textId="77777777" w:rsidR="00B80F66" w:rsidRPr="00B80F66" w:rsidRDefault="00B80F66" w:rsidP="009A7321">
            <w:pPr>
              <w:spacing w:before="120" w:after="120"/>
              <w:jc w:val="both"/>
              <w:rPr>
                <w:rFonts w:ascii="Times New Roman" w:hAnsi="Times New Roman"/>
                <w:sz w:val="24"/>
                <w:szCs w:val="24"/>
              </w:rPr>
            </w:pPr>
            <w:r w:rsidRPr="00B80F66">
              <w:rPr>
                <w:rFonts w:ascii="Times New Roman" w:hAnsi="Times New Roman"/>
                <w:sz w:val="24"/>
                <w:szCs w:val="24"/>
              </w:rPr>
              <w:t>The next WTO Ministerial Conference (MC14), scheduled to take place in early 2026 in Cameroon, will be a pivotal moment for the WTO to demonstrate its ability to deliver on its reform agenda. This includes making tangible progress towards establishing a fully functioning, two-tier dispute settlement system, or transitioning to the Multi-Party Interim Appeal Arbitration Arrangement. It is essential for the WTO to address the pressing issues affecting global trade today. MC14 is likely to face heightened expectations for concrete outcomes on development, agriculture, and food security, making engagement with African partners crucial in the lead-up to the conference.</w:t>
            </w:r>
          </w:p>
          <w:p w14:paraId="7070E56D" w14:textId="4C4AE226" w:rsidR="00F37C6A" w:rsidRPr="00633744" w:rsidRDefault="00531541" w:rsidP="009A7321">
            <w:pPr>
              <w:spacing w:before="120" w:after="120"/>
              <w:jc w:val="both"/>
              <w:rPr>
                <w:rFonts w:ascii="Times New Roman" w:hAnsi="Times New Roman"/>
                <w:b/>
                <w:bCs/>
                <w:sz w:val="24"/>
                <w:szCs w:val="24"/>
              </w:rPr>
            </w:pPr>
            <w:r w:rsidRPr="00633744">
              <w:rPr>
                <w:rFonts w:ascii="Times New Roman" w:hAnsi="Times New Roman"/>
                <w:b/>
                <w:bCs/>
                <w:sz w:val="24"/>
                <w:szCs w:val="24"/>
              </w:rPr>
              <w:t>P</w:t>
            </w:r>
            <w:r w:rsidR="007B5901" w:rsidRPr="00633744">
              <w:rPr>
                <w:rFonts w:ascii="Times New Roman" w:hAnsi="Times New Roman"/>
                <w:b/>
                <w:bCs/>
                <w:sz w:val="24"/>
                <w:szCs w:val="24"/>
              </w:rPr>
              <w:t>oint 1.4</w:t>
            </w:r>
            <w:r w:rsidR="00F37C6A" w:rsidRPr="00633744">
              <w:rPr>
                <w:rFonts w:ascii="Times New Roman" w:hAnsi="Times New Roman"/>
                <w:b/>
                <w:bCs/>
                <w:sz w:val="24"/>
                <w:szCs w:val="24"/>
              </w:rPr>
              <w:t>:</w:t>
            </w:r>
          </w:p>
          <w:p w14:paraId="3E50933A" w14:textId="258CB473" w:rsidR="00812A95" w:rsidRPr="00812A95" w:rsidRDefault="00812A95" w:rsidP="009A7321">
            <w:pPr>
              <w:spacing w:before="120" w:after="120"/>
              <w:jc w:val="both"/>
              <w:rPr>
                <w:rFonts w:ascii="Times New Roman" w:hAnsi="Times New Roman"/>
                <w:sz w:val="24"/>
                <w:szCs w:val="24"/>
              </w:rPr>
            </w:pPr>
            <w:r w:rsidRPr="00812A95">
              <w:rPr>
                <w:rFonts w:ascii="Times New Roman" w:hAnsi="Times New Roman"/>
                <w:sz w:val="24"/>
                <w:szCs w:val="24"/>
              </w:rPr>
              <w:t xml:space="preserve">The Commission (DG TRADE) is highly active </w:t>
            </w:r>
            <w:proofErr w:type="gramStart"/>
            <w:r w:rsidRPr="00812A95">
              <w:rPr>
                <w:rFonts w:ascii="Times New Roman" w:hAnsi="Times New Roman"/>
                <w:sz w:val="24"/>
                <w:szCs w:val="24"/>
              </w:rPr>
              <w:t>in the area of</w:t>
            </w:r>
            <w:proofErr w:type="gramEnd"/>
            <w:r w:rsidRPr="00812A95">
              <w:rPr>
                <w:rFonts w:ascii="Times New Roman" w:hAnsi="Times New Roman"/>
                <w:sz w:val="24"/>
                <w:szCs w:val="24"/>
              </w:rPr>
              <w:t xml:space="preserve"> Trade Defence, where the EU's trade defence instruments are playing an increasingly vital role in combating unfair trade practices across all sectors. These measures are essential to the survival of key European industries, such as steel, chemical products, aluminium, wood, and ceramics. Moreover, trade defence measures not only help to create a level playing </w:t>
            </w:r>
            <w:r w:rsidR="00633744" w:rsidRPr="00812A95">
              <w:rPr>
                <w:rFonts w:ascii="Times New Roman" w:hAnsi="Times New Roman"/>
                <w:sz w:val="24"/>
                <w:szCs w:val="24"/>
              </w:rPr>
              <w:t>field but</w:t>
            </w:r>
            <w:r w:rsidRPr="00812A95">
              <w:rPr>
                <w:rFonts w:ascii="Times New Roman" w:hAnsi="Times New Roman"/>
                <w:sz w:val="24"/>
                <w:szCs w:val="24"/>
              </w:rPr>
              <w:t xml:space="preserve"> also contribute to the achievement of broader EU policy objectives, including the Green Deal and the Digital Agenda, by safeguarding the production of critical components in the renewable energy and digital value chains.</w:t>
            </w:r>
          </w:p>
          <w:p w14:paraId="0F5F6808" w14:textId="77777777" w:rsidR="0049246C" w:rsidRDefault="00812A95" w:rsidP="009A7321">
            <w:pPr>
              <w:spacing w:before="120" w:after="120"/>
              <w:jc w:val="both"/>
              <w:rPr>
                <w:rFonts w:ascii="Times New Roman" w:hAnsi="Times New Roman"/>
                <w:sz w:val="24"/>
                <w:szCs w:val="24"/>
              </w:rPr>
            </w:pPr>
            <w:r w:rsidRPr="00812A95">
              <w:rPr>
                <w:rFonts w:ascii="Times New Roman" w:hAnsi="Times New Roman"/>
                <w:sz w:val="24"/>
                <w:szCs w:val="24"/>
              </w:rPr>
              <w:t xml:space="preserve">In addition, the Commission closely monitors trade defence investigations and measures implemented by third </w:t>
            </w:r>
            <w:r w:rsidR="00154B59" w:rsidRPr="00812A95">
              <w:rPr>
                <w:rFonts w:ascii="Times New Roman" w:hAnsi="Times New Roman"/>
                <w:sz w:val="24"/>
                <w:szCs w:val="24"/>
              </w:rPr>
              <w:t>countries and</w:t>
            </w:r>
            <w:r w:rsidRPr="00812A95">
              <w:rPr>
                <w:rFonts w:ascii="Times New Roman" w:hAnsi="Times New Roman"/>
                <w:sz w:val="24"/>
                <w:szCs w:val="24"/>
              </w:rPr>
              <w:t xml:space="preserve"> intervenes to support EU industries with the aim of mitigating the negative impact of unjustified or unfair trade defence measures on EU companies operating in export markets</w:t>
            </w:r>
            <w:r>
              <w:rPr>
                <w:rFonts w:ascii="Times New Roman" w:hAnsi="Times New Roman"/>
                <w:sz w:val="24"/>
                <w:szCs w:val="24"/>
              </w:rPr>
              <w:t>.</w:t>
            </w:r>
          </w:p>
          <w:p w14:paraId="62DF6217" w14:textId="10021891" w:rsidR="00143F4D" w:rsidRDefault="00143F4D" w:rsidP="009A7321">
            <w:pPr>
              <w:spacing w:before="120" w:after="120"/>
              <w:jc w:val="both"/>
              <w:rPr>
                <w:rFonts w:ascii="Times New Roman" w:hAnsi="Times New Roman"/>
                <w:b/>
                <w:bCs/>
                <w:sz w:val="24"/>
                <w:szCs w:val="24"/>
              </w:rPr>
            </w:pPr>
            <w:r>
              <w:rPr>
                <w:rFonts w:ascii="Times New Roman" w:hAnsi="Times New Roman"/>
                <w:b/>
                <w:bCs/>
                <w:sz w:val="24"/>
                <w:szCs w:val="24"/>
              </w:rPr>
              <w:t>Point 1.7</w:t>
            </w:r>
            <w:r w:rsidR="00906271">
              <w:rPr>
                <w:rFonts w:ascii="Times New Roman" w:hAnsi="Times New Roman"/>
                <w:b/>
                <w:bCs/>
                <w:sz w:val="24"/>
                <w:szCs w:val="24"/>
              </w:rPr>
              <w:t>:</w:t>
            </w:r>
          </w:p>
          <w:p w14:paraId="2EC2EF7D" w14:textId="77777777" w:rsidR="00143F4D" w:rsidRDefault="00143F4D" w:rsidP="009A7321">
            <w:pPr>
              <w:spacing w:before="120" w:after="120"/>
              <w:jc w:val="both"/>
              <w:rPr>
                <w:rFonts w:ascii="Times New Roman" w:hAnsi="Times New Roman"/>
                <w:sz w:val="24"/>
                <w:szCs w:val="24"/>
              </w:rPr>
            </w:pPr>
            <w:r>
              <w:rPr>
                <w:rFonts w:ascii="Times New Roman" w:hAnsi="Times New Roman"/>
                <w:sz w:val="24"/>
                <w:szCs w:val="24"/>
              </w:rPr>
              <w:t>The Commission put forward the Union of Skills</w:t>
            </w:r>
            <w:r>
              <w:rPr>
                <w:rStyle w:val="FootnoteReference"/>
                <w:rFonts w:ascii="Times New Roman" w:hAnsi="Times New Roman"/>
                <w:sz w:val="24"/>
                <w:szCs w:val="24"/>
              </w:rPr>
              <w:footnoteReference w:id="1"/>
            </w:r>
            <w:r>
              <w:rPr>
                <w:rFonts w:ascii="Times New Roman" w:hAnsi="Times New Roman"/>
                <w:sz w:val="24"/>
                <w:szCs w:val="24"/>
              </w:rPr>
              <w:t xml:space="preserve"> in March 2025, to elevate the importance education and training for Europe’s competitiveness, resilience, innovation and democracy. The Union of Skills consists of initiatives which aim to deliver </w:t>
            </w:r>
            <w:r w:rsidRPr="002C62C3">
              <w:rPr>
                <w:rFonts w:ascii="Times New Roman" w:hAnsi="Times New Roman"/>
                <w:sz w:val="24"/>
                <w:szCs w:val="24"/>
              </w:rPr>
              <w:t>higher levels of basic skills</w:t>
            </w:r>
            <w:r>
              <w:rPr>
                <w:rFonts w:ascii="Times New Roman" w:hAnsi="Times New Roman"/>
                <w:sz w:val="24"/>
                <w:szCs w:val="24"/>
              </w:rPr>
              <w:t xml:space="preserve"> for all; p</w:t>
            </w:r>
            <w:r w:rsidRPr="002C62C3">
              <w:rPr>
                <w:rFonts w:ascii="Times New Roman" w:hAnsi="Times New Roman"/>
                <w:sz w:val="24"/>
                <w:szCs w:val="24"/>
              </w:rPr>
              <w:t>rovide lifelong opportunities for adults to regularly upskill and reskill</w:t>
            </w:r>
            <w:r>
              <w:rPr>
                <w:rFonts w:ascii="Times New Roman" w:hAnsi="Times New Roman"/>
                <w:sz w:val="24"/>
                <w:szCs w:val="24"/>
              </w:rPr>
              <w:t xml:space="preserve">; </w:t>
            </w:r>
            <w:r w:rsidRPr="002C62C3">
              <w:rPr>
                <w:rFonts w:ascii="Times New Roman" w:hAnsi="Times New Roman"/>
                <w:sz w:val="24"/>
                <w:szCs w:val="24"/>
              </w:rPr>
              <w:t>f</w:t>
            </w:r>
            <w:r>
              <w:rPr>
                <w:rFonts w:ascii="Times New Roman" w:hAnsi="Times New Roman"/>
                <w:sz w:val="24"/>
                <w:szCs w:val="24"/>
              </w:rPr>
              <w:t>acilitate labour mobility through</w:t>
            </w:r>
            <w:r w:rsidRPr="002C62C3">
              <w:rPr>
                <w:rFonts w:ascii="Times New Roman" w:hAnsi="Times New Roman"/>
                <w:sz w:val="24"/>
                <w:szCs w:val="24"/>
              </w:rPr>
              <w:t xml:space="preserve"> recruitment by businesses across the EU</w:t>
            </w:r>
            <w:r>
              <w:rPr>
                <w:rFonts w:ascii="Times New Roman" w:hAnsi="Times New Roman"/>
                <w:sz w:val="24"/>
                <w:szCs w:val="24"/>
              </w:rPr>
              <w:t>;</w:t>
            </w:r>
            <w:r w:rsidRPr="002C62C3">
              <w:rPr>
                <w:rFonts w:ascii="Times New Roman" w:hAnsi="Times New Roman"/>
                <w:sz w:val="24"/>
                <w:szCs w:val="24"/>
              </w:rPr>
              <w:t xml:space="preserve"> </w:t>
            </w:r>
            <w:r>
              <w:rPr>
                <w:rFonts w:ascii="Times New Roman" w:hAnsi="Times New Roman"/>
                <w:sz w:val="24"/>
                <w:szCs w:val="24"/>
              </w:rPr>
              <w:t xml:space="preserve">and attract </w:t>
            </w:r>
            <w:r w:rsidRPr="002C62C3">
              <w:rPr>
                <w:rFonts w:ascii="Times New Roman" w:hAnsi="Times New Roman"/>
                <w:sz w:val="24"/>
                <w:szCs w:val="24"/>
              </w:rPr>
              <w:t>and retain the skills and talents needed in the European economy</w:t>
            </w:r>
            <w:r>
              <w:rPr>
                <w:rFonts w:ascii="Times New Roman" w:hAnsi="Times New Roman"/>
                <w:sz w:val="24"/>
                <w:szCs w:val="24"/>
              </w:rPr>
              <w:t>.</w:t>
            </w:r>
          </w:p>
          <w:p w14:paraId="7403A7D3" w14:textId="21F37666" w:rsidR="00143F4D" w:rsidRDefault="00143F4D" w:rsidP="009A7321">
            <w:pPr>
              <w:spacing w:before="120" w:after="120"/>
              <w:jc w:val="both"/>
              <w:rPr>
                <w:rFonts w:ascii="Times New Roman" w:hAnsi="Times New Roman"/>
                <w:b/>
                <w:sz w:val="24"/>
                <w:szCs w:val="24"/>
              </w:rPr>
            </w:pPr>
            <w:r>
              <w:rPr>
                <w:rFonts w:ascii="Times New Roman" w:hAnsi="Times New Roman"/>
                <w:sz w:val="24"/>
                <w:szCs w:val="24"/>
              </w:rPr>
              <w:t>When it comes to attracting and retaining talents from abroad, r</w:t>
            </w:r>
            <w:r w:rsidRPr="00231E10">
              <w:rPr>
                <w:rFonts w:ascii="Times New Roman" w:hAnsi="Times New Roman"/>
                <w:iCs/>
                <w:sz w:val="24"/>
                <w:szCs w:val="24"/>
              </w:rPr>
              <w:t xml:space="preserve">ecent developments in European higher education can make it </w:t>
            </w:r>
            <w:r w:rsidRPr="0054720A">
              <w:rPr>
                <w:rFonts w:ascii="Times New Roman" w:hAnsi="Times New Roman"/>
                <w:iCs/>
                <w:sz w:val="24"/>
                <w:szCs w:val="24"/>
              </w:rPr>
              <w:t xml:space="preserve">even more attractive for third country students and academics to come to the EU and </w:t>
            </w:r>
            <w:r w:rsidR="008170F5">
              <w:rPr>
                <w:rFonts w:ascii="Times New Roman" w:hAnsi="Times New Roman"/>
                <w:iCs/>
                <w:sz w:val="24"/>
                <w:szCs w:val="24"/>
              </w:rPr>
              <w:t>make us of the</w:t>
            </w:r>
            <w:r w:rsidRPr="0054720A">
              <w:rPr>
                <w:rFonts w:ascii="Times New Roman" w:hAnsi="Times New Roman"/>
                <w:iCs/>
                <w:sz w:val="24"/>
                <w:szCs w:val="24"/>
              </w:rPr>
              <w:t xml:space="preserve"> possibilities under </w:t>
            </w:r>
            <w:r>
              <w:rPr>
                <w:rFonts w:ascii="Times New Roman" w:hAnsi="Times New Roman"/>
                <w:iCs/>
                <w:sz w:val="24"/>
                <w:szCs w:val="24"/>
              </w:rPr>
              <w:t xml:space="preserve">the </w:t>
            </w:r>
            <w:r w:rsidRPr="0054720A">
              <w:rPr>
                <w:rFonts w:ascii="Times New Roman" w:hAnsi="Times New Roman"/>
                <w:iCs/>
                <w:sz w:val="24"/>
                <w:szCs w:val="24"/>
              </w:rPr>
              <w:t>Erasmus+</w:t>
            </w:r>
            <w:r>
              <w:rPr>
                <w:rFonts w:ascii="Times New Roman" w:hAnsi="Times New Roman"/>
                <w:iCs/>
                <w:sz w:val="24"/>
                <w:szCs w:val="24"/>
              </w:rPr>
              <w:t xml:space="preserve"> programme</w:t>
            </w:r>
            <w:r>
              <w:rPr>
                <w:rStyle w:val="FootnoteReference"/>
                <w:rFonts w:ascii="Times New Roman" w:hAnsi="Times New Roman"/>
                <w:iCs/>
                <w:sz w:val="24"/>
                <w:szCs w:val="24"/>
              </w:rPr>
              <w:footnoteReference w:id="2"/>
            </w:r>
            <w:r w:rsidRPr="0054720A">
              <w:rPr>
                <w:rFonts w:ascii="Times New Roman" w:hAnsi="Times New Roman"/>
                <w:iCs/>
                <w:sz w:val="24"/>
                <w:szCs w:val="24"/>
              </w:rPr>
              <w:t xml:space="preserve">. For example, the now </w:t>
            </w:r>
            <w:r w:rsidRPr="00900FD8">
              <w:rPr>
                <w:rFonts w:ascii="Times New Roman" w:hAnsi="Times New Roman"/>
                <w:iCs/>
                <w:sz w:val="24"/>
                <w:szCs w:val="24"/>
              </w:rPr>
              <w:t>65 European Universities alliances</w:t>
            </w:r>
            <w:r>
              <w:rPr>
                <w:rStyle w:val="FootnoteReference"/>
                <w:rFonts w:ascii="Times New Roman" w:hAnsi="Times New Roman"/>
                <w:iCs/>
                <w:sz w:val="24"/>
                <w:szCs w:val="24"/>
              </w:rPr>
              <w:footnoteReference w:id="3"/>
            </w:r>
            <w:r w:rsidRPr="0054720A">
              <w:rPr>
                <w:rFonts w:ascii="Times New Roman" w:hAnsi="Times New Roman"/>
                <w:iCs/>
                <w:sz w:val="24"/>
                <w:szCs w:val="24"/>
              </w:rPr>
              <w:t xml:space="preserve"> funded by </w:t>
            </w:r>
            <w:r>
              <w:rPr>
                <w:rFonts w:ascii="Times New Roman" w:hAnsi="Times New Roman"/>
                <w:iCs/>
                <w:sz w:val="24"/>
                <w:szCs w:val="24"/>
              </w:rPr>
              <w:t xml:space="preserve">the </w:t>
            </w:r>
            <w:r w:rsidRPr="0054720A">
              <w:rPr>
                <w:rFonts w:ascii="Times New Roman" w:hAnsi="Times New Roman"/>
                <w:iCs/>
                <w:sz w:val="24"/>
                <w:szCs w:val="24"/>
              </w:rPr>
              <w:t xml:space="preserve">Erasmus+ </w:t>
            </w:r>
            <w:r>
              <w:rPr>
                <w:rFonts w:ascii="Times New Roman" w:hAnsi="Times New Roman"/>
                <w:iCs/>
                <w:sz w:val="24"/>
                <w:szCs w:val="24"/>
              </w:rPr>
              <w:t xml:space="preserve">programme </w:t>
            </w:r>
            <w:r w:rsidRPr="0054720A">
              <w:rPr>
                <w:rFonts w:ascii="Times New Roman" w:hAnsi="Times New Roman"/>
                <w:iCs/>
                <w:sz w:val="24"/>
                <w:szCs w:val="24"/>
              </w:rPr>
              <w:t xml:space="preserve">are a key asset for Europe global talent attractiveness, providing access to </w:t>
            </w:r>
            <w:r w:rsidRPr="0054720A">
              <w:rPr>
                <w:rFonts w:ascii="Times New Roman" w:hAnsi="Times New Roman"/>
                <w:sz w:val="24"/>
                <w:szCs w:val="24"/>
              </w:rPr>
              <w:t xml:space="preserve">multiple </w:t>
            </w:r>
            <w:r w:rsidRPr="0054720A">
              <w:rPr>
                <w:rFonts w:ascii="Times New Roman" w:hAnsi="Times New Roman"/>
                <w:iCs/>
                <w:sz w:val="24"/>
                <w:szCs w:val="24"/>
              </w:rPr>
              <w:t xml:space="preserve">universities in Europe in one go. </w:t>
            </w:r>
            <w:r>
              <w:rPr>
                <w:rFonts w:ascii="Times New Roman" w:hAnsi="Times New Roman"/>
                <w:iCs/>
                <w:sz w:val="24"/>
                <w:szCs w:val="24"/>
              </w:rPr>
              <w:t>The Commission is</w:t>
            </w:r>
            <w:r w:rsidRPr="0054720A">
              <w:rPr>
                <w:rFonts w:ascii="Times New Roman" w:hAnsi="Times New Roman"/>
                <w:iCs/>
                <w:sz w:val="24"/>
                <w:szCs w:val="24"/>
              </w:rPr>
              <w:t xml:space="preserve"> also working towards a Joint </w:t>
            </w:r>
            <w:r w:rsidRPr="00900FD8">
              <w:rPr>
                <w:rFonts w:ascii="Times New Roman" w:hAnsi="Times New Roman"/>
                <w:iCs/>
                <w:sz w:val="24"/>
                <w:szCs w:val="24"/>
              </w:rPr>
              <w:t>European degree label</w:t>
            </w:r>
            <w:r w:rsidRPr="0054720A">
              <w:rPr>
                <w:rFonts w:ascii="Times New Roman" w:hAnsi="Times New Roman"/>
                <w:sz w:val="24"/>
                <w:szCs w:val="24"/>
              </w:rPr>
              <w:t>, which will open possibilities to earn a degree from several universities in Europe.</w:t>
            </w:r>
            <w:r w:rsidRPr="0054720A">
              <w:rPr>
                <w:rFonts w:ascii="Times New Roman" w:hAnsi="Times New Roman"/>
                <w:iCs/>
                <w:sz w:val="24"/>
                <w:szCs w:val="24"/>
              </w:rPr>
              <w:t xml:space="preserve"> </w:t>
            </w:r>
            <w:r>
              <w:rPr>
                <w:rFonts w:ascii="Times New Roman" w:hAnsi="Times New Roman"/>
                <w:iCs/>
                <w:sz w:val="24"/>
                <w:szCs w:val="24"/>
              </w:rPr>
              <w:t>S</w:t>
            </w:r>
            <w:r w:rsidRPr="0054720A">
              <w:rPr>
                <w:rFonts w:ascii="Times New Roman" w:hAnsi="Times New Roman"/>
                <w:iCs/>
                <w:sz w:val="24"/>
                <w:szCs w:val="24"/>
              </w:rPr>
              <w:t xml:space="preserve">tudents </w:t>
            </w:r>
            <w:r>
              <w:rPr>
                <w:rFonts w:ascii="Times New Roman" w:hAnsi="Times New Roman"/>
                <w:iCs/>
                <w:sz w:val="24"/>
                <w:szCs w:val="24"/>
              </w:rPr>
              <w:t xml:space="preserve">already </w:t>
            </w:r>
            <w:r w:rsidRPr="0054720A">
              <w:rPr>
                <w:rFonts w:ascii="Times New Roman" w:hAnsi="Times New Roman"/>
                <w:iCs/>
                <w:sz w:val="24"/>
                <w:szCs w:val="24"/>
              </w:rPr>
              <w:t xml:space="preserve">can benefit from many joint programmes, including from </w:t>
            </w:r>
            <w:r w:rsidRPr="00900FD8">
              <w:rPr>
                <w:rFonts w:ascii="Times New Roman" w:hAnsi="Times New Roman"/>
                <w:iCs/>
                <w:sz w:val="24"/>
                <w:szCs w:val="24"/>
              </w:rPr>
              <w:t>Erasmus Mundus Joint Masters programmes</w:t>
            </w:r>
            <w:r>
              <w:rPr>
                <w:rStyle w:val="FootnoteReference"/>
                <w:rFonts w:ascii="Times New Roman" w:hAnsi="Times New Roman"/>
                <w:iCs/>
                <w:sz w:val="24"/>
                <w:szCs w:val="24"/>
              </w:rPr>
              <w:footnoteReference w:id="4"/>
            </w:r>
            <w:r w:rsidRPr="0054720A">
              <w:rPr>
                <w:rFonts w:ascii="Times New Roman" w:hAnsi="Times New Roman"/>
                <w:iCs/>
                <w:sz w:val="24"/>
                <w:szCs w:val="24"/>
              </w:rPr>
              <w:t xml:space="preserve"> which provide for full scholarships to the best-ranked students worldwide. This is an attractive offer for talents across the globe.</w:t>
            </w:r>
            <w:r w:rsidR="00906271">
              <w:rPr>
                <w:rFonts w:ascii="Times New Roman" w:hAnsi="Times New Roman"/>
                <w:iCs/>
                <w:sz w:val="24"/>
                <w:szCs w:val="24"/>
              </w:rPr>
              <w:t xml:space="preserve"> </w:t>
            </w:r>
            <w:r w:rsidRPr="0054720A">
              <w:rPr>
                <w:rFonts w:ascii="Times New Roman" w:hAnsi="Times New Roman"/>
                <w:iCs/>
                <w:sz w:val="24"/>
                <w:szCs w:val="24"/>
              </w:rPr>
              <w:t xml:space="preserve">And with </w:t>
            </w:r>
            <w:r>
              <w:rPr>
                <w:rFonts w:ascii="Times New Roman" w:hAnsi="Times New Roman"/>
                <w:iCs/>
                <w:sz w:val="24"/>
                <w:szCs w:val="24"/>
              </w:rPr>
              <w:t xml:space="preserve">the </w:t>
            </w:r>
            <w:r w:rsidRPr="00900FD8">
              <w:rPr>
                <w:rFonts w:ascii="Times New Roman" w:hAnsi="Times New Roman"/>
                <w:iCs/>
                <w:sz w:val="24"/>
                <w:szCs w:val="24"/>
              </w:rPr>
              <w:t>Erasmus+</w:t>
            </w:r>
            <w:r w:rsidRPr="0054720A">
              <w:rPr>
                <w:rFonts w:ascii="Times New Roman" w:hAnsi="Times New Roman"/>
                <w:iCs/>
                <w:sz w:val="24"/>
                <w:szCs w:val="24"/>
              </w:rPr>
              <w:t xml:space="preserve"> </w:t>
            </w:r>
            <w:r>
              <w:rPr>
                <w:rFonts w:ascii="Times New Roman" w:hAnsi="Times New Roman"/>
                <w:iCs/>
                <w:sz w:val="24"/>
                <w:szCs w:val="24"/>
              </w:rPr>
              <w:t>programme, the Commission is</w:t>
            </w:r>
            <w:r w:rsidRPr="0054720A">
              <w:rPr>
                <w:rFonts w:ascii="Times New Roman" w:hAnsi="Times New Roman"/>
                <w:iCs/>
                <w:sz w:val="24"/>
                <w:szCs w:val="24"/>
              </w:rPr>
              <w:t xml:space="preserve"> </w:t>
            </w:r>
            <w:r w:rsidRPr="00900FD8">
              <w:rPr>
                <w:rFonts w:ascii="Times New Roman" w:hAnsi="Times New Roman"/>
                <w:iCs/>
                <w:sz w:val="24"/>
                <w:szCs w:val="24"/>
              </w:rPr>
              <w:t>not only offering full degree scholarships</w:t>
            </w:r>
            <w:r w:rsidRPr="0054720A">
              <w:rPr>
                <w:rFonts w:ascii="Times New Roman" w:hAnsi="Times New Roman"/>
                <w:iCs/>
                <w:sz w:val="24"/>
                <w:szCs w:val="24"/>
              </w:rPr>
              <w:t xml:space="preserve">, but also </w:t>
            </w:r>
            <w:r w:rsidRPr="00900FD8">
              <w:rPr>
                <w:rFonts w:ascii="Times New Roman" w:hAnsi="Times New Roman"/>
                <w:iCs/>
                <w:sz w:val="24"/>
                <w:szCs w:val="24"/>
              </w:rPr>
              <w:t xml:space="preserve">credit mobility opportunities of a duration of up to </w:t>
            </w:r>
            <w:r>
              <w:rPr>
                <w:rFonts w:ascii="Times New Roman" w:hAnsi="Times New Roman"/>
                <w:iCs/>
                <w:sz w:val="24"/>
                <w:szCs w:val="24"/>
              </w:rPr>
              <w:t>one</w:t>
            </w:r>
            <w:r w:rsidRPr="00900FD8">
              <w:rPr>
                <w:rFonts w:ascii="Times New Roman" w:hAnsi="Times New Roman"/>
                <w:iCs/>
                <w:sz w:val="24"/>
                <w:szCs w:val="24"/>
              </w:rPr>
              <w:t xml:space="preserve"> year</w:t>
            </w:r>
            <w:r w:rsidRPr="0054720A">
              <w:rPr>
                <w:rFonts w:ascii="Times New Roman" w:hAnsi="Times New Roman"/>
                <w:iCs/>
                <w:sz w:val="24"/>
                <w:szCs w:val="24"/>
              </w:rPr>
              <w:t>.</w:t>
            </w:r>
          </w:p>
          <w:p w14:paraId="3A76746D" w14:textId="4692423B" w:rsidR="009D29C7" w:rsidRDefault="009D29C7" w:rsidP="009A7321">
            <w:pPr>
              <w:spacing w:before="120" w:after="120"/>
              <w:jc w:val="both"/>
              <w:rPr>
                <w:rFonts w:ascii="Times New Roman" w:hAnsi="Times New Roman"/>
                <w:b/>
                <w:sz w:val="24"/>
                <w:szCs w:val="24"/>
              </w:rPr>
            </w:pPr>
            <w:r>
              <w:rPr>
                <w:rFonts w:ascii="Times New Roman" w:hAnsi="Times New Roman"/>
                <w:b/>
                <w:sz w:val="24"/>
                <w:szCs w:val="24"/>
              </w:rPr>
              <w:lastRenderedPageBreak/>
              <w:t>Point1.9:</w:t>
            </w:r>
          </w:p>
          <w:p w14:paraId="0BBF30F4" w14:textId="27D56029" w:rsidR="00A07A4A" w:rsidRPr="00633744" w:rsidRDefault="00A07A4A" w:rsidP="009A7321">
            <w:pPr>
              <w:spacing w:before="120" w:after="120"/>
              <w:jc w:val="both"/>
              <w:rPr>
                <w:rFonts w:ascii="Times New Roman" w:hAnsi="Times New Roman"/>
                <w:bCs/>
                <w:sz w:val="24"/>
                <w:szCs w:val="24"/>
              </w:rPr>
            </w:pPr>
            <w:r w:rsidRPr="00633744">
              <w:rPr>
                <w:rFonts w:ascii="Times New Roman" w:hAnsi="Times New Roman"/>
                <w:bCs/>
                <w:sz w:val="24"/>
                <w:szCs w:val="24"/>
              </w:rPr>
              <w:t xml:space="preserve">The Commission (DG TRADE) is working to strengthen economic security </w:t>
            </w:r>
            <w:r w:rsidR="00633988">
              <w:rPr>
                <w:rFonts w:ascii="Times New Roman" w:hAnsi="Times New Roman"/>
                <w:bCs/>
                <w:sz w:val="24"/>
                <w:szCs w:val="24"/>
              </w:rPr>
              <w:t>with the aim to</w:t>
            </w:r>
            <w:r w:rsidRPr="00633744">
              <w:rPr>
                <w:rFonts w:ascii="Times New Roman" w:hAnsi="Times New Roman"/>
                <w:bCs/>
                <w:sz w:val="24"/>
                <w:szCs w:val="24"/>
              </w:rPr>
              <w:t xml:space="preserve"> </w:t>
            </w:r>
            <w:r w:rsidR="00633988">
              <w:rPr>
                <w:rFonts w:ascii="Times New Roman" w:hAnsi="Times New Roman"/>
                <w:bCs/>
                <w:sz w:val="24"/>
                <w:szCs w:val="24"/>
              </w:rPr>
              <w:t>endorse</w:t>
            </w:r>
            <w:r w:rsidRPr="00633744">
              <w:rPr>
                <w:rFonts w:ascii="Times New Roman" w:hAnsi="Times New Roman"/>
                <w:bCs/>
                <w:sz w:val="24"/>
                <w:szCs w:val="24"/>
              </w:rPr>
              <w:t xml:space="preserve"> appropriate mitigation measures for promoting, partnering</w:t>
            </w:r>
            <w:r>
              <w:rPr>
                <w:rFonts w:ascii="Times New Roman" w:hAnsi="Times New Roman"/>
                <w:bCs/>
                <w:sz w:val="24"/>
                <w:szCs w:val="24"/>
              </w:rPr>
              <w:t xml:space="preserve"> on</w:t>
            </w:r>
            <w:r w:rsidRPr="00633744">
              <w:rPr>
                <w:rFonts w:ascii="Times New Roman" w:hAnsi="Times New Roman"/>
                <w:bCs/>
                <w:sz w:val="24"/>
                <w:szCs w:val="24"/>
              </w:rPr>
              <w:t>, and protecting economic security interests based on risk assessments.</w:t>
            </w:r>
          </w:p>
          <w:p w14:paraId="154381B9" w14:textId="7CB231F7" w:rsidR="00A07A4A" w:rsidRPr="00633744" w:rsidRDefault="00A07A4A" w:rsidP="009A7321">
            <w:pPr>
              <w:spacing w:before="120" w:after="120"/>
              <w:jc w:val="both"/>
              <w:rPr>
                <w:rFonts w:ascii="Times New Roman" w:hAnsi="Times New Roman"/>
                <w:bCs/>
                <w:sz w:val="24"/>
                <w:szCs w:val="24"/>
              </w:rPr>
            </w:pPr>
            <w:r w:rsidRPr="00633744">
              <w:rPr>
                <w:rFonts w:ascii="Times New Roman" w:hAnsi="Times New Roman"/>
                <w:bCs/>
                <w:sz w:val="24"/>
                <w:szCs w:val="24"/>
              </w:rPr>
              <w:t xml:space="preserve">This </w:t>
            </w:r>
            <w:r>
              <w:rPr>
                <w:rFonts w:ascii="Times New Roman" w:hAnsi="Times New Roman"/>
                <w:bCs/>
                <w:sz w:val="24"/>
                <w:szCs w:val="24"/>
              </w:rPr>
              <w:t xml:space="preserve">also </w:t>
            </w:r>
            <w:r w:rsidRPr="00633744">
              <w:rPr>
                <w:rFonts w:ascii="Times New Roman" w:hAnsi="Times New Roman"/>
                <w:bCs/>
                <w:sz w:val="24"/>
                <w:szCs w:val="24"/>
              </w:rPr>
              <w:t>includes the ongoing revision of our F</w:t>
            </w:r>
            <w:r w:rsidR="00633744">
              <w:rPr>
                <w:rFonts w:ascii="Times New Roman" w:hAnsi="Times New Roman"/>
                <w:bCs/>
                <w:sz w:val="24"/>
                <w:szCs w:val="24"/>
              </w:rPr>
              <w:t>oreign Direct Investment (F</w:t>
            </w:r>
            <w:r w:rsidRPr="00633744">
              <w:rPr>
                <w:rFonts w:ascii="Times New Roman" w:hAnsi="Times New Roman"/>
                <w:bCs/>
                <w:sz w:val="24"/>
                <w:szCs w:val="24"/>
              </w:rPr>
              <w:t>DI</w:t>
            </w:r>
            <w:r w:rsidR="00633744">
              <w:rPr>
                <w:rFonts w:ascii="Times New Roman" w:hAnsi="Times New Roman"/>
                <w:bCs/>
                <w:sz w:val="24"/>
                <w:szCs w:val="24"/>
              </w:rPr>
              <w:t>)</w:t>
            </w:r>
            <w:r w:rsidRPr="00633744">
              <w:rPr>
                <w:rFonts w:ascii="Times New Roman" w:hAnsi="Times New Roman"/>
                <w:bCs/>
                <w:sz w:val="24"/>
                <w:szCs w:val="24"/>
              </w:rPr>
              <w:t xml:space="preserve"> screening framework, enhancing our export control system for dual-use items, and monitoring selected outbound investments as a preparatory step toward further policy action in the future.</w:t>
            </w:r>
          </w:p>
          <w:p w14:paraId="30D14481" w14:textId="3FBE7813" w:rsidR="009D29C7" w:rsidRPr="004F6117" w:rsidRDefault="00A07A4A" w:rsidP="009A7321">
            <w:pPr>
              <w:spacing w:before="120" w:after="120"/>
              <w:jc w:val="both"/>
              <w:rPr>
                <w:rFonts w:ascii="Times New Roman" w:hAnsi="Times New Roman"/>
                <w:b/>
                <w:sz w:val="24"/>
                <w:szCs w:val="24"/>
              </w:rPr>
            </w:pPr>
            <w:r w:rsidRPr="00633744">
              <w:rPr>
                <w:rFonts w:ascii="Times New Roman" w:hAnsi="Times New Roman"/>
                <w:bCs/>
                <w:sz w:val="24"/>
                <w:szCs w:val="24"/>
              </w:rPr>
              <w:t>In line with the Political Guidelines and mission letter</w:t>
            </w:r>
            <w:r w:rsidR="00F06473">
              <w:rPr>
                <w:rFonts w:ascii="Times New Roman" w:hAnsi="Times New Roman"/>
                <w:bCs/>
                <w:sz w:val="24"/>
                <w:szCs w:val="24"/>
              </w:rPr>
              <w:t xml:space="preserve"> of Commissioner Šefčovič</w:t>
            </w:r>
            <w:r w:rsidRPr="00633744">
              <w:rPr>
                <w:rFonts w:ascii="Times New Roman" w:hAnsi="Times New Roman"/>
                <w:bCs/>
                <w:sz w:val="24"/>
                <w:szCs w:val="24"/>
              </w:rPr>
              <w:t>, the Commission is additionally developing new initiatives: a new economic security doctrine and economic security standards for key supply chains.</w:t>
            </w:r>
          </w:p>
        </w:tc>
      </w:tr>
    </w:tbl>
    <w:p w14:paraId="4B31F071" w14:textId="77777777" w:rsidR="00077C4F" w:rsidRPr="00A912CA" w:rsidRDefault="00077C4F" w:rsidP="00A912CA">
      <w:pPr>
        <w:spacing w:after="0" w:line="240" w:lineRule="auto"/>
        <w:ind w:left="-709"/>
        <w:rPr>
          <w:rFonts w:ascii="Times New Roman" w:hAnsi="Times New Roman"/>
          <w:sz w:val="16"/>
          <w:szCs w:val="16"/>
        </w:rPr>
      </w:pPr>
    </w:p>
    <w:sectPr w:rsidR="00077C4F" w:rsidRPr="00A912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B87EE" w14:textId="77777777" w:rsidR="005E6CC0" w:rsidRDefault="005E6CC0" w:rsidP="00FF63EA">
      <w:pPr>
        <w:spacing w:after="0" w:line="240" w:lineRule="auto"/>
      </w:pPr>
      <w:r>
        <w:separator/>
      </w:r>
    </w:p>
  </w:endnote>
  <w:endnote w:type="continuationSeparator" w:id="0">
    <w:p w14:paraId="7C760C42" w14:textId="77777777" w:rsidR="005E6CC0" w:rsidRDefault="005E6CC0"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A356E" w14:textId="77777777" w:rsidR="005E6CC0" w:rsidRDefault="005E6CC0" w:rsidP="00FF63EA">
      <w:pPr>
        <w:spacing w:after="0" w:line="240" w:lineRule="auto"/>
      </w:pPr>
      <w:r>
        <w:separator/>
      </w:r>
    </w:p>
  </w:footnote>
  <w:footnote w:type="continuationSeparator" w:id="0">
    <w:p w14:paraId="6FE8BC81" w14:textId="77777777" w:rsidR="005E6CC0" w:rsidRDefault="005E6CC0" w:rsidP="00FF63EA">
      <w:pPr>
        <w:spacing w:after="0" w:line="240" w:lineRule="auto"/>
      </w:pPr>
      <w:r>
        <w:continuationSeparator/>
      </w:r>
    </w:p>
  </w:footnote>
  <w:footnote w:id="1">
    <w:p w14:paraId="14377E94" w14:textId="0FFA1D76" w:rsidR="00143F4D" w:rsidRPr="00900FD8" w:rsidRDefault="00143F4D" w:rsidP="009A7321">
      <w:pPr>
        <w:pStyle w:val="FootnoteText"/>
        <w:spacing w:after="0" w:line="240" w:lineRule="auto"/>
        <w:ind w:left="-142" w:right="-567" w:hanging="283"/>
        <w:jc w:val="both"/>
        <w:rPr>
          <w:rFonts w:ascii="Times New Roman" w:hAnsi="Times New Roman"/>
          <w:lang w:val="fr-BE"/>
        </w:rPr>
      </w:pPr>
      <w:r w:rsidRPr="00900FD8">
        <w:rPr>
          <w:rStyle w:val="FootnoteReference"/>
          <w:rFonts w:ascii="Times New Roman" w:hAnsi="Times New Roman"/>
        </w:rPr>
        <w:footnoteRef/>
      </w:r>
      <w:r w:rsidRPr="00900FD8">
        <w:rPr>
          <w:rFonts w:ascii="Times New Roman" w:hAnsi="Times New Roman"/>
        </w:rPr>
        <w:t xml:space="preserve"> </w:t>
      </w:r>
      <w:r w:rsidR="00906271">
        <w:rPr>
          <w:rFonts w:ascii="Times New Roman" w:hAnsi="Times New Roman"/>
        </w:rPr>
        <w:tab/>
      </w:r>
      <w:hyperlink r:id="rId1" w:history="1">
        <w:r w:rsidR="00906271" w:rsidRPr="00906271">
          <w:rPr>
            <w:rStyle w:val="Hyperlink"/>
            <w:rFonts w:ascii="Times New Roman" w:hAnsi="Times New Roman"/>
          </w:rPr>
          <w:t>https://commission.europa.eu/topics/eu-competitiveness/union-skills_en</w:t>
        </w:r>
      </w:hyperlink>
      <w:r w:rsidRPr="00900FD8">
        <w:rPr>
          <w:rFonts w:ascii="Times New Roman" w:hAnsi="Times New Roman"/>
        </w:rPr>
        <w:t>.</w:t>
      </w:r>
    </w:p>
  </w:footnote>
  <w:footnote w:id="2">
    <w:p w14:paraId="2FFFA3B9" w14:textId="62294D5C" w:rsidR="00143F4D" w:rsidRPr="00900FD8" w:rsidRDefault="00143F4D" w:rsidP="009A7321">
      <w:pPr>
        <w:pStyle w:val="FootnoteText"/>
        <w:spacing w:after="0" w:line="240" w:lineRule="auto"/>
        <w:ind w:left="-142" w:right="-567" w:hanging="283"/>
        <w:jc w:val="both"/>
        <w:rPr>
          <w:rFonts w:ascii="Times New Roman" w:hAnsi="Times New Roman"/>
          <w:lang w:val="fr-BE"/>
        </w:rPr>
      </w:pPr>
      <w:r w:rsidRPr="00900FD8">
        <w:rPr>
          <w:rStyle w:val="FootnoteReference"/>
          <w:rFonts w:ascii="Times New Roman" w:hAnsi="Times New Roman"/>
        </w:rPr>
        <w:footnoteRef/>
      </w:r>
      <w:r w:rsidRPr="00900FD8">
        <w:rPr>
          <w:rFonts w:ascii="Times New Roman" w:hAnsi="Times New Roman"/>
          <w:lang w:val="fr-BE"/>
        </w:rPr>
        <w:t xml:space="preserve"> </w:t>
      </w:r>
      <w:r w:rsidR="00906271">
        <w:rPr>
          <w:rFonts w:ascii="Times New Roman" w:hAnsi="Times New Roman"/>
          <w:lang w:val="fr-BE"/>
        </w:rPr>
        <w:tab/>
      </w:r>
      <w:r w:rsidR="00906271">
        <w:fldChar w:fldCharType="begin"/>
      </w:r>
      <w:r w:rsidR="00906271" w:rsidRPr="00621B78">
        <w:rPr>
          <w:lang w:val="fr-BE"/>
        </w:rPr>
        <w:instrText>HYPERLINK "https://erasmus-plus.ec.europa.eu/"</w:instrText>
      </w:r>
      <w:r w:rsidR="00906271">
        <w:fldChar w:fldCharType="separate"/>
      </w:r>
      <w:r w:rsidR="00906271" w:rsidRPr="00906271">
        <w:rPr>
          <w:rStyle w:val="Hyperlink"/>
          <w:rFonts w:ascii="Times New Roman" w:hAnsi="Times New Roman"/>
          <w:lang w:val="fr-BE"/>
        </w:rPr>
        <w:t>https://erasmus-plus.ec.europa.eu/</w:t>
      </w:r>
      <w:r w:rsidR="00906271">
        <w:fldChar w:fldCharType="end"/>
      </w:r>
      <w:r w:rsidRPr="00900FD8">
        <w:rPr>
          <w:rFonts w:ascii="Times New Roman" w:hAnsi="Times New Roman"/>
          <w:lang w:val="fr-BE"/>
        </w:rPr>
        <w:t>.</w:t>
      </w:r>
    </w:p>
  </w:footnote>
  <w:footnote w:id="3">
    <w:p w14:paraId="7D38AD45" w14:textId="5B679B01" w:rsidR="00143F4D" w:rsidRPr="00900FD8" w:rsidRDefault="00143F4D" w:rsidP="009A7321">
      <w:pPr>
        <w:pStyle w:val="FootnoteText"/>
        <w:spacing w:after="0" w:line="240" w:lineRule="auto"/>
        <w:ind w:left="-142" w:right="-567" w:hanging="283"/>
        <w:jc w:val="both"/>
        <w:rPr>
          <w:rFonts w:ascii="Times New Roman" w:hAnsi="Times New Roman"/>
          <w:lang w:val="fr-BE"/>
        </w:rPr>
      </w:pPr>
      <w:r w:rsidRPr="00900FD8">
        <w:rPr>
          <w:rStyle w:val="FootnoteReference"/>
          <w:rFonts w:ascii="Times New Roman" w:hAnsi="Times New Roman"/>
        </w:rPr>
        <w:footnoteRef/>
      </w:r>
      <w:r w:rsidRPr="00900FD8">
        <w:rPr>
          <w:rFonts w:ascii="Times New Roman" w:hAnsi="Times New Roman"/>
          <w:lang w:val="fr-BE"/>
        </w:rPr>
        <w:t xml:space="preserve"> </w:t>
      </w:r>
      <w:r w:rsidR="00906271">
        <w:rPr>
          <w:rFonts w:ascii="Times New Roman" w:hAnsi="Times New Roman"/>
          <w:lang w:val="fr-BE"/>
        </w:rPr>
        <w:tab/>
      </w:r>
      <w:r w:rsidR="00906271">
        <w:fldChar w:fldCharType="begin"/>
      </w:r>
      <w:r w:rsidR="00906271" w:rsidRPr="00621B78">
        <w:rPr>
          <w:lang w:val="fr-BE"/>
        </w:rPr>
        <w:instrText>HYPERLINK "https://education.ec.europa.eu/education-levels/higher-education/european-universities-initiative"</w:instrText>
      </w:r>
      <w:r w:rsidR="00906271">
        <w:fldChar w:fldCharType="separate"/>
      </w:r>
      <w:r w:rsidR="00906271" w:rsidRPr="00906271">
        <w:rPr>
          <w:rStyle w:val="Hyperlink"/>
          <w:rFonts w:ascii="Times New Roman" w:hAnsi="Times New Roman"/>
          <w:lang w:val="fr-BE"/>
        </w:rPr>
        <w:t>https://education.ec.europa.eu/education-levels/higher-education/european-universities-initiative</w:t>
      </w:r>
      <w:r w:rsidR="00906271">
        <w:fldChar w:fldCharType="end"/>
      </w:r>
      <w:r w:rsidRPr="00900FD8">
        <w:rPr>
          <w:rFonts w:ascii="Times New Roman" w:hAnsi="Times New Roman"/>
          <w:lang w:val="fr-BE"/>
        </w:rPr>
        <w:t>.</w:t>
      </w:r>
    </w:p>
  </w:footnote>
  <w:footnote w:id="4">
    <w:p w14:paraId="025C31B2" w14:textId="41AA34AB" w:rsidR="00143F4D" w:rsidRPr="00900FD8" w:rsidRDefault="00143F4D" w:rsidP="009A7321">
      <w:pPr>
        <w:pStyle w:val="FootnoteText"/>
        <w:spacing w:after="0" w:line="240" w:lineRule="auto"/>
        <w:ind w:left="-142" w:right="-567" w:hanging="283"/>
        <w:jc w:val="both"/>
        <w:rPr>
          <w:lang w:val="fr-BE"/>
        </w:rPr>
      </w:pPr>
      <w:r w:rsidRPr="00900FD8">
        <w:rPr>
          <w:rStyle w:val="FootnoteReference"/>
          <w:rFonts w:ascii="Times New Roman" w:hAnsi="Times New Roman"/>
        </w:rPr>
        <w:footnoteRef/>
      </w:r>
      <w:r w:rsidRPr="00900FD8">
        <w:rPr>
          <w:rFonts w:ascii="Times New Roman" w:hAnsi="Times New Roman"/>
          <w:lang w:val="fr-BE"/>
        </w:rPr>
        <w:t xml:space="preserve"> </w:t>
      </w:r>
      <w:r w:rsidR="00906271">
        <w:rPr>
          <w:rFonts w:ascii="Times New Roman" w:hAnsi="Times New Roman"/>
          <w:lang w:val="fr-BE"/>
        </w:rPr>
        <w:tab/>
      </w:r>
      <w:r w:rsidR="00906271">
        <w:fldChar w:fldCharType="begin"/>
      </w:r>
      <w:r w:rsidR="00906271" w:rsidRPr="00621B78">
        <w:rPr>
          <w:lang w:val="fr-BE"/>
        </w:rPr>
        <w:instrText>HYPERLINK "https://erasmus-plus.ec.europa.eu/opportunities/opportunities-for-individuals/students/erasmus-mundus-joint-masters"</w:instrText>
      </w:r>
      <w:r w:rsidR="00906271">
        <w:fldChar w:fldCharType="separate"/>
      </w:r>
      <w:r w:rsidR="00906271" w:rsidRPr="00906271">
        <w:rPr>
          <w:rStyle w:val="Hyperlink"/>
          <w:rFonts w:ascii="Times New Roman" w:hAnsi="Times New Roman"/>
          <w:lang w:val="fr-BE"/>
        </w:rPr>
        <w:t>https://erasmus-plus.ec.europa.eu/opportunities/opportunities-for-individuals/students/erasmus-mundus-joint-masters</w:t>
      </w:r>
      <w:r w:rsidR="00906271">
        <w:fldChar w:fldCharType="end"/>
      </w:r>
      <w:r w:rsidRPr="00900FD8">
        <w:rPr>
          <w:rFonts w:ascii="Times New Roman" w:hAnsi="Times New Roman"/>
          <w:lang w:val="fr-B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B78EF"/>
    <w:multiLevelType w:val="hybridMultilevel"/>
    <w:tmpl w:val="F6DAD56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1B">
      <w:start w:val="1"/>
      <w:numFmt w:val="lowerRoman"/>
      <w:lvlText w:val="%3."/>
      <w:lvlJc w:val="right"/>
      <w:pPr>
        <w:ind w:left="2160" w:hanging="360"/>
      </w:p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268050545">
    <w:abstractNumId w:val="0"/>
    <w:lvlOverride w:ilvl="0"/>
    <w:lvlOverride w:ilvl="1"/>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05BE1"/>
    <w:rsid w:val="00012A37"/>
    <w:rsid w:val="00046B15"/>
    <w:rsid w:val="00050DC7"/>
    <w:rsid w:val="00053294"/>
    <w:rsid w:val="00076109"/>
    <w:rsid w:val="00077C4F"/>
    <w:rsid w:val="000B5550"/>
    <w:rsid w:val="000F5FD8"/>
    <w:rsid w:val="001167C0"/>
    <w:rsid w:val="001257D2"/>
    <w:rsid w:val="00135643"/>
    <w:rsid w:val="00135C2A"/>
    <w:rsid w:val="00143F4D"/>
    <w:rsid w:val="00154B59"/>
    <w:rsid w:val="001917C8"/>
    <w:rsid w:val="001B0E0B"/>
    <w:rsid w:val="001C4138"/>
    <w:rsid w:val="001F2EC6"/>
    <w:rsid w:val="001F65D0"/>
    <w:rsid w:val="001F6A47"/>
    <w:rsid w:val="001F6B88"/>
    <w:rsid w:val="00217E59"/>
    <w:rsid w:val="00250AA2"/>
    <w:rsid w:val="002B01B6"/>
    <w:rsid w:val="002F03FA"/>
    <w:rsid w:val="002F7A15"/>
    <w:rsid w:val="003004D2"/>
    <w:rsid w:val="003349A3"/>
    <w:rsid w:val="00377967"/>
    <w:rsid w:val="00386143"/>
    <w:rsid w:val="003A0700"/>
    <w:rsid w:val="003A295E"/>
    <w:rsid w:val="003B58DC"/>
    <w:rsid w:val="003F686E"/>
    <w:rsid w:val="00432C0E"/>
    <w:rsid w:val="00442552"/>
    <w:rsid w:val="00445757"/>
    <w:rsid w:val="00455A1C"/>
    <w:rsid w:val="00461C75"/>
    <w:rsid w:val="00462684"/>
    <w:rsid w:val="004634E3"/>
    <w:rsid w:val="004675B5"/>
    <w:rsid w:val="004770D6"/>
    <w:rsid w:val="0049246C"/>
    <w:rsid w:val="004A0C88"/>
    <w:rsid w:val="004C7C5B"/>
    <w:rsid w:val="004F6117"/>
    <w:rsid w:val="004F63F1"/>
    <w:rsid w:val="004F651E"/>
    <w:rsid w:val="005013CD"/>
    <w:rsid w:val="0052596B"/>
    <w:rsid w:val="00531321"/>
    <w:rsid w:val="00531541"/>
    <w:rsid w:val="00536214"/>
    <w:rsid w:val="00554D8D"/>
    <w:rsid w:val="005718C9"/>
    <w:rsid w:val="00573835"/>
    <w:rsid w:val="00581306"/>
    <w:rsid w:val="005823C3"/>
    <w:rsid w:val="00582DEC"/>
    <w:rsid w:val="005A190D"/>
    <w:rsid w:val="005A517D"/>
    <w:rsid w:val="005C1E9E"/>
    <w:rsid w:val="005C3105"/>
    <w:rsid w:val="005E6CC0"/>
    <w:rsid w:val="005F4C78"/>
    <w:rsid w:val="00612E57"/>
    <w:rsid w:val="00621B78"/>
    <w:rsid w:val="00633744"/>
    <w:rsid w:val="00633988"/>
    <w:rsid w:val="00674A2B"/>
    <w:rsid w:val="00692C2F"/>
    <w:rsid w:val="00695797"/>
    <w:rsid w:val="00696A5E"/>
    <w:rsid w:val="006A0157"/>
    <w:rsid w:val="006B3B69"/>
    <w:rsid w:val="006C5ACF"/>
    <w:rsid w:val="006D4357"/>
    <w:rsid w:val="006F5393"/>
    <w:rsid w:val="0071386D"/>
    <w:rsid w:val="00734613"/>
    <w:rsid w:val="00740A8D"/>
    <w:rsid w:val="00751910"/>
    <w:rsid w:val="00751E60"/>
    <w:rsid w:val="007547B5"/>
    <w:rsid w:val="007930BA"/>
    <w:rsid w:val="00795A9E"/>
    <w:rsid w:val="007A606D"/>
    <w:rsid w:val="007A6992"/>
    <w:rsid w:val="007B5901"/>
    <w:rsid w:val="007C0B9C"/>
    <w:rsid w:val="007C2214"/>
    <w:rsid w:val="007E4F5A"/>
    <w:rsid w:val="00807B48"/>
    <w:rsid w:val="00812A95"/>
    <w:rsid w:val="008135CA"/>
    <w:rsid w:val="0081584F"/>
    <w:rsid w:val="008170F5"/>
    <w:rsid w:val="00823578"/>
    <w:rsid w:val="008275BD"/>
    <w:rsid w:val="00865025"/>
    <w:rsid w:val="008703BF"/>
    <w:rsid w:val="00886B35"/>
    <w:rsid w:val="008925CE"/>
    <w:rsid w:val="008C4D41"/>
    <w:rsid w:val="008F1743"/>
    <w:rsid w:val="00906271"/>
    <w:rsid w:val="00921511"/>
    <w:rsid w:val="00981F45"/>
    <w:rsid w:val="00991E87"/>
    <w:rsid w:val="00992FC6"/>
    <w:rsid w:val="00994A47"/>
    <w:rsid w:val="00994D12"/>
    <w:rsid w:val="009A7321"/>
    <w:rsid w:val="009B128B"/>
    <w:rsid w:val="009B6FC0"/>
    <w:rsid w:val="009D29C7"/>
    <w:rsid w:val="009F684E"/>
    <w:rsid w:val="00A07A4A"/>
    <w:rsid w:val="00A16F07"/>
    <w:rsid w:val="00A621F4"/>
    <w:rsid w:val="00A62C7B"/>
    <w:rsid w:val="00A715B4"/>
    <w:rsid w:val="00A7709A"/>
    <w:rsid w:val="00A903C2"/>
    <w:rsid w:val="00A912CA"/>
    <w:rsid w:val="00AE1842"/>
    <w:rsid w:val="00AE3C7C"/>
    <w:rsid w:val="00B14DF8"/>
    <w:rsid w:val="00B31306"/>
    <w:rsid w:val="00B42814"/>
    <w:rsid w:val="00B80F66"/>
    <w:rsid w:val="00B81C9F"/>
    <w:rsid w:val="00B83936"/>
    <w:rsid w:val="00BC364A"/>
    <w:rsid w:val="00BD6EB7"/>
    <w:rsid w:val="00BE3E66"/>
    <w:rsid w:val="00BF6A66"/>
    <w:rsid w:val="00C22948"/>
    <w:rsid w:val="00C3003B"/>
    <w:rsid w:val="00C42D1B"/>
    <w:rsid w:val="00C54D27"/>
    <w:rsid w:val="00C60C49"/>
    <w:rsid w:val="00C64ACC"/>
    <w:rsid w:val="00C76EEB"/>
    <w:rsid w:val="00C802B8"/>
    <w:rsid w:val="00CF49C6"/>
    <w:rsid w:val="00D01F5A"/>
    <w:rsid w:val="00D1716E"/>
    <w:rsid w:val="00D64E05"/>
    <w:rsid w:val="00D92FD3"/>
    <w:rsid w:val="00DA3B6E"/>
    <w:rsid w:val="00DB7581"/>
    <w:rsid w:val="00DC70C1"/>
    <w:rsid w:val="00E00BF1"/>
    <w:rsid w:val="00E0626E"/>
    <w:rsid w:val="00E758E2"/>
    <w:rsid w:val="00E83C12"/>
    <w:rsid w:val="00E904C8"/>
    <w:rsid w:val="00E93576"/>
    <w:rsid w:val="00EA1BBF"/>
    <w:rsid w:val="00EB12C1"/>
    <w:rsid w:val="00EB29A9"/>
    <w:rsid w:val="00EB77D2"/>
    <w:rsid w:val="00F01191"/>
    <w:rsid w:val="00F06473"/>
    <w:rsid w:val="00F07E78"/>
    <w:rsid w:val="00F316C8"/>
    <w:rsid w:val="00F37C6A"/>
    <w:rsid w:val="00F57D05"/>
    <w:rsid w:val="00F632DE"/>
    <w:rsid w:val="00F735E4"/>
    <w:rsid w:val="00FB7834"/>
    <w:rsid w:val="00FD4B6A"/>
    <w:rsid w:val="00FF03A8"/>
    <w:rsid w:val="00FF6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8250BCC8-4D0F-43C9-A9FB-5B735BFF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D29C7"/>
    <w:rPr>
      <w:sz w:val="22"/>
      <w:szCs w:val="22"/>
      <w:lang w:val="en-GB" w:eastAsia="en-US"/>
    </w:rPr>
  </w:style>
  <w:style w:type="paragraph" w:styleId="FootnoteText">
    <w:name w:val="footnote text"/>
    <w:basedOn w:val="Normal"/>
    <w:link w:val="FootnoteTextChar"/>
    <w:uiPriority w:val="99"/>
    <w:semiHidden/>
    <w:unhideWhenUsed/>
    <w:rsid w:val="00143F4D"/>
    <w:rPr>
      <w:sz w:val="20"/>
      <w:szCs w:val="20"/>
    </w:rPr>
  </w:style>
  <w:style w:type="character" w:customStyle="1" w:styleId="FootnoteTextChar">
    <w:name w:val="Footnote Text Char"/>
    <w:link w:val="FootnoteText"/>
    <w:uiPriority w:val="99"/>
    <w:semiHidden/>
    <w:rsid w:val="00143F4D"/>
    <w:rPr>
      <w:lang w:val="en-GB" w:eastAsia="en-US"/>
    </w:rPr>
  </w:style>
  <w:style w:type="character" w:styleId="FootnoteReference">
    <w:name w:val="footnote reference"/>
    <w:uiPriority w:val="99"/>
    <w:semiHidden/>
    <w:unhideWhenUsed/>
    <w:rsid w:val="00143F4D"/>
    <w:rPr>
      <w:vertAlign w:val="superscript"/>
    </w:rPr>
  </w:style>
  <w:style w:type="character" w:styleId="Hyperlink">
    <w:name w:val="Hyperlink"/>
    <w:basedOn w:val="DefaultParagraphFont"/>
    <w:uiPriority w:val="99"/>
    <w:unhideWhenUsed/>
    <w:rsid w:val="00906271"/>
    <w:rPr>
      <w:color w:val="0563C1" w:themeColor="hyperlink"/>
      <w:u w:val="single"/>
    </w:rPr>
  </w:style>
  <w:style w:type="character" w:styleId="UnresolvedMention">
    <w:name w:val="Unresolved Mention"/>
    <w:basedOn w:val="DefaultParagraphFont"/>
    <w:uiPriority w:val="99"/>
    <w:semiHidden/>
    <w:unhideWhenUsed/>
    <w:rsid w:val="00906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50972">
      <w:bodyDiv w:val="1"/>
      <w:marLeft w:val="0"/>
      <w:marRight w:val="0"/>
      <w:marTop w:val="0"/>
      <w:marBottom w:val="0"/>
      <w:divBdr>
        <w:top w:val="none" w:sz="0" w:space="0" w:color="auto"/>
        <w:left w:val="none" w:sz="0" w:space="0" w:color="auto"/>
        <w:bottom w:val="none" w:sz="0" w:space="0" w:color="auto"/>
        <w:right w:val="none" w:sz="0" w:space="0" w:color="auto"/>
      </w:divBdr>
    </w:div>
    <w:div w:id="108541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topics/eu-competitiveness/union-skill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99A588E0F14746BFAC081FD6A566B8" ma:contentTypeVersion="24" ma:contentTypeDescription="Create a new document." ma:contentTypeScope="" ma:versionID="f979412c6f2bf37cf62faec711ad7a8f">
  <xsd:schema xmlns:xsd="http://www.w3.org/2001/XMLSchema" xmlns:xs="http://www.w3.org/2001/XMLSchema" xmlns:p="http://schemas.microsoft.com/office/2006/metadata/properties" xmlns:ns1="http://schemas.microsoft.com/sharepoint/v3" xmlns:ns2="a280f3ed-f921-4226-9525-27fa6d577539" xmlns:ns3="278287c8-5be4-4613-8138-480f9be48247" xmlns:ns4="http://schemas.microsoft.com/sharepoint/v4" targetNamespace="http://schemas.microsoft.com/office/2006/metadata/properties" ma:root="true" ma:fieldsID="85bf9b2ed782f26f5413a254fe8b38e5" ns1:_="" ns2:_="" ns3:_="" ns4:_="">
    <xsd:import namespace="http://schemas.microsoft.com/sharepoint/v3"/>
    <xsd:import namespace="a280f3ed-f921-4226-9525-27fa6d577539"/>
    <xsd:import namespace="278287c8-5be4-4613-8138-480f9be48247"/>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Details" minOccurs="0"/>
                <xsd:element ref="ns3:SharedWithUsers" minOccurs="0"/>
                <xsd:element ref="ns2:lcf76f155ced4ddcb4097134ff3c332f" minOccurs="0"/>
                <xsd:element ref="ns3:TaxCatchAll" minOccurs="0"/>
                <xsd:element ref="ns2:MediaServiceObjectDetectorVersions" minOccurs="0"/>
                <xsd:element ref="ns2:MediaServiceSearchProperties" minOccurs="0"/>
                <xsd:element ref="ns3:EC_ARES_NUMBER" minOccurs="0"/>
                <xsd:element ref="ns3:EC_ARES_DATE_TRANSFERRED" minOccurs="0"/>
                <xsd:element ref="ns3:EC_ARES_TRANSFERRED_BY" minOccurs="0"/>
                <xsd:element ref="ns4:IconOverlay" minOccurs="0"/>
                <xsd:element ref="ns1:_vti_ItemDeclaredRecord" minOccurs="0"/>
                <xsd:element ref="ns1:_vti_ItemHoldRecordStatu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80f3ed-f921-4226-9525-27fa6d5775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8287c8-5be4-4613-8138-480f9be48247"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1" nillable="true" ma:displayName="Taxonomy Catch All Column" ma:hidden="true" ma:list="{03ac72e2-97ce-4cc7-a917-47074297667e}" ma:internalName="TaxCatchAll" ma:showField="CatchAllData" ma:web="278287c8-5be4-4613-8138-480f9be48247">
      <xsd:complexType>
        <xsd:complexContent>
          <xsd:extension base="dms:MultiChoiceLookup">
            <xsd:sequence>
              <xsd:element name="Value" type="dms:Lookup" maxOccurs="unbounded" minOccurs="0" nillable="true"/>
            </xsd:sequence>
          </xsd:extension>
        </xsd:complexContent>
      </xsd:complexType>
    </xsd:element>
    <xsd:element name="EC_ARES_NUMBER" ma:index="24"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25" nillable="true" ma:displayName="Transferred to Ares" ma:format="DateTime" ma:hidden="true" ma:internalName="EC_ARES_DATE_TRANSFERRED">
      <xsd:simpleType>
        <xsd:restriction base="dms:DateTime"/>
      </xsd:simpleType>
    </xsd:element>
    <xsd:element name="EC_ARES_TRANSFERRED_BY" ma:index="26"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ARES_NUMBER xmlns="278287c8-5be4-4613-8138-480f9be48247">
      <Url xsi:nil="true"/>
      <Description xsi:nil="true"/>
    </EC_ARES_NUMBER>
    <EC_ARES_TRANSFERRED_BY xmlns="278287c8-5be4-4613-8138-480f9be48247" xsi:nil="true"/>
    <IconOverlay xmlns="http://schemas.microsoft.com/sharepoint/v4" xsi:nil="true"/>
    <TaxCatchAll xmlns="278287c8-5be4-4613-8138-480f9be48247" xsi:nil="true"/>
    <EC_ARES_DATE_TRANSFERRED xmlns="278287c8-5be4-4613-8138-480f9be48247" xsi:nil="true"/>
    <lcf76f155ced4ddcb4097134ff3c332f xmlns="a280f3ed-f921-4226-9525-27fa6d577539">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C2B6D8-3BEF-4041-9C6B-B253E5986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80f3ed-f921-4226-9525-27fa6d577539"/>
    <ds:schemaRef ds:uri="278287c8-5be4-4613-8138-480f9be4824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6A8564-98C6-43AC-9B39-A6913CFDBE83}">
  <ds:schemaRefs>
    <ds:schemaRef ds:uri="http://schemas.microsoft.com/office/2006/metadata/properties"/>
    <ds:schemaRef ds:uri="http://schemas.microsoft.com/office/infopath/2007/PartnerControls"/>
    <ds:schemaRef ds:uri="278287c8-5be4-4613-8138-480f9be48247"/>
    <ds:schemaRef ds:uri="http://schemas.microsoft.com/sharepoint/v4"/>
    <ds:schemaRef ds:uri="a280f3ed-f921-4226-9525-27fa6d577539"/>
  </ds:schemaRefs>
</ds:datastoreItem>
</file>

<file path=customXml/itemProps3.xml><?xml version="1.0" encoding="utf-8"?>
<ds:datastoreItem xmlns:ds="http://schemas.openxmlformats.org/officeDocument/2006/customXml" ds:itemID="{9213F669-59FB-4093-966C-6F339E2189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1006</Words>
  <Characters>5869</Characters>
  <Application>Microsoft Office Word</Application>
  <DocSecurity>0</DocSecurity>
  <Lines>86</Lines>
  <Paragraphs>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2</cp:revision>
  <cp:lastPrinted>2013-02-27T18:02:00Z</cp:lastPrinted>
  <dcterms:created xsi:type="dcterms:W3CDTF">2026-02-05T15:35:00Z</dcterms:created>
  <dcterms:modified xsi:type="dcterms:W3CDTF">2026-02-05T15:35:00Z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0x010100F099A588E0F14746BFAC081FD6A566B8</vt:lpwstr>
  </property>
  <property fmtid="{D5CDD505-2E9C-101B-9397-08002B2CF9AE}" pid="10" name="MediaServiceImageTags">
    <vt:lpwstr/>
  </property>
</Properties>
</file>