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822B59" w:rsidRDefault="00077C4F" w:rsidP="00822B59">
      <w:pPr>
        <w:spacing w:after="0" w:line="240" w:lineRule="auto"/>
        <w:ind w:left="-709"/>
        <w:rPr>
          <w:rFonts w:ascii="Times New Roman" w:hAnsi="Times New Roman"/>
          <w:bCs/>
          <w:sz w:val="16"/>
          <w:szCs w:val="16"/>
        </w:rPr>
      </w:pPr>
    </w:p>
    <w:tbl>
      <w:tblPr>
        <w:tblW w:w="1070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702"/>
      </w:tblGrid>
      <w:tr w:rsidR="001C4138" w:rsidRPr="00C26F50" w14:paraId="7E6372DC" w14:textId="77777777" w:rsidTr="00C5639B">
        <w:trPr>
          <w:jc w:val="center"/>
        </w:trPr>
        <w:tc>
          <w:tcPr>
            <w:tcW w:w="10702" w:type="dxa"/>
          </w:tcPr>
          <w:p w14:paraId="3A4EDC3A" w14:textId="2CB72B86" w:rsidR="001C4138" w:rsidRPr="00C26F50" w:rsidRDefault="00936A16" w:rsidP="00936A16">
            <w:pPr>
              <w:spacing w:before="120" w:after="120"/>
              <w:rPr>
                <w:rFonts w:ascii="Times New Roman" w:hAnsi="Times New Roman"/>
                <w:b/>
                <w:sz w:val="24"/>
                <w:szCs w:val="24"/>
              </w:rPr>
            </w:pPr>
            <w:r w:rsidRPr="00936A16">
              <w:rPr>
                <w:rFonts w:ascii="Times New Roman" w:hAnsi="Times New Roman"/>
                <w:b/>
                <w:sz w:val="24"/>
                <w:szCs w:val="24"/>
              </w:rPr>
              <w:t>Competitiveness and economic security– how should EU trade policy contribute to the objectives of the Draghi report?</w:t>
            </w:r>
            <w:r w:rsidR="00A61059">
              <w:rPr>
                <w:rFonts w:ascii="Times New Roman" w:hAnsi="Times New Roman"/>
                <w:b/>
                <w:sz w:val="24"/>
                <w:szCs w:val="24"/>
              </w:rPr>
              <w:br/>
            </w:r>
            <w:r w:rsidRPr="00936A16">
              <w:rPr>
                <w:rFonts w:ascii="Times New Roman" w:hAnsi="Times New Roman"/>
                <w:b/>
                <w:sz w:val="24"/>
                <w:szCs w:val="24"/>
              </w:rPr>
              <w:t>(exploratory opinion</w:t>
            </w:r>
            <w:r w:rsidR="009A5A48">
              <w:rPr>
                <w:rFonts w:ascii="Times New Roman" w:hAnsi="Times New Roman"/>
                <w:b/>
                <w:sz w:val="24"/>
                <w:szCs w:val="24"/>
              </w:rPr>
              <w:t xml:space="preserve"> </w:t>
            </w:r>
            <w:r w:rsidR="009A5A48" w:rsidRPr="00627CC2">
              <w:rPr>
                <w:rFonts w:ascii="Times New Roman" w:hAnsi="Times New Roman"/>
                <w:b/>
                <w:sz w:val="24"/>
                <w:szCs w:val="24"/>
              </w:rPr>
              <w:t>requested by the European Parliament</w:t>
            </w:r>
            <w:r w:rsidRPr="00936A16">
              <w:rPr>
                <w:rFonts w:ascii="Times New Roman" w:hAnsi="Times New Roman"/>
                <w:b/>
                <w:sz w:val="24"/>
                <w:szCs w:val="24"/>
              </w:rPr>
              <w:t>)</w:t>
            </w:r>
            <w:r w:rsidR="001C4138" w:rsidRPr="00C26F50">
              <w:rPr>
                <w:rFonts w:ascii="Times New Roman" w:hAnsi="Times New Roman"/>
                <w:b/>
                <w:sz w:val="24"/>
                <w:szCs w:val="24"/>
              </w:rPr>
              <w:br/>
            </w:r>
            <w:r w:rsidR="009A5A48" w:rsidRPr="00627CC2">
              <w:rPr>
                <w:rFonts w:ascii="Times New Roman" w:hAnsi="Times New Roman"/>
                <w:b/>
                <w:bCs/>
                <w:sz w:val="24"/>
                <w:szCs w:val="24"/>
              </w:rPr>
              <w:t>EESC-2025</w:t>
            </w:r>
            <w:r w:rsidR="009A5A48" w:rsidRPr="00627CC2">
              <w:rPr>
                <w:rFonts w:ascii="Times New Roman" w:hAnsi="Times New Roman"/>
                <w:b/>
                <w:sz w:val="24"/>
                <w:szCs w:val="24"/>
              </w:rPr>
              <w:t>-00020</w:t>
            </w:r>
            <w:r w:rsidR="009A5A48" w:rsidRPr="009A5A48">
              <w:rPr>
                <w:rFonts w:ascii="Times New Roman" w:hAnsi="Times New Roman"/>
                <w:b/>
                <w:sz w:val="24"/>
                <w:szCs w:val="24"/>
              </w:rPr>
              <w:t xml:space="preserve"> </w:t>
            </w:r>
            <w:r w:rsidR="009A5A48" w:rsidRPr="00C26F50">
              <w:rPr>
                <w:rFonts w:ascii="Times New Roman" w:hAnsi="Times New Roman"/>
                <w:b/>
                <w:sz w:val="24"/>
                <w:szCs w:val="24"/>
              </w:rPr>
              <w:t>–</w:t>
            </w:r>
            <w:r w:rsidR="009A5A48">
              <w:rPr>
                <w:rFonts w:ascii="Times New Roman" w:hAnsi="Times New Roman"/>
                <w:b/>
                <w:sz w:val="24"/>
                <w:szCs w:val="24"/>
              </w:rPr>
              <w:t xml:space="preserve"> </w:t>
            </w:r>
            <w:r w:rsidR="009A5A48" w:rsidRPr="00936A16">
              <w:rPr>
                <w:rFonts w:ascii="Times New Roman" w:hAnsi="Times New Roman"/>
                <w:b/>
                <w:sz w:val="24"/>
                <w:szCs w:val="24"/>
              </w:rPr>
              <w:t>REX 594</w:t>
            </w:r>
            <w:r w:rsidR="00A61059">
              <w:rPr>
                <w:rFonts w:ascii="Times New Roman" w:hAnsi="Times New Roman"/>
                <w:b/>
                <w:sz w:val="24"/>
                <w:szCs w:val="24"/>
              </w:rPr>
              <w:br/>
            </w:r>
            <w:r w:rsidR="009A5A48" w:rsidRPr="00A61059">
              <w:rPr>
                <w:rFonts w:ascii="Times New Roman" w:hAnsi="Times New Roman"/>
                <w:b/>
                <w:sz w:val="24"/>
                <w:szCs w:val="24"/>
              </w:rPr>
              <w:t>595</w:t>
            </w:r>
            <w:r w:rsidR="009A5A48" w:rsidRPr="00A61059">
              <w:rPr>
                <w:rFonts w:ascii="Times New Roman" w:hAnsi="Times New Roman"/>
                <w:b/>
                <w:sz w:val="24"/>
                <w:szCs w:val="24"/>
                <w:vertAlign w:val="superscript"/>
              </w:rPr>
              <w:t>th</w:t>
            </w:r>
            <w:r w:rsidRPr="00A61059">
              <w:rPr>
                <w:rFonts w:ascii="Times New Roman" w:hAnsi="Times New Roman"/>
                <w:b/>
                <w:sz w:val="24"/>
                <w:szCs w:val="24"/>
              </w:rPr>
              <w:t xml:space="preserve"> </w:t>
            </w:r>
            <w:r w:rsidR="001C4138" w:rsidRPr="00936A16">
              <w:rPr>
                <w:rFonts w:ascii="Times New Roman" w:hAnsi="Times New Roman"/>
                <w:b/>
                <w:sz w:val="24"/>
                <w:szCs w:val="24"/>
              </w:rPr>
              <w:t xml:space="preserve">Plenary Session – </w:t>
            </w:r>
            <w:r w:rsidR="009A5A48">
              <w:rPr>
                <w:rFonts w:ascii="Times New Roman" w:hAnsi="Times New Roman"/>
                <w:b/>
                <w:sz w:val="24"/>
                <w:szCs w:val="24"/>
              </w:rPr>
              <w:t>March</w:t>
            </w:r>
            <w:r w:rsidRPr="00936A16">
              <w:rPr>
                <w:rFonts w:ascii="Times New Roman" w:hAnsi="Times New Roman"/>
                <w:b/>
                <w:sz w:val="24"/>
                <w:szCs w:val="24"/>
              </w:rPr>
              <w:t xml:space="preserve"> 2025</w:t>
            </w:r>
            <w:r w:rsidR="001C4138" w:rsidRPr="00C26F50">
              <w:rPr>
                <w:rFonts w:ascii="Times New Roman" w:hAnsi="Times New Roman"/>
                <w:b/>
                <w:sz w:val="24"/>
                <w:szCs w:val="24"/>
              </w:rPr>
              <w:br/>
              <w:t xml:space="preserve">Rapporteur: </w:t>
            </w:r>
            <w:r w:rsidRPr="00936A16">
              <w:rPr>
                <w:rFonts w:ascii="Times New Roman" w:hAnsi="Times New Roman"/>
                <w:b/>
                <w:sz w:val="24"/>
                <w:szCs w:val="24"/>
              </w:rPr>
              <w:t>Georgi STOEV (</w:t>
            </w:r>
            <w:r w:rsidR="009A5A48" w:rsidRPr="00627CC2">
              <w:rPr>
                <w:rFonts w:ascii="Times New Roman" w:hAnsi="Times New Roman"/>
                <w:b/>
                <w:sz w:val="24"/>
                <w:szCs w:val="24"/>
              </w:rPr>
              <w:t>BG-I</w:t>
            </w:r>
            <w:r w:rsidRPr="00936A16">
              <w:rPr>
                <w:rFonts w:ascii="Times New Roman" w:hAnsi="Times New Roman"/>
                <w:b/>
                <w:sz w:val="24"/>
                <w:szCs w:val="24"/>
              </w:rPr>
              <w:t>)</w:t>
            </w:r>
            <w:r w:rsidR="00A61059" w:rsidDel="00A61059">
              <w:rPr>
                <w:rFonts w:ascii="Times New Roman" w:hAnsi="Times New Roman"/>
                <w:b/>
                <w:sz w:val="24"/>
                <w:szCs w:val="24"/>
              </w:rPr>
              <w:t xml:space="preserve"> </w:t>
            </w:r>
            <w:r w:rsidR="001C4138" w:rsidRPr="00C26F50">
              <w:rPr>
                <w:rFonts w:ascii="Times New Roman" w:hAnsi="Times New Roman"/>
                <w:b/>
                <w:sz w:val="24"/>
                <w:szCs w:val="24"/>
              </w:rPr>
              <w:br/>
              <w:t xml:space="preserve">DG </w:t>
            </w:r>
            <w:r w:rsidR="00184E40" w:rsidRPr="00C26F50">
              <w:rPr>
                <w:rFonts w:ascii="Times New Roman" w:hAnsi="Times New Roman"/>
                <w:b/>
                <w:sz w:val="24"/>
                <w:szCs w:val="24"/>
              </w:rPr>
              <w:t xml:space="preserve">TRADE </w:t>
            </w:r>
            <w:r w:rsidR="001C4138" w:rsidRPr="00C26F50">
              <w:rPr>
                <w:rFonts w:ascii="Times New Roman" w:hAnsi="Times New Roman"/>
                <w:b/>
                <w:sz w:val="24"/>
                <w:szCs w:val="24"/>
              </w:rPr>
              <w:t xml:space="preserve">– Commissioner </w:t>
            </w:r>
            <w:r w:rsidR="009A5A48" w:rsidRPr="00C26F50">
              <w:rPr>
                <w:rFonts w:ascii="Times New Roman" w:hAnsi="Times New Roman"/>
                <w:b/>
                <w:sz w:val="24"/>
                <w:szCs w:val="24"/>
              </w:rPr>
              <w:t>ŠEFČOVIČ</w:t>
            </w:r>
          </w:p>
        </w:tc>
      </w:tr>
      <w:tr w:rsidR="00734613" w:rsidRPr="00C26F50" w14:paraId="1937071F" w14:textId="77777777" w:rsidTr="00C5639B">
        <w:trPr>
          <w:jc w:val="center"/>
        </w:trPr>
        <w:tc>
          <w:tcPr>
            <w:tcW w:w="10702" w:type="dxa"/>
          </w:tcPr>
          <w:p w14:paraId="1E50B4DB" w14:textId="31529A4F" w:rsidR="00734613" w:rsidRPr="00C26F50" w:rsidRDefault="004F6117" w:rsidP="00A61059">
            <w:pPr>
              <w:widowControl w:val="0"/>
              <w:spacing w:before="120" w:after="120"/>
              <w:jc w:val="center"/>
              <w:rPr>
                <w:rFonts w:ascii="Times New Roman" w:hAnsi="Times New Roman"/>
                <w:b/>
                <w:sz w:val="24"/>
                <w:szCs w:val="24"/>
              </w:rPr>
            </w:pPr>
            <w:r w:rsidRPr="00C26F50">
              <w:rPr>
                <w:rFonts w:ascii="Times New Roman" w:hAnsi="Times New Roman"/>
                <w:b/>
                <w:sz w:val="24"/>
                <w:szCs w:val="24"/>
              </w:rPr>
              <w:t>European Commission position on points</w:t>
            </w:r>
            <w:r w:rsidRPr="00C26F50">
              <w:rPr>
                <w:rFonts w:ascii="Times New Roman" w:hAnsi="Times New Roman"/>
                <w:b/>
                <w:sz w:val="24"/>
                <w:szCs w:val="24"/>
              </w:rPr>
              <w:br/>
              <w:t xml:space="preserve">of the European Economic and Social Committee </w:t>
            </w:r>
            <w:r w:rsidR="009A5A48">
              <w:rPr>
                <w:rFonts w:ascii="Times New Roman" w:hAnsi="Times New Roman"/>
                <w:b/>
                <w:sz w:val="24"/>
                <w:szCs w:val="24"/>
              </w:rPr>
              <w:t xml:space="preserve">(EESC) </w:t>
            </w:r>
            <w:r w:rsidRPr="00C26F50">
              <w:rPr>
                <w:rFonts w:ascii="Times New Roman" w:hAnsi="Times New Roman"/>
                <w:b/>
                <w:sz w:val="24"/>
                <w:szCs w:val="24"/>
              </w:rPr>
              <w:t>opinion</w:t>
            </w:r>
            <w:r w:rsidR="00E83C12" w:rsidRPr="00C26F50">
              <w:rPr>
                <w:rFonts w:ascii="Times New Roman" w:hAnsi="Times New Roman"/>
                <w:b/>
                <w:sz w:val="24"/>
                <w:szCs w:val="24"/>
              </w:rPr>
              <w:t xml:space="preserve"> considered as essential</w:t>
            </w:r>
          </w:p>
        </w:tc>
      </w:tr>
      <w:tr w:rsidR="00734613" w:rsidRPr="00C26F50" w14:paraId="673DDC1B" w14:textId="77777777" w:rsidTr="00C5639B">
        <w:trPr>
          <w:jc w:val="center"/>
        </w:trPr>
        <w:tc>
          <w:tcPr>
            <w:tcW w:w="10702" w:type="dxa"/>
          </w:tcPr>
          <w:p w14:paraId="2C77D3FD" w14:textId="3A410AEF" w:rsidR="007F384C" w:rsidRPr="00822B59" w:rsidRDefault="007F384C" w:rsidP="00822B59">
            <w:pPr>
              <w:pStyle w:val="ListParagraph"/>
              <w:widowControl w:val="0"/>
              <w:spacing w:before="120" w:after="120" w:line="276" w:lineRule="auto"/>
              <w:ind w:left="9" w:right="21"/>
              <w:contextualSpacing w:val="0"/>
              <w:jc w:val="both"/>
              <w:rPr>
                <w:rFonts w:ascii="Times New Roman" w:hAnsi="Times New Roman"/>
                <w:b/>
                <w:bCs/>
                <w:sz w:val="24"/>
                <w:szCs w:val="24"/>
                <w:lang w:val="en-US"/>
              </w:rPr>
            </w:pPr>
            <w:r w:rsidRPr="00822B59">
              <w:rPr>
                <w:rFonts w:ascii="Times New Roman" w:hAnsi="Times New Roman"/>
                <w:b/>
                <w:bCs/>
                <w:sz w:val="24"/>
                <w:szCs w:val="24"/>
                <w:lang w:val="en-US"/>
              </w:rPr>
              <w:t>Points 1.2</w:t>
            </w:r>
            <w:r w:rsidR="009A5A48">
              <w:rPr>
                <w:rFonts w:ascii="Times New Roman" w:hAnsi="Times New Roman"/>
                <w:b/>
                <w:bCs/>
                <w:sz w:val="24"/>
                <w:szCs w:val="24"/>
                <w:lang w:val="en-US"/>
              </w:rPr>
              <w:t>.</w:t>
            </w:r>
            <w:r w:rsidRPr="00822B59">
              <w:rPr>
                <w:rFonts w:ascii="Times New Roman" w:hAnsi="Times New Roman"/>
                <w:b/>
                <w:bCs/>
                <w:sz w:val="24"/>
                <w:szCs w:val="24"/>
                <w:lang w:val="en-US"/>
              </w:rPr>
              <w:t>, 1.4</w:t>
            </w:r>
            <w:r w:rsidR="009A5A48">
              <w:rPr>
                <w:rFonts w:ascii="Times New Roman" w:hAnsi="Times New Roman"/>
                <w:b/>
                <w:bCs/>
                <w:sz w:val="24"/>
                <w:szCs w:val="24"/>
                <w:lang w:val="en-US"/>
              </w:rPr>
              <w:t>.</w:t>
            </w:r>
            <w:r w:rsidRPr="00822B59">
              <w:rPr>
                <w:rFonts w:ascii="Times New Roman" w:hAnsi="Times New Roman"/>
                <w:b/>
                <w:bCs/>
                <w:sz w:val="24"/>
                <w:szCs w:val="24"/>
                <w:lang w:val="en-US"/>
              </w:rPr>
              <w:t xml:space="preserve"> and 1.9</w:t>
            </w:r>
            <w:r w:rsidR="009A5A48">
              <w:rPr>
                <w:rFonts w:ascii="Times New Roman" w:hAnsi="Times New Roman"/>
                <w:b/>
                <w:bCs/>
                <w:sz w:val="24"/>
                <w:szCs w:val="24"/>
                <w:lang w:val="en-US"/>
              </w:rPr>
              <w:t>.:</w:t>
            </w:r>
          </w:p>
          <w:p w14:paraId="35079859" w14:textId="0A0D8DAC" w:rsidR="00B6485F" w:rsidRPr="00822B59" w:rsidRDefault="001E140D" w:rsidP="00822B59">
            <w:pPr>
              <w:pStyle w:val="ListParagraph"/>
              <w:widowControl w:val="0"/>
              <w:spacing w:before="120" w:after="120" w:line="276" w:lineRule="auto"/>
              <w:ind w:left="9" w:right="21"/>
              <w:contextualSpacing w:val="0"/>
              <w:jc w:val="both"/>
              <w:rPr>
                <w:rFonts w:ascii="Times New Roman" w:eastAsia="Cambria" w:hAnsi="Times New Roman"/>
                <w:sz w:val="24"/>
                <w:szCs w:val="24"/>
              </w:rPr>
            </w:pPr>
            <w:r w:rsidRPr="00822B59">
              <w:rPr>
                <w:rFonts w:ascii="Times New Roman" w:hAnsi="Times New Roman"/>
                <w:sz w:val="24"/>
                <w:szCs w:val="24"/>
                <w:lang w:val="en-US"/>
              </w:rPr>
              <w:t xml:space="preserve">The Draghi report puts forward </w:t>
            </w:r>
            <w:r w:rsidR="007A500E" w:rsidRPr="00822B59">
              <w:rPr>
                <w:rFonts w:ascii="Times New Roman" w:hAnsi="Times New Roman"/>
                <w:sz w:val="24"/>
                <w:szCs w:val="24"/>
                <w:lang w:val="en-US"/>
              </w:rPr>
              <w:t>ideas</w:t>
            </w:r>
            <w:r w:rsidR="00BF08D8" w:rsidRPr="00822B59">
              <w:rPr>
                <w:rFonts w:ascii="Times New Roman" w:hAnsi="Times New Roman"/>
                <w:sz w:val="24"/>
                <w:szCs w:val="24"/>
                <w:lang w:val="en-US"/>
              </w:rPr>
              <w:t xml:space="preserve"> for boosting</w:t>
            </w:r>
            <w:r w:rsidR="00BD3277">
              <w:rPr>
                <w:rFonts w:ascii="Times New Roman" w:hAnsi="Times New Roman"/>
                <w:sz w:val="24"/>
                <w:szCs w:val="24"/>
                <w:lang w:val="en-US"/>
              </w:rPr>
              <w:t xml:space="preserve"> the</w:t>
            </w:r>
            <w:r w:rsidR="00BF08D8" w:rsidRPr="00822B59">
              <w:rPr>
                <w:rFonts w:ascii="Times New Roman" w:hAnsi="Times New Roman"/>
                <w:sz w:val="24"/>
                <w:szCs w:val="24"/>
                <w:lang w:val="en-US"/>
              </w:rPr>
              <w:t xml:space="preserve"> EU’s competitiveness</w:t>
            </w:r>
            <w:r w:rsidRPr="00822B59">
              <w:rPr>
                <w:rFonts w:ascii="Times New Roman" w:hAnsi="Times New Roman"/>
                <w:sz w:val="24"/>
                <w:szCs w:val="24"/>
                <w:lang w:val="en-US"/>
              </w:rPr>
              <w:t xml:space="preserve">. </w:t>
            </w:r>
            <w:r w:rsidR="00EA1B46" w:rsidRPr="00822B59">
              <w:rPr>
                <w:rFonts w:ascii="Times New Roman" w:hAnsi="Times New Roman"/>
                <w:sz w:val="24"/>
                <w:szCs w:val="24"/>
                <w:lang w:val="en-US"/>
              </w:rPr>
              <w:t xml:space="preserve">Building on </w:t>
            </w:r>
            <w:r w:rsidR="007A500E" w:rsidRPr="00822B59">
              <w:rPr>
                <w:rFonts w:ascii="Times New Roman" w:hAnsi="Times New Roman"/>
                <w:sz w:val="24"/>
                <w:szCs w:val="24"/>
                <w:lang w:val="en-US"/>
              </w:rPr>
              <w:t>these</w:t>
            </w:r>
            <w:r w:rsidR="00BD3277">
              <w:rPr>
                <w:rFonts w:ascii="Times New Roman" w:hAnsi="Times New Roman"/>
                <w:sz w:val="24"/>
                <w:szCs w:val="24"/>
                <w:lang w:val="en-US"/>
              </w:rPr>
              <w:t xml:space="preserve"> ideas</w:t>
            </w:r>
            <w:r w:rsidR="00B3412A" w:rsidRPr="00822B59">
              <w:rPr>
                <w:rFonts w:ascii="Times New Roman" w:hAnsi="Times New Roman"/>
                <w:sz w:val="24"/>
                <w:szCs w:val="24"/>
                <w:lang w:val="en-US"/>
              </w:rPr>
              <w:t>, better</w:t>
            </w:r>
            <w:r w:rsidR="00B3412A" w:rsidRPr="00822B59">
              <w:rPr>
                <w:rFonts w:ascii="Times New Roman" w:eastAsia="Cambria" w:hAnsi="Times New Roman"/>
                <w:sz w:val="24"/>
                <w:szCs w:val="24"/>
              </w:rPr>
              <w:t xml:space="preserve"> integration and coherence among EU policies is also at the heart of the new </w:t>
            </w:r>
            <w:proofErr w:type="spellStart"/>
            <w:r w:rsidR="009A5A48">
              <w:rPr>
                <w:rFonts w:ascii="Times New Roman" w:eastAsia="Cambria" w:hAnsi="Times New Roman"/>
                <w:sz w:val="24"/>
                <w:szCs w:val="24"/>
              </w:rPr>
              <w:t>ʻ</w:t>
            </w:r>
            <w:r w:rsidR="00B3412A" w:rsidRPr="00822B59">
              <w:rPr>
                <w:rFonts w:ascii="Times New Roman" w:eastAsia="Cambria" w:hAnsi="Times New Roman"/>
                <w:sz w:val="24"/>
                <w:szCs w:val="24"/>
              </w:rPr>
              <w:t>Competitiveness</w:t>
            </w:r>
            <w:proofErr w:type="spellEnd"/>
            <w:r w:rsidR="00B3412A" w:rsidRPr="00822B59">
              <w:rPr>
                <w:rFonts w:ascii="Times New Roman" w:eastAsia="Cambria" w:hAnsi="Times New Roman"/>
                <w:sz w:val="24"/>
                <w:szCs w:val="24"/>
              </w:rPr>
              <w:t xml:space="preserve"> Compass</w:t>
            </w:r>
            <w:r w:rsidR="009A5A48">
              <w:rPr>
                <w:rFonts w:ascii="Times New Roman" w:eastAsia="Cambria" w:hAnsi="Times New Roman"/>
                <w:sz w:val="24"/>
                <w:szCs w:val="24"/>
              </w:rPr>
              <w:t>’</w:t>
            </w:r>
            <w:r w:rsidR="009A5A48">
              <w:rPr>
                <w:rStyle w:val="FootnoteReference"/>
                <w:rFonts w:ascii="Times New Roman" w:eastAsia="Cambria" w:hAnsi="Times New Roman"/>
                <w:sz w:val="24"/>
                <w:szCs w:val="24"/>
              </w:rPr>
              <w:footnoteReference w:id="1"/>
            </w:r>
            <w:r w:rsidR="00B3412A" w:rsidRPr="00822B59">
              <w:rPr>
                <w:rFonts w:ascii="Times New Roman" w:eastAsia="Cambria" w:hAnsi="Times New Roman"/>
                <w:sz w:val="24"/>
                <w:szCs w:val="24"/>
              </w:rPr>
              <w:t xml:space="preserve"> and the Clean Industrial Deal</w:t>
            </w:r>
            <w:r w:rsidR="009A5A48">
              <w:rPr>
                <w:rFonts w:ascii="Times New Roman" w:eastAsia="Cambria" w:hAnsi="Times New Roman"/>
                <w:sz w:val="24"/>
                <w:szCs w:val="24"/>
              </w:rPr>
              <w:t> </w:t>
            </w:r>
            <w:r w:rsidR="00B3412A" w:rsidRPr="00822B59">
              <w:rPr>
                <w:rFonts w:ascii="Times New Roman" w:eastAsia="Cambria" w:hAnsi="Times New Roman"/>
                <w:sz w:val="24"/>
                <w:szCs w:val="24"/>
              </w:rPr>
              <w:t>(CID)</w:t>
            </w:r>
            <w:r w:rsidR="009A5A48">
              <w:rPr>
                <w:rStyle w:val="FootnoteReference"/>
                <w:rFonts w:ascii="Times New Roman" w:eastAsia="Cambria" w:hAnsi="Times New Roman"/>
                <w:sz w:val="24"/>
                <w:szCs w:val="24"/>
              </w:rPr>
              <w:footnoteReference w:id="2"/>
            </w:r>
            <w:r w:rsidR="00F37BA3">
              <w:rPr>
                <w:rFonts w:ascii="Times New Roman" w:eastAsia="Cambria" w:hAnsi="Times New Roman"/>
                <w:sz w:val="24"/>
                <w:szCs w:val="24"/>
              </w:rPr>
              <w:t xml:space="preserve"> which aim at strengthening the EU’s competitiveness and industrial policy base by, among others,</w:t>
            </w:r>
            <w:r w:rsidR="00BD3277">
              <w:rPr>
                <w:rFonts w:ascii="Times New Roman" w:eastAsia="Cambria" w:hAnsi="Times New Roman"/>
                <w:sz w:val="24"/>
                <w:szCs w:val="24"/>
              </w:rPr>
              <w:t xml:space="preserve"> </w:t>
            </w:r>
            <w:r w:rsidR="00B3412A" w:rsidRPr="00822B59">
              <w:rPr>
                <w:rFonts w:ascii="Times New Roman" w:eastAsia="Cambria" w:hAnsi="Times New Roman"/>
                <w:sz w:val="24"/>
                <w:szCs w:val="24"/>
              </w:rPr>
              <w:t>closing the innovation gap, reducing excessive dependencies and increasing security</w:t>
            </w:r>
            <w:r w:rsidR="00F37BA3">
              <w:rPr>
                <w:rFonts w:ascii="Times New Roman" w:eastAsia="Cambria" w:hAnsi="Times New Roman"/>
                <w:sz w:val="24"/>
                <w:szCs w:val="24"/>
              </w:rPr>
              <w:t>.</w:t>
            </w:r>
            <w:r w:rsidR="00B3412A" w:rsidRPr="00822B59">
              <w:rPr>
                <w:rFonts w:ascii="Times New Roman" w:eastAsia="Cambria" w:hAnsi="Times New Roman"/>
                <w:sz w:val="24"/>
                <w:szCs w:val="24"/>
              </w:rPr>
              <w:t xml:space="preserve"> </w:t>
            </w:r>
            <w:r w:rsidR="00F37BA3">
              <w:rPr>
                <w:rFonts w:ascii="Times New Roman" w:eastAsia="Cambria" w:hAnsi="Times New Roman"/>
                <w:sz w:val="24"/>
                <w:szCs w:val="24"/>
              </w:rPr>
              <w:t xml:space="preserve">All of this is </w:t>
            </w:r>
            <w:r w:rsidR="00B3412A" w:rsidRPr="00822B59">
              <w:rPr>
                <w:rFonts w:ascii="Times New Roman" w:eastAsia="Cambria" w:hAnsi="Times New Roman"/>
                <w:sz w:val="24"/>
                <w:szCs w:val="24"/>
              </w:rPr>
              <w:t xml:space="preserve">underpinned by </w:t>
            </w:r>
            <w:r w:rsidR="00F37BA3">
              <w:rPr>
                <w:rFonts w:ascii="Times New Roman" w:eastAsia="Cambria" w:hAnsi="Times New Roman"/>
                <w:sz w:val="24"/>
                <w:szCs w:val="24"/>
              </w:rPr>
              <w:t xml:space="preserve">thorough </w:t>
            </w:r>
            <w:r w:rsidR="00B3412A" w:rsidRPr="00822B59">
              <w:rPr>
                <w:rFonts w:ascii="Times New Roman" w:eastAsia="Cambria" w:hAnsi="Times New Roman"/>
                <w:sz w:val="24"/>
                <w:szCs w:val="24"/>
              </w:rPr>
              <w:t>simplification</w:t>
            </w:r>
            <w:r w:rsidR="00F37BA3">
              <w:rPr>
                <w:rFonts w:ascii="Times New Roman" w:eastAsia="Cambria" w:hAnsi="Times New Roman"/>
                <w:sz w:val="24"/>
                <w:szCs w:val="24"/>
              </w:rPr>
              <w:t xml:space="preserve"> efforts</w:t>
            </w:r>
            <w:r w:rsidR="00B3412A" w:rsidRPr="00822B59">
              <w:rPr>
                <w:rFonts w:ascii="Times New Roman" w:eastAsia="Cambria" w:hAnsi="Times New Roman"/>
                <w:sz w:val="24"/>
                <w:szCs w:val="24"/>
              </w:rPr>
              <w:t xml:space="preserve">, </w:t>
            </w:r>
            <w:r w:rsidR="00F37BA3">
              <w:rPr>
                <w:rFonts w:ascii="Times New Roman" w:eastAsia="Cambria" w:hAnsi="Times New Roman"/>
                <w:sz w:val="24"/>
                <w:szCs w:val="24"/>
              </w:rPr>
              <w:t>enhanced</w:t>
            </w:r>
            <w:r w:rsidR="00B3412A" w:rsidRPr="00822B59">
              <w:rPr>
                <w:rFonts w:ascii="Times New Roman" w:eastAsia="Cambria" w:hAnsi="Times New Roman"/>
                <w:sz w:val="24"/>
                <w:szCs w:val="24"/>
              </w:rPr>
              <w:t xml:space="preserve"> coordination of various policies, and </w:t>
            </w:r>
            <w:r w:rsidR="00F37BA3">
              <w:rPr>
                <w:rFonts w:ascii="Times New Roman" w:eastAsia="Cambria" w:hAnsi="Times New Roman"/>
                <w:sz w:val="24"/>
                <w:szCs w:val="24"/>
              </w:rPr>
              <w:t>targeted engagement on sector-</w:t>
            </w:r>
            <w:r w:rsidR="00B3412A" w:rsidRPr="00822B59">
              <w:rPr>
                <w:rFonts w:ascii="Times New Roman" w:eastAsia="Cambria" w:hAnsi="Times New Roman"/>
                <w:sz w:val="24"/>
                <w:szCs w:val="24"/>
              </w:rPr>
              <w:t>specific</w:t>
            </w:r>
            <w:r w:rsidR="00F37BA3">
              <w:rPr>
                <w:rFonts w:ascii="Times New Roman" w:eastAsia="Cambria" w:hAnsi="Times New Roman"/>
                <w:sz w:val="24"/>
                <w:szCs w:val="24"/>
              </w:rPr>
              <w:t xml:space="preserve"> needs and challenges. </w:t>
            </w:r>
            <w:r w:rsidR="00B6485F" w:rsidRPr="00822B59">
              <w:rPr>
                <w:rFonts w:ascii="Times New Roman" w:eastAsia="Cambria" w:hAnsi="Times New Roman"/>
                <w:sz w:val="24"/>
                <w:szCs w:val="24"/>
              </w:rPr>
              <w:t xml:space="preserve">The </w:t>
            </w:r>
            <w:r w:rsidR="00F37BA3">
              <w:rPr>
                <w:rFonts w:ascii="Times New Roman" w:eastAsia="Cambria" w:hAnsi="Times New Roman"/>
                <w:sz w:val="24"/>
                <w:szCs w:val="24"/>
              </w:rPr>
              <w:t xml:space="preserve">geopolitical landscape of today deems these efforts so important. </w:t>
            </w:r>
          </w:p>
          <w:p w14:paraId="6D557910" w14:textId="47BBAF15" w:rsidR="002461B3" w:rsidRPr="00822B59" w:rsidRDefault="00B01F24" w:rsidP="00822B59">
            <w:pPr>
              <w:widowControl w:val="0"/>
              <w:spacing w:before="120" w:after="120"/>
              <w:ind w:left="9" w:right="21"/>
              <w:jc w:val="both"/>
              <w:rPr>
                <w:rFonts w:ascii="Times New Roman" w:eastAsia="Cambria" w:hAnsi="Times New Roman"/>
                <w:sz w:val="24"/>
                <w:szCs w:val="24"/>
              </w:rPr>
            </w:pPr>
            <w:r w:rsidRPr="00822B59">
              <w:rPr>
                <w:rFonts w:ascii="Times New Roman" w:hAnsi="Times New Roman"/>
                <w:sz w:val="24"/>
                <w:szCs w:val="24"/>
                <w:lang w:val="en-US"/>
              </w:rPr>
              <w:t>In this respect</w:t>
            </w:r>
            <w:r w:rsidR="00B3412A" w:rsidRPr="00822B59">
              <w:rPr>
                <w:rFonts w:ascii="Times New Roman" w:hAnsi="Times New Roman"/>
                <w:sz w:val="24"/>
                <w:szCs w:val="24"/>
                <w:lang w:val="en-US"/>
              </w:rPr>
              <w:t xml:space="preserve">, </w:t>
            </w:r>
            <w:r w:rsidR="003E6C40" w:rsidRPr="00822B59">
              <w:rPr>
                <w:rFonts w:ascii="Times New Roman" w:hAnsi="Times New Roman"/>
                <w:sz w:val="24"/>
                <w:szCs w:val="24"/>
                <w:lang w:val="en-US"/>
              </w:rPr>
              <w:t xml:space="preserve">trade </w:t>
            </w:r>
            <w:r w:rsidR="00C45F4F" w:rsidRPr="00822B59">
              <w:rPr>
                <w:rFonts w:ascii="Times New Roman" w:hAnsi="Times New Roman"/>
                <w:sz w:val="24"/>
                <w:szCs w:val="24"/>
                <w:lang w:val="en-US"/>
              </w:rPr>
              <w:t xml:space="preserve">policy is essential to project and </w:t>
            </w:r>
            <w:r w:rsidR="00B6485F" w:rsidRPr="00822B59">
              <w:rPr>
                <w:rFonts w:ascii="Times New Roman" w:hAnsi="Times New Roman"/>
                <w:sz w:val="24"/>
                <w:szCs w:val="24"/>
                <w:lang w:val="en-US"/>
              </w:rPr>
              <w:t>leverage</w:t>
            </w:r>
            <w:r w:rsidR="00C45F4F" w:rsidRPr="00822B59">
              <w:rPr>
                <w:rFonts w:ascii="Times New Roman" w:hAnsi="Times New Roman"/>
                <w:sz w:val="24"/>
                <w:szCs w:val="24"/>
                <w:lang w:val="en-US"/>
              </w:rPr>
              <w:t xml:space="preserve"> the Single Market on the international stage</w:t>
            </w:r>
            <w:r w:rsidR="00627CC2">
              <w:rPr>
                <w:rFonts w:ascii="Times New Roman" w:hAnsi="Times New Roman"/>
                <w:sz w:val="24"/>
                <w:szCs w:val="24"/>
                <w:lang w:val="en-US"/>
              </w:rPr>
              <w:t>. The EU’s Single Market is unparalleled in terms of its size, functioning and standards. It is therefore an</w:t>
            </w:r>
            <w:r w:rsidR="000230E1">
              <w:rPr>
                <w:rFonts w:ascii="Times New Roman" w:hAnsi="Times New Roman"/>
                <w:sz w:val="24"/>
                <w:szCs w:val="24"/>
                <w:lang w:val="en-US"/>
              </w:rPr>
              <w:t> </w:t>
            </w:r>
            <w:r w:rsidR="00627CC2">
              <w:rPr>
                <w:rFonts w:ascii="Times New Roman" w:hAnsi="Times New Roman"/>
                <w:sz w:val="24"/>
                <w:szCs w:val="24"/>
                <w:lang w:val="en-US"/>
              </w:rPr>
              <w:t>essential driver</w:t>
            </w:r>
            <w:r w:rsidR="00B6485F" w:rsidRPr="00822B59">
              <w:rPr>
                <w:rFonts w:ascii="Times New Roman" w:hAnsi="Times New Roman"/>
                <w:sz w:val="24"/>
                <w:szCs w:val="24"/>
                <w:lang w:val="en-US"/>
              </w:rPr>
              <w:t xml:space="preserve"> </w:t>
            </w:r>
            <w:r w:rsidR="00627CC2">
              <w:rPr>
                <w:rFonts w:ascii="Times New Roman" w:hAnsi="Times New Roman"/>
                <w:sz w:val="24"/>
                <w:szCs w:val="24"/>
                <w:lang w:val="en-US"/>
              </w:rPr>
              <w:t>of EU’s</w:t>
            </w:r>
            <w:r w:rsidR="003E6C40" w:rsidRPr="00822B59">
              <w:rPr>
                <w:rFonts w:ascii="Times New Roman" w:hAnsi="Times New Roman"/>
                <w:sz w:val="24"/>
                <w:szCs w:val="24"/>
                <w:lang w:val="en-US"/>
              </w:rPr>
              <w:t xml:space="preserve"> competitiveness and security</w:t>
            </w:r>
            <w:r w:rsidR="00627CC2">
              <w:rPr>
                <w:rFonts w:ascii="Times New Roman" w:hAnsi="Times New Roman"/>
                <w:sz w:val="24"/>
                <w:szCs w:val="24"/>
                <w:lang w:val="en-US"/>
              </w:rPr>
              <w:t>. In this context it is important to ensure that inward facing industrial and competitiveness agenda incorporates the external dimension that</w:t>
            </w:r>
            <w:r w:rsidR="003E6C40" w:rsidRPr="00822B59">
              <w:rPr>
                <w:rFonts w:ascii="Times New Roman" w:hAnsi="Times New Roman"/>
                <w:sz w:val="24"/>
                <w:szCs w:val="24"/>
                <w:lang w:val="en-US"/>
              </w:rPr>
              <w:t xml:space="preserve"> </w:t>
            </w:r>
            <w:r w:rsidR="00B6485F" w:rsidRPr="00822B59">
              <w:rPr>
                <w:rFonts w:ascii="Times New Roman" w:eastAsia="Cambria" w:hAnsi="Times New Roman"/>
                <w:sz w:val="24"/>
                <w:szCs w:val="24"/>
              </w:rPr>
              <w:t>benefit</w:t>
            </w:r>
            <w:r w:rsidR="00627CC2">
              <w:rPr>
                <w:rFonts w:ascii="Times New Roman" w:eastAsia="Cambria" w:hAnsi="Times New Roman"/>
                <w:sz w:val="24"/>
                <w:szCs w:val="24"/>
              </w:rPr>
              <w:t>s</w:t>
            </w:r>
            <w:r w:rsidR="00B6485F" w:rsidRPr="00822B59">
              <w:rPr>
                <w:rFonts w:ascii="Times New Roman" w:eastAsia="Cambria" w:hAnsi="Times New Roman"/>
                <w:sz w:val="24"/>
                <w:szCs w:val="24"/>
              </w:rPr>
              <w:t xml:space="preserve"> </w:t>
            </w:r>
            <w:r w:rsidR="00627CC2">
              <w:rPr>
                <w:rFonts w:ascii="Times New Roman" w:eastAsia="Cambria" w:hAnsi="Times New Roman"/>
                <w:sz w:val="24"/>
                <w:szCs w:val="24"/>
              </w:rPr>
              <w:t>European economy,</w:t>
            </w:r>
            <w:r w:rsidR="00627CC2" w:rsidRPr="00822B59">
              <w:rPr>
                <w:rFonts w:ascii="Times New Roman" w:eastAsia="Cambria" w:hAnsi="Times New Roman"/>
                <w:sz w:val="24"/>
                <w:szCs w:val="24"/>
              </w:rPr>
              <w:t xml:space="preserve"> </w:t>
            </w:r>
            <w:r w:rsidR="00B6485F" w:rsidRPr="00822B59">
              <w:rPr>
                <w:rFonts w:ascii="Times New Roman" w:eastAsia="Cambria" w:hAnsi="Times New Roman"/>
                <w:sz w:val="24"/>
                <w:szCs w:val="24"/>
              </w:rPr>
              <w:t>businesses and consumers</w:t>
            </w:r>
            <w:r w:rsidR="00627CC2">
              <w:rPr>
                <w:rFonts w:ascii="Times New Roman" w:eastAsia="Cambria" w:hAnsi="Times New Roman"/>
                <w:sz w:val="24"/>
                <w:szCs w:val="24"/>
              </w:rPr>
              <w:t>. With its policy direction, the Commission is clearly setting an</w:t>
            </w:r>
            <w:r w:rsidR="00A61059">
              <w:rPr>
                <w:rFonts w:ascii="Times New Roman" w:eastAsia="Cambria" w:hAnsi="Times New Roman"/>
                <w:sz w:val="24"/>
                <w:szCs w:val="24"/>
              </w:rPr>
              <w:t> </w:t>
            </w:r>
            <w:r w:rsidR="00627CC2">
              <w:rPr>
                <w:rFonts w:ascii="Times New Roman" w:eastAsia="Cambria" w:hAnsi="Times New Roman"/>
                <w:sz w:val="24"/>
                <w:szCs w:val="24"/>
              </w:rPr>
              <w:t>ambitious agenda in this regard. Examples include</w:t>
            </w:r>
            <w:r w:rsidR="002461B3" w:rsidRPr="00822B59">
              <w:rPr>
                <w:rFonts w:ascii="Times New Roman" w:eastAsia="Cambria" w:hAnsi="Times New Roman"/>
                <w:sz w:val="24"/>
                <w:szCs w:val="24"/>
              </w:rPr>
              <w:t xml:space="preserve"> </w:t>
            </w:r>
            <w:r w:rsidR="002461B3" w:rsidRPr="00822B59">
              <w:rPr>
                <w:rFonts w:ascii="Times New Roman" w:eastAsia="Times New Roman" w:hAnsi="Times New Roman"/>
                <w:color w:val="000000"/>
                <w:sz w:val="24"/>
                <w:szCs w:val="24"/>
                <w:lang w:val="en-US"/>
              </w:rPr>
              <w:t xml:space="preserve">Industrial </w:t>
            </w:r>
            <w:proofErr w:type="spellStart"/>
            <w:r w:rsidR="002461B3" w:rsidRPr="00822B59">
              <w:rPr>
                <w:rFonts w:ascii="Times New Roman" w:eastAsia="Times New Roman" w:hAnsi="Times New Roman"/>
                <w:color w:val="000000"/>
                <w:sz w:val="24"/>
                <w:szCs w:val="24"/>
                <w:lang w:val="en-US"/>
              </w:rPr>
              <w:t>Decarbonisation</w:t>
            </w:r>
            <w:proofErr w:type="spellEnd"/>
            <w:r w:rsidR="002461B3" w:rsidRPr="00822B59">
              <w:rPr>
                <w:rFonts w:ascii="Times New Roman" w:eastAsia="Times New Roman" w:hAnsi="Times New Roman"/>
                <w:color w:val="000000"/>
                <w:sz w:val="24"/>
                <w:szCs w:val="24"/>
                <w:lang w:val="en-US"/>
              </w:rPr>
              <w:t xml:space="preserve"> Accelerator Act</w:t>
            </w:r>
            <w:r w:rsidR="006460E0">
              <w:rPr>
                <w:rStyle w:val="FootnoteReference"/>
                <w:rFonts w:ascii="Times New Roman" w:eastAsia="Times New Roman" w:hAnsi="Times New Roman"/>
                <w:color w:val="000000"/>
                <w:sz w:val="24"/>
                <w:szCs w:val="24"/>
                <w:lang w:val="en-US"/>
              </w:rPr>
              <w:footnoteReference w:id="3"/>
            </w:r>
            <w:r w:rsidR="00627CC2">
              <w:rPr>
                <w:rFonts w:ascii="Times New Roman" w:eastAsia="Times New Roman" w:hAnsi="Times New Roman"/>
                <w:color w:val="000000"/>
                <w:sz w:val="24"/>
                <w:szCs w:val="24"/>
                <w:lang w:val="en-US"/>
              </w:rPr>
              <w:t xml:space="preserve"> and</w:t>
            </w:r>
            <w:r w:rsidR="002461B3" w:rsidRPr="00822B59">
              <w:rPr>
                <w:rFonts w:ascii="Times New Roman" w:eastAsia="Times New Roman" w:hAnsi="Times New Roman"/>
                <w:color w:val="000000"/>
                <w:sz w:val="24"/>
                <w:szCs w:val="24"/>
                <w:lang w:val="en-US"/>
              </w:rPr>
              <w:t xml:space="preserve"> </w:t>
            </w:r>
            <w:r w:rsidR="00C26F50" w:rsidRPr="00822B59">
              <w:rPr>
                <w:rFonts w:ascii="Times New Roman" w:eastAsia="Times New Roman" w:hAnsi="Times New Roman"/>
                <w:color w:val="000000"/>
                <w:sz w:val="24"/>
                <w:szCs w:val="24"/>
                <w:lang w:val="en-US"/>
              </w:rPr>
              <w:t xml:space="preserve">sectorial action plans </w:t>
            </w:r>
            <w:r w:rsidR="00627CC2">
              <w:rPr>
                <w:rFonts w:ascii="Times New Roman" w:eastAsia="Times New Roman" w:hAnsi="Times New Roman"/>
                <w:color w:val="000000"/>
                <w:sz w:val="24"/>
                <w:szCs w:val="24"/>
                <w:lang w:val="en-US"/>
              </w:rPr>
              <w:t>(e.g.</w:t>
            </w:r>
            <w:r w:rsidR="00862C90">
              <w:rPr>
                <w:rFonts w:ascii="Times New Roman" w:eastAsia="Times New Roman" w:hAnsi="Times New Roman"/>
                <w:color w:val="000000"/>
                <w:sz w:val="24"/>
                <w:szCs w:val="24"/>
                <w:lang w:val="en-US"/>
              </w:rPr>
              <w:t xml:space="preserve"> </w:t>
            </w:r>
            <w:r w:rsidR="00C26F50" w:rsidRPr="00822B59">
              <w:rPr>
                <w:rFonts w:ascii="Times New Roman" w:eastAsia="Times New Roman" w:hAnsi="Times New Roman"/>
                <w:color w:val="000000"/>
                <w:sz w:val="24"/>
                <w:szCs w:val="24"/>
                <w:lang w:val="en-US"/>
              </w:rPr>
              <w:t xml:space="preserve">automotive, </w:t>
            </w:r>
            <w:r w:rsidR="007A500E" w:rsidRPr="00822B59">
              <w:rPr>
                <w:rFonts w:ascii="Times New Roman" w:eastAsia="Times New Roman" w:hAnsi="Times New Roman"/>
                <w:color w:val="000000"/>
                <w:sz w:val="24"/>
                <w:szCs w:val="24"/>
                <w:lang w:val="en-US"/>
              </w:rPr>
              <w:t>steel and metals</w:t>
            </w:r>
            <w:r w:rsidR="00C26F50" w:rsidRPr="00822B59">
              <w:rPr>
                <w:rFonts w:ascii="Times New Roman" w:eastAsia="Times New Roman" w:hAnsi="Times New Roman"/>
                <w:color w:val="000000"/>
                <w:sz w:val="24"/>
                <w:szCs w:val="24"/>
                <w:lang w:val="en-US"/>
              </w:rPr>
              <w:t>,</w:t>
            </w:r>
            <w:r w:rsidR="00BD3277">
              <w:rPr>
                <w:rFonts w:ascii="Times New Roman" w:eastAsia="Times New Roman" w:hAnsi="Times New Roman"/>
                <w:color w:val="000000"/>
                <w:sz w:val="24"/>
                <w:szCs w:val="24"/>
                <w:lang w:val="en-US"/>
              </w:rPr>
              <w:t xml:space="preserve"> </w:t>
            </w:r>
            <w:r w:rsidR="007A500E" w:rsidRPr="00822B59">
              <w:rPr>
                <w:rFonts w:ascii="Times New Roman" w:eastAsia="Times New Roman" w:hAnsi="Times New Roman"/>
                <w:color w:val="000000"/>
                <w:sz w:val="24"/>
                <w:szCs w:val="24"/>
                <w:lang w:val="en-US"/>
              </w:rPr>
              <w:t>chemicals</w:t>
            </w:r>
            <w:r w:rsidR="00627CC2">
              <w:rPr>
                <w:rFonts w:ascii="Times New Roman" w:eastAsia="Times New Roman" w:hAnsi="Times New Roman"/>
                <w:color w:val="000000"/>
                <w:sz w:val="24"/>
                <w:szCs w:val="24"/>
                <w:lang w:val="en-US"/>
              </w:rPr>
              <w:t>).</w:t>
            </w:r>
            <w:r w:rsidR="001D1133" w:rsidRPr="00822B59">
              <w:rPr>
                <w:rFonts w:ascii="Times New Roman" w:eastAsia="Times New Roman" w:hAnsi="Times New Roman"/>
                <w:color w:val="000000"/>
                <w:sz w:val="24"/>
                <w:szCs w:val="24"/>
                <w:lang w:val="en-US"/>
              </w:rPr>
              <w:t xml:space="preserve"> </w:t>
            </w:r>
            <w:r w:rsidR="001D1133" w:rsidRPr="00822B59">
              <w:rPr>
                <w:rFonts w:ascii="Times New Roman" w:eastAsia="Times New Roman" w:hAnsi="Times New Roman"/>
                <w:color w:val="000000"/>
                <w:sz w:val="24"/>
                <w:szCs w:val="24"/>
              </w:rPr>
              <w:t>At the same time, the EU continue</w:t>
            </w:r>
            <w:r w:rsidR="00627CC2">
              <w:rPr>
                <w:rFonts w:ascii="Times New Roman" w:eastAsia="Times New Roman" w:hAnsi="Times New Roman"/>
                <w:color w:val="000000"/>
                <w:sz w:val="24"/>
                <w:szCs w:val="24"/>
              </w:rPr>
              <w:t>s</w:t>
            </w:r>
            <w:r w:rsidR="001D1133" w:rsidRPr="00822B59">
              <w:rPr>
                <w:rFonts w:ascii="Times New Roman" w:eastAsia="Times New Roman" w:hAnsi="Times New Roman"/>
                <w:color w:val="000000"/>
                <w:sz w:val="24"/>
                <w:szCs w:val="24"/>
              </w:rPr>
              <w:t xml:space="preserve"> </w:t>
            </w:r>
            <w:r w:rsidR="00627CC2">
              <w:rPr>
                <w:rFonts w:ascii="Times New Roman" w:eastAsia="Times New Roman" w:hAnsi="Times New Roman"/>
                <w:color w:val="000000"/>
                <w:sz w:val="24"/>
                <w:szCs w:val="24"/>
              </w:rPr>
              <w:t xml:space="preserve">its close cooperation </w:t>
            </w:r>
            <w:r w:rsidR="002461B3" w:rsidRPr="00822B59">
              <w:rPr>
                <w:rFonts w:ascii="Times New Roman" w:eastAsia="Times New Roman" w:hAnsi="Times New Roman"/>
                <w:color w:val="000000"/>
                <w:sz w:val="24"/>
                <w:szCs w:val="24"/>
              </w:rPr>
              <w:t xml:space="preserve">with like-minded partners </w:t>
            </w:r>
            <w:r w:rsidR="00627CC2">
              <w:rPr>
                <w:rFonts w:ascii="Times New Roman" w:eastAsia="Times New Roman" w:hAnsi="Times New Roman"/>
                <w:color w:val="000000"/>
                <w:sz w:val="24"/>
                <w:szCs w:val="24"/>
              </w:rPr>
              <w:t xml:space="preserve">on such joint challenges as supply chain resilience and decarbonisation efforts. </w:t>
            </w:r>
          </w:p>
          <w:p w14:paraId="5F80BB22" w14:textId="4896CEC1" w:rsidR="00936A16" w:rsidRPr="00822B59" w:rsidRDefault="00BD3277" w:rsidP="00822B59">
            <w:pPr>
              <w:widowControl w:val="0"/>
              <w:spacing w:before="120" w:after="120"/>
              <w:ind w:left="9" w:right="21"/>
              <w:jc w:val="both"/>
              <w:rPr>
                <w:rFonts w:ascii="Times New Roman" w:eastAsia="Cambria" w:hAnsi="Times New Roman"/>
                <w:sz w:val="24"/>
                <w:szCs w:val="24"/>
              </w:rPr>
            </w:pPr>
            <w:r>
              <w:rPr>
                <w:rFonts w:ascii="Times New Roman" w:eastAsia="Cambria" w:hAnsi="Times New Roman"/>
                <w:sz w:val="24"/>
                <w:szCs w:val="24"/>
              </w:rPr>
              <w:t>Th</w:t>
            </w:r>
            <w:r w:rsidR="00627CC2">
              <w:rPr>
                <w:rFonts w:ascii="Times New Roman" w:eastAsia="Cambria" w:hAnsi="Times New Roman"/>
                <w:sz w:val="24"/>
                <w:szCs w:val="24"/>
              </w:rPr>
              <w:t>is</w:t>
            </w:r>
            <w:r w:rsidRPr="00822B59">
              <w:rPr>
                <w:rFonts w:ascii="Times New Roman" w:eastAsia="Cambria" w:hAnsi="Times New Roman"/>
                <w:sz w:val="24"/>
                <w:szCs w:val="24"/>
              </w:rPr>
              <w:t xml:space="preserve"> </w:t>
            </w:r>
            <w:r w:rsidR="00BF08D8" w:rsidRPr="00822B59">
              <w:rPr>
                <w:rFonts w:ascii="Times New Roman" w:eastAsia="Cambria" w:hAnsi="Times New Roman"/>
                <w:sz w:val="24"/>
                <w:szCs w:val="24"/>
              </w:rPr>
              <w:t>challenging</w:t>
            </w:r>
            <w:r>
              <w:rPr>
                <w:rFonts w:ascii="Times New Roman" w:eastAsia="Cambria" w:hAnsi="Times New Roman"/>
                <w:sz w:val="24"/>
                <w:szCs w:val="24"/>
              </w:rPr>
              <w:t xml:space="preserve"> </w:t>
            </w:r>
            <w:r w:rsidR="00BF08D8" w:rsidRPr="00822B59">
              <w:rPr>
                <w:rFonts w:ascii="Times New Roman" w:eastAsia="Cambria" w:hAnsi="Times New Roman"/>
                <w:sz w:val="24"/>
                <w:szCs w:val="24"/>
              </w:rPr>
              <w:t xml:space="preserve">context requires </w:t>
            </w:r>
            <w:r w:rsidR="00627CC2">
              <w:rPr>
                <w:rFonts w:ascii="Times New Roman" w:eastAsia="Cambria" w:hAnsi="Times New Roman"/>
                <w:sz w:val="24"/>
                <w:szCs w:val="24"/>
              </w:rPr>
              <w:t xml:space="preserve">a trade policy that is both </w:t>
            </w:r>
            <w:r w:rsidR="00BF08D8" w:rsidRPr="00822B59">
              <w:rPr>
                <w:rFonts w:ascii="Times New Roman" w:eastAsia="Cambria" w:hAnsi="Times New Roman"/>
                <w:sz w:val="24"/>
                <w:szCs w:val="24"/>
              </w:rPr>
              <w:t>active and flexible</w:t>
            </w:r>
            <w:r w:rsidR="00627CC2">
              <w:rPr>
                <w:rFonts w:ascii="Times New Roman" w:eastAsia="Cambria" w:hAnsi="Times New Roman"/>
                <w:sz w:val="24"/>
                <w:szCs w:val="24"/>
              </w:rPr>
              <w:t>, all while</w:t>
            </w:r>
            <w:r w:rsidR="00862C90">
              <w:rPr>
                <w:rFonts w:ascii="Times New Roman" w:eastAsia="Cambria" w:hAnsi="Times New Roman"/>
                <w:sz w:val="24"/>
                <w:szCs w:val="24"/>
              </w:rPr>
              <w:t xml:space="preserve"> </w:t>
            </w:r>
            <w:r w:rsidR="00BF08D8" w:rsidRPr="00822B59">
              <w:rPr>
                <w:rFonts w:ascii="Times New Roman" w:eastAsia="Cambria" w:hAnsi="Times New Roman"/>
                <w:sz w:val="24"/>
                <w:szCs w:val="24"/>
              </w:rPr>
              <w:t xml:space="preserve">making use of </w:t>
            </w:r>
            <w:r w:rsidR="006460E0">
              <w:rPr>
                <w:rFonts w:ascii="Times New Roman" w:eastAsia="Cambria" w:hAnsi="Times New Roman"/>
                <w:sz w:val="24"/>
                <w:szCs w:val="24"/>
              </w:rPr>
              <w:t>the</w:t>
            </w:r>
            <w:r>
              <w:rPr>
                <w:rFonts w:ascii="Times New Roman" w:eastAsia="Cambria" w:hAnsi="Times New Roman"/>
                <w:sz w:val="24"/>
                <w:szCs w:val="24"/>
              </w:rPr>
              <w:t xml:space="preserve"> EU’s</w:t>
            </w:r>
            <w:r w:rsidR="006460E0">
              <w:rPr>
                <w:rFonts w:ascii="Times New Roman" w:eastAsia="Cambria" w:hAnsi="Times New Roman"/>
                <w:sz w:val="24"/>
                <w:szCs w:val="24"/>
              </w:rPr>
              <w:t xml:space="preserve"> </w:t>
            </w:r>
            <w:r w:rsidR="00BF08D8" w:rsidRPr="00822B59">
              <w:rPr>
                <w:rFonts w:ascii="Times New Roman" w:eastAsia="Cambria" w:hAnsi="Times New Roman"/>
                <w:sz w:val="24"/>
                <w:szCs w:val="24"/>
              </w:rPr>
              <w:t xml:space="preserve">toolbox </w:t>
            </w:r>
            <w:r w:rsidR="00EA1B46" w:rsidRPr="00822B59">
              <w:rPr>
                <w:rFonts w:ascii="Times New Roman" w:eastAsia="Cambria" w:hAnsi="Times New Roman"/>
                <w:sz w:val="24"/>
                <w:szCs w:val="24"/>
              </w:rPr>
              <w:t>along three dimensions</w:t>
            </w:r>
            <w:r w:rsidR="00BF08D8" w:rsidRPr="00822B59">
              <w:rPr>
                <w:rFonts w:ascii="Times New Roman" w:eastAsia="Cambria" w:hAnsi="Times New Roman"/>
                <w:sz w:val="24"/>
                <w:szCs w:val="24"/>
              </w:rPr>
              <w:t>.</w:t>
            </w:r>
          </w:p>
          <w:p w14:paraId="6149C41F" w14:textId="5C869894" w:rsidR="00BF08D8" w:rsidRPr="00822B59" w:rsidRDefault="00EA1B46" w:rsidP="00822B59">
            <w:pPr>
              <w:widowControl w:val="0"/>
              <w:spacing w:before="120" w:after="120"/>
              <w:ind w:left="9" w:right="21"/>
              <w:jc w:val="both"/>
              <w:rPr>
                <w:rFonts w:ascii="Times New Roman" w:eastAsia="Cambria" w:hAnsi="Times New Roman"/>
                <w:sz w:val="24"/>
                <w:szCs w:val="24"/>
              </w:rPr>
            </w:pPr>
            <w:r w:rsidRPr="00822B59">
              <w:rPr>
                <w:rFonts w:ascii="Times New Roman" w:eastAsia="Cambria" w:hAnsi="Times New Roman"/>
                <w:i/>
                <w:iCs/>
                <w:sz w:val="24"/>
                <w:szCs w:val="24"/>
              </w:rPr>
              <w:t>First</w:t>
            </w:r>
            <w:r w:rsidRPr="00822B59">
              <w:rPr>
                <w:rFonts w:ascii="Times New Roman" w:eastAsia="Cambria" w:hAnsi="Times New Roman"/>
                <w:sz w:val="24"/>
                <w:szCs w:val="24"/>
              </w:rPr>
              <w:t xml:space="preserve">, </w:t>
            </w:r>
            <w:r w:rsidR="00B85FB2">
              <w:rPr>
                <w:rFonts w:ascii="Times New Roman" w:eastAsia="Cambria" w:hAnsi="Times New Roman"/>
                <w:sz w:val="24"/>
                <w:szCs w:val="24"/>
              </w:rPr>
              <w:t xml:space="preserve">by </w:t>
            </w:r>
            <w:r w:rsidR="00494BD1" w:rsidRPr="00822B59">
              <w:rPr>
                <w:rFonts w:ascii="Times New Roman" w:eastAsia="Cambria" w:hAnsi="Times New Roman"/>
                <w:sz w:val="24"/>
                <w:szCs w:val="24"/>
              </w:rPr>
              <w:t>improving</w:t>
            </w:r>
            <w:r w:rsidR="00B85FB2">
              <w:rPr>
                <w:rFonts w:ascii="Times New Roman" w:eastAsia="Cambria" w:hAnsi="Times New Roman"/>
                <w:sz w:val="24"/>
                <w:szCs w:val="24"/>
              </w:rPr>
              <w:t xml:space="preserve"> and creating new </w:t>
            </w:r>
            <w:r w:rsidR="00BF08D8" w:rsidRPr="00822B59">
              <w:rPr>
                <w:rFonts w:ascii="Times New Roman" w:eastAsia="Cambria" w:hAnsi="Times New Roman"/>
                <w:sz w:val="24"/>
                <w:szCs w:val="24"/>
              </w:rPr>
              <w:t xml:space="preserve">market </w:t>
            </w:r>
            <w:r w:rsidR="00494BD1" w:rsidRPr="00822B59">
              <w:rPr>
                <w:rFonts w:ascii="Times New Roman" w:eastAsia="Cambria" w:hAnsi="Times New Roman"/>
                <w:sz w:val="24"/>
                <w:szCs w:val="24"/>
              </w:rPr>
              <w:t xml:space="preserve">access </w:t>
            </w:r>
            <w:r w:rsidR="00BF08D8" w:rsidRPr="00822B59">
              <w:rPr>
                <w:rFonts w:ascii="Times New Roman" w:eastAsia="Cambria" w:hAnsi="Times New Roman"/>
                <w:sz w:val="24"/>
                <w:szCs w:val="24"/>
              </w:rPr>
              <w:t xml:space="preserve">opportunities, </w:t>
            </w:r>
            <w:r w:rsidR="00B85FB2">
              <w:rPr>
                <w:rFonts w:ascii="Times New Roman" w:eastAsia="Cambria" w:hAnsi="Times New Roman"/>
                <w:sz w:val="24"/>
                <w:szCs w:val="24"/>
              </w:rPr>
              <w:t xml:space="preserve">as well as </w:t>
            </w:r>
            <w:r w:rsidR="00BF08D8" w:rsidRPr="00822B59">
              <w:rPr>
                <w:rFonts w:ascii="Times New Roman" w:eastAsia="Cambria" w:hAnsi="Times New Roman"/>
                <w:sz w:val="24"/>
                <w:szCs w:val="24"/>
              </w:rPr>
              <w:t>securing necessary inputs</w:t>
            </w:r>
            <w:r w:rsidR="00B85FB2">
              <w:rPr>
                <w:rFonts w:ascii="Times New Roman" w:eastAsia="Cambria" w:hAnsi="Times New Roman"/>
                <w:sz w:val="24"/>
                <w:szCs w:val="24"/>
              </w:rPr>
              <w:t xml:space="preserve"> and foreign</w:t>
            </w:r>
            <w:r w:rsidR="00BF08D8" w:rsidRPr="00822B59">
              <w:rPr>
                <w:rFonts w:ascii="Times New Roman" w:eastAsia="Cambria" w:hAnsi="Times New Roman"/>
                <w:sz w:val="24"/>
                <w:szCs w:val="24"/>
              </w:rPr>
              <w:t xml:space="preserve"> investment</w:t>
            </w:r>
            <w:r w:rsidR="00B85FB2">
              <w:rPr>
                <w:rFonts w:ascii="Times New Roman" w:eastAsia="Cambria" w:hAnsi="Times New Roman"/>
                <w:sz w:val="24"/>
                <w:szCs w:val="24"/>
              </w:rPr>
              <w:t>s</w:t>
            </w:r>
            <w:r w:rsidR="00BF08D8" w:rsidRPr="00822B59">
              <w:rPr>
                <w:rFonts w:ascii="Times New Roman" w:eastAsia="Cambria" w:hAnsi="Times New Roman"/>
                <w:sz w:val="24"/>
                <w:szCs w:val="24"/>
              </w:rPr>
              <w:t>,</w:t>
            </w:r>
            <w:r w:rsidR="00B85FB2">
              <w:rPr>
                <w:rFonts w:ascii="Times New Roman" w:eastAsia="Cambria" w:hAnsi="Times New Roman"/>
                <w:sz w:val="24"/>
                <w:szCs w:val="24"/>
              </w:rPr>
              <w:t xml:space="preserve"> the EU’s trade policy is a crucial driver behind </w:t>
            </w:r>
            <w:r w:rsidR="00F37BA3">
              <w:rPr>
                <w:rFonts w:ascii="Times New Roman" w:eastAsia="Cambria" w:hAnsi="Times New Roman"/>
                <w:sz w:val="24"/>
                <w:szCs w:val="24"/>
              </w:rPr>
              <w:t>EU’s</w:t>
            </w:r>
            <w:r w:rsidR="00B85FB2">
              <w:rPr>
                <w:rFonts w:ascii="Times New Roman" w:eastAsia="Cambria" w:hAnsi="Times New Roman"/>
                <w:sz w:val="24"/>
                <w:szCs w:val="24"/>
              </w:rPr>
              <w:t xml:space="preserve"> competitiveness.</w:t>
            </w:r>
            <w:r w:rsidR="00BF08D8" w:rsidRPr="00822B59">
              <w:rPr>
                <w:rFonts w:ascii="Times New Roman" w:eastAsia="Cambria" w:hAnsi="Times New Roman"/>
                <w:sz w:val="24"/>
                <w:szCs w:val="24"/>
              </w:rPr>
              <w:t xml:space="preserve"> </w:t>
            </w:r>
          </w:p>
          <w:p w14:paraId="2A9E772F" w14:textId="5861E6A8" w:rsidR="00443F6B" w:rsidRPr="00A61059" w:rsidRDefault="00BF08D8" w:rsidP="00A61059">
            <w:pPr>
              <w:widowControl w:val="0"/>
              <w:spacing w:before="120" w:after="120"/>
              <w:ind w:left="9" w:right="21"/>
              <w:jc w:val="both"/>
              <w:rPr>
                <w:rFonts w:ascii="Times New Roman" w:hAnsi="Times New Roman"/>
                <w:sz w:val="24"/>
                <w:szCs w:val="24"/>
              </w:rPr>
            </w:pPr>
            <w:r w:rsidRPr="00822B59">
              <w:rPr>
                <w:rFonts w:ascii="Times New Roman" w:hAnsi="Times New Roman"/>
                <w:sz w:val="24"/>
                <w:szCs w:val="24"/>
              </w:rPr>
              <w:t xml:space="preserve">Thanks to the EU’s active trade engagement agenda over the past decades, it has developed the largest network of trade agreements with partners </w:t>
            </w:r>
            <w:r w:rsidR="00B85FB2">
              <w:rPr>
                <w:rFonts w:ascii="Times New Roman" w:hAnsi="Times New Roman"/>
                <w:sz w:val="24"/>
                <w:szCs w:val="24"/>
              </w:rPr>
              <w:t>globally. Today, the EU has 76</w:t>
            </w:r>
            <w:r w:rsidRPr="00822B59">
              <w:rPr>
                <w:rFonts w:ascii="Times New Roman" w:hAnsi="Times New Roman"/>
                <w:sz w:val="24"/>
                <w:szCs w:val="24"/>
              </w:rPr>
              <w:t xml:space="preserve"> Free Trade Agreements (FTAs) in place </w:t>
            </w:r>
            <w:r w:rsidR="00B85FB2">
              <w:rPr>
                <w:rFonts w:ascii="Times New Roman" w:hAnsi="Times New Roman"/>
                <w:sz w:val="24"/>
                <w:szCs w:val="24"/>
              </w:rPr>
              <w:t>which correspond to</w:t>
            </w:r>
            <w:r w:rsidRPr="00822B59">
              <w:rPr>
                <w:rFonts w:ascii="Times New Roman" w:hAnsi="Times New Roman"/>
                <w:sz w:val="24"/>
                <w:szCs w:val="24"/>
              </w:rPr>
              <w:t xml:space="preserve"> 46% of the EU’s </w:t>
            </w:r>
            <w:r w:rsidR="00B85FB2">
              <w:rPr>
                <w:rFonts w:ascii="Times New Roman" w:hAnsi="Times New Roman"/>
                <w:sz w:val="24"/>
                <w:szCs w:val="24"/>
              </w:rPr>
              <w:t xml:space="preserve">external </w:t>
            </w:r>
            <w:r w:rsidRPr="00822B59">
              <w:rPr>
                <w:rFonts w:ascii="Times New Roman" w:hAnsi="Times New Roman"/>
                <w:sz w:val="24"/>
                <w:szCs w:val="24"/>
              </w:rPr>
              <w:t>trade.</w:t>
            </w:r>
          </w:p>
          <w:p w14:paraId="69A902DF" w14:textId="698EE971" w:rsidR="007F384C" w:rsidRPr="00822B59" w:rsidRDefault="007F384C" w:rsidP="00822B59">
            <w:pPr>
              <w:widowControl w:val="0"/>
              <w:spacing w:before="120" w:after="120"/>
              <w:ind w:left="9" w:right="21"/>
              <w:jc w:val="both"/>
              <w:rPr>
                <w:rFonts w:ascii="Times New Roman" w:hAnsi="Times New Roman"/>
                <w:b/>
                <w:bCs/>
                <w:sz w:val="24"/>
                <w:szCs w:val="24"/>
              </w:rPr>
            </w:pPr>
            <w:r w:rsidRPr="00822B59">
              <w:rPr>
                <w:rFonts w:ascii="Times New Roman" w:hAnsi="Times New Roman"/>
                <w:b/>
                <w:bCs/>
                <w:sz w:val="24"/>
                <w:szCs w:val="24"/>
              </w:rPr>
              <w:t>Point 1.11</w:t>
            </w:r>
            <w:r w:rsidR="009A5A48">
              <w:rPr>
                <w:rFonts w:ascii="Times New Roman" w:hAnsi="Times New Roman"/>
                <w:b/>
                <w:bCs/>
                <w:sz w:val="24"/>
                <w:szCs w:val="24"/>
              </w:rPr>
              <w:t>.:</w:t>
            </w:r>
          </w:p>
          <w:p w14:paraId="1E917356" w14:textId="0638879B" w:rsidR="00443F6B" w:rsidRPr="00A61059" w:rsidRDefault="007A500E" w:rsidP="00A61059">
            <w:pPr>
              <w:widowControl w:val="0"/>
              <w:spacing w:before="120" w:after="120"/>
              <w:ind w:left="9" w:right="21"/>
              <w:jc w:val="both"/>
              <w:rPr>
                <w:rFonts w:ascii="Times New Roman" w:eastAsia="Cambria" w:hAnsi="Times New Roman"/>
                <w:sz w:val="24"/>
                <w:szCs w:val="24"/>
                <w:lang w:val="en-IE"/>
              </w:rPr>
            </w:pPr>
            <w:r w:rsidRPr="00822B59">
              <w:rPr>
                <w:rFonts w:ascii="Times New Roman" w:hAnsi="Times New Roman"/>
                <w:sz w:val="24"/>
                <w:szCs w:val="24"/>
              </w:rPr>
              <w:t xml:space="preserve">The Commission agrees with the need to open new markets </w:t>
            </w:r>
            <w:r w:rsidR="00B85FB2">
              <w:rPr>
                <w:rFonts w:ascii="Times New Roman" w:hAnsi="Times New Roman"/>
                <w:sz w:val="24"/>
                <w:szCs w:val="24"/>
              </w:rPr>
              <w:t xml:space="preserve">and is actively working towards that end. For </w:t>
            </w:r>
            <w:r w:rsidR="00B85FB2">
              <w:rPr>
                <w:rFonts w:ascii="Times New Roman" w:hAnsi="Times New Roman"/>
                <w:sz w:val="24"/>
                <w:szCs w:val="24"/>
              </w:rPr>
              <w:lastRenderedPageBreak/>
              <w:t>instance</w:t>
            </w:r>
            <w:r w:rsidR="00862C90">
              <w:rPr>
                <w:rFonts w:ascii="Times New Roman" w:hAnsi="Times New Roman"/>
                <w:sz w:val="24"/>
                <w:szCs w:val="24"/>
              </w:rPr>
              <w:t>,</w:t>
            </w:r>
            <w:r w:rsidRPr="00822B59">
              <w:rPr>
                <w:rFonts w:ascii="Times New Roman" w:hAnsi="Times New Roman"/>
                <w:sz w:val="24"/>
                <w:szCs w:val="24"/>
              </w:rPr>
              <w:t xml:space="preserve"> </w:t>
            </w:r>
            <w:r w:rsidR="00B85FB2">
              <w:rPr>
                <w:rFonts w:ascii="Times New Roman" w:hAnsi="Times New Roman"/>
                <w:sz w:val="24"/>
                <w:szCs w:val="24"/>
              </w:rPr>
              <w:t>t</w:t>
            </w:r>
            <w:r w:rsidR="006460E0" w:rsidRPr="00822B59">
              <w:rPr>
                <w:rFonts w:ascii="Times New Roman" w:hAnsi="Times New Roman"/>
                <w:sz w:val="24"/>
                <w:szCs w:val="24"/>
              </w:rPr>
              <w:t>he Commission</w:t>
            </w:r>
            <w:r w:rsidRPr="00822B59">
              <w:rPr>
                <w:rFonts w:ascii="Times New Roman" w:hAnsi="Times New Roman"/>
                <w:sz w:val="24"/>
                <w:szCs w:val="24"/>
              </w:rPr>
              <w:t xml:space="preserve"> ha</w:t>
            </w:r>
            <w:r w:rsidR="006460E0">
              <w:rPr>
                <w:rFonts w:ascii="Times New Roman" w:hAnsi="Times New Roman"/>
                <w:sz w:val="24"/>
                <w:szCs w:val="24"/>
              </w:rPr>
              <w:t>s</w:t>
            </w:r>
            <w:r w:rsidRPr="00822B59">
              <w:rPr>
                <w:rFonts w:ascii="Times New Roman" w:hAnsi="Times New Roman"/>
                <w:sz w:val="24"/>
                <w:szCs w:val="24"/>
              </w:rPr>
              <w:t xml:space="preserve"> recently relaunched negotiations with Malaysia</w:t>
            </w:r>
            <w:r w:rsidR="00B85FB2">
              <w:rPr>
                <w:rFonts w:ascii="Times New Roman" w:hAnsi="Times New Roman"/>
                <w:sz w:val="24"/>
                <w:szCs w:val="24"/>
              </w:rPr>
              <w:t xml:space="preserve"> and just started new talks with the United Arab Emirates. These deals carry a tangible benefit for the EU’s economy, competitiveness and, ultimately, citizens. This is why it is also crucial that some recently concluded agreements, such </w:t>
            </w:r>
            <w:r w:rsidRPr="00822B59">
              <w:rPr>
                <w:rFonts w:ascii="Times New Roman" w:hAnsi="Times New Roman"/>
                <w:sz w:val="24"/>
                <w:szCs w:val="24"/>
              </w:rPr>
              <w:t xml:space="preserve">with Mercosur and Mexico </w:t>
            </w:r>
            <w:r w:rsidR="00B85FB2">
              <w:rPr>
                <w:rFonts w:ascii="Times New Roman" w:hAnsi="Times New Roman"/>
                <w:sz w:val="24"/>
                <w:szCs w:val="24"/>
              </w:rPr>
              <w:t xml:space="preserve">are finalised as soon as possible. For instance, the </w:t>
            </w:r>
            <w:r w:rsidR="00C26F50" w:rsidRPr="00822B59">
              <w:rPr>
                <w:rFonts w:ascii="Times New Roman" w:eastAsia="Cambria" w:hAnsi="Times New Roman"/>
                <w:sz w:val="24"/>
                <w:szCs w:val="24"/>
                <w:lang w:val="en-IE"/>
              </w:rPr>
              <w:t xml:space="preserve">the Mercosur agreement will </w:t>
            </w:r>
            <w:r w:rsidR="00B85FB2">
              <w:rPr>
                <w:rFonts w:ascii="Times New Roman" w:eastAsia="Cambria" w:hAnsi="Times New Roman"/>
                <w:sz w:val="24"/>
                <w:szCs w:val="24"/>
                <w:lang w:val="en-IE"/>
              </w:rPr>
              <w:t xml:space="preserve">not only </w:t>
            </w:r>
            <w:r w:rsidR="00862C90">
              <w:rPr>
                <w:rFonts w:ascii="Times New Roman" w:eastAsia="Cambria" w:hAnsi="Times New Roman"/>
                <w:sz w:val="24"/>
                <w:szCs w:val="24"/>
                <w:lang w:val="en-IE"/>
              </w:rPr>
              <w:t>progressively</w:t>
            </w:r>
            <w:r w:rsidR="00B85FB2">
              <w:rPr>
                <w:rFonts w:ascii="Times New Roman" w:eastAsia="Cambria" w:hAnsi="Times New Roman"/>
                <w:sz w:val="24"/>
                <w:szCs w:val="24"/>
                <w:lang w:val="en-IE"/>
              </w:rPr>
              <w:t xml:space="preserve"> eliminate</w:t>
            </w:r>
            <w:r w:rsidR="00C26F50" w:rsidRPr="00822B59">
              <w:rPr>
                <w:rFonts w:ascii="Times New Roman" w:eastAsia="Cambria" w:hAnsi="Times New Roman"/>
                <w:sz w:val="24"/>
                <w:szCs w:val="24"/>
                <w:lang w:val="en-IE"/>
              </w:rPr>
              <w:t xml:space="preserve"> tariffs for car parts and cars </w:t>
            </w:r>
            <w:r w:rsidR="00B85FB2">
              <w:rPr>
                <w:rFonts w:ascii="Times New Roman" w:eastAsia="Cambria" w:hAnsi="Times New Roman"/>
                <w:sz w:val="24"/>
                <w:szCs w:val="24"/>
                <w:lang w:val="en-IE"/>
              </w:rPr>
              <w:t xml:space="preserve">but also enhance </w:t>
            </w:r>
            <w:r w:rsidR="00A61059">
              <w:rPr>
                <w:rFonts w:ascii="Times New Roman" w:eastAsia="Cambria" w:hAnsi="Times New Roman"/>
                <w:sz w:val="24"/>
                <w:szCs w:val="24"/>
                <w:lang w:val="en-IE"/>
              </w:rPr>
              <w:t xml:space="preserve">the EU’s </w:t>
            </w:r>
            <w:r w:rsidR="00B85FB2">
              <w:rPr>
                <w:rFonts w:ascii="Times New Roman" w:eastAsia="Cambria" w:hAnsi="Times New Roman"/>
                <w:sz w:val="24"/>
                <w:szCs w:val="24"/>
                <w:lang w:val="en-IE"/>
              </w:rPr>
              <w:t>ability</w:t>
            </w:r>
            <w:r w:rsidR="00C26F50" w:rsidRPr="00822B59">
              <w:rPr>
                <w:rFonts w:ascii="Times New Roman" w:eastAsia="Cambria" w:hAnsi="Times New Roman"/>
                <w:sz w:val="24"/>
                <w:szCs w:val="24"/>
                <w:lang w:val="en-IE"/>
              </w:rPr>
              <w:t xml:space="preserve"> to source the critical raw materials crucial for EU battery production.</w:t>
            </w:r>
          </w:p>
          <w:p w14:paraId="5A972854" w14:textId="1C4F0577" w:rsidR="007F384C" w:rsidRPr="00822B59" w:rsidRDefault="007F384C" w:rsidP="00822B59">
            <w:pPr>
              <w:widowControl w:val="0"/>
              <w:spacing w:before="120" w:after="120"/>
              <w:ind w:left="9" w:right="21"/>
              <w:jc w:val="both"/>
              <w:rPr>
                <w:rFonts w:ascii="Times New Roman" w:eastAsia="Cambria" w:hAnsi="Times New Roman"/>
                <w:b/>
                <w:bCs/>
                <w:sz w:val="24"/>
                <w:szCs w:val="24"/>
                <w:lang w:val="en-IE"/>
              </w:rPr>
            </w:pPr>
            <w:r w:rsidRPr="00822B59">
              <w:rPr>
                <w:rFonts w:ascii="Times New Roman" w:eastAsia="Cambria" w:hAnsi="Times New Roman"/>
                <w:b/>
                <w:bCs/>
                <w:sz w:val="24"/>
                <w:szCs w:val="24"/>
                <w:lang w:val="en-IE"/>
              </w:rPr>
              <w:t>Points 1.5</w:t>
            </w:r>
            <w:r w:rsidR="009A5A48">
              <w:rPr>
                <w:rFonts w:ascii="Times New Roman" w:eastAsia="Cambria" w:hAnsi="Times New Roman"/>
                <w:b/>
                <w:bCs/>
                <w:sz w:val="24"/>
                <w:szCs w:val="24"/>
                <w:lang w:val="en-IE"/>
              </w:rPr>
              <w:t>.</w:t>
            </w:r>
            <w:r w:rsidRPr="00822B59">
              <w:rPr>
                <w:rFonts w:ascii="Times New Roman" w:eastAsia="Cambria" w:hAnsi="Times New Roman"/>
                <w:b/>
                <w:bCs/>
                <w:sz w:val="24"/>
                <w:szCs w:val="24"/>
                <w:lang w:val="en-IE"/>
              </w:rPr>
              <w:t xml:space="preserve"> and 1.6</w:t>
            </w:r>
            <w:r w:rsidR="009A5A48">
              <w:rPr>
                <w:rFonts w:ascii="Times New Roman" w:eastAsia="Cambria" w:hAnsi="Times New Roman"/>
                <w:b/>
                <w:bCs/>
                <w:sz w:val="24"/>
                <w:szCs w:val="24"/>
                <w:lang w:val="en-IE"/>
              </w:rPr>
              <w:t>.:</w:t>
            </w:r>
          </w:p>
          <w:p w14:paraId="115C757E" w14:textId="2F81902A" w:rsidR="00494BD1" w:rsidRPr="00822B59" w:rsidRDefault="007A500E" w:rsidP="00862C90">
            <w:pPr>
              <w:widowControl w:val="0"/>
              <w:spacing w:before="120" w:after="120"/>
              <w:ind w:left="9" w:right="21"/>
              <w:jc w:val="both"/>
              <w:rPr>
                <w:rFonts w:ascii="Times New Roman" w:eastAsia="Cambria" w:hAnsi="Times New Roman"/>
                <w:sz w:val="24"/>
                <w:szCs w:val="24"/>
              </w:rPr>
            </w:pPr>
            <w:r w:rsidRPr="00822B59">
              <w:rPr>
                <w:rFonts w:ascii="Times New Roman" w:eastAsia="Cambria" w:hAnsi="Times New Roman"/>
                <w:sz w:val="24"/>
                <w:szCs w:val="24"/>
              </w:rPr>
              <w:t xml:space="preserve">The Commission shares the assessment on the importance of civil society dialogues </w:t>
            </w:r>
            <w:r w:rsidR="003552C0">
              <w:rPr>
                <w:rFonts w:ascii="Times New Roman" w:eastAsia="Cambria" w:hAnsi="Times New Roman"/>
                <w:sz w:val="24"/>
                <w:szCs w:val="24"/>
              </w:rPr>
              <w:t xml:space="preserve">(CSDs) </w:t>
            </w:r>
            <w:r w:rsidR="00B058AD" w:rsidRPr="00822B59">
              <w:rPr>
                <w:rFonts w:ascii="Times New Roman" w:eastAsia="Cambria" w:hAnsi="Times New Roman"/>
                <w:sz w:val="24"/>
                <w:szCs w:val="24"/>
              </w:rPr>
              <w:t>alongside negotiations</w:t>
            </w:r>
            <w:r w:rsidR="003552C0">
              <w:rPr>
                <w:rFonts w:ascii="Times New Roman" w:eastAsia="Cambria" w:hAnsi="Times New Roman"/>
                <w:sz w:val="24"/>
                <w:szCs w:val="24"/>
              </w:rPr>
              <w:t xml:space="preserve">. An average of 20 CSD meetings take place every </w:t>
            </w:r>
            <w:r w:rsidR="00456A2A">
              <w:rPr>
                <w:rFonts w:ascii="Times New Roman" w:eastAsia="Cambria" w:hAnsi="Times New Roman"/>
                <w:sz w:val="24"/>
                <w:szCs w:val="24"/>
              </w:rPr>
              <w:t>year to</w:t>
            </w:r>
            <w:r w:rsidR="003552C0">
              <w:rPr>
                <w:rFonts w:ascii="Times New Roman" w:eastAsia="Cambria" w:hAnsi="Times New Roman"/>
                <w:sz w:val="24"/>
                <w:szCs w:val="24"/>
              </w:rPr>
              <w:t xml:space="preserve"> keep EU civil society organisations up to date on key trade policy issues, ongoing negotiations as well as Sustainability Impact Assessments accompanying those negotiations and ex post evaluations.</w:t>
            </w:r>
            <w:r w:rsidRPr="00822B59">
              <w:rPr>
                <w:rFonts w:ascii="Times New Roman" w:eastAsia="Cambria" w:hAnsi="Times New Roman"/>
                <w:sz w:val="24"/>
                <w:szCs w:val="24"/>
              </w:rPr>
              <w:t xml:space="preserve"> </w:t>
            </w:r>
            <w:r w:rsidR="003552C0">
              <w:rPr>
                <w:rFonts w:ascii="Times New Roman" w:eastAsia="Cambria" w:hAnsi="Times New Roman"/>
                <w:sz w:val="24"/>
                <w:szCs w:val="24"/>
              </w:rPr>
              <w:t xml:space="preserve">In addition to the more traditional FTAs, the Commission is also pursuing more flexible and mutually beneficial partnerships, such as the strategic raw materials partnerships and </w:t>
            </w:r>
            <w:r w:rsidR="003552C0" w:rsidRPr="00822B59">
              <w:rPr>
                <w:rFonts w:ascii="Times New Roman" w:eastAsia="Cambria" w:hAnsi="Times New Roman"/>
                <w:sz w:val="24"/>
                <w:szCs w:val="24"/>
              </w:rPr>
              <w:t>Clean Trade and Investment Partnerships (CTIPs)</w:t>
            </w:r>
            <w:r w:rsidR="003552C0">
              <w:rPr>
                <w:rFonts w:ascii="Times New Roman" w:eastAsia="Cambria" w:hAnsi="Times New Roman"/>
                <w:sz w:val="24"/>
                <w:szCs w:val="24"/>
              </w:rPr>
              <w:t xml:space="preserve">. These will </w:t>
            </w:r>
            <w:r w:rsidR="003552C0" w:rsidRPr="003552C0">
              <w:rPr>
                <w:rFonts w:ascii="Times New Roman" w:eastAsia="Cambria" w:hAnsi="Times New Roman"/>
                <w:sz w:val="24"/>
                <w:szCs w:val="24"/>
              </w:rPr>
              <w:t>support investment opportunities with concrete business projects and help secure the supply of raw materials, clean energy and clean tech, using a whole-of-government approach</w:t>
            </w:r>
            <w:r w:rsidR="003552C0">
              <w:rPr>
                <w:rFonts w:ascii="Times New Roman" w:eastAsia="Cambria" w:hAnsi="Times New Roman"/>
                <w:sz w:val="24"/>
                <w:szCs w:val="24"/>
              </w:rPr>
              <w:t>. The first CTIP is already being negotiated with South Africa. To this end, the Commission is looking into enhancing funding opportunities, not only for investment in the EU but also for investments in third countries. The Commission is also working on strengthening investment opportunities in African partner countries through Sustainable Investment Facilitation Agreements (SIFA) beyond the deal already concluded with Angola.</w:t>
            </w:r>
          </w:p>
          <w:p w14:paraId="3354724A" w14:textId="237D36ED" w:rsidR="00936A16" w:rsidRPr="00822B59" w:rsidRDefault="00EA1B46" w:rsidP="00822B59">
            <w:pPr>
              <w:widowControl w:val="0"/>
              <w:spacing w:before="120" w:after="120"/>
              <w:ind w:left="9" w:right="21"/>
              <w:jc w:val="both"/>
              <w:rPr>
                <w:rFonts w:ascii="Times New Roman" w:eastAsia="Cambria" w:hAnsi="Times New Roman"/>
                <w:sz w:val="24"/>
                <w:szCs w:val="24"/>
              </w:rPr>
            </w:pPr>
            <w:r w:rsidRPr="00822B59">
              <w:rPr>
                <w:rFonts w:ascii="Times New Roman" w:eastAsia="Cambria" w:hAnsi="Times New Roman"/>
                <w:i/>
                <w:iCs/>
                <w:sz w:val="24"/>
                <w:szCs w:val="24"/>
              </w:rPr>
              <w:t>Second</w:t>
            </w:r>
            <w:r w:rsidRPr="00822B59">
              <w:rPr>
                <w:rFonts w:ascii="Times New Roman" w:eastAsia="Cambria" w:hAnsi="Times New Roman"/>
                <w:sz w:val="24"/>
                <w:szCs w:val="24"/>
              </w:rPr>
              <w:t xml:space="preserve">, </w:t>
            </w:r>
            <w:r w:rsidR="003552C0">
              <w:rPr>
                <w:rFonts w:ascii="Times New Roman" w:eastAsia="Cambria" w:hAnsi="Times New Roman"/>
                <w:sz w:val="24"/>
                <w:szCs w:val="24"/>
              </w:rPr>
              <w:t xml:space="preserve">the Commission’s support to an open </w:t>
            </w:r>
            <w:r w:rsidR="00BF08D8" w:rsidRPr="00822B59">
              <w:rPr>
                <w:rFonts w:ascii="Times New Roman" w:eastAsia="Cambria" w:hAnsi="Times New Roman"/>
                <w:sz w:val="24"/>
                <w:szCs w:val="24"/>
              </w:rPr>
              <w:t>rules-based international trading system</w:t>
            </w:r>
            <w:r w:rsidR="003552C0">
              <w:rPr>
                <w:rFonts w:ascii="Times New Roman" w:eastAsia="Cambria" w:hAnsi="Times New Roman"/>
                <w:sz w:val="24"/>
                <w:szCs w:val="24"/>
              </w:rPr>
              <w:t xml:space="preserve"> is unwavering</w:t>
            </w:r>
            <w:r w:rsidR="00BF08D8" w:rsidRPr="00822B59">
              <w:rPr>
                <w:rFonts w:ascii="Times New Roman" w:eastAsia="Cambria" w:hAnsi="Times New Roman"/>
                <w:sz w:val="24"/>
                <w:szCs w:val="24"/>
              </w:rPr>
              <w:t xml:space="preserve">. This is why </w:t>
            </w:r>
            <w:r w:rsidR="001735A8">
              <w:rPr>
                <w:rFonts w:ascii="Times New Roman" w:hAnsi="Times New Roman"/>
                <w:sz w:val="24"/>
                <w:szCs w:val="24"/>
              </w:rPr>
              <w:t>t</w:t>
            </w:r>
            <w:r w:rsidR="001735A8" w:rsidRPr="00822B59">
              <w:rPr>
                <w:rFonts w:ascii="Times New Roman" w:hAnsi="Times New Roman"/>
                <w:sz w:val="24"/>
                <w:szCs w:val="24"/>
              </w:rPr>
              <w:t>he Commission</w:t>
            </w:r>
            <w:r w:rsidR="00BF08D8" w:rsidRPr="00822B59">
              <w:rPr>
                <w:rFonts w:ascii="Times New Roman" w:eastAsia="Cambria" w:hAnsi="Times New Roman"/>
                <w:sz w:val="24"/>
                <w:szCs w:val="24"/>
              </w:rPr>
              <w:t xml:space="preserve"> continue</w:t>
            </w:r>
            <w:r w:rsidR="003552C0">
              <w:rPr>
                <w:rFonts w:ascii="Times New Roman" w:eastAsia="Cambria" w:hAnsi="Times New Roman"/>
                <w:sz w:val="24"/>
                <w:szCs w:val="24"/>
              </w:rPr>
              <w:t>s</w:t>
            </w:r>
            <w:r w:rsidR="00BF08D8" w:rsidRPr="00822B59">
              <w:rPr>
                <w:rFonts w:ascii="Times New Roman" w:eastAsia="Cambria" w:hAnsi="Times New Roman"/>
                <w:sz w:val="24"/>
                <w:szCs w:val="24"/>
              </w:rPr>
              <w:t xml:space="preserve"> pursuing </w:t>
            </w:r>
            <w:r w:rsidR="001735A8" w:rsidRPr="00627CC2">
              <w:rPr>
                <w:rFonts w:ascii="Times New Roman" w:eastAsia="Cambria" w:hAnsi="Times New Roman"/>
                <w:sz w:val="24"/>
                <w:szCs w:val="24"/>
              </w:rPr>
              <w:t>World Trade Organization</w:t>
            </w:r>
            <w:r w:rsidR="001735A8">
              <w:rPr>
                <w:rFonts w:ascii="Times New Roman" w:eastAsia="Cambria" w:hAnsi="Times New Roman"/>
                <w:sz w:val="24"/>
                <w:szCs w:val="24"/>
              </w:rPr>
              <w:t> (</w:t>
            </w:r>
            <w:r w:rsidR="00BF08D8" w:rsidRPr="00822B59">
              <w:rPr>
                <w:rFonts w:ascii="Times New Roman" w:eastAsia="Cambria" w:hAnsi="Times New Roman"/>
                <w:sz w:val="24"/>
                <w:szCs w:val="24"/>
              </w:rPr>
              <w:t>WTO</w:t>
            </w:r>
            <w:r w:rsidR="001735A8">
              <w:rPr>
                <w:rFonts w:ascii="Times New Roman" w:eastAsia="Cambria" w:hAnsi="Times New Roman"/>
                <w:sz w:val="24"/>
                <w:szCs w:val="24"/>
              </w:rPr>
              <w:t>)</w:t>
            </w:r>
            <w:r w:rsidR="00BF08D8" w:rsidRPr="00822B59">
              <w:rPr>
                <w:rFonts w:ascii="Times New Roman" w:eastAsia="Cambria" w:hAnsi="Times New Roman"/>
                <w:sz w:val="24"/>
                <w:szCs w:val="24"/>
              </w:rPr>
              <w:t xml:space="preserve"> reform, working in different configurations towards that strategic objective. </w:t>
            </w:r>
            <w:r w:rsidR="00754798">
              <w:rPr>
                <w:rFonts w:ascii="Times New Roman" w:eastAsia="Cambria" w:hAnsi="Times New Roman"/>
                <w:sz w:val="24"/>
                <w:szCs w:val="24"/>
              </w:rPr>
              <w:t xml:space="preserve">Cooperation with like-minded partners is crucial in this regard. </w:t>
            </w:r>
          </w:p>
          <w:p w14:paraId="46F4233A" w14:textId="30233EDA" w:rsidR="00BF08D8" w:rsidRPr="00822B59" w:rsidRDefault="00B01F24" w:rsidP="00822B59">
            <w:pPr>
              <w:widowControl w:val="0"/>
              <w:spacing w:before="120" w:after="120"/>
              <w:ind w:left="9" w:right="21"/>
              <w:jc w:val="both"/>
              <w:rPr>
                <w:rFonts w:ascii="Times New Roman" w:eastAsia="Cambria" w:hAnsi="Times New Roman"/>
                <w:sz w:val="24"/>
                <w:szCs w:val="24"/>
              </w:rPr>
            </w:pPr>
            <w:r w:rsidRPr="00822B59">
              <w:rPr>
                <w:rFonts w:ascii="Times New Roman" w:eastAsia="Cambria" w:hAnsi="Times New Roman"/>
                <w:i/>
                <w:iCs/>
                <w:sz w:val="24"/>
                <w:szCs w:val="24"/>
              </w:rPr>
              <w:t>Third</w:t>
            </w:r>
            <w:r w:rsidRPr="00822B59">
              <w:rPr>
                <w:rFonts w:ascii="Times New Roman" w:eastAsia="Cambria" w:hAnsi="Times New Roman"/>
                <w:sz w:val="24"/>
                <w:szCs w:val="24"/>
              </w:rPr>
              <w:t xml:space="preserve">, </w:t>
            </w:r>
            <w:r w:rsidR="001735A8">
              <w:rPr>
                <w:rFonts w:ascii="Times New Roman" w:eastAsia="Cambria" w:hAnsi="Times New Roman"/>
                <w:sz w:val="24"/>
                <w:szCs w:val="24"/>
              </w:rPr>
              <w:t>EU</w:t>
            </w:r>
            <w:r w:rsidR="00BF08D8" w:rsidRPr="00822B59">
              <w:rPr>
                <w:rFonts w:ascii="Times New Roman" w:eastAsia="Cambria" w:hAnsi="Times New Roman"/>
                <w:sz w:val="24"/>
                <w:szCs w:val="24"/>
              </w:rPr>
              <w:t xml:space="preserve"> trade policy </w:t>
            </w:r>
            <w:r w:rsidR="00754798">
              <w:rPr>
                <w:rFonts w:ascii="Times New Roman" w:eastAsia="Cambria" w:hAnsi="Times New Roman"/>
                <w:sz w:val="24"/>
                <w:szCs w:val="24"/>
              </w:rPr>
              <w:t xml:space="preserve">toolbox is geared towards both promoting as well as </w:t>
            </w:r>
            <w:r w:rsidR="00BF08D8" w:rsidRPr="00822B59">
              <w:rPr>
                <w:rFonts w:ascii="Times New Roman" w:eastAsia="Cambria" w:hAnsi="Times New Roman"/>
                <w:sz w:val="24"/>
                <w:szCs w:val="24"/>
              </w:rPr>
              <w:t>defend</w:t>
            </w:r>
            <w:r w:rsidR="00754798">
              <w:rPr>
                <w:rFonts w:ascii="Times New Roman" w:eastAsia="Cambria" w:hAnsi="Times New Roman"/>
                <w:sz w:val="24"/>
                <w:szCs w:val="24"/>
              </w:rPr>
              <w:t>ing</w:t>
            </w:r>
            <w:r w:rsidR="00BF08D8" w:rsidRPr="00822B59">
              <w:rPr>
                <w:rFonts w:ascii="Times New Roman" w:eastAsia="Cambria" w:hAnsi="Times New Roman"/>
                <w:sz w:val="24"/>
                <w:szCs w:val="24"/>
              </w:rPr>
              <w:t xml:space="preserve"> the Single Market and </w:t>
            </w:r>
            <w:r w:rsidR="001735A8">
              <w:rPr>
                <w:rFonts w:ascii="Times New Roman" w:eastAsia="Cambria" w:hAnsi="Times New Roman"/>
                <w:sz w:val="24"/>
                <w:szCs w:val="24"/>
              </w:rPr>
              <w:t>EU</w:t>
            </w:r>
            <w:r w:rsidR="00BF08D8" w:rsidRPr="00822B59">
              <w:rPr>
                <w:rFonts w:ascii="Times New Roman" w:eastAsia="Cambria" w:hAnsi="Times New Roman"/>
                <w:sz w:val="24"/>
                <w:szCs w:val="24"/>
              </w:rPr>
              <w:t xml:space="preserve"> businesses</w:t>
            </w:r>
            <w:r w:rsidR="00754798">
              <w:rPr>
                <w:rFonts w:ascii="Times New Roman" w:eastAsia="Cambria" w:hAnsi="Times New Roman"/>
                <w:sz w:val="24"/>
                <w:szCs w:val="24"/>
              </w:rPr>
              <w:t>. This means, among others, the shielding</w:t>
            </w:r>
            <w:r w:rsidR="00BF08D8" w:rsidRPr="00822B59">
              <w:rPr>
                <w:rFonts w:ascii="Times New Roman" w:eastAsia="Cambria" w:hAnsi="Times New Roman"/>
                <w:sz w:val="24"/>
                <w:szCs w:val="24"/>
              </w:rPr>
              <w:t xml:space="preserve"> from unfair competition and </w:t>
            </w:r>
            <w:r w:rsidR="00C45F4F" w:rsidRPr="00822B59">
              <w:rPr>
                <w:rFonts w:ascii="Times New Roman" w:eastAsia="Cambria" w:hAnsi="Times New Roman"/>
                <w:sz w:val="24"/>
                <w:szCs w:val="24"/>
              </w:rPr>
              <w:t>unfair trade practises</w:t>
            </w:r>
            <w:r w:rsidR="00BF08D8" w:rsidRPr="00822B59">
              <w:rPr>
                <w:rFonts w:ascii="Times New Roman" w:eastAsia="Cambria" w:hAnsi="Times New Roman"/>
                <w:sz w:val="24"/>
                <w:szCs w:val="24"/>
              </w:rPr>
              <w:t xml:space="preserve">, </w:t>
            </w:r>
            <w:r w:rsidR="00C45F4F" w:rsidRPr="00822B59">
              <w:rPr>
                <w:rFonts w:ascii="Times New Roman" w:eastAsia="Cambria" w:hAnsi="Times New Roman"/>
                <w:sz w:val="24"/>
                <w:szCs w:val="24"/>
              </w:rPr>
              <w:t xml:space="preserve">non-market policies, distortive foreign subsidies, </w:t>
            </w:r>
            <w:r w:rsidR="00B6485F" w:rsidRPr="00822B59">
              <w:rPr>
                <w:rFonts w:ascii="Times New Roman" w:eastAsia="Cambria" w:hAnsi="Times New Roman"/>
                <w:sz w:val="24"/>
                <w:szCs w:val="24"/>
              </w:rPr>
              <w:t xml:space="preserve">trade diversions </w:t>
            </w:r>
            <w:r w:rsidR="00BF08D8" w:rsidRPr="00822B59">
              <w:rPr>
                <w:rFonts w:ascii="Times New Roman" w:eastAsia="Cambria" w:hAnsi="Times New Roman"/>
                <w:sz w:val="24"/>
                <w:szCs w:val="24"/>
              </w:rPr>
              <w:t>as well as economic security risks.</w:t>
            </w:r>
          </w:p>
          <w:p w14:paraId="2803BB36" w14:textId="77777777" w:rsidR="00443F6B" w:rsidRDefault="00754798" w:rsidP="00754798">
            <w:pPr>
              <w:pStyle w:val="ListParagraph"/>
              <w:widowControl w:val="0"/>
              <w:spacing w:before="120" w:after="120" w:line="276" w:lineRule="auto"/>
              <w:ind w:left="9" w:right="21"/>
              <w:contextualSpacing w:val="0"/>
              <w:jc w:val="both"/>
              <w:rPr>
                <w:rFonts w:ascii="Times New Roman" w:eastAsia="Cambria" w:hAnsi="Times New Roman"/>
                <w:sz w:val="24"/>
                <w:szCs w:val="24"/>
              </w:rPr>
            </w:pPr>
            <w:r>
              <w:rPr>
                <w:rFonts w:ascii="Times New Roman" w:hAnsi="Times New Roman"/>
                <w:sz w:val="24"/>
                <w:szCs w:val="24"/>
                <w:lang w:val="en-GB"/>
              </w:rPr>
              <w:t xml:space="preserve">For instance, to safeguard </w:t>
            </w:r>
            <w:r w:rsidR="00E87F7B" w:rsidRPr="00822B59">
              <w:rPr>
                <w:rFonts w:ascii="Times New Roman" w:eastAsia="Cambria" w:hAnsi="Times New Roman"/>
                <w:sz w:val="24"/>
                <w:szCs w:val="24"/>
              </w:rPr>
              <w:t xml:space="preserve">the level playing field for EU industry </w:t>
            </w:r>
            <w:r>
              <w:rPr>
                <w:rFonts w:ascii="Times New Roman" w:eastAsia="Cambria" w:hAnsi="Times New Roman"/>
                <w:sz w:val="24"/>
                <w:szCs w:val="24"/>
              </w:rPr>
              <w:t>and protect it against dumped or unfairly subsidised imports, the Commission relies on</w:t>
            </w:r>
            <w:r w:rsidRPr="00822B59">
              <w:rPr>
                <w:rFonts w:ascii="Times New Roman" w:eastAsia="Cambria" w:hAnsi="Times New Roman"/>
                <w:sz w:val="24"/>
                <w:szCs w:val="24"/>
              </w:rPr>
              <w:t xml:space="preserve"> </w:t>
            </w:r>
            <w:r w:rsidR="00E87F7B" w:rsidRPr="00822B59">
              <w:rPr>
                <w:rFonts w:ascii="Times New Roman" w:eastAsia="Cambria" w:hAnsi="Times New Roman"/>
                <w:sz w:val="24"/>
                <w:szCs w:val="24"/>
              </w:rPr>
              <w:t xml:space="preserve">a rapid and efficient use of </w:t>
            </w:r>
            <w:r w:rsidRPr="00754798">
              <w:rPr>
                <w:rFonts w:ascii="Times New Roman" w:eastAsia="Cambria" w:hAnsi="Times New Roman"/>
                <w:sz w:val="24"/>
                <w:szCs w:val="24"/>
              </w:rPr>
              <w:t>EU Trade Defence Instruments</w:t>
            </w:r>
            <w:r>
              <w:rPr>
                <w:rStyle w:val="FootnoteReference"/>
                <w:rFonts w:ascii="Times New Roman" w:eastAsia="Cambria" w:hAnsi="Times New Roman"/>
                <w:sz w:val="24"/>
                <w:szCs w:val="24"/>
              </w:rPr>
              <w:footnoteReference w:id="4"/>
            </w:r>
            <w:r>
              <w:rPr>
                <w:rFonts w:ascii="Times New Roman" w:eastAsia="Cambria" w:hAnsi="Times New Roman"/>
                <w:sz w:val="24"/>
                <w:szCs w:val="24"/>
              </w:rPr>
              <w:t>.</w:t>
            </w:r>
            <w:r w:rsidR="00862C90">
              <w:rPr>
                <w:rFonts w:ascii="Times New Roman" w:eastAsia="Cambria" w:hAnsi="Times New Roman"/>
                <w:sz w:val="24"/>
                <w:szCs w:val="24"/>
              </w:rPr>
              <w:t xml:space="preserve"> </w:t>
            </w:r>
            <w:r>
              <w:rPr>
                <w:rFonts w:ascii="Times New Roman" w:eastAsia="Cambria" w:hAnsi="Times New Roman"/>
                <w:sz w:val="24"/>
                <w:szCs w:val="24"/>
              </w:rPr>
              <w:t xml:space="preserve">Recently, this has been used </w:t>
            </w:r>
            <w:r w:rsidR="00C26F50" w:rsidRPr="00822B59">
              <w:rPr>
                <w:rFonts w:ascii="Times New Roman" w:eastAsia="Cambria" w:hAnsi="Times New Roman"/>
                <w:sz w:val="24"/>
                <w:szCs w:val="24"/>
              </w:rPr>
              <w:t xml:space="preserve">to address unfairly subsidised imports of battery electric vehicles from China. </w:t>
            </w:r>
            <w:r w:rsidR="001735A8" w:rsidRPr="00822B59">
              <w:rPr>
                <w:rFonts w:ascii="Times New Roman" w:hAnsi="Times New Roman"/>
                <w:sz w:val="24"/>
                <w:szCs w:val="24"/>
              </w:rPr>
              <w:t>The Commission</w:t>
            </w:r>
            <w:r w:rsidR="001735A8" w:rsidRPr="00822B59">
              <w:rPr>
                <w:rFonts w:ascii="Times New Roman" w:eastAsia="Cambria" w:hAnsi="Times New Roman"/>
                <w:sz w:val="24"/>
                <w:szCs w:val="24"/>
              </w:rPr>
              <w:t xml:space="preserve"> </w:t>
            </w:r>
            <w:r>
              <w:rPr>
                <w:rFonts w:ascii="Times New Roman" w:eastAsia="Cambria" w:hAnsi="Times New Roman"/>
                <w:sz w:val="24"/>
                <w:szCs w:val="24"/>
              </w:rPr>
              <w:t>is also assessing its trade toolbox to see whether certain tools need fine-tuning or if there are any gaps to fill</w:t>
            </w:r>
            <w:r w:rsidR="00E87F7B" w:rsidRPr="00822B59">
              <w:rPr>
                <w:rFonts w:ascii="Times New Roman" w:eastAsia="Cambria" w:hAnsi="Times New Roman"/>
                <w:sz w:val="24"/>
                <w:szCs w:val="24"/>
              </w:rPr>
              <w:t xml:space="preserve">. </w:t>
            </w:r>
            <w:r w:rsidR="00B767CC" w:rsidRPr="00822B59">
              <w:rPr>
                <w:rFonts w:ascii="Times New Roman" w:eastAsia="Cambria" w:hAnsi="Times New Roman"/>
                <w:sz w:val="24"/>
                <w:szCs w:val="24"/>
              </w:rPr>
              <w:t xml:space="preserve">This is particularly relevant with respect to global overcapacities, which severely threaten the profitability and competitiveness of European industries. </w:t>
            </w:r>
          </w:p>
          <w:p w14:paraId="30D14481" w14:textId="3231C436" w:rsidR="00B6485F" w:rsidRPr="00443F6B" w:rsidRDefault="00754798" w:rsidP="00443F6B">
            <w:pPr>
              <w:pStyle w:val="ListParagraph"/>
              <w:widowControl w:val="0"/>
              <w:spacing w:before="120" w:after="120" w:line="276" w:lineRule="auto"/>
              <w:ind w:left="9" w:right="21"/>
              <w:contextualSpacing w:val="0"/>
              <w:jc w:val="both"/>
              <w:rPr>
                <w:rFonts w:ascii="Times New Roman" w:hAnsi="Times New Roman"/>
                <w:sz w:val="24"/>
                <w:szCs w:val="24"/>
                <w:highlight w:val="yellow"/>
              </w:rPr>
            </w:pPr>
            <w:r>
              <w:rPr>
                <w:rFonts w:ascii="Times New Roman" w:hAnsi="Times New Roman"/>
                <w:sz w:val="24"/>
                <w:szCs w:val="24"/>
                <w:lang w:val="en-GB"/>
              </w:rPr>
              <w:t xml:space="preserve">Finally, </w:t>
            </w:r>
            <w:r w:rsidR="001735A8">
              <w:rPr>
                <w:rFonts w:ascii="Times New Roman" w:hAnsi="Times New Roman"/>
                <w:sz w:val="24"/>
                <w:szCs w:val="24"/>
              </w:rPr>
              <w:t>t</w:t>
            </w:r>
            <w:r w:rsidR="001735A8" w:rsidRPr="00822B59">
              <w:rPr>
                <w:rFonts w:ascii="Times New Roman" w:hAnsi="Times New Roman"/>
                <w:sz w:val="24"/>
                <w:szCs w:val="24"/>
              </w:rPr>
              <w:t>he Commission</w:t>
            </w:r>
            <w:r w:rsidR="00E87F7B" w:rsidRPr="00822B59">
              <w:rPr>
                <w:rFonts w:ascii="Times New Roman" w:eastAsia="Cambria" w:hAnsi="Times New Roman"/>
                <w:sz w:val="24"/>
                <w:szCs w:val="24"/>
              </w:rPr>
              <w:t xml:space="preserve"> </w:t>
            </w:r>
            <w:r>
              <w:rPr>
                <w:rFonts w:ascii="Times New Roman" w:eastAsia="Cambria" w:hAnsi="Times New Roman"/>
                <w:sz w:val="24"/>
                <w:szCs w:val="24"/>
              </w:rPr>
              <w:t xml:space="preserve">stands ready to protect EU’s economic security interests, be it </w:t>
            </w:r>
            <w:r w:rsidR="00E87F7B" w:rsidRPr="00822B59">
              <w:rPr>
                <w:rFonts w:ascii="Times New Roman" w:eastAsia="Cambria" w:hAnsi="Times New Roman"/>
                <w:sz w:val="24"/>
                <w:szCs w:val="24"/>
              </w:rPr>
              <w:t xml:space="preserve">against risks of trade weaponisation </w:t>
            </w:r>
            <w:r>
              <w:rPr>
                <w:rFonts w:ascii="Times New Roman" w:eastAsia="Cambria" w:hAnsi="Times New Roman"/>
                <w:sz w:val="24"/>
                <w:szCs w:val="24"/>
              </w:rPr>
              <w:t>or</w:t>
            </w:r>
            <w:r w:rsidRPr="00822B59">
              <w:rPr>
                <w:rFonts w:ascii="Times New Roman" w:eastAsia="Cambria" w:hAnsi="Times New Roman"/>
                <w:sz w:val="24"/>
                <w:szCs w:val="24"/>
              </w:rPr>
              <w:t xml:space="preserve"> </w:t>
            </w:r>
            <w:r w:rsidR="00E87F7B" w:rsidRPr="00822B59">
              <w:rPr>
                <w:rFonts w:ascii="Times New Roman" w:eastAsia="Cambria" w:hAnsi="Times New Roman"/>
                <w:sz w:val="24"/>
                <w:szCs w:val="24"/>
              </w:rPr>
              <w:t>economic coercion</w:t>
            </w:r>
            <w:r>
              <w:rPr>
                <w:rFonts w:ascii="Times New Roman" w:eastAsia="Cambria" w:hAnsi="Times New Roman"/>
                <w:sz w:val="24"/>
                <w:szCs w:val="24"/>
              </w:rPr>
              <w:t>. In this regard</w:t>
            </w:r>
            <w:r w:rsidR="00F47231">
              <w:rPr>
                <w:rFonts w:ascii="Times New Roman" w:eastAsia="Cambria" w:hAnsi="Times New Roman"/>
                <w:sz w:val="24"/>
                <w:szCs w:val="24"/>
              </w:rPr>
              <w:t xml:space="preserve"> the Commission is continuously assessing key risks and deploying its risk mitigation toolbox accordingly. Where necessary, the Commission will also consider new tools or adjust those already at its disposal. For instance, with the ongoing revision of the</w:t>
            </w:r>
            <w:r w:rsidR="003E6C40" w:rsidRPr="00822B59">
              <w:rPr>
                <w:rFonts w:ascii="Times New Roman" w:hAnsi="Times New Roman"/>
                <w:sz w:val="24"/>
                <w:szCs w:val="24"/>
              </w:rPr>
              <w:t xml:space="preserve"> </w:t>
            </w:r>
            <w:r w:rsidR="00507D57">
              <w:rPr>
                <w:rFonts w:ascii="Times New Roman" w:hAnsi="Times New Roman"/>
                <w:sz w:val="24"/>
                <w:szCs w:val="24"/>
              </w:rPr>
              <w:t>f</w:t>
            </w:r>
            <w:r w:rsidR="00936A16" w:rsidRPr="00822B59">
              <w:rPr>
                <w:rFonts w:ascii="Times New Roman" w:hAnsi="Times New Roman"/>
                <w:sz w:val="24"/>
                <w:szCs w:val="24"/>
              </w:rPr>
              <w:t xml:space="preserve">oreign </w:t>
            </w:r>
            <w:r w:rsidR="00507D57">
              <w:rPr>
                <w:rFonts w:ascii="Times New Roman" w:hAnsi="Times New Roman"/>
                <w:sz w:val="24"/>
                <w:szCs w:val="24"/>
              </w:rPr>
              <w:t>d</w:t>
            </w:r>
            <w:r w:rsidR="00936A16" w:rsidRPr="00822B59">
              <w:rPr>
                <w:rFonts w:ascii="Times New Roman" w:hAnsi="Times New Roman"/>
                <w:sz w:val="24"/>
                <w:szCs w:val="24"/>
              </w:rPr>
              <w:t xml:space="preserve">irect </w:t>
            </w:r>
            <w:r w:rsidR="00507D57">
              <w:rPr>
                <w:rFonts w:ascii="Times New Roman" w:hAnsi="Times New Roman"/>
                <w:sz w:val="24"/>
                <w:szCs w:val="24"/>
              </w:rPr>
              <w:t>i</w:t>
            </w:r>
            <w:r w:rsidR="00936A16" w:rsidRPr="00822B59">
              <w:rPr>
                <w:rFonts w:ascii="Times New Roman" w:hAnsi="Times New Roman"/>
                <w:sz w:val="24"/>
                <w:szCs w:val="24"/>
              </w:rPr>
              <w:t>nvestment (</w:t>
            </w:r>
            <w:r w:rsidR="003E6C40" w:rsidRPr="00822B59">
              <w:rPr>
                <w:rFonts w:ascii="Times New Roman" w:hAnsi="Times New Roman"/>
                <w:sz w:val="24"/>
                <w:szCs w:val="24"/>
              </w:rPr>
              <w:t>FDI</w:t>
            </w:r>
            <w:r w:rsidR="00936A16" w:rsidRPr="00822B59">
              <w:rPr>
                <w:rFonts w:ascii="Times New Roman" w:hAnsi="Times New Roman"/>
                <w:sz w:val="24"/>
                <w:szCs w:val="24"/>
              </w:rPr>
              <w:t>)</w:t>
            </w:r>
            <w:r w:rsidR="003E6C40" w:rsidRPr="00822B59">
              <w:rPr>
                <w:rFonts w:ascii="Times New Roman" w:hAnsi="Times New Roman"/>
                <w:sz w:val="24"/>
                <w:szCs w:val="24"/>
              </w:rPr>
              <w:t xml:space="preserve"> </w:t>
            </w:r>
            <w:r w:rsidR="00507D57">
              <w:rPr>
                <w:rFonts w:ascii="Times New Roman" w:hAnsi="Times New Roman"/>
                <w:sz w:val="24"/>
                <w:szCs w:val="24"/>
              </w:rPr>
              <w:t>s</w:t>
            </w:r>
            <w:r w:rsidR="003E6C40" w:rsidRPr="00822B59">
              <w:rPr>
                <w:rFonts w:ascii="Times New Roman" w:hAnsi="Times New Roman"/>
                <w:sz w:val="24"/>
                <w:szCs w:val="24"/>
              </w:rPr>
              <w:t>creening Regulation</w:t>
            </w:r>
            <w:r w:rsidR="00507D57">
              <w:rPr>
                <w:rStyle w:val="FootnoteReference"/>
                <w:rFonts w:ascii="Times New Roman" w:hAnsi="Times New Roman"/>
                <w:sz w:val="24"/>
                <w:szCs w:val="24"/>
              </w:rPr>
              <w:footnoteReference w:id="5"/>
            </w:r>
            <w:r w:rsidR="00F47231">
              <w:rPr>
                <w:rFonts w:ascii="Times New Roman" w:hAnsi="Times New Roman"/>
                <w:sz w:val="24"/>
                <w:szCs w:val="24"/>
              </w:rPr>
              <w:t xml:space="preserve">, the co-legislators aim at improving </w:t>
            </w:r>
            <w:r w:rsidR="003E6C40" w:rsidRPr="00822B59">
              <w:rPr>
                <w:rFonts w:ascii="Times New Roman" w:hAnsi="Times New Roman"/>
                <w:sz w:val="24"/>
                <w:szCs w:val="24"/>
              </w:rPr>
              <w:t xml:space="preserve">the investment climate throughout the Union, </w:t>
            </w:r>
            <w:r w:rsidR="00F47231">
              <w:rPr>
                <w:rFonts w:ascii="Times New Roman" w:hAnsi="Times New Roman"/>
                <w:sz w:val="24"/>
                <w:szCs w:val="24"/>
              </w:rPr>
              <w:t>while ensuring that EU’s core economic security interests are not jeopardised</w:t>
            </w:r>
            <w:r w:rsidR="003E6C40" w:rsidRPr="00822B59">
              <w:rPr>
                <w:rFonts w:ascii="Times New Roman" w:hAnsi="Times New Roman"/>
                <w:sz w:val="24"/>
                <w:szCs w:val="24"/>
              </w:rPr>
              <w:t>.</w:t>
            </w:r>
          </w:p>
        </w:tc>
      </w:tr>
    </w:tbl>
    <w:p w14:paraId="0AE4C7B5" w14:textId="77777777" w:rsidR="00184E40" w:rsidRPr="00822B59" w:rsidRDefault="00184E40" w:rsidP="00822B59">
      <w:pPr>
        <w:spacing w:after="0" w:line="240" w:lineRule="auto"/>
        <w:ind w:left="-709"/>
        <w:rPr>
          <w:rFonts w:ascii="Times New Roman" w:hAnsi="Times New Roman"/>
          <w:bCs/>
          <w:sz w:val="16"/>
          <w:szCs w:val="16"/>
        </w:rPr>
      </w:pPr>
    </w:p>
    <w:sectPr w:rsidR="00184E40" w:rsidRPr="00822B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8928A" w14:textId="77777777" w:rsidR="00C41471" w:rsidRDefault="00C41471" w:rsidP="00FF63EA">
      <w:pPr>
        <w:spacing w:after="0" w:line="240" w:lineRule="auto"/>
      </w:pPr>
      <w:r>
        <w:separator/>
      </w:r>
    </w:p>
  </w:endnote>
  <w:endnote w:type="continuationSeparator" w:id="0">
    <w:p w14:paraId="4723B112" w14:textId="77777777" w:rsidR="00C41471" w:rsidRDefault="00C41471"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4FC39" w14:textId="77777777" w:rsidR="00C41471" w:rsidRDefault="00C41471" w:rsidP="00FF63EA">
      <w:pPr>
        <w:spacing w:after="0" w:line="240" w:lineRule="auto"/>
      </w:pPr>
      <w:r>
        <w:separator/>
      </w:r>
    </w:p>
  </w:footnote>
  <w:footnote w:type="continuationSeparator" w:id="0">
    <w:p w14:paraId="74BAD113" w14:textId="77777777" w:rsidR="00C41471" w:rsidRDefault="00C41471" w:rsidP="00FF63EA">
      <w:pPr>
        <w:spacing w:after="0" w:line="240" w:lineRule="auto"/>
      </w:pPr>
      <w:r>
        <w:continuationSeparator/>
      </w:r>
    </w:p>
  </w:footnote>
  <w:footnote w:id="1">
    <w:p w14:paraId="19AFFED8" w14:textId="16EA2ED0" w:rsidR="009A5A48" w:rsidRPr="00A61059" w:rsidRDefault="009A5A48" w:rsidP="00C5639B">
      <w:pPr>
        <w:pStyle w:val="FootnoteText"/>
        <w:widowControl w:val="0"/>
        <w:spacing w:after="0" w:line="240" w:lineRule="auto"/>
        <w:ind w:left="-283" w:right="-567" w:hanging="284"/>
        <w:jc w:val="both"/>
        <w:rPr>
          <w:rFonts w:ascii="Times New Roman" w:hAnsi="Times New Roman"/>
          <w:lang w:val="pt-PT"/>
        </w:rPr>
      </w:pPr>
      <w:r w:rsidRPr="00A61059">
        <w:rPr>
          <w:rStyle w:val="FootnoteReference"/>
          <w:rFonts w:ascii="Times New Roman" w:hAnsi="Times New Roman"/>
        </w:rPr>
        <w:footnoteRef/>
      </w:r>
      <w:r w:rsidRPr="00A61059">
        <w:rPr>
          <w:rFonts w:ascii="Times New Roman" w:hAnsi="Times New Roman"/>
          <w:lang w:val="pt-PT"/>
        </w:rPr>
        <w:t xml:space="preserve"> </w:t>
      </w:r>
      <w:r w:rsidRPr="00A61059">
        <w:rPr>
          <w:rFonts w:ascii="Times New Roman" w:hAnsi="Times New Roman"/>
          <w:lang w:val="pt-PT"/>
        </w:rPr>
        <w:tab/>
        <w:t>COM(2025) 30 final (</w:t>
      </w:r>
      <w:hyperlink r:id="rId1" w:history="1">
        <w:r w:rsidRPr="00A61059">
          <w:rPr>
            <w:rStyle w:val="Hyperlink"/>
            <w:rFonts w:ascii="Times New Roman" w:hAnsi="Times New Roman"/>
            <w:lang w:val="pt-PT"/>
          </w:rPr>
          <w:t>10017eb1-4722-4333-add2-e0ed18105a34_en</w:t>
        </w:r>
      </w:hyperlink>
      <w:r w:rsidRPr="00A61059">
        <w:rPr>
          <w:rFonts w:ascii="Times New Roman" w:hAnsi="Times New Roman"/>
          <w:lang w:val="pt-PT"/>
        </w:rPr>
        <w:t>).</w:t>
      </w:r>
    </w:p>
  </w:footnote>
  <w:footnote w:id="2">
    <w:p w14:paraId="47CC225C" w14:textId="5328FDC7" w:rsidR="009A5A48" w:rsidRPr="00A61059" w:rsidRDefault="009A5A48" w:rsidP="00C5639B">
      <w:pPr>
        <w:pStyle w:val="FootnoteText"/>
        <w:widowControl w:val="0"/>
        <w:spacing w:after="0" w:line="240" w:lineRule="auto"/>
        <w:ind w:left="-283" w:right="-567" w:hanging="284"/>
        <w:jc w:val="both"/>
        <w:rPr>
          <w:rFonts w:ascii="Times New Roman" w:hAnsi="Times New Roman"/>
          <w:lang w:val="pt-PT"/>
        </w:rPr>
      </w:pPr>
      <w:r w:rsidRPr="00A61059">
        <w:rPr>
          <w:rStyle w:val="FootnoteReference"/>
          <w:rFonts w:ascii="Times New Roman" w:hAnsi="Times New Roman"/>
        </w:rPr>
        <w:footnoteRef/>
      </w:r>
      <w:r w:rsidRPr="00A61059">
        <w:rPr>
          <w:rFonts w:ascii="Times New Roman" w:hAnsi="Times New Roman"/>
          <w:lang w:val="pt-PT"/>
        </w:rPr>
        <w:t xml:space="preserve"> </w:t>
      </w:r>
      <w:r w:rsidRPr="00A61059">
        <w:rPr>
          <w:rFonts w:ascii="Times New Roman" w:hAnsi="Times New Roman"/>
          <w:lang w:val="pt-PT"/>
        </w:rPr>
        <w:tab/>
        <w:t>COM(2025) 85 final (</w:t>
      </w:r>
      <w:hyperlink r:id="rId2" w:history="1">
        <w:r w:rsidRPr="00A61059">
          <w:rPr>
            <w:rStyle w:val="Hyperlink"/>
            <w:rFonts w:ascii="Times New Roman" w:hAnsi="Times New Roman"/>
            <w:lang w:val="pt-PT"/>
          </w:rPr>
          <w:t>9db1c5c8-9e82-467b-ab6a-905feeb4b6b0_en</w:t>
        </w:r>
      </w:hyperlink>
      <w:r w:rsidRPr="00A61059">
        <w:rPr>
          <w:rFonts w:ascii="Times New Roman" w:hAnsi="Times New Roman"/>
          <w:lang w:val="pt-PT"/>
        </w:rPr>
        <w:t>).</w:t>
      </w:r>
    </w:p>
  </w:footnote>
  <w:footnote w:id="3">
    <w:p w14:paraId="51D085CB" w14:textId="5FD9C20E" w:rsidR="006460E0" w:rsidRPr="00627CC2" w:rsidRDefault="006460E0" w:rsidP="00C5639B">
      <w:pPr>
        <w:pStyle w:val="FootnoteText"/>
        <w:widowControl w:val="0"/>
        <w:spacing w:after="0" w:line="240" w:lineRule="auto"/>
        <w:ind w:left="-283" w:right="-567" w:hanging="284"/>
        <w:jc w:val="both"/>
        <w:rPr>
          <w:rFonts w:ascii="Times New Roman" w:hAnsi="Times New Roman"/>
          <w:lang w:val="en-IE"/>
        </w:rPr>
      </w:pPr>
      <w:r w:rsidRPr="00A61059">
        <w:rPr>
          <w:rStyle w:val="FootnoteReference"/>
          <w:rFonts w:ascii="Times New Roman" w:hAnsi="Times New Roman"/>
        </w:rPr>
        <w:footnoteRef/>
      </w:r>
      <w:r w:rsidRPr="00A61059">
        <w:rPr>
          <w:rFonts w:ascii="Times New Roman" w:hAnsi="Times New Roman"/>
        </w:rPr>
        <w:t xml:space="preserve"> </w:t>
      </w:r>
      <w:r w:rsidRPr="00A61059">
        <w:rPr>
          <w:rFonts w:ascii="Times New Roman" w:hAnsi="Times New Roman"/>
          <w:lang w:val="en-IE"/>
        </w:rPr>
        <w:tab/>
      </w:r>
      <w:hyperlink r:id="rId3" w:history="1">
        <w:r w:rsidRPr="00A61059">
          <w:rPr>
            <w:rStyle w:val="Hyperlink"/>
            <w:rFonts w:ascii="Times New Roman" w:hAnsi="Times New Roman"/>
          </w:rPr>
          <w:t>Carriages preview | Legislative Train Schedule</w:t>
        </w:r>
      </w:hyperlink>
      <w:r w:rsidRPr="00A61059">
        <w:rPr>
          <w:rFonts w:ascii="Times New Roman" w:hAnsi="Times New Roman"/>
          <w:lang w:val="en-IE"/>
        </w:rPr>
        <w:t>.</w:t>
      </w:r>
    </w:p>
  </w:footnote>
  <w:footnote w:id="4">
    <w:p w14:paraId="5208A43E" w14:textId="77777777" w:rsidR="00754798" w:rsidRPr="00A61059" w:rsidRDefault="00754798" w:rsidP="00C5639B">
      <w:pPr>
        <w:pStyle w:val="FootnoteText"/>
        <w:widowControl w:val="0"/>
        <w:spacing w:after="0" w:line="240" w:lineRule="auto"/>
        <w:ind w:left="-283" w:right="-567" w:hanging="284"/>
        <w:jc w:val="both"/>
        <w:rPr>
          <w:rFonts w:ascii="Times New Roman" w:hAnsi="Times New Roman"/>
          <w:lang w:val="en-IE"/>
        </w:rPr>
      </w:pPr>
      <w:r w:rsidRPr="00A61059">
        <w:rPr>
          <w:rStyle w:val="FootnoteReference"/>
          <w:rFonts w:ascii="Times New Roman" w:hAnsi="Times New Roman"/>
        </w:rPr>
        <w:footnoteRef/>
      </w:r>
      <w:r w:rsidRPr="00A61059">
        <w:rPr>
          <w:rFonts w:ascii="Times New Roman" w:hAnsi="Times New Roman"/>
        </w:rPr>
        <w:t xml:space="preserve"> </w:t>
      </w:r>
      <w:r w:rsidRPr="00A61059">
        <w:rPr>
          <w:rFonts w:ascii="Times New Roman" w:hAnsi="Times New Roman"/>
          <w:lang w:val="en-IE"/>
        </w:rPr>
        <w:tab/>
      </w:r>
      <w:hyperlink r:id="rId4" w:history="1">
        <w:r w:rsidRPr="00A61059">
          <w:rPr>
            <w:rStyle w:val="Hyperlink"/>
            <w:rFonts w:ascii="Times New Roman" w:hAnsi="Times New Roman"/>
          </w:rPr>
          <w:t>Trade defence instruments</w:t>
        </w:r>
      </w:hyperlink>
      <w:r w:rsidRPr="00A61059">
        <w:rPr>
          <w:rFonts w:ascii="Times New Roman" w:hAnsi="Times New Roman"/>
          <w:lang w:val="en-IE"/>
        </w:rPr>
        <w:t>.</w:t>
      </w:r>
    </w:p>
  </w:footnote>
  <w:footnote w:id="5">
    <w:p w14:paraId="1AD9CBB9" w14:textId="08205996" w:rsidR="00507D57" w:rsidRPr="00627CC2" w:rsidRDefault="00507D57" w:rsidP="00C5639B">
      <w:pPr>
        <w:pStyle w:val="FootnoteText"/>
        <w:widowControl w:val="0"/>
        <w:spacing w:after="0" w:line="240" w:lineRule="auto"/>
        <w:ind w:left="-283" w:right="-567" w:hanging="284"/>
        <w:jc w:val="both"/>
        <w:rPr>
          <w:rFonts w:ascii="Times New Roman" w:hAnsi="Times New Roman"/>
          <w:lang w:val="en-IE"/>
        </w:rPr>
      </w:pPr>
      <w:r w:rsidRPr="00A61059">
        <w:rPr>
          <w:rStyle w:val="FootnoteReference"/>
          <w:rFonts w:ascii="Times New Roman" w:hAnsi="Times New Roman"/>
        </w:rPr>
        <w:footnoteRef/>
      </w:r>
      <w:r w:rsidRPr="00A61059">
        <w:rPr>
          <w:rFonts w:ascii="Times New Roman" w:hAnsi="Times New Roman"/>
          <w:lang w:val="en-IE"/>
        </w:rPr>
        <w:t xml:space="preserve"> </w:t>
      </w:r>
      <w:r w:rsidRPr="00A61059">
        <w:rPr>
          <w:rFonts w:ascii="Times New Roman" w:hAnsi="Times New Roman"/>
          <w:lang w:val="en-IE"/>
        </w:rPr>
        <w:tab/>
        <w:t>COM(2024) 23 final (</w:t>
      </w:r>
      <w:hyperlink r:id="rId5" w:history="1">
        <w:r w:rsidRPr="00A61059">
          <w:rPr>
            <w:rStyle w:val="Hyperlink"/>
            <w:rFonts w:ascii="Times New Roman" w:hAnsi="Times New Roman"/>
            <w:lang w:val="en-IE"/>
          </w:rPr>
          <w:t>EUR-Lex - 52024PC0023 - EN - EUR-Lex</w:t>
        </w:r>
      </w:hyperlink>
      <w:r w:rsidRPr="00A61059">
        <w:rPr>
          <w:rFonts w:ascii="Times New Roman" w:hAnsi="Times New Roman"/>
          <w:lang w:val="en-IE"/>
        </w:rPr>
        <w:t xml:space="preserve">). </w:t>
      </w:r>
      <w:r w:rsidRPr="00A61059">
        <w:rPr>
          <w:rFonts w:ascii="Times New Roman" w:hAnsi="Times New Roman"/>
        </w:rPr>
        <w:t>(</w:t>
      </w:r>
      <w:hyperlink r:id="rId6" w:history="1">
        <w:r w:rsidRPr="00A61059">
          <w:rPr>
            <w:rStyle w:val="Hyperlink"/>
            <w:rFonts w:ascii="Times New Roman" w:hAnsi="Times New Roman"/>
          </w:rPr>
          <w:t>Carriages preview | Legislative Train Schedule</w:t>
        </w:r>
      </w:hyperlink>
      <w:r w:rsidRPr="00A61059">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91E"/>
    <w:multiLevelType w:val="hybridMultilevel"/>
    <w:tmpl w:val="41FCBB1E"/>
    <w:lvl w:ilvl="0" w:tplc="3BEC35C8">
      <w:start w:val="1"/>
      <w:numFmt w:val="bullet"/>
      <w:lvlText w:val=""/>
      <w:lvlJc w:val="left"/>
      <w:pPr>
        <w:ind w:left="360" w:hanging="360"/>
      </w:pPr>
      <w:rPr>
        <w:rFonts w:ascii="Symbol" w:hAnsi="Symbol" w:hint="default"/>
        <w:lang w:val="en-IE"/>
      </w:rPr>
    </w:lvl>
    <w:lvl w:ilvl="1" w:tplc="C14C38E0">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A76C55"/>
    <w:multiLevelType w:val="hybridMultilevel"/>
    <w:tmpl w:val="F4F27432"/>
    <w:lvl w:ilvl="0" w:tplc="18090001">
      <w:start w:val="1"/>
      <w:numFmt w:val="bullet"/>
      <w:lvlText w:val=""/>
      <w:lvlJc w:val="left"/>
      <w:pPr>
        <w:ind w:left="720" w:hanging="360"/>
      </w:pPr>
      <w:rPr>
        <w:rFonts w:ascii="Symbol" w:hAnsi="Symbol" w:hint="default"/>
        <w:color w:val="202122"/>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9B3D79"/>
    <w:multiLevelType w:val="hybridMultilevel"/>
    <w:tmpl w:val="5EC29ABC"/>
    <w:lvl w:ilvl="0" w:tplc="18090017">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23609FFB"/>
    <w:multiLevelType w:val="hybridMultilevel"/>
    <w:tmpl w:val="938276BE"/>
    <w:lvl w:ilvl="0" w:tplc="AA4A5568">
      <w:start w:val="1"/>
      <w:numFmt w:val="bullet"/>
      <w:lvlText w:val="·"/>
      <w:lvlJc w:val="left"/>
      <w:pPr>
        <w:ind w:left="720" w:hanging="360"/>
      </w:pPr>
      <w:rPr>
        <w:rFonts w:ascii="Symbol" w:hAnsi="Symbol" w:hint="default"/>
      </w:rPr>
    </w:lvl>
    <w:lvl w:ilvl="1" w:tplc="EAE637FE">
      <w:start w:val="1"/>
      <w:numFmt w:val="bullet"/>
      <w:lvlText w:val="o"/>
      <w:lvlJc w:val="left"/>
      <w:pPr>
        <w:ind w:left="1440" w:hanging="360"/>
      </w:pPr>
      <w:rPr>
        <w:rFonts w:ascii="Courier New" w:hAnsi="Courier New" w:hint="default"/>
      </w:rPr>
    </w:lvl>
    <w:lvl w:ilvl="2" w:tplc="5BD8F3F8">
      <w:start w:val="1"/>
      <w:numFmt w:val="bullet"/>
      <w:lvlText w:val=""/>
      <w:lvlJc w:val="left"/>
      <w:pPr>
        <w:ind w:left="2160" w:hanging="360"/>
      </w:pPr>
      <w:rPr>
        <w:rFonts w:ascii="Wingdings" w:hAnsi="Wingdings" w:hint="default"/>
      </w:rPr>
    </w:lvl>
    <w:lvl w:ilvl="3" w:tplc="2466C920">
      <w:start w:val="1"/>
      <w:numFmt w:val="bullet"/>
      <w:lvlText w:val=""/>
      <w:lvlJc w:val="left"/>
      <w:pPr>
        <w:ind w:left="2880" w:hanging="360"/>
      </w:pPr>
      <w:rPr>
        <w:rFonts w:ascii="Symbol" w:hAnsi="Symbol" w:hint="default"/>
      </w:rPr>
    </w:lvl>
    <w:lvl w:ilvl="4" w:tplc="47CA7DFE">
      <w:start w:val="1"/>
      <w:numFmt w:val="bullet"/>
      <w:lvlText w:val="o"/>
      <w:lvlJc w:val="left"/>
      <w:pPr>
        <w:ind w:left="3600" w:hanging="360"/>
      </w:pPr>
      <w:rPr>
        <w:rFonts w:ascii="Courier New" w:hAnsi="Courier New" w:hint="default"/>
      </w:rPr>
    </w:lvl>
    <w:lvl w:ilvl="5" w:tplc="E13EC744">
      <w:start w:val="1"/>
      <w:numFmt w:val="bullet"/>
      <w:lvlText w:val=""/>
      <w:lvlJc w:val="left"/>
      <w:pPr>
        <w:ind w:left="4320" w:hanging="360"/>
      </w:pPr>
      <w:rPr>
        <w:rFonts w:ascii="Wingdings" w:hAnsi="Wingdings" w:hint="default"/>
      </w:rPr>
    </w:lvl>
    <w:lvl w:ilvl="6" w:tplc="2D94E2B4">
      <w:start w:val="1"/>
      <w:numFmt w:val="bullet"/>
      <w:lvlText w:val=""/>
      <w:lvlJc w:val="left"/>
      <w:pPr>
        <w:ind w:left="5040" w:hanging="360"/>
      </w:pPr>
      <w:rPr>
        <w:rFonts w:ascii="Symbol" w:hAnsi="Symbol" w:hint="default"/>
      </w:rPr>
    </w:lvl>
    <w:lvl w:ilvl="7" w:tplc="C1C41508">
      <w:start w:val="1"/>
      <w:numFmt w:val="bullet"/>
      <w:lvlText w:val="o"/>
      <w:lvlJc w:val="left"/>
      <w:pPr>
        <w:ind w:left="5760" w:hanging="360"/>
      </w:pPr>
      <w:rPr>
        <w:rFonts w:ascii="Courier New" w:hAnsi="Courier New" w:hint="default"/>
      </w:rPr>
    </w:lvl>
    <w:lvl w:ilvl="8" w:tplc="18EA4236">
      <w:start w:val="1"/>
      <w:numFmt w:val="bullet"/>
      <w:lvlText w:val=""/>
      <w:lvlJc w:val="left"/>
      <w:pPr>
        <w:ind w:left="6480" w:hanging="360"/>
      </w:pPr>
      <w:rPr>
        <w:rFonts w:ascii="Wingdings" w:hAnsi="Wingdings" w:hint="default"/>
      </w:rPr>
    </w:lvl>
  </w:abstractNum>
  <w:abstractNum w:abstractNumId="4" w15:restartNumberingAfterBreak="0">
    <w:nsid w:val="28F04BAA"/>
    <w:multiLevelType w:val="hybridMultilevel"/>
    <w:tmpl w:val="233E516C"/>
    <w:lvl w:ilvl="0" w:tplc="18090001">
      <w:start w:val="1"/>
      <w:numFmt w:val="bullet"/>
      <w:lvlText w:val=""/>
      <w:lvlJc w:val="left"/>
      <w:pPr>
        <w:ind w:left="720" w:hanging="360"/>
      </w:pPr>
      <w:rPr>
        <w:rFonts w:ascii="Symbol" w:hAnsi="Symbol" w:hint="default"/>
        <w:color w:val="2021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94C6810"/>
    <w:multiLevelType w:val="hybridMultilevel"/>
    <w:tmpl w:val="F5FC77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9AB6A8F"/>
    <w:multiLevelType w:val="hybridMultilevel"/>
    <w:tmpl w:val="8A0216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223497C"/>
    <w:multiLevelType w:val="hybridMultilevel"/>
    <w:tmpl w:val="B51800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9427276"/>
    <w:multiLevelType w:val="hybridMultilevel"/>
    <w:tmpl w:val="9504371C"/>
    <w:lvl w:ilvl="0" w:tplc="7B98D57E">
      <w:start w:val="3"/>
      <w:numFmt w:val="bullet"/>
      <w:lvlText w:val=""/>
      <w:lvlJc w:val="left"/>
      <w:pPr>
        <w:ind w:left="720" w:hanging="360"/>
      </w:pPr>
      <w:rPr>
        <w:rFonts w:ascii="Wingdings" w:eastAsiaTheme="minorHAnsi" w:hAnsi="Wingdings" w:cstheme="minorHAnsi" w:hint="default"/>
        <w:color w:val="2021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E4D09E9"/>
    <w:multiLevelType w:val="hybridMultilevel"/>
    <w:tmpl w:val="C58C195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58A3336"/>
    <w:multiLevelType w:val="hybridMultilevel"/>
    <w:tmpl w:val="F0A827FC"/>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069"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6C624B19"/>
    <w:multiLevelType w:val="hybridMultilevel"/>
    <w:tmpl w:val="C96482C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FFA77F4"/>
    <w:multiLevelType w:val="hybridMultilevel"/>
    <w:tmpl w:val="F4C6125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62351961">
    <w:abstractNumId w:val="1"/>
  </w:num>
  <w:num w:numId="2" w16cid:durableId="178738620">
    <w:abstractNumId w:val="11"/>
  </w:num>
  <w:num w:numId="3" w16cid:durableId="51732841">
    <w:abstractNumId w:val="8"/>
  </w:num>
  <w:num w:numId="4" w16cid:durableId="1743983768">
    <w:abstractNumId w:val="5"/>
  </w:num>
  <w:num w:numId="5" w16cid:durableId="2000839973">
    <w:abstractNumId w:val="4"/>
  </w:num>
  <w:num w:numId="6" w16cid:durableId="1126510616">
    <w:abstractNumId w:val="7"/>
  </w:num>
  <w:num w:numId="7" w16cid:durableId="2081293972">
    <w:abstractNumId w:val="12"/>
  </w:num>
  <w:num w:numId="8" w16cid:durableId="1546405948">
    <w:abstractNumId w:val="9"/>
  </w:num>
  <w:num w:numId="9" w16cid:durableId="511841266">
    <w:abstractNumId w:val="0"/>
  </w:num>
  <w:num w:numId="10" w16cid:durableId="2074499122">
    <w:abstractNumId w:val="2"/>
  </w:num>
  <w:num w:numId="11" w16cid:durableId="1022588551">
    <w:abstractNumId w:val="3"/>
  </w:num>
  <w:num w:numId="12" w16cid:durableId="1379862981">
    <w:abstractNumId w:val="10"/>
  </w:num>
  <w:num w:numId="13" w16cid:durableId="1392994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NORMAL"/>
  </w:docVars>
  <w:rsids>
    <w:rsidRoot w:val="00077C4F"/>
    <w:rsid w:val="00012A37"/>
    <w:rsid w:val="000230E1"/>
    <w:rsid w:val="00046B15"/>
    <w:rsid w:val="00050DC7"/>
    <w:rsid w:val="00076109"/>
    <w:rsid w:val="00077C4F"/>
    <w:rsid w:val="000A7F14"/>
    <w:rsid w:val="000B17C4"/>
    <w:rsid w:val="000F5FD8"/>
    <w:rsid w:val="00104C5E"/>
    <w:rsid w:val="001167C0"/>
    <w:rsid w:val="0012487B"/>
    <w:rsid w:val="00135C2A"/>
    <w:rsid w:val="00136892"/>
    <w:rsid w:val="001454AF"/>
    <w:rsid w:val="001735A8"/>
    <w:rsid w:val="00184E40"/>
    <w:rsid w:val="001B0E0B"/>
    <w:rsid w:val="001B7477"/>
    <w:rsid w:val="001C4138"/>
    <w:rsid w:val="001D1133"/>
    <w:rsid w:val="001E140D"/>
    <w:rsid w:val="001F2EC6"/>
    <w:rsid w:val="001F65D0"/>
    <w:rsid w:val="00205D59"/>
    <w:rsid w:val="00217E59"/>
    <w:rsid w:val="0022073E"/>
    <w:rsid w:val="00223E96"/>
    <w:rsid w:val="0023738C"/>
    <w:rsid w:val="002461B3"/>
    <w:rsid w:val="002B6AF4"/>
    <w:rsid w:val="002D5984"/>
    <w:rsid w:val="002F03FA"/>
    <w:rsid w:val="002F33F6"/>
    <w:rsid w:val="003004D2"/>
    <w:rsid w:val="00333DB1"/>
    <w:rsid w:val="003349A3"/>
    <w:rsid w:val="003552C0"/>
    <w:rsid w:val="00377967"/>
    <w:rsid w:val="00386143"/>
    <w:rsid w:val="003A2132"/>
    <w:rsid w:val="003B58DC"/>
    <w:rsid w:val="003E6C40"/>
    <w:rsid w:val="003F686E"/>
    <w:rsid w:val="00410286"/>
    <w:rsid w:val="00413DE7"/>
    <w:rsid w:val="00422D28"/>
    <w:rsid w:val="0042729A"/>
    <w:rsid w:val="00440162"/>
    <w:rsid w:val="00442552"/>
    <w:rsid w:val="00443F6B"/>
    <w:rsid w:val="00455A1C"/>
    <w:rsid w:val="00456A2A"/>
    <w:rsid w:val="00460D82"/>
    <w:rsid w:val="004675B5"/>
    <w:rsid w:val="004770D6"/>
    <w:rsid w:val="0049246C"/>
    <w:rsid w:val="00494BD1"/>
    <w:rsid w:val="004F6117"/>
    <w:rsid w:val="004F63F1"/>
    <w:rsid w:val="004F651E"/>
    <w:rsid w:val="00507D57"/>
    <w:rsid w:val="0052596B"/>
    <w:rsid w:val="005324EE"/>
    <w:rsid w:val="00554D8D"/>
    <w:rsid w:val="0055780F"/>
    <w:rsid w:val="0056449F"/>
    <w:rsid w:val="00573835"/>
    <w:rsid w:val="00581306"/>
    <w:rsid w:val="005823C3"/>
    <w:rsid w:val="005A0AAB"/>
    <w:rsid w:val="005C0500"/>
    <w:rsid w:val="005C3105"/>
    <w:rsid w:val="005F5B2E"/>
    <w:rsid w:val="00620500"/>
    <w:rsid w:val="00627CC2"/>
    <w:rsid w:val="006460E0"/>
    <w:rsid w:val="0065695B"/>
    <w:rsid w:val="00680017"/>
    <w:rsid w:val="00692C2F"/>
    <w:rsid w:val="00695797"/>
    <w:rsid w:val="00696A5E"/>
    <w:rsid w:val="00697443"/>
    <w:rsid w:val="006A5D81"/>
    <w:rsid w:val="006B3B69"/>
    <w:rsid w:val="00717A1D"/>
    <w:rsid w:val="00734613"/>
    <w:rsid w:val="00743AD0"/>
    <w:rsid w:val="00751910"/>
    <w:rsid w:val="00751E60"/>
    <w:rsid w:val="00754798"/>
    <w:rsid w:val="007547B5"/>
    <w:rsid w:val="00754C07"/>
    <w:rsid w:val="007848EA"/>
    <w:rsid w:val="00795A9E"/>
    <w:rsid w:val="007A500E"/>
    <w:rsid w:val="007A606D"/>
    <w:rsid w:val="007C2214"/>
    <w:rsid w:val="007E1D1F"/>
    <w:rsid w:val="007F384C"/>
    <w:rsid w:val="00807B48"/>
    <w:rsid w:val="008135CA"/>
    <w:rsid w:val="0081584F"/>
    <w:rsid w:val="00822B59"/>
    <w:rsid w:val="00862C90"/>
    <w:rsid w:val="008703BF"/>
    <w:rsid w:val="008925CE"/>
    <w:rsid w:val="008C4D41"/>
    <w:rsid w:val="009129B3"/>
    <w:rsid w:val="00936A16"/>
    <w:rsid w:val="00981F45"/>
    <w:rsid w:val="00994D12"/>
    <w:rsid w:val="009A4A4F"/>
    <w:rsid w:val="009A5A48"/>
    <w:rsid w:val="009B128B"/>
    <w:rsid w:val="009B2936"/>
    <w:rsid w:val="00A16F07"/>
    <w:rsid w:val="00A37AEC"/>
    <w:rsid w:val="00A54114"/>
    <w:rsid w:val="00A61059"/>
    <w:rsid w:val="00A62C7B"/>
    <w:rsid w:val="00A7709A"/>
    <w:rsid w:val="00A83FE9"/>
    <w:rsid w:val="00AA5E25"/>
    <w:rsid w:val="00AE1842"/>
    <w:rsid w:val="00AE3C7C"/>
    <w:rsid w:val="00B01F24"/>
    <w:rsid w:val="00B058AD"/>
    <w:rsid w:val="00B31306"/>
    <w:rsid w:val="00B3412A"/>
    <w:rsid w:val="00B42814"/>
    <w:rsid w:val="00B6485F"/>
    <w:rsid w:val="00B767CC"/>
    <w:rsid w:val="00B83936"/>
    <w:rsid w:val="00B85FB2"/>
    <w:rsid w:val="00B9352B"/>
    <w:rsid w:val="00BD3277"/>
    <w:rsid w:val="00BD6EB7"/>
    <w:rsid w:val="00BE0CCB"/>
    <w:rsid w:val="00BE3064"/>
    <w:rsid w:val="00BF08D8"/>
    <w:rsid w:val="00C11467"/>
    <w:rsid w:val="00C25189"/>
    <w:rsid w:val="00C26F50"/>
    <w:rsid w:val="00C41471"/>
    <w:rsid w:val="00C45F4F"/>
    <w:rsid w:val="00C54D27"/>
    <w:rsid w:val="00C5639B"/>
    <w:rsid w:val="00C76EEB"/>
    <w:rsid w:val="00CC7F14"/>
    <w:rsid w:val="00D01F5A"/>
    <w:rsid w:val="00D15B4D"/>
    <w:rsid w:val="00D1716E"/>
    <w:rsid w:val="00D272A5"/>
    <w:rsid w:val="00D64E05"/>
    <w:rsid w:val="00D73F98"/>
    <w:rsid w:val="00D92FD3"/>
    <w:rsid w:val="00DA0E61"/>
    <w:rsid w:val="00DA3B6E"/>
    <w:rsid w:val="00DB7581"/>
    <w:rsid w:val="00DC70C1"/>
    <w:rsid w:val="00DD2B4A"/>
    <w:rsid w:val="00E83C12"/>
    <w:rsid w:val="00E87F7B"/>
    <w:rsid w:val="00E904C8"/>
    <w:rsid w:val="00EA1B46"/>
    <w:rsid w:val="00EA1BBF"/>
    <w:rsid w:val="00EB29A9"/>
    <w:rsid w:val="00EB77D2"/>
    <w:rsid w:val="00F316C8"/>
    <w:rsid w:val="00F37BA3"/>
    <w:rsid w:val="00F47231"/>
    <w:rsid w:val="00F631CC"/>
    <w:rsid w:val="00F632DE"/>
    <w:rsid w:val="00F735E4"/>
    <w:rsid w:val="00F8362E"/>
    <w:rsid w:val="00F91B28"/>
    <w:rsid w:val="00FA370D"/>
    <w:rsid w:val="00FB7834"/>
    <w:rsid w:val="00FD4B6A"/>
    <w:rsid w:val="00FF03A8"/>
    <w:rsid w:val="00FF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LISTA"/>
    <w:basedOn w:val="Normal"/>
    <w:link w:val="ListParagraphChar"/>
    <w:uiPriority w:val="34"/>
    <w:qFormat/>
    <w:rsid w:val="003E6C40"/>
    <w:pPr>
      <w:spacing w:after="160" w:line="259" w:lineRule="auto"/>
      <w:ind w:left="720"/>
      <w:contextualSpacing/>
    </w:pPr>
    <w:rPr>
      <w:kern w:val="2"/>
      <w:lang w:val="en-IE"/>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locked/>
    <w:rsid w:val="003E6C40"/>
    <w:rPr>
      <w:kern w:val="2"/>
      <w:sz w:val="22"/>
      <w:szCs w:val="22"/>
      <w:lang w:val="en-IE" w:eastAsia="en-US"/>
    </w:rPr>
  </w:style>
  <w:style w:type="character" w:styleId="CommentReference">
    <w:name w:val="annotation reference"/>
    <w:basedOn w:val="DefaultParagraphFont"/>
    <w:uiPriority w:val="99"/>
    <w:semiHidden/>
    <w:unhideWhenUsed/>
    <w:rsid w:val="007A500E"/>
    <w:rPr>
      <w:sz w:val="16"/>
      <w:szCs w:val="16"/>
    </w:rPr>
  </w:style>
  <w:style w:type="paragraph" w:styleId="CommentText">
    <w:name w:val="annotation text"/>
    <w:basedOn w:val="Normal"/>
    <w:link w:val="CommentTextChar"/>
    <w:uiPriority w:val="99"/>
    <w:unhideWhenUsed/>
    <w:rsid w:val="007A500E"/>
    <w:rPr>
      <w:sz w:val="20"/>
      <w:szCs w:val="20"/>
    </w:rPr>
  </w:style>
  <w:style w:type="character" w:customStyle="1" w:styleId="CommentTextChar">
    <w:name w:val="Comment Text Char"/>
    <w:basedOn w:val="DefaultParagraphFont"/>
    <w:link w:val="CommentText"/>
    <w:uiPriority w:val="99"/>
    <w:rsid w:val="007A500E"/>
    <w:rPr>
      <w:lang w:eastAsia="en-US"/>
    </w:rPr>
  </w:style>
  <w:style w:type="paragraph" w:styleId="CommentSubject">
    <w:name w:val="annotation subject"/>
    <w:basedOn w:val="CommentText"/>
    <w:next w:val="CommentText"/>
    <w:link w:val="CommentSubjectChar"/>
    <w:uiPriority w:val="99"/>
    <w:semiHidden/>
    <w:unhideWhenUsed/>
    <w:rsid w:val="007A500E"/>
    <w:rPr>
      <w:b/>
      <w:bCs/>
    </w:rPr>
  </w:style>
  <w:style w:type="character" w:customStyle="1" w:styleId="CommentSubjectChar">
    <w:name w:val="Comment Subject Char"/>
    <w:basedOn w:val="CommentTextChar"/>
    <w:link w:val="CommentSubject"/>
    <w:uiPriority w:val="99"/>
    <w:semiHidden/>
    <w:rsid w:val="007A500E"/>
    <w:rPr>
      <w:b/>
      <w:bCs/>
      <w:lang w:eastAsia="en-US"/>
    </w:rPr>
  </w:style>
  <w:style w:type="paragraph" w:styleId="Revision">
    <w:name w:val="Revision"/>
    <w:hidden/>
    <w:uiPriority w:val="99"/>
    <w:semiHidden/>
    <w:rsid w:val="007A500E"/>
    <w:rPr>
      <w:sz w:val="22"/>
      <w:szCs w:val="22"/>
      <w:lang w:eastAsia="en-US"/>
    </w:rPr>
  </w:style>
  <w:style w:type="paragraph" w:styleId="FootnoteText">
    <w:name w:val="footnote text"/>
    <w:basedOn w:val="Normal"/>
    <w:link w:val="FootnoteTextChar"/>
    <w:uiPriority w:val="99"/>
    <w:semiHidden/>
    <w:unhideWhenUsed/>
    <w:rsid w:val="009A5A48"/>
    <w:rPr>
      <w:sz w:val="20"/>
      <w:szCs w:val="20"/>
    </w:rPr>
  </w:style>
  <w:style w:type="character" w:customStyle="1" w:styleId="FootnoteTextChar">
    <w:name w:val="Footnote Text Char"/>
    <w:basedOn w:val="DefaultParagraphFont"/>
    <w:link w:val="FootnoteText"/>
    <w:uiPriority w:val="99"/>
    <w:semiHidden/>
    <w:rsid w:val="009A5A48"/>
    <w:rPr>
      <w:lang w:eastAsia="en-US"/>
    </w:rPr>
  </w:style>
  <w:style w:type="character" w:styleId="FootnoteReference">
    <w:name w:val="footnote reference"/>
    <w:basedOn w:val="DefaultParagraphFont"/>
    <w:uiPriority w:val="99"/>
    <w:semiHidden/>
    <w:unhideWhenUsed/>
    <w:rsid w:val="009A5A48"/>
    <w:rPr>
      <w:vertAlign w:val="superscript"/>
    </w:rPr>
  </w:style>
  <w:style w:type="character" w:styleId="Hyperlink">
    <w:name w:val="Hyperlink"/>
    <w:basedOn w:val="DefaultParagraphFont"/>
    <w:uiPriority w:val="99"/>
    <w:unhideWhenUsed/>
    <w:rsid w:val="009A5A48"/>
    <w:rPr>
      <w:color w:val="0563C1" w:themeColor="hyperlink"/>
      <w:u w:val="single"/>
    </w:rPr>
  </w:style>
  <w:style w:type="character" w:styleId="UnresolvedMention">
    <w:name w:val="Unresolved Mention"/>
    <w:basedOn w:val="DefaultParagraphFont"/>
    <w:uiPriority w:val="99"/>
    <w:semiHidden/>
    <w:unhideWhenUsed/>
    <w:rsid w:val="009A5A48"/>
    <w:rPr>
      <w:color w:val="605E5C"/>
      <w:shd w:val="clear" w:color="auto" w:fill="E1DFDD"/>
    </w:rPr>
  </w:style>
  <w:style w:type="character" w:styleId="FollowedHyperlink">
    <w:name w:val="FollowedHyperlink"/>
    <w:basedOn w:val="DefaultParagraphFont"/>
    <w:uiPriority w:val="99"/>
    <w:semiHidden/>
    <w:unhideWhenUsed/>
    <w:rsid w:val="00F472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39218">
      <w:bodyDiv w:val="1"/>
      <w:marLeft w:val="0"/>
      <w:marRight w:val="0"/>
      <w:marTop w:val="0"/>
      <w:marBottom w:val="0"/>
      <w:divBdr>
        <w:top w:val="none" w:sz="0" w:space="0" w:color="auto"/>
        <w:left w:val="none" w:sz="0" w:space="0" w:color="auto"/>
        <w:bottom w:val="none" w:sz="0" w:space="0" w:color="auto"/>
        <w:right w:val="none" w:sz="0" w:space="0" w:color="auto"/>
      </w:divBdr>
    </w:div>
    <w:div w:id="552422531">
      <w:bodyDiv w:val="1"/>
      <w:marLeft w:val="0"/>
      <w:marRight w:val="0"/>
      <w:marTop w:val="0"/>
      <w:marBottom w:val="0"/>
      <w:divBdr>
        <w:top w:val="none" w:sz="0" w:space="0" w:color="auto"/>
        <w:left w:val="none" w:sz="0" w:space="0" w:color="auto"/>
        <w:bottom w:val="none" w:sz="0" w:space="0" w:color="auto"/>
        <w:right w:val="none" w:sz="0" w:space="0" w:color="auto"/>
      </w:divBdr>
    </w:div>
    <w:div w:id="1143817573">
      <w:bodyDiv w:val="1"/>
      <w:marLeft w:val="0"/>
      <w:marRight w:val="0"/>
      <w:marTop w:val="0"/>
      <w:marBottom w:val="0"/>
      <w:divBdr>
        <w:top w:val="none" w:sz="0" w:space="0" w:color="auto"/>
        <w:left w:val="none" w:sz="0" w:space="0" w:color="auto"/>
        <w:bottom w:val="none" w:sz="0" w:space="0" w:color="auto"/>
        <w:right w:val="none" w:sz="0" w:space="0" w:color="auto"/>
      </w:divBdr>
    </w:div>
    <w:div w:id="1253079145">
      <w:bodyDiv w:val="1"/>
      <w:marLeft w:val="0"/>
      <w:marRight w:val="0"/>
      <w:marTop w:val="0"/>
      <w:marBottom w:val="0"/>
      <w:divBdr>
        <w:top w:val="none" w:sz="0" w:space="0" w:color="auto"/>
        <w:left w:val="none" w:sz="0" w:space="0" w:color="auto"/>
        <w:bottom w:val="none" w:sz="0" w:space="0" w:color="auto"/>
        <w:right w:val="none" w:sz="0" w:space="0" w:color="auto"/>
      </w:divBdr>
      <w:divsChild>
        <w:div w:id="548807427">
          <w:marLeft w:val="0"/>
          <w:marRight w:val="0"/>
          <w:marTop w:val="0"/>
          <w:marBottom w:val="0"/>
          <w:divBdr>
            <w:top w:val="none" w:sz="0" w:space="0" w:color="auto"/>
            <w:left w:val="none" w:sz="0" w:space="0" w:color="auto"/>
            <w:bottom w:val="none" w:sz="0" w:space="0" w:color="auto"/>
            <w:right w:val="none" w:sz="0" w:space="0" w:color="auto"/>
          </w:divBdr>
        </w:div>
      </w:divsChild>
    </w:div>
    <w:div w:id="209619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europarl.europa.eu/legislative-train/theme-a-new-plan-for-europe-s-sustainable-prosperity-and-competitiveness/file-industrial-decarbonisation-accelerator-act" TargetMode="External"/><Relationship Id="rId2" Type="http://schemas.openxmlformats.org/officeDocument/2006/relationships/hyperlink" Target="https://commission.europa.eu/document/download/9db1c5c8-9e82-467b-ab6a-905feeb4b6b0_en?filename=Communication%20-%20Clean%20Industrial%20Deal_en.pdf" TargetMode="External"/><Relationship Id="rId1" Type="http://schemas.openxmlformats.org/officeDocument/2006/relationships/hyperlink" Target="https://commission.europa.eu/document/download/10017eb1-4722-4333-add2-e0ed18105a34_en?filename=Communication_1.pdf" TargetMode="External"/><Relationship Id="rId6" Type="http://schemas.openxmlformats.org/officeDocument/2006/relationships/hyperlink" Target="https://www.europarl.europa.eu/legislative-train/theme-an-economy-that-works-for-people/file-revision-of-the-fdi-screening-regulation" TargetMode="External"/><Relationship Id="rId5" Type="http://schemas.openxmlformats.org/officeDocument/2006/relationships/hyperlink" Target="https://eur-lex.europa.eu/legal-content/EN/TXT/?uri=CELEX:52024PC0023" TargetMode="External"/><Relationship Id="rId4" Type="http://schemas.openxmlformats.org/officeDocument/2006/relationships/hyperlink" Target="https://op.europa.eu/webpub/eca/special-reports/trade-defence-instruments-17-202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D2C354A9B80F4897019BC7E2880A88" ma:contentTypeVersion="4" ma:contentTypeDescription="Create a new document." ma:contentTypeScope="" ma:versionID="77bd4c56248ebdf5993d09df5533488f">
  <xsd:schema xmlns:xsd="http://www.w3.org/2001/XMLSchema" xmlns:xs="http://www.w3.org/2001/XMLSchema" xmlns:p="http://schemas.microsoft.com/office/2006/metadata/properties" xmlns:ns2="2a565401-6124-4834-af4c-bc1a772a6083" targetNamespace="http://schemas.microsoft.com/office/2006/metadata/properties" ma:root="true" ma:fieldsID="0d21c66c8a208a651832a9e3056369d0" ns2:_="">
    <xsd:import namespace="2a565401-6124-4834-af4c-bc1a772a6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65401-6124-4834-af4c-bc1a772a6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786B1-769F-4A51-B05C-F600945859B3}">
  <ds:schemaRefs>
    <ds:schemaRef ds:uri="http://schemas.microsoft.com/sharepoint/v3/contenttype/forms"/>
  </ds:schemaRefs>
</ds:datastoreItem>
</file>

<file path=customXml/itemProps2.xml><?xml version="1.0" encoding="utf-8"?>
<ds:datastoreItem xmlns:ds="http://schemas.openxmlformats.org/officeDocument/2006/customXml" ds:itemID="{4E57F0F2-10E5-4AC3-AF77-3B89FAB3B059}">
  <ds:schemaRefs>
    <ds:schemaRef ds:uri="http://schemas.openxmlformats.org/officeDocument/2006/bibliography"/>
  </ds:schemaRefs>
</ds:datastoreItem>
</file>

<file path=customXml/itemProps3.xml><?xml version="1.0" encoding="utf-8"?>
<ds:datastoreItem xmlns:ds="http://schemas.openxmlformats.org/officeDocument/2006/customXml" ds:itemID="{D3A3FE6B-F21C-424D-840E-A5A1288DE9D9}">
  <ds:schemaRefs>
    <ds:schemaRef ds:uri="http://schemas.microsoft.com/office/2006/documentManagement/types"/>
    <ds:schemaRef ds:uri="http://purl.org/dc/dcmitype/"/>
    <ds:schemaRef ds:uri="2a565401-6124-4834-af4c-bc1a772a6083"/>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0630433-F323-4717-B5FF-612E16C11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65401-6124-4834-af4c-bc1a772a6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938</Words>
  <Characters>5491</Characters>
  <Application>Microsoft Office Word</Application>
  <DocSecurity>0</DocSecurity>
  <Lines>74</Lines>
  <Paragraphs>18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2</cp:revision>
  <cp:lastPrinted>2013-02-27T18:02:00Z</cp:lastPrinted>
  <dcterms:created xsi:type="dcterms:W3CDTF">2026-02-05T15:45:00Z</dcterms:created>
  <dcterms:modified xsi:type="dcterms:W3CDTF">2026-02-05T15:45:00Z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0x01010078D2C354A9B80F4897019BC7E2880A88</vt:lpwstr>
  </property>
</Properties>
</file>