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2">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091A65" w14:paraId="02555730" w14:textId="4E170FAB">
      <w:pPr>
        <w:jc w:val="right"/>
      </w:pPr>
      <w:r w:rsidRPr="00091A65">
        <w:rPr>
          <w:b/>
        </w:rPr>
        <w:t>TEN/</w:t>
      </w:r>
      <w:r w:rsidR="00297327">
        <w:rPr>
          <w:b/>
        </w:rPr>
        <w:t>8</w:t>
      </w:r>
      <w:r w:rsidR="004C483D">
        <w:rPr>
          <w:b/>
        </w:rPr>
        <w:t>65</w:t>
      </w:r>
    </w:p>
    <w:p w:rsidRPr="00462783" w:rsidR="000E4B6B" w:rsidP="0015330A" w:rsidRDefault="004C483D" w14:paraId="1EFE7F2B" w14:textId="047ACBC7">
      <w:pPr>
        <w:jc w:val="right"/>
        <w:rPr>
          <w:b/>
          <w:bCs/>
        </w:rPr>
      </w:pPr>
      <w:r w:rsidRPr="004C483D">
        <w:rPr>
          <w:b/>
          <w:bCs/>
        </w:rPr>
        <w:t>Energy connectivity, electricity grids</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4B895DF0">
      <w:pPr>
        <w:jc w:val="right"/>
      </w:pPr>
      <w:r w:rsidRPr="00A67235">
        <w:t xml:space="preserve">Brussels, </w:t>
      </w:r>
      <w:r w:rsidR="004C483D">
        <w:t>1</w:t>
      </w:r>
      <w:r w:rsidR="00CE5A4E">
        <w:t>8</w:t>
      </w:r>
      <w:r w:rsidR="00696B64">
        <w:t xml:space="preserve"> </w:t>
      </w:r>
      <w:r w:rsidR="004C483D">
        <w:t>February</w:t>
      </w:r>
      <w:r w:rsidR="00091A65">
        <w:t xml:space="preserve"> 202</w:t>
      </w:r>
      <w:r w:rsidR="004C483D">
        <w:t>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004C483D" w:rsidP="00EC0F0F" w:rsidRDefault="00964A13" w14:paraId="172CB2A9" w14:textId="77777777">
      <w:pPr>
        <w:jc w:val="center"/>
        <w:rPr>
          <w:b/>
          <w:bCs/>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4C483D" w:rsidR="004C483D">
        <w:rPr>
          <w:b/>
          <w:bCs/>
        </w:rPr>
        <w:t xml:space="preserve">Energy connectivity, electricity grids </w:t>
      </w:r>
    </w:p>
    <w:p w:rsidRPr="00462783" w:rsidR="00964A13" w:rsidP="00EC0F0F" w:rsidRDefault="00462783" w14:paraId="1CA7DBC6" w14:textId="1E8A14FF">
      <w:pPr>
        <w:jc w:val="center"/>
      </w:pPr>
      <w:r w:rsidRPr="00EF69B7">
        <w:t>(</w:t>
      </w:r>
      <w:r w:rsidRPr="004C483D" w:rsidR="004C483D">
        <w:t>exploratory opinion requested by the Cyprus Presidency of the Council of the EU</w:t>
      </w:r>
      <w:r w:rsidRPr="00EF69B7">
        <w:t>)</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CE5A4E" w14:paraId="0FA745B1" w14:textId="5F97FBCE">
      <w:pPr>
        <w:jc w:val="center"/>
        <w:rPr>
          <w:bCs/>
        </w:rPr>
      </w:pPr>
      <w:r>
        <w:t>603</w:t>
      </w:r>
      <w:r w:rsidRPr="00462783">
        <w:rPr>
          <w:vertAlign w:val="superscript"/>
        </w:rPr>
        <w:t>rd</w:t>
      </w:r>
      <w:r w:rsidR="00462783">
        <w:t xml:space="preserve"> </w:t>
      </w:r>
      <w:r w:rsidR="0015330A">
        <w:t>plenary session</w:t>
      </w:r>
      <w:r w:rsidR="009E138D">
        <w:br/>
      </w:r>
      <w:r w:rsidR="009E138D">
        <w:rPr>
          <w:bCs/>
        </w:rPr>
        <w:br/>
      </w:r>
      <w:r w:rsidRPr="00A67235" w:rsidR="00964A13">
        <w:rPr>
          <w:bCs/>
        </w:rPr>
        <w:t>Brussels</w:t>
      </w:r>
      <w:r w:rsidR="009E138D">
        <w:rPr>
          <w:bCs/>
        </w:rPr>
        <w:br/>
      </w:r>
      <w:r w:rsidR="004C483D">
        <w:rPr>
          <w:bCs/>
        </w:rPr>
        <w:t>18</w:t>
      </w:r>
      <w:r w:rsidR="002D0114">
        <w:rPr>
          <w:bCs/>
        </w:rPr>
        <w:t>-</w:t>
      </w:r>
      <w:r w:rsidR="004C483D">
        <w:rPr>
          <w:bCs/>
        </w:rPr>
        <w:t>19</w:t>
      </w:r>
      <w:r w:rsidR="00091A65">
        <w:rPr>
          <w:bCs/>
        </w:rPr>
        <w:t xml:space="preserve"> </w:t>
      </w:r>
      <w:r w:rsidR="004C483D">
        <w:rPr>
          <w:bCs/>
        </w:rPr>
        <w:t>February</w:t>
      </w:r>
      <w:r w:rsidR="00091A65">
        <w:rPr>
          <w:bCs/>
        </w:rPr>
        <w:t xml:space="preserve"> 202</w:t>
      </w:r>
      <w:r w:rsidR="004C483D">
        <w:rPr>
          <w:bCs/>
        </w:rPr>
        <w:t>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0A26AE9E">
      <w:pPr>
        <w:jc w:val="center"/>
      </w:pPr>
      <w:r w:rsidRPr="00CE5A4E">
        <w:t xml:space="preserve">Meeting of </w:t>
      </w:r>
      <w:r w:rsidRPr="00CE5A4E" w:rsidR="004C483D">
        <w:t>1</w:t>
      </w:r>
      <w:r w:rsidRPr="00CE5A4E" w:rsidR="00CE5A4E">
        <w:t>8</w:t>
      </w:r>
      <w:r w:rsidRPr="00CE5A4E" w:rsidR="004C483D">
        <w:t xml:space="preserve"> February</w:t>
      </w:r>
      <w:r w:rsidRPr="00CE5A4E" w:rsidR="00091A65">
        <w:t xml:space="preserve"> 202</w:t>
      </w:r>
      <w:r w:rsidRPr="00CE5A4E" w:rsidR="004C483D">
        <w:t>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10154F0A">
      <w:pPr>
        <w:pStyle w:val="Footer"/>
        <w:jc w:val="center"/>
      </w:pPr>
      <w:r w:rsidRPr="00CE5A4E">
        <w:t>Agenda item</w:t>
      </w:r>
      <w:r w:rsidRPr="00CE5A4E" w:rsidR="00177DAC">
        <w:t xml:space="preserve"> </w:t>
      </w:r>
      <w:r w:rsidRPr="00CE5A4E" w:rsidR="00371183">
        <w:t>1</w:t>
      </w:r>
      <w:r w:rsidRPr="00CE5A4E" w:rsidR="00CE5A4E">
        <w:t>1</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4C419D" w:rsidP="004C419D" w:rsidRDefault="00964A13" w14:paraId="1461B587" w14:textId="24025B14">
      <w:r w:rsidRPr="00A67235">
        <w:rPr>
          <w:b/>
          <w:bCs/>
        </w:rPr>
        <w:br w:type="page"/>
      </w:r>
    </w:p>
    <w:p w:rsidR="004C419D" w:rsidP="004C419D" w:rsidRDefault="004C419D" w14:paraId="5D9FB488" w14:textId="76228C6C">
      <w:pPr>
        <w:spacing w:line="240" w:lineRule="auto"/>
        <w:rPr>
          <w:lang w:eastAsia="en-GB"/>
        </w:rPr>
      </w:pPr>
      <w:r w:rsidRPr="00EA21B9">
        <w:rPr>
          <w:b/>
          <w:bCs/>
          <w:lang w:eastAsia="en-GB"/>
        </w:rPr>
        <w:lastRenderedPageBreak/>
        <w:t>The President</w:t>
      </w:r>
      <w:r w:rsidRPr="00DD7078">
        <w:rPr>
          <w:b/>
          <w:bCs/>
          <w:lang w:eastAsia="en-GB"/>
        </w:rPr>
        <w:t xml:space="preserve"> </w:t>
      </w:r>
      <w:r w:rsidRPr="00DD7078">
        <w:rPr>
          <w:lang w:eastAsia="en-GB"/>
        </w:rPr>
        <w:t xml:space="preserve">asked that the Committee turn to agenda item </w:t>
      </w:r>
      <w:r w:rsidR="00371183">
        <w:rPr>
          <w:lang w:eastAsia="en-GB"/>
        </w:rPr>
        <w:t>1</w:t>
      </w:r>
      <w:r w:rsidR="00927BEC">
        <w:rPr>
          <w:lang w:eastAsia="en-GB"/>
        </w:rPr>
        <w:t>1</w:t>
      </w:r>
      <w:r w:rsidRPr="00DD7078">
        <w:rPr>
          <w:lang w:eastAsia="en-GB"/>
        </w:rPr>
        <w:t xml:space="preserve"> – </w:t>
      </w:r>
      <w:r w:rsidRPr="00A67235" w:rsidR="00973AF4">
        <w:t>adoption of an opinion on the</w:t>
      </w:r>
    </w:p>
    <w:p w:rsidR="004C419D" w:rsidP="004C419D" w:rsidRDefault="004C419D" w14:paraId="6DE5E7FC" w14:textId="5E75ED29">
      <w:pPr>
        <w:spacing w:line="240" w:lineRule="auto"/>
        <w:rPr>
          <w:lang w:eastAsia="en-GB"/>
        </w:rPr>
      </w:pPr>
    </w:p>
    <w:p w:rsidRPr="00D81CAF" w:rsidR="00D81CAF" w:rsidP="00D81CAF" w:rsidRDefault="004C483D" w14:paraId="4ED6B6A7" w14:textId="6214E87F">
      <w:pPr>
        <w:ind w:left="1430"/>
        <w:rPr>
          <w:i/>
          <w:iCs/>
        </w:rPr>
      </w:pPr>
      <w:r w:rsidRPr="004C483D">
        <w:rPr>
          <w:i/>
          <w:iCs/>
        </w:rPr>
        <w:t>Energy connectivity, electricity grids</w:t>
      </w:r>
    </w:p>
    <w:p w:rsidRPr="00D81CAF" w:rsidR="004C419D" w:rsidP="00D81CAF" w:rsidRDefault="00D81CAF" w14:paraId="6D1833C1" w14:textId="22B3E95C">
      <w:pPr>
        <w:ind w:left="1430"/>
      </w:pPr>
      <w:r w:rsidRPr="004C483D">
        <w:t>(</w:t>
      </w:r>
      <w:r w:rsidRPr="004C483D" w:rsidR="004C483D">
        <w:t>exploratory opinion requested by the Cyprus Presidency of the Council of the EU</w:t>
      </w:r>
      <w:r w:rsidRPr="004C483D">
        <w:t>)</w:t>
      </w:r>
    </w:p>
    <w:p w:rsidRPr="00DD7078" w:rsidR="004C419D" w:rsidP="004C419D" w:rsidRDefault="004C419D" w14:paraId="52DD9F8B" w14:textId="77777777">
      <w:pPr>
        <w:spacing w:line="240" w:lineRule="auto"/>
        <w:rPr>
          <w:lang w:eastAsia="en-GB"/>
        </w:rPr>
      </w:pPr>
      <w:r w:rsidRPr="00DD7078">
        <w:rPr>
          <w:lang w:eastAsia="en-GB"/>
        </w:rPr>
        <w:t> </w:t>
      </w:r>
    </w:p>
    <w:p w:rsidRPr="007A283C" w:rsidR="007A283C" w:rsidP="007A283C" w:rsidRDefault="004C419D" w14:paraId="01311840" w14:textId="170E56B6">
      <w:pPr>
        <w:spacing w:line="240" w:lineRule="auto"/>
        <w:rPr>
          <w:lang w:eastAsia="en-GB"/>
        </w:rPr>
      </w:pPr>
      <w:r w:rsidRPr="00DD7078">
        <w:rPr>
          <w:lang w:eastAsia="en-GB"/>
        </w:rPr>
        <w:t>The preliminary work had been carried out by the Section for Transport, Energy, Infrastructure and the Information Society (</w:t>
      </w:r>
      <w:r w:rsidR="00973AF4">
        <w:rPr>
          <w:lang w:eastAsia="en-GB"/>
        </w:rPr>
        <w:t>p</w:t>
      </w:r>
      <w:r w:rsidRPr="00DD7078">
        <w:rPr>
          <w:lang w:eastAsia="en-GB"/>
        </w:rPr>
        <w:t>resident</w:t>
      </w:r>
      <w:r w:rsidR="00973AF4">
        <w:rPr>
          <w:lang w:eastAsia="en-GB"/>
        </w:rPr>
        <w:t>:</w:t>
      </w:r>
      <w:r w:rsidRPr="00DD7078">
        <w:rPr>
          <w:lang w:eastAsia="en-GB"/>
        </w:rPr>
        <w:t xml:space="preserve"> </w:t>
      </w:r>
      <w:r w:rsidR="007C39E4">
        <w:rPr>
          <w:b/>
          <w:bCs/>
        </w:rPr>
        <w:t>Marcin NOWACKI</w:t>
      </w:r>
      <w:r w:rsidRPr="00DD7078">
        <w:rPr>
          <w:lang w:eastAsia="en-GB"/>
        </w:rPr>
        <w:t xml:space="preserve">). </w:t>
      </w:r>
      <w:r w:rsidRPr="000149F1" w:rsidR="000149F1">
        <w:rPr>
          <w:lang w:eastAsia="en-GB"/>
        </w:rPr>
        <w:t>The rapporteur was</w:t>
      </w:r>
      <w:r w:rsidRPr="000149F1" w:rsidR="000149F1">
        <w:rPr>
          <w:b/>
          <w:bCs/>
          <w:lang w:eastAsia="en-GB"/>
        </w:rPr>
        <w:t xml:space="preserve"> </w:t>
      </w:r>
      <w:r w:rsidRPr="004C483D" w:rsidR="004C483D">
        <w:rPr>
          <w:b/>
          <w:bCs/>
          <w:lang w:eastAsia="en-GB"/>
        </w:rPr>
        <w:t xml:space="preserve">Christophe BÉGUINET </w:t>
      </w:r>
      <w:r w:rsidRPr="000149F1" w:rsidR="000149F1">
        <w:rPr>
          <w:lang w:eastAsia="en-GB"/>
        </w:rPr>
        <w:t xml:space="preserve">(Group II, </w:t>
      </w:r>
      <w:r w:rsidR="00927BEC">
        <w:rPr>
          <w:lang w:eastAsia="en-GB"/>
        </w:rPr>
        <w:t>FR</w:t>
      </w:r>
      <w:r w:rsidRPr="000149F1" w:rsidR="000149F1">
        <w:rPr>
          <w:lang w:eastAsia="en-GB"/>
        </w:rPr>
        <w:t xml:space="preserve">). </w:t>
      </w:r>
      <w:r w:rsidRPr="007A283C" w:rsidR="007A283C">
        <w:rPr>
          <w:lang w:eastAsia="en-GB"/>
        </w:rPr>
        <w:t xml:space="preserve">The section adopted its opinion on </w:t>
      </w:r>
      <w:r w:rsidR="004C483D">
        <w:rPr>
          <w:lang w:eastAsia="en-GB"/>
        </w:rPr>
        <w:t>03</w:t>
      </w:r>
      <w:r w:rsidRPr="007A283C" w:rsidR="007A283C">
        <w:rPr>
          <w:lang w:eastAsia="en-GB"/>
        </w:rPr>
        <w:t xml:space="preserve"> </w:t>
      </w:r>
      <w:r w:rsidR="004C483D">
        <w:rPr>
          <w:lang w:eastAsia="en-GB"/>
        </w:rPr>
        <w:t>February</w:t>
      </w:r>
      <w:r w:rsidRPr="007A283C" w:rsidR="007A283C">
        <w:rPr>
          <w:lang w:eastAsia="en-GB"/>
        </w:rPr>
        <w:t xml:space="preserve"> 202</w:t>
      </w:r>
      <w:r w:rsidR="004C483D">
        <w:rPr>
          <w:lang w:eastAsia="en-GB"/>
        </w:rPr>
        <w:t>6</w:t>
      </w:r>
      <w:r w:rsidRPr="007A283C" w:rsidR="007A283C">
        <w:rPr>
          <w:lang w:val="en-US" w:eastAsia="en-GB"/>
        </w:rPr>
        <w:t xml:space="preserve"> by </w:t>
      </w:r>
      <w:r w:rsidR="004C483D">
        <w:rPr>
          <w:lang w:val="en-US" w:eastAsia="en-GB"/>
        </w:rPr>
        <w:t>81</w:t>
      </w:r>
      <w:r w:rsidRPr="007A283C" w:rsidR="007A283C">
        <w:rPr>
          <w:lang w:val="en-US" w:eastAsia="en-GB"/>
        </w:rPr>
        <w:t xml:space="preserve"> votes and </w:t>
      </w:r>
      <w:r w:rsidR="004C483D">
        <w:rPr>
          <w:lang w:val="en-US" w:eastAsia="en-GB"/>
        </w:rPr>
        <w:t>1</w:t>
      </w:r>
      <w:r w:rsidRPr="007A283C" w:rsidR="007A283C">
        <w:rPr>
          <w:lang w:val="en-US" w:eastAsia="en-GB"/>
        </w:rPr>
        <w:t xml:space="preserve"> abstention.</w:t>
      </w:r>
    </w:p>
    <w:p w:rsidR="000149F1" w:rsidP="00696B64" w:rsidRDefault="000149F1" w14:paraId="5A8A993A" w14:textId="3E5E1CC7">
      <w:pPr>
        <w:spacing w:line="240" w:lineRule="auto"/>
        <w:rPr>
          <w:lang w:val="en-US" w:eastAsia="en-GB"/>
        </w:rPr>
      </w:pPr>
    </w:p>
    <w:p w:rsidR="00EE0720" w:rsidP="00CE5A4E" w:rsidRDefault="000149F1" w14:paraId="795FDEA2" w14:textId="57DE3E60">
      <w:pPr>
        <w:spacing w:line="240" w:lineRule="auto"/>
        <w:rPr>
          <w:lang w:eastAsia="en-GB"/>
        </w:rPr>
      </w:pPr>
      <w:r w:rsidRPr="000149F1">
        <w:rPr>
          <w:b/>
          <w:lang w:eastAsia="en-GB"/>
        </w:rPr>
        <w:t xml:space="preserve">Mr BOLAND </w:t>
      </w:r>
      <w:r w:rsidRPr="000149F1">
        <w:rPr>
          <w:lang w:eastAsia="en-GB"/>
        </w:rPr>
        <w:t xml:space="preserve">gives the floor to the rapporteur </w:t>
      </w:r>
      <w:r w:rsidRPr="00CE5A4E" w:rsidR="00CE5A4E">
        <w:rPr>
          <w:b/>
          <w:bCs/>
          <w:lang w:eastAsia="en-GB"/>
        </w:rPr>
        <w:t xml:space="preserve">Christophe BÉGUINET </w:t>
      </w:r>
      <w:r w:rsidRPr="000149F1">
        <w:rPr>
          <w:lang w:eastAsia="en-GB"/>
        </w:rPr>
        <w:t xml:space="preserve">who introduces the opinion. </w:t>
      </w:r>
      <w:bookmarkStart w:name="_Hlk215654401" w:id="1"/>
      <w:r w:rsidRPr="005000E5" w:rsidR="005000E5">
        <w:rPr>
          <w:lang w:eastAsia="en-GB"/>
        </w:rPr>
        <w:t>Mr Beguinet stresses that strengthening energy connectivity and electricity grids requires three key elements. First, he highlights the need for a clear forward‑looking vision, enabling comprehensive energy system management to anticipate future developments and to support timely investment and effective system operation. Second, he underlines the importance of a genuinely systemic approach, encompassing infrastructure across production, transport and distribution. Such an integrated perspective provides a much clearer understanding of how the system is evolving, whereas current arrangements remain insufficiently effective. Finally, he emphasises that affordability and access to energy are crucial issues: all citizens must be able to access decarbonised, affordable and high‑quality energy if the energy transition is to be both fair and sustainable.</w:t>
      </w:r>
    </w:p>
    <w:p w:rsidR="0089509C" w:rsidP="00CE5A4E" w:rsidRDefault="0089509C" w14:paraId="6E869491" w14:textId="15BC7067">
      <w:pPr>
        <w:spacing w:line="240" w:lineRule="auto"/>
        <w:rPr>
          <w:lang w:eastAsia="en-GB"/>
        </w:rPr>
      </w:pPr>
    </w:p>
    <w:p w:rsidR="0089509C" w:rsidP="00CE5A4E" w:rsidRDefault="0089509C" w14:paraId="7930CE2C" w14:textId="6FA73A32">
      <w:pPr>
        <w:spacing w:line="240" w:lineRule="auto"/>
      </w:pPr>
      <w:r w:rsidRPr="0089509C">
        <w:rPr>
          <w:b/>
          <w:bCs/>
        </w:rPr>
        <w:t>Mr. Boland</w:t>
      </w:r>
      <w:r>
        <w:t xml:space="preserve"> </w:t>
      </w:r>
      <w:r w:rsidRPr="008E40B6">
        <w:t>then opens the debate.</w:t>
      </w:r>
      <w:r>
        <w:t xml:space="preserve"> Ms. Sanz </w:t>
      </w:r>
      <w:r w:rsidRPr="0089509C">
        <w:t>Martín</w:t>
      </w:r>
      <w:r>
        <w:t xml:space="preserve"> (ES-I), Mr. </w:t>
      </w:r>
      <w:r w:rsidR="00536E35">
        <w:t>Arvidsson</w:t>
      </w:r>
      <w:r>
        <w:t xml:space="preserve"> (SE-I), Mr. Kattnig (AT-II), Mr. Ulgiati (IT-NA), Mr. </w:t>
      </w:r>
      <w:r w:rsidRPr="0089509C">
        <w:t>Tracevičius</w:t>
      </w:r>
      <w:r>
        <w:t xml:space="preserve"> (LT-III) and Mr. Hidesten (SE-I) </w:t>
      </w:r>
      <w:r w:rsidRPr="008E40B6">
        <w:t>speak on the following issues</w:t>
      </w:r>
      <w:r>
        <w:t>:</w:t>
      </w:r>
    </w:p>
    <w:p w:rsidR="00334CF5" w:rsidP="00CE5A4E" w:rsidRDefault="00334CF5" w14:paraId="45D0504C" w14:textId="77777777">
      <w:pPr>
        <w:spacing w:line="240" w:lineRule="auto"/>
      </w:pPr>
    </w:p>
    <w:p w:rsidR="00334CF5" w:rsidP="00334CF5" w:rsidRDefault="00334CF5" w14:paraId="16A089ED" w14:textId="135A55C1">
      <w:pPr>
        <w:pStyle w:val="ListParagraph"/>
        <w:numPr>
          <w:ilvl w:val="0"/>
          <w:numId w:val="8"/>
        </w:numPr>
        <w:spacing w:after="120" w:line="240" w:lineRule="auto"/>
        <w:ind w:left="714" w:hanging="357"/>
        <w:contextualSpacing w:val="0"/>
        <w:rPr>
          <w:lang w:eastAsia="en-GB"/>
        </w:rPr>
      </w:pPr>
      <w:r>
        <w:rPr>
          <w:lang w:eastAsia="en-GB"/>
        </w:rPr>
        <w:t>the role of energy interconnections as the foundation of affordable, secure and sustainable energy, including the need to maximise the use of existing networks, enhance demand‑side flexibility and strengthen electricity grids;</w:t>
      </w:r>
    </w:p>
    <w:p w:rsidR="00334CF5" w:rsidP="00334CF5" w:rsidRDefault="00334CF5" w14:paraId="2176D2FC" w14:textId="4D2465E7">
      <w:pPr>
        <w:pStyle w:val="ListParagraph"/>
        <w:numPr>
          <w:ilvl w:val="0"/>
          <w:numId w:val="8"/>
        </w:numPr>
        <w:spacing w:after="120" w:line="240" w:lineRule="auto"/>
        <w:ind w:left="714" w:hanging="357"/>
        <w:contextualSpacing w:val="0"/>
        <w:rPr>
          <w:lang w:eastAsia="en-GB"/>
        </w:rPr>
      </w:pPr>
      <w:r>
        <w:rPr>
          <w:lang w:eastAsia="en-GB"/>
        </w:rPr>
        <w:t>the importance of careful planning and implementation of interconnections in order to avoid negative impacts on competitiveness, particularly in regions currently benefiting from lower energy prices;</w:t>
      </w:r>
    </w:p>
    <w:p w:rsidR="00334CF5" w:rsidP="00334CF5" w:rsidRDefault="00334CF5" w14:paraId="5B1299FC" w14:textId="0286CC80">
      <w:pPr>
        <w:pStyle w:val="ListParagraph"/>
        <w:numPr>
          <w:ilvl w:val="0"/>
          <w:numId w:val="8"/>
        </w:numPr>
        <w:spacing w:after="120" w:line="240" w:lineRule="auto"/>
        <w:ind w:left="714" w:hanging="357"/>
        <w:contextualSpacing w:val="0"/>
        <w:rPr>
          <w:lang w:eastAsia="en-GB"/>
        </w:rPr>
      </w:pPr>
      <w:r>
        <w:rPr>
          <w:lang w:eastAsia="en-GB"/>
        </w:rPr>
        <w:t>the need for long‑term planning and coherent strategies, supported by the EU budget, including a strategic vision for an EU‑wide interconnection system and adequate baseload capacity;</w:t>
      </w:r>
    </w:p>
    <w:p w:rsidR="00334CF5" w:rsidP="00334CF5" w:rsidRDefault="00334CF5" w14:paraId="11ABDD83" w14:textId="03290C6D">
      <w:pPr>
        <w:pStyle w:val="ListParagraph"/>
        <w:numPr>
          <w:ilvl w:val="0"/>
          <w:numId w:val="8"/>
        </w:numPr>
        <w:spacing w:after="120" w:line="240" w:lineRule="auto"/>
        <w:ind w:left="714" w:hanging="357"/>
        <w:contextualSpacing w:val="0"/>
        <w:rPr>
          <w:lang w:eastAsia="en-GB"/>
        </w:rPr>
      </w:pPr>
      <w:r>
        <w:rPr>
          <w:lang w:eastAsia="en-GB"/>
        </w:rPr>
        <w:t>the promotion of energy democracy, with a stronger role for prosumers;</w:t>
      </w:r>
    </w:p>
    <w:p w:rsidR="00334CF5" w:rsidP="00334CF5" w:rsidRDefault="00334CF5" w14:paraId="0BA531B6" w14:textId="207959E7">
      <w:pPr>
        <w:pStyle w:val="ListParagraph"/>
        <w:numPr>
          <w:ilvl w:val="0"/>
          <w:numId w:val="8"/>
        </w:numPr>
        <w:spacing w:after="120" w:line="240" w:lineRule="auto"/>
        <w:ind w:left="714" w:hanging="357"/>
        <w:contextualSpacing w:val="0"/>
        <w:rPr>
          <w:lang w:eastAsia="en-GB"/>
        </w:rPr>
      </w:pPr>
      <w:r>
        <w:rPr>
          <w:lang w:eastAsia="en-GB"/>
        </w:rPr>
        <w:t>the importance of taking public opinion into account when developing major energy infrastructure projects and long‑term energy strategies;</w:t>
      </w:r>
    </w:p>
    <w:p w:rsidR="0089509C" w:rsidP="00334CF5" w:rsidRDefault="00334CF5" w14:paraId="7C16F38B" w14:textId="5B70DB92">
      <w:pPr>
        <w:pStyle w:val="ListParagraph"/>
        <w:numPr>
          <w:ilvl w:val="0"/>
          <w:numId w:val="8"/>
        </w:numPr>
        <w:spacing w:after="120" w:line="240" w:lineRule="auto"/>
        <w:ind w:left="714" w:hanging="357"/>
        <w:contextualSpacing w:val="0"/>
        <w:rPr>
          <w:lang w:eastAsia="en-GB"/>
        </w:rPr>
      </w:pPr>
      <w:r>
        <w:rPr>
          <w:lang w:eastAsia="en-GB"/>
        </w:rPr>
        <w:t>concerns regarding proposals to transfer additional decision‑making powers from Member States to Brussels, which could affect national choices on energy mix and undermine competitiveness where cost‑effective investments have already been made.</w:t>
      </w:r>
    </w:p>
    <w:p w:rsidR="00CE5A4E" w:rsidP="00CE5A4E" w:rsidRDefault="00CE5A4E" w14:paraId="5B952610" w14:textId="77777777">
      <w:pPr>
        <w:spacing w:line="240" w:lineRule="auto"/>
        <w:rPr>
          <w:lang w:eastAsia="en-GB"/>
        </w:rPr>
      </w:pPr>
    </w:p>
    <w:p w:rsidR="00CE5A4E" w:rsidP="00CE5A4E" w:rsidRDefault="00CE5A4E" w14:paraId="4EF7426A" w14:textId="77777777">
      <w:pPr>
        <w:spacing w:line="240" w:lineRule="auto"/>
        <w:rPr>
          <w:lang w:eastAsia="en-GB"/>
        </w:rPr>
      </w:pPr>
    </w:p>
    <w:bookmarkEnd w:id="1"/>
    <w:p w:rsidRPr="000264FF" w:rsidR="000264FF" w:rsidP="000264FF" w:rsidRDefault="000264FF" w14:paraId="3F4A604A" w14:textId="1B233FF7">
      <w:pPr>
        <w:rPr>
          <w:b/>
          <w:bCs/>
        </w:rPr>
      </w:pPr>
      <w:r w:rsidRPr="00386905">
        <w:rPr>
          <w:lang w:eastAsia="en-GB"/>
        </w:rPr>
        <w:t xml:space="preserve">The opinion is adopted by </w:t>
      </w:r>
      <w:r w:rsidRPr="00386905" w:rsidR="00386905">
        <w:rPr>
          <w:lang w:eastAsia="en-GB"/>
        </w:rPr>
        <w:t>235</w:t>
      </w:r>
      <w:r w:rsidRPr="00386905">
        <w:rPr>
          <w:lang w:eastAsia="en-GB"/>
        </w:rPr>
        <w:t xml:space="preserve"> votes for, </w:t>
      </w:r>
      <w:r w:rsidRPr="00386905" w:rsidR="00386905">
        <w:rPr>
          <w:lang w:eastAsia="en-GB"/>
        </w:rPr>
        <w:t>4</w:t>
      </w:r>
      <w:r w:rsidRPr="00386905">
        <w:rPr>
          <w:lang w:eastAsia="en-GB"/>
        </w:rPr>
        <w:t xml:space="preserve"> against and </w:t>
      </w:r>
      <w:r w:rsidRPr="00386905" w:rsidR="00386905">
        <w:rPr>
          <w:lang w:eastAsia="en-GB"/>
        </w:rPr>
        <w:t>4</w:t>
      </w:r>
      <w:r w:rsidRPr="00386905">
        <w:rPr>
          <w:lang w:eastAsia="en-GB"/>
        </w:rPr>
        <w:t xml:space="preserve"> abstentions.</w:t>
      </w:r>
      <w:r w:rsidRPr="000264FF">
        <w:rPr>
          <w:b/>
          <w:bCs/>
        </w:rPr>
        <w:t xml:space="preserve"> </w:t>
      </w:r>
    </w:p>
    <w:p w:rsidRPr="000264FF" w:rsidR="000264FF" w:rsidP="000264FF" w:rsidRDefault="000264FF" w14:paraId="23EFFB01" w14:textId="7D664F79">
      <w:pPr>
        <w:rPr>
          <w:b/>
          <w:bCs/>
        </w:rPr>
      </w:pPr>
    </w:p>
    <w:p w:rsidRPr="00A67235" w:rsidR="000E4B6B" w:rsidP="00EE0720" w:rsidRDefault="000E4B6B" w14:paraId="0B23E20E" w14:textId="77777777">
      <w:pPr>
        <w:jc w:val="center"/>
      </w:pPr>
      <w:r w:rsidRPr="00A67235">
        <w:t>_____________</w:t>
      </w:r>
    </w:p>
    <w:sectPr w:rsidRPr="00A67235" w:rsidR="000E4B6B" w:rsidSect="00EC0F0F">
      <w:footerReference w:type="default" r:id="rId13"/>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6B36F" w14:textId="77777777" w:rsidR="005D1971" w:rsidRDefault="005D1971">
      <w:r>
        <w:separator/>
      </w:r>
    </w:p>
  </w:endnote>
  <w:endnote w:type="continuationSeparator" w:id="0">
    <w:p w14:paraId="44AB5791" w14:textId="77777777" w:rsidR="005D1971" w:rsidRDefault="005D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3FBD6248" w:rsidR="00964A13" w:rsidRPr="00964A13" w:rsidRDefault="00964A13" w:rsidP="00964A13">
    <w:pPr>
      <w:pStyle w:val="Footer"/>
    </w:pPr>
    <w:r>
      <w:t>EESC-</w:t>
    </w:r>
    <w:r w:rsidR="00091A65">
      <w:t>202</w:t>
    </w:r>
    <w:r w:rsidR="002D0114">
      <w:t>5</w:t>
    </w:r>
    <w:r>
      <w:t>-</w:t>
    </w:r>
    <w:r w:rsidR="00091A65">
      <w:t>0</w:t>
    </w:r>
    <w:r w:rsidR="004C483D">
      <w:t>3570</w:t>
    </w:r>
    <w:r>
      <w:t>-</w:t>
    </w:r>
    <w:r w:rsidR="00091A65">
      <w:t>00</w:t>
    </w:r>
    <w:r>
      <w:t>-</w:t>
    </w:r>
    <w:r w:rsidR="00091A65">
      <w:t>00</w:t>
    </w:r>
    <w:r>
      <w:t>-CR-REF (</w:t>
    </w:r>
    <w:r w:rsidR="00091A65">
      <w:t>EN</w:t>
    </w:r>
    <w:r>
      <w:t xml:space="preserve">) </w:t>
    </w:r>
    <w:r>
      <w:fldChar w:fldCharType="begin"/>
    </w:r>
    <w:r>
      <w:instrText xml:space="preserve"> PAGE  \* Arabic  \* MERGEFORMAT </w:instrText>
    </w:r>
    <w:r>
      <w:fldChar w:fldCharType="separate"/>
    </w:r>
    <w:r w:rsidR="00433D3C">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433D3C">
      <w:rPr>
        <w:noProof/>
      </w:rPr>
      <w:instrText>1</w:instrText>
    </w:r>
    <w:r>
      <w:fldChar w:fldCharType="end"/>
    </w:r>
    <w:r>
      <w:instrText xml:space="preserve"> -0 </w:instrText>
    </w:r>
    <w:r>
      <w:fldChar w:fldCharType="separate"/>
    </w:r>
    <w:r w:rsidR="00433D3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D9362" w14:textId="77777777" w:rsidR="005D1971" w:rsidRDefault="005D1971">
      <w:r>
        <w:separator/>
      </w:r>
    </w:p>
  </w:footnote>
  <w:footnote w:type="continuationSeparator" w:id="0">
    <w:p w14:paraId="3F9AB3A0" w14:textId="77777777" w:rsidR="005D1971" w:rsidRDefault="005D1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6E2F93"/>
    <w:multiLevelType w:val="hybridMultilevel"/>
    <w:tmpl w:val="8C5E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21ED0"/>
    <w:multiLevelType w:val="hybridMultilevel"/>
    <w:tmpl w:val="B36234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2E34619"/>
    <w:multiLevelType w:val="hybridMultilevel"/>
    <w:tmpl w:val="DE0611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36F2B5C"/>
    <w:multiLevelType w:val="hybridMultilevel"/>
    <w:tmpl w:val="537AE550"/>
    <w:lvl w:ilvl="0" w:tplc="F0324F84">
      <w:start w:val="1"/>
      <w:numFmt w:val="bullet"/>
      <w:lvlText w:val=""/>
      <w:lvlJc w:val="left"/>
      <w:pPr>
        <w:ind w:left="1080" w:hanging="360"/>
      </w:pPr>
      <w:rPr>
        <w:rFonts w:ascii="Symbol" w:eastAsia="Symbol" w:hAnsi="Symbol" w:cs="Symbol"/>
      </w:rPr>
    </w:lvl>
    <w:lvl w:ilvl="1" w:tplc="E78C9C58">
      <w:start w:val="1"/>
      <w:numFmt w:val="bullet"/>
      <w:lvlText w:val="o"/>
      <w:lvlJc w:val="left"/>
      <w:pPr>
        <w:ind w:left="1800" w:hanging="360"/>
      </w:pPr>
      <w:rPr>
        <w:rFonts w:ascii="Courier New" w:eastAsia="Courier New" w:hAnsi="Courier New" w:cs="Courier New"/>
      </w:rPr>
    </w:lvl>
    <w:lvl w:ilvl="2" w:tplc="6ADC0CCE">
      <w:start w:val="1"/>
      <w:numFmt w:val="bullet"/>
      <w:lvlText w:val=""/>
      <w:lvlJc w:val="left"/>
      <w:pPr>
        <w:ind w:left="2520" w:hanging="360"/>
      </w:pPr>
      <w:rPr>
        <w:rFonts w:ascii="Wingdings" w:eastAsia="Wingdings" w:hAnsi="Wingdings" w:cs="Wingdings"/>
      </w:rPr>
    </w:lvl>
    <w:lvl w:ilvl="3" w:tplc="9E1C321A">
      <w:start w:val="1"/>
      <w:numFmt w:val="bullet"/>
      <w:lvlText w:val=""/>
      <w:lvlJc w:val="left"/>
      <w:pPr>
        <w:ind w:left="3240" w:hanging="360"/>
      </w:pPr>
      <w:rPr>
        <w:rFonts w:ascii="Symbol" w:eastAsia="Symbol" w:hAnsi="Symbol" w:cs="Symbol"/>
      </w:rPr>
    </w:lvl>
    <w:lvl w:ilvl="4" w:tplc="652CA612">
      <w:start w:val="1"/>
      <w:numFmt w:val="bullet"/>
      <w:lvlText w:val="o"/>
      <w:lvlJc w:val="left"/>
      <w:pPr>
        <w:ind w:left="3960" w:hanging="360"/>
      </w:pPr>
      <w:rPr>
        <w:rFonts w:ascii="Courier New" w:eastAsia="Courier New" w:hAnsi="Courier New" w:cs="Courier New"/>
      </w:rPr>
    </w:lvl>
    <w:lvl w:ilvl="5" w:tplc="A28ED1F0">
      <w:start w:val="1"/>
      <w:numFmt w:val="bullet"/>
      <w:lvlText w:val=""/>
      <w:lvlJc w:val="left"/>
      <w:pPr>
        <w:ind w:left="4680" w:hanging="360"/>
      </w:pPr>
      <w:rPr>
        <w:rFonts w:ascii="Wingdings" w:eastAsia="Wingdings" w:hAnsi="Wingdings" w:cs="Wingdings"/>
      </w:rPr>
    </w:lvl>
    <w:lvl w:ilvl="6" w:tplc="625CBF40">
      <w:start w:val="1"/>
      <w:numFmt w:val="bullet"/>
      <w:lvlText w:val=""/>
      <w:lvlJc w:val="left"/>
      <w:pPr>
        <w:ind w:left="5400" w:hanging="360"/>
      </w:pPr>
      <w:rPr>
        <w:rFonts w:ascii="Symbol" w:eastAsia="Symbol" w:hAnsi="Symbol" w:cs="Symbol"/>
      </w:rPr>
    </w:lvl>
    <w:lvl w:ilvl="7" w:tplc="A0264C4C">
      <w:start w:val="1"/>
      <w:numFmt w:val="bullet"/>
      <w:lvlText w:val="o"/>
      <w:lvlJc w:val="left"/>
      <w:pPr>
        <w:ind w:left="6120" w:hanging="360"/>
      </w:pPr>
      <w:rPr>
        <w:rFonts w:ascii="Courier New" w:eastAsia="Courier New" w:hAnsi="Courier New" w:cs="Courier New"/>
      </w:rPr>
    </w:lvl>
    <w:lvl w:ilvl="8" w:tplc="757CA774">
      <w:start w:val="1"/>
      <w:numFmt w:val="bullet"/>
      <w:lvlText w:val=""/>
      <w:lvlJc w:val="left"/>
      <w:pPr>
        <w:ind w:left="6840" w:hanging="360"/>
      </w:pPr>
      <w:rPr>
        <w:rFonts w:ascii="Wingdings" w:eastAsia="Wingdings" w:hAnsi="Wingdings" w:cs="Wingdings"/>
      </w:rPr>
    </w:lvl>
  </w:abstractNum>
  <w:abstractNum w:abstractNumId="7" w15:restartNumberingAfterBreak="0">
    <w:nsid w:val="73A1460B"/>
    <w:multiLevelType w:val="multilevel"/>
    <w:tmpl w:val="B65E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7"/>
  </w:num>
  <w:num w:numId="5">
    <w:abstractNumId w:val="2"/>
  </w:num>
  <w:num w:numId="6">
    <w:abstractNumId w:val="5"/>
  </w:num>
  <w:num w:numId="7">
    <w:abstractNumId w:val="6"/>
    <w:lvlOverride w:ilvl="0">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64C0"/>
    <w:rsid w:val="000149F1"/>
    <w:rsid w:val="00024523"/>
    <w:rsid w:val="000264FF"/>
    <w:rsid w:val="00036097"/>
    <w:rsid w:val="0007154D"/>
    <w:rsid w:val="00091A65"/>
    <w:rsid w:val="000A2801"/>
    <w:rsid w:val="000B3441"/>
    <w:rsid w:val="000D60B2"/>
    <w:rsid w:val="000D6AA3"/>
    <w:rsid w:val="000E4B6B"/>
    <w:rsid w:val="000F03D6"/>
    <w:rsid w:val="000F1421"/>
    <w:rsid w:val="00143A71"/>
    <w:rsid w:val="0015330A"/>
    <w:rsid w:val="00155DE3"/>
    <w:rsid w:val="00165632"/>
    <w:rsid w:val="001766AB"/>
    <w:rsid w:val="00177DAC"/>
    <w:rsid w:val="00181F23"/>
    <w:rsid w:val="001C7254"/>
    <w:rsid w:val="00214459"/>
    <w:rsid w:val="002346F9"/>
    <w:rsid w:val="002601CF"/>
    <w:rsid w:val="00273FDB"/>
    <w:rsid w:val="00281BB5"/>
    <w:rsid w:val="002925F3"/>
    <w:rsid w:val="00297327"/>
    <w:rsid w:val="00297572"/>
    <w:rsid w:val="002D0114"/>
    <w:rsid w:val="00320C0B"/>
    <w:rsid w:val="00334CF5"/>
    <w:rsid w:val="0034045E"/>
    <w:rsid w:val="003439B0"/>
    <w:rsid w:val="00367D0E"/>
    <w:rsid w:val="00371183"/>
    <w:rsid w:val="00386905"/>
    <w:rsid w:val="003876B5"/>
    <w:rsid w:val="00392924"/>
    <w:rsid w:val="003C15D7"/>
    <w:rsid w:val="003C2604"/>
    <w:rsid w:val="003E1619"/>
    <w:rsid w:val="00404A1C"/>
    <w:rsid w:val="00423299"/>
    <w:rsid w:val="00433D3C"/>
    <w:rsid w:val="00460CC5"/>
    <w:rsid w:val="00462783"/>
    <w:rsid w:val="00467952"/>
    <w:rsid w:val="004A0843"/>
    <w:rsid w:val="004B032A"/>
    <w:rsid w:val="004C419D"/>
    <w:rsid w:val="004C483D"/>
    <w:rsid w:val="004D1A05"/>
    <w:rsid w:val="004D7267"/>
    <w:rsid w:val="005000E5"/>
    <w:rsid w:val="00532338"/>
    <w:rsid w:val="00536E35"/>
    <w:rsid w:val="00554D54"/>
    <w:rsid w:val="00564B0D"/>
    <w:rsid w:val="00586668"/>
    <w:rsid w:val="00587738"/>
    <w:rsid w:val="00590C1E"/>
    <w:rsid w:val="005A53D8"/>
    <w:rsid w:val="005B5C3F"/>
    <w:rsid w:val="005D1971"/>
    <w:rsid w:val="005E0A1F"/>
    <w:rsid w:val="005E1A79"/>
    <w:rsid w:val="00603A33"/>
    <w:rsid w:val="0061725E"/>
    <w:rsid w:val="00617C9B"/>
    <w:rsid w:val="006219C1"/>
    <w:rsid w:val="0063140A"/>
    <w:rsid w:val="00646044"/>
    <w:rsid w:val="00646E27"/>
    <w:rsid w:val="006475AB"/>
    <w:rsid w:val="00696B64"/>
    <w:rsid w:val="006C18D1"/>
    <w:rsid w:val="00701D0C"/>
    <w:rsid w:val="00714B48"/>
    <w:rsid w:val="0073571F"/>
    <w:rsid w:val="00762010"/>
    <w:rsid w:val="007725FC"/>
    <w:rsid w:val="007A283C"/>
    <w:rsid w:val="007C39E4"/>
    <w:rsid w:val="007C6A55"/>
    <w:rsid w:val="007E41BE"/>
    <w:rsid w:val="00815851"/>
    <w:rsid w:val="00826375"/>
    <w:rsid w:val="00862EFF"/>
    <w:rsid w:val="0089509C"/>
    <w:rsid w:val="008A371F"/>
    <w:rsid w:val="008E0097"/>
    <w:rsid w:val="008F2211"/>
    <w:rsid w:val="00911202"/>
    <w:rsid w:val="00927BEC"/>
    <w:rsid w:val="009326E3"/>
    <w:rsid w:val="00945063"/>
    <w:rsid w:val="00961F04"/>
    <w:rsid w:val="00964A13"/>
    <w:rsid w:val="00973AF4"/>
    <w:rsid w:val="009B190A"/>
    <w:rsid w:val="009D6482"/>
    <w:rsid w:val="009E138D"/>
    <w:rsid w:val="00A013C4"/>
    <w:rsid w:val="00A02326"/>
    <w:rsid w:val="00A14D3A"/>
    <w:rsid w:val="00A53158"/>
    <w:rsid w:val="00A64D59"/>
    <w:rsid w:val="00A67235"/>
    <w:rsid w:val="00A716E7"/>
    <w:rsid w:val="00B07EAA"/>
    <w:rsid w:val="00B542D3"/>
    <w:rsid w:val="00B82B58"/>
    <w:rsid w:val="00BB7BC2"/>
    <w:rsid w:val="00BD0DC4"/>
    <w:rsid w:val="00BE7410"/>
    <w:rsid w:val="00C05B64"/>
    <w:rsid w:val="00C12EC9"/>
    <w:rsid w:val="00C4683E"/>
    <w:rsid w:val="00C46D1F"/>
    <w:rsid w:val="00C53F05"/>
    <w:rsid w:val="00C87758"/>
    <w:rsid w:val="00C95349"/>
    <w:rsid w:val="00CD7274"/>
    <w:rsid w:val="00CE5A4E"/>
    <w:rsid w:val="00CE6C0B"/>
    <w:rsid w:val="00D54F5F"/>
    <w:rsid w:val="00D806A2"/>
    <w:rsid w:val="00D81CAF"/>
    <w:rsid w:val="00DC34F1"/>
    <w:rsid w:val="00DD05A8"/>
    <w:rsid w:val="00E24886"/>
    <w:rsid w:val="00E55BBF"/>
    <w:rsid w:val="00E70261"/>
    <w:rsid w:val="00EA21B9"/>
    <w:rsid w:val="00EC0F0F"/>
    <w:rsid w:val="00ED6BB4"/>
    <w:rsid w:val="00EE0720"/>
    <w:rsid w:val="00F01EB5"/>
    <w:rsid w:val="00F40333"/>
    <w:rsid w:val="00F56533"/>
    <w:rsid w:val="00F64314"/>
    <w:rsid w:val="00F86A00"/>
    <w:rsid w:val="00FC56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19D"/>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uiPriority w:val="99"/>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ListParagraph">
    <w:name w:val="List Paragraph"/>
    <w:basedOn w:val="Normal"/>
    <w:uiPriority w:val="34"/>
    <w:qFormat/>
    <w:rsid w:val="000264FF"/>
    <w:pPr>
      <w:ind w:left="720"/>
      <w:contextualSpacing/>
    </w:pPr>
  </w:style>
  <w:style w:type="paragraph" w:styleId="Revision">
    <w:name w:val="Revision"/>
    <w:hidden/>
    <w:uiPriority w:val="99"/>
    <w:semiHidden/>
    <w:rsid w:val="00BB7BC2"/>
    <w:rPr>
      <w:sz w:val="22"/>
      <w:szCs w:val="22"/>
      <w:lang w:val="en-GB" w:eastAsia="en-US"/>
    </w:rPr>
  </w:style>
  <w:style w:type="table" w:styleId="TableGrid">
    <w:name w:val="Table Grid"/>
    <w:basedOn w:val="TableNormal"/>
    <w:rsid w:val="00EE0720"/>
    <w:pPr>
      <w:jc w:val="both"/>
    </w:pPr>
    <w:rPr>
      <w:sz w:val="22"/>
      <w:szCs w:val="22"/>
      <w:lang w:val="en-U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E0720"/>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6753">
      <w:bodyDiv w:val="1"/>
      <w:marLeft w:val="0"/>
      <w:marRight w:val="0"/>
      <w:marTop w:val="0"/>
      <w:marBottom w:val="0"/>
      <w:divBdr>
        <w:top w:val="none" w:sz="0" w:space="0" w:color="auto"/>
        <w:left w:val="none" w:sz="0" w:space="0" w:color="auto"/>
        <w:bottom w:val="none" w:sz="0" w:space="0" w:color="auto"/>
        <w:right w:val="none" w:sz="0" w:space="0" w:color="auto"/>
      </w:divBdr>
      <w:divsChild>
        <w:div w:id="1963608192">
          <w:marLeft w:val="0"/>
          <w:marRight w:val="0"/>
          <w:marTop w:val="0"/>
          <w:marBottom w:val="0"/>
          <w:divBdr>
            <w:top w:val="none" w:sz="0" w:space="0" w:color="auto"/>
            <w:left w:val="none" w:sz="0" w:space="0" w:color="auto"/>
            <w:bottom w:val="none" w:sz="0" w:space="0" w:color="auto"/>
            <w:right w:val="none" w:sz="0" w:space="0" w:color="auto"/>
          </w:divBdr>
        </w:div>
      </w:divsChild>
    </w:div>
    <w:div w:id="960067758">
      <w:bodyDiv w:val="1"/>
      <w:marLeft w:val="0"/>
      <w:marRight w:val="0"/>
      <w:marTop w:val="0"/>
      <w:marBottom w:val="0"/>
      <w:divBdr>
        <w:top w:val="none" w:sz="0" w:space="0" w:color="auto"/>
        <w:left w:val="none" w:sz="0" w:space="0" w:color="auto"/>
        <w:bottom w:val="none" w:sz="0" w:space="0" w:color="auto"/>
        <w:right w:val="none" w:sz="0" w:space="0" w:color="auto"/>
      </w:divBdr>
      <w:divsChild>
        <w:div w:id="557058240">
          <w:marLeft w:val="0"/>
          <w:marRight w:val="0"/>
          <w:marTop w:val="0"/>
          <w:marBottom w:val="0"/>
          <w:divBdr>
            <w:top w:val="none" w:sz="0" w:space="0" w:color="auto"/>
            <w:left w:val="none" w:sz="0" w:space="0" w:color="auto"/>
            <w:bottom w:val="none" w:sz="0" w:space="0" w:color="auto"/>
            <w:right w:val="none" w:sz="0" w:space="0" w:color="auto"/>
          </w:divBdr>
        </w:div>
      </w:divsChild>
    </w:div>
    <w:div w:id="1003553057">
      <w:bodyDiv w:val="1"/>
      <w:marLeft w:val="0"/>
      <w:marRight w:val="0"/>
      <w:marTop w:val="0"/>
      <w:marBottom w:val="0"/>
      <w:divBdr>
        <w:top w:val="none" w:sz="0" w:space="0" w:color="auto"/>
        <w:left w:val="none" w:sz="0" w:space="0" w:color="auto"/>
        <w:bottom w:val="none" w:sz="0" w:space="0" w:color="auto"/>
        <w:right w:val="none" w:sz="0" w:space="0" w:color="auto"/>
      </w:divBdr>
      <w:divsChild>
        <w:div w:id="1727489790">
          <w:marLeft w:val="0"/>
          <w:marRight w:val="0"/>
          <w:marTop w:val="0"/>
          <w:marBottom w:val="0"/>
          <w:divBdr>
            <w:top w:val="none" w:sz="0" w:space="0" w:color="auto"/>
            <w:left w:val="none" w:sz="0" w:space="0" w:color="auto"/>
            <w:bottom w:val="none" w:sz="0" w:space="0" w:color="auto"/>
            <w:right w:val="none" w:sz="0" w:space="0" w:color="auto"/>
          </w:divBdr>
        </w:div>
      </w:divsChild>
    </w:div>
    <w:div w:id="1027751106">
      <w:bodyDiv w:val="1"/>
      <w:marLeft w:val="0"/>
      <w:marRight w:val="0"/>
      <w:marTop w:val="0"/>
      <w:marBottom w:val="0"/>
      <w:divBdr>
        <w:top w:val="none" w:sz="0" w:space="0" w:color="auto"/>
        <w:left w:val="none" w:sz="0" w:space="0" w:color="auto"/>
        <w:bottom w:val="none" w:sz="0" w:space="0" w:color="auto"/>
        <w:right w:val="none" w:sz="0" w:space="0" w:color="auto"/>
      </w:divBdr>
      <w:divsChild>
        <w:div w:id="17437532">
          <w:marLeft w:val="0"/>
          <w:marRight w:val="0"/>
          <w:marTop w:val="0"/>
          <w:marBottom w:val="0"/>
          <w:divBdr>
            <w:top w:val="none" w:sz="0" w:space="0" w:color="auto"/>
            <w:left w:val="none" w:sz="0" w:space="0" w:color="auto"/>
            <w:bottom w:val="none" w:sz="0" w:space="0" w:color="auto"/>
            <w:right w:val="none" w:sz="0" w:space="0" w:color="auto"/>
          </w:divBdr>
        </w:div>
      </w:divsChild>
    </w:div>
    <w:div w:id="1384670092">
      <w:bodyDiv w:val="1"/>
      <w:marLeft w:val="0"/>
      <w:marRight w:val="0"/>
      <w:marTop w:val="0"/>
      <w:marBottom w:val="0"/>
      <w:divBdr>
        <w:top w:val="none" w:sz="0" w:space="0" w:color="auto"/>
        <w:left w:val="none" w:sz="0" w:space="0" w:color="auto"/>
        <w:bottom w:val="none" w:sz="0" w:space="0" w:color="auto"/>
        <w:right w:val="none" w:sz="0" w:space="0" w:color="auto"/>
      </w:divBdr>
      <w:divsChild>
        <w:div w:id="1656908162">
          <w:marLeft w:val="0"/>
          <w:marRight w:val="0"/>
          <w:marTop w:val="0"/>
          <w:marBottom w:val="0"/>
          <w:divBdr>
            <w:top w:val="none" w:sz="0" w:space="0" w:color="auto"/>
            <w:left w:val="none" w:sz="0" w:space="0" w:color="auto"/>
            <w:bottom w:val="none" w:sz="0" w:space="0" w:color="auto"/>
            <w:right w:val="none" w:sz="0" w:space="0" w:color="auto"/>
          </w:divBdr>
        </w:div>
      </w:divsChild>
    </w:div>
    <w:div w:id="1502357747">
      <w:bodyDiv w:val="1"/>
      <w:marLeft w:val="0"/>
      <w:marRight w:val="0"/>
      <w:marTop w:val="0"/>
      <w:marBottom w:val="0"/>
      <w:divBdr>
        <w:top w:val="none" w:sz="0" w:space="0" w:color="auto"/>
        <w:left w:val="none" w:sz="0" w:space="0" w:color="auto"/>
        <w:bottom w:val="none" w:sz="0" w:space="0" w:color="auto"/>
        <w:right w:val="none" w:sz="0" w:space="0" w:color="auto"/>
      </w:divBdr>
      <w:divsChild>
        <w:div w:id="1367566339">
          <w:marLeft w:val="0"/>
          <w:marRight w:val="0"/>
          <w:marTop w:val="0"/>
          <w:marBottom w:val="0"/>
          <w:divBdr>
            <w:top w:val="none" w:sz="0" w:space="0" w:color="auto"/>
            <w:left w:val="none" w:sz="0" w:space="0" w:color="auto"/>
            <w:bottom w:val="none" w:sz="0" w:space="0" w:color="auto"/>
            <w:right w:val="none" w:sz="0" w:space="0" w:color="auto"/>
          </w:divBdr>
        </w:div>
      </w:divsChild>
    </w:div>
    <w:div w:id="1550265546">
      <w:bodyDiv w:val="1"/>
      <w:marLeft w:val="0"/>
      <w:marRight w:val="0"/>
      <w:marTop w:val="0"/>
      <w:marBottom w:val="0"/>
      <w:divBdr>
        <w:top w:val="none" w:sz="0" w:space="0" w:color="auto"/>
        <w:left w:val="none" w:sz="0" w:space="0" w:color="auto"/>
        <w:bottom w:val="none" w:sz="0" w:space="0" w:color="auto"/>
        <w:right w:val="none" w:sz="0" w:space="0" w:color="auto"/>
      </w:divBdr>
      <w:divsChild>
        <w:div w:id="1487940156">
          <w:marLeft w:val="0"/>
          <w:marRight w:val="0"/>
          <w:marTop w:val="0"/>
          <w:marBottom w:val="0"/>
          <w:divBdr>
            <w:top w:val="none" w:sz="0" w:space="0" w:color="auto"/>
            <w:left w:val="none" w:sz="0" w:space="0" w:color="auto"/>
            <w:bottom w:val="none" w:sz="0" w:space="0" w:color="auto"/>
            <w:right w:val="none" w:sz="0" w:space="0" w:color="auto"/>
          </w:divBdr>
        </w:div>
      </w:divsChild>
    </w:div>
    <w:div w:id="1690065216">
      <w:bodyDiv w:val="1"/>
      <w:marLeft w:val="0"/>
      <w:marRight w:val="0"/>
      <w:marTop w:val="0"/>
      <w:marBottom w:val="0"/>
      <w:divBdr>
        <w:top w:val="none" w:sz="0" w:space="0" w:color="auto"/>
        <w:left w:val="none" w:sz="0" w:space="0" w:color="auto"/>
        <w:bottom w:val="none" w:sz="0" w:space="0" w:color="auto"/>
        <w:right w:val="none" w:sz="0" w:space="0" w:color="auto"/>
      </w:divBdr>
      <w:divsChild>
        <w:div w:id="851726047">
          <w:marLeft w:val="0"/>
          <w:marRight w:val="0"/>
          <w:marTop w:val="0"/>
          <w:marBottom w:val="0"/>
          <w:divBdr>
            <w:top w:val="none" w:sz="0" w:space="0" w:color="auto"/>
            <w:left w:val="none" w:sz="0" w:space="0" w:color="auto"/>
            <w:bottom w:val="none" w:sz="0" w:space="0" w:color="auto"/>
            <w:right w:val="none" w:sz="0" w:space="0" w:color="auto"/>
          </w:divBdr>
        </w:div>
      </w:divsChild>
    </w:div>
    <w:div w:id="2075161761">
      <w:bodyDiv w:val="1"/>
      <w:marLeft w:val="0"/>
      <w:marRight w:val="0"/>
      <w:marTop w:val="0"/>
      <w:marBottom w:val="0"/>
      <w:divBdr>
        <w:top w:val="none" w:sz="0" w:space="0" w:color="auto"/>
        <w:left w:val="none" w:sz="0" w:space="0" w:color="auto"/>
        <w:bottom w:val="none" w:sz="0" w:space="0" w:color="auto"/>
        <w:right w:val="none" w:sz="0" w:space="0" w:color="auto"/>
      </w:divBdr>
      <w:divsChild>
        <w:div w:id="421142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customXml" Target="../customXml/item2.xml"/><Relationship Id="rId16"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A6WAAD5KZT2Q-284857674-9036</_dlc_DocId>
    <_dlc_DocIdUrl xmlns="1a33af13-4045-4f88-9d7b-618e30f79918">
      <Url>http://dm/eesc/2025/_layouts/15/DocIdRedir.aspx?ID=A6WAAD5KZT2Q-284857674-9036</Url>
      <Description>A6WAAD5KZT2Q-284857674-9036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2026-02-20T12:00:00+00:00</ProductionDate>
    <FicheYear xmlns="1a33af13-4045-4f88-9d7b-618e30f79918">2025</FicheYear>
    <DocumentNumber xmlns="27994258-8564-426c-a7a1-d6286d62992e">3570</DocumentNumber>
    <DossierNumber xmlns="1a33af13-4045-4f88-9d7b-618e30f79918">865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83</Value>
      <Value>78</Value>
      <Value>8</Value>
      <Value>5</Value>
      <Value>3</Value>
      <Value>1</Value>
      <Value>15</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BÉGUINET</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1975</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2026-02-18T12:00:00+00:00</AdoptionDate>
    <RequestingService xmlns="1a33af13-4045-4f88-9d7b-618e30f79918">Transports, énergie, infrastructures et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07AF883F-BC06-450F-BCFE-AE4DC7255956}"/>
</file>

<file path=customXml/itemProps2.xml><?xml version="1.0" encoding="utf-8"?>
<ds:datastoreItem xmlns:ds="http://schemas.openxmlformats.org/officeDocument/2006/customXml" ds:itemID="{56A46E16-0CE2-4185-AF96-70A66AEEC501}"/>
</file>

<file path=customXml/itemProps3.xml><?xml version="1.0" encoding="utf-8"?>
<ds:datastoreItem xmlns:ds="http://schemas.openxmlformats.org/officeDocument/2006/customXml" ds:itemID="{E1A6ABC3-36F0-428B-A5C5-6700163640E4}"/>
</file>

<file path=customXml/itemProps4.xml><?xml version="1.0" encoding="utf-8"?>
<ds:datastoreItem xmlns:ds="http://schemas.openxmlformats.org/officeDocument/2006/customXml" ds:itemID="{4275632D-6EAD-46C2-9270-218BDA98244B}"/>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Ending Russian energy imports</vt:lpstr>
    </vt:vector>
  </TitlesOfParts>
  <Company>CESE-CdR</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connectivity, electricity grids</dc:title>
  <dc:subject>Record of proceedings</dc:subject>
  <dc:creator>Hilary Morris</dc:creator>
  <cp:keywords>EESC-2025-03570-00-00-CR-TRA-EN</cp:keywords>
  <dc:description>Rapporteur: - BÉGUINET Original language: - EN Date of document: - 20/02/2026 Date of meeting: -  External documents: -  Administrator responsible: -  BORDIGNON GIORGIA ANDREA</dc:description>
  <cp:lastModifiedBy>TDriveSVCUserProd</cp:lastModifiedBy>
  <cp:revision>5</cp:revision>
  <cp:lastPrinted>2004-02-16T15:16:00Z</cp:lastPrinted>
  <dcterms:created xsi:type="dcterms:W3CDTF">2026-02-19T14:26:00Z</dcterms:created>
  <dcterms:modified xsi:type="dcterms:W3CDTF">2026-02-20T06:58:00Z</dcterms:modified>
  <cp:category>TEN/865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2ad20622-f971-42c4-9885-fb3027f227f1</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TEN|5e12260d-3aca-41f8-baf2-ad3d18475f10</vt:lpwstr>
  </property>
  <property fmtid="{D5CDD505-2E9C-101B-9397-08002B2CF9AE}" pid="12" name="DocumentSource_0">
    <vt:lpwstr>EESC|422833ec-8d7e-4e65-8e4e-8bed07ffb729</vt:lpwstr>
  </property>
  <property fmtid="{D5CDD505-2E9C-101B-9397-08002B2CF9AE}" pid="13" name="DocumentNumber">
    <vt:i4>3570</vt:i4>
  </property>
  <property fmtid="{D5CDD505-2E9C-101B-9397-08002B2CF9AE}" pid="14" name="FicheYear">
    <vt:i4>2025</vt:i4>
  </property>
  <property fmtid="{D5CDD505-2E9C-101B-9397-08002B2CF9AE}" pid="15" name="DocumentVersion">
    <vt:i4>0</vt:i4>
  </property>
  <property fmtid="{D5CDD505-2E9C-101B-9397-08002B2CF9AE}" pid="16" name="DossierNumber">
    <vt:i4>865</vt:i4>
  </property>
  <property fmtid="{D5CDD505-2E9C-101B-9397-08002B2CF9AE}" pid="17" name="DocumentStatus">
    <vt:lpwstr>3;#REF|722611fd-7eaf-44e3-8780-a3226646f5f0</vt:lpwstr>
  </property>
  <property fmtid="{D5CDD505-2E9C-101B-9397-08002B2CF9AE}" pid="18" name="DossierName">
    <vt:lpwstr>83;#TEN|5e12260d-3aca-41f8-baf2-ad3d18475f10</vt:lpwstr>
  </property>
  <property fmtid="{D5CDD505-2E9C-101B-9397-08002B2CF9AE}" pid="19" name="RequestingService">
    <vt:lpwstr>Transports, énergie, infrastructures et société de l'information</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83;#TEN|5e12260d-3aca-41f8-baf2-ad3d18475f10;#78;#CR|3d8a0a7b-557a-49c4-997f-22056dbd9ff4;#8;#Final|ea5e6674-7b27-4bac-b091-73adbb394efe;#5;#EN|f2175f21-25d7-44a3-96da-d6a61b075e1b;#3;#REF|722611fd-7eaf-44e3-8780-a3226646f5f0;#1;#EESC|422833ec-8d7e-4e65-8e4e-8bed07ffb729;#15;#Unrestricted|826e22d7-d029-4ec0-a450-0c28ff673572</vt:lpwstr>
  </property>
  <property fmtid="{D5CDD505-2E9C-101B-9397-08002B2CF9AE}" pid="30" name="Rapporteur">
    <vt:lpwstr>BÉGUINET</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1975</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2026-02-18T12:00:00Z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