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5278F8" w14:paraId="02555730" w14:textId="3C73D7F9">
      <w:pPr>
        <w:jc w:val="right"/>
      </w:pPr>
      <w:r>
        <w:rPr>
          <w:b/>
        </w:rPr>
        <w:t>TEN</w:t>
      </w:r>
      <w:r w:rsidRPr="0082636E" w:rsidR="0015330A">
        <w:rPr>
          <w:b/>
        </w:rPr>
        <w:t>/</w:t>
      </w:r>
      <w:r>
        <w:rPr>
          <w:b/>
        </w:rPr>
        <w:t>8</w:t>
      </w:r>
      <w:r w:rsidR="0012576F">
        <w:rPr>
          <w:b/>
        </w:rPr>
        <w:t>48</w:t>
      </w:r>
    </w:p>
    <w:p w:rsidRPr="00A67235" w:rsidR="000E4B6B" w:rsidP="0015330A" w:rsidRDefault="005278F8" w14:paraId="1EFE7F2B" w14:textId="20D0DEC3">
      <w:pPr>
        <w:jc w:val="right"/>
      </w:pPr>
      <w:r w:rsidRPr="004A60B5">
        <w:rPr>
          <w:b/>
          <w:bCs/>
        </w:rPr>
        <w:t>For a European Affordable Housing Plan – the contribution of civil society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035C244C">
      <w:pPr>
        <w:jc w:val="right"/>
      </w:pPr>
      <w:r w:rsidRPr="00A67235">
        <w:t xml:space="preserve">Brussels, </w:t>
      </w:r>
      <w:r w:rsidR="003206F7">
        <w:t>18 September 2025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2A39F95F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4A60B5" w:rsidR="003206F7">
        <w:rPr>
          <w:b/>
          <w:bCs/>
        </w:rPr>
        <w:t>For a European Affordable Housing Plan – the contribution of civil society</w:t>
      </w:r>
      <w:r w:rsidRPr="00A67235">
        <w:rPr>
          <w:b/>
          <w:bCs/>
        </w:rPr>
        <w:br/>
      </w:r>
      <w:r w:rsidRPr="00486F42" w:rsidR="003206F7">
        <w:t>exploratory opinion</w:t>
      </w:r>
      <w:r w:rsidRPr="00486F42" w:rsidR="003206F7">
        <w:rPr>
          <w:b/>
          <w:bCs/>
        </w:rPr>
        <w:t xml:space="preserve"> </w:t>
      </w:r>
      <w:r w:rsidRPr="00486F42" w:rsidR="003206F7">
        <w:t>requested by the Danish Presidency of the Council of the EU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5278F8" w14:paraId="0FA745B1" w14:textId="1A8518FF">
      <w:pPr>
        <w:jc w:val="center"/>
        <w:rPr>
          <w:bCs/>
        </w:rPr>
      </w:pPr>
      <w:r>
        <w:t>599</w:t>
      </w:r>
      <w:r w:rsidRPr="005278F8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17</w:t>
      </w:r>
      <w:r w:rsidR="0015330A">
        <w:rPr>
          <w:bCs/>
        </w:rPr>
        <w:t>-</w:t>
      </w:r>
      <w:r>
        <w:rPr>
          <w:bCs/>
        </w:rPr>
        <w:t>18 September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CABF44A">
      <w:pPr>
        <w:jc w:val="center"/>
      </w:pPr>
      <w:r w:rsidRPr="00A67235">
        <w:t xml:space="preserve">Meeting of </w:t>
      </w:r>
      <w:r w:rsidR="005278F8">
        <w:t>18 September 2025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74212D98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3206F7">
        <w:t>26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C87E59B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3206F7">
        <w:t>26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5278F8" w14:paraId="0750582A" w14:textId="3F5BB6DB">
      <w:pPr>
        <w:ind w:left="1430"/>
        <w:rPr>
          <w:i/>
          <w:iCs/>
        </w:rPr>
      </w:pPr>
      <w:r w:rsidRPr="005278F8">
        <w:rPr>
          <w:i/>
          <w:iCs/>
        </w:rPr>
        <w:t>For a European Affordable Housing Plan – the contribution of civil society</w:t>
      </w:r>
    </w:p>
    <w:p w:rsidRPr="00A67235" w:rsidR="000E4B6B" w:rsidP="00EC0F0F" w:rsidRDefault="003206F7" w14:paraId="305301AD" w14:textId="0AB4AE0C">
      <w:pPr>
        <w:ind w:left="1430"/>
      </w:pPr>
      <w:r w:rsidRPr="00486F42">
        <w:t>exploratory opinion</w:t>
      </w:r>
      <w:r w:rsidRPr="00486F42">
        <w:rPr>
          <w:b/>
          <w:bCs/>
        </w:rPr>
        <w:t xml:space="preserve"> </w:t>
      </w:r>
      <w:r w:rsidRPr="00486F42">
        <w:t>requested by the Danish Presidency of the Council of the EU</w:t>
      </w:r>
      <w:r w:rsidRPr="00A67235" w:rsidR="000E4B6B">
        <w:t>.</w:t>
      </w:r>
    </w:p>
    <w:p w:rsidRPr="00A67235" w:rsidR="000E4B6B" w:rsidP="00EC0F0F" w:rsidRDefault="000E4B6B" w14:paraId="7B740915" w14:textId="77777777"/>
    <w:p w:rsidR="000E4B6B" w:rsidP="00EC0F0F" w:rsidRDefault="000E4B6B" w14:paraId="2D8D7685" w14:textId="5BE046F3">
      <w:r w:rsidRPr="00A67235">
        <w:t xml:space="preserve">The preliminary work had been carried out by the Section for </w:t>
      </w:r>
      <w:r w:rsidRPr="00625261" w:rsidR="005278F8">
        <w:t xml:space="preserve">Transport, Energy, Infrastructure and the Information Society </w:t>
      </w:r>
      <w:r w:rsidRPr="00625261" w:rsidR="005278F8">
        <w:fldChar w:fldCharType="begin"/>
      </w:r>
      <w:r w:rsidRPr="00625261" w:rsidR="005278F8">
        <w:instrText xml:space="preserve">  </w:instrText>
      </w:r>
      <w:r w:rsidRPr="00625261" w:rsidR="005278F8">
        <w:fldChar w:fldCharType="end"/>
      </w:r>
      <w:r w:rsidRPr="00625261" w:rsidR="005278F8">
        <w:t>(</w:t>
      </w:r>
      <w:r w:rsidR="005278F8">
        <w:t>p</w:t>
      </w:r>
      <w:r w:rsidRPr="00625261" w:rsidR="005278F8">
        <w:t>resident:</w:t>
      </w:r>
      <w:r w:rsidR="005278F8">
        <w:rPr>
          <w:b/>
          <w:bCs/>
        </w:rPr>
        <w:t xml:space="preserve"> Ms Miltovi</w:t>
      </w:r>
      <w:r w:rsidR="005278F8">
        <w:rPr>
          <w:b/>
          <w:bCs/>
          <w:lang w:val="lv-LV"/>
        </w:rPr>
        <w:t>ča</w:t>
      </w:r>
      <w:r w:rsidRPr="00625261" w:rsidR="005278F8">
        <w:rPr>
          <w:b/>
          <w:bCs/>
        </w:rPr>
        <w:fldChar w:fldCharType="begin"/>
      </w:r>
      <w:r w:rsidRPr="00625261" w:rsidR="005278F8">
        <w:rPr>
          <w:b/>
          <w:bCs/>
        </w:rPr>
        <w:instrText xml:space="preserve">  </w:instrText>
      </w:r>
      <w:r w:rsidRPr="00625261" w:rsidR="005278F8">
        <w:rPr>
          <w:b/>
          <w:bCs/>
        </w:rPr>
        <w:fldChar w:fldCharType="end"/>
      </w:r>
      <w:r w:rsidR="005278F8">
        <w:t>)</w:t>
      </w:r>
      <w:r w:rsidRPr="00A67235">
        <w:t>. The rapporteur was</w:t>
      </w:r>
      <w:r w:rsidRPr="00A67235">
        <w:rPr>
          <w:b/>
          <w:bCs/>
        </w:rPr>
        <w:t xml:space="preserve"> </w:t>
      </w:r>
      <w:r w:rsidR="005278F8">
        <w:rPr>
          <w:b/>
          <w:bCs/>
        </w:rPr>
        <w:t xml:space="preserve">Mr. Comer, </w:t>
      </w:r>
      <w:r w:rsidRPr="005278F8" w:rsidR="005278F8">
        <w:t xml:space="preserve">the co-rapporteur was </w:t>
      </w:r>
      <w:r w:rsidR="005278F8">
        <w:rPr>
          <w:b/>
          <w:bCs/>
        </w:rPr>
        <w:t>Mr. Kattnig</w:t>
      </w:r>
      <w:r w:rsidRPr="00A67235">
        <w:t>.</w:t>
      </w:r>
      <w:r w:rsidR="005278F8">
        <w:t xml:space="preserve"> </w:t>
      </w:r>
      <w:r w:rsidRPr="004C21FA" w:rsidR="005278F8">
        <w:t xml:space="preserve">The section adopted its opinion on </w:t>
      </w:r>
      <w:r w:rsidR="005278F8">
        <w:t>4 September</w:t>
      </w:r>
      <w:r w:rsidRPr="004C21FA" w:rsidR="005278F8">
        <w:t xml:space="preserve"> 202</w:t>
      </w:r>
      <w:r w:rsidR="005278F8">
        <w:t>5</w:t>
      </w:r>
      <w:r w:rsidRPr="004C21FA" w:rsidR="005278F8">
        <w:t xml:space="preserve"> by </w:t>
      </w:r>
      <w:r w:rsidR="005278F8">
        <w:t>58</w:t>
      </w:r>
      <w:r w:rsidRPr="004C21FA" w:rsidR="005278F8">
        <w:t xml:space="preserve"> votes</w:t>
      </w:r>
      <w:r w:rsidR="005278F8">
        <w:t xml:space="preserve"> to four</w:t>
      </w:r>
      <w:r w:rsidRPr="004C21FA" w:rsidR="005278F8">
        <w:t xml:space="preserve"> </w:t>
      </w:r>
      <w:r w:rsidR="005278F8">
        <w:t>and five abstentions</w:t>
      </w:r>
      <w:r w:rsidRPr="004C21FA" w:rsidR="005278F8">
        <w:t>.</w:t>
      </w:r>
    </w:p>
    <w:p w:rsidR="005278F8" w:rsidP="00EC0F0F" w:rsidRDefault="005278F8" w14:paraId="7027E8FA" w14:textId="7205B6E6"/>
    <w:p w:rsidR="00F71675" w:rsidP="00EC0F0F" w:rsidRDefault="00F71675" w14:paraId="2C89271C" w14:textId="77777777"/>
    <w:p w:rsidR="001F223A" w:rsidP="001F223A" w:rsidRDefault="00F71675" w14:paraId="68AEBB98" w14:textId="05625B40">
      <w:r w:rsidRPr="009F0700">
        <w:rPr>
          <w:b/>
          <w:bCs/>
        </w:rPr>
        <w:t xml:space="preserve">Mr </w:t>
      </w:r>
      <w:r>
        <w:rPr>
          <w:b/>
          <w:bCs/>
        </w:rPr>
        <w:t>Plosceanu</w:t>
      </w:r>
      <w:r w:rsidRPr="009F0700">
        <w:t xml:space="preserve"> </w:t>
      </w:r>
      <w:r>
        <w:t>gives the floor to the rapporteur</w:t>
      </w:r>
      <w:r w:rsidR="00425A5B">
        <w:t xml:space="preserve"> and co-rapporteur</w:t>
      </w:r>
      <w:r>
        <w:t>, who introduce the opinion</w:t>
      </w:r>
      <w:r w:rsidR="0093153F">
        <w:t>. They highlight</w:t>
      </w:r>
      <w:r w:rsidR="001F223A">
        <w:t xml:space="preserve"> the need:</w:t>
      </w:r>
    </w:p>
    <w:p w:rsidR="001F223A" w:rsidP="001F223A" w:rsidRDefault="001F223A" w14:paraId="125F9B9A" w14:textId="77777777">
      <w:pPr>
        <w:pStyle w:val="ListParagraph"/>
        <w:numPr>
          <w:ilvl w:val="0"/>
          <w:numId w:val="6"/>
        </w:numPr>
      </w:pPr>
      <w:r>
        <w:t xml:space="preserve">to develop an action plan to </w:t>
      </w:r>
      <w:r w:rsidRPr="00A662D9">
        <w:t>enforce the fundamental right to housing</w:t>
      </w:r>
      <w:r>
        <w:t>, emphasising that this right must be formally enshrined in EU primary law.</w:t>
      </w:r>
    </w:p>
    <w:p w:rsidRPr="00A662D9" w:rsidR="001F223A" w:rsidP="001F223A" w:rsidRDefault="001F223A" w14:paraId="78E10D34" w14:textId="77777777">
      <w:pPr>
        <w:pStyle w:val="ListParagraph"/>
        <w:numPr>
          <w:ilvl w:val="0"/>
          <w:numId w:val="6"/>
        </w:numPr>
      </w:pPr>
      <w:r>
        <w:t xml:space="preserve">to </w:t>
      </w:r>
      <w:r w:rsidRPr="00A662D9">
        <w:t>reform state aid rules</w:t>
      </w:r>
      <w:r>
        <w:t xml:space="preserve"> to allow broader access to social housing. </w:t>
      </w:r>
    </w:p>
    <w:p w:rsidR="001F223A" w:rsidP="001F223A" w:rsidRDefault="001F223A" w14:paraId="6CC46ED0" w14:textId="77777777">
      <w:pPr>
        <w:pStyle w:val="ListParagraph"/>
        <w:numPr>
          <w:ilvl w:val="0"/>
          <w:numId w:val="6"/>
        </w:numPr>
      </w:pPr>
      <w:r>
        <w:t xml:space="preserve">to have </w:t>
      </w:r>
      <w:r w:rsidRPr="00A662D9">
        <w:t>a coordinated EU approach</w:t>
      </w:r>
      <w:r>
        <w:t xml:space="preserve"> to address the shortage of affordable and sustainable housing, while respecting subsidiarity, as housing policy remains primarily a Member State competence.</w:t>
      </w:r>
    </w:p>
    <w:p w:rsidR="00551EC6" w:rsidP="001F223A" w:rsidRDefault="00A86E4D" w14:paraId="10160708" w14:textId="46DC0332">
      <w:r>
        <w:t>The rapporteur</w:t>
      </w:r>
      <w:r w:rsidR="009C469C">
        <w:t xml:space="preserve"> and co-rapporteur</w:t>
      </w:r>
      <w:r>
        <w:t xml:space="preserve"> recommend adopting an EU Housing Action Plan to create a cohesive policy addressing the housing crisis and that all Member States introduce ‘</w:t>
      </w:r>
      <w:r w:rsidRPr="00A662D9">
        <w:t>housing first’ programmes</w:t>
      </w:r>
      <w:r>
        <w:t xml:space="preserve"> to tackle homelessness in order to reduce social inequality and depri</w:t>
      </w:r>
      <w:r w:rsidR="00474540">
        <w:t>vation.</w:t>
      </w:r>
    </w:p>
    <w:p w:rsidR="00683144" w:rsidP="005278F8" w:rsidRDefault="00683144" w14:paraId="463A375C" w14:textId="77777777"/>
    <w:p w:rsidR="00683144" w:rsidP="00683144" w:rsidRDefault="00DE1A4D" w14:paraId="57DF2A60" w14:textId="78933C07">
      <w:r>
        <w:rPr>
          <w:b/>
          <w:bCs/>
        </w:rPr>
        <w:t xml:space="preserve">In the debate </w:t>
      </w:r>
      <w:r w:rsidRPr="00C55694" w:rsidR="00683144">
        <w:rPr>
          <w:b/>
          <w:bCs/>
        </w:rPr>
        <w:t>Mr. Malllia, Mr. Wagener, Mr. Miltoviča, Mr. Marchiori, Ms Reisecker, Ms. Calistru, Mr. Byrne, Mr. Levèvre, Mr. Guerini, Ms. Mastantuono, Ms. Repanšek, Ms. Murafa Benga</w:t>
      </w:r>
      <w:r>
        <w:t xml:space="preserve"> intervene. </w:t>
      </w:r>
      <w:r w:rsidR="00683C79">
        <w:t>The</w:t>
      </w:r>
      <w:r w:rsidR="00683144">
        <w:t xml:space="preserve"> points</w:t>
      </w:r>
      <w:r w:rsidR="00683C79">
        <w:t xml:space="preserve"> raised include</w:t>
      </w:r>
      <w:r w:rsidR="00683144">
        <w:t>:</w:t>
      </w:r>
    </w:p>
    <w:p w:rsidR="00683144" w:rsidP="00683144" w:rsidRDefault="00683144" w14:paraId="27697A72" w14:textId="77777777"/>
    <w:p w:rsidR="00B6175C" w:rsidP="00B6175C" w:rsidRDefault="00B6175C" w14:paraId="6E30264A" w14:textId="77777777">
      <w:pPr>
        <w:pStyle w:val="ListParagraph"/>
        <w:numPr>
          <w:ilvl w:val="0"/>
          <w:numId w:val="5"/>
        </w:numPr>
      </w:pPr>
      <w:r>
        <w:t>the EESC has proven a long-standing commitment on dealing with the right to decent, affordable and sustainable housing.</w:t>
      </w:r>
    </w:p>
    <w:p w:rsidR="00B6175C" w:rsidP="00B6175C" w:rsidRDefault="00B6175C" w14:paraId="4839CE28" w14:textId="77777777">
      <w:pPr>
        <w:pStyle w:val="ListParagraph"/>
        <w:numPr>
          <w:ilvl w:val="0"/>
          <w:numId w:val="5"/>
        </w:numPr>
      </w:pPr>
      <w:r>
        <w:t>energy poverty is affecting several social groups and it should be tackled together with addressing climate change.</w:t>
      </w:r>
    </w:p>
    <w:p w:rsidR="00B6175C" w:rsidP="00B6175C" w:rsidRDefault="00B6175C" w14:paraId="6CA6B64F" w14:textId="77777777">
      <w:pPr>
        <w:pStyle w:val="ListParagraph"/>
        <w:numPr>
          <w:ilvl w:val="0"/>
          <w:numId w:val="5"/>
        </w:numPr>
      </w:pPr>
      <w:r>
        <w:t>solving the housing crisis requires considering the complexity of this issue and facilitating renovation and access to property.</w:t>
      </w:r>
    </w:p>
    <w:p w:rsidR="00B6175C" w:rsidP="00B6175C" w:rsidRDefault="00683C79" w14:paraId="52ACF679" w14:textId="46A4DFBD">
      <w:pPr>
        <w:pStyle w:val="ListParagraph"/>
        <w:numPr>
          <w:ilvl w:val="0"/>
          <w:numId w:val="5"/>
        </w:numPr>
      </w:pPr>
      <w:r>
        <w:t xml:space="preserve">in order to avoid speculation, the use of </w:t>
      </w:r>
      <w:r w:rsidR="00B6175C">
        <w:t>regulation cannot be avoided in this domain.</w:t>
      </w:r>
    </w:p>
    <w:p w:rsidR="00B6175C" w:rsidP="00B6175C" w:rsidRDefault="00B6175C" w14:paraId="507870E0" w14:textId="77777777">
      <w:pPr>
        <w:pStyle w:val="ListParagraph"/>
        <w:numPr>
          <w:ilvl w:val="0"/>
          <w:numId w:val="5"/>
        </w:numPr>
      </w:pPr>
      <w:r>
        <w:t>the private sector can contribute providing innovative solutions in line with the green deal for the construction sector.</w:t>
      </w:r>
    </w:p>
    <w:p w:rsidR="00B6175C" w:rsidP="00B6175C" w:rsidRDefault="00A001EB" w14:paraId="378F10F3" w14:textId="318D38BD">
      <w:pPr>
        <w:pStyle w:val="ListParagraph"/>
        <w:numPr>
          <w:ilvl w:val="0"/>
          <w:numId w:val="5"/>
        </w:numPr>
      </w:pPr>
      <w:r>
        <w:t xml:space="preserve">addressing </w:t>
      </w:r>
      <w:r w:rsidR="00B6175C">
        <w:t>the housing issue is crucial for intergenerational solidarity. Accessible housing should be treated as a fundamental right.</w:t>
      </w:r>
    </w:p>
    <w:p w:rsidR="00B6175C" w:rsidP="00B6175C" w:rsidRDefault="00B6175C" w14:paraId="068A1060" w14:textId="4D006DBC">
      <w:pPr>
        <w:pStyle w:val="ListParagraph"/>
        <w:numPr>
          <w:ilvl w:val="0"/>
          <w:numId w:val="5"/>
        </w:numPr>
      </w:pPr>
      <w:r>
        <w:t xml:space="preserve">it is essential to </w:t>
      </w:r>
      <w:r w:rsidR="004704A1">
        <w:t>recognize</w:t>
      </w:r>
      <w:r>
        <w:t xml:space="preserve"> that there is no trade-off between affordability and sustainability, on the contrary green policies contribute to making housing more affordable.</w:t>
      </w:r>
    </w:p>
    <w:p w:rsidRPr="00B6175C" w:rsidR="00683144" w:rsidP="005278F8" w:rsidRDefault="00683144" w14:paraId="37F72D27" w14:textId="77777777">
      <w:pPr>
        <w:rPr>
          <w:lang w:val="en-US"/>
        </w:rPr>
      </w:pPr>
    </w:p>
    <w:p w:rsidR="00551EC6" w:rsidP="005278F8" w:rsidRDefault="00551EC6" w14:paraId="77C5662B" w14:textId="77777777"/>
    <w:p w:rsidR="005278F8" w:rsidP="005278F8" w:rsidRDefault="005278F8" w14:paraId="7F5D4266" w14:textId="70C2AF21">
      <w:r w:rsidRPr="00CD65CD">
        <w:rPr>
          <w:szCs w:val="18"/>
        </w:rPr>
        <w:t>Following the debate, the Assembly examines the amendments to the Section opinion.</w:t>
      </w:r>
    </w:p>
    <w:p w:rsidR="005278F8" w:rsidP="005278F8" w:rsidRDefault="005278F8" w14:paraId="37C93758" w14:textId="77777777">
      <w:pPr>
        <w:pStyle w:val="Default"/>
        <w:jc w:val="both"/>
        <w:rPr>
          <w:szCs w:val="20"/>
        </w:rPr>
      </w:pPr>
    </w:p>
    <w:p w:rsidR="005278F8" w:rsidP="005278F8" w:rsidRDefault="005278F8" w14:paraId="3D5D0136" w14:textId="1F7A73CA">
      <w:pPr>
        <w:rPr>
          <w:szCs w:val="20"/>
        </w:rPr>
      </w:pPr>
      <w:r>
        <w:rPr>
          <w:b/>
          <w:szCs w:val="20"/>
        </w:rPr>
        <w:t>Amendment 1</w:t>
      </w:r>
      <w:r w:rsidRPr="00C8574F">
        <w:rPr>
          <w:szCs w:val="20"/>
        </w:rPr>
        <w:t xml:space="preserve"> to </w:t>
      </w:r>
      <w:r w:rsidRPr="00C8574F">
        <w:rPr>
          <w:b/>
          <w:szCs w:val="20"/>
        </w:rPr>
        <w:t xml:space="preserve">point </w:t>
      </w:r>
      <w:r>
        <w:rPr>
          <w:b/>
          <w:szCs w:val="20"/>
        </w:rPr>
        <w:t>5.1</w:t>
      </w:r>
      <w:r w:rsidRPr="00C8574F">
        <w:rPr>
          <w:szCs w:val="20"/>
        </w:rPr>
        <w:t xml:space="preserve"> tabled by</w:t>
      </w:r>
      <w:r>
        <w:rPr>
          <w:szCs w:val="20"/>
        </w:rPr>
        <w:t>:</w:t>
      </w:r>
      <w:r w:rsidRPr="00C8574F">
        <w:rPr>
          <w:szCs w:val="20"/>
        </w:rPr>
        <w:t xml:space="preserve"> </w:t>
      </w:r>
    </w:p>
    <w:p w:rsidR="005278F8" w:rsidP="005278F8" w:rsidRDefault="005278F8" w14:paraId="3EE0E830" w14:textId="77777777">
      <w:pPr>
        <w:ind w:left="3600"/>
        <w:jc w:val="left"/>
      </w:pPr>
      <w:r>
        <w:t>BARCELÓ DELGADO Andrés</w:t>
      </w:r>
    </w:p>
    <w:p w:rsidR="005278F8" w:rsidP="005278F8" w:rsidRDefault="005278F8" w14:paraId="553852C0" w14:textId="77777777">
      <w:pPr>
        <w:ind w:left="3600"/>
        <w:jc w:val="left"/>
      </w:pPr>
      <w:r>
        <w:t>DE MÛELENAERE Robert</w:t>
      </w:r>
    </w:p>
    <w:p w:rsidR="005278F8" w:rsidP="005278F8" w:rsidRDefault="005278F8" w14:paraId="6CCB7D5E" w14:textId="77777777">
      <w:pPr>
        <w:ind w:left="3600"/>
        <w:jc w:val="left"/>
      </w:pPr>
      <w:r>
        <w:t>GAVRILOVS Vitālijs</w:t>
      </w:r>
    </w:p>
    <w:p w:rsidRPr="005278F8" w:rsidR="005278F8" w:rsidP="005278F8" w:rsidRDefault="005278F8" w14:paraId="55957562" w14:textId="77777777">
      <w:pPr>
        <w:ind w:left="3600"/>
        <w:jc w:val="left"/>
        <w:rPr>
          <w:lang w:val="fi-FI"/>
        </w:rPr>
      </w:pPr>
      <w:r w:rsidRPr="005278F8">
        <w:rPr>
          <w:lang w:val="fi-FI"/>
        </w:rPr>
        <w:t>MASTANTUONO Alena</w:t>
      </w:r>
    </w:p>
    <w:p w:rsidRPr="005278F8" w:rsidR="005278F8" w:rsidP="005278F8" w:rsidRDefault="005278F8" w14:paraId="61C522B7" w14:textId="77777777">
      <w:pPr>
        <w:ind w:left="3600"/>
        <w:jc w:val="left"/>
        <w:rPr>
          <w:lang w:val="fi-FI"/>
        </w:rPr>
      </w:pPr>
      <w:r w:rsidRPr="005278F8">
        <w:rPr>
          <w:lang w:val="fi-FI"/>
        </w:rPr>
        <w:t>NOWACKI Marcin</w:t>
      </w:r>
    </w:p>
    <w:p w:rsidRPr="005278F8" w:rsidR="005278F8" w:rsidP="005278F8" w:rsidRDefault="005278F8" w14:paraId="62D1B8D2" w14:textId="77777777">
      <w:pPr>
        <w:ind w:left="3600"/>
        <w:jc w:val="left"/>
        <w:rPr>
          <w:lang w:val="fi-FI"/>
        </w:rPr>
      </w:pPr>
      <w:r w:rsidRPr="005278F8">
        <w:rPr>
          <w:lang w:val="fi-FI"/>
        </w:rPr>
        <w:t>SÄKKINEN Teppo</w:t>
      </w:r>
    </w:p>
    <w:p w:rsidR="005278F8" w:rsidP="005278F8" w:rsidRDefault="005278F8" w14:paraId="410E01E9" w14:textId="22AC312C">
      <w:pPr>
        <w:ind w:left="3600"/>
        <w:jc w:val="left"/>
      </w:pPr>
      <w:r>
        <w:t>TEDER Reet</w:t>
      </w:r>
    </w:p>
    <w:p w:rsidRPr="00A67235" w:rsidR="005278F8" w:rsidP="00EC0F0F" w:rsidRDefault="005278F8" w14:paraId="307FE01F" w14:textId="77777777"/>
    <w:p w:rsidR="005278F8" w:rsidP="005278F8" w:rsidRDefault="005278F8" w14:paraId="58A00A54" w14:textId="77777777">
      <w:pPr>
        <w:rPr>
          <w:b/>
          <w:bCs/>
        </w:rPr>
      </w:pPr>
      <w:r>
        <w:rPr>
          <w:b/>
          <w:bCs/>
        </w:rPr>
        <w:t>Point 5.1</w:t>
      </w:r>
    </w:p>
    <w:p w:rsidR="005278F8" w:rsidP="005278F8" w:rsidRDefault="005278F8" w14:paraId="0EB91342" w14:textId="77777777">
      <w:pPr>
        <w:rPr>
          <w:b/>
          <w:bCs/>
        </w:rPr>
      </w:pPr>
    </w:p>
    <w:p w:rsidR="000E4B6B" w:rsidP="005278F8" w:rsidRDefault="005278F8" w14:paraId="2708AAF4" w14:textId="0706B6A5">
      <w:pPr>
        <w:rPr>
          <w:b/>
          <w:bCs/>
        </w:rPr>
      </w:pPr>
      <w:r>
        <w:rPr>
          <w:b/>
          <w:bCs/>
        </w:rPr>
        <w:t>Amend as follows</w:t>
      </w:r>
    </w:p>
    <w:p w:rsidR="005278F8" w:rsidP="005278F8" w:rsidRDefault="005278F8" w14:paraId="2799965C" w14:textId="00F0C368">
      <w:pPr>
        <w:rPr>
          <w:b/>
          <w:bCs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5278F8" w:rsidTr="00515F58" w14:paraId="526CC091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78F8" w:rsidP="00515F58" w:rsidRDefault="005278F8" w14:paraId="499F0A0D" w14:textId="7777777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78F8" w:rsidP="00515F58" w:rsidRDefault="005278F8" w14:paraId="75517E72" w14:textId="7777777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Amendment</w:t>
            </w:r>
          </w:p>
        </w:tc>
      </w:tr>
      <w:tr w:rsidR="005278F8" w:rsidTr="00515F58" w14:paraId="1F0AB045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78F8" w:rsidP="00515F58" w:rsidRDefault="005278F8" w14:paraId="31245CE8" w14:textId="77777777">
            <w:pPr>
              <w:spacing w:before="80" w:after="80"/>
              <w:ind w:left="80" w:right="80"/>
            </w:pPr>
            <w:r>
              <w:t xml:space="preserve">The EESC advocates greater scope for long-term investment in social housing and believes that public investment in accessible and affordable housing should be a priority for the new multiannual financial framework and </w:t>
            </w:r>
            <w:r>
              <w:rPr>
                <w:b/>
                <w:bCs/>
                <w:i/>
              </w:rPr>
              <w:t>should not be subject to</w:t>
            </w:r>
            <w:r>
              <w:t xml:space="preserve"> the debt rules set out in the fiscal rules under the SGP.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78F8" w:rsidP="00515F58" w:rsidRDefault="005278F8" w14:paraId="5B0D0F24" w14:textId="77777777">
            <w:pPr>
              <w:spacing w:before="80" w:after="80"/>
              <w:ind w:left="80" w:right="80"/>
            </w:pPr>
            <w:r>
              <w:t xml:space="preserve">The EESC advocates greater scope for long-term investment in social housing and believes that public investment in accessible and affordable housing should be a priority for the new multiannual financial framework and </w:t>
            </w:r>
            <w:r>
              <w:rPr>
                <w:b/>
                <w:bCs/>
                <w:i/>
              </w:rPr>
              <w:t>might challenge</w:t>
            </w:r>
            <w:r>
              <w:t xml:space="preserve"> the debt rules set out in the fiscal rules under the SGP.</w:t>
            </w:r>
          </w:p>
        </w:tc>
      </w:tr>
    </w:tbl>
    <w:p w:rsidR="005278F8" w:rsidP="005278F8" w:rsidRDefault="005278F8" w14:paraId="781918E3" w14:textId="77777777">
      <w:pPr>
        <w:jc w:val="center"/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5278F8" w:rsidTr="00515F58" w14:paraId="2C8468CE" w14:textId="77777777">
        <w:tc>
          <w:tcPr>
            <w:tcW w:w="5000" w:type="pct"/>
          </w:tcPr>
          <w:p w:rsidR="005278F8" w:rsidP="00515F58" w:rsidRDefault="005278F8" w14:paraId="75DCA3CA" w14:textId="77777777">
            <w:pPr>
              <w:jc w:val="center"/>
            </w:pPr>
            <w:r>
              <w:rPr>
                <w:b/>
                <w:bCs/>
              </w:rPr>
              <w:t>Reason</w:t>
            </w:r>
          </w:p>
        </w:tc>
      </w:tr>
      <w:tr w:rsidR="005278F8" w:rsidTr="00515F58" w14:paraId="4324C962" w14:textId="77777777">
        <w:tc>
          <w:tcPr>
            <w:tcW w:w="5000" w:type="pct"/>
            <w:hideMark/>
          </w:tcPr>
          <w:p w:rsidR="005278F8" w:rsidP="00515F58" w:rsidRDefault="005278F8" w14:paraId="6EB57A61" w14:textId="77777777">
            <w:r>
              <w:t xml:space="preserve">To be given orally.  </w:t>
            </w:r>
          </w:p>
        </w:tc>
      </w:tr>
    </w:tbl>
    <w:p w:rsidR="005278F8" w:rsidP="005278F8" w:rsidRDefault="005278F8" w14:paraId="2F852C3F" w14:textId="23301E70"/>
    <w:p w:rsidRPr="00486F42" w:rsidR="0012576F" w:rsidP="0012576F" w:rsidRDefault="0012576F" w14:paraId="33B2EAFA" w14:textId="77777777">
      <w:pPr>
        <w:keepNext/>
        <w:suppressAutoHyphens/>
        <w:rPr>
          <w:b/>
        </w:rPr>
      </w:pPr>
      <w:r w:rsidRPr="00486F42">
        <w:rPr>
          <w:b/>
        </w:rPr>
        <w:t>Outcome of the vote on the amendment:</w:t>
      </w:r>
    </w:p>
    <w:p w:rsidRPr="00486F42" w:rsidR="0012576F" w:rsidP="0012576F" w:rsidRDefault="0012576F" w14:paraId="71ED4864" w14:textId="77777777">
      <w:pPr>
        <w:keepNext/>
        <w:suppressAutoHyphens/>
      </w:pPr>
    </w:p>
    <w:p w:rsidRPr="00486F42" w:rsidR="0012576F" w:rsidP="0012576F" w:rsidRDefault="0012576F" w14:paraId="36FF20C9" w14:textId="5C258680">
      <w:pPr>
        <w:keepNext/>
        <w:suppressAutoHyphens/>
      </w:pPr>
      <w:r w:rsidRPr="00486F42">
        <w:t>Votes in favour:</w:t>
      </w:r>
      <w:r w:rsidRPr="00486F42">
        <w:tab/>
      </w:r>
      <w:r w:rsidRPr="00486F42">
        <w:tab/>
      </w:r>
      <w:r w:rsidR="00690984">
        <w:t>25</w:t>
      </w:r>
      <w:r w:rsidRPr="00486F42">
        <w:t xml:space="preserve"> </w:t>
      </w:r>
    </w:p>
    <w:p w:rsidRPr="00486F42" w:rsidR="0012576F" w:rsidP="0012576F" w:rsidRDefault="0012576F" w14:paraId="74998D9E" w14:textId="7C684C49">
      <w:pPr>
        <w:suppressAutoHyphens/>
      </w:pPr>
      <w:r w:rsidRPr="00486F42">
        <w:t>Votes against:</w:t>
      </w:r>
      <w:r w:rsidRPr="00486F42">
        <w:tab/>
      </w:r>
      <w:r w:rsidRPr="00486F42">
        <w:tab/>
      </w:r>
      <w:r w:rsidR="00690984">
        <w:t>92</w:t>
      </w:r>
      <w:r w:rsidRPr="00486F42">
        <w:t xml:space="preserve"> </w:t>
      </w:r>
    </w:p>
    <w:p w:rsidR="005278F8" w:rsidP="0012576F" w:rsidRDefault="0012576F" w14:paraId="080C85E8" w14:textId="1FF8D488">
      <w:r w:rsidRPr="00486F42">
        <w:t>Abstentions:</w:t>
      </w:r>
      <w:r w:rsidRPr="00486F42">
        <w:tab/>
      </w:r>
      <w:r w:rsidRPr="00486F42">
        <w:tab/>
      </w:r>
      <w:r w:rsidR="00690984">
        <w:t>3</w:t>
      </w:r>
    </w:p>
    <w:p w:rsidR="0012576F" w:rsidP="005278F8" w:rsidRDefault="0012576F" w14:paraId="106836AA" w14:textId="77777777"/>
    <w:p w:rsidR="005278F8" w:rsidP="005278F8" w:rsidRDefault="005278F8" w14:paraId="1ABB21ED" w14:textId="0979060E">
      <w:pPr>
        <w:rPr>
          <w:szCs w:val="20"/>
        </w:rPr>
      </w:pPr>
      <w:r>
        <w:rPr>
          <w:b/>
          <w:szCs w:val="20"/>
        </w:rPr>
        <w:t>Amendment 2</w:t>
      </w:r>
      <w:r w:rsidRPr="00C8574F">
        <w:rPr>
          <w:szCs w:val="20"/>
        </w:rPr>
        <w:t xml:space="preserve"> to </w:t>
      </w:r>
      <w:r w:rsidRPr="00C8574F">
        <w:rPr>
          <w:b/>
          <w:szCs w:val="20"/>
        </w:rPr>
        <w:t xml:space="preserve">point </w:t>
      </w:r>
      <w:r>
        <w:rPr>
          <w:b/>
          <w:szCs w:val="20"/>
        </w:rPr>
        <w:t>1.9</w:t>
      </w:r>
      <w:r w:rsidRPr="00C8574F">
        <w:rPr>
          <w:szCs w:val="20"/>
        </w:rPr>
        <w:t xml:space="preserve"> tabled by</w:t>
      </w:r>
      <w:r>
        <w:rPr>
          <w:szCs w:val="20"/>
        </w:rPr>
        <w:t>:</w:t>
      </w:r>
      <w:r w:rsidRPr="00C8574F">
        <w:rPr>
          <w:szCs w:val="20"/>
        </w:rPr>
        <w:t xml:space="preserve"> </w:t>
      </w:r>
    </w:p>
    <w:p w:rsidR="005278F8" w:rsidP="005278F8" w:rsidRDefault="005278F8" w14:paraId="18113F37" w14:textId="77777777">
      <w:pPr>
        <w:ind w:left="3600"/>
        <w:jc w:val="left"/>
      </w:pPr>
      <w:r>
        <w:t>BARCELÓ DELGADO Andrés</w:t>
      </w:r>
    </w:p>
    <w:p w:rsidR="005278F8" w:rsidP="005278F8" w:rsidRDefault="005278F8" w14:paraId="68B2EAB5" w14:textId="77777777">
      <w:pPr>
        <w:ind w:left="3600"/>
        <w:jc w:val="left"/>
      </w:pPr>
      <w:r>
        <w:t>DE MÛELENAERE Robert</w:t>
      </w:r>
    </w:p>
    <w:p w:rsidR="005278F8" w:rsidP="005278F8" w:rsidRDefault="005278F8" w14:paraId="32E317C4" w14:textId="77777777">
      <w:pPr>
        <w:ind w:left="3600"/>
        <w:jc w:val="left"/>
      </w:pPr>
      <w:r>
        <w:t>GAVRILOVS Vitālijs</w:t>
      </w:r>
    </w:p>
    <w:p w:rsidRPr="005278F8" w:rsidR="005278F8" w:rsidP="005278F8" w:rsidRDefault="005278F8" w14:paraId="4D139743" w14:textId="77777777">
      <w:pPr>
        <w:ind w:left="3600"/>
        <w:jc w:val="left"/>
        <w:rPr>
          <w:lang w:val="fi-FI"/>
        </w:rPr>
      </w:pPr>
      <w:r w:rsidRPr="005278F8">
        <w:rPr>
          <w:lang w:val="fi-FI"/>
        </w:rPr>
        <w:t>MASTANTUONO Alena</w:t>
      </w:r>
    </w:p>
    <w:p w:rsidRPr="005278F8" w:rsidR="005278F8" w:rsidP="005278F8" w:rsidRDefault="005278F8" w14:paraId="039ED61C" w14:textId="77777777">
      <w:pPr>
        <w:ind w:left="3600"/>
        <w:jc w:val="left"/>
        <w:rPr>
          <w:lang w:val="fi-FI"/>
        </w:rPr>
      </w:pPr>
      <w:r w:rsidRPr="005278F8">
        <w:rPr>
          <w:lang w:val="fi-FI"/>
        </w:rPr>
        <w:t>NOWACKI Marcin</w:t>
      </w:r>
    </w:p>
    <w:p w:rsidRPr="005278F8" w:rsidR="005278F8" w:rsidP="005278F8" w:rsidRDefault="005278F8" w14:paraId="7F88B1CE" w14:textId="77777777">
      <w:pPr>
        <w:ind w:left="3600"/>
        <w:jc w:val="left"/>
        <w:rPr>
          <w:lang w:val="fi-FI"/>
        </w:rPr>
      </w:pPr>
      <w:r w:rsidRPr="005278F8">
        <w:rPr>
          <w:lang w:val="fi-FI"/>
        </w:rPr>
        <w:t>SÄKKINEN Teppo</w:t>
      </w:r>
    </w:p>
    <w:p w:rsidR="005278F8" w:rsidP="005278F8" w:rsidRDefault="005278F8" w14:paraId="3A1A3089" w14:textId="77777777">
      <w:pPr>
        <w:ind w:left="3600"/>
        <w:jc w:val="left"/>
      </w:pPr>
      <w:r>
        <w:t>TEDER Reet</w:t>
      </w:r>
    </w:p>
    <w:p w:rsidRPr="00A67235" w:rsidR="005278F8" w:rsidP="005278F8" w:rsidRDefault="005278F8" w14:paraId="19C4C59F" w14:textId="77777777"/>
    <w:p w:rsidR="005278F8" w:rsidP="005278F8" w:rsidRDefault="005278F8" w14:paraId="2CDE340A" w14:textId="15E4C7E0">
      <w:pPr>
        <w:rPr>
          <w:b/>
          <w:bCs/>
        </w:rPr>
      </w:pPr>
      <w:r>
        <w:rPr>
          <w:b/>
          <w:bCs/>
        </w:rPr>
        <w:t>Point 1.9</w:t>
      </w:r>
    </w:p>
    <w:p w:rsidR="005278F8" w:rsidP="005278F8" w:rsidRDefault="005278F8" w14:paraId="637F1DDA" w14:textId="77777777">
      <w:pPr>
        <w:rPr>
          <w:b/>
          <w:bCs/>
        </w:rPr>
      </w:pPr>
    </w:p>
    <w:p w:rsidR="005278F8" w:rsidP="005278F8" w:rsidRDefault="005278F8" w14:paraId="1EA91335" w14:textId="77777777">
      <w:pPr>
        <w:rPr>
          <w:b/>
          <w:bCs/>
        </w:rPr>
      </w:pPr>
      <w:r>
        <w:rPr>
          <w:b/>
          <w:bCs/>
        </w:rPr>
        <w:t>Amend as follows</w:t>
      </w:r>
    </w:p>
    <w:p w:rsidR="005278F8" w:rsidP="005278F8" w:rsidRDefault="005278F8" w14:paraId="5246C806" w14:textId="341AD0A3"/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5278F8" w:rsidTr="00515F58" w14:paraId="03D07AFD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78F8" w:rsidP="00515F58" w:rsidRDefault="005278F8" w14:paraId="5125CBF9" w14:textId="7777777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Section opinion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78F8" w:rsidP="00515F58" w:rsidRDefault="005278F8" w14:paraId="320EFB6E" w14:textId="77777777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Amendment</w:t>
            </w:r>
          </w:p>
        </w:tc>
      </w:tr>
      <w:tr w:rsidR="005278F8" w:rsidTr="00515F58" w14:paraId="31E9F131" w14:textId="77777777"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78F8" w:rsidP="00515F58" w:rsidRDefault="005278F8" w14:paraId="700AEF15" w14:textId="77777777">
            <w:pPr>
              <w:spacing w:before="80" w:after="80"/>
              <w:ind w:left="80" w:right="80"/>
            </w:pPr>
            <w:r>
              <w:t xml:space="preserve">The EESC recommends increased public investment in accessible, social and affordable housing, which </w:t>
            </w:r>
            <w:r>
              <w:rPr>
                <w:b/>
                <w:bCs/>
                <w:i/>
              </w:rPr>
              <w:t>should not be subject to</w:t>
            </w:r>
            <w:r>
              <w:t xml:space="preserve"> the rules regarding debt as governed by the Stability and Growth Pact (SGP).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278F8" w:rsidP="00515F58" w:rsidRDefault="005278F8" w14:paraId="6E82FB27" w14:textId="77777777">
            <w:pPr>
              <w:spacing w:before="80" w:after="80"/>
              <w:ind w:left="80" w:right="80"/>
            </w:pPr>
            <w:r>
              <w:t xml:space="preserve">The EESC recommends increased public investment in accessible, social and affordable housing, which </w:t>
            </w:r>
            <w:r>
              <w:rPr>
                <w:b/>
                <w:bCs/>
                <w:i/>
              </w:rPr>
              <w:t>might challenge</w:t>
            </w:r>
            <w:r>
              <w:t xml:space="preserve"> the rules regarding debt as governed by the Stability and Growth Pact (SGP).</w:t>
            </w:r>
          </w:p>
        </w:tc>
      </w:tr>
    </w:tbl>
    <w:p w:rsidR="005278F8" w:rsidP="005278F8" w:rsidRDefault="005278F8" w14:paraId="76D6BF89" w14:textId="77777777">
      <w:pPr>
        <w:jc w:val="center"/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5278F8" w:rsidTr="00515F58" w14:paraId="4AD8467A" w14:textId="77777777">
        <w:tc>
          <w:tcPr>
            <w:tcW w:w="5000" w:type="pct"/>
          </w:tcPr>
          <w:p w:rsidR="005278F8" w:rsidP="00515F58" w:rsidRDefault="005278F8" w14:paraId="277EE9B3" w14:textId="77777777">
            <w:pPr>
              <w:jc w:val="center"/>
            </w:pPr>
            <w:r>
              <w:rPr>
                <w:b/>
                <w:bCs/>
              </w:rPr>
              <w:t>Reason</w:t>
            </w:r>
          </w:p>
        </w:tc>
      </w:tr>
      <w:tr w:rsidR="005278F8" w:rsidTr="00515F58" w14:paraId="3EF0DACC" w14:textId="77777777">
        <w:tc>
          <w:tcPr>
            <w:tcW w:w="5000" w:type="pct"/>
            <w:hideMark/>
          </w:tcPr>
          <w:p w:rsidR="005278F8" w:rsidP="00515F58" w:rsidRDefault="005278F8" w14:paraId="661496FA" w14:textId="77777777">
            <w:r>
              <w:t xml:space="preserve">To be given orally.  </w:t>
            </w:r>
          </w:p>
        </w:tc>
      </w:tr>
    </w:tbl>
    <w:p w:rsidR="005278F8" w:rsidP="005278F8" w:rsidRDefault="005278F8" w14:paraId="03C2BF28" w14:textId="77777777"/>
    <w:p w:rsidRPr="00486F42" w:rsidR="0012576F" w:rsidP="0012576F" w:rsidRDefault="0012576F" w14:paraId="569EF3EB" w14:textId="77777777">
      <w:pPr>
        <w:keepNext/>
        <w:suppressAutoHyphens/>
        <w:rPr>
          <w:b/>
        </w:rPr>
      </w:pPr>
      <w:r w:rsidRPr="00486F42">
        <w:rPr>
          <w:b/>
        </w:rPr>
        <w:t>Outcome of the vote on the amendment:</w:t>
      </w:r>
    </w:p>
    <w:p w:rsidRPr="00486F42" w:rsidR="0012576F" w:rsidP="0012576F" w:rsidRDefault="0012576F" w14:paraId="2B005810" w14:textId="77777777">
      <w:pPr>
        <w:keepNext/>
        <w:suppressAutoHyphens/>
      </w:pPr>
    </w:p>
    <w:p w:rsidRPr="00A001EB" w:rsidR="0012576F" w:rsidP="0012576F" w:rsidRDefault="0012576F" w14:paraId="473F218C" w14:textId="4432E3C1">
      <w:pPr>
        <w:keepNext/>
        <w:suppressAutoHyphens/>
      </w:pPr>
      <w:r w:rsidRPr="00A001EB">
        <w:t>Votes in favour:</w:t>
      </w:r>
      <w:r w:rsidRPr="00A001EB">
        <w:tab/>
      </w:r>
      <w:r w:rsidRPr="00A001EB">
        <w:tab/>
        <w:t xml:space="preserve"> </w:t>
      </w:r>
      <w:r w:rsidRPr="00A001EB" w:rsidR="00D7187C">
        <w:t>25</w:t>
      </w:r>
    </w:p>
    <w:p w:rsidRPr="00A001EB" w:rsidR="0012576F" w:rsidP="0012576F" w:rsidRDefault="0012576F" w14:paraId="5BF6D97D" w14:textId="6F7CEA60">
      <w:pPr>
        <w:suppressAutoHyphens/>
      </w:pPr>
      <w:r w:rsidRPr="00A001EB">
        <w:t>Votes against:</w:t>
      </w:r>
      <w:r w:rsidRPr="00A001EB">
        <w:tab/>
      </w:r>
      <w:r w:rsidRPr="00A001EB">
        <w:tab/>
        <w:t xml:space="preserve"> </w:t>
      </w:r>
      <w:r w:rsidRPr="00A001EB" w:rsidR="00D7187C">
        <w:t>92</w:t>
      </w:r>
    </w:p>
    <w:p w:rsidRPr="00A001EB" w:rsidR="005278F8" w:rsidP="0012576F" w:rsidRDefault="0012576F" w14:paraId="63B81A8D" w14:textId="4BA535F8">
      <w:r w:rsidRPr="00A001EB">
        <w:t>Abstentions:</w:t>
      </w:r>
      <w:r w:rsidRPr="00A001EB">
        <w:tab/>
      </w:r>
      <w:r w:rsidRPr="00A001EB">
        <w:tab/>
        <w:t xml:space="preserve"> </w:t>
      </w:r>
      <w:r w:rsidRPr="00A001EB" w:rsidR="00D7187C">
        <w:t>3</w:t>
      </w:r>
    </w:p>
    <w:p w:rsidRPr="00A001EB" w:rsidR="005278F8" w:rsidP="00EC0F0F" w:rsidRDefault="005278F8" w14:paraId="28C7C2C0" w14:textId="77777777"/>
    <w:p w:rsidRPr="00A67235" w:rsidR="000E4B6B" w:rsidP="00EC0F0F" w:rsidRDefault="000E4B6B" w14:paraId="0133C75D" w14:textId="10D4B5C7">
      <w:r w:rsidRPr="00A001EB">
        <w:t>The opinion was adopted by</w:t>
      </w:r>
      <w:r w:rsidRPr="00A001EB" w:rsidR="00177DAC">
        <w:t xml:space="preserve"> </w:t>
      </w:r>
      <w:r w:rsidRPr="00A001EB" w:rsidR="00C252D6">
        <w:t xml:space="preserve">111 </w:t>
      </w:r>
      <w:r w:rsidRPr="00A001EB" w:rsidR="0012576F">
        <w:t xml:space="preserve">votes to four and </w:t>
      </w:r>
      <w:r w:rsidRPr="00A001EB" w:rsidR="00C252D6">
        <w:t>ten</w:t>
      </w:r>
      <w:r w:rsidRPr="00A001EB" w:rsidR="0012576F">
        <w:t xml:space="preserve">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4FA71" w14:textId="77777777" w:rsidR="0005606C" w:rsidRDefault="0005606C">
      <w:r>
        <w:separator/>
      </w:r>
    </w:p>
  </w:endnote>
  <w:endnote w:type="continuationSeparator" w:id="0">
    <w:p w14:paraId="3089F5BE" w14:textId="77777777" w:rsidR="0005606C" w:rsidRDefault="000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35493260" w:rsidR="00964A13" w:rsidRPr="00964A13" w:rsidRDefault="00964A13" w:rsidP="00964A13">
    <w:pPr>
      <w:pStyle w:val="Footer"/>
    </w:pPr>
    <w:r>
      <w:t>EESC-</w:t>
    </w:r>
    <w:r w:rsidR="005278F8">
      <w:t>2025</w:t>
    </w:r>
    <w:r>
      <w:t>-</w:t>
    </w:r>
    <w:r w:rsidR="005278F8">
      <w:t>00436</w:t>
    </w:r>
    <w:r>
      <w:t>-</w:t>
    </w:r>
    <w:r w:rsidR="005278F8">
      <w:t>00</w:t>
    </w:r>
    <w:r>
      <w:t>-</w:t>
    </w:r>
    <w:r w:rsidR="005278F8">
      <w:t>00</w:t>
    </w:r>
    <w:r>
      <w:t>-CR-REF (</w:t>
    </w:r>
    <w:r w:rsidR="005278F8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B6496A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B6496A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B6496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35352" w14:textId="77777777" w:rsidR="0005606C" w:rsidRDefault="0005606C">
      <w:r>
        <w:separator/>
      </w:r>
    </w:p>
  </w:footnote>
  <w:footnote w:type="continuationSeparator" w:id="0">
    <w:p w14:paraId="561F2A42" w14:textId="77777777" w:rsidR="0005606C" w:rsidRDefault="0005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541E8A"/>
    <w:multiLevelType w:val="hybridMultilevel"/>
    <w:tmpl w:val="81DE91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1561D"/>
    <w:multiLevelType w:val="multilevel"/>
    <w:tmpl w:val="D95A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7A4849"/>
    <w:multiLevelType w:val="hybridMultilevel"/>
    <w:tmpl w:val="BC5A39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5B3E"/>
    <w:rsid w:val="00036097"/>
    <w:rsid w:val="0005606C"/>
    <w:rsid w:val="000B3441"/>
    <w:rsid w:val="000D6AA3"/>
    <w:rsid w:val="000E4B6B"/>
    <w:rsid w:val="000F03D6"/>
    <w:rsid w:val="0012576F"/>
    <w:rsid w:val="00143A71"/>
    <w:rsid w:val="0015330A"/>
    <w:rsid w:val="00165632"/>
    <w:rsid w:val="001766AB"/>
    <w:rsid w:val="00177DAC"/>
    <w:rsid w:val="001C7254"/>
    <w:rsid w:val="001F223A"/>
    <w:rsid w:val="002346F9"/>
    <w:rsid w:val="002601CF"/>
    <w:rsid w:val="00273FDB"/>
    <w:rsid w:val="002925F3"/>
    <w:rsid w:val="00297572"/>
    <w:rsid w:val="003206F7"/>
    <w:rsid w:val="00320C0B"/>
    <w:rsid w:val="003439B0"/>
    <w:rsid w:val="003876B5"/>
    <w:rsid w:val="00392924"/>
    <w:rsid w:val="003C15D7"/>
    <w:rsid w:val="003C2604"/>
    <w:rsid w:val="003E1619"/>
    <w:rsid w:val="00423299"/>
    <w:rsid w:val="00425A5B"/>
    <w:rsid w:val="00460CC5"/>
    <w:rsid w:val="004704A1"/>
    <w:rsid w:val="00474540"/>
    <w:rsid w:val="004A0843"/>
    <w:rsid w:val="005278F8"/>
    <w:rsid w:val="00551EC6"/>
    <w:rsid w:val="00564B0D"/>
    <w:rsid w:val="00590C1E"/>
    <w:rsid w:val="005E1A79"/>
    <w:rsid w:val="00635FAF"/>
    <w:rsid w:val="00646E27"/>
    <w:rsid w:val="0066461C"/>
    <w:rsid w:val="00683144"/>
    <w:rsid w:val="00683C79"/>
    <w:rsid w:val="00690984"/>
    <w:rsid w:val="0073571F"/>
    <w:rsid w:val="007C6A55"/>
    <w:rsid w:val="00815851"/>
    <w:rsid w:val="00826375"/>
    <w:rsid w:val="00862EFF"/>
    <w:rsid w:val="008A371F"/>
    <w:rsid w:val="008E0097"/>
    <w:rsid w:val="008F2211"/>
    <w:rsid w:val="00911202"/>
    <w:rsid w:val="0093153F"/>
    <w:rsid w:val="009326E3"/>
    <w:rsid w:val="00932D64"/>
    <w:rsid w:val="00961F04"/>
    <w:rsid w:val="00964A13"/>
    <w:rsid w:val="009C469C"/>
    <w:rsid w:val="009E138D"/>
    <w:rsid w:val="00A001EB"/>
    <w:rsid w:val="00A14D3A"/>
    <w:rsid w:val="00A53158"/>
    <w:rsid w:val="00A64D59"/>
    <w:rsid w:val="00A662D9"/>
    <w:rsid w:val="00A67235"/>
    <w:rsid w:val="00A86E4D"/>
    <w:rsid w:val="00B6175C"/>
    <w:rsid w:val="00B6496A"/>
    <w:rsid w:val="00B70C30"/>
    <w:rsid w:val="00BE7410"/>
    <w:rsid w:val="00C05B64"/>
    <w:rsid w:val="00C252D6"/>
    <w:rsid w:val="00C4683E"/>
    <w:rsid w:val="00C87758"/>
    <w:rsid w:val="00D10AD5"/>
    <w:rsid w:val="00D54F5F"/>
    <w:rsid w:val="00D7187C"/>
    <w:rsid w:val="00D806A2"/>
    <w:rsid w:val="00DD05A8"/>
    <w:rsid w:val="00DE1A4D"/>
    <w:rsid w:val="00E24886"/>
    <w:rsid w:val="00E55BBF"/>
    <w:rsid w:val="00E70261"/>
    <w:rsid w:val="00EC0F0F"/>
    <w:rsid w:val="00ED6BB4"/>
    <w:rsid w:val="00F01EB5"/>
    <w:rsid w:val="00F7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278F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5278F8"/>
    <w:pPr>
      <w:jc w:val="both"/>
    </w:pPr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278F8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86E4D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A86E4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6BB3B767F3CF4149BF520211D4A86BC0" ma:contentTypeVersion="4" ma:contentTypeDescription="Defines the documents for Document Manager V2" ma:contentTypeScope="" ma:versionID="8f2b3a3e062f062a7ee8ba210ef02323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be3ca9a7-9286-4008-99ec-aebc20da9dc2" targetNamespace="http://schemas.microsoft.com/office/2006/metadata/properties" ma:root="true" ma:fieldsID="f021f5764e4548d9eb17bdf3b768072d" ns2:_="" ns3:_="" ns4:_="">
    <xsd:import namespace="1a33af13-4045-4f88-9d7b-618e30f79918"/>
    <xsd:import namespace="http://schemas.microsoft.com/sharepoint/v3/fields"/>
    <xsd:import namespace="be3ca9a7-9286-4008-99ec-aebc20da9d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ca9a7-9286-4008-99ec-aebc20da9dc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A6WAAD5KZT2Q-604569563-15990</_dlc_DocId>
    <_dlc_DocIdUrl xmlns="1a33af13-4045-4f88-9d7b-618e30f79918">
      <Url>http://dm/eesc/2025/_layouts/15/DocIdRedir.aspx?ID=A6WAAD5KZT2Q-604569563-15990</Url>
      <Description>A6WAAD5KZT2Q-604569563-15990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2025-09-19T12:00:00+00:00</ProductionDate>
    <FicheYear xmlns="1a33af13-4045-4f88-9d7b-618e30f79918">2025</FicheYear>
    <DocumentNumber xmlns="be3ca9a7-9286-4008-99ec-aebc20da9dc2">436</DocumentNumber>
    <DossierNumber xmlns="1a33af13-4045-4f88-9d7b-618e30f79918">848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83</Value>
      <Value>78</Value>
      <Value>8</Value>
      <Value>5</Value>
      <Value>3</Value>
      <Value>1</Value>
      <Value>15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COMER &amp; KATTNIG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9099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2025-09-18T12:00:00+00:00</AdoptionDate>
    <RequestingService xmlns="1a33af13-4045-4f88-9d7b-618e30f79918">Transports, énergie, infrastructures et société de l'information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be3ca9a7-9286-4008-99ec-aebc20da9dc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</TermName>
          <TermId xmlns="http://schemas.microsoft.com/office/infopath/2007/PartnerControls">5e12260d-3aca-41f8-baf2-ad3d18475f10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E2197135-6034-4C94-B924-1D438624A1D8}"/>
</file>

<file path=customXml/itemProps2.xml><?xml version="1.0" encoding="utf-8"?>
<ds:datastoreItem xmlns:ds="http://schemas.openxmlformats.org/officeDocument/2006/customXml" ds:itemID="{51C063B4-3951-4033-A421-A65E8D24172C}"/>
</file>

<file path=customXml/itemProps3.xml><?xml version="1.0" encoding="utf-8"?>
<ds:datastoreItem xmlns:ds="http://schemas.openxmlformats.org/officeDocument/2006/customXml" ds:itemID="{47C61F55-CEE2-4BE5-BCCD-2D13F220A9A8}"/>
</file>

<file path=customXml/itemProps4.xml><?xml version="1.0" encoding="utf-8"?>
<ds:datastoreItem xmlns:ds="http://schemas.openxmlformats.org/officeDocument/2006/customXml" ds:itemID="{EFC83CFE-480E-4ED3-865F-DA40B716A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 European Affordable Housing Plan  the contribution of civil society</dc:title>
  <dc:subject>Record of proceedings</dc:subject>
  <dc:creator>Hilary Morris</dc:creator>
  <cp:keywords>EESC-2025-00436-00-00-CR-TRA-EN</cp:keywords>
  <dc:description>Rapporteur: - COMER &amp; KATTNIG Original language: - EN Date of document: - 19/09/2025 Date of meeting: -  External documents: -  Administrator responsible: -  NAPOLITANO FRANCESCO</dc:description>
  <cp:lastModifiedBy>TDriveSVCUserProd</cp:lastModifiedBy>
  <cp:revision>72</cp:revision>
  <cp:lastPrinted>2004-02-16T15:16:00Z</cp:lastPrinted>
  <dcterms:created xsi:type="dcterms:W3CDTF">2025-09-17T08:33:00Z</dcterms:created>
  <dcterms:modified xsi:type="dcterms:W3CDTF">2025-09-19T15:14:00Z</dcterms:modified>
  <cp:category>TEN/848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0x010100EA97B91038054C99906057A708A1480A006BB3B767F3CF4149BF520211D4A86BC0</vt:lpwstr>
  </property>
  <property fmtid="{D5CDD505-2E9C-101B-9397-08002B2CF9AE}" pid="8" name="_dlc_DocIdItemGuid">
    <vt:lpwstr>ca9119c5-0663-4ca3-b47a-10d1b6ac2fae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TEN|5e12260d-3aca-41f8-baf2-ad3d18475f10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436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848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83;#TEN|5e12260d-3aca-41f8-baf2-ad3d18475f10</vt:lpwstr>
  </property>
  <property fmtid="{D5CDD505-2E9C-101B-9397-08002B2CF9AE}" pid="19" name="RequestingService">
    <vt:lpwstr>Transports, énergie, infrastructures et société de l'information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83;#TEN|5e12260d-3aca-41f8-baf2-ad3d18475f10;#78;#CR|3d8a0a7b-557a-49c4-997f-22056dbd9ff4;#8;#Final|ea5e6674-7b27-4bac-b091-73adbb394efe;#5;#EN|f2175f21-25d7-44a3-96da-d6a61b075e1b;#3;#REF|722611fd-7eaf-44e3-8780-a3226646f5f0;#1;#EESC|422833ec-8d7e-4e65-8e4e-8bed07ffb729;#15;#Unrestricted|826e22d7-d029-4ec0-a450-0c28ff673572</vt:lpwstr>
  </property>
  <property fmtid="{D5CDD505-2E9C-101B-9397-08002B2CF9AE}" pid="30" name="Rapporteur">
    <vt:lpwstr>COMER &amp; KATTNIG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9099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2025-09-18T12:00:00Z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