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6A32D7" w14:paraId="02555730" w14:textId="3DCDB5FE">
      <w:pPr>
        <w:jc w:val="right"/>
      </w:pPr>
      <w:r>
        <w:rPr>
          <w:b/>
        </w:rPr>
        <w:t>SOC/855</w:t>
      </w:r>
    </w:p>
    <w:p w:rsidRPr="00A67235" w:rsidR="000E4B6B" w:rsidP="0015330A" w:rsidRDefault="006A32D7" w14:paraId="1EFE7F2B" w14:textId="538F03C8">
      <w:pPr>
        <w:jc w:val="right"/>
      </w:pPr>
      <w:r w:rsidRPr="006A32D7">
        <w:rPr>
          <w:b/>
        </w:rPr>
        <w:t>EESC contribution to the EU's priorities at the UNCSW70</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20DD759E">
      <w:pPr>
        <w:jc w:val="right"/>
      </w:pPr>
      <w:r w:rsidRPr="00A67235">
        <w:t xml:space="preserve">Brussels, </w:t>
      </w:r>
      <w:r w:rsidR="006A32D7">
        <w:t>21 January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6A32D7" w:rsidR="006A32D7" w:rsidP="006A32D7" w:rsidRDefault="00964A13" w14:paraId="0ECAAF9E" w14:textId="77777777">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6A32D7" w:rsidR="006A32D7">
        <w:rPr>
          <w:b/>
          <w:bCs/>
        </w:rPr>
        <w:t>EESC Contribution to the EU's Priorities at the 70th session of the United Nations Commission on the Status of Women (UN CSW70)</w:t>
      </w:r>
    </w:p>
    <w:p w:rsidRPr="006A32D7" w:rsidR="006A32D7" w:rsidP="006A32D7" w:rsidRDefault="006A32D7" w14:paraId="10BFF05B" w14:textId="77777777">
      <w:pPr>
        <w:jc w:val="center"/>
      </w:pPr>
      <w:r w:rsidRPr="006A32D7">
        <w:t>Priority theme: Ensuring and strengthening access to justice for all women and girls</w:t>
      </w:r>
    </w:p>
    <w:p w:rsidR="00964A13" w:rsidP="006A32D7" w:rsidRDefault="006A32D7" w14:paraId="1CA7DBC6" w14:textId="169CD94B">
      <w:pPr>
        <w:jc w:val="center"/>
      </w:pPr>
      <w:r w:rsidRPr="006A32D7">
        <w:t>Review theme: Women’s participation in public life and ending violence against women</w:t>
      </w:r>
    </w:p>
    <w:p w:rsidRPr="00A67235" w:rsidR="006A32D7" w:rsidP="006A32D7" w:rsidRDefault="006A32D7" w14:paraId="1A48C175" w14:textId="38D13165">
      <w:pPr>
        <w:jc w:val="center"/>
      </w:pPr>
      <w:bookmarkStart w:name="_Hlk219472096" w:id="1"/>
      <w:r>
        <w:t>(Resolution)</w:t>
      </w:r>
      <w:bookmarkEnd w:id="1"/>
    </w:p>
    <w:p w:rsidRPr="00A67235" w:rsidR="00964A13" w:rsidP="00EC0F0F" w:rsidRDefault="00964A13" w14:paraId="6EA6F05A" w14:textId="3498CB05">
      <w:pPr>
        <w:jc w:val="center"/>
      </w:pPr>
      <w:r w:rsidRPr="00A67235">
        <w:t>_____________</w:t>
      </w:r>
    </w:p>
    <w:p w:rsidRPr="00A67235" w:rsidR="00964A13" w:rsidP="00EC0F0F" w:rsidRDefault="00964A13" w14:paraId="155F9A18" w14:textId="77777777">
      <w:pPr>
        <w:jc w:val="center"/>
      </w:pPr>
    </w:p>
    <w:p w:rsidRPr="00A67235" w:rsidR="00964A13" w:rsidP="00EC0F0F" w:rsidRDefault="006A32D7" w14:paraId="0FA745B1" w14:textId="09591E97">
      <w:pPr>
        <w:jc w:val="center"/>
        <w:rPr>
          <w:bCs/>
        </w:rPr>
      </w:pPr>
      <w:r>
        <w:t>602</w:t>
      </w:r>
      <w:r w:rsidRPr="003B59DA" w:rsidR="003B59DA">
        <w:rPr>
          <w:vertAlign w:val="superscript"/>
        </w:rPr>
        <w:t>nd</w:t>
      </w:r>
      <w:r w:rsidR="003B59DA">
        <w:t xml:space="preserve"> </w:t>
      </w:r>
      <w:r w:rsidR="0015330A">
        <w:t>plenary session</w:t>
      </w:r>
      <w:r w:rsidR="009E138D">
        <w:br/>
      </w:r>
      <w:r w:rsidR="009E138D">
        <w:rPr>
          <w:bCs/>
        </w:rPr>
        <w:br/>
      </w:r>
      <w:r w:rsidRPr="00A67235" w:rsidR="00964A13">
        <w:rPr>
          <w:bCs/>
        </w:rPr>
        <w:t>Brussels</w:t>
      </w:r>
      <w:r w:rsidR="009E138D">
        <w:rPr>
          <w:bCs/>
        </w:rPr>
        <w:br/>
      </w:r>
      <w:r>
        <w:rPr>
          <w:bCs/>
        </w:rPr>
        <w:t>21</w:t>
      </w:r>
      <w:r w:rsidR="0015330A">
        <w:rPr>
          <w:bCs/>
        </w:rPr>
        <w:t>-</w:t>
      </w:r>
      <w:r>
        <w:rPr>
          <w:bCs/>
        </w:rPr>
        <w:t>22 January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3E8DEAC9">
      <w:pPr>
        <w:jc w:val="center"/>
      </w:pPr>
      <w:r w:rsidRPr="00A67235">
        <w:t xml:space="preserve">Meeting of </w:t>
      </w:r>
      <w:r w:rsidR="006A32D7">
        <w:t>21 January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04C5303B">
      <w:pPr>
        <w:pStyle w:val="Footer"/>
        <w:jc w:val="center"/>
      </w:pPr>
      <w:r w:rsidRPr="00A67235">
        <w:t>Agenda item</w:t>
      </w:r>
      <w:r w:rsidR="00177DAC">
        <w:t xml:space="preserve"> </w:t>
      </w:r>
      <w:r w:rsidR="006A32D7">
        <w:t>9</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2541263F">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6A32D7">
        <w:t>9</w:t>
      </w:r>
      <w:r w:rsidRPr="00A67235" w:rsidR="000E4B6B">
        <w:t xml:space="preserve"> - adoption of </w:t>
      </w:r>
      <w:r w:rsidR="00A001AC">
        <w:t>a resolution</w:t>
      </w:r>
      <w:r w:rsidRPr="00A67235" w:rsidR="000E4B6B">
        <w:t xml:space="preserve"> on the</w:t>
      </w:r>
    </w:p>
    <w:p w:rsidRPr="00A67235" w:rsidR="000E4B6B" w:rsidP="00EC0F0F" w:rsidRDefault="000E4B6B" w14:paraId="037DAC87" w14:textId="77777777"/>
    <w:p w:rsidR="000E4B6B" w:rsidP="00EC0F0F" w:rsidRDefault="006A32D7" w14:paraId="0750582A" w14:textId="49F5BEF0">
      <w:pPr>
        <w:ind w:left="1430"/>
        <w:rPr>
          <w:i/>
          <w:iCs/>
        </w:rPr>
      </w:pPr>
      <w:r w:rsidRPr="006A32D7">
        <w:rPr>
          <w:i/>
          <w:iCs/>
        </w:rPr>
        <w:t>EESC Contribution to the EU's Priorities at the 70th session of the United Nations Commission on the Status of Women (UN CSW70)</w:t>
      </w:r>
    </w:p>
    <w:p w:rsidRPr="00A67235" w:rsidR="000E4B6B" w:rsidP="00EC0F0F" w:rsidRDefault="00A001AC" w14:paraId="305301AD" w14:textId="5A631A5B">
      <w:pPr>
        <w:ind w:left="1430"/>
      </w:pPr>
      <w:r>
        <w:t>Resolution</w:t>
      </w:r>
    </w:p>
    <w:p w:rsidRPr="00A67235" w:rsidR="000E4B6B" w:rsidP="00EC0F0F" w:rsidRDefault="000E4B6B" w14:paraId="7B740915" w14:textId="77777777"/>
    <w:p w:rsidRPr="00A67235" w:rsidR="000E4B6B" w:rsidP="008515F5" w:rsidRDefault="000E4B6B" w14:paraId="2D8D7685" w14:textId="07E8D1BA">
      <w:r w:rsidRPr="00A67235">
        <w:t xml:space="preserve">The preliminary work had been carried out by the </w:t>
      </w:r>
      <w:r w:rsidRPr="006A32D7" w:rsidR="006A32D7">
        <w:t xml:space="preserve">Section for Employment, Social Affairs and Citizenship (president: </w:t>
      </w:r>
      <w:r w:rsidRPr="00D70683" w:rsidR="006A32D7">
        <w:t xml:space="preserve">Cinzia </w:t>
      </w:r>
      <w:r w:rsidRPr="00D70683" w:rsidR="00D70683">
        <w:t>DEL RIO</w:t>
      </w:r>
      <w:r w:rsidRPr="006A32D7" w:rsidR="006A32D7">
        <w:t>). The rapporteur</w:t>
      </w:r>
      <w:r w:rsidR="006A32D7">
        <w:t>s</w:t>
      </w:r>
      <w:r w:rsidRPr="006A32D7" w:rsidR="006A32D7">
        <w:t xml:space="preserve"> w</w:t>
      </w:r>
      <w:r w:rsidR="006A32D7">
        <w:t>ere</w:t>
      </w:r>
      <w:r w:rsidR="008515F5">
        <w:t xml:space="preserve"> </w:t>
      </w:r>
      <w:r w:rsidRPr="008515F5" w:rsidR="008515F5">
        <w:rPr>
          <w:b/>
          <w:bCs/>
        </w:rPr>
        <w:t xml:space="preserve">Giulia </w:t>
      </w:r>
      <w:r w:rsidRPr="008515F5" w:rsidR="00D70683">
        <w:rPr>
          <w:b/>
          <w:bCs/>
        </w:rPr>
        <w:t>BARBUCCI</w:t>
      </w:r>
      <w:r w:rsidR="008515F5">
        <w:t xml:space="preserve">, </w:t>
      </w:r>
      <w:r w:rsidRPr="008515F5" w:rsidR="008515F5">
        <w:rPr>
          <w:b/>
          <w:bCs/>
        </w:rPr>
        <w:t xml:space="preserve">Juliane Marie </w:t>
      </w:r>
      <w:r w:rsidRPr="008515F5" w:rsidR="00D70683">
        <w:rPr>
          <w:b/>
          <w:bCs/>
        </w:rPr>
        <w:t xml:space="preserve">NEIIENDAM </w:t>
      </w:r>
      <w:r w:rsidR="008515F5">
        <w:t xml:space="preserve">and </w:t>
      </w:r>
      <w:r w:rsidRPr="008515F5" w:rsidR="008515F5">
        <w:rPr>
          <w:b/>
          <w:bCs/>
        </w:rPr>
        <w:t xml:space="preserve">Christa </w:t>
      </w:r>
      <w:r w:rsidRPr="008515F5" w:rsidR="00D70683">
        <w:rPr>
          <w:b/>
          <w:bCs/>
        </w:rPr>
        <w:t>SCHWENG</w:t>
      </w:r>
      <w:r w:rsidR="008515F5">
        <w:rPr>
          <w:b/>
          <w:bCs/>
        </w:rPr>
        <w:t>.</w:t>
      </w:r>
    </w:p>
    <w:p w:rsidRPr="00A67235" w:rsidR="000E4B6B" w:rsidP="00EC0F0F" w:rsidRDefault="000E4B6B" w14:paraId="2708AAF4" w14:textId="77777777"/>
    <w:p w:rsidR="001D7839" w:rsidP="00EF4C8C" w:rsidRDefault="008515F5" w14:paraId="21B5FD21" w14:textId="4C4A5379">
      <w:r>
        <w:t xml:space="preserve">The </w:t>
      </w:r>
      <w:r w:rsidR="001D7839">
        <w:t xml:space="preserve">three </w:t>
      </w:r>
      <w:r>
        <w:t xml:space="preserve">rapporteurs presented the resolution </w:t>
      </w:r>
      <w:r w:rsidR="00EF4C8C">
        <w:t>that will serve as the EESC's contribution to the EU's priorities for the upcoming</w:t>
      </w:r>
      <w:r w:rsidR="001D7839">
        <w:t xml:space="preserve"> Seventieth session of the Commission on the Status of Women. </w:t>
      </w:r>
      <w:r w:rsidRPr="001D7839" w:rsidR="00EF4C8C">
        <w:rPr>
          <w:b/>
          <w:bCs/>
        </w:rPr>
        <w:t xml:space="preserve">Christa </w:t>
      </w:r>
      <w:r w:rsidR="001D7839">
        <w:rPr>
          <w:b/>
          <w:bCs/>
        </w:rPr>
        <w:t>SCHWENG</w:t>
      </w:r>
      <w:r w:rsidR="00EF4C8C">
        <w:t xml:space="preserve"> (GRI – AT)</w:t>
      </w:r>
      <w:r w:rsidR="001D7839">
        <w:t xml:space="preserve"> underscored that a</w:t>
      </w:r>
      <w:r w:rsidR="00EF4C8C">
        <w:t>ccess to justice for all women and girls is essential for protecting human rights and strengthening democracy</w:t>
      </w:r>
      <w:r w:rsidR="001D7839">
        <w:t>, that c</w:t>
      </w:r>
      <w:r w:rsidR="00EF4C8C">
        <w:t>ivil society plays an important role in addressing barriers to accessing justice</w:t>
      </w:r>
      <w:r w:rsidR="001D7839">
        <w:t>, and that r</w:t>
      </w:r>
      <w:r w:rsidR="00EF4C8C">
        <w:t>emoving barriers means eliminating discriminatory laws, strengthening gender-responsive justice systems, accessible, affordable and quality legal aid</w:t>
      </w:r>
      <w:r w:rsidR="001D7839">
        <w:t>. She concluded by stressing that w</w:t>
      </w:r>
      <w:r w:rsidR="00EF4C8C">
        <w:t>hen women and girls can claim their rights without barriers, societies become fairer and more democratic</w:t>
      </w:r>
      <w:r w:rsidR="001D7839">
        <w:t xml:space="preserve">. </w:t>
      </w:r>
    </w:p>
    <w:p w:rsidR="001D7839" w:rsidP="00EF4C8C" w:rsidRDefault="001D7839" w14:paraId="2BB80562" w14:textId="77777777">
      <w:pPr>
        <w:rPr>
          <w:b/>
          <w:bCs/>
        </w:rPr>
      </w:pPr>
    </w:p>
    <w:p w:rsidR="00EF4C8C" w:rsidP="00EF4C8C" w:rsidRDefault="00EF4C8C" w14:paraId="41FF4662" w14:textId="3A0D4FB7">
      <w:r w:rsidRPr="001D7839">
        <w:rPr>
          <w:b/>
          <w:bCs/>
        </w:rPr>
        <w:t>Juliane Marie N</w:t>
      </w:r>
      <w:r w:rsidRPr="001D7839" w:rsidR="001D7839">
        <w:rPr>
          <w:b/>
          <w:bCs/>
        </w:rPr>
        <w:t>EIIENDAM</w:t>
      </w:r>
      <w:r>
        <w:t xml:space="preserve"> (GRIII – DK)</w:t>
      </w:r>
      <w:r w:rsidR="001D7839">
        <w:t xml:space="preserve"> outlined the content and structure of the Resolution, starting with an assertion of the Committee's </w:t>
      </w:r>
      <w:r>
        <w:t xml:space="preserve">long-standing commitment to gender equality, women’s rights and the rule of law as core foundations of democracy, social justice and inclusive growth, the elimination of all forms of violence against women and girls, and the full and effective participation of women in economic, political and social life. </w:t>
      </w:r>
      <w:r w:rsidR="001D7839">
        <w:t xml:space="preserve">According to the text, </w:t>
      </w:r>
      <w:r>
        <w:t>access to justice is both a fundamental human right in itself and a precondition for the implementation of other human rights such as gender equality.</w:t>
      </w:r>
      <w:r w:rsidR="001D7839">
        <w:t xml:space="preserve"> In terms of c</w:t>
      </w:r>
      <w:r>
        <w:t>oncrete action</w:t>
      </w:r>
      <w:r w:rsidR="001D7839">
        <w:t>s proposed, she listed</w:t>
      </w:r>
      <w:r>
        <w:t xml:space="preserve">: (1) removing discriminatory laws, policies and practices; (2) strengthening gender-responsive justice systems; (3) improving access to affordable and quality legal aid and representation, (4) protecting survivors of violence; (5) improving digital access to legal information; </w:t>
      </w:r>
      <w:r w:rsidR="001D7839">
        <w:t xml:space="preserve">and </w:t>
      </w:r>
      <w:r>
        <w:t>(6) removing socio-economic barriers</w:t>
      </w:r>
      <w:r w:rsidR="001D7839">
        <w:t>. She finally c</w:t>
      </w:r>
      <w:r>
        <w:t>all</w:t>
      </w:r>
      <w:r w:rsidR="001D7839">
        <w:t>ed</w:t>
      </w:r>
      <w:r>
        <w:t xml:space="preserve"> on member states to adopt and fund national action plans on access to justice</w:t>
      </w:r>
      <w:r w:rsidR="001D7839">
        <w:t>.</w:t>
      </w:r>
    </w:p>
    <w:p w:rsidR="001D7839" w:rsidP="00EF4C8C" w:rsidRDefault="001D7839" w14:paraId="59555A27" w14:textId="77777777"/>
    <w:p w:rsidRPr="00C347F2" w:rsidR="00EF4C8C" w:rsidP="00C347F2" w:rsidRDefault="00EF4C8C" w14:paraId="74A08B0E" w14:textId="783661CF">
      <w:pPr>
        <w:rPr>
          <w:lang w:val="ca-ES"/>
        </w:rPr>
      </w:pPr>
      <w:r w:rsidRPr="001D7839">
        <w:rPr>
          <w:b/>
          <w:bCs/>
        </w:rPr>
        <w:t>Giulia B</w:t>
      </w:r>
      <w:r w:rsidRPr="001D7839" w:rsidR="001D7839">
        <w:rPr>
          <w:b/>
          <w:bCs/>
        </w:rPr>
        <w:t>ARBUCCI</w:t>
      </w:r>
      <w:r>
        <w:t xml:space="preserve"> (GRII – IT)</w:t>
      </w:r>
      <w:r w:rsidR="001D7839">
        <w:t xml:space="preserve"> reminded that a</w:t>
      </w:r>
      <w:r>
        <w:t xml:space="preserve">ccess to justice is enshrined in the </w:t>
      </w:r>
      <w:r w:rsidRPr="00C347F2" w:rsidR="00C347F2">
        <w:rPr>
          <w:lang w:val="ca-ES"/>
        </w:rPr>
        <w:t>Convention on the Elimination of All Forms of Discrimination against Women</w:t>
      </w:r>
      <w:r w:rsidR="00C347F2">
        <w:rPr>
          <w:lang w:val="ca-ES"/>
        </w:rPr>
        <w:t xml:space="preserve"> </w:t>
      </w:r>
      <w:r w:rsidRPr="00C347F2" w:rsidR="00C347F2">
        <w:rPr>
          <w:lang w:val="ca-ES"/>
        </w:rPr>
        <w:t>(</w:t>
      </w:r>
      <w:r>
        <w:t>CEDAW</w:t>
      </w:r>
      <w:r w:rsidR="00C347F2">
        <w:t>)</w:t>
      </w:r>
      <w:r>
        <w:t xml:space="preserve"> and </w:t>
      </w:r>
      <w:r w:rsidR="00C347F2">
        <w:t xml:space="preserve">that it </w:t>
      </w:r>
      <w:r>
        <w:t xml:space="preserve">relates to </w:t>
      </w:r>
      <w:r w:rsidR="001D7839">
        <w:t>Sustainable Development Goal number 16</w:t>
      </w:r>
      <w:r>
        <w:t xml:space="preserve">. </w:t>
      </w:r>
      <w:r w:rsidR="001D7839">
        <w:t>She lamented that g</w:t>
      </w:r>
      <w:r>
        <w:t xml:space="preserve">ender discrimination continues to create barriers for women's access to </w:t>
      </w:r>
      <w:r w:rsidR="001D7839">
        <w:t xml:space="preserve">justice and stressed the importance of </w:t>
      </w:r>
      <w:r>
        <w:t>break</w:t>
      </w:r>
      <w:r w:rsidR="001D7839">
        <w:t>ing</w:t>
      </w:r>
      <w:r>
        <w:t xml:space="preserve"> down these structural barriers.</w:t>
      </w:r>
      <w:r w:rsidR="001D7839">
        <w:t xml:space="preserve"> </w:t>
      </w:r>
      <w:r>
        <w:t>Organised civil society, and EESC, should be able to help women access justice in situations of violence and exploitation.</w:t>
      </w:r>
    </w:p>
    <w:p w:rsidR="001D7839" w:rsidP="00EF4C8C" w:rsidRDefault="001D7839" w14:paraId="44BEE7AA" w14:textId="77777777"/>
    <w:p w:rsidR="00C347F2" w:rsidP="00C347F2" w:rsidRDefault="00EF4C8C" w14:paraId="69D023DB" w14:textId="77777777">
      <w:r w:rsidRPr="00C347F2">
        <w:rPr>
          <w:b/>
          <w:bCs/>
        </w:rPr>
        <w:t>EESC President</w:t>
      </w:r>
      <w:r w:rsidRPr="00C347F2" w:rsidR="00C347F2">
        <w:rPr>
          <w:b/>
          <w:bCs/>
        </w:rPr>
        <w:t xml:space="preserve"> Séamus BOLAND</w:t>
      </w:r>
      <w:r w:rsidR="00C347F2">
        <w:t xml:space="preserve"> reviewed the contents of this contribution, also underlining that the Commission on the Status of Women reviews progress achieved in terms of past engagements as well. This year, it will assess women's participation in public life and eliminating violence, so he referred to the need to ensure: equal representation of women in political, economic and public decision-making; zero tolerance for gender-based violence; support and protection for women human-rights defenders and civil society organisations; safe, inclusive and democratic civic spaces; and support intersectional approaches, combat stereotypes and disinformation.</w:t>
      </w:r>
    </w:p>
    <w:p w:rsidR="00EF4C8C" w:rsidP="00C347F2" w:rsidRDefault="00C347F2" w14:paraId="77588A45" w14:textId="5984E410">
      <w:r>
        <w:t>He concluded by saying that the EESC will continue promoting structured social and civil dialogue to support gender-responsive justice reforms, advocating gender mainstreaming and gender budgeting, and many more issues, while encouraging cooperation between EU institutions, Member States, social partners and civil society. By doing so we can achieve coordinated, whole-of-society approaches which deliver lasting results.</w:t>
      </w:r>
    </w:p>
    <w:p w:rsidR="00C347F2" w:rsidP="00EF4C8C" w:rsidRDefault="00C347F2" w14:paraId="48D8A646" w14:textId="77777777"/>
    <w:p w:rsidR="00EF4C8C" w:rsidP="00C347F2" w:rsidRDefault="00C347F2" w14:paraId="6FF069EA" w14:textId="052283B6">
      <w:r>
        <w:t xml:space="preserve">Some </w:t>
      </w:r>
      <w:r w:rsidR="00EF4C8C">
        <w:t>Members</w:t>
      </w:r>
      <w:r>
        <w:t xml:space="preserve"> intervened in the exchange. </w:t>
      </w:r>
      <w:r w:rsidRPr="00C347F2" w:rsidR="00EF4C8C">
        <w:rPr>
          <w:b/>
          <w:bCs/>
        </w:rPr>
        <w:t xml:space="preserve">Maria </w:t>
      </w:r>
      <w:r w:rsidRPr="00C347F2">
        <w:rPr>
          <w:b/>
          <w:bCs/>
        </w:rPr>
        <w:t>NIKOLOPOULOU</w:t>
      </w:r>
      <w:r>
        <w:t xml:space="preserve"> </w:t>
      </w:r>
      <w:r w:rsidR="00EF4C8C">
        <w:t>(GRII – ES)</w:t>
      </w:r>
      <w:r>
        <w:t xml:space="preserve"> c</w:t>
      </w:r>
      <w:r w:rsidR="00EF4C8C">
        <w:t>ongratulated colleagues for the well-structured and coherent document.</w:t>
      </w:r>
      <w:r>
        <w:t xml:space="preserve"> This being</w:t>
      </w:r>
      <w:r w:rsidR="00EF4C8C">
        <w:t xml:space="preserve"> the 3rd time the EESC will participate in UNCSW, </w:t>
      </w:r>
      <w:r>
        <w:t xml:space="preserve">this </w:t>
      </w:r>
      <w:r w:rsidR="00EF4C8C">
        <w:t>shows that the Committee is advancing internally</w:t>
      </w:r>
      <w:r>
        <w:t>; however, there is s</w:t>
      </w:r>
      <w:r w:rsidR="00EF4C8C">
        <w:t>till a lot of work at a cultural level</w:t>
      </w:r>
      <w:r>
        <w:t>,</w:t>
      </w:r>
      <w:r w:rsidR="00EF4C8C">
        <w:t xml:space="preserve"> as many stereotypes and </w:t>
      </w:r>
      <w:r>
        <w:t xml:space="preserve">forms of </w:t>
      </w:r>
      <w:r w:rsidR="00EF4C8C">
        <w:t xml:space="preserve">violence </w:t>
      </w:r>
      <w:r>
        <w:t>persist</w:t>
      </w:r>
      <w:r w:rsidR="00EF4C8C">
        <w:t>.</w:t>
      </w:r>
      <w:r>
        <w:t xml:space="preserve"> </w:t>
      </w:r>
      <w:r w:rsidRPr="00C347F2" w:rsidR="00EF4C8C">
        <w:rPr>
          <w:b/>
          <w:bCs/>
          <w:lang w:val="en-US"/>
        </w:rPr>
        <w:t xml:space="preserve">Cinzia </w:t>
      </w:r>
      <w:r w:rsidRPr="00C347F2">
        <w:rPr>
          <w:b/>
          <w:bCs/>
          <w:lang w:val="en-US"/>
        </w:rPr>
        <w:t>DEL RIO</w:t>
      </w:r>
      <w:r w:rsidRPr="00C347F2">
        <w:rPr>
          <w:lang w:val="en-US"/>
        </w:rPr>
        <w:t xml:space="preserve"> </w:t>
      </w:r>
      <w:r w:rsidRPr="00C347F2" w:rsidR="00EF4C8C">
        <w:rPr>
          <w:lang w:val="en-US"/>
        </w:rPr>
        <w:t>(GRII – IT)</w:t>
      </w:r>
      <w:r>
        <w:t xml:space="preserve"> reminded that t</w:t>
      </w:r>
      <w:r w:rsidR="00EF4C8C">
        <w:t xml:space="preserve">he EESC is </w:t>
      </w:r>
      <w:r>
        <w:t xml:space="preserve">also </w:t>
      </w:r>
      <w:r w:rsidR="00EF4C8C">
        <w:t xml:space="preserve">working on the </w:t>
      </w:r>
      <w:r>
        <w:t xml:space="preserve">Gender </w:t>
      </w:r>
      <w:r w:rsidR="00EF4C8C">
        <w:t>Equality Strategy</w:t>
      </w:r>
      <w:r>
        <w:t xml:space="preserve"> [to be adopted by COM on March 4</w:t>
      </w:r>
      <w:r w:rsidRPr="00C347F2">
        <w:rPr>
          <w:vertAlign w:val="superscript"/>
        </w:rPr>
        <w:t>th</w:t>
      </w:r>
      <w:r>
        <w:t xml:space="preserve">]. </w:t>
      </w:r>
      <w:r w:rsidR="00EF4C8C">
        <w:t xml:space="preserve">The </w:t>
      </w:r>
      <w:r>
        <w:t xml:space="preserve">Committe </w:t>
      </w:r>
      <w:r w:rsidR="00EF4C8C">
        <w:t xml:space="preserve">has </w:t>
      </w:r>
      <w:r>
        <w:t xml:space="preserve">equally </w:t>
      </w:r>
      <w:r w:rsidR="00EF4C8C">
        <w:t>underlined that gender equality is important, namely combatting gender-based violence and increasing women's employment rates, especially in the care sector.</w:t>
      </w:r>
      <w:r>
        <w:t xml:space="preserve"> Finally, she referred to some relevant work </w:t>
      </w:r>
      <w:r w:rsidR="00EF4C8C">
        <w:t>on female entrepreneurship.</w:t>
      </w:r>
    </w:p>
    <w:p w:rsidRPr="00A67235" w:rsidR="00EF4C8C" w:rsidP="00EC0F0F" w:rsidRDefault="00EF4C8C" w14:paraId="1DC1B0D1" w14:textId="77777777"/>
    <w:p w:rsidRPr="00A67235" w:rsidR="000E4B6B" w:rsidP="00EC0F0F" w:rsidRDefault="000E4B6B" w14:paraId="0133C75D" w14:textId="0ECEC9CE">
      <w:r w:rsidRPr="00A67235">
        <w:t xml:space="preserve">The </w:t>
      </w:r>
      <w:r w:rsidR="008515F5">
        <w:t>resolution</w:t>
      </w:r>
      <w:r w:rsidRPr="00A67235">
        <w:t xml:space="preserve"> was adopted by</w:t>
      </w:r>
      <w:r w:rsidR="00177DAC">
        <w:t xml:space="preserve"> </w:t>
      </w:r>
      <w:r w:rsidR="00D70683">
        <w:t>189 votes to one, and three abstentions.</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269F" w14:textId="77777777" w:rsidR="005B067F" w:rsidRDefault="005B067F">
      <w:r>
        <w:separator/>
      </w:r>
    </w:p>
  </w:endnote>
  <w:endnote w:type="continuationSeparator" w:id="0">
    <w:p w14:paraId="5EBC216F" w14:textId="77777777" w:rsidR="005B067F" w:rsidRDefault="005B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27083F16" w:rsidR="00964A13" w:rsidRPr="00964A13" w:rsidRDefault="00D70683" w:rsidP="00964A13">
    <w:pPr>
      <w:pStyle w:val="Footer"/>
    </w:pPr>
    <w:r w:rsidRPr="00D70683">
      <w:t>EESC-2025-04173-00-00-CR-</w:t>
    </w:r>
    <w:r>
      <w:t>REF</w:t>
    </w:r>
    <w:r w:rsidRPr="00D70683">
      <w:t xml:space="preserve"> </w:t>
    </w:r>
    <w:r w:rsidR="00964A13">
      <w:t>(</w:t>
    </w:r>
    <w:r>
      <w:t>EN</w:t>
    </w:r>
    <w:r w:rsidR="00964A13">
      <w:t xml:space="preserve">) </w:t>
    </w:r>
    <w:r w:rsidR="00964A13">
      <w:fldChar w:fldCharType="begin"/>
    </w:r>
    <w:r w:rsidR="00964A13">
      <w:instrText xml:space="preserve"> PAGE  \* Arabic  \* MERGEFORMAT </w:instrText>
    </w:r>
    <w:r w:rsidR="00964A13">
      <w:fldChar w:fldCharType="separate"/>
    </w:r>
    <w:r w:rsidR="00B9781E">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B9781E">
      <w:rPr>
        <w:noProof/>
      </w:rPr>
      <w:instrText>1</w:instrText>
    </w:r>
    <w:r w:rsidR="00964A13">
      <w:fldChar w:fldCharType="end"/>
    </w:r>
    <w:r w:rsidR="00964A13">
      <w:instrText xml:space="preserve"> -0 </w:instrText>
    </w:r>
    <w:r w:rsidR="00964A13">
      <w:fldChar w:fldCharType="separate"/>
    </w:r>
    <w:r w:rsidR="00B9781E">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9D9D0" w14:textId="77777777" w:rsidR="005B067F" w:rsidRDefault="005B067F">
      <w:r>
        <w:separator/>
      </w:r>
    </w:p>
  </w:footnote>
  <w:footnote w:type="continuationSeparator" w:id="0">
    <w:p w14:paraId="556D2985" w14:textId="77777777" w:rsidR="005B067F" w:rsidRDefault="005B0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4019A"/>
    <w:rsid w:val="00095C30"/>
    <w:rsid w:val="000B3441"/>
    <w:rsid w:val="000D6AA3"/>
    <w:rsid w:val="000E4B6B"/>
    <w:rsid w:val="000F03D6"/>
    <w:rsid w:val="00143A71"/>
    <w:rsid w:val="0015330A"/>
    <w:rsid w:val="00165632"/>
    <w:rsid w:val="001766AB"/>
    <w:rsid w:val="00177DAC"/>
    <w:rsid w:val="001C7254"/>
    <w:rsid w:val="001D7839"/>
    <w:rsid w:val="002346F9"/>
    <w:rsid w:val="002601CF"/>
    <w:rsid w:val="00273FDB"/>
    <w:rsid w:val="002925F3"/>
    <w:rsid w:val="00297572"/>
    <w:rsid w:val="00320C0B"/>
    <w:rsid w:val="003439B0"/>
    <w:rsid w:val="003876B5"/>
    <w:rsid w:val="00392924"/>
    <w:rsid w:val="003B59DA"/>
    <w:rsid w:val="003C15D7"/>
    <w:rsid w:val="003C2604"/>
    <w:rsid w:val="003E1619"/>
    <w:rsid w:val="00423299"/>
    <w:rsid w:val="00460CC5"/>
    <w:rsid w:val="004A0843"/>
    <w:rsid w:val="00564B0D"/>
    <w:rsid w:val="00590C1E"/>
    <w:rsid w:val="005B067F"/>
    <w:rsid w:val="005E1A79"/>
    <w:rsid w:val="00646E27"/>
    <w:rsid w:val="006A32D7"/>
    <w:rsid w:val="0073571F"/>
    <w:rsid w:val="007C6A55"/>
    <w:rsid w:val="00815851"/>
    <w:rsid w:val="00826375"/>
    <w:rsid w:val="008515F5"/>
    <w:rsid w:val="00862EFF"/>
    <w:rsid w:val="008A371F"/>
    <w:rsid w:val="008E0097"/>
    <w:rsid w:val="008F2211"/>
    <w:rsid w:val="00911202"/>
    <w:rsid w:val="009326E3"/>
    <w:rsid w:val="00956838"/>
    <w:rsid w:val="00961F04"/>
    <w:rsid w:val="00964A13"/>
    <w:rsid w:val="009E138D"/>
    <w:rsid w:val="00A001AC"/>
    <w:rsid w:val="00A14D3A"/>
    <w:rsid w:val="00A53158"/>
    <w:rsid w:val="00A64D59"/>
    <w:rsid w:val="00A67235"/>
    <w:rsid w:val="00B9781E"/>
    <w:rsid w:val="00BE7410"/>
    <w:rsid w:val="00C05B64"/>
    <w:rsid w:val="00C347F2"/>
    <w:rsid w:val="00C4683E"/>
    <w:rsid w:val="00C87758"/>
    <w:rsid w:val="00D54F5F"/>
    <w:rsid w:val="00D70683"/>
    <w:rsid w:val="00D806A2"/>
    <w:rsid w:val="00DD05A8"/>
    <w:rsid w:val="00E24886"/>
    <w:rsid w:val="00E55BBF"/>
    <w:rsid w:val="00E70261"/>
    <w:rsid w:val="00EC0F0F"/>
    <w:rsid w:val="00ED6BB4"/>
    <w:rsid w:val="00EF4C8C"/>
    <w:rsid w:val="00F01E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A6WAAD5KZT2Q-1415362569-2571</_dlc_DocId>
    <_dlc_DocIdUrl xmlns="1a33af13-4045-4f88-9d7b-618e30f79918">
      <Url>http://dm/eesc/2025/_layouts/15/DocIdRedir.aspx?ID=A6WAAD5KZT2Q-1415362569-2571</Url>
      <Description>A6WAAD5KZT2Q-1415362569-2571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2026-01-28T12:00:00+00:00</ProductionDate>
    <FicheYear xmlns="1a33af13-4045-4f88-9d7b-618e30f79918">2025</FicheYear>
    <DocumentNumber xmlns="03db1768-8e83-4c4e-a8fb-1eb1d05ab6cf">4173</DocumentNumber>
    <DossierNumber xmlns="1a33af13-4045-4f88-9d7b-618e30f79918">855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75</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NEIIENDAM &amp; BARBUCCI &amp; SCHWENG</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791</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2026-01-21T12:00:00+00:00</AdoptionDate>
    <RequestingService xmlns="1a33af13-4045-4f88-9d7b-618e30f79918">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91FD0554-C471-4D6D-B1CD-3E46DDAF17B1}"/>
</file>

<file path=customXml/itemProps2.xml><?xml version="1.0" encoding="utf-8"?>
<ds:datastoreItem xmlns:ds="http://schemas.openxmlformats.org/officeDocument/2006/customXml" ds:itemID="{0FA11CA0-3B58-4CA2-A74F-074E94F0E2BD}"/>
</file>

<file path=customXml/itemProps3.xml><?xml version="1.0" encoding="utf-8"?>
<ds:datastoreItem xmlns:ds="http://schemas.openxmlformats.org/officeDocument/2006/customXml" ds:itemID="{350B24CF-3188-42BD-9368-2FBC5A24D490}"/>
</file>

<file path=customXml/itemProps4.xml><?xml version="1.0" encoding="utf-8"?>
<ds:datastoreItem xmlns:ds="http://schemas.openxmlformats.org/officeDocument/2006/customXml" ds:itemID="{6E1F8706-B4D1-420C-A19B-7CB4011BCDF3}"/>
</file>

<file path=docProps/app.xml><?xml version="1.0" encoding="utf-8"?>
<Properties xmlns="http://schemas.openxmlformats.org/officeDocument/2006/extended-properties" xmlns:vt="http://schemas.openxmlformats.org/officeDocument/2006/docPropsVTypes">
  <Template>Normal</Template>
  <TotalTime>54</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contribution to the EU's priorities at the UNCSW70 </dc:title>
  <dc:subject>Record of proceedings</dc:subject>
  <dc:creator>Hilary Morris</dc:creator>
  <cp:keywords>EESC-2025-04173-00-00-CR-TRA-EN</cp:keywords>
  <dc:description>Rapporteur: - NEIIENDAM &amp; BARBUCCI &amp; SCHWENG Original language: - EN Date of document: - 28/01/2026 Date of meeting: -  External documents: -  Administrator responsible: -  TORRAS ESTRUCH ANTONI</dc:description>
  <cp:lastModifiedBy>TDriveSVCUserProd</cp:lastModifiedBy>
  <cp:revision>11</cp:revision>
  <cp:lastPrinted>2004-02-16T15:16:00Z</cp:lastPrinted>
  <dcterms:created xsi:type="dcterms:W3CDTF">2026-01-16T15:04:00Z</dcterms:created>
  <dcterms:modified xsi:type="dcterms:W3CDTF">2026-01-28T11:03:00Z</dcterms:modified>
  <cp:category>SOC/855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4ea92478-7264-4c31-a659-87c9b6d53ab1</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4173</vt:i4>
  </property>
  <property fmtid="{D5CDD505-2E9C-101B-9397-08002B2CF9AE}" pid="14" name="FicheYear">
    <vt:i4>2025</vt:i4>
  </property>
  <property fmtid="{D5CDD505-2E9C-101B-9397-08002B2CF9AE}" pid="15" name="DocumentVersion">
    <vt:i4>0</vt:i4>
  </property>
  <property fmtid="{D5CDD505-2E9C-101B-9397-08002B2CF9AE}" pid="16" name="DossierNumber">
    <vt:i4>855</vt:i4>
  </property>
  <property fmtid="{D5CDD505-2E9C-101B-9397-08002B2CF9AE}" pid="17" name="DocumentStatus">
    <vt:lpwstr>3;#REF|722611fd-7eaf-44e3-8780-a3226646f5f0</vt:lpwstr>
  </property>
  <property fmtid="{D5CDD505-2E9C-101B-9397-08002B2CF9AE}" pid="18" name="DossierName">
    <vt:lpwstr>75;#SOC|13795804-ecbd-4ce5-9693-9b8be1981b20</vt:lpwstr>
  </property>
  <property fmtid="{D5CDD505-2E9C-101B-9397-08002B2CF9AE}" pid="19" name="RequestingService">
    <vt:lpwstr>Emploi, affaires sociales, citoyenneté</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75;#SOC|13795804-ecbd-4ce5-9693-9b8be1981b20;#5;#EN|f2175f21-25d7-44a3-96da-d6a61b075e1b;#3;#REF|722611fd-7eaf-44e3-8780-a3226646f5f0;#1;#EESC|422833ec-8d7e-4e65-8e4e-8bed07ffb729</vt:lpwstr>
  </property>
  <property fmtid="{D5CDD505-2E9C-101B-9397-08002B2CF9AE}" pid="30" name="Rapporteur">
    <vt:lpwstr>NEIIENDAM &amp; BARBUCCI &amp; SCHWENG</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791</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2026-01-21T12:00:00Z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