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811F54" w:rsidRDefault="00077C4F" w:rsidP="00811F54">
      <w:pPr>
        <w:spacing w:after="0" w:line="240" w:lineRule="auto"/>
        <w:ind w:left="-709"/>
        <w:rPr>
          <w:rFonts w:ascii="Times New Roman" w:hAnsi="Times New Roman"/>
          <w:bCs/>
          <w:sz w:val="4"/>
          <w:szCs w:val="4"/>
        </w:rPr>
      </w:pPr>
    </w:p>
    <w:tbl>
      <w:tblPr>
        <w:tblW w:w="1024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3"/>
      </w:tblGrid>
      <w:tr w:rsidR="001C4138" w:rsidRPr="00442552" w14:paraId="7E6372DC" w14:textId="77777777" w:rsidTr="00C37BDD">
        <w:trPr>
          <w:jc w:val="center"/>
        </w:trPr>
        <w:tc>
          <w:tcPr>
            <w:tcW w:w="10243" w:type="dxa"/>
          </w:tcPr>
          <w:p w14:paraId="3A4EDC3A" w14:textId="2048BED6" w:rsidR="001C4138" w:rsidRPr="004F6117" w:rsidRDefault="0055341E" w:rsidP="00AD4041">
            <w:pPr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5341E">
              <w:rPr>
                <w:rFonts w:ascii="Times New Roman" w:hAnsi="Times New Roman"/>
                <w:b/>
                <w:sz w:val="24"/>
                <w:szCs w:val="24"/>
              </w:rPr>
              <w:t>Implementation of EU macro-regional strategies – 5th report</w:t>
            </w:r>
            <w:r w:rsidR="0055413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(optional referral)</w:t>
            </w:r>
            <w:r w:rsidR="001C4138" w:rsidRPr="00554137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proofErr w:type="gramStart"/>
            <w:r w:rsidRPr="0055341E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COM(</w:t>
            </w:r>
            <w:proofErr w:type="gramEnd"/>
            <w:r w:rsidRPr="0055341E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2025) 191 final</w:t>
            </w:r>
            <w:r w:rsidR="00AD4041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,</w:t>
            </w:r>
            <w:r w:rsidR="00AD4041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Pr="0055341E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COM(2025) 196 final</w:t>
            </w:r>
            <w:r w:rsidR="001C4138" w:rsidRPr="00554137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  <w:t>EESC-</w:t>
            </w:r>
            <w:r w:rsidR="001C4138" w:rsidRPr="009175C1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</w:t>
            </w:r>
            <w:r w:rsidR="00554137" w:rsidRPr="0055341E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-</w:t>
            </w:r>
            <w:r w:rsidRPr="0055341E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02216-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‒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ECO/675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  <w:r w:rsidRPr="0055341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="001C4138" w:rsidRPr="00A140A0">
              <w:rPr>
                <w:b/>
                <w:lang w:val="en-IE"/>
              </w:rPr>
              <w:t xml:space="preserve"> </w:t>
            </w:r>
            <w:r w:rsidR="001C4138" w:rsidRPr="00AE3C7C">
              <w:rPr>
                <w:rFonts w:ascii="Times New Roman" w:hAnsi="Times New Roman"/>
                <w:b/>
                <w:sz w:val="24"/>
                <w:szCs w:val="24"/>
              </w:rPr>
              <w:t xml:space="preserve">Plenary Session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December 2025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Rapporteur: </w:t>
            </w:r>
            <w:r w:rsidRPr="0055341E">
              <w:rPr>
                <w:rFonts w:ascii="Times New Roman" w:hAnsi="Times New Roman"/>
                <w:b/>
                <w:sz w:val="24"/>
                <w:szCs w:val="24"/>
              </w:rPr>
              <w:t>Stefano PALMIERI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REGIO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0F2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7932" w:rsidRPr="009C6EAD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Executive Vice-President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FITTO</w:t>
            </w:r>
          </w:p>
        </w:tc>
      </w:tr>
      <w:tr w:rsidR="00734613" w:rsidRPr="00442552" w14:paraId="1937071F" w14:textId="77777777" w:rsidTr="00C37BDD">
        <w:trPr>
          <w:jc w:val="center"/>
        </w:trPr>
        <w:tc>
          <w:tcPr>
            <w:tcW w:w="10243" w:type="dxa"/>
          </w:tcPr>
          <w:p w14:paraId="1E50B4DB" w14:textId="6210B328" w:rsidR="00734613" w:rsidRPr="00695797" w:rsidRDefault="004F6117" w:rsidP="004F6117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554137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C37BDD">
        <w:trPr>
          <w:jc w:val="center"/>
        </w:trPr>
        <w:tc>
          <w:tcPr>
            <w:tcW w:w="10243" w:type="dxa"/>
          </w:tcPr>
          <w:p w14:paraId="7B50223F" w14:textId="023BCFF7" w:rsidR="0049246C" w:rsidRDefault="00397792" w:rsidP="00DA5C93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A9F">
              <w:rPr>
                <w:rFonts w:ascii="Times New Roman" w:hAnsi="Times New Roman"/>
                <w:sz w:val="24"/>
                <w:szCs w:val="24"/>
              </w:rPr>
              <w:t xml:space="preserve">The Commission recognises the </w:t>
            </w:r>
            <w:r>
              <w:rPr>
                <w:rFonts w:ascii="Times New Roman" w:hAnsi="Times New Roman"/>
                <w:sz w:val="24"/>
                <w:szCs w:val="24"/>
              </w:rPr>
              <w:t>call to reinforce the involvement of local stakeholders, civil society and young people in the work and delivery of m</w:t>
            </w:r>
            <w:r w:rsidRPr="00FD4268">
              <w:rPr>
                <w:rFonts w:ascii="Times New Roman" w:hAnsi="Times New Roman"/>
                <w:sz w:val="24"/>
                <w:szCs w:val="24"/>
              </w:rPr>
              <w:t>acro-regional strategies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This is important as the </w:t>
            </w:r>
            <w:r w:rsidRPr="00EA4A9F">
              <w:rPr>
                <w:rFonts w:ascii="Times New Roman" w:hAnsi="Times New Roman"/>
                <w:sz w:val="24"/>
                <w:szCs w:val="24"/>
              </w:rPr>
              <w:t xml:space="preserve">four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D4268">
              <w:rPr>
                <w:rFonts w:ascii="Times New Roman" w:hAnsi="Times New Roman"/>
                <w:sz w:val="24"/>
                <w:szCs w:val="24"/>
              </w:rPr>
              <w:t xml:space="preserve">acro-regional strategies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play a key role in </w:t>
            </w:r>
            <w:r w:rsidRPr="00EA4A9F">
              <w:rPr>
                <w:rFonts w:ascii="Times New Roman" w:hAnsi="Times New Roman"/>
                <w:sz w:val="24"/>
                <w:szCs w:val="24"/>
              </w:rPr>
              <w:t>bridg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EA4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between </w:t>
            </w:r>
            <w:r w:rsidRPr="00EA4A9F">
              <w:rPr>
                <w:rFonts w:ascii="Times New Roman" w:hAnsi="Times New Roman"/>
                <w:sz w:val="24"/>
                <w:szCs w:val="24"/>
              </w:rPr>
              <w:t xml:space="preserve">local and regional action </w:t>
            </w:r>
            <w:r>
              <w:rPr>
                <w:rFonts w:ascii="Times New Roman" w:hAnsi="Times New Roman"/>
                <w:sz w:val="24"/>
                <w:szCs w:val="24"/>
              </w:rPr>
              <w:t>and</w:t>
            </w:r>
            <w:r w:rsidRPr="00EA4A9F">
              <w:rPr>
                <w:rFonts w:ascii="Times New Roman" w:hAnsi="Times New Roman"/>
                <w:sz w:val="24"/>
                <w:szCs w:val="24"/>
              </w:rPr>
              <w:t xml:space="preserve"> European political priorities.</w:t>
            </w:r>
            <w:r w:rsidRPr="008B53A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The will to expand to new stakeholders is present and is implemented via the various technical support mechanisms established by the m</w:t>
            </w:r>
            <w:r w:rsidRPr="00F96850">
              <w:rPr>
                <w:rFonts w:ascii="Times New Roman" w:hAnsi="Times New Roman"/>
                <w:noProof/>
                <w:sz w:val="24"/>
                <w:szCs w:val="24"/>
              </w:rPr>
              <w:t xml:space="preserve">acro-regional strategies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and managed under their responsibility.</w:t>
            </w:r>
            <w:r w:rsidRPr="00FD42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(point 1.11)</w:t>
            </w:r>
          </w:p>
          <w:p w14:paraId="7B8ADC0F" w14:textId="52B5B760" w:rsidR="000A6E34" w:rsidRDefault="000A6E34" w:rsidP="007E0980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Commission recognises the important role of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acro</w:t>
            </w:r>
            <w:r w:rsidR="007E0980">
              <w:rPr>
                <w:rFonts w:ascii="Times New Roman" w:hAnsi="Times New Roman"/>
                <w:sz w:val="24"/>
                <w:szCs w:val="24"/>
              </w:rPr>
              <w:t>-r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egional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trategies in</w:t>
            </w:r>
            <w:r w:rsidRPr="000B3EAD">
              <w:rPr>
                <w:rFonts w:ascii="Times New Roman" w:hAnsi="Times New Roman"/>
                <w:sz w:val="24"/>
                <w:szCs w:val="24"/>
              </w:rPr>
              <w:t xml:space="preserve"> supporting the EU environmental, digital and social transitions, as they mobilise regions and communities to boost competitiveness and sustainable development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Notably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in the area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environment, the Commission recognises the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macro-regional strategies</w:t>
            </w:r>
            <w:r w:rsidR="00AD4041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added value in </w:t>
            </w:r>
            <w:r w:rsidRPr="00EF450A">
              <w:rPr>
                <w:rFonts w:ascii="Times New Roman" w:hAnsi="Times New Roman"/>
                <w:sz w:val="24"/>
                <w:szCs w:val="24"/>
              </w:rPr>
              <w:t>promot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EF450A">
              <w:rPr>
                <w:rFonts w:ascii="Times New Roman" w:hAnsi="Times New Roman"/>
                <w:sz w:val="24"/>
                <w:szCs w:val="24"/>
              </w:rPr>
              <w:t xml:space="preserve"> biodiversity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</w:t>
            </w:r>
            <w:r w:rsidRPr="00EF450A">
              <w:rPr>
                <w:rFonts w:ascii="Times New Roman" w:hAnsi="Times New Roman"/>
                <w:sz w:val="24"/>
                <w:szCs w:val="24"/>
              </w:rPr>
              <w:t xml:space="preserve"> the circular economy</w:t>
            </w:r>
            <w:r w:rsidR="00AE5E1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(point 4.1)</w:t>
            </w:r>
          </w:p>
          <w:p w14:paraId="7E4C19AC" w14:textId="4881DD1C" w:rsidR="00397792" w:rsidRDefault="00397792" w:rsidP="00DA5C93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A9F">
              <w:rPr>
                <w:rFonts w:ascii="Times New Roman" w:hAnsi="Times New Roman"/>
                <w:sz w:val="24"/>
                <w:szCs w:val="24"/>
              </w:rPr>
              <w:t xml:space="preserve">The Commission recognises the </w:t>
            </w:r>
            <w:r>
              <w:rPr>
                <w:rFonts w:ascii="Times New Roman" w:hAnsi="Times New Roman"/>
                <w:sz w:val="24"/>
                <w:szCs w:val="24"/>
              </w:rPr>
              <w:t>need to strengthen the social dimension of m</w:t>
            </w:r>
            <w:r w:rsidRPr="00FD4268">
              <w:rPr>
                <w:rFonts w:ascii="Times New Roman" w:hAnsi="Times New Roman"/>
                <w:sz w:val="24"/>
                <w:szCs w:val="24"/>
              </w:rPr>
              <w:t xml:space="preserve">acro-regional strategies </w:t>
            </w:r>
            <w:r>
              <w:rPr>
                <w:rFonts w:ascii="Times New Roman" w:hAnsi="Times New Roman"/>
                <w:sz w:val="24"/>
                <w:szCs w:val="24"/>
              </w:rPr>
              <w:t>by involving civil society, social and economic partners and other local actors. However, as m</w:t>
            </w:r>
            <w:r w:rsidRPr="00FD4268">
              <w:rPr>
                <w:rFonts w:ascii="Times New Roman" w:hAnsi="Times New Roman"/>
                <w:sz w:val="24"/>
                <w:szCs w:val="24"/>
              </w:rPr>
              <w:t xml:space="preserve">acro-regional strategies </w:t>
            </w:r>
            <w:r>
              <w:rPr>
                <w:rFonts w:ascii="Times New Roman" w:hAnsi="Times New Roman"/>
                <w:sz w:val="24"/>
                <w:szCs w:val="24"/>
              </w:rPr>
              <w:t>are</w:t>
            </w:r>
            <w:r w:rsidRPr="00891519">
              <w:rPr>
                <w:rFonts w:ascii="Times New Roman" w:hAnsi="Times New Roman"/>
                <w:sz w:val="24"/>
                <w:szCs w:val="24"/>
              </w:rPr>
              <w:t xml:space="preserve"> an inter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1519">
              <w:rPr>
                <w:rFonts w:ascii="Times New Roman" w:hAnsi="Times New Roman"/>
                <w:sz w:val="24"/>
                <w:szCs w:val="24"/>
              </w:rPr>
              <w:t xml:space="preserve">governmental </w:t>
            </w:r>
            <w:r>
              <w:rPr>
                <w:rFonts w:ascii="Times New Roman" w:hAnsi="Times New Roman"/>
                <w:sz w:val="24"/>
                <w:szCs w:val="24"/>
              </w:rPr>
              <w:t>form of cooperation</w:t>
            </w:r>
            <w:r w:rsidRPr="00891519">
              <w:rPr>
                <w:rFonts w:ascii="Times New Roman" w:hAnsi="Times New Roman"/>
                <w:sz w:val="24"/>
                <w:szCs w:val="24"/>
              </w:rPr>
              <w:t xml:space="preserve"> led by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participating </w:t>
            </w:r>
            <w:r w:rsidRPr="00891519">
              <w:rPr>
                <w:rFonts w:ascii="Times New Roman" w:hAnsi="Times New Roman"/>
                <w:sz w:val="24"/>
                <w:szCs w:val="24"/>
              </w:rPr>
              <w:t xml:space="preserve">countries, </w:t>
            </w:r>
            <w:r>
              <w:rPr>
                <w:rFonts w:ascii="Times New Roman" w:hAnsi="Times New Roman"/>
                <w:sz w:val="24"/>
                <w:szCs w:val="24"/>
              </w:rPr>
              <w:t>the responsibility for involving the right stakeholders at the right levels falls primarily on these countries.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4.3.)</w:t>
            </w:r>
          </w:p>
          <w:p w14:paraId="58C7452E" w14:textId="6FB5D8B0" w:rsidR="00397792" w:rsidRDefault="00397792" w:rsidP="00DA5C93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8B2">
              <w:rPr>
                <w:rFonts w:ascii="Times New Roman" w:hAnsi="Times New Roman"/>
                <w:sz w:val="24"/>
                <w:szCs w:val="24"/>
              </w:rPr>
              <w:t xml:space="preserve">The Commission recognises the need and logic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BF18B2">
              <w:rPr>
                <w:rFonts w:ascii="Times New Roman" w:hAnsi="Times New Roman"/>
                <w:sz w:val="24"/>
                <w:szCs w:val="24"/>
              </w:rPr>
              <w:t xml:space="preserve">involvement </w:t>
            </w:r>
            <w:r>
              <w:rPr>
                <w:rFonts w:ascii="Times New Roman" w:hAnsi="Times New Roman"/>
                <w:sz w:val="24"/>
                <w:szCs w:val="24"/>
              </w:rPr>
              <w:t>of regions, local authorities and thematic stakeholders</w:t>
            </w:r>
            <w:r w:rsidRPr="00BF18B2">
              <w:rPr>
                <w:rFonts w:ascii="Times New Roman" w:hAnsi="Times New Roman"/>
                <w:sz w:val="24"/>
                <w:szCs w:val="24"/>
              </w:rPr>
              <w:t xml:space="preserve"> in the governance of the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BF18B2">
              <w:rPr>
                <w:rFonts w:ascii="Times New Roman" w:hAnsi="Times New Roman"/>
                <w:sz w:val="24"/>
                <w:szCs w:val="24"/>
              </w:rPr>
              <w:t>acro-regional strategies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Inclusion of such stakeholders helps to deliver </w:t>
            </w:r>
            <w:r w:rsidRPr="00F00251">
              <w:rPr>
                <w:rFonts w:ascii="Times New Roman" w:hAnsi="Times New Roman"/>
                <w:sz w:val="24"/>
                <w:szCs w:val="24"/>
              </w:rPr>
              <w:t>a place-based policy with a focus on local and regional best practices in providing quality jobs and fostering innovation, productivity, skills, green and digital transitions.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Commission also recognises the need for decision-making processes to be simplified, administrative capacities improved and availability of adequate accessible resources to be secured. Notably</w:t>
            </w:r>
            <w:r w:rsidRPr="002B073A">
              <w:rPr>
                <w:rFonts w:ascii="Times New Roman" w:hAnsi="Times New Roman"/>
                <w:sz w:val="24"/>
                <w:szCs w:val="24"/>
              </w:rPr>
              <w:t xml:space="preserve">, for the strategies to maximise their potential, all countries must ensure that thematic coordinators are given the proper resources to carry out their work. </w:t>
            </w:r>
            <w:r w:rsidRPr="00EA4A9F">
              <w:rPr>
                <w:rFonts w:ascii="Times New Roman" w:hAnsi="Times New Roman"/>
                <w:sz w:val="24"/>
                <w:szCs w:val="24"/>
              </w:rPr>
              <w:t xml:space="preserve">The key challenges identified in this paragraph already form the basis of many </w:t>
            </w:r>
            <w:r>
              <w:rPr>
                <w:rFonts w:ascii="Times New Roman" w:hAnsi="Times New Roman"/>
                <w:sz w:val="24"/>
                <w:szCs w:val="24"/>
              </w:rPr>
              <w:t>activities carried out in the m</w:t>
            </w:r>
            <w:r w:rsidRPr="00FD4268">
              <w:rPr>
                <w:rFonts w:ascii="Times New Roman" w:hAnsi="Times New Roman"/>
                <w:sz w:val="24"/>
                <w:szCs w:val="24"/>
              </w:rPr>
              <w:t>acro-regional strategies</w:t>
            </w:r>
            <w:r>
              <w:rPr>
                <w:rFonts w:ascii="Times New Roman" w:hAnsi="Times New Roman"/>
                <w:sz w:val="24"/>
                <w:szCs w:val="24"/>
              </w:rPr>
              <w:t>. (point 10.3)</w:t>
            </w:r>
          </w:p>
          <w:p w14:paraId="01E843A5" w14:textId="4677BFFF" w:rsidR="00397792" w:rsidRDefault="00397792" w:rsidP="00DA5C93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968">
              <w:rPr>
                <w:rFonts w:ascii="Times New Roman" w:hAnsi="Times New Roman"/>
                <w:sz w:val="24"/>
                <w:szCs w:val="24"/>
              </w:rPr>
              <w:t xml:space="preserve">To track progress, all the strategies have continued their work </w:t>
            </w:r>
            <w:r>
              <w:rPr>
                <w:rFonts w:ascii="Times New Roman" w:hAnsi="Times New Roman"/>
                <w:sz w:val="24"/>
                <w:szCs w:val="24"/>
              </w:rPr>
              <w:t>on</w:t>
            </w:r>
            <w:r w:rsidRPr="00475968">
              <w:rPr>
                <w:rFonts w:ascii="Times New Roman" w:hAnsi="Times New Roman"/>
                <w:sz w:val="24"/>
                <w:szCs w:val="24"/>
              </w:rPr>
              <w:t xml:space="preserve"> establish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475968">
              <w:rPr>
                <w:rFonts w:ascii="Times New Roman" w:hAnsi="Times New Roman"/>
                <w:sz w:val="24"/>
                <w:szCs w:val="24"/>
              </w:rPr>
              <w:t xml:space="preserve"> effective monitoring and evaluation systems.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i</w:t>
            </w:r>
            <w:r w:rsidRPr="004D70EC">
              <w:rPr>
                <w:rFonts w:ascii="Times New Roman" w:hAnsi="Times New Roman"/>
                <w:sz w:val="24"/>
                <w:szCs w:val="24"/>
              </w:rPr>
              <w:t xml:space="preserve">nitiative taken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2024 </w:t>
            </w:r>
            <w:r w:rsidRPr="004D70EC">
              <w:rPr>
                <w:rFonts w:ascii="Times New Roman" w:hAnsi="Times New Roman"/>
                <w:sz w:val="24"/>
                <w:szCs w:val="24"/>
              </w:rPr>
              <w:t xml:space="preserve">under the Interact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D70EC">
              <w:rPr>
                <w:rFonts w:ascii="Times New Roman" w:hAnsi="Times New Roman"/>
                <w:sz w:val="24"/>
                <w:szCs w:val="24"/>
              </w:rPr>
              <w:t>rogramme to offer a detailed and practical proposal for delivery, identifying relevant frameworks, methods and tools to capture and measure the impact of the macro-regional strategies, c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  <w:r w:rsidRPr="004D70EC">
              <w:rPr>
                <w:rFonts w:ascii="Times New Roman" w:hAnsi="Times New Roman"/>
                <w:sz w:val="24"/>
                <w:szCs w:val="24"/>
              </w:rPr>
              <w:t xml:space="preserve"> help to identify weaknesses and strengths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70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raise political interest in the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4D70EC">
              <w:rPr>
                <w:rFonts w:ascii="Times New Roman" w:hAnsi="Times New Roman"/>
                <w:sz w:val="24"/>
                <w:szCs w:val="24"/>
              </w:rPr>
              <w:t>acro-regional strategies</w:t>
            </w:r>
            <w:r>
              <w:rPr>
                <w:rFonts w:ascii="Times New Roman" w:hAnsi="Times New Roman"/>
                <w:sz w:val="24"/>
                <w:szCs w:val="24"/>
              </w:rPr>
              <w:t>. (point 10.4)</w:t>
            </w:r>
          </w:p>
          <w:p w14:paraId="30D14481" w14:textId="598D7B26" w:rsidR="0055341E" w:rsidRPr="004F6117" w:rsidRDefault="00397792" w:rsidP="004B3441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34C">
              <w:rPr>
                <w:rFonts w:ascii="Times New Roman" w:hAnsi="Times New Roman"/>
                <w:sz w:val="24"/>
                <w:szCs w:val="24"/>
              </w:rPr>
              <w:t xml:space="preserve">As to the embedding of the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F334C">
              <w:rPr>
                <w:rFonts w:ascii="Times New Roman" w:hAnsi="Times New Roman"/>
                <w:sz w:val="24"/>
                <w:szCs w:val="24"/>
              </w:rPr>
              <w:t>acro-regional strategies within funding streams other than the transnational Interreg programmes,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 Commission considers that a</w:t>
            </w:r>
            <w:r w:rsidRPr="00DF3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2495">
              <w:rPr>
                <w:rFonts w:ascii="Times New Roman" w:hAnsi="Times New Roman"/>
                <w:sz w:val="24"/>
                <w:szCs w:val="24"/>
              </w:rPr>
              <w:t>priority</w:t>
            </w:r>
            <w:r w:rsidRPr="00DF334C">
              <w:rPr>
                <w:rFonts w:ascii="Times New Roman" w:hAnsi="Times New Roman"/>
                <w:sz w:val="24"/>
                <w:szCs w:val="24"/>
              </w:rPr>
              <w:t xml:space="preserve"> for the years to come will be to properly monitor and follow up on the extent to which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existing </w:t>
            </w:r>
            <w:r w:rsidRPr="00DF334C">
              <w:rPr>
                <w:rFonts w:ascii="Times New Roman" w:hAnsi="Times New Roman"/>
                <w:sz w:val="24"/>
                <w:szCs w:val="24"/>
              </w:rPr>
              <w:t xml:space="preserve">provisions have been taken up. </w:t>
            </w:r>
            <w:r w:rsidRPr="003D56AE">
              <w:rPr>
                <w:rFonts w:ascii="Times New Roman" w:hAnsi="Times New Roman"/>
                <w:sz w:val="24"/>
                <w:szCs w:val="24"/>
              </w:rPr>
              <w:t>Close cooperation between the strategies and managing authorities helps to put in place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6AE">
              <w:rPr>
                <w:rFonts w:ascii="Times New Roman" w:hAnsi="Times New Roman"/>
                <w:sz w:val="24"/>
                <w:szCs w:val="24"/>
              </w:rPr>
              <w:t>an effective embedding process. Networks of the authorities managing cohesion policy funds,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6AE">
              <w:rPr>
                <w:rFonts w:ascii="Times New Roman" w:hAnsi="Times New Roman"/>
                <w:sz w:val="24"/>
                <w:szCs w:val="24"/>
              </w:rPr>
              <w:t xml:space="preserve">and where relevant the Instrument for Pre-Accession Assistance and the Neighbourhood, Development and International Cooperation Instrument, have been established </w:t>
            </w:r>
            <w:r>
              <w:rPr>
                <w:rFonts w:ascii="Times New Roman" w:hAnsi="Times New Roman"/>
                <w:sz w:val="24"/>
                <w:szCs w:val="24"/>
              </w:rPr>
              <w:t>under</w:t>
            </w:r>
            <w:r w:rsidRPr="003D5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several of the strategies. In addition, the Commission considers that reinforced </w:t>
            </w:r>
            <w:r w:rsidRPr="00350318">
              <w:rPr>
                <w:rFonts w:ascii="Times New Roman" w:hAnsi="Times New Roman"/>
                <w:sz w:val="24"/>
                <w:szCs w:val="24"/>
              </w:rPr>
              <w:t xml:space="preserve">synergies between the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350318">
              <w:rPr>
                <w:rFonts w:ascii="Times New Roman" w:hAnsi="Times New Roman"/>
                <w:sz w:val="24"/>
                <w:szCs w:val="24"/>
              </w:rPr>
              <w:t xml:space="preserve">acro-regional strategies and the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350318">
              <w:rPr>
                <w:rFonts w:ascii="Times New Roman" w:hAnsi="Times New Roman"/>
                <w:sz w:val="24"/>
                <w:szCs w:val="24"/>
              </w:rPr>
              <w:t>ea-basin strategies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will </w:t>
            </w:r>
            <w:r w:rsidRPr="00350318">
              <w:rPr>
                <w:rFonts w:ascii="Times New Roman" w:hAnsi="Times New Roman"/>
                <w:sz w:val="24"/>
                <w:szCs w:val="24"/>
              </w:rPr>
              <w:t>lead to further complementarities and coherence between these strategies, while enhancing cross-fertilisation of good practices and mutual learning.</w:t>
            </w:r>
            <w:r w:rsidR="00676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(point 10.5)</w:t>
            </w:r>
            <w:r w:rsidR="002740A9">
              <w:rPr>
                <w:rFonts w:ascii="Times New Roman" w:hAnsi="Times New Roman"/>
                <w:sz w:val="24"/>
                <w:szCs w:val="24"/>
              </w:rPr>
              <w:t>.</w:t>
            </w:r>
            <w:r w:rsidR="002740A9" w:rsidRPr="00042192">
              <w:rPr>
                <w:rFonts w:ascii="Times New Roman" w:hAnsi="Times New Roman"/>
                <w:sz w:val="24"/>
                <w:szCs w:val="24"/>
              </w:rPr>
              <w:t xml:space="preserve"> The strengthening of synergies is illustrated by the annual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m</w:t>
            </w:r>
            <w:r w:rsidR="002740A9" w:rsidRPr="00042192">
              <w:rPr>
                <w:rFonts w:ascii="Times New Roman" w:hAnsi="Times New Roman"/>
                <w:sz w:val="24"/>
                <w:szCs w:val="24"/>
              </w:rPr>
              <w:t xml:space="preserve">acro-regional and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S</w:t>
            </w:r>
            <w:r w:rsidR="002740A9" w:rsidRPr="00042192">
              <w:rPr>
                <w:rFonts w:ascii="Times New Roman" w:hAnsi="Times New Roman"/>
                <w:sz w:val="24"/>
                <w:szCs w:val="24"/>
              </w:rPr>
              <w:t xml:space="preserve">ea-basin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s</w:t>
            </w:r>
            <w:r w:rsidR="002740A9" w:rsidRPr="00042192">
              <w:rPr>
                <w:rFonts w:ascii="Times New Roman" w:hAnsi="Times New Roman"/>
                <w:sz w:val="24"/>
                <w:szCs w:val="24"/>
              </w:rPr>
              <w:t xml:space="preserve">trategies </w:t>
            </w:r>
            <w:r w:rsidR="007E0980">
              <w:rPr>
                <w:rFonts w:ascii="Times New Roman" w:hAnsi="Times New Roman"/>
                <w:sz w:val="24"/>
                <w:szCs w:val="24"/>
              </w:rPr>
              <w:t>d</w:t>
            </w:r>
            <w:r w:rsidR="002740A9" w:rsidRPr="00042192">
              <w:rPr>
                <w:rFonts w:ascii="Times New Roman" w:hAnsi="Times New Roman"/>
                <w:sz w:val="24"/>
                <w:szCs w:val="24"/>
              </w:rPr>
              <w:t>ays, which facilitate dialogue and cooperation among strategy implementers on shared priorities and common challenges</w:t>
            </w:r>
            <w:r w:rsidR="0040360E">
              <w:rPr>
                <w:rFonts w:ascii="Times New Roman" w:hAnsi="Times New Roman"/>
                <w:sz w:val="24"/>
                <w:szCs w:val="24"/>
              </w:rPr>
              <w:t xml:space="preserve">. In the context of the </w:t>
            </w:r>
            <w:r w:rsidR="0040360E" w:rsidRPr="0040360E">
              <w:rPr>
                <w:rFonts w:ascii="Times New Roman" w:hAnsi="Times New Roman"/>
                <w:sz w:val="24"/>
                <w:szCs w:val="24"/>
              </w:rPr>
              <w:t>next Multiannual Financial Framework</w:t>
            </w:r>
            <w:r w:rsidR="00AD4041">
              <w:rPr>
                <w:rFonts w:ascii="Times New Roman" w:hAnsi="Times New Roman"/>
                <w:sz w:val="24"/>
                <w:szCs w:val="24"/>
              </w:rPr>
              <w:t xml:space="preserve"> (MFF)</w:t>
            </w:r>
            <w:r w:rsidR="0040360E">
              <w:rPr>
                <w:rFonts w:ascii="Times New Roman" w:hAnsi="Times New Roman"/>
                <w:sz w:val="24"/>
                <w:szCs w:val="24"/>
              </w:rPr>
              <w:t xml:space="preserve">, the </w:t>
            </w:r>
            <w:r w:rsidR="0040360E" w:rsidRPr="0040360E">
              <w:rPr>
                <w:rFonts w:ascii="Times New Roman" w:hAnsi="Times New Roman"/>
                <w:sz w:val="24"/>
                <w:szCs w:val="24"/>
              </w:rPr>
              <w:t>National and Regional Partnership Plans</w:t>
            </w:r>
            <w:r w:rsidR="004036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4041">
              <w:rPr>
                <w:rFonts w:ascii="Times New Roman" w:hAnsi="Times New Roman"/>
                <w:sz w:val="24"/>
                <w:szCs w:val="24"/>
              </w:rPr>
              <w:t xml:space="preserve">(NRPPs) </w:t>
            </w:r>
            <w:r w:rsidR="0040360E">
              <w:rPr>
                <w:rFonts w:ascii="Times New Roman" w:hAnsi="Times New Roman"/>
                <w:sz w:val="24"/>
                <w:szCs w:val="24"/>
              </w:rPr>
              <w:t xml:space="preserve">will be key tools to </w:t>
            </w:r>
            <w:r w:rsidR="0040360E" w:rsidRPr="0040360E">
              <w:rPr>
                <w:rFonts w:ascii="Times New Roman" w:hAnsi="Times New Roman"/>
                <w:sz w:val="24"/>
                <w:szCs w:val="24"/>
              </w:rPr>
              <w:t>simplify programming, reduce administrative burden, and maximize the impact of EU spending</w:t>
            </w:r>
            <w:r w:rsidR="004036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7388">
              <w:rPr>
                <w:rFonts w:ascii="Times New Roman" w:hAnsi="Times New Roman"/>
                <w:sz w:val="24"/>
                <w:szCs w:val="24"/>
              </w:rPr>
              <w:t xml:space="preserve">which are aspects that in turn contribute to the efficient </w:t>
            </w:r>
            <w:r w:rsidR="000B7388" w:rsidRPr="000B7388">
              <w:rPr>
                <w:rFonts w:ascii="Times New Roman" w:hAnsi="Times New Roman"/>
                <w:sz w:val="24"/>
                <w:szCs w:val="24"/>
              </w:rPr>
              <w:t>delivery of macro-regional strategies</w:t>
            </w:r>
            <w:r w:rsidR="000B7388">
              <w:rPr>
                <w:rFonts w:ascii="Times New Roman" w:hAnsi="Times New Roman"/>
                <w:sz w:val="24"/>
                <w:szCs w:val="24"/>
              </w:rPr>
              <w:t>,</w:t>
            </w:r>
            <w:r w:rsidR="000B7388" w:rsidRPr="000B73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360E">
              <w:rPr>
                <w:rFonts w:ascii="Times New Roman" w:hAnsi="Times New Roman"/>
                <w:sz w:val="24"/>
                <w:szCs w:val="24"/>
              </w:rPr>
              <w:t xml:space="preserve">while ensuring full involvement of regional authorities and stakeholders. </w:t>
            </w:r>
          </w:p>
        </w:tc>
      </w:tr>
    </w:tbl>
    <w:p w14:paraId="7E347EA8" w14:textId="3EEBE380" w:rsidR="004F6117" w:rsidRPr="00AD4041" w:rsidRDefault="004F6117" w:rsidP="00554137">
      <w:pPr>
        <w:spacing w:after="0"/>
        <w:ind w:left="-425"/>
        <w:rPr>
          <w:rFonts w:ascii="Times New Roman" w:hAnsi="Times New Roman"/>
          <w:b/>
          <w:sz w:val="2"/>
          <w:szCs w:val="2"/>
          <w:u w:val="single"/>
        </w:rPr>
      </w:pPr>
    </w:p>
    <w:p w14:paraId="41D86A3C" w14:textId="77777777" w:rsidR="00554137" w:rsidRPr="00AD4041" w:rsidRDefault="00554137" w:rsidP="00554137">
      <w:pPr>
        <w:ind w:left="-426"/>
        <w:rPr>
          <w:rFonts w:ascii="Times New Roman" w:hAnsi="Times New Roman"/>
          <w:b/>
          <w:sz w:val="2"/>
          <w:szCs w:val="2"/>
          <w:u w:val="single"/>
        </w:rPr>
      </w:pPr>
    </w:p>
    <w:sectPr w:rsidR="00554137" w:rsidRPr="00AD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991A" w14:textId="77777777" w:rsidR="00FF63EA" w:rsidRDefault="00FF63EA" w:rsidP="00FF63EA">
      <w:pPr>
        <w:spacing w:after="0" w:line="240" w:lineRule="auto"/>
      </w:pPr>
      <w:r>
        <w:separator/>
      </w:r>
    </w:p>
  </w:endnote>
  <w:endnote w:type="continuationSeparator" w:id="0">
    <w:p w14:paraId="4F20E001" w14:textId="77777777" w:rsidR="00FF63EA" w:rsidRDefault="00FF63EA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41E3" w14:textId="77777777" w:rsidR="00FF63EA" w:rsidRDefault="00FF63EA" w:rsidP="00FF63EA">
      <w:pPr>
        <w:spacing w:after="0" w:line="240" w:lineRule="auto"/>
      </w:pPr>
      <w:r>
        <w:separator/>
      </w:r>
    </w:p>
  </w:footnote>
  <w:footnote w:type="continuationSeparator" w:id="0">
    <w:p w14:paraId="2E5903DE" w14:textId="77777777" w:rsidR="00FF63EA" w:rsidRDefault="00FF63EA" w:rsidP="00FF6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46B15"/>
    <w:rsid w:val="00050DC7"/>
    <w:rsid w:val="00066A14"/>
    <w:rsid w:val="00076109"/>
    <w:rsid w:val="00077C4F"/>
    <w:rsid w:val="000A6E34"/>
    <w:rsid w:val="000B7388"/>
    <w:rsid w:val="000F0274"/>
    <w:rsid w:val="000F2151"/>
    <w:rsid w:val="000F5FD8"/>
    <w:rsid w:val="001167C0"/>
    <w:rsid w:val="00135C2A"/>
    <w:rsid w:val="00154DAF"/>
    <w:rsid w:val="00180141"/>
    <w:rsid w:val="00187D40"/>
    <w:rsid w:val="001B0E0B"/>
    <w:rsid w:val="001C4138"/>
    <w:rsid w:val="001F2EC6"/>
    <w:rsid w:val="001F65D0"/>
    <w:rsid w:val="001F6AE4"/>
    <w:rsid w:val="00211100"/>
    <w:rsid w:val="00217E59"/>
    <w:rsid w:val="00234A99"/>
    <w:rsid w:val="00243212"/>
    <w:rsid w:val="0026762F"/>
    <w:rsid w:val="002740A9"/>
    <w:rsid w:val="002915A5"/>
    <w:rsid w:val="002F03FA"/>
    <w:rsid w:val="003004D2"/>
    <w:rsid w:val="00305DF3"/>
    <w:rsid w:val="003220E7"/>
    <w:rsid w:val="003349A3"/>
    <w:rsid w:val="00377967"/>
    <w:rsid w:val="0038121C"/>
    <w:rsid w:val="00386143"/>
    <w:rsid w:val="00397792"/>
    <w:rsid w:val="003B58DC"/>
    <w:rsid w:val="003D3EFE"/>
    <w:rsid w:val="003F0CE5"/>
    <w:rsid w:val="003F686E"/>
    <w:rsid w:val="0040360E"/>
    <w:rsid w:val="004362DD"/>
    <w:rsid w:val="00442552"/>
    <w:rsid w:val="00455A1C"/>
    <w:rsid w:val="004675B5"/>
    <w:rsid w:val="004770D6"/>
    <w:rsid w:val="0049246C"/>
    <w:rsid w:val="004A69EE"/>
    <w:rsid w:val="004A7932"/>
    <w:rsid w:val="004B3441"/>
    <w:rsid w:val="004C7604"/>
    <w:rsid w:val="004F6117"/>
    <w:rsid w:val="004F63F1"/>
    <w:rsid w:val="004F651E"/>
    <w:rsid w:val="0052596B"/>
    <w:rsid w:val="0055341E"/>
    <w:rsid w:val="00554137"/>
    <w:rsid w:val="00554D8D"/>
    <w:rsid w:val="00573835"/>
    <w:rsid w:val="00581306"/>
    <w:rsid w:val="00593E74"/>
    <w:rsid w:val="005B432E"/>
    <w:rsid w:val="005C3105"/>
    <w:rsid w:val="005E2495"/>
    <w:rsid w:val="0067635B"/>
    <w:rsid w:val="00692C2F"/>
    <w:rsid w:val="00695797"/>
    <w:rsid w:val="00696A5E"/>
    <w:rsid w:val="006B3B69"/>
    <w:rsid w:val="006C13E6"/>
    <w:rsid w:val="006F4F39"/>
    <w:rsid w:val="00734514"/>
    <w:rsid w:val="00734613"/>
    <w:rsid w:val="00751910"/>
    <w:rsid w:val="00751E60"/>
    <w:rsid w:val="007547B5"/>
    <w:rsid w:val="0076567A"/>
    <w:rsid w:val="007876C3"/>
    <w:rsid w:val="00795A9E"/>
    <w:rsid w:val="007A606D"/>
    <w:rsid w:val="007C2214"/>
    <w:rsid w:val="007D31EA"/>
    <w:rsid w:val="007E0980"/>
    <w:rsid w:val="00807B48"/>
    <w:rsid w:val="00811F54"/>
    <w:rsid w:val="008135CA"/>
    <w:rsid w:val="0081584F"/>
    <w:rsid w:val="008169A2"/>
    <w:rsid w:val="00857B0E"/>
    <w:rsid w:val="008703BF"/>
    <w:rsid w:val="008750B3"/>
    <w:rsid w:val="008925CE"/>
    <w:rsid w:val="008C4D41"/>
    <w:rsid w:val="009175C1"/>
    <w:rsid w:val="00935F07"/>
    <w:rsid w:val="00981F45"/>
    <w:rsid w:val="00994D12"/>
    <w:rsid w:val="009A3524"/>
    <w:rsid w:val="009B128B"/>
    <w:rsid w:val="00A16F07"/>
    <w:rsid w:val="00A36A91"/>
    <w:rsid w:val="00A62C7B"/>
    <w:rsid w:val="00A7709A"/>
    <w:rsid w:val="00AA0D0B"/>
    <w:rsid w:val="00AD4041"/>
    <w:rsid w:val="00AE1842"/>
    <w:rsid w:val="00AE3C7C"/>
    <w:rsid w:val="00AE5E15"/>
    <w:rsid w:val="00B05445"/>
    <w:rsid w:val="00B31306"/>
    <w:rsid w:val="00B42814"/>
    <w:rsid w:val="00B72050"/>
    <w:rsid w:val="00B73076"/>
    <w:rsid w:val="00B83936"/>
    <w:rsid w:val="00BD6EB7"/>
    <w:rsid w:val="00C37BDD"/>
    <w:rsid w:val="00C54D27"/>
    <w:rsid w:val="00C67AAE"/>
    <w:rsid w:val="00C76EEB"/>
    <w:rsid w:val="00D01F5A"/>
    <w:rsid w:val="00D1323B"/>
    <w:rsid w:val="00D1716E"/>
    <w:rsid w:val="00D64E05"/>
    <w:rsid w:val="00D92FD3"/>
    <w:rsid w:val="00DA3B6E"/>
    <w:rsid w:val="00DA5C93"/>
    <w:rsid w:val="00DB7581"/>
    <w:rsid w:val="00DC4EBB"/>
    <w:rsid w:val="00DC70C1"/>
    <w:rsid w:val="00DC769D"/>
    <w:rsid w:val="00E23BCB"/>
    <w:rsid w:val="00E65616"/>
    <w:rsid w:val="00E755D8"/>
    <w:rsid w:val="00E83C12"/>
    <w:rsid w:val="00E904C8"/>
    <w:rsid w:val="00EA1BBF"/>
    <w:rsid w:val="00EB29A9"/>
    <w:rsid w:val="00EB77D2"/>
    <w:rsid w:val="00F316C8"/>
    <w:rsid w:val="00F632DE"/>
    <w:rsid w:val="00F735E4"/>
    <w:rsid w:val="00FB7834"/>
    <w:rsid w:val="00FD4B6A"/>
    <w:rsid w:val="00FF03A8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2495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0A6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4079</Characters>
  <Application>Microsoft Office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2</cp:revision>
  <cp:lastPrinted>2013-02-27T18:02:00Z</cp:lastPrinted>
  <dcterms:created xsi:type="dcterms:W3CDTF">2026-02-06T11:22:00Z</dcterms:created>
  <dcterms:modified xsi:type="dcterms:W3CDTF">2026-02-06T11:22:00Z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</Properties>
</file>