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32A0" w14:textId="77777777" w:rsidR="00077C4F" w:rsidRPr="002572C2" w:rsidRDefault="00077C4F" w:rsidP="00442552">
      <w:pPr>
        <w:rPr>
          <w:rFonts w:ascii="Times New Roman" w:hAnsi="Times New Roman"/>
          <w:b/>
          <w:sz w:val="2"/>
          <w:szCs w:val="2"/>
          <w:u w:val="single"/>
        </w:rPr>
      </w:pPr>
    </w:p>
    <w:tbl>
      <w:tblPr>
        <w:tblW w:w="971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1"/>
      </w:tblGrid>
      <w:tr w:rsidR="001C4138" w:rsidRPr="00442552" w14:paraId="7E6372DC" w14:textId="77777777" w:rsidTr="00FB1A72">
        <w:trPr>
          <w:jc w:val="center"/>
        </w:trPr>
        <w:tc>
          <w:tcPr>
            <w:tcW w:w="9711" w:type="dxa"/>
          </w:tcPr>
          <w:p w14:paraId="3A4EDC3A" w14:textId="521E77D7" w:rsidR="001C4138" w:rsidRPr="004F6117" w:rsidRDefault="00501596" w:rsidP="00977A30">
            <w:pPr>
              <w:widowControl w:val="0"/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501596">
              <w:rPr>
                <w:rFonts w:ascii="Times New Roman" w:hAnsi="Times New Roman"/>
                <w:b/>
                <w:sz w:val="24"/>
                <w:szCs w:val="24"/>
              </w:rPr>
              <w:t>Establishing a common system for the return of third-country nationals staying illegally in the Union</w:t>
            </w:r>
            <w:r w:rsidR="00D3216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(optional opinion)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="006932F8" w:rsidRPr="00D33D3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COM(</w:t>
            </w:r>
            <w:proofErr w:type="gramEnd"/>
            <w:r w:rsidR="006932F8" w:rsidRPr="00D33D3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>2025) 101 final</w:t>
            </w:r>
            <w:r w:rsidR="001C4138" w:rsidRPr="00D33D3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br/>
            </w:r>
            <w:r w:rsidR="006932F8" w:rsidRPr="00D33D3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EESC-2025-01284 </w:t>
            </w:r>
            <w:r w:rsidR="006932F8" w:rsidRPr="004F6117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6932F8" w:rsidRPr="00D33D36">
              <w:rPr>
                <w:rFonts w:ascii="Times New Roman" w:hAnsi="Times New Roman"/>
                <w:b/>
                <w:sz w:val="24"/>
                <w:szCs w:val="24"/>
                <w:lang w:val="en-IE"/>
              </w:rPr>
              <w:t xml:space="preserve"> </w:t>
            </w:r>
            <w:r w:rsidR="00125BCE">
              <w:rPr>
                <w:rFonts w:ascii="Times New Roman" w:hAnsi="Times New Roman"/>
                <w:b/>
                <w:sz w:val="24"/>
                <w:szCs w:val="24"/>
              </w:rPr>
              <w:t>SOC/836</w:t>
            </w:r>
            <w:r w:rsidR="006932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>599</w:t>
            </w:r>
            <w:r w:rsidR="00547316" w:rsidRPr="00547316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th</w:t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C4138" w:rsidRPr="00AE3C7C">
              <w:rPr>
                <w:rFonts w:ascii="Times New Roman" w:hAnsi="Times New Roman"/>
                <w:b/>
                <w:sz w:val="24"/>
                <w:szCs w:val="24"/>
              </w:rPr>
              <w:t xml:space="preserve">Plenary Session – </w:t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>September 2025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Rapporteur: </w:t>
            </w:r>
            <w:r w:rsidR="00547316" w:rsidRPr="00547316">
              <w:rPr>
                <w:rFonts w:ascii="Times New Roman" w:hAnsi="Times New Roman"/>
                <w:b/>
                <w:sz w:val="24"/>
                <w:szCs w:val="24"/>
              </w:rPr>
              <w:t>José Antonio MORENO DÍAZ</w:t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32F8">
              <w:rPr>
                <w:rFonts w:ascii="Times New Roman" w:hAnsi="Times New Roman"/>
                <w:b/>
                <w:sz w:val="24"/>
                <w:szCs w:val="24"/>
              </w:rPr>
              <w:t>(ES</w:t>
            </w:r>
            <w:r w:rsidR="00E1024B">
              <w:rPr>
                <w:rFonts w:ascii="Times New Roman" w:hAnsi="Times New Roman"/>
                <w:b/>
                <w:sz w:val="24"/>
                <w:szCs w:val="24"/>
              </w:rPr>
              <w:t>-II</w:t>
            </w:r>
            <w:r w:rsidR="006932F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932F8"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932F8" w:rsidRPr="004F611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Co-rapporteur: </w:t>
            </w:r>
            <w:r w:rsidR="006932F8" w:rsidRPr="006932F8">
              <w:rPr>
                <w:rFonts w:ascii="Times New Roman" w:hAnsi="Times New Roman"/>
                <w:b/>
                <w:sz w:val="24"/>
                <w:szCs w:val="24"/>
              </w:rPr>
              <w:t>Cristian PÎRVULESCU</w:t>
            </w:r>
            <w:r w:rsidR="006932F8">
              <w:rPr>
                <w:rFonts w:ascii="Times New Roman" w:hAnsi="Times New Roman"/>
                <w:b/>
                <w:sz w:val="24"/>
                <w:szCs w:val="24"/>
              </w:rPr>
              <w:t xml:space="preserve"> (RO</w:t>
            </w:r>
            <w:r w:rsidR="00E1024B">
              <w:rPr>
                <w:rFonts w:ascii="Times New Roman" w:hAnsi="Times New Roman"/>
                <w:b/>
                <w:sz w:val="24"/>
                <w:szCs w:val="24"/>
              </w:rPr>
              <w:t>-III</w:t>
            </w:r>
            <w:r w:rsidR="006932F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DG </w:t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>HOME</w:t>
            </w:r>
            <w:r w:rsidR="001C4138" w:rsidRPr="00807B48">
              <w:rPr>
                <w:rFonts w:ascii="Times New Roman" w:hAnsi="Times New Roman"/>
                <w:b/>
                <w:sz w:val="24"/>
                <w:szCs w:val="24"/>
              </w:rPr>
              <w:t xml:space="preserve"> – Commissioner </w:t>
            </w:r>
            <w:r w:rsidR="00547316">
              <w:rPr>
                <w:rFonts w:ascii="Times New Roman" w:hAnsi="Times New Roman"/>
                <w:b/>
                <w:sz w:val="24"/>
                <w:szCs w:val="24"/>
              </w:rPr>
              <w:t>BRUNNER</w:t>
            </w:r>
          </w:p>
        </w:tc>
      </w:tr>
      <w:tr w:rsidR="00734613" w:rsidRPr="00442552" w14:paraId="1937071F" w14:textId="77777777" w:rsidTr="00FB1A72">
        <w:trPr>
          <w:jc w:val="center"/>
        </w:trPr>
        <w:tc>
          <w:tcPr>
            <w:tcW w:w="9711" w:type="dxa"/>
          </w:tcPr>
          <w:p w14:paraId="1E50B4DB" w14:textId="0EE4E01B" w:rsidR="00734613" w:rsidRPr="00695797" w:rsidRDefault="004F6117" w:rsidP="00977A30">
            <w:pPr>
              <w:widowControl w:val="0"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European Commission position on points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 xml:space="preserve">of the European Economic and Social Committee </w:t>
            </w:r>
            <w:r w:rsidR="00D32165">
              <w:rPr>
                <w:rFonts w:ascii="Times New Roman" w:hAnsi="Times New Roman"/>
                <w:b/>
                <w:sz w:val="24"/>
                <w:szCs w:val="24"/>
              </w:rPr>
              <w:t xml:space="preserve">(EESC) </w:t>
            </w:r>
            <w:r w:rsidRPr="004F6117">
              <w:rPr>
                <w:rFonts w:ascii="Times New Roman" w:hAnsi="Times New Roman"/>
                <w:b/>
                <w:sz w:val="24"/>
                <w:szCs w:val="24"/>
              </w:rPr>
              <w:t>opinion</w:t>
            </w:r>
            <w:r w:rsidR="00E83C1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83C12" w:rsidRPr="00E83C12">
              <w:rPr>
                <w:rFonts w:ascii="Times New Roman" w:hAnsi="Times New Roman"/>
                <w:b/>
                <w:sz w:val="24"/>
                <w:szCs w:val="24"/>
              </w:rPr>
              <w:t>considered as essential</w:t>
            </w:r>
          </w:p>
        </w:tc>
      </w:tr>
      <w:tr w:rsidR="00734613" w:rsidRPr="004F6117" w14:paraId="673DDC1B" w14:textId="77777777" w:rsidTr="00FB1A72">
        <w:trPr>
          <w:jc w:val="center"/>
        </w:trPr>
        <w:tc>
          <w:tcPr>
            <w:tcW w:w="9711" w:type="dxa"/>
          </w:tcPr>
          <w:p w14:paraId="7704E50E" w14:textId="7BAC1A93" w:rsidR="005133C6" w:rsidRPr="00977A30" w:rsidRDefault="008D757F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D32165">
              <w:rPr>
                <w:rFonts w:ascii="Times New Roman" w:hAnsi="Times New Roman"/>
                <w:bCs/>
                <w:sz w:val="24"/>
                <w:szCs w:val="24"/>
              </w:rPr>
              <w:t xml:space="preserve">Committee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highlights the lack of a robust </w:t>
            </w:r>
            <w:r w:rsidRPr="00977A30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ex ante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impact assessment.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The Commission would like to note that the European Council conclusions of October 2024 called on the Commission to come forward urgently with a new legislative framework on return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underscoring the need for </w:t>
            </w:r>
            <w:r w:rsidR="007E12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immediate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action.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n line with the rules on better regulation, the proposal is accompanied by a</w:t>
            </w:r>
            <w:r w:rsidR="00F7232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Staff Working Document published on 16 May 2025</w:t>
            </w:r>
            <w:r w:rsidR="00AF7F8A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1"/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presenting</w:t>
            </w:r>
            <w:r w:rsidR="007E12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the evidence base underpinn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ing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the proposal. Over the past years</w:t>
            </w:r>
            <w:r w:rsidR="00EC0E57" w:rsidRPr="008D63B9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,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extensive consultations have been conducted with relevant stakeholders at all levels and evaluations of Member States’ return systems have been carried out in the context of the Schengen evaluation mechanism</w:t>
            </w:r>
            <w:r w:rsidR="00EC0E57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2"/>
            </w:r>
            <w:r w:rsidR="00E23629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02694" w:rsidRPr="00977A3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he preliminary findings and targeted consultations in the context of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the Commission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study on ‘gaps and needs of EU law in the area of return’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were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 xml:space="preserve">also </w:t>
            </w:r>
            <w:proofErr w:type="gramStart"/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taken into account</w:t>
            </w:r>
            <w:proofErr w:type="gramEnd"/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. The Return Directive</w:t>
            </w:r>
            <w:r w:rsidR="00785E1E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3"/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has been in place for over 15 years and the Commission has followed closely its implementation and the developments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of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the relevant jurisprudence. The negotiations on the Commission’s proposal for a recast Return Directive of 2018</w:t>
            </w:r>
            <w:r w:rsidR="00993F14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4"/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have also provided a valuable experience. These consultations and this accumulated experience have ensured that the proposal is well-grounded and reflective of existing insights.</w:t>
            </w:r>
            <w:r w:rsidR="005133C6" w:rsidRPr="00977A3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en-IE"/>
              </w:rPr>
              <w:t> </w:t>
            </w:r>
          </w:p>
          <w:p w14:paraId="3AE865DD" w14:textId="4B81B1A0" w:rsidR="008D757F" w:rsidRPr="00977A30" w:rsidRDefault="008D757F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EESC regrets that the regulation is not embedded in a broader strategy to promote legal and safe migration pathways.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The Commission would like to underline that t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he return legislation and policy should not be seen in isolation but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ar</w:t>
            </w:r>
            <w:r w:rsidR="00624D8D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part of the overall </w:t>
            </w:r>
            <w:r w:rsidR="00A02694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asylum and migration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system. 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proposal is part of the comprehensive approach to manage migration as set out in the Asylum and Migration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 xml:space="preserve">Management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>Regulation</w:t>
            </w:r>
            <w:r w:rsidR="005133C6" w:rsidRPr="00977A30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5"/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and complements the legislative framework of the Pact</w:t>
            </w:r>
            <w:r w:rsidR="00A63FC9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6"/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adopted in May 2024.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Pact establishes a comprehensive approach to manage migration, which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comprises all aspects</w:t>
            </w:r>
            <w:r w:rsidR="00624D8D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 xml:space="preserve">such as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asylum, border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 xml:space="preserve"> management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, return, legal pathways and integration. The work on the return legislation focuses on the process of returning those </w:t>
            </w:r>
            <w:r w:rsidR="007E128A">
              <w:rPr>
                <w:rFonts w:ascii="Times New Roman" w:hAnsi="Times New Roman"/>
                <w:bCs/>
                <w:sz w:val="24"/>
                <w:szCs w:val="24"/>
              </w:rPr>
              <w:t>who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do not have a right to stay in the EU.</w:t>
            </w:r>
          </w:p>
          <w:p w14:paraId="48EBB2CC" w14:textId="36D2BE16" w:rsidR="002B5E6F" w:rsidRPr="00977A30" w:rsidRDefault="002B5E6F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en-IE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The EESC ad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vocates mandatory suspensive effect and the respect of the principle of non-refoulement. The Commission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would like to recall that the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proposal foresees </w:t>
            </w:r>
            <w:r w:rsidR="005133C6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in Article 28 (1)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that t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he enforcement of return decisions</w:t>
            </w:r>
            <w:r w:rsidR="00A95758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D33D36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shall 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be suspende</w:t>
            </w:r>
            <w:r w:rsidR="00101D9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d until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the time limit within which third-country nationals can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lodge an appeal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expire</w:t>
            </w:r>
            <w:r w:rsidR="00E23629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s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.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During the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same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period, third-country nationals shall be </w:t>
            </w:r>
            <w:r w:rsidR="00045ACB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allowed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to </w:t>
            </w:r>
            <w:proofErr w:type="gramStart"/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submit an application</w:t>
            </w:r>
            <w:proofErr w:type="gramEnd"/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to suspend the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enforcement of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return decision</w:t>
            </w:r>
            <w:r w:rsidR="00101D9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s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pending the outcome of the appeal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. The Commission would like to underline that the proposal </w:t>
            </w:r>
            <w:r w:rsidR="00D33D36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provides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in Article 28 (2) </w:t>
            </w:r>
            <w:r w:rsidR="00D33D36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for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the automatic suspensi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on of the </w:t>
            </w:r>
            <w:r w:rsidR="004C67BD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enforcement of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return decisions where there is a</w:t>
            </w:r>
            <w:r w:rsidR="00F72327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 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risk of breach of the principle of non-refoulement.</w:t>
            </w:r>
          </w:p>
          <w:p w14:paraId="1554B0C4" w14:textId="4DD32623" w:rsidR="001D1BDE" w:rsidRPr="00977A30" w:rsidRDefault="002B5E6F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Regarding the concerns raised by the EESC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>on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detention, the Commission would like to note that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managing the risk of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>absconding and ensuring th</w:t>
            </w:r>
            <w:r w:rsidR="000A4CAB">
              <w:rPr>
                <w:rFonts w:ascii="Times New Roman" w:hAnsi="Times New Roman"/>
                <w:bCs/>
                <w:sz w:val="24"/>
                <w:szCs w:val="24"/>
              </w:rPr>
              <w:t>e presence of the persons concerned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during return procedures are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important for the efficiency of the return process.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proposal 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>puts forward</w:t>
            </w:r>
            <w:r w:rsidR="00045AC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common rules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ensuring </w:t>
            </w:r>
            <w:r w:rsidR="004C67BD" w:rsidRPr="00977A30">
              <w:rPr>
                <w:rFonts w:ascii="Times New Roman" w:hAnsi="Times New Roman"/>
                <w:bCs/>
                <w:sz w:val="24"/>
                <w:szCs w:val="24"/>
              </w:rPr>
              <w:t>a coherent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assessment of the risk of absconding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>throughout the Member States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 xml:space="preserve">, promoting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legal </w:t>
            </w:r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certainty.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proposal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>allows for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detention of minors under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conditions that are </w:t>
            </w:r>
            <w:proofErr w:type="gramStart"/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>similar to</w:t>
            </w:r>
            <w:proofErr w:type="gramEnd"/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those laid down by </w:t>
            </w:r>
            <w:r w:rsidR="000B568A" w:rsidRPr="00977A30">
              <w:rPr>
                <w:rFonts w:ascii="Times New Roman" w:hAnsi="Times New Roman"/>
                <w:bCs/>
                <w:sz w:val="24"/>
                <w:szCs w:val="24"/>
              </w:rPr>
              <w:t>the Return Directive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>, including that d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>etention shall be a</w:t>
            </w:r>
            <w:r w:rsidR="00F7232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>measure of last resort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 xml:space="preserve">, lasting </w:t>
            </w:r>
            <w:r w:rsidR="00E2218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for the shortest appropriate period of time and taking into account the best interests of the child.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</w:t>
            </w:r>
            <w:r w:rsidR="00B86DD2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roposal provides additionally for conditions and safeguards specifically for minors and families with minors with a view to protecting this vulnerable group of persons (</w:t>
            </w:r>
            <w:r w:rsidR="006678D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rticle 35). </w:t>
            </w:r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Member States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shall </w:t>
            </w:r>
            <w:proofErr w:type="gramStart"/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>take into account</w:t>
            </w:r>
            <w:proofErr w:type="gramEnd"/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the practical guidelines from the Council of Europe Committee for the prevention of torture and inhuman and degrading treatment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(recital 34 of the proposal)</w:t>
            </w:r>
            <w:r w:rsidR="002F4E3B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D880444" w14:textId="386AE5E1" w:rsidR="002F4E3B" w:rsidRPr="00977A30" w:rsidRDefault="00F372EC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EESC considers that return hubs do not respect international law. The 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 xml:space="preserve">Commission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proposal allows Member States</w:t>
            </w:r>
            <w:r w:rsidR="006678D2">
              <w:rPr>
                <w:rFonts w:ascii="Times New Roman" w:hAnsi="Times New Roman"/>
                <w:bCs/>
                <w:sz w:val="24"/>
                <w:szCs w:val="24"/>
              </w:rPr>
              <w:t xml:space="preserve"> to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return</w:t>
            </w:r>
            <w:r w:rsidR="006678D2">
              <w:rPr>
                <w:rFonts w:ascii="Times New Roman" w:hAnsi="Times New Roman"/>
                <w:bCs/>
                <w:sz w:val="24"/>
                <w:szCs w:val="24"/>
              </w:rPr>
              <w:t xml:space="preserve"> individuals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to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third countr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ies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with which there is an agreement or arrangement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under the conditions laid down </w:t>
            </w:r>
            <w:r w:rsidR="006678D2">
              <w:rPr>
                <w:rFonts w:ascii="Times New Roman" w:hAnsi="Times New Roman"/>
                <w:bCs/>
                <w:sz w:val="24"/>
                <w:szCs w:val="24"/>
              </w:rPr>
              <w:t>in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678D2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rticle 17 of the </w:t>
            </w:r>
            <w:r w:rsidR="003E0EB6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roposal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>, including on the respect of individuals’ rights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>Such agreements or arrangements 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 xml:space="preserve">would 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>constitute an implementation of Union law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>, subject to judicial supervision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557A6" w:rsidRPr="00977A3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he Commission would like to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stress that returns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>to a</w:t>
            </w:r>
            <w:r w:rsidR="00F7232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>country with which there is an</w:t>
            </w:r>
            <w:r w:rsidR="008525F2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proofErr w:type="gramStart"/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>agreement</w:t>
            </w:r>
            <w:proofErr w:type="gramEnd"/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or an arrangement requires the third-country national to be issued with a return decision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045ACB">
              <w:rPr>
                <w:rFonts w:ascii="Times New Roman" w:hAnsi="Times New Roman"/>
                <w:bCs/>
                <w:sz w:val="24"/>
                <w:szCs w:val="24"/>
              </w:rPr>
              <w:t xml:space="preserve">to be enforced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in compliance with all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the applicable safeguards</w:t>
            </w:r>
            <w:r w:rsidR="005162F9" w:rsidRPr="00977A3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including </w:t>
            </w:r>
            <w:r w:rsidR="00D12D4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respect of 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the principle of non-refoulement.</w:t>
            </w:r>
            <w:r w:rsidR="00AC0E89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The proposal reflects many aspects identified by the Fundamental Rights Agency on the feasibility and preconditions for return hubs</w:t>
            </w:r>
            <w:r w:rsidR="002C4D6F" w:rsidRPr="00977A30">
              <w:rPr>
                <w:rStyle w:val="FootnoteReference"/>
                <w:rFonts w:ascii="Times New Roman" w:hAnsi="Times New Roman"/>
                <w:bCs/>
                <w:sz w:val="24"/>
                <w:szCs w:val="24"/>
              </w:rPr>
              <w:footnoteReference w:id="7"/>
            </w:r>
            <w:r w:rsidR="00AC0E89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111691C" w14:textId="604F69A3" w:rsidR="009C55F4" w:rsidRPr="00977A30" w:rsidRDefault="004524CE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  <w:lang w:val="en-IE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he Commission would like to </w:t>
            </w:r>
            <w:r w:rsidR="00F57EB4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highlight 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that mutual recognition is intended to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facilitate and 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speed up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the 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return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process, deter </w:t>
            </w:r>
            <w:r w:rsidR="009847C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illegal</w:t>
            </w:r>
            <w:r w:rsidR="009847CF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 </w:t>
            </w:r>
            <w:r w:rsidR="009847CF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im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>migration and discourage unauthorised secondary movements within the Union</w:t>
            </w:r>
            <w:r w:rsidRPr="00977A30">
              <w:rPr>
                <w:rFonts w:ascii="Times New Roman" w:hAnsi="Times New Roman"/>
                <w:bCs/>
                <w:sz w:val="24"/>
                <w:szCs w:val="24"/>
                <w:lang w:val="en-IE"/>
              </w:rPr>
              <w:t xml:space="preserve">.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>In reply to</w:t>
            </w:r>
            <w:r w:rsidR="002C4D6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the concerns </w:t>
            </w:r>
            <w:r w:rsidR="005E667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of the EESC </w:t>
            </w:r>
            <w:r w:rsidR="002C4D6F" w:rsidRPr="00977A30">
              <w:rPr>
                <w:rFonts w:ascii="Times New Roman" w:hAnsi="Times New Roman"/>
                <w:bCs/>
                <w:sz w:val="24"/>
                <w:szCs w:val="24"/>
              </w:rPr>
              <w:t>relating to possible breaches of fundamental rights in the context of mutual recognition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2C4D6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>the Commission</w:t>
            </w:r>
            <w:r w:rsidR="002C4D6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would like to recall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Article 5 of the </w:t>
            </w:r>
            <w:r w:rsidR="00813B06"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>roposal</w:t>
            </w:r>
            <w:r w:rsidR="009847C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according to which when applying the Regulation</w:t>
            </w:r>
            <w:r w:rsidR="009847CF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Member States shall act in full compliance with the relevant Union law, including the Charter, with relevant 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international law, with the obligations related to access to international protection, in particular the principle of non-refoulement, and with fundamental rights</w:t>
            </w:r>
            <w:r w:rsidR="002C4D6F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EFB55F6" w14:textId="3FBDCF53" w:rsidR="00F57EB4" w:rsidRPr="00977A30" w:rsidRDefault="00DD1BE3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EESC considers </w:t>
            </w:r>
            <w:r w:rsidR="00BE36AD" w:rsidRPr="00977A30">
              <w:rPr>
                <w:rFonts w:ascii="Times New Roman" w:hAnsi="Times New Roman"/>
                <w:bCs/>
                <w:sz w:val="24"/>
                <w:szCs w:val="24"/>
              </w:rPr>
              <w:t>Articles 6 and 47</w:t>
            </w:r>
            <w:r w:rsidR="00022B4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E36AD" w:rsidRPr="00977A30">
              <w:rPr>
                <w:rFonts w:ascii="Times New Roman" w:hAnsi="Times New Roman"/>
                <w:bCs/>
                <w:sz w:val="24"/>
                <w:szCs w:val="24"/>
              </w:rPr>
              <w:t>of the proposal</w:t>
            </w:r>
            <w:r w:rsidR="00022B4B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, specifically, </w:t>
            </w:r>
            <w:r w:rsidR="00BE36AD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to be 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problematic. </w:t>
            </w:r>
            <w:r w:rsidR="00444CD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The Commission would like to highlight that 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Article 6 </w:t>
            </w:r>
            <w:r w:rsidR="00444CD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sets out the essential </w:t>
            </w:r>
            <w:r w:rsidR="00FB1A72" w:rsidRPr="00977A30">
              <w:rPr>
                <w:rFonts w:ascii="Times New Roman" w:hAnsi="Times New Roman"/>
                <w:bCs/>
                <w:sz w:val="24"/>
                <w:szCs w:val="24"/>
              </w:rPr>
              <w:t>verifications</w:t>
            </w:r>
            <w:r w:rsidR="00444CD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to be carried out at the beginning of the return procedure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>, notably checks of</w:t>
            </w:r>
            <w:r w:rsidR="004524CE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relevant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EU</w:t>
            </w:r>
            <w:r w:rsidR="004524CE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data bases</w:t>
            </w:r>
            <w:r w:rsidR="00F57EB4" w:rsidRPr="00977A3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4524CE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>including</w:t>
            </w:r>
            <w:r w:rsidR="004524CE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checks for security risks.</w:t>
            </w:r>
            <w:r w:rsidR="00444CDA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>Article 47 on emergency situations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, which is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worded in the same terms as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Article 18 of the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Return 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>Directive,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allows Member States to derogate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from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certain rules </w:t>
            </w:r>
            <w:r w:rsidR="00457AD0" w:rsidRPr="00977A30">
              <w:rPr>
                <w:rFonts w:ascii="Times New Roman" w:hAnsi="Times New Roman"/>
                <w:bCs/>
                <w:sz w:val="24"/>
                <w:szCs w:val="24"/>
              </w:rPr>
              <w:t>under strict conditions</w:t>
            </w:r>
            <w:r w:rsidR="00DA0FA3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0D14481" w14:textId="2A7C14B5" w:rsidR="0049246C" w:rsidRPr="00977A30" w:rsidRDefault="00AC0E89" w:rsidP="00977A30">
            <w:pPr>
              <w:widowControl w:val="0"/>
              <w:spacing w:before="120" w:after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Finally, the Commission 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takes note of the EESC’s 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>concerns</w:t>
            </w:r>
            <w:r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that the proposal 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>might divert Asylum and Migration Integration Fund resources away from integration actions and programmes</w:t>
            </w:r>
            <w:r w:rsidR="0032659C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but underlines that the proposal does not directly determine</w:t>
            </w:r>
            <w:r w:rsidR="00DF027A">
              <w:rPr>
                <w:rFonts w:ascii="Times New Roman" w:hAnsi="Times New Roman"/>
                <w:bCs/>
                <w:sz w:val="24"/>
                <w:szCs w:val="24"/>
              </w:rPr>
              <w:t xml:space="preserve"> the</w:t>
            </w:r>
            <w:r w:rsidR="009950B1" w:rsidRPr="00977A30">
              <w:rPr>
                <w:rFonts w:ascii="Times New Roman" w:hAnsi="Times New Roman"/>
                <w:bCs/>
                <w:sz w:val="24"/>
                <w:szCs w:val="24"/>
              </w:rPr>
              <w:t xml:space="preserve"> allocation of funding under the relevant funds</w:t>
            </w:r>
            <w:r w:rsidR="00067E3F" w:rsidRPr="00977A3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6AF07B14" w14:textId="26AEAB66" w:rsidR="004F6117" w:rsidRPr="003E0EB6" w:rsidRDefault="004F6117" w:rsidP="00444CDA">
      <w:pPr>
        <w:rPr>
          <w:rFonts w:ascii="Times New Roman" w:hAnsi="Times New Roman"/>
          <w:b/>
          <w:strike/>
          <w:sz w:val="2"/>
          <w:szCs w:val="2"/>
          <w:u w:val="single"/>
        </w:rPr>
      </w:pPr>
    </w:p>
    <w:sectPr w:rsidR="004F6117" w:rsidRPr="003E0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8788" w14:textId="77777777" w:rsidR="000130F4" w:rsidRDefault="000130F4" w:rsidP="00FF63EA">
      <w:pPr>
        <w:spacing w:after="0" w:line="240" w:lineRule="auto"/>
      </w:pPr>
      <w:r>
        <w:separator/>
      </w:r>
    </w:p>
  </w:endnote>
  <w:endnote w:type="continuationSeparator" w:id="0">
    <w:p w14:paraId="059FE476" w14:textId="77777777" w:rsidR="000130F4" w:rsidRDefault="000130F4" w:rsidP="00FF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AE2E" w14:textId="77777777" w:rsidR="000130F4" w:rsidRDefault="000130F4" w:rsidP="00FF63EA">
      <w:pPr>
        <w:spacing w:after="0" w:line="240" w:lineRule="auto"/>
      </w:pPr>
      <w:r>
        <w:separator/>
      </w:r>
    </w:p>
  </w:footnote>
  <w:footnote w:type="continuationSeparator" w:id="0">
    <w:p w14:paraId="49DA6E7D" w14:textId="77777777" w:rsidR="000130F4" w:rsidRDefault="000130F4" w:rsidP="00FF63EA">
      <w:pPr>
        <w:spacing w:after="0" w:line="240" w:lineRule="auto"/>
      </w:pPr>
      <w:r>
        <w:continuationSeparator/>
      </w:r>
    </w:p>
  </w:footnote>
  <w:footnote w:id="1">
    <w:p w14:paraId="04D33381" w14:textId="34AE9680" w:rsidR="00AF7F8A" w:rsidRPr="00760E49" w:rsidRDefault="00AF7F8A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  <w:lang w:val="fr-BE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  <w:lang w:val="fr-BE"/>
        </w:rPr>
        <w:t xml:space="preserve"> </w:t>
      </w:r>
      <w:r w:rsidRPr="00760E49">
        <w:rPr>
          <w:rFonts w:ascii="Times New Roman" w:hAnsi="Times New Roman"/>
          <w:lang w:val="fr-BE"/>
        </w:rPr>
        <w:tab/>
      </w:r>
      <w:proofErr w:type="gramStart"/>
      <w:r w:rsidR="00C63DB6" w:rsidRPr="00760E49">
        <w:rPr>
          <w:rFonts w:ascii="Times New Roman" w:hAnsi="Times New Roman"/>
          <w:lang w:val="fr-BE"/>
        </w:rPr>
        <w:t>SWD(</w:t>
      </w:r>
      <w:proofErr w:type="gramEnd"/>
      <w:r w:rsidR="00C63DB6" w:rsidRPr="00760E49">
        <w:rPr>
          <w:rFonts w:ascii="Times New Roman" w:hAnsi="Times New Roman"/>
          <w:lang w:val="fr-BE"/>
        </w:rPr>
        <w:t>2025) 250 final (</w:t>
      </w:r>
      <w:hyperlink r:id="rId1" w:history="1">
        <w:r w:rsidR="00760E49" w:rsidRPr="00760E49">
          <w:rPr>
            <w:rStyle w:val="Hyperlink"/>
            <w:rFonts w:ascii="Times New Roman" w:hAnsi="Times New Roman"/>
            <w:lang w:val="fr-BE"/>
          </w:rPr>
          <w:t>EUR-Lex - 52025SC0250 - EN - EUR-Lex</w:t>
        </w:r>
      </w:hyperlink>
      <w:r w:rsidR="00C63DB6" w:rsidRPr="00760E49">
        <w:rPr>
          <w:rFonts w:ascii="Times New Roman" w:hAnsi="Times New Roman"/>
          <w:lang w:val="fr-BE"/>
        </w:rPr>
        <w:t>).</w:t>
      </w:r>
    </w:p>
  </w:footnote>
  <w:footnote w:id="2">
    <w:p w14:paraId="7060C261" w14:textId="7AAD4A48" w:rsidR="00EC0E57" w:rsidRPr="00760E49" w:rsidRDefault="00EC0E57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</w:rPr>
        <w:t xml:space="preserve"> </w:t>
      </w:r>
      <w:r w:rsidRPr="00760E49">
        <w:rPr>
          <w:rFonts w:ascii="Times New Roman" w:hAnsi="Times New Roman"/>
        </w:rPr>
        <w:tab/>
        <w:t>Council Regulation (EU) 2022/922 of 9 June 2022 on the establishment and operation of an evaluation and monitoring mechanism to verify the application of the Schengen acquis, and repealing Regulation (EU) No 1053/2013 (</w:t>
      </w:r>
      <w:hyperlink r:id="rId2" w:tooltip="Gives access to this document through its ELI URI." w:history="1">
        <w:r w:rsidRPr="00760E49">
          <w:rPr>
            <w:rStyle w:val="Hyperlink"/>
            <w:rFonts w:ascii="Times New Roman" w:hAnsi="Times New Roman"/>
          </w:rPr>
          <w:t>http://data.europa.eu/eli/reg/2022/922/oj</w:t>
        </w:r>
      </w:hyperlink>
      <w:r w:rsidRPr="00760E49">
        <w:rPr>
          <w:rFonts w:ascii="Times New Roman" w:hAnsi="Times New Roman"/>
        </w:rPr>
        <w:t>).</w:t>
      </w:r>
    </w:p>
  </w:footnote>
  <w:footnote w:id="3">
    <w:p w14:paraId="1E7AEE9C" w14:textId="27C8C60A" w:rsidR="00785E1E" w:rsidRPr="00760E49" w:rsidRDefault="00785E1E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</w:rPr>
        <w:t xml:space="preserve"> </w:t>
      </w:r>
      <w:r w:rsidRPr="00760E49">
        <w:rPr>
          <w:rFonts w:ascii="Times New Roman" w:hAnsi="Times New Roman"/>
        </w:rPr>
        <w:tab/>
        <w:t>Directive 2008/115/EC of the European Parliament and of the Council of 16 December 2008 on common standards and procedures in Member States for returning illegally staying third-country nationals (</w:t>
      </w:r>
      <w:hyperlink r:id="rId3" w:history="1">
        <w:r w:rsidRPr="00760E49">
          <w:rPr>
            <w:rStyle w:val="Hyperlink"/>
            <w:rFonts w:ascii="Times New Roman" w:hAnsi="Times New Roman"/>
          </w:rPr>
          <w:t>Directive - 2008/115 - EN - EUR-Lex</w:t>
        </w:r>
      </w:hyperlink>
      <w:r w:rsidRPr="00760E49">
        <w:rPr>
          <w:rFonts w:ascii="Times New Roman" w:hAnsi="Times New Roman"/>
        </w:rPr>
        <w:t xml:space="preserve">). </w:t>
      </w:r>
    </w:p>
  </w:footnote>
  <w:footnote w:id="4">
    <w:p w14:paraId="28499E98" w14:textId="7801C86B" w:rsidR="00993F14" w:rsidRPr="00760E49" w:rsidRDefault="00993F14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  <w:lang w:val="en-IE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  <w:lang w:val="en-IE"/>
        </w:rPr>
        <w:t xml:space="preserve"> </w:t>
      </w:r>
      <w:r w:rsidRPr="00760E49">
        <w:rPr>
          <w:rFonts w:ascii="Times New Roman" w:hAnsi="Times New Roman"/>
          <w:lang w:val="en-IE"/>
        </w:rPr>
        <w:tab/>
        <w:t>COM(2018) 634 final (</w:t>
      </w:r>
      <w:hyperlink r:id="rId4" w:history="1">
        <w:r w:rsidR="00760E49" w:rsidRPr="00F72327">
          <w:rPr>
            <w:rStyle w:val="Hyperlink"/>
            <w:rFonts w:ascii="Times New Roman" w:hAnsi="Times New Roman"/>
            <w:lang w:val="en-IE"/>
          </w:rPr>
          <w:t>EUR-Lex - 52018PC0634 - EN - EUR-Lex</w:t>
        </w:r>
      </w:hyperlink>
      <w:r w:rsidRPr="00760E49">
        <w:rPr>
          <w:rFonts w:ascii="Times New Roman" w:hAnsi="Times New Roman"/>
          <w:lang w:val="en-IE"/>
        </w:rPr>
        <w:t>)</w:t>
      </w:r>
      <w:r w:rsidR="005E6D70">
        <w:rPr>
          <w:rFonts w:ascii="Times New Roman" w:hAnsi="Times New Roman"/>
          <w:lang w:val="en-IE"/>
        </w:rPr>
        <w:t>.</w:t>
      </w:r>
    </w:p>
  </w:footnote>
  <w:footnote w:id="5">
    <w:p w14:paraId="2181C6B1" w14:textId="752F3EAD" w:rsidR="005133C6" w:rsidRPr="00760E49" w:rsidRDefault="005133C6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  <w:lang w:val="en-IE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</w:rPr>
        <w:t xml:space="preserve"> </w:t>
      </w:r>
      <w:r w:rsidR="00AF5C31" w:rsidRPr="00760E49">
        <w:rPr>
          <w:rFonts w:ascii="Times New Roman" w:hAnsi="Times New Roman"/>
        </w:rPr>
        <w:tab/>
      </w:r>
      <w:r w:rsidRPr="00760E49">
        <w:rPr>
          <w:rFonts w:ascii="Times New Roman" w:hAnsi="Times New Roman"/>
          <w:lang w:val="en-IE"/>
        </w:rPr>
        <w:t>Regulation (EU) 2024/1351 of the European Parliament and of the Council of 14 May 2024 on asylum and migration management, amending Regulation (EU) 2021/1147 and (EU) 2021/1060 and repealing Regulation (EU) 604/</w:t>
      </w:r>
      <w:proofErr w:type="gramStart"/>
      <w:r w:rsidRPr="00760E49">
        <w:rPr>
          <w:rFonts w:ascii="Times New Roman" w:hAnsi="Times New Roman"/>
          <w:lang w:val="en-IE"/>
        </w:rPr>
        <w:t>2013.</w:t>
      </w:r>
      <w:r w:rsidR="00AF5C31" w:rsidRPr="00760E49">
        <w:rPr>
          <w:rFonts w:ascii="Times New Roman" w:hAnsi="Times New Roman"/>
          <w:lang w:val="en-IE"/>
        </w:rPr>
        <w:t>(</w:t>
      </w:r>
      <w:proofErr w:type="gramEnd"/>
      <w:r w:rsidR="00AF5C31" w:rsidRPr="00760E49">
        <w:rPr>
          <w:rFonts w:ascii="Times New Roman" w:hAnsi="Times New Roman"/>
          <w:lang w:val="en-IE"/>
        </w:rPr>
        <w:t>http://data.europa.eu/eli/reg/2024/1351/oj)</w:t>
      </w:r>
      <w:r w:rsidRPr="00760E49">
        <w:rPr>
          <w:rFonts w:ascii="Times New Roman" w:hAnsi="Times New Roman"/>
          <w:lang w:val="en-IE"/>
        </w:rPr>
        <w:t>.</w:t>
      </w:r>
    </w:p>
  </w:footnote>
  <w:footnote w:id="6">
    <w:p w14:paraId="1FDFB3F7" w14:textId="072B8ACD" w:rsidR="00A63FC9" w:rsidRPr="00760E49" w:rsidRDefault="00A63FC9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  <w:lang w:val="fr-BE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  <w:lang w:val="fr-BE"/>
        </w:rPr>
        <w:t xml:space="preserve"> </w:t>
      </w:r>
      <w:r w:rsidRPr="00760E49">
        <w:rPr>
          <w:rFonts w:ascii="Times New Roman" w:hAnsi="Times New Roman"/>
          <w:lang w:val="fr-BE"/>
        </w:rPr>
        <w:tab/>
      </w:r>
      <w:proofErr w:type="gramStart"/>
      <w:r w:rsidRPr="00760E49">
        <w:rPr>
          <w:rFonts w:ascii="Times New Roman" w:hAnsi="Times New Roman"/>
          <w:lang w:val="fr-BE"/>
        </w:rPr>
        <w:t>COM(</w:t>
      </w:r>
      <w:proofErr w:type="gramEnd"/>
      <w:r w:rsidRPr="00760E49">
        <w:rPr>
          <w:rFonts w:ascii="Times New Roman" w:hAnsi="Times New Roman"/>
          <w:lang w:val="fr-BE"/>
        </w:rPr>
        <w:t xml:space="preserve">2024) 251 final </w:t>
      </w:r>
      <w:r w:rsidR="00760E49" w:rsidRPr="00760E49">
        <w:rPr>
          <w:rFonts w:ascii="Times New Roman" w:hAnsi="Times New Roman"/>
          <w:lang w:val="fr-BE"/>
        </w:rPr>
        <w:t>(</w:t>
      </w:r>
      <w:hyperlink r:id="rId5" w:history="1">
        <w:r w:rsidR="00760E49" w:rsidRPr="00760E49">
          <w:rPr>
            <w:rStyle w:val="Hyperlink"/>
            <w:rFonts w:ascii="Times New Roman" w:hAnsi="Times New Roman"/>
            <w:lang w:val="fr-BE"/>
          </w:rPr>
          <w:t>EUR-Lex - 52024DC0251 - EN - EUR-Lex</w:t>
        </w:r>
      </w:hyperlink>
      <w:r w:rsidRPr="00760E49">
        <w:rPr>
          <w:rFonts w:ascii="Times New Roman" w:hAnsi="Times New Roman"/>
          <w:lang w:val="fr-BE"/>
        </w:rPr>
        <w:t>).</w:t>
      </w:r>
    </w:p>
  </w:footnote>
  <w:footnote w:id="7">
    <w:p w14:paraId="226D26FB" w14:textId="04E630A2" w:rsidR="002C4D6F" w:rsidRPr="00760E49" w:rsidRDefault="002C4D6F" w:rsidP="008D63B9">
      <w:pPr>
        <w:pStyle w:val="FootnoteText"/>
        <w:widowControl w:val="0"/>
        <w:spacing w:after="0" w:line="240" w:lineRule="auto"/>
        <w:ind w:left="142" w:right="-284" w:hanging="284"/>
        <w:jc w:val="both"/>
        <w:rPr>
          <w:rFonts w:ascii="Times New Roman" w:hAnsi="Times New Roman"/>
          <w:lang w:val="en-IE"/>
        </w:rPr>
      </w:pPr>
      <w:r w:rsidRPr="00760E49">
        <w:rPr>
          <w:rStyle w:val="FootnoteReference"/>
          <w:rFonts w:ascii="Times New Roman" w:hAnsi="Times New Roman"/>
        </w:rPr>
        <w:footnoteRef/>
      </w:r>
      <w:r w:rsidRPr="00760E49">
        <w:rPr>
          <w:rFonts w:ascii="Times New Roman" w:hAnsi="Times New Roman"/>
        </w:rPr>
        <w:t xml:space="preserve"> </w:t>
      </w:r>
      <w:r w:rsidR="00813B06" w:rsidRPr="00760E49">
        <w:rPr>
          <w:rFonts w:ascii="Times New Roman" w:hAnsi="Times New Roman"/>
        </w:rPr>
        <w:tab/>
      </w:r>
      <w:r w:rsidRPr="00760E49">
        <w:rPr>
          <w:rFonts w:ascii="Times New Roman" w:hAnsi="Times New Roman"/>
        </w:rPr>
        <w:t> </w:t>
      </w:r>
      <w:r w:rsidRPr="00760E49">
        <w:rPr>
          <w:rFonts w:ascii="Times New Roman" w:hAnsi="Times New Roman"/>
          <w:i/>
          <w:iCs/>
        </w:rPr>
        <w:t>Planned return hubs in third countries – EU fundamental rights law issues</w:t>
      </w:r>
      <w:r w:rsidRPr="00760E49">
        <w:rPr>
          <w:rFonts w:ascii="Times New Roman" w:hAnsi="Times New Roman"/>
        </w:rPr>
        <w:t>, FRA Position Paper, Vienna</w:t>
      </w:r>
      <w:r w:rsidR="00813B06" w:rsidRPr="00760E49">
        <w:rPr>
          <w:rFonts w:ascii="Times New Roman" w:hAnsi="Times New Roman"/>
        </w:rPr>
        <w:t xml:space="preserve"> (</w:t>
      </w:r>
      <w:hyperlink r:id="rId6" w:history="1">
        <w:r w:rsidR="00813B06" w:rsidRPr="00760E49">
          <w:rPr>
            <w:rStyle w:val="Hyperlink"/>
            <w:rFonts w:ascii="Times New Roman" w:hAnsi="Times New Roman"/>
          </w:rPr>
          <w:t>Planned return hubs in third countries: EU fundamental rights law issues | European Union Agency for Fundamental Rights</w:t>
        </w:r>
      </w:hyperlink>
      <w:r w:rsidR="00813B06" w:rsidRPr="00760E49">
        <w:rPr>
          <w:rFonts w:ascii="Times New Roman" w:hAnsi="Times New Roman"/>
        </w:rPr>
        <w:t>)</w:t>
      </w:r>
      <w:r w:rsidRPr="00760E49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93F74"/>
    <w:multiLevelType w:val="multilevel"/>
    <w:tmpl w:val="01C8D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AA1F1D"/>
    <w:multiLevelType w:val="multilevel"/>
    <w:tmpl w:val="C37E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D1E4A"/>
    <w:multiLevelType w:val="multilevel"/>
    <w:tmpl w:val="7FFA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F495FEE"/>
    <w:multiLevelType w:val="multilevel"/>
    <w:tmpl w:val="F228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4743033">
    <w:abstractNumId w:val="0"/>
  </w:num>
  <w:num w:numId="2" w16cid:durableId="1495416635">
    <w:abstractNumId w:val="2"/>
  </w:num>
  <w:num w:numId="3" w16cid:durableId="592009943">
    <w:abstractNumId w:val="3"/>
  </w:num>
  <w:num w:numId="4" w16cid:durableId="1547599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77C4F"/>
    <w:rsid w:val="00012A37"/>
    <w:rsid w:val="000130F4"/>
    <w:rsid w:val="00022B4B"/>
    <w:rsid w:val="000406A8"/>
    <w:rsid w:val="00045ACB"/>
    <w:rsid w:val="00046B15"/>
    <w:rsid w:val="00050DC7"/>
    <w:rsid w:val="00067E3F"/>
    <w:rsid w:val="00076109"/>
    <w:rsid w:val="00077C4F"/>
    <w:rsid w:val="00093F40"/>
    <w:rsid w:val="000A4CAB"/>
    <w:rsid w:val="000A4EF5"/>
    <w:rsid w:val="000B568A"/>
    <w:rsid w:val="000E2327"/>
    <w:rsid w:val="000F5FD8"/>
    <w:rsid w:val="00101D90"/>
    <w:rsid w:val="00116686"/>
    <w:rsid w:val="001167C0"/>
    <w:rsid w:val="00125BCE"/>
    <w:rsid w:val="00135C2A"/>
    <w:rsid w:val="00142087"/>
    <w:rsid w:val="00191122"/>
    <w:rsid w:val="001B0E0B"/>
    <w:rsid w:val="001C4138"/>
    <w:rsid w:val="001D1BDE"/>
    <w:rsid w:val="001F2EC6"/>
    <w:rsid w:val="001F65D0"/>
    <w:rsid w:val="00217E59"/>
    <w:rsid w:val="00233B10"/>
    <w:rsid w:val="00252613"/>
    <w:rsid w:val="002572C2"/>
    <w:rsid w:val="00294827"/>
    <w:rsid w:val="002B5E6F"/>
    <w:rsid w:val="002B5FC5"/>
    <w:rsid w:val="002C4D17"/>
    <w:rsid w:val="002C4D6F"/>
    <w:rsid w:val="002C78D8"/>
    <w:rsid w:val="002D49C9"/>
    <w:rsid w:val="002F03FA"/>
    <w:rsid w:val="002F4E3B"/>
    <w:rsid w:val="003004D2"/>
    <w:rsid w:val="00315E1E"/>
    <w:rsid w:val="003250F4"/>
    <w:rsid w:val="0032659C"/>
    <w:rsid w:val="003349A3"/>
    <w:rsid w:val="00377967"/>
    <w:rsid w:val="00386143"/>
    <w:rsid w:val="003B58DC"/>
    <w:rsid w:val="003C1B9B"/>
    <w:rsid w:val="003D5046"/>
    <w:rsid w:val="003E0EB6"/>
    <w:rsid w:val="003F686E"/>
    <w:rsid w:val="004122E7"/>
    <w:rsid w:val="00420461"/>
    <w:rsid w:val="00442552"/>
    <w:rsid w:val="00444CDA"/>
    <w:rsid w:val="004524CE"/>
    <w:rsid w:val="00455A1C"/>
    <w:rsid w:val="00457AD0"/>
    <w:rsid w:val="004675B5"/>
    <w:rsid w:val="004770D6"/>
    <w:rsid w:val="0049246C"/>
    <w:rsid w:val="004C67BD"/>
    <w:rsid w:val="004D618B"/>
    <w:rsid w:val="004E340C"/>
    <w:rsid w:val="004F3D29"/>
    <w:rsid w:val="004F51A2"/>
    <w:rsid w:val="004F6117"/>
    <w:rsid w:val="004F63F1"/>
    <w:rsid w:val="004F651E"/>
    <w:rsid w:val="004F71E6"/>
    <w:rsid w:val="00500AE2"/>
    <w:rsid w:val="00501596"/>
    <w:rsid w:val="005133C6"/>
    <w:rsid w:val="005162F9"/>
    <w:rsid w:val="0052596B"/>
    <w:rsid w:val="00547316"/>
    <w:rsid w:val="00554D7B"/>
    <w:rsid w:val="00554D8D"/>
    <w:rsid w:val="00573835"/>
    <w:rsid w:val="00575B2B"/>
    <w:rsid w:val="00581306"/>
    <w:rsid w:val="005823C3"/>
    <w:rsid w:val="005A37BA"/>
    <w:rsid w:val="005B3F74"/>
    <w:rsid w:val="005C0FD9"/>
    <w:rsid w:val="005C3105"/>
    <w:rsid w:val="005E667A"/>
    <w:rsid w:val="005E6D70"/>
    <w:rsid w:val="00624D8D"/>
    <w:rsid w:val="00633449"/>
    <w:rsid w:val="006557A6"/>
    <w:rsid w:val="006678D2"/>
    <w:rsid w:val="0068032C"/>
    <w:rsid w:val="00692C2F"/>
    <w:rsid w:val="006932F8"/>
    <w:rsid w:val="00695797"/>
    <w:rsid w:val="00696A5E"/>
    <w:rsid w:val="006B3B69"/>
    <w:rsid w:val="006D79FE"/>
    <w:rsid w:val="00734613"/>
    <w:rsid w:val="00741A14"/>
    <w:rsid w:val="00751910"/>
    <w:rsid w:val="00751E60"/>
    <w:rsid w:val="007547B5"/>
    <w:rsid w:val="00760E49"/>
    <w:rsid w:val="00785E1E"/>
    <w:rsid w:val="00795A9E"/>
    <w:rsid w:val="007A606D"/>
    <w:rsid w:val="007C2214"/>
    <w:rsid w:val="007E128A"/>
    <w:rsid w:val="00807840"/>
    <w:rsid w:val="00807B48"/>
    <w:rsid w:val="008135CA"/>
    <w:rsid w:val="00813B06"/>
    <w:rsid w:val="0081584F"/>
    <w:rsid w:val="00831594"/>
    <w:rsid w:val="008525F2"/>
    <w:rsid w:val="008703BF"/>
    <w:rsid w:val="008925CE"/>
    <w:rsid w:val="008A5F1C"/>
    <w:rsid w:val="008C4D41"/>
    <w:rsid w:val="008D0110"/>
    <w:rsid w:val="008D3335"/>
    <w:rsid w:val="008D63B9"/>
    <w:rsid w:val="008D757F"/>
    <w:rsid w:val="008E5FCE"/>
    <w:rsid w:val="0090061E"/>
    <w:rsid w:val="00970FB1"/>
    <w:rsid w:val="00977A30"/>
    <w:rsid w:val="0098064B"/>
    <w:rsid w:val="00981F45"/>
    <w:rsid w:val="009847CF"/>
    <w:rsid w:val="00993F14"/>
    <w:rsid w:val="00994D12"/>
    <w:rsid w:val="009950B1"/>
    <w:rsid w:val="009A1415"/>
    <w:rsid w:val="009A2D7E"/>
    <w:rsid w:val="009B128B"/>
    <w:rsid w:val="009C136A"/>
    <w:rsid w:val="009C55F4"/>
    <w:rsid w:val="009D5E4D"/>
    <w:rsid w:val="00A02694"/>
    <w:rsid w:val="00A16F07"/>
    <w:rsid w:val="00A3543A"/>
    <w:rsid w:val="00A62C7B"/>
    <w:rsid w:val="00A63FC9"/>
    <w:rsid w:val="00A74F08"/>
    <w:rsid w:val="00A7709A"/>
    <w:rsid w:val="00A95758"/>
    <w:rsid w:val="00AA7E98"/>
    <w:rsid w:val="00AC0E89"/>
    <w:rsid w:val="00AC71D6"/>
    <w:rsid w:val="00AE1842"/>
    <w:rsid w:val="00AE3C7C"/>
    <w:rsid w:val="00AF5C31"/>
    <w:rsid w:val="00AF7F8A"/>
    <w:rsid w:val="00B12DB0"/>
    <w:rsid w:val="00B25EC4"/>
    <w:rsid w:val="00B31306"/>
    <w:rsid w:val="00B42814"/>
    <w:rsid w:val="00B8229A"/>
    <w:rsid w:val="00B83936"/>
    <w:rsid w:val="00B86DD2"/>
    <w:rsid w:val="00BB1C67"/>
    <w:rsid w:val="00BC7238"/>
    <w:rsid w:val="00BD0D7C"/>
    <w:rsid w:val="00BD6EB7"/>
    <w:rsid w:val="00BE36AD"/>
    <w:rsid w:val="00C26E09"/>
    <w:rsid w:val="00C54D27"/>
    <w:rsid w:val="00C62CCB"/>
    <w:rsid w:val="00C63DB6"/>
    <w:rsid w:val="00C76EEB"/>
    <w:rsid w:val="00C96C1A"/>
    <w:rsid w:val="00D01F5A"/>
    <w:rsid w:val="00D04C77"/>
    <w:rsid w:val="00D12D42"/>
    <w:rsid w:val="00D1716E"/>
    <w:rsid w:val="00D32165"/>
    <w:rsid w:val="00D33D36"/>
    <w:rsid w:val="00D63712"/>
    <w:rsid w:val="00D64E05"/>
    <w:rsid w:val="00D92FD3"/>
    <w:rsid w:val="00DA0FA3"/>
    <w:rsid w:val="00DA3B6E"/>
    <w:rsid w:val="00DA4EC9"/>
    <w:rsid w:val="00DB7581"/>
    <w:rsid w:val="00DC70C1"/>
    <w:rsid w:val="00DD1BE3"/>
    <w:rsid w:val="00DF027A"/>
    <w:rsid w:val="00E03C4F"/>
    <w:rsid w:val="00E1024B"/>
    <w:rsid w:val="00E22182"/>
    <w:rsid w:val="00E23629"/>
    <w:rsid w:val="00E83C12"/>
    <w:rsid w:val="00E904C8"/>
    <w:rsid w:val="00EA1BBF"/>
    <w:rsid w:val="00EB00FF"/>
    <w:rsid w:val="00EB29A9"/>
    <w:rsid w:val="00EB77D2"/>
    <w:rsid w:val="00EC0E57"/>
    <w:rsid w:val="00EC388F"/>
    <w:rsid w:val="00F316C8"/>
    <w:rsid w:val="00F372EC"/>
    <w:rsid w:val="00F57EB4"/>
    <w:rsid w:val="00F632DE"/>
    <w:rsid w:val="00F72327"/>
    <w:rsid w:val="00F735E4"/>
    <w:rsid w:val="00FB1A72"/>
    <w:rsid w:val="00FB7834"/>
    <w:rsid w:val="00FD4B6A"/>
    <w:rsid w:val="00FF03A8"/>
    <w:rsid w:val="00FF5156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DBEE9"/>
  <w15:chartTrackingRefBased/>
  <w15:docId w15:val="{8250BCC8-4D0F-43C9-A9FB-5B735BFF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133C6"/>
    <w:rPr>
      <w:sz w:val="22"/>
      <w:szCs w:val="22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33C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133C6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5133C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D1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D4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12D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D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2D42"/>
    <w:rPr>
      <w:b/>
      <w:bCs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C63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eli/dir/2008/115/oj" TargetMode="External"/><Relationship Id="rId2" Type="http://schemas.openxmlformats.org/officeDocument/2006/relationships/hyperlink" Target="http://data.europa.eu/eli/reg/2022/922/oj" TargetMode="External"/><Relationship Id="rId1" Type="http://schemas.openxmlformats.org/officeDocument/2006/relationships/hyperlink" Target="https://eur-lex.europa.eu/legal-content/EN/TXT/?uri=celex:52025SC0250" TargetMode="External"/><Relationship Id="rId6" Type="http://schemas.openxmlformats.org/officeDocument/2006/relationships/hyperlink" Target="https://fra.europa.eu/en/publication/2025/return-hubs" TargetMode="External"/><Relationship Id="rId5" Type="http://schemas.openxmlformats.org/officeDocument/2006/relationships/hyperlink" Target="https://eur-lex.europa.eu/legal-content/EN/ALL/?uri=COM:2024:0251:FIN" TargetMode="External"/><Relationship Id="rId4" Type="http://schemas.openxmlformats.org/officeDocument/2006/relationships/hyperlink" Target="https://eur-lex.europa.eu/legal-content/EN/TXT/?uri=CELEX%3A52018PC0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8E06C-60B6-4B62-A2E3-0BDE7FA4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5737</Characters>
  <Application>Microsoft Office Word</Application>
  <DocSecurity>0</DocSecurity>
  <Lines>83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PUIA Manuela Morena (SG)</dc:creator>
  <cp:keywords/>
  <cp:lastModifiedBy>ROSSI Simona (SG-EXT)</cp:lastModifiedBy>
  <cp:revision>2</cp:revision>
  <cp:lastPrinted>2013-02-27T18:02:00Z</cp:lastPrinted>
  <dcterms:created xsi:type="dcterms:W3CDTF">2026-02-05T16:00:00Z</dcterms:created>
  <dcterms:modified xsi:type="dcterms:W3CDTF">2026-02-05T16:00:00Z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2023-04-12T12:31:59Z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633b4ac4-9ed9-4135-981c-e588276a87bc</vt:lpwstr>
  </property>
  <property fmtid="{D5CDD505-2E9C-101B-9397-08002B2CF9AE}" pid="8" name="MSIP_Label_6bd9ddd1-4d20-43f6-abfa-fc3c07406f94_ContentBits">
    <vt:lpwstr>0</vt:lpwstr>
  </property>
</Properties>
</file>