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1C4138" w:rsidRPr="00442552" w14:paraId="7E6372DC" w14:textId="77777777" w:rsidTr="06EE929F">
        <w:trPr>
          <w:jc w:val="center"/>
        </w:trPr>
        <w:tc>
          <w:tcPr>
            <w:tcW w:w="9711" w:type="dxa"/>
          </w:tcPr>
          <w:p w14:paraId="3A4EDC3A" w14:textId="28FB4B6A" w:rsidR="001C4138" w:rsidRPr="004F6117" w:rsidRDefault="6597A5F7" w:rsidP="00DA0A73">
            <w:pPr>
              <w:widowControl w:val="0"/>
              <w:spacing w:before="120" w:after="120"/>
              <w:rPr>
                <w:rFonts w:ascii="Times New Roman" w:hAnsi="Times New Roman"/>
                <w:b/>
                <w:bCs/>
                <w:sz w:val="24"/>
                <w:szCs w:val="24"/>
              </w:rPr>
            </w:pPr>
            <w:r w:rsidRPr="6DA2D0B9">
              <w:rPr>
                <w:rFonts w:ascii="Times New Roman" w:hAnsi="Times New Roman"/>
                <w:b/>
                <w:bCs/>
                <w:sz w:val="24"/>
                <w:szCs w:val="24"/>
              </w:rPr>
              <w:t>Strengthening enforcement of Single Market Rules: revision of current tools and framework</w:t>
            </w:r>
            <w:r w:rsidR="001C4138">
              <w:br/>
            </w:r>
            <w:r w:rsidR="006552A9">
              <w:rPr>
                <w:rFonts w:ascii="Times New Roman" w:hAnsi="Times New Roman"/>
                <w:b/>
                <w:bCs/>
                <w:sz w:val="24"/>
                <w:szCs w:val="24"/>
              </w:rPr>
              <w:t>(o</w:t>
            </w:r>
            <w:r w:rsidR="3BCA702D" w:rsidRPr="6DA2D0B9">
              <w:rPr>
                <w:rFonts w:ascii="Times New Roman" w:hAnsi="Times New Roman"/>
                <w:b/>
                <w:bCs/>
                <w:sz w:val="24"/>
                <w:szCs w:val="24"/>
              </w:rPr>
              <w:t>wn-initiative opinion</w:t>
            </w:r>
            <w:r w:rsidR="006552A9">
              <w:rPr>
                <w:rFonts w:ascii="Times New Roman" w:hAnsi="Times New Roman"/>
                <w:b/>
                <w:bCs/>
                <w:sz w:val="24"/>
                <w:szCs w:val="24"/>
              </w:rPr>
              <w:t>)</w:t>
            </w:r>
            <w:r w:rsidR="00DA0A73">
              <w:rPr>
                <w:rFonts w:ascii="Times New Roman" w:hAnsi="Times New Roman"/>
                <w:b/>
                <w:bCs/>
                <w:sz w:val="24"/>
                <w:szCs w:val="24"/>
              </w:rPr>
              <w:br/>
            </w:r>
            <w:r w:rsidR="001C4138" w:rsidRPr="6DA2D0B9">
              <w:rPr>
                <w:rFonts w:ascii="Times New Roman" w:hAnsi="Times New Roman"/>
                <w:b/>
                <w:bCs/>
                <w:sz w:val="24"/>
                <w:szCs w:val="24"/>
                <w:lang w:val="en-IE"/>
              </w:rPr>
              <w:t>EESC-</w:t>
            </w:r>
            <w:r w:rsidR="6AB47E30" w:rsidRPr="6DA2D0B9">
              <w:rPr>
                <w:rFonts w:ascii="Times New Roman" w:hAnsi="Times New Roman"/>
                <w:b/>
                <w:bCs/>
                <w:sz w:val="24"/>
                <w:szCs w:val="24"/>
                <w:lang w:val="en-IE"/>
              </w:rPr>
              <w:t xml:space="preserve"> 2025-</w:t>
            </w:r>
            <w:r w:rsidR="4794AA7A" w:rsidRPr="6DA2D0B9">
              <w:rPr>
                <w:rFonts w:ascii="Times New Roman" w:hAnsi="Times New Roman"/>
                <w:b/>
                <w:bCs/>
                <w:sz w:val="24"/>
                <w:szCs w:val="24"/>
                <w:lang w:val="en-IE"/>
              </w:rPr>
              <w:t xml:space="preserve"> 01127</w:t>
            </w:r>
            <w:r w:rsidR="00DA0A73" w:rsidRPr="00D238DD">
              <w:rPr>
                <w:rFonts w:ascii="Times New Roman" w:hAnsi="Times New Roman"/>
                <w:b/>
                <w:sz w:val="24"/>
                <w:szCs w:val="24"/>
              </w:rPr>
              <w:t xml:space="preserve"> </w:t>
            </w:r>
            <w:r w:rsidR="00DA0A73" w:rsidRPr="00275F15">
              <w:rPr>
                <w:rFonts w:ascii="Times New Roman" w:hAnsi="Times New Roman"/>
                <w:b/>
                <w:sz w:val="24"/>
                <w:szCs w:val="24"/>
              </w:rPr>
              <w:t>–</w:t>
            </w:r>
            <w:r w:rsidR="00DA0A73">
              <w:rPr>
                <w:rFonts w:ascii="Times New Roman" w:hAnsi="Times New Roman"/>
                <w:b/>
                <w:sz w:val="24"/>
                <w:szCs w:val="24"/>
              </w:rPr>
              <w:t xml:space="preserve"> </w:t>
            </w:r>
            <w:r w:rsidR="18E46141" w:rsidRPr="6DA2D0B9">
              <w:rPr>
                <w:rFonts w:ascii="Times New Roman" w:hAnsi="Times New Roman"/>
                <w:b/>
                <w:bCs/>
                <w:sz w:val="24"/>
                <w:szCs w:val="24"/>
                <w:lang w:val="en-IE"/>
              </w:rPr>
              <w:t>INT/1085</w:t>
            </w:r>
            <w:r w:rsidR="001C4138">
              <w:br/>
            </w:r>
            <w:r w:rsidR="09188288" w:rsidRPr="6DA2D0B9">
              <w:rPr>
                <w:rFonts w:ascii="Times New Roman" w:hAnsi="Times New Roman"/>
                <w:b/>
                <w:bCs/>
                <w:sz w:val="24"/>
                <w:szCs w:val="24"/>
              </w:rPr>
              <w:t>599</w:t>
            </w:r>
            <w:r w:rsidR="007E3CA9" w:rsidRPr="001D4EE3">
              <w:rPr>
                <w:rFonts w:ascii="Times New Roman" w:hAnsi="Times New Roman"/>
                <w:b/>
                <w:bCs/>
                <w:sz w:val="24"/>
                <w:szCs w:val="24"/>
                <w:vertAlign w:val="superscript"/>
              </w:rPr>
              <w:t>th</w:t>
            </w:r>
            <w:r w:rsidR="09188288" w:rsidRPr="6DA2D0B9">
              <w:rPr>
                <w:rFonts w:ascii="Times New Roman" w:hAnsi="Times New Roman"/>
                <w:b/>
                <w:bCs/>
                <w:sz w:val="24"/>
                <w:szCs w:val="24"/>
              </w:rPr>
              <w:t xml:space="preserve"> </w:t>
            </w:r>
            <w:r w:rsidR="001C4138" w:rsidRPr="6DA2D0B9">
              <w:rPr>
                <w:rFonts w:ascii="Times New Roman" w:hAnsi="Times New Roman"/>
                <w:b/>
                <w:bCs/>
                <w:sz w:val="24"/>
                <w:szCs w:val="24"/>
              </w:rPr>
              <w:t>Plenary Session –</w:t>
            </w:r>
            <w:r w:rsidR="2D895F78" w:rsidRPr="6DA2D0B9">
              <w:rPr>
                <w:rFonts w:ascii="Times New Roman" w:hAnsi="Times New Roman"/>
                <w:b/>
                <w:bCs/>
                <w:sz w:val="24"/>
                <w:szCs w:val="24"/>
              </w:rPr>
              <w:t xml:space="preserve"> September 2025</w:t>
            </w:r>
            <w:r w:rsidR="001C4138">
              <w:br/>
            </w:r>
            <w:r w:rsidR="001C4138" w:rsidRPr="6DA2D0B9">
              <w:rPr>
                <w:rFonts w:ascii="Times New Roman" w:hAnsi="Times New Roman"/>
                <w:b/>
                <w:bCs/>
                <w:sz w:val="24"/>
                <w:szCs w:val="24"/>
              </w:rPr>
              <w:t>Rapporteur:</w:t>
            </w:r>
            <w:r w:rsidR="50674B4E" w:rsidRPr="6DA2D0B9">
              <w:rPr>
                <w:rFonts w:ascii="Times New Roman" w:hAnsi="Times New Roman"/>
                <w:b/>
                <w:bCs/>
                <w:sz w:val="24"/>
                <w:szCs w:val="24"/>
              </w:rPr>
              <w:t xml:space="preserve"> </w:t>
            </w:r>
            <w:r w:rsidR="463C144E" w:rsidRPr="6DA2D0B9">
              <w:rPr>
                <w:rFonts w:ascii="Times New Roman" w:hAnsi="Times New Roman"/>
                <w:b/>
                <w:bCs/>
                <w:sz w:val="24"/>
                <w:szCs w:val="24"/>
              </w:rPr>
              <w:t>Isabel YGLESIAS JULIÀ</w:t>
            </w:r>
            <w:r w:rsidR="50674B4E" w:rsidRPr="6DA2D0B9">
              <w:rPr>
                <w:rFonts w:ascii="Times New Roman" w:hAnsi="Times New Roman"/>
                <w:b/>
                <w:bCs/>
                <w:sz w:val="24"/>
                <w:szCs w:val="24"/>
              </w:rPr>
              <w:t xml:space="preserve"> (</w:t>
            </w:r>
            <w:r w:rsidR="05BB40E8" w:rsidRPr="6DA2D0B9">
              <w:rPr>
                <w:rFonts w:ascii="Times New Roman" w:hAnsi="Times New Roman"/>
                <w:b/>
                <w:bCs/>
                <w:sz w:val="24"/>
                <w:szCs w:val="24"/>
              </w:rPr>
              <w:t>ES</w:t>
            </w:r>
            <w:r w:rsidR="50674B4E" w:rsidRPr="6DA2D0B9">
              <w:rPr>
                <w:rFonts w:ascii="Times New Roman" w:hAnsi="Times New Roman"/>
                <w:b/>
                <w:bCs/>
                <w:sz w:val="24"/>
                <w:szCs w:val="24"/>
              </w:rPr>
              <w:t>-I)</w:t>
            </w:r>
            <w:r w:rsidR="00DA0A73">
              <w:rPr>
                <w:rFonts w:ascii="Times New Roman" w:hAnsi="Times New Roman"/>
                <w:b/>
                <w:bCs/>
                <w:sz w:val="24"/>
                <w:szCs w:val="24"/>
              </w:rPr>
              <w:br/>
            </w:r>
            <w:r w:rsidR="50674B4E" w:rsidRPr="328A7610">
              <w:rPr>
                <w:rFonts w:ascii="Times New Roman" w:hAnsi="Times New Roman"/>
                <w:b/>
                <w:bCs/>
                <w:sz w:val="24"/>
                <w:szCs w:val="24"/>
              </w:rPr>
              <w:t>DG GROW – Executive Vice-President S</w:t>
            </w:r>
            <w:r w:rsidR="00DA0A73">
              <w:rPr>
                <w:rFonts w:ascii="Times New Roman" w:hAnsi="Times New Roman"/>
                <w:b/>
                <w:bCs/>
                <w:sz w:val="24"/>
                <w:szCs w:val="24"/>
              </w:rPr>
              <w:t>É</w:t>
            </w:r>
            <w:r w:rsidR="50674B4E" w:rsidRPr="328A7610">
              <w:rPr>
                <w:rFonts w:ascii="Times New Roman" w:hAnsi="Times New Roman"/>
                <w:b/>
                <w:bCs/>
                <w:sz w:val="24"/>
                <w:szCs w:val="24"/>
              </w:rPr>
              <w:t>JOURN</w:t>
            </w:r>
            <w:r w:rsidR="00DA0A73">
              <w:rPr>
                <w:rFonts w:ascii="Times New Roman" w:hAnsi="Times New Roman"/>
                <w:b/>
                <w:bCs/>
                <w:sz w:val="24"/>
                <w:szCs w:val="24"/>
              </w:rPr>
              <w:t>É</w:t>
            </w:r>
          </w:p>
        </w:tc>
      </w:tr>
      <w:tr w:rsidR="00734613" w:rsidRPr="00442552" w14:paraId="1937071F" w14:textId="77777777" w:rsidTr="06EE929F">
        <w:trPr>
          <w:jc w:val="center"/>
        </w:trPr>
        <w:tc>
          <w:tcPr>
            <w:tcW w:w="9711" w:type="dxa"/>
          </w:tcPr>
          <w:p w14:paraId="1E50B4DB" w14:textId="741341FD" w:rsidR="00734613" w:rsidRPr="00695797" w:rsidRDefault="004F6117" w:rsidP="00DA0A73">
            <w:pPr>
              <w:widowControl w:val="0"/>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of the European Economic and Social Committee</w:t>
            </w:r>
            <w:r w:rsidR="00E1486A">
              <w:rPr>
                <w:rFonts w:ascii="Times New Roman" w:hAnsi="Times New Roman"/>
                <w:b/>
                <w:sz w:val="24"/>
                <w:szCs w:val="24"/>
              </w:rPr>
              <w:t xml:space="preserve"> (EESC)</w:t>
            </w:r>
            <w:r w:rsidRPr="004F6117">
              <w:rPr>
                <w:rFonts w:ascii="Times New Roman" w:hAnsi="Times New Roman"/>
                <w:b/>
                <w:sz w:val="24"/>
                <w:szCs w:val="24"/>
              </w:rPr>
              <w:t xml:space="preserve"> 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6EE929F">
        <w:trPr>
          <w:jc w:val="center"/>
        </w:trPr>
        <w:tc>
          <w:tcPr>
            <w:tcW w:w="9711" w:type="dxa"/>
          </w:tcPr>
          <w:p w14:paraId="7A5B59DB" w14:textId="1B1281A7" w:rsidR="00734613" w:rsidRPr="00001DDA" w:rsidRDefault="0C8BAE6C" w:rsidP="00FE4D00">
            <w:pPr>
              <w:widowControl w:val="0"/>
              <w:spacing w:before="120" w:after="120"/>
              <w:jc w:val="both"/>
              <w:rPr>
                <w:rFonts w:ascii="Times New Roman" w:hAnsi="Times New Roman"/>
                <w:sz w:val="24"/>
                <w:szCs w:val="24"/>
              </w:rPr>
            </w:pPr>
            <w:r w:rsidRPr="00DA0A73">
              <w:rPr>
                <w:rFonts w:ascii="Times New Roman" w:eastAsia="Times New Roman" w:hAnsi="Times New Roman"/>
                <w:sz w:val="24"/>
                <w:szCs w:val="24"/>
              </w:rPr>
              <w:t>The Commission thanks the Committee for its detailed own-initiative opinion, adopted unanimously (96</w:t>
            </w:r>
            <w:r w:rsidR="00AB6F2D">
              <w:rPr>
                <w:rFonts w:ascii="Times New Roman" w:eastAsia="Times New Roman" w:hAnsi="Times New Roman"/>
                <w:sz w:val="24"/>
                <w:szCs w:val="24"/>
              </w:rPr>
              <w:t xml:space="preserve"> votes</w:t>
            </w:r>
            <w:r w:rsidRPr="00DA0A73">
              <w:rPr>
                <w:rFonts w:ascii="Times New Roman" w:eastAsia="Times New Roman" w:hAnsi="Times New Roman"/>
                <w:sz w:val="24"/>
                <w:szCs w:val="24"/>
              </w:rPr>
              <w:t xml:space="preserve"> in favour, 1 abstention). The Commission shares the EESC's assessment, that robust and timely enforcement is fundamental to the integrity and success of the Single Market and welcomes the opportunity to respond to the Committee's specific recommendations.</w:t>
            </w:r>
          </w:p>
          <w:p w14:paraId="47BEA542" w14:textId="1DC11D1C" w:rsidR="00734613" w:rsidRPr="00001DDA" w:rsidRDefault="0C8BAE6C" w:rsidP="00FE4D00">
            <w:pPr>
              <w:widowControl w:val="0"/>
              <w:spacing w:before="120" w:after="120"/>
              <w:jc w:val="both"/>
              <w:rPr>
                <w:rFonts w:ascii="Times New Roman" w:hAnsi="Times New Roman"/>
                <w:sz w:val="24"/>
                <w:szCs w:val="24"/>
              </w:rPr>
            </w:pPr>
            <w:r w:rsidRPr="00DA0A73">
              <w:rPr>
                <w:rFonts w:ascii="Times New Roman" w:eastAsia="Times New Roman" w:hAnsi="Times New Roman"/>
                <w:b/>
                <w:bCs/>
                <w:sz w:val="24"/>
                <w:szCs w:val="24"/>
              </w:rPr>
              <w:t>1. On a Clear, Coordinated Approach to Enforcement</w:t>
            </w:r>
          </w:p>
          <w:p w14:paraId="3AD9C575" w14:textId="075C70E5" w:rsidR="00734613" w:rsidRPr="00001DDA" w:rsidRDefault="0C8BAE6C" w:rsidP="00FE4D00">
            <w:pPr>
              <w:widowControl w:val="0"/>
              <w:spacing w:before="120" w:after="120"/>
              <w:jc w:val="both"/>
              <w:rPr>
                <w:rFonts w:ascii="Times New Roman" w:hAnsi="Times New Roman"/>
                <w:sz w:val="24"/>
                <w:szCs w:val="24"/>
              </w:rPr>
            </w:pPr>
            <w:r w:rsidRPr="00DA0A73">
              <w:rPr>
                <w:rFonts w:ascii="Times New Roman" w:eastAsia="Times New Roman" w:hAnsi="Times New Roman"/>
                <w:sz w:val="24"/>
                <w:szCs w:val="24"/>
              </w:rPr>
              <w:t xml:space="preserve">The Commission fully concurs with the EESC's call for a clear and coordinated approach and is already implementing </w:t>
            </w:r>
            <w:r w:rsidR="00AB6F2D">
              <w:rPr>
                <w:rFonts w:ascii="Times New Roman" w:eastAsia="Times New Roman" w:hAnsi="Times New Roman"/>
                <w:sz w:val="24"/>
                <w:szCs w:val="24"/>
              </w:rPr>
              <w:t>such an approach</w:t>
            </w:r>
            <w:r w:rsidRPr="00DA0A73">
              <w:rPr>
                <w:rFonts w:ascii="Times New Roman" w:eastAsia="Times New Roman" w:hAnsi="Times New Roman"/>
                <w:sz w:val="24"/>
                <w:szCs w:val="24"/>
              </w:rPr>
              <w:t xml:space="preserve"> based on three interconnected pillars: prevention, collaboration, and infringement procedures. This strategic framework allows for a tailored and proportionate response to ensure compliance with EU law. </w:t>
            </w:r>
            <w:proofErr w:type="gramStart"/>
            <w:r w:rsidRPr="00DA0A73">
              <w:rPr>
                <w:rFonts w:ascii="Times New Roman" w:eastAsia="Times New Roman" w:hAnsi="Times New Roman"/>
                <w:sz w:val="24"/>
                <w:szCs w:val="24"/>
              </w:rPr>
              <w:t>It is clear that the</w:t>
            </w:r>
            <w:proofErr w:type="gramEnd"/>
            <w:r w:rsidRPr="00DA0A73">
              <w:rPr>
                <w:rFonts w:ascii="Times New Roman" w:eastAsia="Times New Roman" w:hAnsi="Times New Roman"/>
                <w:sz w:val="24"/>
                <w:szCs w:val="24"/>
              </w:rPr>
              <w:t xml:space="preserve"> correct, effective and timely implementation of Single Market legislation relies on cooperation and partnership between the European Parliament, the Council, the Member States, as well as European stakeholders. Further</w:t>
            </w:r>
            <w:r w:rsidR="00B20A60" w:rsidRPr="00DA0A73">
              <w:rPr>
                <w:rFonts w:ascii="Times New Roman" w:eastAsia="Times New Roman" w:hAnsi="Times New Roman"/>
                <w:sz w:val="24"/>
                <w:szCs w:val="24"/>
              </w:rPr>
              <w:t>more</w:t>
            </w:r>
            <w:r w:rsidRPr="00DA0A73">
              <w:rPr>
                <w:rFonts w:ascii="Times New Roman" w:eastAsia="Times New Roman" w:hAnsi="Times New Roman"/>
                <w:sz w:val="24"/>
                <w:szCs w:val="24"/>
              </w:rPr>
              <w:t>, as a direct response to the EESC's call for strong signals on strengthening enforcement, the Commission published</w:t>
            </w:r>
            <w:r w:rsidR="00A1102E" w:rsidRPr="00DA0A73">
              <w:rPr>
                <w:rFonts w:ascii="Times New Roman" w:eastAsia="Times New Roman" w:hAnsi="Times New Roman"/>
                <w:sz w:val="24"/>
                <w:szCs w:val="24"/>
              </w:rPr>
              <w:t xml:space="preserve"> the 2025 Annual Progress Report on Simplification, Implementation and Enforcement of the Executive Vice-President for Prosperity and Industrial Strategy</w:t>
            </w:r>
            <w:r w:rsidR="00A1102E" w:rsidRPr="00DA0A73">
              <w:rPr>
                <w:rStyle w:val="FootnoteReference"/>
                <w:rFonts w:ascii="Times New Roman" w:eastAsia="Times New Roman" w:hAnsi="Times New Roman"/>
                <w:sz w:val="24"/>
                <w:szCs w:val="24"/>
              </w:rPr>
              <w:footnoteReference w:id="2"/>
            </w:r>
            <w:r w:rsidR="00A1102E" w:rsidRPr="00DA0A73">
              <w:rPr>
                <w:rFonts w:ascii="Times New Roman" w:eastAsia="Times New Roman" w:hAnsi="Times New Roman"/>
                <w:sz w:val="24"/>
                <w:szCs w:val="24"/>
              </w:rPr>
              <w:t xml:space="preserve">. </w:t>
            </w:r>
            <w:r w:rsidRPr="00DA0A73">
              <w:rPr>
                <w:rFonts w:ascii="Times New Roman" w:eastAsia="Times New Roman" w:hAnsi="Times New Roman"/>
                <w:sz w:val="24"/>
                <w:szCs w:val="24"/>
              </w:rPr>
              <w:t xml:space="preserve">It provides a transparent account of the concrete actions undertaken to bolster the Single Market, demonstrating firm commitment. </w:t>
            </w:r>
          </w:p>
          <w:p w14:paraId="61A38B31" w14:textId="5F616546" w:rsidR="00734613" w:rsidRPr="00001DDA" w:rsidRDefault="0C8BAE6C" w:rsidP="00FE4D00">
            <w:pPr>
              <w:widowControl w:val="0"/>
              <w:spacing w:before="120" w:after="120"/>
              <w:jc w:val="both"/>
              <w:rPr>
                <w:rFonts w:ascii="Times New Roman" w:hAnsi="Times New Roman"/>
                <w:sz w:val="24"/>
                <w:szCs w:val="24"/>
              </w:rPr>
            </w:pPr>
            <w:r w:rsidRPr="00DA0A73">
              <w:rPr>
                <w:rFonts w:ascii="Times New Roman" w:eastAsia="Times New Roman" w:hAnsi="Times New Roman"/>
                <w:b/>
                <w:bCs/>
                <w:sz w:val="24"/>
                <w:szCs w:val="24"/>
              </w:rPr>
              <w:t>2. On Integrating Enforcement into the Legislative Process</w:t>
            </w:r>
          </w:p>
          <w:p w14:paraId="42C3AD01" w14:textId="2AED75DF" w:rsidR="00734613" w:rsidRPr="00DA0A73" w:rsidRDefault="0BC93CC1" w:rsidP="00FE4D00">
            <w:pPr>
              <w:widowControl w:val="0"/>
              <w:spacing w:before="120" w:after="120"/>
              <w:jc w:val="both"/>
              <w:rPr>
                <w:rFonts w:ascii="Times New Roman" w:eastAsia="Times New Roman" w:hAnsi="Times New Roman"/>
                <w:sz w:val="24"/>
                <w:szCs w:val="24"/>
              </w:rPr>
            </w:pPr>
            <w:r w:rsidRPr="00DA0A73">
              <w:rPr>
                <w:rFonts w:ascii="Times New Roman" w:eastAsia="Times New Roman" w:hAnsi="Times New Roman"/>
                <w:sz w:val="24"/>
                <w:szCs w:val="24"/>
              </w:rPr>
              <w:t xml:space="preserve">The Commission strongly agrees that enforcement must be considered from the very beginning of the legislative lifecycle and fully supports the recommendation that EU legislators should be called upon to incorporate the enforcement dimension of EU law from the start, with concrete tools envisaged in the legal texts themselves. </w:t>
            </w:r>
          </w:p>
          <w:p w14:paraId="42B3E3A5" w14:textId="5DBC07FF" w:rsidR="00734613" w:rsidRPr="00DA0A73" w:rsidRDefault="33C37820" w:rsidP="00FE4D00">
            <w:pPr>
              <w:widowControl w:val="0"/>
              <w:spacing w:before="120" w:after="120"/>
              <w:jc w:val="both"/>
              <w:rPr>
                <w:rFonts w:ascii="Times New Roman" w:eastAsia="Times New Roman" w:hAnsi="Times New Roman"/>
                <w:sz w:val="24"/>
                <w:szCs w:val="24"/>
              </w:rPr>
            </w:pPr>
            <w:r w:rsidRPr="00DA0A73">
              <w:rPr>
                <w:rFonts w:ascii="Times New Roman" w:eastAsia="Times New Roman" w:hAnsi="Times New Roman"/>
                <w:sz w:val="24"/>
                <w:szCs w:val="24"/>
              </w:rPr>
              <w:t xml:space="preserve">In this regard, the Commission notes that shortcomings in implementing EU policies and laws can seriously affect the effectiveness of these policies, and as a </w:t>
            </w:r>
            <w:r w:rsidR="00001DDA" w:rsidRPr="00DA0A73">
              <w:rPr>
                <w:rFonts w:ascii="Times New Roman" w:eastAsia="Times New Roman" w:hAnsi="Times New Roman"/>
                <w:sz w:val="24"/>
                <w:szCs w:val="24"/>
              </w:rPr>
              <w:t>result EU</w:t>
            </w:r>
            <w:r w:rsidRPr="00DA0A73">
              <w:rPr>
                <w:rFonts w:ascii="Times New Roman" w:eastAsia="Times New Roman" w:hAnsi="Times New Roman"/>
                <w:sz w:val="24"/>
                <w:szCs w:val="24"/>
              </w:rPr>
              <w:t xml:space="preserve"> prosperity and competitiveness. They can also undermine the EU’s ability to defend its values. As a result, people and businesses do not enjoy the full benefits of EU policies, and companies often face significant challenges in overcoming regulatory obstacles, Single Market fragmentation and administrative </w:t>
            </w:r>
            <w:r w:rsidRPr="00DA0A73">
              <w:rPr>
                <w:rFonts w:ascii="Times New Roman" w:eastAsia="Times New Roman" w:hAnsi="Times New Roman"/>
                <w:sz w:val="24"/>
                <w:szCs w:val="24"/>
              </w:rPr>
              <w:lastRenderedPageBreak/>
              <w:t>burdens. The Commission works closely with Member States to help them implement EU law and policies, using a wide array of tools ranging from meetings-based tools to technical and financial support, and including guidance, workshops, implementation strategies, trainings, etc.</w:t>
            </w:r>
          </w:p>
          <w:p w14:paraId="0DF10AF4" w14:textId="3706A887" w:rsidR="00734613" w:rsidRPr="00DA0A73" w:rsidRDefault="33C37820" w:rsidP="00FE4D00">
            <w:pPr>
              <w:widowControl w:val="0"/>
              <w:spacing w:before="120" w:after="120"/>
              <w:jc w:val="both"/>
              <w:rPr>
                <w:rFonts w:ascii="Times New Roman" w:eastAsia="Times New Roman" w:hAnsi="Times New Roman"/>
                <w:sz w:val="24"/>
                <w:szCs w:val="24"/>
              </w:rPr>
            </w:pPr>
            <w:r w:rsidRPr="00DA0A73">
              <w:rPr>
                <w:rFonts w:ascii="Times New Roman" w:eastAsia="Times New Roman" w:hAnsi="Times New Roman"/>
                <w:sz w:val="24"/>
                <w:szCs w:val="24"/>
              </w:rPr>
              <w:t>In addition, a</w:t>
            </w:r>
            <w:r w:rsidR="0BC93CC1" w:rsidRPr="00DA0A73">
              <w:rPr>
                <w:rFonts w:ascii="Times New Roman" w:eastAsia="Times New Roman" w:hAnsi="Times New Roman"/>
                <w:sz w:val="24"/>
                <w:szCs w:val="24"/>
              </w:rPr>
              <w:t>s part of a better regulation agenda, the Commission has reinforced the Competitiveness check applicable in all impact assessments to better reflect the impacts of an</w:t>
            </w:r>
            <w:r w:rsidR="00DA0A73">
              <w:rPr>
                <w:rFonts w:ascii="Times New Roman" w:eastAsia="Times New Roman" w:hAnsi="Times New Roman"/>
                <w:sz w:val="24"/>
                <w:szCs w:val="24"/>
              </w:rPr>
              <w:t> </w:t>
            </w:r>
            <w:r w:rsidR="0BC93CC1" w:rsidRPr="00DA0A73">
              <w:rPr>
                <w:rFonts w:ascii="Times New Roman" w:eastAsia="Times New Roman" w:hAnsi="Times New Roman"/>
                <w:sz w:val="24"/>
                <w:szCs w:val="24"/>
              </w:rPr>
              <w:t xml:space="preserve">initiative on key sectors and introduced a renewed </w:t>
            </w:r>
            <w:r w:rsidR="000304DA" w:rsidRPr="000304DA">
              <w:rPr>
                <w:rFonts w:ascii="Times New Roman" w:eastAsia="Times New Roman" w:hAnsi="Times New Roman"/>
                <w:sz w:val="24"/>
                <w:szCs w:val="24"/>
              </w:rPr>
              <w:t xml:space="preserve">small and medium-sized enterprises </w:t>
            </w:r>
            <w:r w:rsidR="000304DA">
              <w:rPr>
                <w:rFonts w:ascii="Times New Roman" w:eastAsia="Times New Roman" w:hAnsi="Times New Roman"/>
                <w:sz w:val="24"/>
                <w:szCs w:val="24"/>
              </w:rPr>
              <w:t>(</w:t>
            </w:r>
            <w:r w:rsidR="0BC93CC1" w:rsidRPr="00DA0A73">
              <w:rPr>
                <w:rFonts w:ascii="Times New Roman" w:eastAsia="Times New Roman" w:hAnsi="Times New Roman"/>
                <w:sz w:val="24"/>
                <w:szCs w:val="24"/>
              </w:rPr>
              <w:t>SME</w:t>
            </w:r>
            <w:r w:rsidR="000304DA">
              <w:rPr>
                <w:rFonts w:ascii="Times New Roman" w:eastAsia="Times New Roman" w:hAnsi="Times New Roman"/>
                <w:sz w:val="24"/>
                <w:szCs w:val="24"/>
              </w:rPr>
              <w:t>)</w:t>
            </w:r>
            <w:r w:rsidR="0BC93CC1" w:rsidRPr="00DA0A73">
              <w:rPr>
                <w:rFonts w:ascii="Times New Roman" w:eastAsia="Times New Roman" w:hAnsi="Times New Roman"/>
                <w:sz w:val="24"/>
                <w:szCs w:val="24"/>
              </w:rPr>
              <w:t xml:space="preserve"> check, which is mandatory for initiatives highly relevant to small and medium-sized enterprises. These checks help ensure that legislation is implementable and avoids creating unnecessary burdens, which can lead to compliance issues. The Commission also shares the EESC's concern regarding "gold-plating" and will continue to work with co-legislators and Member States to limit this practice.</w:t>
            </w:r>
          </w:p>
          <w:p w14:paraId="1C6BEB88" w14:textId="414A84BF" w:rsidR="00734613" w:rsidRPr="00001DDA" w:rsidRDefault="0C8BAE6C" w:rsidP="00FE4D00">
            <w:pPr>
              <w:widowControl w:val="0"/>
              <w:spacing w:before="120" w:after="120"/>
              <w:jc w:val="both"/>
              <w:rPr>
                <w:rFonts w:ascii="Times New Roman" w:hAnsi="Times New Roman"/>
                <w:sz w:val="24"/>
                <w:szCs w:val="24"/>
              </w:rPr>
            </w:pPr>
            <w:r w:rsidRPr="00DA0A73">
              <w:rPr>
                <w:rFonts w:ascii="Times New Roman" w:eastAsia="Times New Roman" w:hAnsi="Times New Roman"/>
                <w:b/>
                <w:bCs/>
                <w:sz w:val="24"/>
                <w:szCs w:val="24"/>
              </w:rPr>
              <w:t>3. On Updating Communication and Reporting Priorities</w:t>
            </w:r>
          </w:p>
          <w:p w14:paraId="3F2A6D7C" w14:textId="1597AD66" w:rsidR="00734613" w:rsidRPr="00DA0A73" w:rsidRDefault="0BC93CC1" w:rsidP="00FE4D00">
            <w:pPr>
              <w:widowControl w:val="0"/>
              <w:spacing w:before="120" w:after="120"/>
              <w:jc w:val="both"/>
              <w:rPr>
                <w:rFonts w:ascii="Times New Roman" w:eastAsia="Times New Roman" w:hAnsi="Times New Roman"/>
                <w:sz w:val="24"/>
                <w:szCs w:val="24"/>
              </w:rPr>
            </w:pPr>
            <w:r w:rsidRPr="00DA0A73">
              <w:rPr>
                <w:rFonts w:ascii="Times New Roman" w:eastAsia="Times New Roman" w:hAnsi="Times New Roman"/>
                <w:sz w:val="24"/>
                <w:szCs w:val="24"/>
              </w:rPr>
              <w:t xml:space="preserve">The 2025 Annual Progress Report on Simplification, Implementation and Enforcement </w:t>
            </w:r>
            <w:r w:rsidR="00A1102E" w:rsidRPr="00DA0A73">
              <w:rPr>
                <w:rFonts w:ascii="Times New Roman" w:eastAsia="Times New Roman" w:hAnsi="Times New Roman"/>
                <w:sz w:val="24"/>
                <w:szCs w:val="24"/>
              </w:rPr>
              <w:t>of</w:t>
            </w:r>
            <w:r w:rsidRPr="00DA0A73">
              <w:rPr>
                <w:rFonts w:ascii="Times New Roman" w:eastAsia="Times New Roman" w:hAnsi="Times New Roman"/>
                <w:sz w:val="24"/>
                <w:szCs w:val="24"/>
              </w:rPr>
              <w:t xml:space="preserve"> the Executive Vice-President for Prosperity and Industrial Strategy </w:t>
            </w:r>
            <w:r w:rsidR="0E2E8214" w:rsidRPr="00DA0A73">
              <w:rPr>
                <w:rFonts w:ascii="Times New Roman" w:eastAsia="Times New Roman" w:hAnsi="Times New Roman"/>
                <w:sz w:val="24"/>
                <w:szCs w:val="24"/>
              </w:rPr>
              <w:t>answers</w:t>
            </w:r>
            <w:r w:rsidRPr="00DA0A73">
              <w:rPr>
                <w:rFonts w:ascii="Times New Roman" w:eastAsia="Times New Roman" w:hAnsi="Times New Roman"/>
                <w:sz w:val="24"/>
                <w:szCs w:val="24"/>
              </w:rPr>
              <w:t xml:space="preserve"> the EESC’s call for updating the communication on enforcement of EU law. This report, and those that will follow, enhance transparency and provide a clear overview of the Commission’s enforcement priorities and actions.</w:t>
            </w:r>
            <w:r w:rsidR="68CB54CB" w:rsidRPr="00DA0A73">
              <w:rPr>
                <w:rFonts w:ascii="Times New Roman" w:eastAsia="Times New Roman" w:hAnsi="Times New Roman"/>
                <w:sz w:val="24"/>
                <w:szCs w:val="24"/>
              </w:rPr>
              <w:t xml:space="preserve"> </w:t>
            </w:r>
            <w:r w:rsidRPr="00DA0A73">
              <w:rPr>
                <w:rFonts w:ascii="Times New Roman" w:eastAsia="Times New Roman" w:hAnsi="Times New Roman"/>
                <w:sz w:val="24"/>
                <w:szCs w:val="24"/>
              </w:rPr>
              <w:t>The report also details the Commission’s extensive simplification work, such as the various Omnibus packages and a new Single Market Strategy</w:t>
            </w:r>
            <w:r w:rsidR="00734613" w:rsidRPr="00DA0A73">
              <w:rPr>
                <w:rStyle w:val="FootnoteReference"/>
                <w:rFonts w:ascii="Times New Roman" w:eastAsia="Times New Roman" w:hAnsi="Times New Roman"/>
                <w:sz w:val="24"/>
                <w:szCs w:val="24"/>
              </w:rPr>
              <w:footnoteReference w:id="3"/>
            </w:r>
            <w:r w:rsidRPr="00DA0A73">
              <w:rPr>
                <w:rFonts w:ascii="Times New Roman" w:eastAsia="Times New Roman" w:hAnsi="Times New Roman"/>
                <w:sz w:val="24"/>
                <w:szCs w:val="24"/>
              </w:rPr>
              <w:t xml:space="preserve">, which focus on removing barriers in the Single Market in order to facilitate cross-border activities of economic operators, </w:t>
            </w:r>
            <w:r w:rsidR="00F24CB9" w:rsidRPr="00DA0A73">
              <w:rPr>
                <w:rFonts w:ascii="Times New Roman" w:eastAsia="Times New Roman" w:hAnsi="Times New Roman"/>
                <w:sz w:val="24"/>
                <w:szCs w:val="24"/>
              </w:rPr>
              <w:t xml:space="preserve">simplifying reporting obligations through the introduction of the forthcoming European Business Wallets, </w:t>
            </w:r>
            <w:r w:rsidRPr="00DA0A73">
              <w:rPr>
                <w:rFonts w:ascii="Times New Roman" w:eastAsia="Times New Roman" w:hAnsi="Times New Roman"/>
                <w:sz w:val="24"/>
                <w:szCs w:val="24"/>
              </w:rPr>
              <w:t>tailoring regulations for small mid-caps, transitioning to a data-based Single Market, and providing emergency solutions for market access, all while adhering to climate commitments, sustainability, and social responsibilities. Simplifying the rules is a crucial prerequisite for effective enforcement.</w:t>
            </w:r>
            <w:r w:rsidR="1D88EA60" w:rsidRPr="00DA0A73">
              <w:rPr>
                <w:rFonts w:ascii="Times New Roman" w:eastAsia="Times New Roman" w:hAnsi="Times New Roman"/>
                <w:sz w:val="24"/>
                <w:szCs w:val="24"/>
              </w:rPr>
              <w:t xml:space="preserve"> In addition, the Commission has revamped its website with information on its enforcement policies where stakeholders can keep track of infringement procedures, ongoing structured dialogues with Member States, and the directive transposition deficit across EU policy fields</w:t>
            </w:r>
            <w:r w:rsidR="0C8BAE6C" w:rsidRPr="00DA0A73">
              <w:rPr>
                <w:rStyle w:val="FootnoteReference"/>
                <w:rFonts w:ascii="Times New Roman" w:eastAsia="Times New Roman" w:hAnsi="Times New Roman"/>
                <w:sz w:val="24"/>
                <w:szCs w:val="24"/>
              </w:rPr>
              <w:footnoteReference w:id="4"/>
            </w:r>
            <w:r w:rsidR="512ABB27" w:rsidRPr="00DA0A73">
              <w:rPr>
                <w:rStyle w:val="FootnoteReference"/>
                <w:rFonts w:ascii="Times New Roman" w:eastAsia="Times New Roman" w:hAnsi="Times New Roman"/>
                <w:sz w:val="24"/>
                <w:szCs w:val="24"/>
              </w:rPr>
              <w:t>.</w:t>
            </w:r>
            <w:r w:rsidR="1D88EA60" w:rsidRPr="00DA0A73">
              <w:rPr>
                <w:rFonts w:ascii="Times New Roman" w:eastAsia="Times New Roman" w:hAnsi="Times New Roman"/>
                <w:sz w:val="24"/>
                <w:szCs w:val="24"/>
              </w:rPr>
              <w:t xml:space="preserve"> </w:t>
            </w:r>
          </w:p>
          <w:p w14:paraId="28B71486" w14:textId="4CD5411F" w:rsidR="00734613" w:rsidRPr="00001DDA" w:rsidRDefault="0C8BAE6C" w:rsidP="00FE4D00">
            <w:pPr>
              <w:widowControl w:val="0"/>
              <w:spacing w:before="120" w:after="120"/>
              <w:jc w:val="both"/>
              <w:rPr>
                <w:rFonts w:ascii="Times New Roman" w:hAnsi="Times New Roman"/>
                <w:sz w:val="24"/>
                <w:szCs w:val="24"/>
              </w:rPr>
            </w:pPr>
            <w:r w:rsidRPr="00DA0A73">
              <w:rPr>
                <w:rFonts w:ascii="Times New Roman" w:eastAsia="Times New Roman" w:hAnsi="Times New Roman"/>
                <w:b/>
                <w:bCs/>
                <w:sz w:val="24"/>
                <w:szCs w:val="24"/>
              </w:rPr>
              <w:t>4. On More Efficient Infringement Procedures</w:t>
            </w:r>
          </w:p>
          <w:p w14:paraId="15CF273B" w14:textId="29463C4E" w:rsidR="00734613" w:rsidRPr="00DA0A73" w:rsidRDefault="0BC93CC1" w:rsidP="00FE4D00">
            <w:pPr>
              <w:widowControl w:val="0"/>
              <w:spacing w:before="120" w:after="120"/>
              <w:jc w:val="both"/>
              <w:rPr>
                <w:rFonts w:ascii="Times New Roman" w:eastAsia="Times New Roman" w:hAnsi="Times New Roman"/>
                <w:sz w:val="24"/>
                <w:szCs w:val="24"/>
                <w:lang w:val="en-US"/>
              </w:rPr>
            </w:pPr>
            <w:r w:rsidRPr="00DA0A73">
              <w:rPr>
                <w:rFonts w:ascii="Times New Roman" w:eastAsia="Times New Roman" w:hAnsi="Times New Roman"/>
                <w:sz w:val="24"/>
                <w:szCs w:val="24"/>
              </w:rPr>
              <w:t xml:space="preserve">The Commission acknowledges the EESC's call for more efficient infringement procedures with reduced duration, increased transparency, and better communication. </w:t>
            </w:r>
            <w:r w:rsidR="3D1B99BD" w:rsidRPr="00DA0A73">
              <w:rPr>
                <w:rFonts w:ascii="Times New Roman" w:eastAsia="Times New Roman" w:hAnsi="Times New Roman"/>
                <w:sz w:val="24"/>
                <w:szCs w:val="24"/>
              </w:rPr>
              <w:t xml:space="preserve">It is the Commission’s priority to get breaches of EU law resolved as fast as possible. And in 95% of infringement </w:t>
            </w:r>
            <w:r w:rsidR="607348AD" w:rsidRPr="00DA0A73">
              <w:rPr>
                <w:rFonts w:ascii="Times New Roman" w:eastAsia="Times New Roman" w:hAnsi="Times New Roman"/>
                <w:sz w:val="24"/>
                <w:szCs w:val="24"/>
              </w:rPr>
              <w:t>procedures</w:t>
            </w:r>
            <w:r w:rsidR="3D1B99BD" w:rsidRPr="00DA0A73">
              <w:rPr>
                <w:rFonts w:ascii="Times New Roman" w:eastAsia="Times New Roman" w:hAnsi="Times New Roman"/>
                <w:sz w:val="24"/>
                <w:szCs w:val="24"/>
              </w:rPr>
              <w:t xml:space="preserve">, Member States address those breaches before the case </w:t>
            </w:r>
            <w:proofErr w:type="gramStart"/>
            <w:r w:rsidR="3D1B99BD" w:rsidRPr="00DA0A73">
              <w:rPr>
                <w:rFonts w:ascii="Times New Roman" w:eastAsia="Times New Roman" w:hAnsi="Times New Roman"/>
                <w:sz w:val="24"/>
                <w:szCs w:val="24"/>
              </w:rPr>
              <w:t>has to</w:t>
            </w:r>
            <w:proofErr w:type="gramEnd"/>
            <w:r w:rsidR="3D1B99BD" w:rsidRPr="00DA0A73">
              <w:rPr>
                <w:rFonts w:ascii="Times New Roman" w:eastAsia="Times New Roman" w:hAnsi="Times New Roman"/>
                <w:sz w:val="24"/>
                <w:szCs w:val="24"/>
              </w:rPr>
              <w:t xml:space="preserve"> be taken to the Court of </w:t>
            </w:r>
            <w:r w:rsidR="00E1486A" w:rsidRPr="00DA0A73">
              <w:rPr>
                <w:rFonts w:ascii="Times New Roman" w:eastAsia="Times New Roman" w:hAnsi="Times New Roman"/>
                <w:sz w:val="24"/>
                <w:szCs w:val="24"/>
              </w:rPr>
              <w:t>Justice.</w:t>
            </w:r>
            <w:r w:rsidRPr="00DA0A73">
              <w:rPr>
                <w:rFonts w:ascii="Times New Roman" w:eastAsia="Times New Roman" w:hAnsi="Times New Roman"/>
                <w:sz w:val="24"/>
                <w:szCs w:val="24"/>
              </w:rPr>
              <w:t xml:space="preserve"> However, the process can sometimes be lengthy due to the necessary and often complex </w:t>
            </w:r>
            <w:r w:rsidR="00E1486A" w:rsidRPr="00DA0A73">
              <w:rPr>
                <w:rFonts w:ascii="Times New Roman" w:eastAsia="Times New Roman" w:hAnsi="Times New Roman"/>
                <w:sz w:val="24"/>
                <w:szCs w:val="24"/>
              </w:rPr>
              <w:t>exchanges with</w:t>
            </w:r>
            <w:r w:rsidRPr="00DA0A73">
              <w:rPr>
                <w:rFonts w:ascii="Times New Roman" w:eastAsia="Times New Roman" w:hAnsi="Times New Roman"/>
                <w:sz w:val="24"/>
                <w:szCs w:val="24"/>
              </w:rPr>
              <w:t xml:space="preserve"> Member States to find an appropriate solution</w:t>
            </w:r>
            <w:r w:rsidR="7177BF66" w:rsidRPr="00DA0A73">
              <w:rPr>
                <w:rFonts w:ascii="Times New Roman" w:eastAsia="Times New Roman" w:hAnsi="Times New Roman"/>
                <w:sz w:val="24"/>
                <w:szCs w:val="24"/>
              </w:rPr>
              <w:t xml:space="preserve"> to eliminate violations of EU law</w:t>
            </w:r>
            <w:r w:rsidRPr="00DA0A73">
              <w:rPr>
                <w:rFonts w:ascii="Times New Roman" w:eastAsia="Times New Roman" w:hAnsi="Times New Roman"/>
                <w:sz w:val="24"/>
                <w:szCs w:val="24"/>
              </w:rPr>
              <w:t xml:space="preserve">. At the same time, the Commission does not hesitate to </w:t>
            </w:r>
            <w:r w:rsidR="230E6022" w:rsidRPr="00DA0A73">
              <w:rPr>
                <w:rFonts w:ascii="Times New Roman" w:eastAsia="Times New Roman" w:hAnsi="Times New Roman"/>
                <w:sz w:val="24"/>
                <w:szCs w:val="24"/>
              </w:rPr>
              <w:t xml:space="preserve">progress with procedural steps in its </w:t>
            </w:r>
            <w:r w:rsidR="230E6022" w:rsidRPr="00DA0A73">
              <w:rPr>
                <w:rFonts w:ascii="Times New Roman" w:eastAsia="Times New Roman" w:hAnsi="Times New Roman"/>
                <w:sz w:val="24"/>
                <w:szCs w:val="24"/>
              </w:rPr>
              <w:lastRenderedPageBreak/>
              <w:t xml:space="preserve">infringement procedures, including referring Member States to the Court of Justice of the </w:t>
            </w:r>
            <w:r w:rsidR="00E1486A" w:rsidRPr="00DA0A73">
              <w:rPr>
                <w:rFonts w:ascii="Times New Roman" w:eastAsia="Times New Roman" w:hAnsi="Times New Roman"/>
                <w:sz w:val="24"/>
                <w:szCs w:val="24"/>
              </w:rPr>
              <w:t>EU when</w:t>
            </w:r>
            <w:r w:rsidRPr="00DA0A73">
              <w:rPr>
                <w:rFonts w:ascii="Times New Roman" w:eastAsia="Times New Roman" w:hAnsi="Times New Roman"/>
                <w:sz w:val="24"/>
                <w:szCs w:val="24"/>
              </w:rPr>
              <w:t xml:space="preserve"> necessary. In the first </w:t>
            </w:r>
            <w:r w:rsidR="00746931" w:rsidRPr="00DA0A73">
              <w:rPr>
                <w:rFonts w:ascii="Times New Roman" w:eastAsia="Times New Roman" w:hAnsi="Times New Roman"/>
                <w:sz w:val="24"/>
                <w:szCs w:val="24"/>
              </w:rPr>
              <w:t xml:space="preserve">eleven </w:t>
            </w:r>
            <w:r w:rsidRPr="00DA0A73">
              <w:rPr>
                <w:rFonts w:ascii="Times New Roman" w:eastAsia="Times New Roman" w:hAnsi="Times New Roman"/>
                <w:sz w:val="24"/>
                <w:szCs w:val="24"/>
              </w:rPr>
              <w:t xml:space="preserve">months of 2025, the Commission took </w:t>
            </w:r>
            <w:r w:rsidR="00746931" w:rsidRPr="00DA0A73">
              <w:rPr>
                <w:rFonts w:ascii="Times New Roman" w:eastAsia="Times New Roman" w:hAnsi="Times New Roman"/>
                <w:sz w:val="24"/>
                <w:szCs w:val="24"/>
              </w:rPr>
              <w:t>36</w:t>
            </w:r>
            <w:r w:rsidRPr="00DA0A73">
              <w:rPr>
                <w:rFonts w:ascii="Times New Roman" w:eastAsia="Times New Roman" w:hAnsi="Times New Roman"/>
                <w:sz w:val="24"/>
                <w:szCs w:val="24"/>
              </w:rPr>
              <w:t xml:space="preserve"> decisions</w:t>
            </w:r>
            <w:r w:rsidR="00660914" w:rsidRPr="00DA0A73">
              <w:rPr>
                <w:rStyle w:val="FootnoteReference"/>
                <w:rFonts w:ascii="Times New Roman" w:eastAsia="Times New Roman" w:hAnsi="Times New Roman"/>
                <w:sz w:val="24"/>
                <w:szCs w:val="24"/>
              </w:rPr>
              <w:footnoteReference w:id="5"/>
            </w:r>
            <w:r w:rsidRPr="00DA0A73">
              <w:rPr>
                <w:rFonts w:ascii="Times New Roman" w:eastAsia="Times New Roman" w:hAnsi="Times New Roman"/>
                <w:sz w:val="24"/>
                <w:szCs w:val="24"/>
              </w:rPr>
              <w:t xml:space="preserve"> related to infringement proceedings in the Single Market area</w:t>
            </w:r>
            <w:r w:rsidR="00746931" w:rsidRPr="00DA0A73">
              <w:rPr>
                <w:rFonts w:ascii="Times New Roman" w:eastAsia="Times New Roman" w:hAnsi="Times New Roman"/>
                <w:sz w:val="24"/>
                <w:szCs w:val="24"/>
              </w:rPr>
              <w:t>. It l</w:t>
            </w:r>
            <w:r w:rsidRPr="00DA0A73">
              <w:rPr>
                <w:rFonts w:ascii="Times New Roman" w:eastAsia="Times New Roman" w:hAnsi="Times New Roman"/>
                <w:sz w:val="24"/>
                <w:szCs w:val="24"/>
              </w:rPr>
              <w:t>aunched 1</w:t>
            </w:r>
            <w:r w:rsidR="00746931" w:rsidRPr="00DA0A73">
              <w:rPr>
                <w:rFonts w:ascii="Times New Roman" w:eastAsia="Times New Roman" w:hAnsi="Times New Roman"/>
                <w:sz w:val="24"/>
                <w:szCs w:val="24"/>
              </w:rPr>
              <w:t>2</w:t>
            </w:r>
            <w:r w:rsidR="0078270D" w:rsidRPr="00DA0A73">
              <w:rPr>
                <w:rFonts w:ascii="Times New Roman" w:eastAsia="Times New Roman" w:hAnsi="Times New Roman"/>
                <w:sz w:val="24"/>
                <w:szCs w:val="24"/>
              </w:rPr>
              <w:t xml:space="preserve"> </w:t>
            </w:r>
            <w:r w:rsidRPr="00DA0A73">
              <w:rPr>
                <w:rFonts w:ascii="Times New Roman" w:eastAsia="Times New Roman" w:hAnsi="Times New Roman"/>
                <w:sz w:val="24"/>
                <w:szCs w:val="24"/>
              </w:rPr>
              <w:t xml:space="preserve">new </w:t>
            </w:r>
            <w:r w:rsidR="00E1486A" w:rsidRPr="00DA0A73">
              <w:rPr>
                <w:rFonts w:ascii="Times New Roman" w:eastAsia="Times New Roman" w:hAnsi="Times New Roman"/>
                <w:sz w:val="24"/>
                <w:szCs w:val="24"/>
              </w:rPr>
              <w:t>procedures and</w:t>
            </w:r>
            <w:r w:rsidRPr="00DA0A73">
              <w:rPr>
                <w:rFonts w:ascii="Times New Roman" w:eastAsia="Times New Roman" w:hAnsi="Times New Roman"/>
                <w:sz w:val="24"/>
                <w:szCs w:val="24"/>
              </w:rPr>
              <w:t xml:space="preserve"> made three referrals to the Court of Justice of the European Union. Notably, 1</w:t>
            </w:r>
            <w:r w:rsidR="00746931" w:rsidRPr="00DA0A73">
              <w:rPr>
                <w:rFonts w:ascii="Times New Roman" w:eastAsia="Times New Roman" w:hAnsi="Times New Roman"/>
                <w:sz w:val="24"/>
                <w:szCs w:val="24"/>
              </w:rPr>
              <w:t>5</w:t>
            </w:r>
            <w:r w:rsidR="0078270D" w:rsidRPr="00DA0A73">
              <w:rPr>
                <w:rFonts w:ascii="Times New Roman" w:eastAsia="Times New Roman" w:hAnsi="Times New Roman"/>
                <w:sz w:val="24"/>
                <w:szCs w:val="24"/>
              </w:rPr>
              <w:t xml:space="preserve"> </w:t>
            </w:r>
            <w:r w:rsidRPr="00DA0A73">
              <w:rPr>
                <w:rFonts w:ascii="Times New Roman" w:eastAsia="Times New Roman" w:hAnsi="Times New Roman"/>
                <w:sz w:val="24"/>
                <w:szCs w:val="24"/>
              </w:rPr>
              <w:t>of these cases were based on complaints from citizens and businesses, demonstrating the Commission’s commitment to addressing their concerns</w:t>
            </w:r>
            <w:r w:rsidR="00746931" w:rsidRPr="00DA0A73">
              <w:rPr>
                <w:rStyle w:val="FootnoteReference"/>
                <w:rFonts w:ascii="Times New Roman" w:eastAsia="Times New Roman" w:hAnsi="Times New Roman"/>
                <w:sz w:val="24"/>
                <w:szCs w:val="24"/>
              </w:rPr>
              <w:footnoteReference w:id="6"/>
            </w:r>
            <w:r w:rsidRPr="00DA0A73">
              <w:rPr>
                <w:rFonts w:ascii="Times New Roman" w:eastAsia="Times New Roman" w:hAnsi="Times New Roman"/>
                <w:sz w:val="24"/>
                <w:szCs w:val="24"/>
              </w:rPr>
              <w:t>.</w:t>
            </w:r>
            <w:r w:rsidR="590A37D3" w:rsidRPr="00DA0A73">
              <w:rPr>
                <w:rFonts w:ascii="Times New Roman" w:eastAsia="Times New Roman" w:hAnsi="Times New Roman"/>
                <w:sz w:val="24"/>
                <w:szCs w:val="24"/>
              </w:rPr>
              <w:t xml:space="preserve"> </w:t>
            </w:r>
            <w:r w:rsidR="590A37D3" w:rsidRPr="00DA0A73">
              <w:rPr>
                <w:rFonts w:ascii="Times New Roman" w:eastAsia="Times New Roman" w:hAnsi="Times New Roman"/>
                <w:sz w:val="24"/>
                <w:szCs w:val="24"/>
                <w:lang w:val="en-US"/>
              </w:rPr>
              <w:t>To further increase transparency of its enforcement actions, th</w:t>
            </w:r>
            <w:r w:rsidR="3D877DBF" w:rsidRPr="00DA0A73">
              <w:rPr>
                <w:rFonts w:ascii="Times New Roman" w:eastAsia="Times New Roman" w:hAnsi="Times New Roman"/>
                <w:sz w:val="24"/>
                <w:szCs w:val="24"/>
                <w:lang w:val="en-US"/>
              </w:rPr>
              <w:t>is</w:t>
            </w:r>
            <w:r w:rsidR="590A37D3" w:rsidRPr="00DA0A73">
              <w:rPr>
                <w:rFonts w:ascii="Times New Roman" w:eastAsia="Times New Roman" w:hAnsi="Times New Roman"/>
                <w:sz w:val="24"/>
                <w:szCs w:val="24"/>
                <w:lang w:val="en-US"/>
              </w:rPr>
              <w:t xml:space="preserve"> Commission put in place a new Europa webpage</w:t>
            </w:r>
            <w:r w:rsidR="00E1486A" w:rsidRPr="00001DDA">
              <w:rPr>
                <w:rStyle w:val="FootnoteReference"/>
                <w:rFonts w:ascii="Times New Roman" w:hAnsi="Times New Roman"/>
                <w:sz w:val="24"/>
                <w:szCs w:val="24"/>
              </w:rPr>
              <w:footnoteReference w:id="7"/>
            </w:r>
            <w:r w:rsidR="590A37D3" w:rsidRPr="00DA0A73">
              <w:rPr>
                <w:rFonts w:ascii="Times New Roman" w:eastAsia="Times New Roman" w:hAnsi="Times New Roman"/>
                <w:sz w:val="24"/>
                <w:szCs w:val="24"/>
                <w:lang w:val="en-US"/>
              </w:rPr>
              <w:t xml:space="preserve"> on infringements, pre-infringement dialogues and transposition of directives, allowing for targeted searches and </w:t>
            </w:r>
            <w:proofErr w:type="spellStart"/>
            <w:r w:rsidR="590A37D3" w:rsidRPr="00DA0A73">
              <w:rPr>
                <w:rFonts w:ascii="Times New Roman" w:eastAsia="Times New Roman" w:hAnsi="Times New Roman"/>
                <w:sz w:val="24"/>
                <w:szCs w:val="24"/>
                <w:lang w:val="en-US"/>
              </w:rPr>
              <w:t>customised</w:t>
            </w:r>
            <w:proofErr w:type="spellEnd"/>
            <w:r w:rsidR="590A37D3" w:rsidRPr="00DA0A73">
              <w:rPr>
                <w:rFonts w:ascii="Times New Roman" w:eastAsia="Times New Roman" w:hAnsi="Times New Roman"/>
                <w:sz w:val="24"/>
                <w:szCs w:val="24"/>
                <w:lang w:val="en-US"/>
              </w:rPr>
              <w:t xml:space="preserve"> graphs per </w:t>
            </w:r>
            <w:r w:rsidR="3D877DBF" w:rsidRPr="00DA0A73">
              <w:rPr>
                <w:rFonts w:ascii="Times New Roman" w:eastAsia="Times New Roman" w:hAnsi="Times New Roman"/>
                <w:sz w:val="24"/>
                <w:szCs w:val="24"/>
                <w:lang w:val="en-US"/>
              </w:rPr>
              <w:t xml:space="preserve">Member State, </w:t>
            </w:r>
            <w:r w:rsidR="590A37D3" w:rsidRPr="00DA0A73">
              <w:rPr>
                <w:rFonts w:ascii="Times New Roman" w:eastAsia="Times New Roman" w:hAnsi="Times New Roman"/>
                <w:sz w:val="24"/>
                <w:szCs w:val="24"/>
                <w:lang w:val="en-US"/>
              </w:rPr>
              <w:t xml:space="preserve">policy area and topic. </w:t>
            </w:r>
          </w:p>
          <w:p w14:paraId="4891A441" w14:textId="276322A4" w:rsidR="00734613" w:rsidRPr="00001DDA" w:rsidRDefault="0C8BAE6C" w:rsidP="00FE4D00">
            <w:pPr>
              <w:widowControl w:val="0"/>
              <w:spacing w:before="120" w:after="120"/>
              <w:jc w:val="both"/>
              <w:rPr>
                <w:rFonts w:ascii="Times New Roman" w:hAnsi="Times New Roman"/>
                <w:sz w:val="24"/>
                <w:szCs w:val="24"/>
              </w:rPr>
            </w:pPr>
            <w:r w:rsidRPr="00DA0A73">
              <w:rPr>
                <w:rFonts w:ascii="Times New Roman" w:eastAsia="Times New Roman" w:hAnsi="Times New Roman"/>
                <w:b/>
                <w:bCs/>
                <w:sz w:val="24"/>
                <w:szCs w:val="24"/>
              </w:rPr>
              <w:t>5. On Strengthening Enforcement Tools and National Resources</w:t>
            </w:r>
          </w:p>
          <w:p w14:paraId="3A8CCADE" w14:textId="2E739299" w:rsidR="00734613" w:rsidRPr="00DA0A73" w:rsidRDefault="0C8BAE6C" w:rsidP="00FE4D00">
            <w:pPr>
              <w:widowControl w:val="0"/>
              <w:spacing w:before="120" w:after="120"/>
              <w:jc w:val="both"/>
              <w:rPr>
                <w:rFonts w:ascii="Times New Roman" w:eastAsia="Times New Roman" w:hAnsi="Times New Roman"/>
                <w:sz w:val="24"/>
                <w:szCs w:val="24"/>
              </w:rPr>
            </w:pPr>
            <w:r w:rsidRPr="00DA0A73">
              <w:rPr>
                <w:rFonts w:ascii="Times New Roman" w:eastAsia="Times New Roman" w:hAnsi="Times New Roman"/>
                <w:sz w:val="24"/>
                <w:szCs w:val="24"/>
              </w:rPr>
              <w:t>The Commission shares the EESC's view on the importance of collaborative tools. The Commission is committed to strengthening key networks like the Single Market Enforcement Task Force (SMET) and SOLVIT</w:t>
            </w:r>
            <w:r w:rsidR="00A379B0">
              <w:rPr>
                <w:rFonts w:ascii="Times New Roman" w:eastAsia="Times New Roman" w:hAnsi="Times New Roman"/>
                <w:sz w:val="24"/>
                <w:szCs w:val="24"/>
              </w:rPr>
              <w:t xml:space="preserve"> (an informal problem-solving network staffed by national civil servants)</w:t>
            </w:r>
            <w:r w:rsidRPr="00DA0A73">
              <w:rPr>
                <w:rFonts w:ascii="Times New Roman" w:eastAsia="Times New Roman" w:hAnsi="Times New Roman"/>
                <w:sz w:val="24"/>
                <w:szCs w:val="24"/>
              </w:rPr>
              <w:t xml:space="preserve">. For instance, the Commission has recently created a dedicated repository for the SOLVIT network to better identify and follow up on systemic issues in the Single Market. </w:t>
            </w:r>
            <w:r w:rsidR="475910AF" w:rsidRPr="00DA0A73">
              <w:rPr>
                <w:rFonts w:ascii="Times New Roman" w:eastAsia="Times New Roman" w:hAnsi="Times New Roman"/>
                <w:sz w:val="24"/>
                <w:szCs w:val="24"/>
              </w:rPr>
              <w:t>T</w:t>
            </w:r>
            <w:r w:rsidRPr="00DA0A73">
              <w:rPr>
                <w:rFonts w:ascii="Times New Roman" w:eastAsia="Times New Roman" w:hAnsi="Times New Roman"/>
                <w:sz w:val="24"/>
                <w:szCs w:val="24"/>
              </w:rPr>
              <w:t>he Single Market Strategy</w:t>
            </w:r>
            <w:r w:rsidR="2AF92FDB" w:rsidRPr="00DA0A73">
              <w:rPr>
                <w:rFonts w:ascii="Times New Roman" w:eastAsia="Times New Roman" w:hAnsi="Times New Roman"/>
                <w:sz w:val="24"/>
                <w:szCs w:val="24"/>
              </w:rPr>
              <w:t xml:space="preserve"> also called on Member States to name a high-level Single Market Sherpa in their </w:t>
            </w:r>
            <w:r w:rsidR="00A379B0">
              <w:rPr>
                <w:rFonts w:ascii="Times New Roman" w:eastAsia="Times New Roman" w:hAnsi="Times New Roman"/>
                <w:sz w:val="24"/>
                <w:szCs w:val="24"/>
              </w:rPr>
              <w:t>P</w:t>
            </w:r>
            <w:r w:rsidR="2AF92FDB" w:rsidRPr="00DA0A73">
              <w:rPr>
                <w:rFonts w:ascii="Times New Roman" w:eastAsia="Times New Roman" w:hAnsi="Times New Roman"/>
                <w:sz w:val="24"/>
                <w:szCs w:val="24"/>
              </w:rPr>
              <w:t xml:space="preserve">rime </w:t>
            </w:r>
            <w:r w:rsidR="00A379B0">
              <w:rPr>
                <w:rFonts w:ascii="Times New Roman" w:eastAsia="Times New Roman" w:hAnsi="Times New Roman"/>
                <w:sz w:val="24"/>
                <w:szCs w:val="24"/>
              </w:rPr>
              <w:t>M</w:t>
            </w:r>
            <w:r w:rsidR="2AF92FDB" w:rsidRPr="00DA0A73">
              <w:rPr>
                <w:rFonts w:ascii="Times New Roman" w:eastAsia="Times New Roman" w:hAnsi="Times New Roman"/>
                <w:sz w:val="24"/>
                <w:szCs w:val="24"/>
              </w:rPr>
              <w:t xml:space="preserve">inister’s or </w:t>
            </w:r>
            <w:r w:rsidR="00A379B0">
              <w:rPr>
                <w:rFonts w:ascii="Times New Roman" w:eastAsia="Times New Roman" w:hAnsi="Times New Roman"/>
                <w:sz w:val="24"/>
                <w:szCs w:val="24"/>
              </w:rPr>
              <w:t>P</w:t>
            </w:r>
            <w:r w:rsidR="2AF92FDB" w:rsidRPr="00DA0A73">
              <w:rPr>
                <w:rFonts w:ascii="Times New Roman" w:eastAsia="Times New Roman" w:hAnsi="Times New Roman"/>
                <w:sz w:val="24"/>
                <w:szCs w:val="24"/>
              </w:rPr>
              <w:t xml:space="preserve">resident’s office with authority towards all parts of the government. The Sherpa should promote application of Single Market rules and have an active role in preventing and addressing national regulatory and administrative Single Market barriers. The Sherpas should also cooperate with each other on accelerating the removal of barriers across the Single Market. </w:t>
            </w:r>
          </w:p>
          <w:p w14:paraId="62195121" w14:textId="6FDCDE14" w:rsidR="00734613" w:rsidRPr="00001DDA" w:rsidRDefault="0C8BAE6C" w:rsidP="00FE4D00">
            <w:pPr>
              <w:widowControl w:val="0"/>
              <w:spacing w:before="120" w:after="120"/>
              <w:jc w:val="both"/>
              <w:rPr>
                <w:rFonts w:ascii="Times New Roman" w:hAnsi="Times New Roman"/>
                <w:sz w:val="24"/>
                <w:szCs w:val="24"/>
              </w:rPr>
            </w:pPr>
            <w:r w:rsidRPr="00DA0A73">
              <w:rPr>
                <w:rFonts w:ascii="Times New Roman" w:eastAsia="Times New Roman" w:hAnsi="Times New Roman"/>
                <w:b/>
                <w:bCs/>
                <w:sz w:val="24"/>
                <w:szCs w:val="24"/>
              </w:rPr>
              <w:t>6. A Shared Commitment to the Single Market</w:t>
            </w:r>
          </w:p>
          <w:p w14:paraId="30D14481" w14:textId="2F88BE6F" w:rsidR="0049246C" w:rsidRPr="00DA0A73" w:rsidRDefault="0BC93CC1" w:rsidP="00FE4D00">
            <w:pPr>
              <w:widowControl w:val="0"/>
              <w:spacing w:before="120" w:after="120"/>
              <w:jc w:val="both"/>
              <w:rPr>
                <w:rFonts w:ascii="Times New Roman" w:eastAsia="Times New Roman" w:hAnsi="Times New Roman"/>
                <w:sz w:val="24"/>
                <w:szCs w:val="24"/>
              </w:rPr>
            </w:pPr>
            <w:r w:rsidRPr="00DA0A73">
              <w:rPr>
                <w:rFonts w:ascii="Times New Roman" w:eastAsia="Times New Roman" w:hAnsi="Times New Roman"/>
                <w:sz w:val="24"/>
                <w:szCs w:val="24"/>
              </w:rPr>
              <w:t>The Commission strongly agrees with the EESC's conclusion: a strong Single Market depends on prioriti</w:t>
            </w:r>
            <w:r w:rsidR="2D8A93D9" w:rsidRPr="00DA0A73">
              <w:rPr>
                <w:rFonts w:ascii="Times New Roman" w:eastAsia="Times New Roman" w:hAnsi="Times New Roman"/>
                <w:sz w:val="24"/>
                <w:szCs w:val="24"/>
              </w:rPr>
              <w:t>s</w:t>
            </w:r>
            <w:r w:rsidRPr="00DA0A73">
              <w:rPr>
                <w:rFonts w:ascii="Times New Roman" w:eastAsia="Times New Roman" w:hAnsi="Times New Roman"/>
                <w:sz w:val="24"/>
                <w:szCs w:val="24"/>
              </w:rPr>
              <w:t xml:space="preserve">ing enforcement. As the guardian of the Treaties, the Commission is resolute in its duty to ensure EU law is respected. Efficient, proactive, and fast enforcement is a call made by many stakeholders. </w:t>
            </w:r>
            <w:r w:rsidR="36FE5126" w:rsidRPr="00DA0A73">
              <w:rPr>
                <w:rFonts w:ascii="Times New Roman" w:eastAsia="Times New Roman" w:hAnsi="Times New Roman"/>
                <w:sz w:val="24"/>
                <w:szCs w:val="24"/>
              </w:rPr>
              <w:t>To this effect, a</w:t>
            </w:r>
            <w:r w:rsidRPr="00DA0A73">
              <w:rPr>
                <w:rFonts w:ascii="Times New Roman" w:eastAsia="Times New Roman" w:hAnsi="Times New Roman"/>
                <w:sz w:val="24"/>
                <w:szCs w:val="24"/>
              </w:rPr>
              <w:t xml:space="preserve"> new </w:t>
            </w:r>
            <w:r w:rsidR="36FE5126" w:rsidRPr="00DA0A73">
              <w:rPr>
                <w:rFonts w:ascii="Times New Roman" w:eastAsia="Times New Roman" w:hAnsi="Times New Roman"/>
                <w:sz w:val="24"/>
                <w:szCs w:val="24"/>
              </w:rPr>
              <w:t>annual Single Market e</w:t>
            </w:r>
            <w:r w:rsidRPr="00DA0A73">
              <w:rPr>
                <w:rFonts w:ascii="Times New Roman" w:eastAsia="Times New Roman" w:hAnsi="Times New Roman"/>
                <w:sz w:val="24"/>
                <w:szCs w:val="24"/>
              </w:rPr>
              <w:t xml:space="preserve">nforcement </w:t>
            </w:r>
            <w:r w:rsidR="36FE5126" w:rsidRPr="00DA0A73">
              <w:rPr>
                <w:rFonts w:ascii="Times New Roman" w:eastAsia="Times New Roman" w:hAnsi="Times New Roman"/>
                <w:sz w:val="24"/>
                <w:szCs w:val="24"/>
              </w:rPr>
              <w:t>a</w:t>
            </w:r>
            <w:r w:rsidRPr="00DA0A73">
              <w:rPr>
                <w:rFonts w:ascii="Times New Roman" w:eastAsia="Times New Roman" w:hAnsi="Times New Roman"/>
                <w:sz w:val="24"/>
                <w:szCs w:val="24"/>
              </w:rPr>
              <w:t>genda will be presented by the Commission</w:t>
            </w:r>
            <w:r w:rsidR="00A379B0">
              <w:rPr>
                <w:rFonts w:ascii="Times New Roman" w:eastAsia="Times New Roman" w:hAnsi="Times New Roman"/>
                <w:sz w:val="24"/>
                <w:szCs w:val="24"/>
              </w:rPr>
              <w:t xml:space="preserve"> </w:t>
            </w:r>
            <w:r w:rsidR="00001DDA">
              <w:rPr>
                <w:rFonts w:ascii="Times New Roman" w:eastAsia="Times New Roman" w:hAnsi="Times New Roman"/>
                <w:sz w:val="24"/>
                <w:szCs w:val="24"/>
              </w:rPr>
              <w:t xml:space="preserve">in </w:t>
            </w:r>
            <w:r w:rsidR="00001DDA" w:rsidRPr="00DA0A73">
              <w:rPr>
                <w:rFonts w:ascii="Times New Roman" w:eastAsia="Times New Roman" w:hAnsi="Times New Roman"/>
                <w:sz w:val="24"/>
                <w:szCs w:val="24"/>
              </w:rPr>
              <w:t>early</w:t>
            </w:r>
            <w:r w:rsidRPr="00DA0A73">
              <w:rPr>
                <w:rFonts w:ascii="Times New Roman" w:eastAsia="Times New Roman" w:hAnsi="Times New Roman"/>
                <w:sz w:val="24"/>
                <w:szCs w:val="24"/>
              </w:rPr>
              <w:t xml:space="preserve"> 2026. The Commission thanks the EESC for its valuable input and looks forward to continuing the work with all institutions and Member States to reduce barriers and ensure the Single Market delivers its full potential for all. </w:t>
            </w:r>
          </w:p>
        </w:tc>
      </w:tr>
    </w:tbl>
    <w:p w14:paraId="7A8371B3" w14:textId="0C41D7F1" w:rsidR="004F6117" w:rsidRPr="00DA0A73" w:rsidRDefault="004F6117" w:rsidP="607984A4">
      <w:pPr>
        <w:rPr>
          <w:rFonts w:ascii="Times New Roman" w:hAnsi="Times New Roman"/>
          <w:sz w:val="2"/>
          <w:szCs w:val="2"/>
        </w:rPr>
      </w:pPr>
    </w:p>
    <w:p w14:paraId="6AF07B14" w14:textId="26AEAB66" w:rsidR="004F6117" w:rsidRPr="00DA0A73" w:rsidRDefault="004F6117" w:rsidP="00751910">
      <w:pPr>
        <w:rPr>
          <w:rFonts w:ascii="Times New Roman" w:hAnsi="Times New Roman"/>
          <w:b/>
          <w:strike/>
          <w:sz w:val="2"/>
          <w:szCs w:val="2"/>
          <w:u w:val="single"/>
        </w:rPr>
      </w:pPr>
    </w:p>
    <w:sectPr w:rsidR="004F6117" w:rsidRPr="00DA0A7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E225" w14:textId="77777777" w:rsidR="002251EF" w:rsidRDefault="002251EF" w:rsidP="00FF63EA">
      <w:pPr>
        <w:spacing w:after="0" w:line="240" w:lineRule="auto"/>
      </w:pPr>
      <w:r>
        <w:separator/>
      </w:r>
    </w:p>
  </w:endnote>
  <w:endnote w:type="continuationSeparator" w:id="0">
    <w:p w14:paraId="436215BC" w14:textId="77777777" w:rsidR="002251EF" w:rsidRDefault="002251EF" w:rsidP="00FF63EA">
      <w:pPr>
        <w:spacing w:after="0" w:line="240" w:lineRule="auto"/>
      </w:pPr>
      <w:r>
        <w:continuationSeparator/>
      </w:r>
    </w:p>
  </w:endnote>
  <w:endnote w:type="continuationNotice" w:id="1">
    <w:p w14:paraId="0D636FC0" w14:textId="77777777" w:rsidR="002251EF" w:rsidRDefault="002251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BC4C" w14:textId="77777777" w:rsidR="00E1486A" w:rsidRDefault="00E14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45A8" w14:textId="77777777" w:rsidR="00E1486A" w:rsidRPr="00E1486A" w:rsidRDefault="00E1486A">
    <w:pPr>
      <w:pStyle w:val="Footer"/>
      <w:tabs>
        <w:tab w:val="clear" w:pos="4680"/>
        <w:tab w:val="clear" w:pos="9360"/>
      </w:tabs>
      <w:jc w:val="center"/>
      <w:rPr>
        <w:caps/>
        <w:noProof/>
      </w:rPr>
    </w:pPr>
    <w:r w:rsidRPr="00E1486A">
      <w:rPr>
        <w:caps/>
      </w:rPr>
      <w:fldChar w:fldCharType="begin"/>
    </w:r>
    <w:r w:rsidRPr="00E1486A">
      <w:rPr>
        <w:caps/>
      </w:rPr>
      <w:instrText xml:space="preserve"> PAGE   \* MERGEFORMAT </w:instrText>
    </w:r>
    <w:r w:rsidRPr="00E1486A">
      <w:rPr>
        <w:caps/>
      </w:rPr>
      <w:fldChar w:fldCharType="separate"/>
    </w:r>
    <w:r w:rsidRPr="00E1486A">
      <w:rPr>
        <w:caps/>
        <w:noProof/>
      </w:rPr>
      <w:t>2</w:t>
    </w:r>
    <w:r w:rsidRPr="00E1486A">
      <w:rPr>
        <w:caps/>
        <w:noProof/>
      </w:rPr>
      <w:fldChar w:fldCharType="end"/>
    </w:r>
  </w:p>
  <w:p w14:paraId="662F392D" w14:textId="77777777" w:rsidR="00E1486A" w:rsidRDefault="00E14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B981" w14:textId="77777777" w:rsidR="00E1486A" w:rsidRDefault="00E14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C2C4" w14:textId="77777777" w:rsidR="002251EF" w:rsidRDefault="002251EF" w:rsidP="00FF63EA">
      <w:pPr>
        <w:spacing w:after="0" w:line="240" w:lineRule="auto"/>
      </w:pPr>
      <w:r>
        <w:separator/>
      </w:r>
    </w:p>
  </w:footnote>
  <w:footnote w:type="continuationSeparator" w:id="0">
    <w:p w14:paraId="17DB9FC7" w14:textId="77777777" w:rsidR="002251EF" w:rsidRDefault="002251EF" w:rsidP="00FF63EA">
      <w:pPr>
        <w:spacing w:after="0" w:line="240" w:lineRule="auto"/>
      </w:pPr>
      <w:r>
        <w:continuationSeparator/>
      </w:r>
    </w:p>
  </w:footnote>
  <w:footnote w:type="continuationNotice" w:id="1">
    <w:p w14:paraId="4CFC1EE8" w14:textId="77777777" w:rsidR="002251EF" w:rsidRDefault="002251EF">
      <w:pPr>
        <w:spacing w:after="0" w:line="240" w:lineRule="auto"/>
      </w:pPr>
    </w:p>
  </w:footnote>
  <w:footnote w:id="2">
    <w:p w14:paraId="7BC17385" w14:textId="0F6BE169" w:rsidR="00A1102E" w:rsidRPr="00001DDA" w:rsidRDefault="00A1102E" w:rsidP="00001DDA">
      <w:pPr>
        <w:pStyle w:val="FootnoteText"/>
        <w:widowControl w:val="0"/>
        <w:spacing w:line="240" w:lineRule="auto"/>
        <w:ind w:left="142" w:right="-142" w:hanging="284"/>
        <w:jc w:val="both"/>
        <w:rPr>
          <w:rFonts w:ascii="Times New Roman" w:hAnsi="Times New Roman"/>
        </w:rPr>
      </w:pPr>
      <w:r w:rsidRPr="00001DDA">
        <w:rPr>
          <w:rStyle w:val="FootnoteReference"/>
          <w:rFonts w:ascii="Times New Roman" w:hAnsi="Times New Roman"/>
        </w:rPr>
        <w:footnoteRef/>
      </w:r>
      <w:r w:rsidRPr="00001DDA">
        <w:rPr>
          <w:rFonts w:ascii="Times New Roman" w:hAnsi="Times New Roman"/>
        </w:rPr>
        <w:t xml:space="preserve"> </w:t>
      </w:r>
      <w:r w:rsidR="000304DA" w:rsidRPr="00001DDA">
        <w:rPr>
          <w:rFonts w:ascii="Times New Roman" w:hAnsi="Times New Roman"/>
        </w:rPr>
        <w:tab/>
      </w:r>
      <w:hyperlink r:id="rId1" w:history="1">
        <w:r w:rsidR="000304DA" w:rsidRPr="00001DDA">
          <w:rPr>
            <w:rStyle w:val="Hyperlink"/>
            <w:rFonts w:ascii="Times New Roman" w:hAnsi="Times New Roman"/>
          </w:rPr>
          <w:t>https://commission.europa.eu/publications/2025-annual-progress-report-simplification-implementation-and-enforcement-executive-vice-president-1_en</w:t>
        </w:r>
      </w:hyperlink>
      <w:r w:rsidR="000304DA" w:rsidRPr="00001DDA">
        <w:rPr>
          <w:rFonts w:ascii="Times New Roman" w:hAnsi="Times New Roman"/>
        </w:rPr>
        <w:t>.</w:t>
      </w:r>
    </w:p>
    <w:p w14:paraId="08B28192" w14:textId="77777777" w:rsidR="607984A4" w:rsidRPr="00001DDA" w:rsidRDefault="607984A4" w:rsidP="00001DDA">
      <w:pPr>
        <w:pStyle w:val="FootnoteText"/>
        <w:ind w:left="142" w:hanging="284"/>
        <w:rPr>
          <w:rStyle w:val="Hyperlink"/>
          <w:rFonts w:cs="Calibri"/>
          <w:lang w:val="en-IE"/>
        </w:rPr>
      </w:pPr>
    </w:p>
  </w:footnote>
  <w:footnote w:id="3">
    <w:p w14:paraId="041A2CCE" w14:textId="045881F6" w:rsidR="00660914" w:rsidRPr="00001DDA" w:rsidRDefault="000304DA" w:rsidP="00001DDA">
      <w:pPr>
        <w:pStyle w:val="FootnoteText"/>
        <w:widowControl w:val="0"/>
        <w:spacing w:line="240" w:lineRule="auto"/>
        <w:ind w:left="142" w:right="-142" w:hanging="284"/>
        <w:jc w:val="both"/>
        <w:rPr>
          <w:rFonts w:ascii="Times New Roman" w:eastAsia="Aptos" w:hAnsi="Times New Roman"/>
          <w:color w:val="467886"/>
          <w:u w:val="single"/>
          <w:lang w:val="en-IE"/>
        </w:rPr>
      </w:pPr>
      <w:r w:rsidRPr="00001DDA">
        <w:rPr>
          <w:rStyle w:val="FootnoteReference"/>
          <w:rFonts w:ascii="Times New Roman" w:hAnsi="Times New Roman"/>
        </w:rPr>
        <w:footnoteRef/>
      </w:r>
      <w:r w:rsidRPr="00001DDA">
        <w:rPr>
          <w:rFonts w:ascii="Times New Roman" w:hAnsi="Times New Roman"/>
          <w:lang w:val="en-IE"/>
        </w:rPr>
        <w:t xml:space="preserve"> </w:t>
      </w:r>
      <w:r w:rsidRPr="00001DDA">
        <w:rPr>
          <w:rFonts w:ascii="Times New Roman" w:hAnsi="Times New Roman"/>
          <w:lang w:val="en-IE"/>
        </w:rPr>
        <w:tab/>
      </w:r>
      <w:hyperlink r:id="rId2" w:history="1">
        <w:r w:rsidRPr="00001DDA">
          <w:rPr>
            <w:rStyle w:val="Hyperlink"/>
            <w:rFonts w:ascii="Times New Roman" w:eastAsia="Aptos" w:hAnsi="Times New Roman"/>
            <w:lang w:val="en-IE"/>
          </w:rPr>
          <w:t>https://single-market-economy.ec.europa.eu/single-market/strategy_en</w:t>
        </w:r>
      </w:hyperlink>
      <w:r w:rsidRPr="00001DDA">
        <w:rPr>
          <w:rFonts w:ascii="Times New Roman" w:hAnsi="Times New Roman"/>
          <w:lang w:val="en-IE"/>
        </w:rPr>
        <w:t>.</w:t>
      </w:r>
    </w:p>
  </w:footnote>
  <w:footnote w:id="4">
    <w:p w14:paraId="3495BC50" w14:textId="2204CB18" w:rsidR="607984A4" w:rsidRPr="00001DDA" w:rsidRDefault="607984A4" w:rsidP="00001DDA">
      <w:pPr>
        <w:pStyle w:val="FootnoteText"/>
        <w:widowControl w:val="0"/>
        <w:spacing w:line="240" w:lineRule="auto"/>
        <w:ind w:left="142" w:right="-142" w:hanging="284"/>
        <w:jc w:val="both"/>
        <w:rPr>
          <w:rStyle w:val="Hyperlink"/>
          <w:rFonts w:cs="Calibri"/>
          <w:lang w:val="en-IE"/>
        </w:rPr>
      </w:pPr>
      <w:r w:rsidRPr="00001DDA">
        <w:rPr>
          <w:rStyle w:val="FootnoteReference"/>
          <w:rFonts w:ascii="Times New Roman" w:hAnsi="Times New Roman"/>
        </w:rPr>
        <w:footnoteRef/>
      </w:r>
      <w:r w:rsidR="001668C4">
        <w:t xml:space="preserve"> </w:t>
      </w:r>
      <w:r w:rsidR="001668C4">
        <w:tab/>
      </w:r>
      <w:hyperlink r:id="rId3" w:history="1">
        <w:r w:rsidR="008F0C0E" w:rsidRPr="003B2BAD">
          <w:rPr>
            <w:rStyle w:val="Hyperlink"/>
            <w:rFonts w:ascii="Times New Roman" w:hAnsi="Times New Roman"/>
            <w:lang w:val="en-IE"/>
          </w:rPr>
          <w:t>https://ec.europa.eu/implementing-eu-law/home/en</w:t>
        </w:r>
      </w:hyperlink>
      <w:r w:rsidR="000304DA" w:rsidRPr="00001DDA">
        <w:rPr>
          <w:rFonts w:ascii="Times New Roman" w:hAnsi="Times New Roman"/>
          <w:lang w:val="en-IE"/>
        </w:rPr>
        <w:t>.</w:t>
      </w:r>
    </w:p>
  </w:footnote>
  <w:footnote w:id="5">
    <w:p w14:paraId="1C8E0C11" w14:textId="10D70E48" w:rsidR="00660914" w:rsidRPr="00001DDA" w:rsidRDefault="000304DA" w:rsidP="00001DDA">
      <w:pPr>
        <w:spacing w:after="0" w:line="240" w:lineRule="auto"/>
        <w:ind w:left="142" w:hanging="284"/>
        <w:jc w:val="both"/>
        <w:rPr>
          <w:rFonts w:ascii="Times New Roman" w:eastAsia="Aptos" w:hAnsi="Times New Roman"/>
          <w:color w:val="0563C1"/>
          <w:sz w:val="20"/>
          <w:szCs w:val="20"/>
          <w:u w:val="single"/>
          <w:lang w:val="en-IE"/>
        </w:rPr>
      </w:pPr>
      <w:r w:rsidRPr="00001DDA">
        <w:rPr>
          <w:rStyle w:val="FootnoteReference"/>
          <w:rFonts w:ascii="Times New Roman" w:hAnsi="Times New Roman"/>
          <w:sz w:val="20"/>
          <w:szCs w:val="20"/>
        </w:rPr>
        <w:footnoteRef/>
      </w:r>
      <w:r w:rsidRPr="00001DDA">
        <w:rPr>
          <w:rFonts w:ascii="Times New Roman" w:hAnsi="Times New Roman"/>
          <w:sz w:val="20"/>
          <w:szCs w:val="20"/>
        </w:rPr>
        <w:t xml:space="preserve"> </w:t>
      </w:r>
      <w:r w:rsidRPr="00001DDA">
        <w:rPr>
          <w:rFonts w:ascii="Times New Roman" w:hAnsi="Times New Roman"/>
          <w:sz w:val="20"/>
          <w:szCs w:val="20"/>
        </w:rPr>
        <w:tab/>
      </w:r>
      <w:hyperlink r:id="rId4" w:history="1">
        <w:r w:rsidRPr="00001DDA">
          <w:rPr>
            <w:rStyle w:val="Hyperlink"/>
            <w:rFonts w:ascii="Times New Roman" w:eastAsia="Aptos" w:hAnsi="Times New Roman"/>
            <w:sz w:val="20"/>
            <w:szCs w:val="20"/>
            <w:lang w:val="en-IE"/>
          </w:rPr>
          <w:t>https://ec.europa.eu/implementing-eu-law/search-infringement-decisions/?lang_code=en&amp;langCode=EN&amp;version=v1&amp;typeOfSearch=byDecision&amp;decisionDateFrom=01%2F01%2F2025&amp;decisionDateTo=31%2F07%2F2025&amp;dg=GROW&amp;page=1&amp;size=10&amp;order=desc&amp;sortColumns=decisionDate</w:t>
        </w:r>
      </w:hyperlink>
      <w:r w:rsidRPr="00001DDA">
        <w:rPr>
          <w:rFonts w:ascii="Times New Roman" w:hAnsi="Times New Roman"/>
          <w:sz w:val="20"/>
          <w:szCs w:val="20"/>
          <w:lang w:val="en-IE"/>
        </w:rPr>
        <w:t>.</w:t>
      </w:r>
    </w:p>
  </w:footnote>
  <w:footnote w:id="6">
    <w:p w14:paraId="5FBB2D6F" w14:textId="08AFC49A" w:rsidR="00746931" w:rsidRPr="00001DDA" w:rsidRDefault="00746931" w:rsidP="00001DDA">
      <w:pPr>
        <w:pStyle w:val="FootnoteText"/>
        <w:ind w:left="142" w:hanging="284"/>
        <w:jc w:val="both"/>
        <w:rPr>
          <w:rFonts w:ascii="Times New Roman" w:hAnsi="Times New Roman"/>
          <w:lang w:val="en-IE"/>
        </w:rPr>
      </w:pPr>
      <w:r w:rsidRPr="00001DDA">
        <w:rPr>
          <w:rStyle w:val="FootnoteReference"/>
          <w:rFonts w:ascii="Times New Roman" w:hAnsi="Times New Roman"/>
        </w:rPr>
        <w:footnoteRef/>
      </w:r>
      <w:r w:rsidRPr="00001DDA">
        <w:rPr>
          <w:rFonts w:ascii="Times New Roman" w:hAnsi="Times New Roman"/>
        </w:rPr>
        <w:t xml:space="preserve"> </w:t>
      </w:r>
      <w:r w:rsidR="000304DA">
        <w:rPr>
          <w:rFonts w:ascii="Times New Roman" w:hAnsi="Times New Roman"/>
        </w:rPr>
        <w:tab/>
      </w:r>
      <w:r w:rsidRPr="00001DDA">
        <w:rPr>
          <w:rFonts w:ascii="Times New Roman" w:hAnsi="Times New Roman"/>
          <w:lang w:val="en-IE"/>
        </w:rPr>
        <w:t>These figures only refer to the Single Market legislation under the responsibility of DG GROW.</w:t>
      </w:r>
    </w:p>
  </w:footnote>
  <w:footnote w:id="7">
    <w:p w14:paraId="1FB64CA2" w14:textId="20416DE2" w:rsidR="00E1486A" w:rsidRPr="00E1486A" w:rsidRDefault="00E1486A" w:rsidP="00001DDA">
      <w:pPr>
        <w:pStyle w:val="FootnoteText"/>
        <w:ind w:left="142" w:hanging="284"/>
        <w:jc w:val="both"/>
        <w:rPr>
          <w:lang w:val="en-IE"/>
        </w:rPr>
      </w:pPr>
      <w:r w:rsidRPr="00001DDA">
        <w:rPr>
          <w:rStyle w:val="FootnoteReference"/>
          <w:rFonts w:ascii="Times New Roman" w:hAnsi="Times New Roman"/>
        </w:rPr>
        <w:footnoteRef/>
      </w:r>
      <w:r w:rsidRPr="00001DDA">
        <w:rPr>
          <w:rFonts w:ascii="Times New Roman" w:hAnsi="Times New Roman"/>
        </w:rPr>
        <w:t xml:space="preserve"> </w:t>
      </w:r>
      <w:r w:rsidR="000304DA">
        <w:rPr>
          <w:rFonts w:ascii="Times New Roman" w:hAnsi="Times New Roman"/>
        </w:rPr>
        <w:tab/>
      </w:r>
      <w:hyperlink r:id="rId5" w:history="1">
        <w:r w:rsidR="000304DA" w:rsidRPr="00001DDA">
          <w:rPr>
            <w:rStyle w:val="Hyperlink"/>
            <w:rFonts w:ascii="Times New Roman" w:hAnsi="Times New Roman"/>
          </w:rPr>
          <w:t>https://ec.europa.eu/implementing-eu-law/home/en</w:t>
        </w:r>
      </w:hyperlink>
      <w:r w:rsidR="000304DA" w:rsidRPr="00001DDA">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5B34" w14:textId="77777777" w:rsidR="00E1486A" w:rsidRDefault="00E14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EF29" w14:textId="77777777" w:rsidR="00E1486A" w:rsidRDefault="00E14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947A" w14:textId="77777777" w:rsidR="00E1486A" w:rsidRDefault="00E148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Move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1DDA"/>
    <w:rsid w:val="00012A37"/>
    <w:rsid w:val="000304DA"/>
    <w:rsid w:val="00032E93"/>
    <w:rsid w:val="00037655"/>
    <w:rsid w:val="00046773"/>
    <w:rsid w:val="00046B15"/>
    <w:rsid w:val="00050DC7"/>
    <w:rsid w:val="00062426"/>
    <w:rsid w:val="00065BD8"/>
    <w:rsid w:val="00076109"/>
    <w:rsid w:val="00077C4F"/>
    <w:rsid w:val="000A64EF"/>
    <w:rsid w:val="000E5887"/>
    <w:rsid w:val="000F5FD8"/>
    <w:rsid w:val="000F7270"/>
    <w:rsid w:val="001167C0"/>
    <w:rsid w:val="0012036B"/>
    <w:rsid w:val="00135C2A"/>
    <w:rsid w:val="00155723"/>
    <w:rsid w:val="001668C4"/>
    <w:rsid w:val="001B0E0B"/>
    <w:rsid w:val="001C4138"/>
    <w:rsid w:val="001D4EE3"/>
    <w:rsid w:val="001E5C40"/>
    <w:rsid w:val="001F2EC6"/>
    <w:rsid w:val="001F65D0"/>
    <w:rsid w:val="0020346F"/>
    <w:rsid w:val="002114B7"/>
    <w:rsid w:val="00217E59"/>
    <w:rsid w:val="002251EF"/>
    <w:rsid w:val="002422AD"/>
    <w:rsid w:val="00250F65"/>
    <w:rsid w:val="00270507"/>
    <w:rsid w:val="00270509"/>
    <w:rsid w:val="00283F02"/>
    <w:rsid w:val="002F03FA"/>
    <w:rsid w:val="003004D2"/>
    <w:rsid w:val="00302FD1"/>
    <w:rsid w:val="00307AEF"/>
    <w:rsid w:val="003207F3"/>
    <w:rsid w:val="003349A3"/>
    <w:rsid w:val="00335A2C"/>
    <w:rsid w:val="003755E9"/>
    <w:rsid w:val="00377967"/>
    <w:rsid w:val="00382C64"/>
    <w:rsid w:val="0038365B"/>
    <w:rsid w:val="00386143"/>
    <w:rsid w:val="003B2F26"/>
    <w:rsid w:val="003B58DC"/>
    <w:rsid w:val="003D234F"/>
    <w:rsid w:val="003E5C21"/>
    <w:rsid w:val="003F5F79"/>
    <w:rsid w:val="003F686E"/>
    <w:rsid w:val="0041701D"/>
    <w:rsid w:val="0043E8BF"/>
    <w:rsid w:val="00442552"/>
    <w:rsid w:val="00455A1C"/>
    <w:rsid w:val="004616A4"/>
    <w:rsid w:val="004655F3"/>
    <w:rsid w:val="004675B5"/>
    <w:rsid w:val="004770D6"/>
    <w:rsid w:val="004816D2"/>
    <w:rsid w:val="00487533"/>
    <w:rsid w:val="0049246C"/>
    <w:rsid w:val="004E7DD7"/>
    <w:rsid w:val="004F6117"/>
    <w:rsid w:val="004F63F1"/>
    <w:rsid w:val="004F651E"/>
    <w:rsid w:val="005047AF"/>
    <w:rsid w:val="005079F3"/>
    <w:rsid w:val="005127AF"/>
    <w:rsid w:val="0052596B"/>
    <w:rsid w:val="00525DFD"/>
    <w:rsid w:val="00554D8D"/>
    <w:rsid w:val="00561E95"/>
    <w:rsid w:val="00573835"/>
    <w:rsid w:val="00581306"/>
    <w:rsid w:val="005C3105"/>
    <w:rsid w:val="005D157E"/>
    <w:rsid w:val="005E2CC1"/>
    <w:rsid w:val="006158EC"/>
    <w:rsid w:val="006552A9"/>
    <w:rsid w:val="00660914"/>
    <w:rsid w:val="00692C2F"/>
    <w:rsid w:val="00695797"/>
    <w:rsid w:val="00696A5E"/>
    <w:rsid w:val="006B3B69"/>
    <w:rsid w:val="00734613"/>
    <w:rsid w:val="00736704"/>
    <w:rsid w:val="00744336"/>
    <w:rsid w:val="00746931"/>
    <w:rsid w:val="007517F7"/>
    <w:rsid w:val="00751910"/>
    <w:rsid w:val="00751E60"/>
    <w:rsid w:val="007547B5"/>
    <w:rsid w:val="0076567A"/>
    <w:rsid w:val="0078270D"/>
    <w:rsid w:val="00783CF9"/>
    <w:rsid w:val="00795A9E"/>
    <w:rsid w:val="007A152E"/>
    <w:rsid w:val="007A606D"/>
    <w:rsid w:val="007B5BAA"/>
    <w:rsid w:val="007C2214"/>
    <w:rsid w:val="007E3CA9"/>
    <w:rsid w:val="007F2C6D"/>
    <w:rsid w:val="00807B48"/>
    <w:rsid w:val="008135CA"/>
    <w:rsid w:val="0081584F"/>
    <w:rsid w:val="00852BC5"/>
    <w:rsid w:val="008628DA"/>
    <w:rsid w:val="008703BF"/>
    <w:rsid w:val="008925CE"/>
    <w:rsid w:val="008B2CB0"/>
    <w:rsid w:val="008C4D41"/>
    <w:rsid w:val="008E1BEB"/>
    <w:rsid w:val="008F0C0E"/>
    <w:rsid w:val="00920295"/>
    <w:rsid w:val="00981F45"/>
    <w:rsid w:val="00994D12"/>
    <w:rsid w:val="009A4960"/>
    <w:rsid w:val="009B128B"/>
    <w:rsid w:val="00A04B75"/>
    <w:rsid w:val="00A07C0D"/>
    <w:rsid w:val="00A1102E"/>
    <w:rsid w:val="00A16F07"/>
    <w:rsid w:val="00A379B0"/>
    <w:rsid w:val="00A62C7B"/>
    <w:rsid w:val="00A7709A"/>
    <w:rsid w:val="00A9476D"/>
    <w:rsid w:val="00AB6F2D"/>
    <w:rsid w:val="00AE08A2"/>
    <w:rsid w:val="00AE1842"/>
    <w:rsid w:val="00AE3C7C"/>
    <w:rsid w:val="00AE7549"/>
    <w:rsid w:val="00B20A60"/>
    <w:rsid w:val="00B31306"/>
    <w:rsid w:val="00B42814"/>
    <w:rsid w:val="00B734F1"/>
    <w:rsid w:val="00B81135"/>
    <w:rsid w:val="00B83936"/>
    <w:rsid w:val="00B966D5"/>
    <w:rsid w:val="00BC6916"/>
    <w:rsid w:val="00BD6EB7"/>
    <w:rsid w:val="00C373C4"/>
    <w:rsid w:val="00C54D27"/>
    <w:rsid w:val="00C66288"/>
    <w:rsid w:val="00C76EEB"/>
    <w:rsid w:val="00CC287B"/>
    <w:rsid w:val="00CF2E2B"/>
    <w:rsid w:val="00CF5799"/>
    <w:rsid w:val="00D01F5A"/>
    <w:rsid w:val="00D10A7A"/>
    <w:rsid w:val="00D118BA"/>
    <w:rsid w:val="00D1716E"/>
    <w:rsid w:val="00D64E05"/>
    <w:rsid w:val="00D92FD3"/>
    <w:rsid w:val="00DA0A73"/>
    <w:rsid w:val="00DA3B6E"/>
    <w:rsid w:val="00DB7581"/>
    <w:rsid w:val="00DC70C1"/>
    <w:rsid w:val="00DE5715"/>
    <w:rsid w:val="00DF7338"/>
    <w:rsid w:val="00E02A4F"/>
    <w:rsid w:val="00E1486A"/>
    <w:rsid w:val="00E42332"/>
    <w:rsid w:val="00E439AE"/>
    <w:rsid w:val="00E7765D"/>
    <w:rsid w:val="00E83C12"/>
    <w:rsid w:val="00E904C8"/>
    <w:rsid w:val="00EA1BBF"/>
    <w:rsid w:val="00EA52CA"/>
    <w:rsid w:val="00EB29A9"/>
    <w:rsid w:val="00EB77D2"/>
    <w:rsid w:val="00F20008"/>
    <w:rsid w:val="00F24CB9"/>
    <w:rsid w:val="00F24E8F"/>
    <w:rsid w:val="00F258D4"/>
    <w:rsid w:val="00F316C8"/>
    <w:rsid w:val="00F42607"/>
    <w:rsid w:val="00F55641"/>
    <w:rsid w:val="00F60420"/>
    <w:rsid w:val="00F61ECB"/>
    <w:rsid w:val="00F632DE"/>
    <w:rsid w:val="00F735E4"/>
    <w:rsid w:val="00FA4B8A"/>
    <w:rsid w:val="00FB7834"/>
    <w:rsid w:val="00FD4B6A"/>
    <w:rsid w:val="00FE4D00"/>
    <w:rsid w:val="00FF03A8"/>
    <w:rsid w:val="00FF163E"/>
    <w:rsid w:val="00FF63EA"/>
    <w:rsid w:val="0197882C"/>
    <w:rsid w:val="049498DE"/>
    <w:rsid w:val="05BB40E8"/>
    <w:rsid w:val="065A5A0B"/>
    <w:rsid w:val="06EE929F"/>
    <w:rsid w:val="09188288"/>
    <w:rsid w:val="0B706484"/>
    <w:rsid w:val="0BC93CC1"/>
    <w:rsid w:val="0C8BAE6C"/>
    <w:rsid w:val="0CD3EB0B"/>
    <w:rsid w:val="0E2E8214"/>
    <w:rsid w:val="0FF6E360"/>
    <w:rsid w:val="18E46141"/>
    <w:rsid w:val="1AE22606"/>
    <w:rsid w:val="1D88EA60"/>
    <w:rsid w:val="1F970902"/>
    <w:rsid w:val="21DE0C1D"/>
    <w:rsid w:val="223134CF"/>
    <w:rsid w:val="230E6022"/>
    <w:rsid w:val="239EA361"/>
    <w:rsid w:val="244181DC"/>
    <w:rsid w:val="265BD2D0"/>
    <w:rsid w:val="2712DDC8"/>
    <w:rsid w:val="27173F5F"/>
    <w:rsid w:val="2753912B"/>
    <w:rsid w:val="2AF92FDB"/>
    <w:rsid w:val="2D895F78"/>
    <w:rsid w:val="2D8A93D9"/>
    <w:rsid w:val="30979F38"/>
    <w:rsid w:val="311F9AB4"/>
    <w:rsid w:val="32663606"/>
    <w:rsid w:val="328A7610"/>
    <w:rsid w:val="336FEC05"/>
    <w:rsid w:val="33799860"/>
    <w:rsid w:val="33C37820"/>
    <w:rsid w:val="34F9D7C1"/>
    <w:rsid w:val="36FE5126"/>
    <w:rsid w:val="3BCA702D"/>
    <w:rsid w:val="3D1B99BD"/>
    <w:rsid w:val="3D877DBF"/>
    <w:rsid w:val="4192AF97"/>
    <w:rsid w:val="463C144E"/>
    <w:rsid w:val="475910AF"/>
    <w:rsid w:val="4794AA7A"/>
    <w:rsid w:val="47F082EC"/>
    <w:rsid w:val="48264509"/>
    <w:rsid w:val="486234EF"/>
    <w:rsid w:val="48AB496D"/>
    <w:rsid w:val="4A1302DB"/>
    <w:rsid w:val="4B80A889"/>
    <w:rsid w:val="50674B4E"/>
    <w:rsid w:val="512ABB27"/>
    <w:rsid w:val="53E42862"/>
    <w:rsid w:val="590A37D3"/>
    <w:rsid w:val="607348AD"/>
    <w:rsid w:val="607984A4"/>
    <w:rsid w:val="616D0811"/>
    <w:rsid w:val="61B71547"/>
    <w:rsid w:val="64D87D89"/>
    <w:rsid w:val="6597A5F7"/>
    <w:rsid w:val="68CB54CB"/>
    <w:rsid w:val="6914B095"/>
    <w:rsid w:val="6AB47E30"/>
    <w:rsid w:val="6D6154FF"/>
    <w:rsid w:val="6DA2D0B9"/>
    <w:rsid w:val="6E0B5F90"/>
    <w:rsid w:val="6F8D4782"/>
    <w:rsid w:val="7177BF66"/>
    <w:rsid w:val="78D51294"/>
    <w:rsid w:val="7DE0A4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7D826082-CC55-4A97-92B7-DFB827CA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914"/>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99"/>
    <w:unhideWhenUsed/>
    <w:rsid w:val="6D6154FF"/>
    <w:pPr>
      <w:spacing w:after="0"/>
    </w:pPr>
    <w:rPr>
      <w:sz w:val="20"/>
      <w:szCs w:val="20"/>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563C1"/>
      <w:u w:val="single"/>
    </w:rPr>
  </w:style>
  <w:style w:type="character" w:styleId="UnresolvedMention">
    <w:name w:val="Unresolved Mention"/>
    <w:uiPriority w:val="99"/>
    <w:semiHidden/>
    <w:unhideWhenUsed/>
    <w:rsid w:val="00660914"/>
    <w:rPr>
      <w:color w:val="605E5C"/>
      <w:shd w:val="clear" w:color="auto" w:fill="E1DFDD"/>
    </w:rPr>
  </w:style>
  <w:style w:type="paragraph" w:styleId="Header">
    <w:name w:val="header"/>
    <w:basedOn w:val="Normal"/>
    <w:link w:val="HeaderChar"/>
    <w:uiPriority w:val="99"/>
    <w:unhideWhenUsed/>
    <w:rsid w:val="00CF2E2B"/>
    <w:pPr>
      <w:tabs>
        <w:tab w:val="center" w:pos="4680"/>
        <w:tab w:val="right" w:pos="9360"/>
      </w:tabs>
    </w:pPr>
  </w:style>
  <w:style w:type="character" w:customStyle="1" w:styleId="HeaderChar">
    <w:name w:val="Header Char"/>
    <w:link w:val="Header"/>
    <w:uiPriority w:val="99"/>
    <w:rsid w:val="00CF2E2B"/>
    <w:rPr>
      <w:sz w:val="22"/>
      <w:szCs w:val="22"/>
      <w:lang w:eastAsia="en-US"/>
    </w:rPr>
  </w:style>
  <w:style w:type="paragraph" w:styleId="Footer">
    <w:name w:val="footer"/>
    <w:basedOn w:val="Normal"/>
    <w:link w:val="FooterChar"/>
    <w:uiPriority w:val="99"/>
    <w:unhideWhenUsed/>
    <w:rsid w:val="00CF2E2B"/>
    <w:pPr>
      <w:tabs>
        <w:tab w:val="center" w:pos="4680"/>
        <w:tab w:val="right" w:pos="9360"/>
      </w:tabs>
    </w:pPr>
  </w:style>
  <w:style w:type="character" w:customStyle="1" w:styleId="FooterChar">
    <w:name w:val="Footer Char"/>
    <w:link w:val="Footer"/>
    <w:uiPriority w:val="99"/>
    <w:rsid w:val="00CF2E2B"/>
    <w:rPr>
      <w:sz w:val="22"/>
      <w:szCs w:val="22"/>
      <w:lang w:eastAsia="en-US"/>
    </w:rPr>
  </w:style>
  <w:style w:type="paragraph" w:styleId="Revision">
    <w:name w:val="Revision"/>
    <w:hidden/>
    <w:uiPriority w:val="99"/>
    <w:semiHidden/>
    <w:rsid w:val="00F258D4"/>
    <w:rPr>
      <w:sz w:val="22"/>
      <w:szCs w:val="22"/>
      <w:lang w:val="en-GB" w:eastAsia="en-US"/>
    </w:rPr>
  </w:style>
  <w:style w:type="character" w:styleId="CommentReference">
    <w:name w:val="annotation reference"/>
    <w:uiPriority w:val="99"/>
    <w:semiHidden/>
    <w:unhideWhenUsed/>
    <w:rsid w:val="00F258D4"/>
    <w:rPr>
      <w:sz w:val="16"/>
      <w:szCs w:val="16"/>
    </w:rPr>
  </w:style>
  <w:style w:type="paragraph" w:styleId="CommentText">
    <w:name w:val="annotation text"/>
    <w:basedOn w:val="Normal"/>
    <w:link w:val="CommentTextChar"/>
    <w:uiPriority w:val="99"/>
    <w:unhideWhenUsed/>
    <w:rsid w:val="00F258D4"/>
    <w:rPr>
      <w:sz w:val="20"/>
      <w:szCs w:val="20"/>
    </w:rPr>
  </w:style>
  <w:style w:type="character" w:customStyle="1" w:styleId="CommentTextChar">
    <w:name w:val="Comment Text Char"/>
    <w:link w:val="CommentText"/>
    <w:uiPriority w:val="99"/>
    <w:rsid w:val="00F258D4"/>
    <w:rPr>
      <w:lang w:eastAsia="en-US"/>
    </w:rPr>
  </w:style>
  <w:style w:type="paragraph" w:styleId="CommentSubject">
    <w:name w:val="annotation subject"/>
    <w:basedOn w:val="CommentText"/>
    <w:next w:val="CommentText"/>
    <w:link w:val="CommentSubjectChar"/>
    <w:uiPriority w:val="99"/>
    <w:semiHidden/>
    <w:unhideWhenUsed/>
    <w:rsid w:val="00F258D4"/>
    <w:rPr>
      <w:b/>
      <w:bCs/>
    </w:rPr>
  </w:style>
  <w:style w:type="character" w:customStyle="1" w:styleId="CommentSubjectChar">
    <w:name w:val="Comment Subject Char"/>
    <w:link w:val="CommentSubject"/>
    <w:uiPriority w:val="99"/>
    <w:semiHidden/>
    <w:rsid w:val="00F258D4"/>
    <w:rPr>
      <w:b/>
      <w:bCs/>
      <w:lang w:eastAsia="en-US"/>
    </w:rPr>
  </w:style>
  <w:style w:type="character" w:styleId="FollowedHyperlink">
    <w:name w:val="FollowedHyperlink"/>
    <w:uiPriority w:val="99"/>
    <w:semiHidden/>
    <w:unhideWhenUsed/>
    <w:rsid w:val="006158E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mplementing-eu-law/home/en" TargetMode="External"/><Relationship Id="rId2" Type="http://schemas.openxmlformats.org/officeDocument/2006/relationships/hyperlink" Target="https://single-market-economy.ec.europa.eu/single-market/strategy_en" TargetMode="External"/><Relationship Id="rId1" Type="http://schemas.openxmlformats.org/officeDocument/2006/relationships/hyperlink" Target="https://commission.europa.eu/publications/2025-annual-progress-report-simplification-implementation-and-enforcement-executive-vice-president-1_en" TargetMode="External"/><Relationship Id="rId5" Type="http://schemas.openxmlformats.org/officeDocument/2006/relationships/hyperlink" Target="https://ec.europa.eu/implementing-eu-law/home/en" TargetMode="External"/><Relationship Id="rId4" Type="http://schemas.openxmlformats.org/officeDocument/2006/relationships/hyperlink" Target="https://ec.europa.eu/implementing-eu-law/search-infringement-decisions/?lang_code=en&amp;langCode=EN&amp;version=v1&amp;typeOfSearch=byDecision&amp;decisionDateFrom=01%2F01%2F2025&amp;decisionDateTo=31%2F07%2F2025&amp;dg=GROW&amp;page=1&amp;size=10&amp;order=desc&amp;sortColumns=decision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9DD998F8F192479B9814B06A5EC9C9" ma:contentTypeVersion="4" ma:contentTypeDescription="Create a new document." ma:contentTypeScope="" ma:versionID="4c3acb526fbb6182d152f8507b4b8b8a">
  <xsd:schema xmlns:xsd="http://www.w3.org/2001/XMLSchema" xmlns:xs="http://www.w3.org/2001/XMLSchema" xmlns:p="http://schemas.microsoft.com/office/2006/metadata/properties" xmlns:ns2="e7252280-a53f-489e-89ae-12ff01484a8a" targetNamespace="http://schemas.microsoft.com/office/2006/metadata/properties" ma:root="true" ma:fieldsID="725c5d772483e4e3567a183553496fad" ns2:_="">
    <xsd:import namespace="e7252280-a53f-489e-89ae-12ff01484a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52280-a53f-489e-89ae-12ff01484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473CF-3FDA-43A7-A9E7-ADE94C7FC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52280-a53f-489e-89ae-12ff01484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4D1F4-DA65-43A1-B1A2-B6C2ED16ED97}">
  <ds:schemaRefs>
    <ds:schemaRef ds:uri="http://schemas.openxmlformats.org/officeDocument/2006/bibliography"/>
  </ds:schemaRefs>
</ds:datastoreItem>
</file>

<file path=customXml/itemProps3.xml><?xml version="1.0" encoding="utf-8"?>
<ds:datastoreItem xmlns:ds="http://schemas.openxmlformats.org/officeDocument/2006/customXml" ds:itemID="{8B48A18E-F4D6-4F2D-B326-9E47A04868DE}">
  <ds:schemaRefs>
    <ds:schemaRef ds:uri="http://schemas.microsoft.com/sharepoint/v3/contenttype/forms"/>
  </ds:schemaRefs>
</ds:datastoreItem>
</file>

<file path=customXml/itemProps4.xml><?xml version="1.0" encoding="utf-8"?>
<ds:datastoreItem xmlns:ds="http://schemas.openxmlformats.org/officeDocument/2006/customXml" ds:itemID="{BD416D54-714F-4D28-A81D-1D96BC8B70D1}">
  <ds:schemaRefs>
    <ds:schemaRef ds:uri="http://schemas.microsoft.com/office/infopath/2007/PartnerControls"/>
    <ds:schemaRef ds:uri="http://schemas.openxmlformats.org/package/2006/metadata/core-propertie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e7252280-a53f-489e-89ae-12ff01484a8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1181</Words>
  <Characters>6968</Characters>
  <Application>Microsoft Office Word</Application>
  <DocSecurity>0</DocSecurity>
  <Lines>99</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ROSSI Simona (SG-EXT)</cp:lastModifiedBy>
  <cp:revision>3</cp:revision>
  <cp:lastPrinted>2013-02-27T18:02:00Z</cp:lastPrinted>
  <dcterms:created xsi:type="dcterms:W3CDTF">2026-02-06T10:10:00Z</dcterms:created>
  <dcterms:modified xsi:type="dcterms:W3CDTF">2026-02-06T10:11:00Z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0x010100829DD998F8F192479B9814B06A5EC9C9</vt:lpwstr>
  </property>
</Properties>
</file>