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077C4F" w:rsidRDefault="00077C4F" w:rsidP="00442552">
      <w:pPr>
        <w:rPr>
          <w:rFonts w:ascii="Times New Roman" w:hAnsi="Times New Roman"/>
          <w:b/>
          <w:sz w:val="24"/>
          <w:szCs w:val="24"/>
          <w:u w:val="single"/>
        </w:rPr>
      </w:pPr>
    </w:p>
    <w:tbl>
      <w:tblPr>
        <w:tblW w:w="981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17"/>
      </w:tblGrid>
      <w:tr w:rsidR="001C4138" w:rsidRPr="00442552" w14:paraId="7E6372DC" w14:textId="77777777" w:rsidTr="00F739A8">
        <w:trPr>
          <w:jc w:val="center"/>
        </w:trPr>
        <w:tc>
          <w:tcPr>
            <w:tcW w:w="9817" w:type="dxa"/>
          </w:tcPr>
          <w:p w14:paraId="3A4EDC3A" w14:textId="5E75C59D" w:rsidR="001C4138" w:rsidRPr="004F6117" w:rsidRDefault="007903D5" w:rsidP="00F739A8">
            <w:pPr>
              <w:spacing w:before="120" w:after="120"/>
              <w:rPr>
                <w:rFonts w:ascii="Times New Roman" w:hAnsi="Times New Roman"/>
                <w:b/>
                <w:sz w:val="24"/>
                <w:szCs w:val="24"/>
              </w:rPr>
            </w:pPr>
            <w:r>
              <w:rPr>
                <w:rFonts w:ascii="Times New Roman" w:hAnsi="Times New Roman"/>
                <w:b/>
                <w:sz w:val="24"/>
                <w:szCs w:val="24"/>
              </w:rPr>
              <w:t xml:space="preserve">Fight against </w:t>
            </w:r>
            <w:r w:rsidR="00FA7330">
              <w:rPr>
                <w:rFonts w:ascii="Times New Roman" w:hAnsi="Times New Roman"/>
                <w:b/>
                <w:sz w:val="24"/>
                <w:szCs w:val="24"/>
              </w:rPr>
              <w:t>counterfeiting</w:t>
            </w:r>
            <w:r w:rsidR="001C4138" w:rsidRPr="00807B48">
              <w:rPr>
                <w:rFonts w:ascii="Times New Roman" w:hAnsi="Times New Roman"/>
                <w:b/>
                <w:sz w:val="24"/>
                <w:szCs w:val="24"/>
              </w:rPr>
              <w:br/>
            </w:r>
            <w:r>
              <w:rPr>
                <w:rFonts w:ascii="Times New Roman" w:hAnsi="Times New Roman"/>
                <w:b/>
                <w:sz w:val="24"/>
                <w:szCs w:val="24"/>
              </w:rPr>
              <w:t>C(2024)</w:t>
            </w:r>
            <w:r w:rsidR="00F739A8">
              <w:rPr>
                <w:rFonts w:ascii="Times New Roman" w:hAnsi="Times New Roman"/>
                <w:b/>
                <w:sz w:val="24"/>
                <w:szCs w:val="24"/>
              </w:rPr>
              <w:t xml:space="preserve"> </w:t>
            </w:r>
            <w:r>
              <w:rPr>
                <w:rFonts w:ascii="Times New Roman" w:hAnsi="Times New Roman"/>
                <w:b/>
                <w:sz w:val="24"/>
                <w:szCs w:val="24"/>
              </w:rPr>
              <w:t>1739 final</w:t>
            </w:r>
            <w:r w:rsidR="00F739A8">
              <w:rPr>
                <w:rFonts w:ascii="Times New Roman" w:hAnsi="Times New Roman"/>
                <w:b/>
                <w:sz w:val="24"/>
                <w:szCs w:val="24"/>
              </w:rPr>
              <w:br/>
            </w:r>
            <w:r w:rsidR="00BC37D6">
              <w:rPr>
                <w:rFonts w:ascii="Times New Roman" w:hAnsi="Times New Roman"/>
                <w:b/>
                <w:sz w:val="24"/>
                <w:szCs w:val="24"/>
                <w:lang w:val="en-IE"/>
              </w:rPr>
              <w:t>EESC-2024-0</w:t>
            </w:r>
            <w:r>
              <w:rPr>
                <w:rFonts w:ascii="Times New Roman" w:hAnsi="Times New Roman"/>
                <w:b/>
                <w:sz w:val="24"/>
                <w:szCs w:val="24"/>
                <w:lang w:val="en-IE"/>
              </w:rPr>
              <w:t>1676</w:t>
            </w:r>
            <w:r w:rsidR="00BC37D6">
              <w:rPr>
                <w:rFonts w:ascii="Times New Roman" w:hAnsi="Times New Roman"/>
                <w:b/>
                <w:sz w:val="24"/>
                <w:szCs w:val="24"/>
                <w:lang w:val="en-IE"/>
              </w:rPr>
              <w:t xml:space="preserve"> – INT/10</w:t>
            </w:r>
            <w:r>
              <w:rPr>
                <w:rFonts w:ascii="Times New Roman" w:hAnsi="Times New Roman"/>
                <w:b/>
                <w:sz w:val="24"/>
                <w:szCs w:val="24"/>
                <w:lang w:val="en-IE"/>
              </w:rPr>
              <w:t>67</w:t>
            </w:r>
            <w:r w:rsidR="00BC37D6">
              <w:rPr>
                <w:rFonts w:ascii="Times New Roman" w:hAnsi="Times New Roman"/>
                <w:b/>
                <w:sz w:val="24"/>
                <w:szCs w:val="24"/>
                <w:lang w:val="en-IE"/>
              </w:rPr>
              <w:t xml:space="preserve"> </w:t>
            </w:r>
            <w:r w:rsidR="001C4138" w:rsidRPr="00807B48">
              <w:rPr>
                <w:rFonts w:ascii="Times New Roman" w:hAnsi="Times New Roman"/>
                <w:b/>
                <w:sz w:val="24"/>
                <w:szCs w:val="24"/>
              </w:rPr>
              <w:br/>
            </w:r>
            <w:r w:rsidR="00F739A8">
              <w:rPr>
                <w:rFonts w:ascii="Times New Roman" w:hAnsi="Times New Roman"/>
                <w:b/>
                <w:sz w:val="24"/>
                <w:szCs w:val="24"/>
              </w:rPr>
              <w:t>591</w:t>
            </w:r>
            <w:r w:rsidR="00F739A8">
              <w:rPr>
                <w:rFonts w:ascii="Times New Roman" w:hAnsi="Times New Roman"/>
                <w:b/>
                <w:sz w:val="24"/>
                <w:szCs w:val="24"/>
                <w:vertAlign w:val="superscript"/>
              </w:rPr>
              <w:t>st</w:t>
            </w:r>
            <w:r w:rsidR="00F739A8" w:rsidRPr="00A140A0">
              <w:rPr>
                <w:b/>
                <w:lang w:val="en-IE"/>
              </w:rPr>
              <w:t xml:space="preserve"> </w:t>
            </w:r>
            <w:r w:rsidR="001C4138" w:rsidRPr="00AE3C7C">
              <w:rPr>
                <w:rFonts w:ascii="Times New Roman" w:hAnsi="Times New Roman"/>
                <w:b/>
                <w:sz w:val="24"/>
                <w:szCs w:val="24"/>
              </w:rPr>
              <w:t xml:space="preserve">Plenary Session – </w:t>
            </w:r>
            <w:r w:rsidR="00BE2FF3">
              <w:rPr>
                <w:rFonts w:ascii="Times New Roman" w:hAnsi="Times New Roman"/>
                <w:b/>
                <w:sz w:val="24"/>
                <w:szCs w:val="24"/>
              </w:rPr>
              <w:t>October</w:t>
            </w:r>
            <w:r w:rsidR="00D14F6C">
              <w:rPr>
                <w:rFonts w:ascii="Times New Roman" w:hAnsi="Times New Roman"/>
                <w:b/>
                <w:sz w:val="24"/>
                <w:szCs w:val="24"/>
              </w:rPr>
              <w:t xml:space="preserve"> 2024</w:t>
            </w:r>
            <w:r w:rsidR="001C4138" w:rsidRPr="00807B48">
              <w:rPr>
                <w:rFonts w:ascii="Times New Roman" w:hAnsi="Times New Roman"/>
                <w:b/>
                <w:sz w:val="24"/>
                <w:szCs w:val="24"/>
              </w:rPr>
              <w:br/>
              <w:t xml:space="preserve">Rapporteur: </w:t>
            </w:r>
            <w:r>
              <w:rPr>
                <w:rFonts w:ascii="Times New Roman" w:hAnsi="Times New Roman"/>
                <w:b/>
                <w:sz w:val="24"/>
                <w:szCs w:val="24"/>
              </w:rPr>
              <w:t>Bruno CHOIX</w:t>
            </w:r>
            <w:r w:rsidR="00BE2FF3">
              <w:rPr>
                <w:rFonts w:ascii="Times New Roman" w:hAnsi="Times New Roman"/>
                <w:b/>
                <w:sz w:val="24"/>
                <w:szCs w:val="24"/>
              </w:rPr>
              <w:t xml:space="preserve"> (</w:t>
            </w:r>
            <w:r>
              <w:rPr>
                <w:rFonts w:ascii="Times New Roman" w:hAnsi="Times New Roman"/>
                <w:b/>
                <w:sz w:val="24"/>
                <w:szCs w:val="24"/>
              </w:rPr>
              <w:t>FR</w:t>
            </w:r>
            <w:r w:rsidR="00BE2FF3">
              <w:rPr>
                <w:rFonts w:ascii="Times New Roman" w:hAnsi="Times New Roman"/>
                <w:b/>
                <w:sz w:val="24"/>
                <w:szCs w:val="24"/>
              </w:rPr>
              <w:t>-I)</w:t>
            </w:r>
            <w:r w:rsidR="001C4138" w:rsidRPr="00807B48">
              <w:rPr>
                <w:rFonts w:ascii="Times New Roman" w:hAnsi="Times New Roman"/>
                <w:b/>
                <w:sz w:val="24"/>
                <w:szCs w:val="24"/>
              </w:rPr>
              <w:br/>
              <w:t xml:space="preserve">DG </w:t>
            </w:r>
            <w:r w:rsidR="00D14F6C">
              <w:rPr>
                <w:rFonts w:ascii="Times New Roman" w:hAnsi="Times New Roman"/>
                <w:b/>
                <w:sz w:val="24"/>
                <w:szCs w:val="24"/>
              </w:rPr>
              <w:t xml:space="preserve">GROW </w:t>
            </w:r>
            <w:r w:rsidR="001C4138" w:rsidRPr="00807B48">
              <w:rPr>
                <w:rFonts w:ascii="Times New Roman" w:hAnsi="Times New Roman"/>
                <w:b/>
                <w:sz w:val="24"/>
                <w:szCs w:val="24"/>
              </w:rPr>
              <w:t xml:space="preserve">– Commissioner </w:t>
            </w:r>
            <w:r w:rsidR="002B5CFF">
              <w:rPr>
                <w:rFonts w:ascii="Times New Roman" w:hAnsi="Times New Roman"/>
                <w:b/>
                <w:sz w:val="24"/>
                <w:szCs w:val="24"/>
              </w:rPr>
              <w:t>SEJOURNE</w:t>
            </w:r>
          </w:p>
        </w:tc>
      </w:tr>
      <w:tr w:rsidR="00734613" w:rsidRPr="00442552" w14:paraId="1937071F" w14:textId="77777777" w:rsidTr="00F739A8">
        <w:trPr>
          <w:jc w:val="center"/>
        </w:trPr>
        <w:tc>
          <w:tcPr>
            <w:tcW w:w="9817" w:type="dxa"/>
          </w:tcPr>
          <w:p w14:paraId="1E50B4DB" w14:textId="779D7177" w:rsidR="00734613" w:rsidRPr="00695797" w:rsidRDefault="004F6117" w:rsidP="00F739A8">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1B12FC">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F739A8">
        <w:trPr>
          <w:jc w:val="center"/>
        </w:trPr>
        <w:tc>
          <w:tcPr>
            <w:tcW w:w="9817" w:type="dxa"/>
          </w:tcPr>
          <w:p w14:paraId="0CE23CF2" w14:textId="1FAD318C" w:rsidR="00734613" w:rsidRDefault="0ACCF89F" w:rsidP="00F739A8">
            <w:pPr>
              <w:spacing w:before="120" w:after="120"/>
              <w:jc w:val="both"/>
            </w:pPr>
            <w:r w:rsidRPr="5C0DD457">
              <w:rPr>
                <w:rFonts w:ascii="Times New Roman" w:eastAsia="Times New Roman" w:hAnsi="Times New Roman"/>
                <w:sz w:val="24"/>
                <w:szCs w:val="24"/>
              </w:rPr>
              <w:t xml:space="preserve">The Commission welcomes the comprehensive opinion provided by the </w:t>
            </w:r>
            <w:r w:rsidR="00C400D2">
              <w:rPr>
                <w:rFonts w:ascii="Times New Roman" w:eastAsia="Times New Roman" w:hAnsi="Times New Roman"/>
                <w:sz w:val="24"/>
                <w:szCs w:val="24"/>
              </w:rPr>
              <w:t xml:space="preserve">Committee </w:t>
            </w:r>
            <w:r w:rsidRPr="5C0DD457">
              <w:rPr>
                <w:rFonts w:ascii="Times New Roman" w:eastAsia="Times New Roman" w:hAnsi="Times New Roman"/>
                <w:sz w:val="24"/>
                <w:szCs w:val="24"/>
              </w:rPr>
              <w:t xml:space="preserve">on the Commission’s Recommendation to combat counterfeiting and enhance the enforcement of intellectual property rights. </w:t>
            </w:r>
          </w:p>
          <w:p w14:paraId="28E9871E" w14:textId="35FE17C2" w:rsidR="00734613" w:rsidRDefault="0ACCF89F" w:rsidP="00F739A8">
            <w:pPr>
              <w:spacing w:before="120" w:after="120"/>
              <w:jc w:val="both"/>
            </w:pPr>
            <w:r w:rsidRPr="5C0DD457">
              <w:rPr>
                <w:rFonts w:ascii="Times New Roman" w:eastAsia="Times New Roman" w:hAnsi="Times New Roman"/>
                <w:sz w:val="24"/>
                <w:szCs w:val="24"/>
              </w:rPr>
              <w:t xml:space="preserve">The Commission recognises the significance of addressing counterfeiting, not only as a challenge to the integrity of the European single market but also as a critical issue impacting </w:t>
            </w:r>
            <w:r w:rsidR="00F739A8">
              <w:rPr>
                <w:rFonts w:ascii="Times New Roman" w:eastAsia="Times New Roman" w:hAnsi="Times New Roman"/>
                <w:sz w:val="24"/>
                <w:szCs w:val="24"/>
              </w:rPr>
              <w:t>small and medium-sized enterprises (</w:t>
            </w:r>
            <w:r w:rsidRPr="5C0DD457">
              <w:rPr>
                <w:rFonts w:ascii="Times New Roman" w:eastAsia="Times New Roman" w:hAnsi="Times New Roman"/>
                <w:sz w:val="24"/>
                <w:szCs w:val="24"/>
              </w:rPr>
              <w:t>SMEs</w:t>
            </w:r>
            <w:r w:rsidR="00F739A8">
              <w:rPr>
                <w:rFonts w:ascii="Times New Roman" w:eastAsia="Times New Roman" w:hAnsi="Times New Roman"/>
                <w:sz w:val="24"/>
                <w:szCs w:val="24"/>
              </w:rPr>
              <w:t>)</w:t>
            </w:r>
            <w:r w:rsidRPr="5C0DD457">
              <w:rPr>
                <w:rFonts w:ascii="Times New Roman" w:eastAsia="Times New Roman" w:hAnsi="Times New Roman"/>
                <w:sz w:val="24"/>
                <w:szCs w:val="24"/>
              </w:rPr>
              <w:t>, innovation, consumer safety, and public health. The Commission is committed to ensuring that intellectual property rights (IPR) are effectively protected and enforced across the EU</w:t>
            </w:r>
            <w:r w:rsidR="005305CC">
              <w:rPr>
                <w:rFonts w:ascii="Times New Roman" w:eastAsia="Times New Roman" w:hAnsi="Times New Roman"/>
                <w:sz w:val="24"/>
                <w:szCs w:val="24"/>
              </w:rPr>
              <w:t xml:space="preserve">. The Commission </w:t>
            </w:r>
            <w:r w:rsidRPr="5C0DD457">
              <w:rPr>
                <w:rFonts w:ascii="Times New Roman" w:eastAsia="Times New Roman" w:hAnsi="Times New Roman"/>
                <w:sz w:val="24"/>
                <w:szCs w:val="24"/>
              </w:rPr>
              <w:t>acknowledges the contributions made by the EESC to this endeavour.</w:t>
            </w:r>
          </w:p>
          <w:p w14:paraId="3B6CDF59" w14:textId="2D914F6C" w:rsidR="00734613" w:rsidRDefault="00F739A8" w:rsidP="00F739A8">
            <w:pPr>
              <w:pStyle w:val="ListParagraph"/>
              <w:spacing w:before="120" w:after="120"/>
              <w:ind w:left="0"/>
              <w:jc w:val="both"/>
              <w:rPr>
                <w:rFonts w:ascii="Times New Roman" w:eastAsia="Times New Roman" w:hAnsi="Times New Roman"/>
                <w:i/>
                <w:iCs/>
                <w:sz w:val="24"/>
                <w:szCs w:val="24"/>
              </w:rPr>
            </w:pPr>
            <w:r>
              <w:rPr>
                <w:rFonts w:ascii="Times New Roman" w:eastAsia="Times New Roman" w:hAnsi="Times New Roman"/>
                <w:i/>
                <w:iCs/>
                <w:sz w:val="24"/>
                <w:szCs w:val="24"/>
              </w:rPr>
              <w:t xml:space="preserve">1.1.1. </w:t>
            </w:r>
            <w:r w:rsidR="0ACCF89F" w:rsidRPr="5C0DD457">
              <w:rPr>
                <w:rFonts w:ascii="Times New Roman" w:eastAsia="Times New Roman" w:hAnsi="Times New Roman"/>
                <w:i/>
                <w:iCs/>
                <w:sz w:val="24"/>
                <w:szCs w:val="24"/>
              </w:rPr>
              <w:t>Raising awareness of intellectual property and the fight against counterfeiting among businesses</w:t>
            </w:r>
          </w:p>
          <w:p w14:paraId="5994A868" w14:textId="7C7EB513" w:rsidR="00734613" w:rsidRDefault="0ACCF89F" w:rsidP="00F739A8">
            <w:pPr>
              <w:spacing w:before="120" w:after="120"/>
              <w:jc w:val="both"/>
            </w:pPr>
            <w:r w:rsidRPr="5C0DD457">
              <w:rPr>
                <w:rFonts w:ascii="Times New Roman" w:eastAsia="Times New Roman" w:hAnsi="Times New Roman"/>
                <w:sz w:val="24"/>
                <w:szCs w:val="24"/>
              </w:rPr>
              <w:t xml:space="preserve">The Commission shares the EESC's view on the importance of awareness-raising efforts, especially for SMEs. To this end, </w:t>
            </w:r>
            <w:r w:rsidR="70730B9A" w:rsidRPr="5C0DD457">
              <w:rPr>
                <w:rFonts w:ascii="Times New Roman" w:eastAsia="Times New Roman" w:hAnsi="Times New Roman"/>
                <w:sz w:val="24"/>
                <w:szCs w:val="24"/>
              </w:rPr>
              <w:t xml:space="preserve">the Commission is </w:t>
            </w:r>
            <w:r w:rsidRPr="5C0DD457">
              <w:rPr>
                <w:rFonts w:ascii="Times New Roman" w:eastAsia="Times New Roman" w:hAnsi="Times New Roman"/>
                <w:sz w:val="24"/>
                <w:szCs w:val="24"/>
              </w:rPr>
              <w:t xml:space="preserve">actively promoting initiatives, including SME-focused tools, to enhance the understanding of IPR and counterfeiting risks. This includes the new IP enforcement vouchers offered under the SME Fund scheme, implemented by the </w:t>
            </w:r>
            <w:r w:rsidR="00F739A8" w:rsidRPr="00F739A8">
              <w:rPr>
                <w:rFonts w:ascii="Times New Roman" w:eastAsia="Times New Roman" w:hAnsi="Times New Roman"/>
                <w:sz w:val="24"/>
                <w:szCs w:val="24"/>
              </w:rPr>
              <w:t>European Union Intellectual Property Office</w:t>
            </w:r>
            <w:r w:rsidR="00F739A8">
              <w:rPr>
                <w:rFonts w:ascii="Times New Roman" w:eastAsia="Times New Roman" w:hAnsi="Times New Roman"/>
                <w:sz w:val="24"/>
                <w:szCs w:val="24"/>
              </w:rPr>
              <w:t xml:space="preserve"> (</w:t>
            </w:r>
            <w:r w:rsidRPr="5C0DD457">
              <w:rPr>
                <w:rFonts w:ascii="Times New Roman" w:eastAsia="Times New Roman" w:hAnsi="Times New Roman"/>
                <w:sz w:val="24"/>
                <w:szCs w:val="24"/>
              </w:rPr>
              <w:t>EUIPO</w:t>
            </w:r>
            <w:r w:rsidR="00F739A8">
              <w:rPr>
                <w:rFonts w:ascii="Times New Roman" w:eastAsia="Times New Roman" w:hAnsi="Times New Roman"/>
                <w:sz w:val="24"/>
                <w:szCs w:val="24"/>
              </w:rPr>
              <w:t>)</w:t>
            </w:r>
            <w:r w:rsidRPr="5C0DD457">
              <w:rPr>
                <w:rFonts w:ascii="Times New Roman" w:eastAsia="Times New Roman" w:hAnsi="Times New Roman"/>
                <w:sz w:val="24"/>
                <w:szCs w:val="24"/>
              </w:rPr>
              <w:t>, and more recently, the Cybertheft Prevention Toolkit, published 14 October</w:t>
            </w:r>
            <w:r w:rsidR="00AB51AC">
              <w:rPr>
                <w:rFonts w:ascii="Times New Roman" w:eastAsia="Times New Roman" w:hAnsi="Times New Roman"/>
                <w:sz w:val="24"/>
                <w:szCs w:val="24"/>
              </w:rPr>
              <w:t xml:space="preserve"> 2024</w:t>
            </w:r>
            <w:r w:rsidRPr="5C0DD457">
              <w:rPr>
                <w:rFonts w:ascii="Times New Roman" w:eastAsia="Times New Roman" w:hAnsi="Times New Roman"/>
                <w:sz w:val="24"/>
                <w:szCs w:val="24"/>
              </w:rPr>
              <w:t xml:space="preserve">, which aims to help SMEs in high-risk sectors to prevent cyberattacks against their trade secrets. </w:t>
            </w:r>
          </w:p>
          <w:p w14:paraId="3632D0D3" w14:textId="7CF6DB52" w:rsidR="00734613" w:rsidRDefault="00883573" w:rsidP="00F739A8">
            <w:pPr>
              <w:pStyle w:val="ListParagraph"/>
              <w:spacing w:before="120" w:after="120"/>
              <w:ind w:left="0"/>
              <w:jc w:val="both"/>
              <w:rPr>
                <w:rFonts w:ascii="Times New Roman" w:eastAsia="Times New Roman" w:hAnsi="Times New Roman"/>
                <w:sz w:val="24"/>
                <w:szCs w:val="24"/>
              </w:rPr>
            </w:pPr>
            <w:r>
              <w:rPr>
                <w:rFonts w:ascii="Times New Roman" w:eastAsia="Times New Roman" w:hAnsi="Times New Roman"/>
                <w:i/>
                <w:iCs/>
                <w:sz w:val="24"/>
                <w:szCs w:val="24"/>
              </w:rPr>
              <w:t xml:space="preserve">1.2. </w:t>
            </w:r>
            <w:r w:rsidR="0ACCF89F" w:rsidRPr="5C0DD457">
              <w:rPr>
                <w:rFonts w:ascii="Times New Roman" w:eastAsia="Times New Roman" w:hAnsi="Times New Roman"/>
                <w:i/>
                <w:iCs/>
                <w:sz w:val="24"/>
                <w:szCs w:val="24"/>
              </w:rPr>
              <w:t>Step up dissuasion through a combination of greater use of civil damages and administrative and criminal penalties</w:t>
            </w:r>
            <w:r w:rsidR="0ACCF89F" w:rsidRPr="5C0DD457">
              <w:rPr>
                <w:rFonts w:ascii="Times New Roman" w:eastAsia="Times New Roman" w:hAnsi="Times New Roman"/>
                <w:sz w:val="24"/>
                <w:szCs w:val="24"/>
              </w:rPr>
              <w:t xml:space="preserve"> </w:t>
            </w:r>
          </w:p>
          <w:p w14:paraId="5750C41E" w14:textId="650ECE59" w:rsidR="00734613" w:rsidRDefault="0ACCF89F" w:rsidP="00F739A8">
            <w:pPr>
              <w:spacing w:before="120" w:after="120"/>
              <w:jc w:val="both"/>
            </w:pPr>
            <w:r w:rsidRPr="5C0DD457">
              <w:rPr>
                <w:rFonts w:ascii="Times New Roman" w:eastAsia="Times New Roman" w:hAnsi="Times New Roman"/>
                <w:sz w:val="24"/>
                <w:szCs w:val="24"/>
              </w:rPr>
              <w:t xml:space="preserve">The Commission notes that the EESC calls for stronger deterrents through more effective compensation and higher penalties. The Commission encourages Member States to ensure that rightsholders can receive appropriate compensation for damages that fully reflects the harm caused by the IP-infringement, including moral and economic damages. </w:t>
            </w:r>
            <w:r w:rsidR="003A01E9">
              <w:rPr>
                <w:rFonts w:ascii="Times New Roman" w:eastAsia="Times New Roman" w:hAnsi="Times New Roman"/>
                <w:sz w:val="24"/>
                <w:szCs w:val="24"/>
              </w:rPr>
              <w:t>The Commission</w:t>
            </w:r>
            <w:r w:rsidR="003A01E9" w:rsidRPr="5C0DD457">
              <w:rPr>
                <w:rFonts w:ascii="Times New Roman" w:eastAsia="Times New Roman" w:hAnsi="Times New Roman"/>
                <w:sz w:val="24"/>
                <w:szCs w:val="24"/>
              </w:rPr>
              <w:t xml:space="preserve"> </w:t>
            </w:r>
            <w:r w:rsidRPr="5C0DD457">
              <w:rPr>
                <w:rFonts w:ascii="Times New Roman" w:eastAsia="Times New Roman" w:hAnsi="Times New Roman"/>
                <w:sz w:val="24"/>
                <w:szCs w:val="24"/>
              </w:rPr>
              <w:t>will monitor the implementation of these measures to ensure that damages provide a sufficient deterrent. In addition, the Commission has called on Member States to actively re-assess the criminal sanctions regime applicable to serious IP</w:t>
            </w:r>
            <w:r w:rsidR="00945C92">
              <w:rPr>
                <w:rFonts w:ascii="Times New Roman" w:eastAsia="Times New Roman" w:hAnsi="Times New Roman"/>
                <w:sz w:val="24"/>
                <w:szCs w:val="24"/>
              </w:rPr>
              <w:t>-</w:t>
            </w:r>
            <w:r w:rsidRPr="5C0DD457">
              <w:rPr>
                <w:rFonts w:ascii="Times New Roman" w:eastAsia="Times New Roman" w:hAnsi="Times New Roman"/>
                <w:sz w:val="24"/>
                <w:szCs w:val="24"/>
              </w:rPr>
              <w:t>infring</w:t>
            </w:r>
            <w:r w:rsidR="00945C92">
              <w:rPr>
                <w:rFonts w:ascii="Times New Roman" w:eastAsia="Times New Roman" w:hAnsi="Times New Roman"/>
                <w:sz w:val="24"/>
                <w:szCs w:val="24"/>
              </w:rPr>
              <w:t>ing</w:t>
            </w:r>
            <w:r w:rsidRPr="5C0DD457">
              <w:rPr>
                <w:rFonts w:ascii="Times New Roman" w:eastAsia="Times New Roman" w:hAnsi="Times New Roman"/>
                <w:sz w:val="24"/>
                <w:szCs w:val="24"/>
              </w:rPr>
              <w:t xml:space="preserve"> activities.</w:t>
            </w:r>
          </w:p>
          <w:p w14:paraId="73020D76" w14:textId="6708FAC4" w:rsidR="00734613" w:rsidRDefault="0ACCF89F" w:rsidP="00F739A8">
            <w:pPr>
              <w:spacing w:before="120" w:after="120"/>
              <w:jc w:val="both"/>
            </w:pPr>
            <w:r w:rsidRPr="5C0DD457">
              <w:rPr>
                <w:rFonts w:ascii="Times New Roman" w:eastAsia="Times New Roman" w:hAnsi="Times New Roman"/>
                <w:i/>
                <w:iCs/>
                <w:sz w:val="24"/>
                <w:szCs w:val="24"/>
              </w:rPr>
              <w:t>1.3</w:t>
            </w:r>
            <w:r w:rsidR="00F6061E">
              <w:rPr>
                <w:rFonts w:ascii="Times New Roman" w:eastAsia="Times New Roman" w:hAnsi="Times New Roman"/>
                <w:i/>
                <w:iCs/>
                <w:sz w:val="24"/>
                <w:szCs w:val="24"/>
              </w:rPr>
              <w:t>.</w:t>
            </w:r>
            <w:r w:rsidRPr="5C0DD457">
              <w:rPr>
                <w:rFonts w:ascii="Times New Roman" w:eastAsia="Times New Roman" w:hAnsi="Times New Roman"/>
                <w:i/>
                <w:iCs/>
                <w:sz w:val="24"/>
                <w:szCs w:val="24"/>
              </w:rPr>
              <w:t xml:space="preserve"> Changing the perception of counterfeiting</w:t>
            </w:r>
          </w:p>
          <w:p w14:paraId="276647FE" w14:textId="040F1B01" w:rsidR="00734613" w:rsidRDefault="0ACCF89F" w:rsidP="00F739A8">
            <w:pPr>
              <w:spacing w:before="120" w:after="120"/>
              <w:jc w:val="both"/>
            </w:pPr>
            <w:r w:rsidRPr="5C0DD457">
              <w:rPr>
                <w:rFonts w:ascii="Times New Roman" w:eastAsia="Times New Roman" w:hAnsi="Times New Roman"/>
                <w:sz w:val="24"/>
                <w:szCs w:val="24"/>
              </w:rPr>
              <w:t xml:space="preserve">The Commission recognises the need to reshape perceptions about counterfeiting particularly </w:t>
            </w:r>
            <w:r w:rsidRPr="5C0DD457">
              <w:rPr>
                <w:rFonts w:ascii="Times New Roman" w:eastAsia="Times New Roman" w:hAnsi="Times New Roman"/>
                <w:sz w:val="24"/>
                <w:szCs w:val="24"/>
              </w:rPr>
              <w:lastRenderedPageBreak/>
              <w:t xml:space="preserve">among business leaders. In collaboration with the EUIPO, </w:t>
            </w:r>
            <w:r w:rsidR="00945C92">
              <w:rPr>
                <w:rFonts w:ascii="Times New Roman" w:eastAsia="Times New Roman" w:hAnsi="Times New Roman"/>
                <w:sz w:val="24"/>
                <w:szCs w:val="24"/>
              </w:rPr>
              <w:t>the Commission</w:t>
            </w:r>
            <w:r w:rsidRPr="5C0DD457">
              <w:rPr>
                <w:rFonts w:ascii="Times New Roman" w:eastAsia="Times New Roman" w:hAnsi="Times New Roman"/>
                <w:sz w:val="24"/>
                <w:szCs w:val="24"/>
              </w:rPr>
              <w:t xml:space="preserve"> will explore communication campaigns that highlight successful examples of companies safeguarding their IP, reinforcing the message that robust IPR enforcement benefits businesses and their reputation, and facilitates access to finance and investment.</w:t>
            </w:r>
          </w:p>
          <w:p w14:paraId="6257D988" w14:textId="237D1144" w:rsidR="00734613" w:rsidRDefault="0ACCF89F" w:rsidP="00F739A8">
            <w:pPr>
              <w:spacing w:before="120" w:after="120"/>
              <w:jc w:val="both"/>
            </w:pPr>
            <w:r w:rsidRPr="5C0DD457">
              <w:rPr>
                <w:rFonts w:ascii="Times New Roman" w:eastAsia="Times New Roman" w:hAnsi="Times New Roman"/>
                <w:i/>
                <w:iCs/>
                <w:sz w:val="24"/>
                <w:szCs w:val="24"/>
              </w:rPr>
              <w:t>1.4</w:t>
            </w:r>
            <w:r w:rsidR="00F6061E">
              <w:rPr>
                <w:rFonts w:ascii="Times New Roman" w:eastAsia="Times New Roman" w:hAnsi="Times New Roman"/>
                <w:i/>
                <w:iCs/>
                <w:sz w:val="24"/>
                <w:szCs w:val="24"/>
              </w:rPr>
              <w:t>.</w:t>
            </w:r>
            <w:r w:rsidRPr="5C0DD457">
              <w:rPr>
                <w:rFonts w:ascii="Times New Roman" w:eastAsia="Times New Roman" w:hAnsi="Times New Roman"/>
                <w:i/>
                <w:iCs/>
                <w:sz w:val="24"/>
                <w:szCs w:val="24"/>
              </w:rPr>
              <w:t xml:space="preserve"> Creating counterfeit insurance</w:t>
            </w:r>
          </w:p>
          <w:p w14:paraId="6C83D3D4" w14:textId="626DD2D4" w:rsidR="00734613" w:rsidRDefault="0ACCF89F" w:rsidP="00F739A8">
            <w:pPr>
              <w:spacing w:before="120" w:after="120"/>
              <w:jc w:val="both"/>
              <w:rPr>
                <w:rFonts w:ascii="Times New Roman" w:eastAsia="Times New Roman" w:hAnsi="Times New Roman"/>
                <w:sz w:val="24"/>
                <w:szCs w:val="24"/>
              </w:rPr>
            </w:pPr>
            <w:r w:rsidRPr="5C0DD457">
              <w:rPr>
                <w:rFonts w:ascii="Times New Roman" w:eastAsia="Times New Roman" w:hAnsi="Times New Roman"/>
                <w:sz w:val="24"/>
                <w:szCs w:val="24"/>
              </w:rPr>
              <w:t xml:space="preserve">The Commission acknowledges the EESC's suggestion </w:t>
            </w:r>
            <w:r w:rsidR="6109CAEC" w:rsidRPr="5C0DD457">
              <w:rPr>
                <w:rFonts w:ascii="Times New Roman" w:eastAsia="Times New Roman" w:hAnsi="Times New Roman"/>
                <w:sz w:val="24"/>
                <w:szCs w:val="24"/>
              </w:rPr>
              <w:t xml:space="preserve">to </w:t>
            </w:r>
            <w:r w:rsidRPr="5C0DD457">
              <w:rPr>
                <w:rFonts w:ascii="Times New Roman" w:eastAsia="Times New Roman" w:hAnsi="Times New Roman"/>
                <w:sz w:val="24"/>
                <w:szCs w:val="24"/>
              </w:rPr>
              <w:t>introduc</w:t>
            </w:r>
            <w:r w:rsidR="554EA020" w:rsidRPr="5C0DD457">
              <w:rPr>
                <w:rFonts w:ascii="Times New Roman" w:eastAsia="Times New Roman" w:hAnsi="Times New Roman"/>
                <w:sz w:val="24"/>
                <w:szCs w:val="24"/>
              </w:rPr>
              <w:t>e</w:t>
            </w:r>
            <w:r w:rsidRPr="5C0DD457">
              <w:rPr>
                <w:rFonts w:ascii="Times New Roman" w:eastAsia="Times New Roman" w:hAnsi="Times New Roman"/>
                <w:sz w:val="24"/>
                <w:szCs w:val="24"/>
              </w:rPr>
              <w:t xml:space="preserve"> counterfeit insurance schemes and recognises the challenges associated with the valuation of IP assets. While </w:t>
            </w:r>
            <w:r w:rsidR="4A2EC2BC" w:rsidRPr="5C0DD457">
              <w:rPr>
                <w:rFonts w:ascii="Times New Roman" w:eastAsia="Times New Roman" w:hAnsi="Times New Roman"/>
                <w:sz w:val="24"/>
                <w:szCs w:val="24"/>
              </w:rPr>
              <w:t>the Commission</w:t>
            </w:r>
            <w:r w:rsidRPr="5C0DD457">
              <w:rPr>
                <w:rFonts w:ascii="Times New Roman" w:eastAsia="Times New Roman" w:hAnsi="Times New Roman"/>
                <w:sz w:val="24"/>
                <w:szCs w:val="24"/>
              </w:rPr>
              <w:t xml:space="preserve"> will consider this recommendation further, it is important to draw lessons from existing national IPR insurance schemes, some of which have faced limited effectiveness.  </w:t>
            </w:r>
          </w:p>
          <w:p w14:paraId="42FB1FC7" w14:textId="6A12E38F" w:rsidR="00734613" w:rsidRDefault="0ACCF89F" w:rsidP="00F739A8">
            <w:pPr>
              <w:spacing w:before="120" w:after="120"/>
              <w:jc w:val="both"/>
            </w:pPr>
            <w:r w:rsidRPr="5C0DD457">
              <w:rPr>
                <w:rFonts w:ascii="Times New Roman" w:eastAsia="Times New Roman" w:hAnsi="Times New Roman"/>
                <w:i/>
                <w:iCs/>
                <w:sz w:val="24"/>
                <w:szCs w:val="24"/>
              </w:rPr>
              <w:t>1.5</w:t>
            </w:r>
            <w:r w:rsidR="00F6061E">
              <w:rPr>
                <w:rFonts w:ascii="Times New Roman" w:eastAsia="Times New Roman" w:hAnsi="Times New Roman"/>
                <w:i/>
                <w:iCs/>
                <w:sz w:val="24"/>
                <w:szCs w:val="24"/>
              </w:rPr>
              <w:t>.</w:t>
            </w:r>
            <w:r w:rsidRPr="5C0DD457">
              <w:rPr>
                <w:rFonts w:ascii="Times New Roman" w:eastAsia="Times New Roman" w:hAnsi="Times New Roman"/>
                <w:sz w:val="24"/>
                <w:szCs w:val="24"/>
              </w:rPr>
              <w:t xml:space="preserve"> </w:t>
            </w:r>
            <w:r w:rsidRPr="5C0DD457">
              <w:rPr>
                <w:rFonts w:ascii="Times New Roman" w:eastAsia="Times New Roman" w:hAnsi="Times New Roman"/>
                <w:i/>
                <w:iCs/>
                <w:sz w:val="24"/>
                <w:szCs w:val="24"/>
              </w:rPr>
              <w:t>Make it mandatory for providers of online platforms to establish a single form to flag illegal content</w:t>
            </w:r>
          </w:p>
          <w:p w14:paraId="0FE5362C" w14:textId="36B28466" w:rsidR="00734613" w:rsidRDefault="0ACCF89F" w:rsidP="00F739A8">
            <w:pPr>
              <w:spacing w:before="120" w:after="120"/>
              <w:jc w:val="both"/>
              <w:rPr>
                <w:rFonts w:ascii="Times New Roman" w:eastAsia="Times New Roman" w:hAnsi="Times New Roman"/>
                <w:sz w:val="24"/>
                <w:szCs w:val="24"/>
              </w:rPr>
            </w:pPr>
            <w:r w:rsidRPr="734F529F">
              <w:rPr>
                <w:rFonts w:ascii="Times New Roman" w:eastAsia="Times New Roman" w:hAnsi="Times New Roman"/>
                <w:sz w:val="24"/>
                <w:szCs w:val="24"/>
              </w:rPr>
              <w:t xml:space="preserve">The Commission shares the EESC’s concerns regarding the need for more effective and uniform mechanisms for flagging and removing illegal content on online platforms. The Digital Services Act already introduces obligations for </w:t>
            </w:r>
            <w:r w:rsidR="00945C92" w:rsidRPr="734F529F">
              <w:rPr>
                <w:rFonts w:ascii="Times New Roman" w:eastAsia="Times New Roman" w:hAnsi="Times New Roman"/>
                <w:sz w:val="24"/>
                <w:szCs w:val="24"/>
              </w:rPr>
              <w:t xml:space="preserve">online </w:t>
            </w:r>
            <w:r w:rsidRPr="734F529F">
              <w:rPr>
                <w:rFonts w:ascii="Times New Roman" w:eastAsia="Times New Roman" w:hAnsi="Times New Roman"/>
                <w:sz w:val="24"/>
                <w:szCs w:val="24"/>
              </w:rPr>
              <w:t>platforms to establish notice and action mechanisms, as well as safeguards for the removal of illegal content, such as counterfeit goods</w:t>
            </w:r>
            <w:r w:rsidR="52AB05DD" w:rsidRPr="734F529F">
              <w:rPr>
                <w:rFonts w:ascii="Times New Roman" w:eastAsia="Times New Roman" w:hAnsi="Times New Roman"/>
                <w:sz w:val="24"/>
                <w:szCs w:val="24"/>
              </w:rPr>
              <w:t>. The Commission is</w:t>
            </w:r>
            <w:r w:rsidRPr="734F529F">
              <w:rPr>
                <w:rFonts w:ascii="Times New Roman" w:eastAsia="Times New Roman" w:hAnsi="Times New Roman"/>
                <w:sz w:val="24"/>
                <w:szCs w:val="24"/>
              </w:rPr>
              <w:t xml:space="preserve"> closely monitoring the implementation of</w:t>
            </w:r>
            <w:r w:rsidR="01E8E5F9" w:rsidRPr="734F529F">
              <w:rPr>
                <w:rFonts w:ascii="Times New Roman" w:eastAsia="Times New Roman" w:hAnsi="Times New Roman"/>
                <w:sz w:val="24"/>
                <w:szCs w:val="24"/>
              </w:rPr>
              <w:t>,</w:t>
            </w:r>
            <w:r w:rsidRPr="734F529F">
              <w:rPr>
                <w:rFonts w:ascii="Times New Roman" w:eastAsia="Times New Roman" w:hAnsi="Times New Roman"/>
                <w:sz w:val="24"/>
                <w:szCs w:val="24"/>
              </w:rPr>
              <w:t xml:space="preserve"> </w:t>
            </w:r>
            <w:r w:rsidR="00A57715" w:rsidRPr="734F529F">
              <w:rPr>
                <w:rFonts w:ascii="Times New Roman" w:eastAsia="Times New Roman" w:hAnsi="Times New Roman"/>
                <w:sz w:val="24"/>
                <w:szCs w:val="24"/>
              </w:rPr>
              <w:t>and the compliance with</w:t>
            </w:r>
            <w:r w:rsidR="15CA9416" w:rsidRPr="734F529F">
              <w:rPr>
                <w:rFonts w:ascii="Times New Roman" w:eastAsia="Times New Roman" w:hAnsi="Times New Roman"/>
                <w:sz w:val="24"/>
                <w:szCs w:val="24"/>
              </w:rPr>
              <w:t>,</w:t>
            </w:r>
            <w:r w:rsidR="00A57715" w:rsidRPr="734F529F">
              <w:rPr>
                <w:rFonts w:ascii="Times New Roman" w:eastAsia="Times New Roman" w:hAnsi="Times New Roman"/>
                <w:sz w:val="24"/>
                <w:szCs w:val="24"/>
              </w:rPr>
              <w:t xml:space="preserve"> </w:t>
            </w:r>
            <w:r w:rsidRPr="734F529F">
              <w:rPr>
                <w:rFonts w:ascii="Times New Roman" w:eastAsia="Times New Roman" w:hAnsi="Times New Roman"/>
                <w:sz w:val="24"/>
                <w:szCs w:val="24"/>
              </w:rPr>
              <w:t xml:space="preserve">these </w:t>
            </w:r>
            <w:r w:rsidR="0074338B" w:rsidRPr="734F529F">
              <w:rPr>
                <w:rFonts w:ascii="Times New Roman" w:eastAsia="Times New Roman" w:hAnsi="Times New Roman"/>
                <w:sz w:val="24"/>
                <w:szCs w:val="24"/>
              </w:rPr>
              <w:t>r</w:t>
            </w:r>
            <w:r w:rsidR="00A57715" w:rsidRPr="734F529F">
              <w:rPr>
                <w:rFonts w:ascii="Times New Roman" w:eastAsia="Times New Roman" w:hAnsi="Times New Roman"/>
                <w:sz w:val="24"/>
                <w:szCs w:val="24"/>
              </w:rPr>
              <w:t>equirements</w:t>
            </w:r>
            <w:r w:rsidRPr="734F529F">
              <w:rPr>
                <w:rFonts w:ascii="Times New Roman" w:eastAsia="Times New Roman" w:hAnsi="Times New Roman"/>
                <w:sz w:val="24"/>
                <w:szCs w:val="24"/>
              </w:rPr>
              <w:t>. Additionally, the Commission will assess how the M</w:t>
            </w:r>
            <w:r w:rsidR="0144538F" w:rsidRPr="734F529F">
              <w:rPr>
                <w:rFonts w:ascii="Times New Roman" w:eastAsia="Times New Roman" w:hAnsi="Times New Roman"/>
                <w:sz w:val="24"/>
                <w:szCs w:val="24"/>
              </w:rPr>
              <w:t xml:space="preserve">emorandum </w:t>
            </w:r>
            <w:r w:rsidRPr="734F529F">
              <w:rPr>
                <w:rFonts w:ascii="Times New Roman" w:eastAsia="Times New Roman" w:hAnsi="Times New Roman"/>
                <w:sz w:val="24"/>
                <w:szCs w:val="24"/>
              </w:rPr>
              <w:t>o</w:t>
            </w:r>
            <w:r w:rsidR="6CC69703" w:rsidRPr="734F529F">
              <w:rPr>
                <w:rFonts w:ascii="Times New Roman" w:eastAsia="Times New Roman" w:hAnsi="Times New Roman"/>
                <w:sz w:val="24"/>
                <w:szCs w:val="24"/>
              </w:rPr>
              <w:t xml:space="preserve">f </w:t>
            </w:r>
            <w:r w:rsidRPr="734F529F">
              <w:rPr>
                <w:rFonts w:ascii="Times New Roman" w:eastAsia="Times New Roman" w:hAnsi="Times New Roman"/>
                <w:sz w:val="24"/>
                <w:szCs w:val="24"/>
              </w:rPr>
              <w:t>U</w:t>
            </w:r>
            <w:r w:rsidR="6CC69703" w:rsidRPr="734F529F">
              <w:rPr>
                <w:rFonts w:ascii="Times New Roman" w:eastAsia="Times New Roman" w:hAnsi="Times New Roman"/>
                <w:sz w:val="24"/>
                <w:szCs w:val="24"/>
              </w:rPr>
              <w:t>nderstanding</w:t>
            </w:r>
            <w:r w:rsidRPr="734F529F">
              <w:rPr>
                <w:rFonts w:ascii="Times New Roman" w:eastAsia="Times New Roman" w:hAnsi="Times New Roman"/>
                <w:sz w:val="24"/>
                <w:szCs w:val="24"/>
              </w:rPr>
              <w:t xml:space="preserve"> on the sale of counterfeit goods on the internet could </w:t>
            </w:r>
            <w:r w:rsidR="00BF5F31" w:rsidRPr="734F529F">
              <w:rPr>
                <w:rFonts w:ascii="Times New Roman" w:eastAsia="Times New Roman" w:hAnsi="Times New Roman"/>
                <w:sz w:val="24"/>
                <w:szCs w:val="24"/>
              </w:rPr>
              <w:t xml:space="preserve">contribute to </w:t>
            </w:r>
            <w:r w:rsidRPr="734F529F">
              <w:rPr>
                <w:rFonts w:ascii="Times New Roman" w:eastAsia="Times New Roman" w:hAnsi="Times New Roman"/>
                <w:sz w:val="24"/>
                <w:szCs w:val="24"/>
              </w:rPr>
              <w:t>enhanc</w:t>
            </w:r>
            <w:r w:rsidR="00BF5F31" w:rsidRPr="734F529F">
              <w:rPr>
                <w:rFonts w:ascii="Times New Roman" w:eastAsia="Times New Roman" w:hAnsi="Times New Roman"/>
                <w:sz w:val="24"/>
                <w:szCs w:val="24"/>
              </w:rPr>
              <w:t>ing</w:t>
            </w:r>
            <w:r w:rsidRPr="734F529F">
              <w:rPr>
                <w:rFonts w:ascii="Times New Roman" w:eastAsia="Times New Roman" w:hAnsi="Times New Roman"/>
                <w:sz w:val="24"/>
                <w:szCs w:val="24"/>
              </w:rPr>
              <w:t xml:space="preserve"> the effectiveness of reporting and removing counterfeit goods online. </w:t>
            </w:r>
          </w:p>
          <w:p w14:paraId="68EA0BD6" w14:textId="17B2F0A3" w:rsidR="00734613" w:rsidRDefault="0ACCF89F" w:rsidP="00F739A8">
            <w:pPr>
              <w:spacing w:before="120" w:after="120"/>
              <w:jc w:val="both"/>
            </w:pPr>
            <w:r w:rsidRPr="5C0DD457">
              <w:rPr>
                <w:rFonts w:ascii="Times New Roman" w:eastAsia="Times New Roman" w:hAnsi="Times New Roman"/>
                <w:sz w:val="24"/>
                <w:szCs w:val="24"/>
              </w:rPr>
              <w:t>1.6</w:t>
            </w:r>
            <w:r w:rsidR="00F6061E">
              <w:rPr>
                <w:rFonts w:ascii="Times New Roman" w:eastAsia="Times New Roman" w:hAnsi="Times New Roman"/>
                <w:sz w:val="24"/>
                <w:szCs w:val="24"/>
              </w:rPr>
              <w:t>.</w:t>
            </w:r>
            <w:r w:rsidRPr="5C0DD457">
              <w:rPr>
                <w:rFonts w:ascii="Times New Roman" w:eastAsia="Times New Roman" w:hAnsi="Times New Roman"/>
                <w:sz w:val="24"/>
                <w:szCs w:val="24"/>
              </w:rPr>
              <w:t xml:space="preserve"> </w:t>
            </w:r>
            <w:r w:rsidRPr="5C0DD457">
              <w:rPr>
                <w:rFonts w:ascii="Times New Roman" w:eastAsia="Times New Roman" w:hAnsi="Times New Roman"/>
                <w:i/>
                <w:iCs/>
                <w:sz w:val="24"/>
                <w:szCs w:val="24"/>
              </w:rPr>
              <w:t>Strengthen European cooperation when applying delisting measures for websites selling counterfeit items</w:t>
            </w:r>
          </w:p>
          <w:p w14:paraId="7776D401" w14:textId="798E1E75" w:rsidR="00734613" w:rsidRDefault="0ACCF89F" w:rsidP="00F739A8">
            <w:pPr>
              <w:spacing w:before="120" w:after="120"/>
              <w:jc w:val="both"/>
            </w:pPr>
            <w:r w:rsidRPr="5C0DD457">
              <w:rPr>
                <w:rFonts w:ascii="Times New Roman" w:eastAsia="Times New Roman" w:hAnsi="Times New Roman"/>
                <w:sz w:val="24"/>
                <w:szCs w:val="24"/>
              </w:rPr>
              <w:t xml:space="preserve">The Commission welcomes the EESC's recommendation to harmonise delisting procedures across the Member States. Strengthening cooperation is a priority. It can also make the fight against repeated offenders more effective. </w:t>
            </w:r>
            <w:r w:rsidR="79A3194E" w:rsidRPr="5C0DD457">
              <w:rPr>
                <w:rFonts w:ascii="Times New Roman" w:eastAsia="Times New Roman" w:hAnsi="Times New Roman"/>
                <w:sz w:val="24"/>
                <w:szCs w:val="24"/>
              </w:rPr>
              <w:t>The Commiss</w:t>
            </w:r>
            <w:r w:rsidR="5BF7EC8E" w:rsidRPr="5C0DD457">
              <w:rPr>
                <w:rFonts w:ascii="Times New Roman" w:eastAsia="Times New Roman" w:hAnsi="Times New Roman"/>
                <w:sz w:val="24"/>
                <w:szCs w:val="24"/>
              </w:rPr>
              <w:t>i</w:t>
            </w:r>
            <w:r w:rsidR="79A3194E" w:rsidRPr="5C0DD457">
              <w:rPr>
                <w:rFonts w:ascii="Times New Roman" w:eastAsia="Times New Roman" w:hAnsi="Times New Roman"/>
                <w:sz w:val="24"/>
                <w:szCs w:val="24"/>
              </w:rPr>
              <w:t xml:space="preserve">on </w:t>
            </w:r>
            <w:r w:rsidRPr="5C0DD457">
              <w:rPr>
                <w:rFonts w:ascii="Times New Roman" w:eastAsia="Times New Roman" w:hAnsi="Times New Roman"/>
                <w:sz w:val="24"/>
                <w:szCs w:val="24"/>
              </w:rPr>
              <w:t>will continue to monitor the implementation of the Recommendation to combat counterfeiting and enhance the enforcement of IPR on this regard.</w:t>
            </w:r>
          </w:p>
          <w:p w14:paraId="0FFF9D0F" w14:textId="50ED706B" w:rsidR="00734613" w:rsidRDefault="0ACCF89F" w:rsidP="00F739A8">
            <w:pPr>
              <w:spacing w:before="120" w:after="120"/>
              <w:jc w:val="both"/>
            </w:pPr>
            <w:r w:rsidRPr="5C0DD457">
              <w:rPr>
                <w:rFonts w:ascii="Times New Roman" w:eastAsia="Times New Roman" w:hAnsi="Times New Roman"/>
                <w:i/>
                <w:iCs/>
                <w:sz w:val="24"/>
                <w:szCs w:val="24"/>
              </w:rPr>
              <w:t>1.7</w:t>
            </w:r>
            <w:r w:rsidR="00F6061E">
              <w:rPr>
                <w:rFonts w:ascii="Times New Roman" w:eastAsia="Times New Roman" w:hAnsi="Times New Roman"/>
                <w:i/>
                <w:iCs/>
                <w:sz w:val="24"/>
                <w:szCs w:val="24"/>
              </w:rPr>
              <w:t>.</w:t>
            </w:r>
            <w:r w:rsidRPr="5C0DD457">
              <w:rPr>
                <w:rFonts w:ascii="Times New Roman" w:eastAsia="Times New Roman" w:hAnsi="Times New Roman"/>
                <w:sz w:val="24"/>
                <w:szCs w:val="24"/>
              </w:rPr>
              <w:t xml:space="preserve"> </w:t>
            </w:r>
            <w:r w:rsidRPr="5C0DD457">
              <w:rPr>
                <w:rFonts w:ascii="Times New Roman" w:eastAsia="Times New Roman" w:hAnsi="Times New Roman"/>
                <w:i/>
                <w:iCs/>
                <w:sz w:val="24"/>
                <w:szCs w:val="24"/>
              </w:rPr>
              <w:t>Make counterfeiting a priority for the European Anti-Fraud Office (OLAF) and Europol</w:t>
            </w:r>
          </w:p>
          <w:p w14:paraId="70537CB3" w14:textId="345FCF52" w:rsidR="00734613" w:rsidRDefault="0ACCF89F" w:rsidP="00F739A8">
            <w:pPr>
              <w:spacing w:before="120" w:after="120"/>
              <w:jc w:val="both"/>
            </w:pPr>
            <w:r w:rsidRPr="5C0DD457">
              <w:rPr>
                <w:rFonts w:ascii="Times New Roman" w:eastAsia="Times New Roman" w:hAnsi="Times New Roman"/>
                <w:sz w:val="24"/>
                <w:szCs w:val="24"/>
              </w:rPr>
              <w:t>The Commission agrees with the EESC that counterfeiting and piracy should be a priority for OLAF and Europol. This aligns with the Commission’s objective to ensure that IPR remains a</w:t>
            </w:r>
            <w:r w:rsidR="001B12FC">
              <w:rPr>
                <w:rFonts w:ascii="Times New Roman" w:eastAsia="Times New Roman" w:hAnsi="Times New Roman"/>
                <w:sz w:val="24"/>
                <w:szCs w:val="24"/>
              </w:rPr>
              <w:t> </w:t>
            </w:r>
            <w:r w:rsidRPr="5C0DD457">
              <w:rPr>
                <w:rFonts w:ascii="Times New Roman" w:eastAsia="Times New Roman" w:hAnsi="Times New Roman"/>
                <w:sz w:val="24"/>
                <w:szCs w:val="24"/>
              </w:rPr>
              <w:t>priority of the new EMPACT EU policy cycle.</w:t>
            </w:r>
          </w:p>
          <w:p w14:paraId="2685C2FF" w14:textId="1702B763" w:rsidR="00734613" w:rsidRDefault="0ACCF89F" w:rsidP="00F739A8">
            <w:pPr>
              <w:spacing w:before="120" w:after="120"/>
              <w:jc w:val="both"/>
            </w:pPr>
            <w:r w:rsidRPr="5C0DD457">
              <w:rPr>
                <w:rFonts w:ascii="Times New Roman" w:eastAsia="Times New Roman" w:hAnsi="Times New Roman"/>
                <w:i/>
                <w:iCs/>
                <w:sz w:val="24"/>
                <w:szCs w:val="24"/>
              </w:rPr>
              <w:t>1.8</w:t>
            </w:r>
            <w:r w:rsidR="00F6061E">
              <w:rPr>
                <w:rFonts w:ascii="Times New Roman" w:eastAsia="Times New Roman" w:hAnsi="Times New Roman"/>
                <w:i/>
                <w:iCs/>
                <w:sz w:val="24"/>
                <w:szCs w:val="24"/>
              </w:rPr>
              <w:t>.</w:t>
            </w:r>
            <w:r w:rsidRPr="5C0DD457">
              <w:rPr>
                <w:rFonts w:ascii="Times New Roman" w:eastAsia="Times New Roman" w:hAnsi="Times New Roman"/>
                <w:sz w:val="24"/>
                <w:szCs w:val="24"/>
              </w:rPr>
              <w:t xml:space="preserve"> </w:t>
            </w:r>
            <w:r w:rsidRPr="5C0DD457">
              <w:rPr>
                <w:rFonts w:ascii="Times New Roman" w:eastAsia="Times New Roman" w:hAnsi="Times New Roman"/>
                <w:i/>
                <w:iCs/>
                <w:sz w:val="24"/>
                <w:szCs w:val="24"/>
              </w:rPr>
              <w:t>Systematically include the topic of counterfeiting in bilateral and international trade agreements</w:t>
            </w:r>
          </w:p>
          <w:p w14:paraId="1DDBA213" w14:textId="5C3373CD" w:rsidR="00734613" w:rsidRDefault="0ACCF89F" w:rsidP="00F739A8">
            <w:pPr>
              <w:spacing w:before="120" w:after="120"/>
              <w:jc w:val="both"/>
            </w:pPr>
            <w:r w:rsidRPr="5C0DD457">
              <w:rPr>
                <w:rFonts w:ascii="Times New Roman" w:eastAsia="Times New Roman" w:hAnsi="Times New Roman"/>
                <w:sz w:val="24"/>
                <w:szCs w:val="24"/>
              </w:rPr>
              <w:t xml:space="preserve">The Commission remains committed to systematically integrate IPR into bilateral and multilateral trade agreements and to continue to engage with third countries to strengthen IP enforcement. </w:t>
            </w:r>
            <w:r w:rsidR="00945C92">
              <w:rPr>
                <w:rFonts w:ascii="Times New Roman" w:eastAsia="Times New Roman" w:hAnsi="Times New Roman"/>
                <w:sz w:val="24"/>
                <w:szCs w:val="24"/>
              </w:rPr>
              <w:t>The Commission</w:t>
            </w:r>
            <w:r w:rsidRPr="5C0DD457">
              <w:rPr>
                <w:rFonts w:ascii="Times New Roman" w:eastAsia="Times New Roman" w:hAnsi="Times New Roman"/>
                <w:sz w:val="24"/>
                <w:szCs w:val="24"/>
              </w:rPr>
              <w:t xml:space="preserve"> appreciate</w:t>
            </w:r>
            <w:r w:rsidR="00945C92">
              <w:rPr>
                <w:rFonts w:ascii="Times New Roman" w:eastAsia="Times New Roman" w:hAnsi="Times New Roman"/>
                <w:sz w:val="24"/>
                <w:szCs w:val="24"/>
              </w:rPr>
              <w:t>s</w:t>
            </w:r>
            <w:r w:rsidRPr="5C0DD457">
              <w:rPr>
                <w:rFonts w:ascii="Times New Roman" w:eastAsia="Times New Roman" w:hAnsi="Times New Roman"/>
                <w:sz w:val="24"/>
                <w:szCs w:val="24"/>
              </w:rPr>
              <w:t xml:space="preserve"> the EESC's acknowledgement of these efforts and welcome their support in monitoring the implementation of these agreements.</w:t>
            </w:r>
          </w:p>
          <w:p w14:paraId="30D14481" w14:textId="6085E056" w:rsidR="0049246C" w:rsidRPr="00566190" w:rsidRDefault="0ACCF89F" w:rsidP="00F739A8">
            <w:pPr>
              <w:spacing w:before="120" w:after="120"/>
              <w:jc w:val="both"/>
            </w:pPr>
            <w:r w:rsidRPr="5C0DD457">
              <w:rPr>
                <w:rFonts w:ascii="Times New Roman" w:eastAsia="Times New Roman" w:hAnsi="Times New Roman"/>
                <w:sz w:val="24"/>
                <w:szCs w:val="24"/>
              </w:rPr>
              <w:t xml:space="preserve">The Commission values the EESC's continued engagement and constructive recommendations. </w:t>
            </w:r>
            <w:r w:rsidR="15D696CC" w:rsidRPr="5C0DD457">
              <w:rPr>
                <w:rFonts w:ascii="Times New Roman" w:eastAsia="Times New Roman" w:hAnsi="Times New Roman"/>
                <w:sz w:val="24"/>
                <w:szCs w:val="24"/>
              </w:rPr>
              <w:t xml:space="preserve">The Commission </w:t>
            </w:r>
            <w:r w:rsidRPr="5C0DD457">
              <w:rPr>
                <w:rFonts w:ascii="Times New Roman" w:eastAsia="Times New Roman" w:hAnsi="Times New Roman"/>
                <w:sz w:val="24"/>
                <w:szCs w:val="24"/>
              </w:rPr>
              <w:t>remain</w:t>
            </w:r>
            <w:r w:rsidR="492E7E7C" w:rsidRPr="5C0DD457">
              <w:rPr>
                <w:rFonts w:ascii="Times New Roman" w:eastAsia="Times New Roman" w:hAnsi="Times New Roman"/>
                <w:sz w:val="24"/>
                <w:szCs w:val="24"/>
              </w:rPr>
              <w:t>s</w:t>
            </w:r>
            <w:r w:rsidRPr="5C0DD457">
              <w:rPr>
                <w:rFonts w:ascii="Times New Roman" w:eastAsia="Times New Roman" w:hAnsi="Times New Roman"/>
                <w:sz w:val="24"/>
                <w:szCs w:val="24"/>
              </w:rPr>
              <w:t xml:space="preserve"> committed to implementing comprehensive and impactful measures to combat counterfeiting and piracy, fostering innovation and enhancing the EU’s competitiveness.</w:t>
            </w:r>
          </w:p>
        </w:tc>
      </w:tr>
    </w:tbl>
    <w:p w14:paraId="6AF07B14" w14:textId="26AEAB66" w:rsidR="004F6117" w:rsidRPr="004F6117" w:rsidRDefault="004F6117" w:rsidP="00F739A8">
      <w:pPr>
        <w:spacing w:before="120" w:after="120"/>
        <w:jc w:val="both"/>
        <w:rPr>
          <w:rFonts w:ascii="Times New Roman" w:hAnsi="Times New Roman"/>
          <w:b/>
          <w:strike/>
          <w:sz w:val="24"/>
          <w:szCs w:val="24"/>
          <w:u w:val="single"/>
        </w:rPr>
      </w:pPr>
    </w:p>
    <w:sectPr w:rsidR="004F6117" w:rsidRPr="004F6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2B25" w14:textId="77777777" w:rsidR="006041C7" w:rsidRDefault="006041C7" w:rsidP="00FF63EA">
      <w:pPr>
        <w:spacing w:after="0" w:line="240" w:lineRule="auto"/>
      </w:pPr>
      <w:r>
        <w:separator/>
      </w:r>
    </w:p>
  </w:endnote>
  <w:endnote w:type="continuationSeparator" w:id="0">
    <w:p w14:paraId="65490692" w14:textId="77777777" w:rsidR="006041C7" w:rsidRDefault="006041C7" w:rsidP="00FF63EA">
      <w:pPr>
        <w:spacing w:after="0" w:line="240" w:lineRule="auto"/>
      </w:pPr>
      <w:r>
        <w:continuationSeparator/>
      </w:r>
    </w:p>
  </w:endnote>
  <w:endnote w:type="continuationNotice" w:id="1">
    <w:p w14:paraId="121ED6B2" w14:textId="77777777" w:rsidR="006041C7" w:rsidRDefault="00604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87BE" w14:textId="77777777" w:rsidR="006041C7" w:rsidRDefault="006041C7" w:rsidP="00FF63EA">
      <w:pPr>
        <w:spacing w:after="0" w:line="240" w:lineRule="auto"/>
      </w:pPr>
      <w:r>
        <w:separator/>
      </w:r>
    </w:p>
  </w:footnote>
  <w:footnote w:type="continuationSeparator" w:id="0">
    <w:p w14:paraId="75BA5788" w14:textId="77777777" w:rsidR="006041C7" w:rsidRDefault="006041C7" w:rsidP="00FF63EA">
      <w:pPr>
        <w:spacing w:after="0" w:line="240" w:lineRule="auto"/>
      </w:pPr>
      <w:r>
        <w:continuationSeparator/>
      </w:r>
    </w:p>
  </w:footnote>
  <w:footnote w:type="continuationNotice" w:id="1">
    <w:p w14:paraId="6770F17D" w14:textId="77777777" w:rsidR="006041C7" w:rsidRDefault="006041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513"/>
    <w:multiLevelType w:val="multilevel"/>
    <w:tmpl w:val="CDBAC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B6C05"/>
    <w:multiLevelType w:val="multilevel"/>
    <w:tmpl w:val="B7523C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B493066"/>
    <w:multiLevelType w:val="hybridMultilevel"/>
    <w:tmpl w:val="CCE06960"/>
    <w:lvl w:ilvl="0" w:tplc="0FDCB8F6">
      <w:start w:val="1"/>
      <w:numFmt w:val="decimal"/>
      <w:lvlText w:val="%1."/>
      <w:lvlJc w:val="left"/>
      <w:pPr>
        <w:ind w:left="720" w:hanging="360"/>
      </w:pPr>
    </w:lvl>
    <w:lvl w:ilvl="1" w:tplc="58343998">
      <w:start w:val="1"/>
      <w:numFmt w:val="decimal"/>
      <w:lvlText w:val="%2.2"/>
      <w:lvlJc w:val="left"/>
      <w:pPr>
        <w:ind w:left="1440" w:hanging="360"/>
      </w:pPr>
    </w:lvl>
    <w:lvl w:ilvl="2" w:tplc="FF8C46AC">
      <w:start w:val="1"/>
      <w:numFmt w:val="lowerRoman"/>
      <w:lvlText w:val="%3."/>
      <w:lvlJc w:val="right"/>
      <w:pPr>
        <w:ind w:left="2160" w:hanging="180"/>
      </w:pPr>
    </w:lvl>
    <w:lvl w:ilvl="3" w:tplc="9634EF9A">
      <w:start w:val="1"/>
      <w:numFmt w:val="decimal"/>
      <w:lvlText w:val="%4."/>
      <w:lvlJc w:val="left"/>
      <w:pPr>
        <w:ind w:left="2880" w:hanging="360"/>
      </w:pPr>
    </w:lvl>
    <w:lvl w:ilvl="4" w:tplc="84703906">
      <w:start w:val="1"/>
      <w:numFmt w:val="lowerLetter"/>
      <w:lvlText w:val="%5."/>
      <w:lvlJc w:val="left"/>
      <w:pPr>
        <w:ind w:left="3600" w:hanging="360"/>
      </w:pPr>
    </w:lvl>
    <w:lvl w:ilvl="5" w:tplc="F4A649CE">
      <w:start w:val="1"/>
      <w:numFmt w:val="lowerRoman"/>
      <w:lvlText w:val="%6."/>
      <w:lvlJc w:val="right"/>
      <w:pPr>
        <w:ind w:left="4320" w:hanging="180"/>
      </w:pPr>
    </w:lvl>
    <w:lvl w:ilvl="6" w:tplc="F48C42B8">
      <w:start w:val="1"/>
      <w:numFmt w:val="decimal"/>
      <w:lvlText w:val="%7."/>
      <w:lvlJc w:val="left"/>
      <w:pPr>
        <w:ind w:left="5040" w:hanging="360"/>
      </w:pPr>
    </w:lvl>
    <w:lvl w:ilvl="7" w:tplc="13809208">
      <w:start w:val="1"/>
      <w:numFmt w:val="lowerLetter"/>
      <w:lvlText w:val="%8."/>
      <w:lvlJc w:val="left"/>
      <w:pPr>
        <w:ind w:left="5760" w:hanging="360"/>
      </w:pPr>
    </w:lvl>
    <w:lvl w:ilvl="8" w:tplc="AFAAB7E2">
      <w:start w:val="1"/>
      <w:numFmt w:val="lowerRoman"/>
      <w:lvlText w:val="%9."/>
      <w:lvlJc w:val="right"/>
      <w:pPr>
        <w:ind w:left="6480" w:hanging="180"/>
      </w:pPr>
    </w:lvl>
  </w:abstractNum>
  <w:num w:numId="1" w16cid:durableId="1229537692">
    <w:abstractNumId w:val="2"/>
  </w:num>
  <w:num w:numId="2" w16cid:durableId="1071196260">
    <w:abstractNumId w:val="1"/>
  </w:num>
  <w:num w:numId="3" w16cid:durableId="4290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10DA"/>
    <w:rsid w:val="00012A37"/>
    <w:rsid w:val="00046B15"/>
    <w:rsid w:val="00050DC7"/>
    <w:rsid w:val="00076109"/>
    <w:rsid w:val="00077C4F"/>
    <w:rsid w:val="000E12FF"/>
    <w:rsid w:val="000F35D3"/>
    <w:rsid w:val="000F5FD8"/>
    <w:rsid w:val="001167C0"/>
    <w:rsid w:val="001321EB"/>
    <w:rsid w:val="00135C2A"/>
    <w:rsid w:val="001B0E0B"/>
    <w:rsid w:val="001B12FC"/>
    <w:rsid w:val="001C4138"/>
    <w:rsid w:val="001E3121"/>
    <w:rsid w:val="001F2EC6"/>
    <w:rsid w:val="001F65D0"/>
    <w:rsid w:val="00216350"/>
    <w:rsid w:val="00217E59"/>
    <w:rsid w:val="002A3375"/>
    <w:rsid w:val="002B21EE"/>
    <w:rsid w:val="002B5CFF"/>
    <w:rsid w:val="002F03FA"/>
    <w:rsid w:val="003004D2"/>
    <w:rsid w:val="0030327E"/>
    <w:rsid w:val="003349A3"/>
    <w:rsid w:val="00362316"/>
    <w:rsid w:val="003755E9"/>
    <w:rsid w:val="00377967"/>
    <w:rsid w:val="00386143"/>
    <w:rsid w:val="003A01E9"/>
    <w:rsid w:val="003A3665"/>
    <w:rsid w:val="003A7C39"/>
    <w:rsid w:val="003B58DC"/>
    <w:rsid w:val="003F686E"/>
    <w:rsid w:val="004001A1"/>
    <w:rsid w:val="00442552"/>
    <w:rsid w:val="00455A1C"/>
    <w:rsid w:val="004675B5"/>
    <w:rsid w:val="004770D6"/>
    <w:rsid w:val="0049246C"/>
    <w:rsid w:val="00496F2B"/>
    <w:rsid w:val="004E6B53"/>
    <w:rsid w:val="004F031D"/>
    <w:rsid w:val="004F6117"/>
    <w:rsid w:val="004F63F1"/>
    <w:rsid w:val="004F651E"/>
    <w:rsid w:val="0052596B"/>
    <w:rsid w:val="005305CC"/>
    <w:rsid w:val="00554D8D"/>
    <w:rsid w:val="00560401"/>
    <w:rsid w:val="00566190"/>
    <w:rsid w:val="00573835"/>
    <w:rsid w:val="00581306"/>
    <w:rsid w:val="005943F8"/>
    <w:rsid w:val="005B38C9"/>
    <w:rsid w:val="005C3105"/>
    <w:rsid w:val="006041C7"/>
    <w:rsid w:val="006110C7"/>
    <w:rsid w:val="0061724C"/>
    <w:rsid w:val="00665785"/>
    <w:rsid w:val="00692C2F"/>
    <w:rsid w:val="00695797"/>
    <w:rsid w:val="00696A5E"/>
    <w:rsid w:val="006B3B69"/>
    <w:rsid w:val="006F3208"/>
    <w:rsid w:val="00734613"/>
    <w:rsid w:val="0074338B"/>
    <w:rsid w:val="007477C7"/>
    <w:rsid w:val="00751910"/>
    <w:rsid w:val="00751E60"/>
    <w:rsid w:val="007547B5"/>
    <w:rsid w:val="007903D5"/>
    <w:rsid w:val="00795A9E"/>
    <w:rsid w:val="007A606D"/>
    <w:rsid w:val="007B20F1"/>
    <w:rsid w:val="007C2214"/>
    <w:rsid w:val="00807B48"/>
    <w:rsid w:val="008135CA"/>
    <w:rsid w:val="0081584F"/>
    <w:rsid w:val="00857AAB"/>
    <w:rsid w:val="0086080F"/>
    <w:rsid w:val="008703BF"/>
    <w:rsid w:val="00883573"/>
    <w:rsid w:val="008925CE"/>
    <w:rsid w:val="008C4D41"/>
    <w:rsid w:val="00914EA0"/>
    <w:rsid w:val="00945C92"/>
    <w:rsid w:val="00981F45"/>
    <w:rsid w:val="00994D12"/>
    <w:rsid w:val="009B128B"/>
    <w:rsid w:val="00A16F07"/>
    <w:rsid w:val="00A203DD"/>
    <w:rsid w:val="00A57715"/>
    <w:rsid w:val="00A62C7B"/>
    <w:rsid w:val="00A7709A"/>
    <w:rsid w:val="00AB51AC"/>
    <w:rsid w:val="00AE1842"/>
    <w:rsid w:val="00AE3C7C"/>
    <w:rsid w:val="00B31306"/>
    <w:rsid w:val="00B42814"/>
    <w:rsid w:val="00B83936"/>
    <w:rsid w:val="00BC37D6"/>
    <w:rsid w:val="00BD6EB7"/>
    <w:rsid w:val="00BE2FF3"/>
    <w:rsid w:val="00BF5F31"/>
    <w:rsid w:val="00C143B5"/>
    <w:rsid w:val="00C400D2"/>
    <w:rsid w:val="00C54D27"/>
    <w:rsid w:val="00C76EEB"/>
    <w:rsid w:val="00CA0A2D"/>
    <w:rsid w:val="00CE45B2"/>
    <w:rsid w:val="00D01F5A"/>
    <w:rsid w:val="00D14F6C"/>
    <w:rsid w:val="00D1716E"/>
    <w:rsid w:val="00D64E05"/>
    <w:rsid w:val="00D92FD3"/>
    <w:rsid w:val="00DA3B6E"/>
    <w:rsid w:val="00DB7581"/>
    <w:rsid w:val="00DC70C1"/>
    <w:rsid w:val="00E65AC5"/>
    <w:rsid w:val="00E83C12"/>
    <w:rsid w:val="00E904C8"/>
    <w:rsid w:val="00EA1BBF"/>
    <w:rsid w:val="00EA56BF"/>
    <w:rsid w:val="00EB29A9"/>
    <w:rsid w:val="00EB4DAC"/>
    <w:rsid w:val="00EB77D2"/>
    <w:rsid w:val="00F316C8"/>
    <w:rsid w:val="00F561DD"/>
    <w:rsid w:val="00F6061E"/>
    <w:rsid w:val="00F632DE"/>
    <w:rsid w:val="00F735E4"/>
    <w:rsid w:val="00F739A8"/>
    <w:rsid w:val="00F7506E"/>
    <w:rsid w:val="00FA4260"/>
    <w:rsid w:val="00FA7330"/>
    <w:rsid w:val="00FB7834"/>
    <w:rsid w:val="00FD4B6A"/>
    <w:rsid w:val="00FF03A8"/>
    <w:rsid w:val="00FF63EA"/>
    <w:rsid w:val="0144538F"/>
    <w:rsid w:val="01E8E5F9"/>
    <w:rsid w:val="043C0E95"/>
    <w:rsid w:val="0ACCF89F"/>
    <w:rsid w:val="0CAE9883"/>
    <w:rsid w:val="15CA9416"/>
    <w:rsid w:val="15D696CC"/>
    <w:rsid w:val="1748500D"/>
    <w:rsid w:val="176DB639"/>
    <w:rsid w:val="38F0ECCD"/>
    <w:rsid w:val="42A4C8B0"/>
    <w:rsid w:val="492E7E7C"/>
    <w:rsid w:val="4A2EC2BC"/>
    <w:rsid w:val="52AB05DD"/>
    <w:rsid w:val="554EA020"/>
    <w:rsid w:val="5BF7EC8E"/>
    <w:rsid w:val="5C0DD457"/>
    <w:rsid w:val="6109CAEC"/>
    <w:rsid w:val="65E443C5"/>
    <w:rsid w:val="6CC69703"/>
    <w:rsid w:val="70730B9A"/>
    <w:rsid w:val="716AA843"/>
    <w:rsid w:val="734F529F"/>
    <w:rsid w:val="79A31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2F43E9A2-3425-44C3-BB53-B1F33482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143B5"/>
    <w:rPr>
      <w:sz w:val="22"/>
      <w:szCs w:val="22"/>
      <w:lang w:val="en-GB" w:eastAsia="en-US"/>
    </w:rPr>
  </w:style>
  <w:style w:type="paragraph" w:styleId="Header">
    <w:name w:val="header"/>
    <w:basedOn w:val="Normal"/>
    <w:link w:val="HeaderChar"/>
    <w:uiPriority w:val="99"/>
    <w:semiHidden/>
    <w:unhideWhenUsed/>
    <w:rsid w:val="00C143B5"/>
    <w:pPr>
      <w:tabs>
        <w:tab w:val="center" w:pos="4513"/>
        <w:tab w:val="right" w:pos="9026"/>
      </w:tabs>
    </w:pPr>
  </w:style>
  <w:style w:type="character" w:customStyle="1" w:styleId="HeaderChar">
    <w:name w:val="Header Char"/>
    <w:link w:val="Header"/>
    <w:uiPriority w:val="99"/>
    <w:semiHidden/>
    <w:rsid w:val="00C143B5"/>
    <w:rPr>
      <w:sz w:val="22"/>
      <w:szCs w:val="22"/>
      <w:lang w:val="en-GB" w:eastAsia="en-US"/>
    </w:rPr>
  </w:style>
  <w:style w:type="paragraph" w:styleId="Footer">
    <w:name w:val="footer"/>
    <w:basedOn w:val="Normal"/>
    <w:link w:val="FooterChar"/>
    <w:uiPriority w:val="99"/>
    <w:semiHidden/>
    <w:unhideWhenUsed/>
    <w:rsid w:val="00C143B5"/>
    <w:pPr>
      <w:tabs>
        <w:tab w:val="center" w:pos="4513"/>
        <w:tab w:val="right" w:pos="9026"/>
      </w:tabs>
    </w:pPr>
  </w:style>
  <w:style w:type="character" w:customStyle="1" w:styleId="FooterChar">
    <w:name w:val="Footer Char"/>
    <w:link w:val="Footer"/>
    <w:uiPriority w:val="99"/>
    <w:semiHidden/>
    <w:rsid w:val="00C143B5"/>
    <w:rPr>
      <w:sz w:val="22"/>
      <w:szCs w:val="22"/>
      <w:lang w:val="en-GB" w:eastAsia="en-US"/>
    </w:rPr>
  </w:style>
  <w:style w:type="character" w:styleId="CommentReference">
    <w:name w:val="annotation reference"/>
    <w:basedOn w:val="DefaultParagraphFont"/>
    <w:uiPriority w:val="99"/>
    <w:semiHidden/>
    <w:unhideWhenUsed/>
    <w:rsid w:val="001E3121"/>
    <w:rPr>
      <w:sz w:val="16"/>
      <w:szCs w:val="16"/>
    </w:rPr>
  </w:style>
  <w:style w:type="paragraph" w:styleId="CommentText">
    <w:name w:val="annotation text"/>
    <w:basedOn w:val="Normal"/>
    <w:link w:val="CommentTextChar"/>
    <w:uiPriority w:val="99"/>
    <w:unhideWhenUsed/>
    <w:rsid w:val="001E3121"/>
    <w:rPr>
      <w:sz w:val="20"/>
      <w:szCs w:val="20"/>
    </w:rPr>
  </w:style>
  <w:style w:type="character" w:customStyle="1" w:styleId="CommentTextChar">
    <w:name w:val="Comment Text Char"/>
    <w:basedOn w:val="DefaultParagraphFont"/>
    <w:link w:val="CommentText"/>
    <w:uiPriority w:val="99"/>
    <w:rsid w:val="001E3121"/>
    <w:rPr>
      <w:lang w:val="en-GB" w:eastAsia="en-US"/>
    </w:rPr>
  </w:style>
  <w:style w:type="paragraph" w:styleId="CommentSubject">
    <w:name w:val="annotation subject"/>
    <w:basedOn w:val="CommentText"/>
    <w:next w:val="CommentText"/>
    <w:link w:val="CommentSubjectChar"/>
    <w:uiPriority w:val="99"/>
    <w:semiHidden/>
    <w:unhideWhenUsed/>
    <w:rsid w:val="001E3121"/>
    <w:rPr>
      <w:b/>
      <w:bCs/>
    </w:rPr>
  </w:style>
  <w:style w:type="character" w:customStyle="1" w:styleId="CommentSubjectChar">
    <w:name w:val="Comment Subject Char"/>
    <w:basedOn w:val="CommentTextChar"/>
    <w:link w:val="CommentSubject"/>
    <w:uiPriority w:val="99"/>
    <w:semiHidden/>
    <w:rsid w:val="001E312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5B43A245B8E45A489563E861A30E7A330054FBC4A77C88E649BF16D72563CE4984" ma:contentTypeVersion="21" ma:contentTypeDescription="Create a new document in this library." ma:contentTypeScope="" ma:versionID="bf2efb2b7056652cb1854bfaf998dfd0">
  <xsd:schema xmlns:xsd="http://www.w3.org/2001/XMLSchema" xmlns:xs="http://www.w3.org/2001/XMLSchema" xmlns:p="http://schemas.microsoft.com/office/2006/metadata/properties" xmlns:ns2="http://schemas.microsoft.com/sharepoint/v3/fields" xmlns:ns3="26cf95f1-1e01-4216-a7de-b184bc41adab" xmlns:ns4="836f0139-dc7f-44bb-bf92-9a2900cef8be" targetNamespace="http://schemas.microsoft.com/office/2006/metadata/properties" ma:root="true" ma:fieldsID="b42a95203c2162dc73077ae619ae4c9f" ns2:_="" ns3:_="" ns4:_="">
    <xsd:import namespace="http://schemas.microsoft.com/sharepoint/v3/fields"/>
    <xsd:import namespace="26cf95f1-1e01-4216-a7de-b184bc41adab"/>
    <xsd:import namespace="836f0139-dc7f-44bb-bf92-9a2900cef8be"/>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ort_x0020_order" minOccurs="0"/>
                <xsd:element ref="ns4:Status" minOccurs="0"/>
                <xsd:element ref="ns4:MediaServiceMetadata" minOccurs="0"/>
                <xsd:element ref="ns4:MediaServiceFastMetadata" minOccurs="0"/>
                <xsd:element ref="ns4:MediaServiceSearchProperties" minOccurs="0"/>
                <xsd:element ref="ns4:MediaServiceObjectDetectorVersion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cf95f1-1e01-4216-a7de-b184bc41ada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836f0139-dc7f-44bb-bf92-9a2900cef8be" elementFormDefault="qualified">
    <xsd:import namespace="http://schemas.microsoft.com/office/2006/documentManagement/types"/>
    <xsd:import namespace="http://schemas.microsoft.com/office/infopath/2007/PartnerControls"/>
    <xsd:element name="Sort_x0020_order" ma:index="16" nillable="true" ma:displayName="Sort order" ma:decimals="2" ma:internalName="Sort_x0020_order" ma:readOnly="false" ma:percentage="FALSE">
      <xsd:simpleType>
        <xsd:restriction base="dms:Number"/>
      </xsd:simpleType>
    </xsd:element>
    <xsd:element name="Status" ma:index="17"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26cf95f1-1e01-4216-a7de-b184bc41adab">EN</EC_Collab_DocumentLanguage>
    <_Status xmlns="http://schemas.microsoft.com/sharepoint/v3/fields">Not Started</_Status>
    <EC_Collab_Reference xmlns="26cf95f1-1e01-4216-a7de-b184bc41adab" xsi:nil="true"/>
    <Sort_x0020_order xmlns="836f0139-dc7f-44bb-bf92-9a2900cef8be" xsi:nil="true"/>
    <EC_Collab_Status xmlns="26cf95f1-1e01-4216-a7de-b184bc41adab">Not Started</EC_Collab_Status>
    <Status xmlns="836f0139-dc7f-44bb-bf92-9a2900cef8be">Open</Status>
    <_Flow_SignoffStatus xmlns="836f0139-dc7f-44bb-bf92-9a2900cef8be" xsi:nil="true"/>
  </documentManagement>
</p:properties>
</file>

<file path=customXml/itemProps1.xml><?xml version="1.0" encoding="utf-8"?>
<ds:datastoreItem xmlns:ds="http://schemas.openxmlformats.org/officeDocument/2006/customXml" ds:itemID="{7EB4B249-AB18-465F-9AB2-469B89F8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6cf95f1-1e01-4216-a7de-b184bc41adab"/>
    <ds:schemaRef ds:uri="836f0139-dc7f-44bb-bf92-9a2900cef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E9572-8602-4DF6-8914-FA780C530D7B}">
  <ds:schemaRefs>
    <ds:schemaRef ds:uri="http://schemas.microsoft.com/sharepoint/v3/contenttype/forms"/>
  </ds:schemaRefs>
</ds:datastoreItem>
</file>

<file path=customXml/itemProps3.xml><?xml version="1.0" encoding="utf-8"?>
<ds:datastoreItem xmlns:ds="http://schemas.openxmlformats.org/officeDocument/2006/customXml" ds:itemID="{97B739D4-6C71-4B7C-BD1E-182D1474739F}">
  <ds:schemaRefs>
    <ds:schemaRef ds:uri="26cf95f1-1e01-4216-a7de-b184bc41adab"/>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836f0139-dc7f-44bb-bf92-9a2900cef8be"/>
    <ds:schemaRef ds:uri="http://schemas.microsoft.com/sharepoint/v3/field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772</Words>
  <Characters>4847</Characters>
  <Application>Microsoft Office Word</Application>
  <DocSecurity>0</DocSecurity>
  <Lines>76</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4</cp:revision>
  <cp:lastPrinted>2013-02-28T12:02:00Z</cp:lastPrinted>
  <dcterms:created xsi:type="dcterms:W3CDTF">2026-01-12T10:28:00Z</dcterms:created>
  <dcterms:modified xsi:type="dcterms:W3CDTF">2026-01-12T10:32:00Z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0x0101005B43A245B8E45A489563E861A30E7A330054FBC4A77C88E649BF16D72563CE4984</vt:lpwstr>
  </property>
</Properties>
</file>