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B453E6" w:rsidRDefault="00077C4F" w:rsidP="00442552">
      <w:pPr>
        <w:rPr>
          <w:rFonts w:ascii="Times New Roman" w:hAnsi="Times New Roman"/>
          <w:b/>
          <w:sz w:val="2"/>
          <w:szCs w:val="2"/>
          <w:u w:val="single"/>
        </w:rPr>
      </w:pPr>
    </w:p>
    <w:tbl>
      <w:tblPr>
        <w:tblW w:w="989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98"/>
      </w:tblGrid>
      <w:tr w:rsidR="001C4138" w:rsidRPr="00442552" w14:paraId="7E6372DC" w14:textId="77777777" w:rsidTr="00224905">
        <w:trPr>
          <w:jc w:val="center"/>
        </w:trPr>
        <w:tc>
          <w:tcPr>
            <w:tcW w:w="9898" w:type="dxa"/>
          </w:tcPr>
          <w:p w14:paraId="3A4EDC3A" w14:textId="47874DCD" w:rsidR="001C4138" w:rsidRPr="004F6117" w:rsidRDefault="00246206" w:rsidP="00B453E6">
            <w:pPr>
              <w:widowControl w:val="0"/>
              <w:spacing w:before="120" w:after="120"/>
              <w:rPr>
                <w:rFonts w:ascii="Times New Roman" w:hAnsi="Times New Roman"/>
                <w:b/>
                <w:bCs/>
                <w:sz w:val="24"/>
                <w:szCs w:val="24"/>
              </w:rPr>
            </w:pPr>
            <w:r w:rsidRPr="729E9244">
              <w:rPr>
                <w:rFonts w:ascii="Times New Roman" w:hAnsi="Times New Roman"/>
                <w:b/>
                <w:bCs/>
                <w:sz w:val="24"/>
                <w:szCs w:val="24"/>
              </w:rPr>
              <w:t>Initiative for water resilience</w:t>
            </w:r>
            <w:r w:rsidR="005E13F0">
              <w:rPr>
                <w:rFonts w:ascii="Times New Roman" w:hAnsi="Times New Roman"/>
                <w:b/>
                <w:bCs/>
                <w:sz w:val="24"/>
                <w:szCs w:val="24"/>
              </w:rPr>
              <w:br/>
              <w:t>(optional opinion)</w:t>
            </w:r>
            <w:r w:rsidRPr="00972624">
              <w:rPr>
                <w:rFonts w:ascii="Times New Roman" w:hAnsi="Times New Roman"/>
                <w:b/>
                <w:sz w:val="24"/>
              </w:rPr>
              <w:br/>
            </w:r>
            <w:r w:rsidRPr="729E9244">
              <w:rPr>
                <w:rFonts w:ascii="Times New Roman" w:hAnsi="Times New Roman"/>
                <w:b/>
                <w:bCs/>
                <w:sz w:val="24"/>
                <w:szCs w:val="24"/>
                <w:lang w:val="en-IE"/>
              </w:rPr>
              <w:t>COM(2025) 280 final</w:t>
            </w:r>
            <w:r w:rsidRPr="00972624">
              <w:rPr>
                <w:rFonts w:ascii="Times New Roman" w:hAnsi="Times New Roman"/>
                <w:b/>
                <w:sz w:val="24"/>
                <w:lang w:val="en-IE"/>
              </w:rPr>
              <w:br/>
            </w:r>
            <w:r w:rsidR="00B453E6">
              <w:rPr>
                <w:rFonts w:ascii="Times New Roman" w:hAnsi="Times New Roman"/>
                <w:b/>
                <w:bCs/>
                <w:sz w:val="24"/>
                <w:szCs w:val="24"/>
                <w:lang w:val="en-IE"/>
              </w:rPr>
              <w:t>EESC-</w:t>
            </w:r>
            <w:r w:rsidRPr="729E9244">
              <w:rPr>
                <w:rFonts w:ascii="Times New Roman" w:hAnsi="Times New Roman"/>
                <w:b/>
                <w:bCs/>
                <w:sz w:val="24"/>
                <w:szCs w:val="24"/>
                <w:lang w:val="en-IE"/>
              </w:rPr>
              <w:t>2024</w:t>
            </w:r>
            <w:r w:rsidR="00B453E6">
              <w:rPr>
                <w:rFonts w:ascii="Times New Roman" w:hAnsi="Times New Roman"/>
                <w:b/>
                <w:bCs/>
                <w:sz w:val="24"/>
                <w:szCs w:val="24"/>
                <w:lang w:val="en-IE"/>
              </w:rPr>
              <w:t>-</w:t>
            </w:r>
            <w:r w:rsidRPr="729E9244">
              <w:rPr>
                <w:rFonts w:ascii="Times New Roman" w:hAnsi="Times New Roman"/>
                <w:b/>
                <w:bCs/>
                <w:sz w:val="24"/>
                <w:szCs w:val="24"/>
                <w:lang w:val="en-IE"/>
              </w:rPr>
              <w:t xml:space="preserve">00587 </w:t>
            </w:r>
            <w:r w:rsidR="001C4138" w:rsidRPr="729E9244">
              <w:rPr>
                <w:rFonts w:ascii="Times New Roman" w:hAnsi="Times New Roman"/>
                <w:b/>
                <w:bCs/>
                <w:sz w:val="24"/>
                <w:szCs w:val="24"/>
              </w:rPr>
              <w:t xml:space="preserve">‒ </w:t>
            </w:r>
            <w:r w:rsidRPr="729E9244">
              <w:rPr>
                <w:rFonts w:ascii="Times New Roman" w:hAnsi="Times New Roman"/>
                <w:b/>
                <w:bCs/>
                <w:sz w:val="24"/>
                <w:szCs w:val="24"/>
              </w:rPr>
              <w:t>CCMI/223</w:t>
            </w:r>
            <w:r w:rsidRPr="00972624">
              <w:rPr>
                <w:rFonts w:ascii="Times New Roman" w:hAnsi="Times New Roman"/>
                <w:b/>
                <w:sz w:val="24"/>
              </w:rPr>
              <w:br/>
            </w:r>
            <w:r w:rsidRPr="729E9244">
              <w:rPr>
                <w:rFonts w:ascii="Times New Roman" w:hAnsi="Times New Roman"/>
                <w:b/>
                <w:bCs/>
                <w:sz w:val="24"/>
                <w:szCs w:val="24"/>
              </w:rPr>
              <w:t>599</w:t>
            </w:r>
            <w:r w:rsidR="00537E9D">
              <w:rPr>
                <w:rFonts w:ascii="Times New Roman" w:hAnsi="Times New Roman"/>
                <w:b/>
                <w:bCs/>
                <w:sz w:val="24"/>
                <w:szCs w:val="24"/>
                <w:vertAlign w:val="superscript"/>
              </w:rPr>
              <w:t>th</w:t>
            </w:r>
            <w:r w:rsidRPr="729E9244">
              <w:rPr>
                <w:rFonts w:ascii="Times New Roman" w:hAnsi="Times New Roman"/>
                <w:b/>
                <w:bCs/>
                <w:sz w:val="24"/>
                <w:szCs w:val="24"/>
              </w:rPr>
              <w:t xml:space="preserve"> </w:t>
            </w:r>
            <w:r w:rsidR="001C4138" w:rsidRPr="729E9244">
              <w:rPr>
                <w:rFonts w:ascii="Times New Roman" w:hAnsi="Times New Roman"/>
                <w:b/>
                <w:bCs/>
                <w:sz w:val="24"/>
                <w:szCs w:val="24"/>
              </w:rPr>
              <w:t xml:space="preserve">Plenary Session – </w:t>
            </w:r>
            <w:r w:rsidRPr="729E9244">
              <w:rPr>
                <w:rFonts w:ascii="Times New Roman" w:hAnsi="Times New Roman"/>
                <w:b/>
                <w:bCs/>
                <w:sz w:val="24"/>
                <w:szCs w:val="24"/>
              </w:rPr>
              <w:t>September 2025</w:t>
            </w:r>
            <w:r w:rsidRPr="00972624">
              <w:rPr>
                <w:rFonts w:ascii="Times New Roman" w:hAnsi="Times New Roman"/>
                <w:b/>
                <w:sz w:val="24"/>
              </w:rPr>
              <w:br/>
            </w:r>
            <w:r w:rsidR="001C4138" w:rsidRPr="729E9244">
              <w:rPr>
                <w:rFonts w:ascii="Times New Roman" w:hAnsi="Times New Roman"/>
                <w:b/>
                <w:bCs/>
                <w:sz w:val="24"/>
                <w:szCs w:val="24"/>
              </w:rPr>
              <w:t xml:space="preserve">Rapporteur: </w:t>
            </w:r>
            <w:r w:rsidRPr="729E9244">
              <w:rPr>
                <w:rFonts w:ascii="Times New Roman" w:hAnsi="Times New Roman"/>
                <w:b/>
                <w:bCs/>
                <w:sz w:val="24"/>
                <w:szCs w:val="24"/>
              </w:rPr>
              <w:t xml:space="preserve">András EDELÉNYI </w:t>
            </w:r>
            <w:r w:rsidR="00224905" w:rsidRPr="000A2C48">
              <w:rPr>
                <w:rFonts w:ascii="Times New Roman" w:hAnsi="Times New Roman"/>
                <w:b/>
                <w:bCs/>
                <w:sz w:val="24"/>
                <w:szCs w:val="24"/>
              </w:rPr>
              <w:t>(HU-I)</w:t>
            </w:r>
            <w:r w:rsidR="00B453E6">
              <w:rPr>
                <w:rFonts w:ascii="Times New Roman" w:hAnsi="Times New Roman"/>
                <w:b/>
                <w:bCs/>
                <w:sz w:val="24"/>
                <w:szCs w:val="24"/>
              </w:rPr>
              <w:br/>
            </w:r>
            <w:r w:rsidR="00B453E6" w:rsidRPr="00220547">
              <w:rPr>
                <w:rFonts w:ascii="Times New Roman" w:hAnsi="Times New Roman"/>
                <w:b/>
                <w:bCs/>
                <w:sz w:val="24"/>
                <w:szCs w:val="24"/>
                <w:lang w:val="en-IE"/>
              </w:rPr>
              <w:t>Co-rapporteur: Guido NELISSEN (BE-II)</w:t>
            </w:r>
            <w:r w:rsidRPr="00972624">
              <w:rPr>
                <w:rFonts w:ascii="Times New Roman" w:hAnsi="Times New Roman"/>
                <w:b/>
                <w:sz w:val="24"/>
              </w:rPr>
              <w:br/>
            </w:r>
            <w:r w:rsidR="001C4138" w:rsidRPr="729E9244">
              <w:rPr>
                <w:rFonts w:ascii="Times New Roman" w:hAnsi="Times New Roman"/>
                <w:b/>
                <w:bCs/>
                <w:sz w:val="24"/>
                <w:szCs w:val="24"/>
              </w:rPr>
              <w:t xml:space="preserve">DG </w:t>
            </w:r>
            <w:r w:rsidRPr="729E9244">
              <w:rPr>
                <w:rFonts w:ascii="Times New Roman" w:hAnsi="Times New Roman"/>
                <w:b/>
                <w:bCs/>
                <w:sz w:val="24"/>
                <w:szCs w:val="24"/>
              </w:rPr>
              <w:t>ENV</w:t>
            </w:r>
            <w:r w:rsidR="00224905">
              <w:rPr>
                <w:rFonts w:ascii="Times New Roman" w:hAnsi="Times New Roman"/>
                <w:b/>
                <w:bCs/>
                <w:sz w:val="24"/>
                <w:szCs w:val="24"/>
              </w:rPr>
              <w:t xml:space="preserve"> </w:t>
            </w:r>
            <w:r w:rsidR="001C4138" w:rsidRPr="729E9244">
              <w:rPr>
                <w:rFonts w:ascii="Times New Roman" w:hAnsi="Times New Roman"/>
                <w:b/>
                <w:bCs/>
                <w:sz w:val="24"/>
                <w:szCs w:val="24"/>
              </w:rPr>
              <w:t xml:space="preserve">– Commissioner </w:t>
            </w:r>
            <w:r w:rsidR="00B453E6" w:rsidRPr="729E9244">
              <w:rPr>
                <w:rFonts w:ascii="Times New Roman" w:hAnsi="Times New Roman"/>
                <w:b/>
                <w:bCs/>
                <w:sz w:val="24"/>
                <w:szCs w:val="24"/>
              </w:rPr>
              <w:t>ROSWALL</w:t>
            </w:r>
          </w:p>
        </w:tc>
      </w:tr>
      <w:tr w:rsidR="00734613" w:rsidRPr="00442552" w14:paraId="1937071F" w14:textId="77777777" w:rsidTr="00224905">
        <w:trPr>
          <w:jc w:val="center"/>
        </w:trPr>
        <w:tc>
          <w:tcPr>
            <w:tcW w:w="9898" w:type="dxa"/>
          </w:tcPr>
          <w:p w14:paraId="1E50B4DB" w14:textId="26C3A5C7" w:rsidR="00734613" w:rsidRPr="00695797" w:rsidRDefault="004F6117" w:rsidP="00B453E6">
            <w:pPr>
              <w:widowControl w:val="0"/>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of the European Economic and Social Committee</w:t>
            </w:r>
            <w:r w:rsidR="00B453E6">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654015" w:rsidRPr="004F6117" w14:paraId="673DDC1B" w14:textId="77777777" w:rsidTr="00224905">
        <w:trPr>
          <w:jc w:val="center"/>
        </w:trPr>
        <w:tc>
          <w:tcPr>
            <w:tcW w:w="9898" w:type="dxa"/>
          </w:tcPr>
          <w:p w14:paraId="43D5811E" w14:textId="662FF1E9" w:rsidR="00654015" w:rsidRPr="00224905" w:rsidRDefault="6113E3B1" w:rsidP="00D86C39">
            <w:pPr>
              <w:widowControl w:val="0"/>
              <w:spacing w:before="120" w:after="120"/>
              <w:jc w:val="both"/>
              <w:rPr>
                <w:rFonts w:ascii="Times New Roman" w:hAnsi="Times New Roman"/>
                <w:sz w:val="24"/>
                <w:szCs w:val="24"/>
              </w:rPr>
            </w:pPr>
            <w:r w:rsidRPr="00224905">
              <w:rPr>
                <w:rFonts w:ascii="Times New Roman" w:hAnsi="Times New Roman"/>
                <w:sz w:val="24"/>
                <w:szCs w:val="24"/>
              </w:rPr>
              <w:t xml:space="preserve">The Commission takes note of the </w:t>
            </w:r>
            <w:r w:rsidR="00B453E6" w:rsidRPr="00224905">
              <w:rPr>
                <w:rFonts w:ascii="Times New Roman" w:hAnsi="Times New Roman"/>
                <w:sz w:val="24"/>
                <w:szCs w:val="24"/>
              </w:rPr>
              <w:t>Committee’s</w:t>
            </w:r>
            <w:r w:rsidRPr="00224905">
              <w:rPr>
                <w:rFonts w:ascii="Times New Roman" w:hAnsi="Times New Roman"/>
                <w:sz w:val="24"/>
                <w:szCs w:val="24"/>
              </w:rPr>
              <w:t xml:space="preserve"> </w:t>
            </w:r>
            <w:r w:rsidR="005E13F0" w:rsidRPr="00224905">
              <w:rPr>
                <w:rFonts w:ascii="Times New Roman" w:hAnsi="Times New Roman"/>
                <w:sz w:val="24"/>
                <w:szCs w:val="24"/>
              </w:rPr>
              <w:t>o</w:t>
            </w:r>
            <w:r w:rsidRPr="00224905">
              <w:rPr>
                <w:rFonts w:ascii="Times New Roman" w:hAnsi="Times New Roman"/>
                <w:sz w:val="24"/>
                <w:szCs w:val="24"/>
              </w:rPr>
              <w:t>pinion in reaction to the European Water Resilience Strategy</w:t>
            </w:r>
            <w:r w:rsidR="00E15ABF" w:rsidRPr="00224905">
              <w:rPr>
                <w:rStyle w:val="FootnoteReference"/>
                <w:rFonts w:ascii="Times New Roman" w:hAnsi="Times New Roman"/>
                <w:sz w:val="24"/>
                <w:szCs w:val="24"/>
              </w:rPr>
              <w:footnoteReference w:id="2"/>
            </w:r>
            <w:r w:rsidRPr="00224905">
              <w:rPr>
                <w:rFonts w:ascii="Times New Roman" w:hAnsi="Times New Roman"/>
                <w:sz w:val="24"/>
                <w:szCs w:val="24"/>
              </w:rPr>
              <w:t xml:space="preserve"> of June 202</w:t>
            </w:r>
            <w:r w:rsidR="3F5C2CB6" w:rsidRPr="00224905">
              <w:rPr>
                <w:rFonts w:ascii="Times New Roman" w:hAnsi="Times New Roman"/>
                <w:sz w:val="24"/>
                <w:szCs w:val="24"/>
              </w:rPr>
              <w:t>5</w:t>
            </w:r>
            <w:r w:rsidRPr="00224905">
              <w:rPr>
                <w:rFonts w:ascii="Times New Roman" w:hAnsi="Times New Roman"/>
                <w:sz w:val="24"/>
                <w:szCs w:val="24"/>
              </w:rPr>
              <w:t xml:space="preserve"> and welcomes that the </w:t>
            </w:r>
            <w:r w:rsidR="00654015" w:rsidRPr="00224905">
              <w:rPr>
                <w:rFonts w:ascii="Times New Roman" w:hAnsi="Times New Roman"/>
                <w:sz w:val="24"/>
                <w:szCs w:val="24"/>
              </w:rPr>
              <w:t>EESC</w:t>
            </w:r>
            <w:r w:rsidRPr="00224905">
              <w:rPr>
                <w:rFonts w:ascii="Times New Roman" w:hAnsi="Times New Roman"/>
                <w:sz w:val="24"/>
                <w:szCs w:val="24"/>
              </w:rPr>
              <w:t xml:space="preserve"> endorses the broad lines of the Strategy and acknowledges that the Strategy propo</w:t>
            </w:r>
            <w:r w:rsidR="7B14A3F9" w:rsidRPr="00224905">
              <w:rPr>
                <w:rFonts w:ascii="Times New Roman" w:hAnsi="Times New Roman"/>
                <w:sz w:val="24"/>
                <w:szCs w:val="24"/>
              </w:rPr>
              <w:t>s</w:t>
            </w:r>
            <w:r w:rsidRPr="00224905">
              <w:rPr>
                <w:rFonts w:ascii="Times New Roman" w:hAnsi="Times New Roman"/>
                <w:sz w:val="24"/>
                <w:szCs w:val="24"/>
              </w:rPr>
              <w:t>es policy responses to most of the different opinions the EESC has published on the topic of water</w:t>
            </w:r>
            <w:r w:rsidR="001E5A2C" w:rsidRPr="00224905">
              <w:rPr>
                <w:rFonts w:ascii="Times New Roman" w:hAnsi="Times New Roman"/>
                <w:sz w:val="24"/>
                <w:szCs w:val="24"/>
              </w:rPr>
              <w:t xml:space="preserve"> so far</w:t>
            </w:r>
            <w:r w:rsidRPr="00224905">
              <w:rPr>
                <w:rFonts w:ascii="Times New Roman" w:hAnsi="Times New Roman"/>
                <w:sz w:val="24"/>
                <w:szCs w:val="24"/>
              </w:rPr>
              <w:t>.</w:t>
            </w:r>
          </w:p>
          <w:p w14:paraId="70C73A28" w14:textId="102D79F8" w:rsidR="00654015" w:rsidRPr="00224905" w:rsidRDefault="00654015" w:rsidP="00D86C39">
            <w:pPr>
              <w:pStyle w:val="Heading2"/>
              <w:widowControl w:val="0"/>
              <w:numPr>
                <w:ilvl w:val="0"/>
                <w:numId w:val="0"/>
              </w:numPr>
              <w:spacing w:before="120" w:after="120" w:line="276" w:lineRule="auto"/>
              <w:rPr>
                <w:sz w:val="24"/>
                <w:szCs w:val="24"/>
                <w:lang w:val="en-GB"/>
              </w:rPr>
            </w:pPr>
            <w:r w:rsidRPr="00224905">
              <w:rPr>
                <w:b/>
                <w:bCs/>
                <w:sz w:val="24"/>
                <w:szCs w:val="24"/>
              </w:rPr>
              <w:t>Source</w:t>
            </w:r>
            <w:r w:rsidR="007908B3" w:rsidRPr="00224905">
              <w:rPr>
                <w:b/>
                <w:bCs/>
                <w:sz w:val="24"/>
                <w:szCs w:val="24"/>
              </w:rPr>
              <w:t>-</w:t>
            </w:r>
            <w:r w:rsidRPr="00224905">
              <w:rPr>
                <w:b/>
                <w:bCs/>
                <w:sz w:val="24"/>
                <w:szCs w:val="24"/>
              </w:rPr>
              <w:t>to</w:t>
            </w:r>
            <w:r w:rsidR="007908B3" w:rsidRPr="00224905">
              <w:rPr>
                <w:b/>
                <w:bCs/>
                <w:sz w:val="24"/>
                <w:szCs w:val="24"/>
              </w:rPr>
              <w:t>-</w:t>
            </w:r>
            <w:proofErr w:type="spellStart"/>
            <w:r w:rsidR="007908B3" w:rsidRPr="00224905">
              <w:rPr>
                <w:b/>
                <w:bCs/>
                <w:sz w:val="24"/>
                <w:szCs w:val="24"/>
              </w:rPr>
              <w:t>s</w:t>
            </w:r>
            <w:r w:rsidRPr="00224905">
              <w:rPr>
                <w:b/>
                <w:bCs/>
                <w:sz w:val="24"/>
                <w:szCs w:val="24"/>
              </w:rPr>
              <w:t>ea</w:t>
            </w:r>
            <w:proofErr w:type="spellEnd"/>
            <w:r w:rsidRPr="00224905">
              <w:rPr>
                <w:b/>
                <w:bCs/>
                <w:sz w:val="24"/>
                <w:szCs w:val="24"/>
              </w:rPr>
              <w:t xml:space="preserve"> </w:t>
            </w:r>
            <w:r w:rsidR="007908B3" w:rsidRPr="00224905">
              <w:rPr>
                <w:b/>
                <w:bCs/>
                <w:sz w:val="24"/>
                <w:szCs w:val="24"/>
              </w:rPr>
              <w:t>a</w:t>
            </w:r>
            <w:r w:rsidRPr="00224905">
              <w:rPr>
                <w:b/>
                <w:bCs/>
                <w:sz w:val="24"/>
                <w:szCs w:val="24"/>
              </w:rPr>
              <w:t>pproach</w:t>
            </w:r>
            <w:r w:rsidRPr="00224905">
              <w:rPr>
                <w:sz w:val="24"/>
                <w:szCs w:val="24"/>
              </w:rPr>
              <w:t xml:space="preserve">: The Commission welcomes </w:t>
            </w:r>
            <w:r w:rsidRPr="00224905">
              <w:rPr>
                <w:sz w:val="24"/>
                <w:szCs w:val="24"/>
                <w:lang w:val="en-GB"/>
              </w:rPr>
              <w:t>the EESC</w:t>
            </w:r>
            <w:r w:rsidR="00FF57E5" w:rsidRPr="00224905">
              <w:rPr>
                <w:sz w:val="24"/>
                <w:szCs w:val="24"/>
                <w:lang w:val="en-GB"/>
              </w:rPr>
              <w:t>’s</w:t>
            </w:r>
            <w:r w:rsidRPr="00224905">
              <w:rPr>
                <w:sz w:val="24"/>
                <w:szCs w:val="24"/>
                <w:lang w:val="en-GB"/>
              </w:rPr>
              <w:t xml:space="preserve"> endorsement of a </w:t>
            </w:r>
            <w:r w:rsidRPr="00224905">
              <w:rPr>
                <w:b/>
                <w:bCs/>
                <w:sz w:val="24"/>
                <w:szCs w:val="24"/>
                <w:lang w:val="en-GB"/>
              </w:rPr>
              <w:t>‘source-to-sea’</w:t>
            </w:r>
            <w:r w:rsidRPr="00224905">
              <w:rPr>
                <w:sz w:val="24"/>
                <w:szCs w:val="24"/>
                <w:lang w:val="en-GB"/>
              </w:rPr>
              <w:t xml:space="preserve"> approach and </w:t>
            </w:r>
            <w:r w:rsidR="00421E27" w:rsidRPr="00224905">
              <w:rPr>
                <w:sz w:val="24"/>
                <w:szCs w:val="24"/>
                <w:lang w:val="en-GB"/>
              </w:rPr>
              <w:t xml:space="preserve">the </w:t>
            </w:r>
            <w:r w:rsidRPr="00224905">
              <w:rPr>
                <w:sz w:val="24"/>
                <w:szCs w:val="24"/>
                <w:lang w:val="en-GB"/>
              </w:rPr>
              <w:t>EESC</w:t>
            </w:r>
            <w:r w:rsidR="00FF57E5" w:rsidRPr="00224905">
              <w:rPr>
                <w:sz w:val="24"/>
                <w:szCs w:val="24"/>
                <w:lang w:val="en-GB"/>
              </w:rPr>
              <w:t>’s</w:t>
            </w:r>
            <w:r w:rsidRPr="00224905">
              <w:rPr>
                <w:sz w:val="24"/>
                <w:szCs w:val="24"/>
                <w:lang w:val="en-GB"/>
              </w:rPr>
              <w:t xml:space="preserve"> support for the Ocean Pact</w:t>
            </w:r>
            <w:r w:rsidR="00E15ABF" w:rsidRPr="00224905">
              <w:rPr>
                <w:rStyle w:val="FootnoteReference"/>
                <w:sz w:val="24"/>
                <w:szCs w:val="24"/>
                <w:lang w:val="en-GB"/>
              </w:rPr>
              <w:footnoteReference w:id="3"/>
            </w:r>
            <w:r w:rsidRPr="00224905">
              <w:rPr>
                <w:sz w:val="24"/>
                <w:szCs w:val="24"/>
                <w:lang w:val="en-GB"/>
              </w:rPr>
              <w:t xml:space="preserve"> and </w:t>
            </w:r>
            <w:r w:rsidRPr="00224905">
              <w:rPr>
                <w:b/>
                <w:sz w:val="24"/>
                <w:szCs w:val="24"/>
                <w:lang w:val="en-GB"/>
              </w:rPr>
              <w:t>nature-based</w:t>
            </w:r>
            <w:r w:rsidRPr="00224905">
              <w:rPr>
                <w:sz w:val="24"/>
                <w:szCs w:val="24"/>
                <w:lang w:val="en-GB"/>
              </w:rPr>
              <w:t xml:space="preserve"> solutions.</w:t>
            </w:r>
          </w:p>
          <w:p w14:paraId="260EFDB4" w14:textId="58606FD4" w:rsidR="00654015" w:rsidRPr="00224905" w:rsidRDefault="00E15ABF" w:rsidP="00D86C39">
            <w:pPr>
              <w:pStyle w:val="Heading2"/>
              <w:widowControl w:val="0"/>
              <w:numPr>
                <w:ilvl w:val="0"/>
                <w:numId w:val="0"/>
              </w:numPr>
              <w:spacing w:before="120" w:after="120" w:line="276" w:lineRule="auto"/>
              <w:rPr>
                <w:sz w:val="24"/>
                <w:szCs w:val="24"/>
                <w:lang w:val="en-GB"/>
              </w:rPr>
            </w:pPr>
            <w:r w:rsidRPr="00224905">
              <w:rPr>
                <w:b/>
                <w:bCs/>
                <w:sz w:val="24"/>
                <w:szCs w:val="24"/>
                <w:lang w:val="en-GB"/>
              </w:rPr>
              <w:t>Per- and polyfluoroalkyl substances (</w:t>
            </w:r>
            <w:r w:rsidR="00654015" w:rsidRPr="00224905">
              <w:rPr>
                <w:b/>
                <w:bCs/>
                <w:sz w:val="24"/>
                <w:szCs w:val="24"/>
                <w:lang w:val="en-GB"/>
              </w:rPr>
              <w:t>PFAS</w:t>
            </w:r>
            <w:r w:rsidRPr="00224905">
              <w:rPr>
                <w:b/>
                <w:bCs/>
                <w:sz w:val="24"/>
                <w:szCs w:val="24"/>
                <w:lang w:val="en-GB"/>
              </w:rPr>
              <w:t>)</w:t>
            </w:r>
            <w:r w:rsidR="00654015" w:rsidRPr="00224905">
              <w:rPr>
                <w:sz w:val="24"/>
                <w:szCs w:val="24"/>
                <w:lang w:val="en-GB"/>
              </w:rPr>
              <w:t>: The Commission takes note of the call by the EESC</w:t>
            </w:r>
            <w:r w:rsidR="00654015" w:rsidRPr="00224905">
              <w:rPr>
                <w:b/>
                <w:bCs/>
                <w:sz w:val="24"/>
                <w:szCs w:val="24"/>
                <w:lang w:val="en-GB"/>
              </w:rPr>
              <w:t xml:space="preserve"> for an</w:t>
            </w:r>
            <w:r w:rsidR="00D86C39" w:rsidRPr="00224905">
              <w:rPr>
                <w:b/>
                <w:bCs/>
                <w:sz w:val="24"/>
                <w:szCs w:val="24"/>
                <w:lang w:val="en-GB"/>
              </w:rPr>
              <w:t> </w:t>
            </w:r>
            <w:r w:rsidR="00654015" w:rsidRPr="00224905">
              <w:rPr>
                <w:b/>
                <w:bCs/>
                <w:sz w:val="24"/>
                <w:szCs w:val="24"/>
                <w:lang w:val="en-GB"/>
              </w:rPr>
              <w:t xml:space="preserve">integrated approach to </w:t>
            </w:r>
            <w:r w:rsidR="00654015" w:rsidRPr="00224905">
              <w:rPr>
                <w:b/>
                <w:sz w:val="24"/>
                <w:szCs w:val="24"/>
                <w:lang w:val="en-GB"/>
              </w:rPr>
              <w:t>persistent substances</w:t>
            </w:r>
            <w:r w:rsidR="00654015" w:rsidRPr="00224905">
              <w:rPr>
                <w:sz w:val="24"/>
                <w:szCs w:val="24"/>
                <w:lang w:val="en-GB"/>
              </w:rPr>
              <w:t xml:space="preserve"> like </w:t>
            </w:r>
            <w:r w:rsidR="00654015" w:rsidRPr="00224905">
              <w:rPr>
                <w:b/>
                <w:sz w:val="24"/>
                <w:szCs w:val="24"/>
                <w:lang w:val="en-GB"/>
              </w:rPr>
              <w:t>PFAS</w:t>
            </w:r>
            <w:r w:rsidR="00654015" w:rsidRPr="00224905">
              <w:rPr>
                <w:sz w:val="24"/>
                <w:szCs w:val="24"/>
                <w:lang w:val="en-GB"/>
              </w:rPr>
              <w:t xml:space="preserve"> (bans, removal, alternatives, research). This is consistent with the approach outlined by the Commission in the recent European Chemicals Industry Action Plan</w:t>
            </w:r>
            <w:r w:rsidRPr="00224905">
              <w:rPr>
                <w:rStyle w:val="FootnoteReference"/>
                <w:sz w:val="24"/>
                <w:szCs w:val="24"/>
                <w:lang w:val="en-GB"/>
              </w:rPr>
              <w:footnoteReference w:id="4"/>
            </w:r>
            <w:r w:rsidR="00654015" w:rsidRPr="00224905">
              <w:rPr>
                <w:sz w:val="24"/>
                <w:szCs w:val="24"/>
                <w:lang w:val="en-GB"/>
              </w:rPr>
              <w:t>.</w:t>
            </w:r>
          </w:p>
          <w:p w14:paraId="2827AEE5" w14:textId="6245BEFE" w:rsidR="00654015" w:rsidRPr="00224905" w:rsidRDefault="00654015" w:rsidP="00D86C39">
            <w:pPr>
              <w:widowControl w:val="0"/>
              <w:spacing w:before="120" w:after="120"/>
              <w:jc w:val="both"/>
              <w:rPr>
                <w:rFonts w:ascii="Times New Roman" w:hAnsi="Times New Roman"/>
                <w:sz w:val="24"/>
                <w:szCs w:val="24"/>
              </w:rPr>
            </w:pPr>
            <w:r w:rsidRPr="00224905">
              <w:rPr>
                <w:rFonts w:ascii="Times New Roman" w:hAnsi="Times New Roman"/>
                <w:b/>
                <w:bCs/>
                <w:sz w:val="24"/>
                <w:szCs w:val="24"/>
              </w:rPr>
              <w:t>On the role of strengthening public governance for the successful implementation of the Strategy</w:t>
            </w:r>
            <w:r w:rsidRPr="00224905">
              <w:rPr>
                <w:rFonts w:ascii="Times New Roman" w:hAnsi="Times New Roman"/>
                <w:sz w:val="24"/>
                <w:szCs w:val="24"/>
              </w:rPr>
              <w:t xml:space="preserve">: The Commission agrees with </w:t>
            </w:r>
            <w:r w:rsidR="0069777D" w:rsidRPr="00224905">
              <w:rPr>
                <w:rFonts w:ascii="Times New Roman" w:hAnsi="Times New Roman"/>
                <w:sz w:val="24"/>
                <w:szCs w:val="24"/>
              </w:rPr>
              <w:t xml:space="preserve">the </w:t>
            </w:r>
            <w:r w:rsidRPr="00224905">
              <w:rPr>
                <w:rFonts w:ascii="Times New Roman" w:hAnsi="Times New Roman"/>
                <w:sz w:val="24"/>
                <w:szCs w:val="24"/>
              </w:rPr>
              <w:t xml:space="preserve">EESC on the importance of strengthening water governance, including by ensuring more effective implementation and enforcement of the existing EU legislation, strengthening data management and monitoring of water resources, including through digitalisation, mainstreaming in all policy domains, and ensuring adequate financial resources. </w:t>
            </w:r>
            <w:r w:rsidR="00C92F0D" w:rsidRPr="00224905">
              <w:rPr>
                <w:rFonts w:ascii="Times New Roman" w:hAnsi="Times New Roman"/>
                <w:sz w:val="24"/>
                <w:szCs w:val="24"/>
              </w:rPr>
              <w:t xml:space="preserve">To this end </w:t>
            </w:r>
            <w:r w:rsidR="00D43581" w:rsidRPr="00224905">
              <w:rPr>
                <w:rFonts w:ascii="Times New Roman" w:hAnsi="Times New Roman"/>
                <w:sz w:val="24"/>
                <w:szCs w:val="24"/>
              </w:rPr>
              <w:t>t</w:t>
            </w:r>
            <w:r w:rsidR="00647898" w:rsidRPr="00224905">
              <w:rPr>
                <w:rFonts w:ascii="Times New Roman" w:hAnsi="Times New Roman"/>
                <w:sz w:val="24"/>
                <w:szCs w:val="24"/>
              </w:rPr>
              <w:t xml:space="preserve">he Commission will launch with each Member State </w:t>
            </w:r>
            <w:r w:rsidR="00D43581" w:rsidRPr="00224905">
              <w:rPr>
                <w:rFonts w:ascii="Times New Roman" w:hAnsi="Times New Roman"/>
                <w:sz w:val="24"/>
                <w:szCs w:val="24"/>
              </w:rPr>
              <w:t>S</w:t>
            </w:r>
            <w:r w:rsidR="00194141" w:rsidRPr="00224905">
              <w:rPr>
                <w:rFonts w:ascii="Times New Roman" w:hAnsi="Times New Roman"/>
                <w:sz w:val="24"/>
                <w:szCs w:val="24"/>
              </w:rPr>
              <w:t xml:space="preserve">tructured </w:t>
            </w:r>
            <w:r w:rsidR="00D43581" w:rsidRPr="00224905">
              <w:rPr>
                <w:rFonts w:ascii="Times New Roman" w:hAnsi="Times New Roman"/>
                <w:sz w:val="24"/>
                <w:szCs w:val="24"/>
              </w:rPr>
              <w:t>D</w:t>
            </w:r>
            <w:r w:rsidR="00194141" w:rsidRPr="00224905">
              <w:rPr>
                <w:rFonts w:ascii="Times New Roman" w:hAnsi="Times New Roman"/>
                <w:sz w:val="24"/>
                <w:szCs w:val="24"/>
              </w:rPr>
              <w:t>ialogue</w:t>
            </w:r>
            <w:r w:rsidR="00D43581" w:rsidRPr="00224905">
              <w:rPr>
                <w:rFonts w:ascii="Times New Roman" w:hAnsi="Times New Roman"/>
                <w:sz w:val="24"/>
                <w:szCs w:val="24"/>
              </w:rPr>
              <w:t>s</w:t>
            </w:r>
            <w:r w:rsidR="00E027D0" w:rsidRPr="00224905">
              <w:rPr>
                <w:rFonts w:ascii="Times New Roman" w:hAnsi="Times New Roman"/>
                <w:sz w:val="24"/>
                <w:szCs w:val="24"/>
              </w:rPr>
              <w:t xml:space="preserve"> aiming to accelerate an</w:t>
            </w:r>
            <w:r w:rsidR="004A32B4" w:rsidRPr="00224905">
              <w:rPr>
                <w:rFonts w:ascii="Times New Roman" w:hAnsi="Times New Roman"/>
                <w:sz w:val="24"/>
                <w:szCs w:val="24"/>
              </w:rPr>
              <w:t>d</w:t>
            </w:r>
            <w:r w:rsidR="00E027D0" w:rsidRPr="00224905">
              <w:rPr>
                <w:rFonts w:ascii="Times New Roman" w:hAnsi="Times New Roman"/>
                <w:sz w:val="24"/>
                <w:szCs w:val="24"/>
              </w:rPr>
              <w:t xml:space="preserve"> scale up </w:t>
            </w:r>
            <w:r w:rsidR="004A32B4" w:rsidRPr="00224905">
              <w:rPr>
                <w:rFonts w:ascii="Times New Roman" w:hAnsi="Times New Roman"/>
                <w:sz w:val="24"/>
                <w:szCs w:val="24"/>
              </w:rPr>
              <w:t>implementation</w:t>
            </w:r>
            <w:r w:rsidR="00E027D0" w:rsidRPr="00224905">
              <w:rPr>
                <w:rFonts w:ascii="Times New Roman" w:hAnsi="Times New Roman"/>
                <w:sz w:val="24"/>
                <w:szCs w:val="24"/>
              </w:rPr>
              <w:t xml:space="preserve"> of the EU water </w:t>
            </w:r>
            <w:proofErr w:type="spellStart"/>
            <w:r w:rsidR="00E027D0" w:rsidRPr="00224905">
              <w:rPr>
                <w:rFonts w:ascii="Times New Roman" w:hAnsi="Times New Roman"/>
                <w:i/>
                <w:iCs/>
                <w:sz w:val="24"/>
                <w:szCs w:val="24"/>
              </w:rPr>
              <w:t>aquis</w:t>
            </w:r>
            <w:proofErr w:type="spellEnd"/>
            <w:r w:rsidR="005403E5" w:rsidRPr="00224905">
              <w:rPr>
                <w:rFonts w:ascii="Times New Roman" w:hAnsi="Times New Roman"/>
                <w:sz w:val="24"/>
                <w:szCs w:val="24"/>
              </w:rPr>
              <w:t xml:space="preserve">. </w:t>
            </w:r>
            <w:r w:rsidRPr="00224905">
              <w:rPr>
                <w:rFonts w:ascii="Times New Roman" w:hAnsi="Times New Roman"/>
                <w:sz w:val="24"/>
                <w:szCs w:val="24"/>
              </w:rPr>
              <w:t xml:space="preserve">The Commission takes note of the EESC’ views on integrating water in the next </w:t>
            </w:r>
            <w:r w:rsidR="00224905">
              <w:rPr>
                <w:rFonts w:ascii="Times New Roman" w:hAnsi="Times New Roman"/>
                <w:sz w:val="24"/>
                <w:szCs w:val="24"/>
              </w:rPr>
              <w:t>m</w:t>
            </w:r>
            <w:r w:rsidR="00B4098C" w:rsidRPr="00224905">
              <w:rPr>
                <w:rFonts w:ascii="Times New Roman" w:hAnsi="Times New Roman"/>
                <w:sz w:val="24"/>
                <w:szCs w:val="24"/>
              </w:rPr>
              <w:t xml:space="preserve">ultiannual </w:t>
            </w:r>
            <w:r w:rsidR="00224905">
              <w:rPr>
                <w:rFonts w:ascii="Times New Roman" w:hAnsi="Times New Roman"/>
                <w:sz w:val="24"/>
                <w:szCs w:val="24"/>
              </w:rPr>
              <w:t>f</w:t>
            </w:r>
            <w:r w:rsidR="00B4098C" w:rsidRPr="00224905">
              <w:rPr>
                <w:rFonts w:ascii="Times New Roman" w:hAnsi="Times New Roman"/>
                <w:sz w:val="24"/>
                <w:szCs w:val="24"/>
              </w:rPr>
              <w:t xml:space="preserve">inancial </w:t>
            </w:r>
            <w:r w:rsidR="00224905">
              <w:rPr>
                <w:rFonts w:ascii="Times New Roman" w:hAnsi="Times New Roman"/>
                <w:sz w:val="24"/>
                <w:szCs w:val="24"/>
              </w:rPr>
              <w:t>f</w:t>
            </w:r>
            <w:r w:rsidR="00B4098C" w:rsidRPr="00224905">
              <w:rPr>
                <w:rFonts w:ascii="Times New Roman" w:hAnsi="Times New Roman"/>
                <w:sz w:val="24"/>
                <w:szCs w:val="24"/>
              </w:rPr>
              <w:t>ramework</w:t>
            </w:r>
            <w:r w:rsidR="00224905">
              <w:rPr>
                <w:rFonts w:ascii="Times New Roman" w:hAnsi="Times New Roman"/>
                <w:sz w:val="24"/>
                <w:szCs w:val="24"/>
              </w:rPr>
              <w:t> </w:t>
            </w:r>
            <w:r w:rsidR="00B4098C" w:rsidRPr="00224905">
              <w:rPr>
                <w:rFonts w:ascii="Times New Roman" w:hAnsi="Times New Roman"/>
                <w:sz w:val="24"/>
                <w:szCs w:val="24"/>
              </w:rPr>
              <w:t>(</w:t>
            </w:r>
            <w:r w:rsidRPr="00224905">
              <w:rPr>
                <w:rFonts w:ascii="Times New Roman" w:hAnsi="Times New Roman"/>
                <w:sz w:val="24"/>
                <w:szCs w:val="24"/>
              </w:rPr>
              <w:t>MFF</w:t>
            </w:r>
            <w:r w:rsidR="00B4098C" w:rsidRPr="00224905">
              <w:rPr>
                <w:rFonts w:ascii="Times New Roman" w:hAnsi="Times New Roman"/>
                <w:sz w:val="24"/>
                <w:szCs w:val="24"/>
              </w:rPr>
              <w:t>)</w:t>
            </w:r>
            <w:r w:rsidRPr="00224905">
              <w:rPr>
                <w:rFonts w:ascii="Times New Roman" w:hAnsi="Times New Roman"/>
                <w:sz w:val="24"/>
                <w:szCs w:val="24"/>
              </w:rPr>
              <w:t>.</w:t>
            </w:r>
          </w:p>
          <w:p w14:paraId="1D0E45AA" w14:textId="7A38400D" w:rsidR="00654015" w:rsidRPr="00224905" w:rsidRDefault="00654015" w:rsidP="00D86C39">
            <w:pPr>
              <w:pStyle w:val="Heading2"/>
              <w:widowControl w:val="0"/>
              <w:numPr>
                <w:ilvl w:val="0"/>
                <w:numId w:val="0"/>
              </w:numPr>
              <w:spacing w:before="120" w:after="120" w:line="276" w:lineRule="auto"/>
              <w:rPr>
                <w:sz w:val="24"/>
                <w:szCs w:val="24"/>
                <w:lang w:val="en-GB"/>
              </w:rPr>
            </w:pPr>
            <w:r w:rsidRPr="00224905">
              <w:rPr>
                <w:b/>
                <w:sz w:val="24"/>
                <w:szCs w:val="24"/>
              </w:rPr>
              <w:t xml:space="preserve">Water Efficiency and water reuse: </w:t>
            </w:r>
            <w:r w:rsidRPr="00224905">
              <w:rPr>
                <w:sz w:val="24"/>
                <w:szCs w:val="24"/>
                <w:lang w:val="en-GB"/>
              </w:rPr>
              <w:t>The Commission welcomes</w:t>
            </w:r>
            <w:r w:rsidR="00D472B6" w:rsidRPr="00224905">
              <w:rPr>
                <w:sz w:val="24"/>
                <w:szCs w:val="24"/>
                <w:lang w:val="en-GB"/>
              </w:rPr>
              <w:t xml:space="preserve"> the</w:t>
            </w:r>
            <w:r w:rsidRPr="00224905">
              <w:rPr>
                <w:sz w:val="24"/>
                <w:szCs w:val="24"/>
                <w:lang w:val="en-GB"/>
              </w:rPr>
              <w:t xml:space="preserve"> EESC’ support for the aspirational </w:t>
            </w:r>
            <w:r w:rsidRPr="00224905">
              <w:rPr>
                <w:bCs/>
                <w:sz w:val="24"/>
                <w:szCs w:val="24"/>
                <w:lang w:val="en-GB"/>
              </w:rPr>
              <w:t>target</w:t>
            </w:r>
            <w:r w:rsidRPr="00224905">
              <w:rPr>
                <w:sz w:val="24"/>
                <w:szCs w:val="24"/>
                <w:lang w:val="en-GB"/>
              </w:rPr>
              <w:t xml:space="preserve"> of a 10% increase in water </w:t>
            </w:r>
            <w:r w:rsidRPr="00224905">
              <w:rPr>
                <w:bCs/>
                <w:sz w:val="24"/>
                <w:szCs w:val="24"/>
                <w:lang w:val="en-GB"/>
              </w:rPr>
              <w:t>efficiency</w:t>
            </w:r>
            <w:r w:rsidRPr="00224905">
              <w:rPr>
                <w:sz w:val="24"/>
                <w:szCs w:val="24"/>
                <w:lang w:val="en-GB"/>
              </w:rPr>
              <w:t>, and highlights that the Commission issued a Recommendation to Member States on Water Efficiency</w:t>
            </w:r>
            <w:r w:rsidR="00B4098C" w:rsidRPr="00224905">
              <w:rPr>
                <w:sz w:val="24"/>
                <w:szCs w:val="24"/>
                <w:lang w:val="en-GB"/>
              </w:rPr>
              <w:t xml:space="preserve"> </w:t>
            </w:r>
            <w:r w:rsidRPr="00224905">
              <w:rPr>
                <w:sz w:val="24"/>
                <w:szCs w:val="24"/>
                <w:lang w:val="en-GB"/>
              </w:rPr>
              <w:t>First: Guiding Principles</w:t>
            </w:r>
            <w:r w:rsidR="00B4098C" w:rsidRPr="00224905">
              <w:rPr>
                <w:rStyle w:val="FootnoteReference"/>
                <w:sz w:val="24"/>
                <w:szCs w:val="24"/>
                <w:lang w:val="en-GB"/>
              </w:rPr>
              <w:footnoteReference w:id="5"/>
            </w:r>
            <w:r w:rsidRPr="00224905">
              <w:rPr>
                <w:sz w:val="24"/>
                <w:szCs w:val="24"/>
                <w:lang w:val="en-GB"/>
              </w:rPr>
              <w:t xml:space="preserve"> to ensure progress towards achieving this target. The Strategy encourages Member States to set their own water efficiency targets at the most appropriate level and foresees the development by the </w:t>
            </w:r>
            <w:r w:rsidRPr="00224905">
              <w:rPr>
                <w:sz w:val="24"/>
                <w:szCs w:val="24"/>
                <w:lang w:val="en-GB"/>
              </w:rPr>
              <w:lastRenderedPageBreak/>
              <w:t>Commission, in cooperation with</w:t>
            </w:r>
            <w:r w:rsidR="00D472B6" w:rsidRPr="00224905">
              <w:rPr>
                <w:sz w:val="24"/>
                <w:szCs w:val="24"/>
                <w:lang w:val="en-GB"/>
              </w:rPr>
              <w:t xml:space="preserve"> the</w:t>
            </w:r>
            <w:r w:rsidRPr="00224905">
              <w:rPr>
                <w:sz w:val="24"/>
                <w:szCs w:val="24"/>
                <w:lang w:val="en-GB"/>
              </w:rPr>
              <w:t xml:space="preserve"> Member States, of a joint methodology for setting water efficiency targets. The Commission also welcomes the EESC support for circularity and enhanced water reuse.</w:t>
            </w:r>
          </w:p>
          <w:p w14:paraId="683FE239" w14:textId="28BCF835" w:rsidR="00654015" w:rsidRPr="00224905" w:rsidRDefault="00654015" w:rsidP="00D86C39">
            <w:pPr>
              <w:pStyle w:val="Heading2"/>
              <w:widowControl w:val="0"/>
              <w:numPr>
                <w:ilvl w:val="0"/>
                <w:numId w:val="0"/>
              </w:numPr>
              <w:spacing w:before="120" w:after="120" w:line="276" w:lineRule="auto"/>
              <w:rPr>
                <w:sz w:val="24"/>
                <w:szCs w:val="24"/>
                <w:lang w:val="en-GB"/>
              </w:rPr>
            </w:pPr>
            <w:r w:rsidRPr="00224905">
              <w:rPr>
                <w:b/>
                <w:sz w:val="24"/>
                <w:szCs w:val="24"/>
              </w:rPr>
              <w:t>Guaranteed water access for agriculture and energy</w:t>
            </w:r>
            <w:r w:rsidR="00D472B6" w:rsidRPr="00224905">
              <w:rPr>
                <w:b/>
                <w:sz w:val="24"/>
                <w:szCs w:val="24"/>
              </w:rPr>
              <w:t>-</w:t>
            </w:r>
            <w:r w:rsidRPr="00224905">
              <w:rPr>
                <w:b/>
                <w:sz w:val="24"/>
                <w:szCs w:val="24"/>
              </w:rPr>
              <w:t xml:space="preserve"> and water</w:t>
            </w:r>
            <w:r w:rsidR="00D472B6" w:rsidRPr="00224905">
              <w:rPr>
                <w:b/>
                <w:sz w:val="24"/>
                <w:szCs w:val="24"/>
              </w:rPr>
              <w:t>-</w:t>
            </w:r>
            <w:r w:rsidRPr="00224905">
              <w:rPr>
                <w:b/>
                <w:sz w:val="24"/>
                <w:szCs w:val="24"/>
              </w:rPr>
              <w:t xml:space="preserve"> intensive industries</w:t>
            </w:r>
            <w:r w:rsidRPr="00224905">
              <w:rPr>
                <w:bCs/>
                <w:sz w:val="24"/>
                <w:szCs w:val="24"/>
              </w:rPr>
              <w:t xml:space="preserve">: the Commission takes note of the </w:t>
            </w:r>
            <w:r w:rsidRPr="00224905">
              <w:rPr>
                <w:bCs/>
                <w:sz w:val="24"/>
                <w:szCs w:val="24"/>
                <w:lang w:val="en-GB"/>
              </w:rPr>
              <w:t>EESC</w:t>
            </w:r>
            <w:r w:rsidR="00D472B6" w:rsidRPr="00224905">
              <w:rPr>
                <w:bCs/>
                <w:sz w:val="24"/>
                <w:szCs w:val="24"/>
                <w:lang w:val="en-GB"/>
              </w:rPr>
              <w:t>’s</w:t>
            </w:r>
            <w:r w:rsidRPr="00224905">
              <w:rPr>
                <w:bCs/>
                <w:sz w:val="24"/>
                <w:szCs w:val="24"/>
                <w:lang w:val="en-GB"/>
              </w:rPr>
              <w:t xml:space="preserve"> position </w:t>
            </w:r>
            <w:r w:rsidR="00D472B6" w:rsidRPr="00224905">
              <w:rPr>
                <w:bCs/>
                <w:sz w:val="24"/>
                <w:szCs w:val="24"/>
                <w:lang w:val="en-GB"/>
              </w:rPr>
              <w:t>on</w:t>
            </w:r>
            <w:r w:rsidRPr="00224905">
              <w:rPr>
                <w:bCs/>
                <w:sz w:val="24"/>
                <w:szCs w:val="24"/>
                <w:lang w:val="en-GB"/>
              </w:rPr>
              <w:t xml:space="preserve"> the need to provide special attention</w:t>
            </w:r>
            <w:r w:rsidRPr="00224905">
              <w:rPr>
                <w:sz w:val="24"/>
                <w:szCs w:val="24"/>
                <w:lang w:val="en-GB"/>
              </w:rPr>
              <w:t xml:space="preserve"> to “</w:t>
            </w:r>
            <w:r w:rsidRPr="00224905">
              <w:rPr>
                <w:i/>
                <w:iCs/>
                <w:sz w:val="24"/>
                <w:szCs w:val="24"/>
                <w:lang w:val="en-GB"/>
              </w:rPr>
              <w:t>guaranteeing access to water for agriculture and disruption-sensitive energy- and water-intensive industries</w:t>
            </w:r>
            <w:r w:rsidRPr="00224905">
              <w:rPr>
                <w:sz w:val="24"/>
                <w:szCs w:val="24"/>
                <w:lang w:val="en-GB"/>
              </w:rPr>
              <w:t>” and to invest in water efficiency in these sectors. The Commission stresses that water allocations across different users are not regulated at EU level and decisions in this domain are a</w:t>
            </w:r>
            <w:r w:rsidR="00224905">
              <w:rPr>
                <w:sz w:val="24"/>
                <w:szCs w:val="24"/>
                <w:lang w:val="en-GB"/>
              </w:rPr>
              <w:t> </w:t>
            </w:r>
            <w:r w:rsidRPr="00224905">
              <w:rPr>
                <w:sz w:val="24"/>
                <w:szCs w:val="24"/>
                <w:lang w:val="en-GB"/>
              </w:rPr>
              <w:t>matter of national competence.</w:t>
            </w:r>
          </w:p>
          <w:p w14:paraId="3CE03E76" w14:textId="77777777" w:rsidR="00220547" w:rsidRPr="00224905" w:rsidRDefault="00654015" w:rsidP="00220547">
            <w:pPr>
              <w:pStyle w:val="Heading2"/>
              <w:widowControl w:val="0"/>
              <w:numPr>
                <w:ilvl w:val="0"/>
                <w:numId w:val="0"/>
              </w:numPr>
              <w:spacing w:before="120" w:after="120" w:line="276" w:lineRule="auto"/>
              <w:rPr>
                <w:sz w:val="24"/>
                <w:szCs w:val="24"/>
                <w:lang w:val="en-IE"/>
              </w:rPr>
            </w:pPr>
            <w:r w:rsidRPr="00224905">
              <w:rPr>
                <w:sz w:val="24"/>
                <w:szCs w:val="24"/>
                <w:lang w:val="en-GB"/>
              </w:rPr>
              <w:t xml:space="preserve">The Commission Recommendation on Water Efficiency First underlines otherwise that </w:t>
            </w:r>
            <w:r w:rsidRPr="00224905">
              <w:rPr>
                <w:sz w:val="24"/>
                <w:szCs w:val="24"/>
                <w:lang w:val="en-IE"/>
              </w:rPr>
              <w:t xml:space="preserve">Member States should ensure </w:t>
            </w:r>
            <w:r w:rsidRPr="00224905">
              <w:rPr>
                <w:i/>
                <w:iCs/>
                <w:sz w:val="24"/>
                <w:szCs w:val="24"/>
                <w:lang w:val="en-IE"/>
              </w:rPr>
              <w:t>“transparent, secure, inclusive, fair and predictable mechanisms for water allocation, providing certainty on allocation priorities between categories of use in case of scarcity, while safeguarding vulnerable and marginalised groups’ access to affordable drinking water and water for sanitation”</w:t>
            </w:r>
            <w:r w:rsidRPr="00224905">
              <w:rPr>
                <w:sz w:val="24"/>
                <w:szCs w:val="24"/>
                <w:lang w:val="en-IE"/>
              </w:rPr>
              <w:t>.</w:t>
            </w:r>
          </w:p>
          <w:p w14:paraId="4C600647" w14:textId="748ACC3D" w:rsidR="00654015" w:rsidRPr="00224905" w:rsidRDefault="00654015" w:rsidP="00220547">
            <w:pPr>
              <w:pStyle w:val="Heading2"/>
              <w:widowControl w:val="0"/>
              <w:numPr>
                <w:ilvl w:val="0"/>
                <w:numId w:val="0"/>
              </w:numPr>
              <w:spacing w:before="120" w:after="120" w:line="276" w:lineRule="auto"/>
              <w:rPr>
                <w:sz w:val="24"/>
                <w:szCs w:val="24"/>
                <w:lang w:val="en-GB"/>
              </w:rPr>
            </w:pPr>
            <w:r w:rsidRPr="00224905">
              <w:rPr>
                <w:b/>
                <w:bCs/>
                <w:sz w:val="24"/>
                <w:szCs w:val="24"/>
                <w:lang w:val="en-GB"/>
              </w:rPr>
              <w:t xml:space="preserve">Pricing policies: </w:t>
            </w:r>
            <w:r w:rsidRPr="00224905">
              <w:rPr>
                <w:sz w:val="24"/>
                <w:szCs w:val="24"/>
                <w:lang w:val="en-GB"/>
              </w:rPr>
              <w:t xml:space="preserve">The Commission agrees with the EESC on the central role of water pricing policies in support of long-term water security with pricing based on the </w:t>
            </w:r>
            <w:r w:rsidRPr="00224905">
              <w:rPr>
                <w:b/>
                <w:bCs/>
                <w:sz w:val="24"/>
                <w:szCs w:val="24"/>
                <w:lang w:val="en-GB"/>
              </w:rPr>
              <w:t>cost-recovery</w:t>
            </w:r>
            <w:r w:rsidRPr="00224905">
              <w:rPr>
                <w:sz w:val="24"/>
                <w:szCs w:val="24"/>
                <w:lang w:val="en-GB"/>
              </w:rPr>
              <w:t xml:space="preserve"> principle while maintaining also affordability. In this respect, the Commission is committed to continue to work with Member States on the effective implementation of Article</w:t>
            </w:r>
            <w:r w:rsidR="00224905">
              <w:rPr>
                <w:sz w:val="24"/>
                <w:szCs w:val="24"/>
                <w:lang w:val="en-GB"/>
              </w:rPr>
              <w:t> </w:t>
            </w:r>
            <w:r w:rsidRPr="00224905">
              <w:rPr>
                <w:sz w:val="24"/>
                <w:szCs w:val="24"/>
                <w:lang w:val="en-GB"/>
              </w:rPr>
              <w:t>9 of the Water Framework Directive</w:t>
            </w:r>
            <w:r w:rsidR="00B4098C" w:rsidRPr="00224905">
              <w:rPr>
                <w:rStyle w:val="FootnoteReference"/>
                <w:sz w:val="24"/>
                <w:szCs w:val="24"/>
                <w:lang w:val="en-GB"/>
              </w:rPr>
              <w:footnoteReference w:id="6"/>
            </w:r>
            <w:r w:rsidRPr="00224905">
              <w:rPr>
                <w:sz w:val="24"/>
                <w:szCs w:val="24"/>
                <w:lang w:val="en-GB"/>
              </w:rPr>
              <w:t>, in line with the recommendations made by the Commission to Member States based on its assessment of the 3</w:t>
            </w:r>
            <w:r w:rsidRPr="00224905">
              <w:rPr>
                <w:sz w:val="24"/>
                <w:szCs w:val="24"/>
                <w:vertAlign w:val="superscript"/>
                <w:lang w:val="en-GB"/>
              </w:rPr>
              <w:t>rd</w:t>
            </w:r>
            <w:r w:rsidRPr="00224905">
              <w:rPr>
                <w:sz w:val="24"/>
                <w:szCs w:val="24"/>
                <w:lang w:val="en-GB"/>
              </w:rPr>
              <w:t xml:space="preserve"> River Basin Management Plans</w:t>
            </w:r>
            <w:r w:rsidRPr="00224905">
              <w:rPr>
                <w:sz w:val="24"/>
                <w:szCs w:val="24"/>
                <w:lang w:val="en-IE"/>
              </w:rPr>
              <w:t>.</w:t>
            </w:r>
          </w:p>
          <w:p w14:paraId="1A069EC3" w14:textId="658D6A23" w:rsidR="00220547" w:rsidRPr="00224905" w:rsidRDefault="00654015" w:rsidP="00D86C39">
            <w:pPr>
              <w:pStyle w:val="Heading2"/>
              <w:widowControl w:val="0"/>
              <w:numPr>
                <w:ilvl w:val="0"/>
                <w:numId w:val="0"/>
              </w:numPr>
              <w:spacing w:before="120" w:after="120" w:line="276" w:lineRule="auto"/>
              <w:rPr>
                <w:sz w:val="24"/>
                <w:szCs w:val="24"/>
                <w:lang w:val="en-GB"/>
              </w:rPr>
            </w:pPr>
            <w:r w:rsidRPr="00224905">
              <w:rPr>
                <w:b/>
                <w:bCs/>
                <w:sz w:val="24"/>
                <w:szCs w:val="24"/>
                <w:lang w:val="en-GB"/>
              </w:rPr>
              <w:t>On skills</w:t>
            </w:r>
            <w:r w:rsidRPr="00224905">
              <w:rPr>
                <w:sz w:val="24"/>
                <w:szCs w:val="24"/>
                <w:lang w:val="en-GB"/>
              </w:rPr>
              <w:t xml:space="preserve">, the EESC referred to the emergence of a </w:t>
            </w:r>
            <w:r w:rsidRPr="00224905">
              <w:rPr>
                <w:b/>
                <w:bCs/>
                <w:sz w:val="24"/>
                <w:szCs w:val="24"/>
                <w:lang w:val="en-GB"/>
              </w:rPr>
              <w:t>skills gap</w:t>
            </w:r>
            <w:r w:rsidRPr="00224905">
              <w:rPr>
                <w:sz w:val="24"/>
                <w:szCs w:val="24"/>
                <w:lang w:val="en-GB"/>
              </w:rPr>
              <w:t xml:space="preserve"> due to an ageing work force and a</w:t>
            </w:r>
            <w:r w:rsidR="00224905">
              <w:rPr>
                <w:sz w:val="24"/>
                <w:szCs w:val="24"/>
                <w:lang w:val="en-GB"/>
              </w:rPr>
              <w:t> </w:t>
            </w:r>
            <w:r w:rsidRPr="00224905">
              <w:rPr>
                <w:sz w:val="24"/>
                <w:szCs w:val="24"/>
                <w:lang w:val="en-GB"/>
              </w:rPr>
              <w:t xml:space="preserve">perceived lack of job attractiveness. The Commission agrees that the proposed European Water Academy should be organised </w:t>
            </w:r>
            <w:r w:rsidR="00F64576" w:rsidRPr="00224905">
              <w:rPr>
                <w:sz w:val="24"/>
                <w:szCs w:val="24"/>
                <w:lang w:val="en-GB"/>
              </w:rPr>
              <w:t xml:space="preserve">in </w:t>
            </w:r>
            <w:r w:rsidRPr="00224905">
              <w:rPr>
                <w:sz w:val="24"/>
                <w:szCs w:val="24"/>
                <w:lang w:val="en-GB"/>
              </w:rPr>
              <w:t xml:space="preserve">close </w:t>
            </w:r>
            <w:r w:rsidR="00F64576" w:rsidRPr="00224905">
              <w:rPr>
                <w:sz w:val="24"/>
                <w:szCs w:val="24"/>
                <w:lang w:val="en-GB"/>
              </w:rPr>
              <w:t xml:space="preserve">connection </w:t>
            </w:r>
            <w:r w:rsidR="00E07A41" w:rsidRPr="00224905">
              <w:rPr>
                <w:sz w:val="24"/>
                <w:szCs w:val="24"/>
                <w:lang w:val="en-GB"/>
              </w:rPr>
              <w:t>with real conditions</w:t>
            </w:r>
            <w:r w:rsidRPr="00224905">
              <w:rPr>
                <w:sz w:val="24"/>
                <w:szCs w:val="24"/>
                <w:lang w:val="en-GB"/>
              </w:rPr>
              <w:t xml:space="preserve"> on the ground</w:t>
            </w:r>
            <w:r w:rsidR="002E4478" w:rsidRPr="00224905">
              <w:rPr>
                <w:sz w:val="24"/>
                <w:szCs w:val="24"/>
                <w:lang w:val="en-GB"/>
              </w:rPr>
              <w:t xml:space="preserve"> and be able to deliver added value on the basis of market needs</w:t>
            </w:r>
            <w:r w:rsidRPr="00224905">
              <w:rPr>
                <w:sz w:val="24"/>
                <w:szCs w:val="24"/>
                <w:lang w:val="en-GB"/>
              </w:rPr>
              <w:t xml:space="preserve">. Both public authorities and the private sector are facing an ageing workforce and consequently a skills gap. </w:t>
            </w:r>
            <w:r w:rsidR="006C0E5A" w:rsidRPr="00224905">
              <w:rPr>
                <w:sz w:val="24"/>
                <w:szCs w:val="24"/>
                <w:lang w:val="en-GB"/>
              </w:rPr>
              <w:t>The European Institute of Innovation and Technology</w:t>
            </w:r>
            <w:r w:rsidR="00224905">
              <w:rPr>
                <w:sz w:val="24"/>
                <w:szCs w:val="24"/>
                <w:lang w:val="en-GB"/>
              </w:rPr>
              <w:t> </w:t>
            </w:r>
            <w:r w:rsidR="00D86C39" w:rsidRPr="00224905">
              <w:rPr>
                <w:sz w:val="24"/>
                <w:szCs w:val="24"/>
                <w:lang w:val="en-GB"/>
              </w:rPr>
              <w:t>(EIT)</w:t>
            </w:r>
            <w:r w:rsidR="006C0E5A" w:rsidRPr="00224905">
              <w:rPr>
                <w:sz w:val="24"/>
                <w:szCs w:val="24"/>
                <w:lang w:val="en-GB"/>
              </w:rPr>
              <w:t>’s</w:t>
            </w:r>
            <w:r w:rsidR="006C0E5A" w:rsidRPr="00224905">
              <w:rPr>
                <w:rStyle w:val="FootnoteReference"/>
                <w:sz w:val="24"/>
                <w:szCs w:val="24"/>
                <w:lang w:val="en-GB"/>
              </w:rPr>
              <w:footnoteReference w:id="7"/>
            </w:r>
            <w:r w:rsidR="006C0E5A" w:rsidRPr="00224905">
              <w:rPr>
                <w:sz w:val="24"/>
                <w:szCs w:val="24"/>
                <w:lang w:val="en-GB"/>
              </w:rPr>
              <w:t xml:space="preserve"> Knowledge and Innovation Community EIT Water will contribute to close the skills gap in the (fresh) water, marine and maritime sectors and ecosystems. It will support and connect universities, research institutes and the private sector to boost innovation in the mentioned deep tech areas and beyond.</w:t>
            </w:r>
          </w:p>
          <w:p w14:paraId="1CE3C205" w14:textId="747C6C09" w:rsidR="6A806CCC" w:rsidRPr="00224905" w:rsidRDefault="00654015" w:rsidP="00D86C39">
            <w:pPr>
              <w:pStyle w:val="Heading2"/>
              <w:widowControl w:val="0"/>
              <w:numPr>
                <w:ilvl w:val="0"/>
                <w:numId w:val="0"/>
              </w:numPr>
              <w:spacing w:before="120" w:after="120" w:line="276" w:lineRule="auto"/>
              <w:rPr>
                <w:sz w:val="24"/>
                <w:szCs w:val="24"/>
                <w:lang w:val="en-GB"/>
              </w:rPr>
            </w:pPr>
            <w:r w:rsidRPr="00224905">
              <w:rPr>
                <w:sz w:val="24"/>
                <w:szCs w:val="24"/>
                <w:lang w:val="en-GB"/>
              </w:rPr>
              <w:t>The Union of Skills package</w:t>
            </w:r>
            <w:r w:rsidR="002E4478" w:rsidRPr="00224905">
              <w:rPr>
                <w:sz w:val="24"/>
                <w:szCs w:val="24"/>
                <w:lang w:val="en-GB"/>
              </w:rPr>
              <w:t>,</w:t>
            </w:r>
            <w:r w:rsidRPr="00224905">
              <w:rPr>
                <w:sz w:val="24"/>
                <w:szCs w:val="24"/>
                <w:lang w:val="en-GB"/>
              </w:rPr>
              <w:t xml:space="preserve"> including </w:t>
            </w:r>
            <w:r w:rsidR="002E4478" w:rsidRPr="00224905">
              <w:rPr>
                <w:sz w:val="24"/>
                <w:szCs w:val="24"/>
                <w:lang w:val="en-GB"/>
              </w:rPr>
              <w:t>through the support of</w:t>
            </w:r>
            <w:r w:rsidRPr="00224905">
              <w:rPr>
                <w:sz w:val="24"/>
                <w:szCs w:val="24"/>
                <w:lang w:val="en-GB"/>
              </w:rPr>
              <w:t xml:space="preserve"> the European Social Fund</w:t>
            </w:r>
            <w:r w:rsidR="002E4478" w:rsidRPr="00224905">
              <w:rPr>
                <w:sz w:val="24"/>
                <w:szCs w:val="24"/>
                <w:lang w:val="en-GB"/>
              </w:rPr>
              <w:t>,</w:t>
            </w:r>
            <w:r w:rsidRPr="00224905">
              <w:rPr>
                <w:sz w:val="24"/>
                <w:szCs w:val="24"/>
                <w:lang w:val="en-GB"/>
              </w:rPr>
              <w:t xml:space="preserve"> can boost training for authorities, water management professionals, and communities. </w:t>
            </w:r>
            <w:r w:rsidR="00972624" w:rsidRPr="00224905">
              <w:rPr>
                <w:sz w:val="24"/>
                <w:szCs w:val="24"/>
                <w:lang w:val="en-GB"/>
              </w:rPr>
              <w:t>S</w:t>
            </w:r>
            <w:r w:rsidRPr="00224905">
              <w:rPr>
                <w:sz w:val="24"/>
                <w:szCs w:val="24"/>
                <w:lang w:val="en-GB"/>
              </w:rPr>
              <w:t>kills in science, technology</w:t>
            </w:r>
            <w:r w:rsidR="00183FF3" w:rsidRPr="00224905">
              <w:rPr>
                <w:sz w:val="24"/>
                <w:szCs w:val="24"/>
                <w:lang w:val="en-GB"/>
              </w:rPr>
              <w:t>,</w:t>
            </w:r>
            <w:r w:rsidRPr="00224905">
              <w:rPr>
                <w:sz w:val="24"/>
                <w:szCs w:val="24"/>
                <w:lang w:val="en-GB"/>
              </w:rPr>
              <w:t xml:space="preserve"> engineering</w:t>
            </w:r>
            <w:r w:rsidR="00183FF3" w:rsidRPr="00224905">
              <w:rPr>
                <w:sz w:val="24"/>
                <w:szCs w:val="24"/>
                <w:lang w:val="en-GB"/>
              </w:rPr>
              <w:t>, and</w:t>
            </w:r>
            <w:r w:rsidRPr="00224905">
              <w:rPr>
                <w:sz w:val="24"/>
                <w:szCs w:val="24"/>
                <w:lang w:val="en-GB"/>
              </w:rPr>
              <w:t xml:space="preserve"> math</w:t>
            </w:r>
            <w:r w:rsidR="00183FF3" w:rsidRPr="00224905">
              <w:rPr>
                <w:sz w:val="24"/>
                <w:szCs w:val="24"/>
                <w:lang w:val="en-GB"/>
              </w:rPr>
              <w:t>ematic</w:t>
            </w:r>
            <w:r w:rsidRPr="00224905">
              <w:rPr>
                <w:sz w:val="24"/>
                <w:szCs w:val="24"/>
                <w:lang w:val="en-GB"/>
              </w:rPr>
              <w:t>s</w:t>
            </w:r>
            <w:r w:rsidR="00224905">
              <w:rPr>
                <w:sz w:val="24"/>
                <w:szCs w:val="24"/>
                <w:lang w:val="en-GB"/>
              </w:rPr>
              <w:t> </w:t>
            </w:r>
            <w:r w:rsidRPr="00224905">
              <w:rPr>
                <w:sz w:val="24"/>
                <w:szCs w:val="24"/>
                <w:lang w:val="en-GB"/>
              </w:rPr>
              <w:t xml:space="preserve">(STEM) </w:t>
            </w:r>
            <w:r w:rsidR="00183FF3" w:rsidRPr="00224905">
              <w:rPr>
                <w:sz w:val="24"/>
                <w:szCs w:val="24"/>
                <w:lang w:val="en-GB"/>
              </w:rPr>
              <w:t xml:space="preserve">will </w:t>
            </w:r>
            <w:r w:rsidRPr="00224905">
              <w:rPr>
                <w:sz w:val="24"/>
                <w:szCs w:val="24"/>
                <w:lang w:val="en-GB"/>
              </w:rPr>
              <w:t>be promoted</w:t>
            </w:r>
            <w:r w:rsidR="00183FF3" w:rsidRPr="00224905">
              <w:rPr>
                <w:sz w:val="24"/>
                <w:szCs w:val="24"/>
                <w:lang w:val="en-GB"/>
              </w:rPr>
              <w:t xml:space="preserve"> through the STEM Education Strategic Plan</w:t>
            </w:r>
            <w:r w:rsidR="00183FF3" w:rsidRPr="00224905">
              <w:rPr>
                <w:rStyle w:val="FootnoteReference"/>
                <w:sz w:val="24"/>
                <w:szCs w:val="24"/>
                <w:lang w:val="en-GB"/>
              </w:rPr>
              <w:footnoteReference w:id="8"/>
            </w:r>
            <w:r w:rsidR="00183FF3" w:rsidRPr="00224905">
              <w:rPr>
                <w:sz w:val="24"/>
                <w:szCs w:val="24"/>
                <w:lang w:val="en-GB"/>
              </w:rPr>
              <w:t xml:space="preserve">. The 2030 Roadmap on the future of digital education and skills, planned for 2026, will guide EU action towards more inclusive, resilient and future-ready education systems in the age of </w:t>
            </w:r>
            <w:r w:rsidR="00224905">
              <w:rPr>
                <w:sz w:val="24"/>
                <w:szCs w:val="24"/>
                <w:lang w:val="en-GB"/>
              </w:rPr>
              <w:t>a</w:t>
            </w:r>
            <w:r w:rsidR="00183FF3" w:rsidRPr="00224905">
              <w:rPr>
                <w:sz w:val="24"/>
                <w:szCs w:val="24"/>
                <w:lang w:val="en-GB"/>
              </w:rPr>
              <w:t xml:space="preserve">rtificial </w:t>
            </w:r>
            <w:r w:rsidR="00224905">
              <w:rPr>
                <w:sz w:val="24"/>
                <w:szCs w:val="24"/>
                <w:lang w:val="en-GB"/>
              </w:rPr>
              <w:t>i</w:t>
            </w:r>
            <w:r w:rsidR="00183FF3" w:rsidRPr="00224905">
              <w:rPr>
                <w:sz w:val="24"/>
                <w:szCs w:val="24"/>
                <w:lang w:val="en-GB"/>
              </w:rPr>
              <w:t>ntelligence</w:t>
            </w:r>
            <w:r w:rsidRPr="00224905">
              <w:rPr>
                <w:sz w:val="24"/>
                <w:szCs w:val="24"/>
                <w:lang w:val="en-GB"/>
              </w:rPr>
              <w:t>. The Commission will also enhance vocational training by increasing its support to the Platform of Vocational Excellence.</w:t>
            </w:r>
          </w:p>
          <w:p w14:paraId="6AC001B9" w14:textId="3229876E" w:rsidR="00220547" w:rsidRPr="00224905" w:rsidRDefault="44A53694" w:rsidP="00D86C39">
            <w:pPr>
              <w:widowControl w:val="0"/>
              <w:spacing w:before="120" w:after="120"/>
              <w:jc w:val="both"/>
              <w:rPr>
                <w:rFonts w:ascii="Times New Roman" w:eastAsia="Times New Roman" w:hAnsi="Times New Roman"/>
                <w:sz w:val="24"/>
                <w:szCs w:val="24"/>
              </w:rPr>
            </w:pPr>
            <w:r w:rsidRPr="00224905">
              <w:rPr>
                <w:rFonts w:ascii="Times New Roman" w:eastAsia="Times New Roman" w:hAnsi="Times New Roman"/>
                <w:b/>
                <w:bCs/>
                <w:sz w:val="24"/>
                <w:szCs w:val="24"/>
              </w:rPr>
              <w:lastRenderedPageBreak/>
              <w:t>Security and Preparedness:</w:t>
            </w:r>
            <w:r w:rsidRPr="00224905">
              <w:rPr>
                <w:rFonts w:ascii="Times New Roman" w:eastAsia="Times New Roman" w:hAnsi="Times New Roman"/>
                <w:sz w:val="24"/>
                <w:szCs w:val="24"/>
              </w:rPr>
              <w:t xml:space="preserve"> The Commission welcomes the EESC’s focus on security and preparedness as key pillars of resilience. The EESC recognizes the intrinsic link between health and water, and stresses the importance of strengthening this nexus. Indeed, health and water are connected. An important additional element to be considered is the potential use of wastewater surveillance for health security and preparedness. The Commission has already significantly contributed to enhancing preparedness capacities that can be adapted to and informed by region-specific strategies in emergency contexts by analysing wastewaters.</w:t>
            </w:r>
          </w:p>
          <w:p w14:paraId="47E296EF" w14:textId="630EF97C" w:rsidR="00654015" w:rsidRPr="00224905" w:rsidRDefault="44A53694" w:rsidP="00D86C39">
            <w:pPr>
              <w:widowControl w:val="0"/>
              <w:spacing w:before="120" w:after="120"/>
              <w:jc w:val="both"/>
              <w:rPr>
                <w:rFonts w:ascii="Times New Roman" w:eastAsia="Times New Roman" w:hAnsi="Times New Roman"/>
                <w:sz w:val="24"/>
                <w:szCs w:val="24"/>
              </w:rPr>
            </w:pPr>
            <w:r w:rsidRPr="00224905">
              <w:rPr>
                <w:rFonts w:ascii="Times New Roman" w:eastAsia="Times New Roman" w:hAnsi="Times New Roman"/>
                <w:sz w:val="24"/>
                <w:szCs w:val="24"/>
              </w:rPr>
              <w:t>In line with the recently adopted MCM Strategy</w:t>
            </w:r>
            <w:r w:rsidRPr="00224905">
              <w:rPr>
                <w:rStyle w:val="FootnoteReference"/>
                <w:rFonts w:ascii="Times New Roman" w:eastAsia="Times New Roman" w:hAnsi="Times New Roman"/>
                <w:sz w:val="24"/>
                <w:szCs w:val="24"/>
              </w:rPr>
              <w:footnoteReference w:id="9"/>
            </w:r>
            <w:r w:rsidRPr="00224905">
              <w:rPr>
                <w:rFonts w:ascii="Times New Roman" w:eastAsia="Times New Roman" w:hAnsi="Times New Roman"/>
                <w:sz w:val="24"/>
                <w:szCs w:val="24"/>
              </w:rPr>
              <w:t xml:space="preserve">, the Commission will also continue to assist Member States in building their wastewater and environmental surveillance capacities and to operationalise an EU-level Wastewater Sentinel System, collecting data on pathogen circulation from strategic locations such as airports. Collaboration with relevant stakeholders, including civil society, is highly valued to expand these capacities, </w:t>
            </w:r>
            <w:r w:rsidR="00BF1DD2" w:rsidRPr="00224905">
              <w:rPr>
                <w:rFonts w:ascii="Times New Roman" w:eastAsia="Times New Roman" w:hAnsi="Times New Roman"/>
                <w:sz w:val="24"/>
                <w:szCs w:val="24"/>
              </w:rPr>
              <w:t xml:space="preserve">including through </w:t>
            </w:r>
            <w:r w:rsidRPr="00224905">
              <w:rPr>
                <w:rFonts w:ascii="Times New Roman" w:eastAsia="Times New Roman" w:hAnsi="Times New Roman"/>
                <w:sz w:val="24"/>
                <w:szCs w:val="24"/>
              </w:rPr>
              <w:t>the framework of the Global Consortium for Wastewater and Environmental Surveillance for Public Health (GLOWACON).</w:t>
            </w:r>
          </w:p>
          <w:p w14:paraId="30D14481" w14:textId="64497DB8" w:rsidR="00654015" w:rsidRPr="00D86C39" w:rsidRDefault="00654015" w:rsidP="00D86C39">
            <w:pPr>
              <w:pStyle w:val="Heading2"/>
              <w:widowControl w:val="0"/>
              <w:numPr>
                <w:ilvl w:val="0"/>
                <w:numId w:val="0"/>
              </w:numPr>
              <w:spacing w:before="120" w:after="120" w:line="276" w:lineRule="auto"/>
              <w:rPr>
                <w:sz w:val="24"/>
                <w:szCs w:val="24"/>
                <w:lang w:val="en-GB"/>
              </w:rPr>
            </w:pPr>
            <w:r w:rsidRPr="00224905">
              <w:rPr>
                <w:sz w:val="24"/>
                <w:szCs w:val="24"/>
                <w:lang w:val="en-GB"/>
              </w:rPr>
              <w:t xml:space="preserve">On </w:t>
            </w:r>
            <w:r w:rsidRPr="00224905">
              <w:rPr>
                <w:b/>
                <w:bCs/>
                <w:sz w:val="24"/>
                <w:szCs w:val="24"/>
                <w:lang w:val="en-GB"/>
              </w:rPr>
              <w:t>raising awareness</w:t>
            </w:r>
            <w:r w:rsidRPr="00224905">
              <w:rPr>
                <w:sz w:val="24"/>
                <w:szCs w:val="24"/>
                <w:lang w:val="en-GB"/>
              </w:rPr>
              <w:t xml:space="preserve">, the Commission agrees with the EESC on the general importance of mobilising awareness. It is indeed key to promote at all levels a better understanding of freshwater as a vital resource, such as more recently at EU level through the </w:t>
            </w:r>
            <w:hyperlink r:id="rId14" w:history="1">
              <w:r w:rsidRPr="00224905">
                <w:rPr>
                  <w:rStyle w:val="Hyperlink"/>
                  <w:sz w:val="24"/>
                  <w:szCs w:val="24"/>
                  <w:lang w:val="en-GB"/>
                </w:rPr>
                <w:t>#WATER WISE</w:t>
              </w:r>
            </w:hyperlink>
            <w:r w:rsidRPr="00224905">
              <w:rPr>
                <w:sz w:val="24"/>
                <w:szCs w:val="24"/>
                <w:lang w:val="en-GB"/>
              </w:rPr>
              <w:t xml:space="preserve"> awareness raising campaign of 2024-25. On the idea to introduce water consumption labels, the Commission points to already ongoing initiatives as well as</w:t>
            </w:r>
            <w:r w:rsidR="00FF7740" w:rsidRPr="00224905">
              <w:rPr>
                <w:sz w:val="24"/>
                <w:szCs w:val="24"/>
                <w:lang w:val="en-GB"/>
              </w:rPr>
              <w:t xml:space="preserve"> to</w:t>
            </w:r>
            <w:r w:rsidRPr="00224905">
              <w:rPr>
                <w:sz w:val="24"/>
                <w:szCs w:val="24"/>
                <w:lang w:val="en-GB"/>
              </w:rPr>
              <w:t xml:space="preserve"> private initiatives on water labels for bathroom appliances. Next to the well-established EU Ecolabel, the </w:t>
            </w:r>
            <w:proofErr w:type="spellStart"/>
            <w:r w:rsidRPr="00224905">
              <w:rPr>
                <w:sz w:val="24"/>
                <w:szCs w:val="24"/>
                <w:lang w:val="en-GB"/>
              </w:rPr>
              <w:t>Ecodesign</w:t>
            </w:r>
            <w:proofErr w:type="spellEnd"/>
            <w:r w:rsidRPr="00224905">
              <w:rPr>
                <w:sz w:val="24"/>
                <w:szCs w:val="24"/>
                <w:lang w:val="en-GB"/>
              </w:rPr>
              <w:t xml:space="preserve"> for Sustainable Product Regulation</w:t>
            </w:r>
            <w:r w:rsidR="00224905">
              <w:rPr>
                <w:sz w:val="24"/>
                <w:szCs w:val="24"/>
                <w:lang w:val="en-GB"/>
              </w:rPr>
              <w:t> </w:t>
            </w:r>
            <w:r w:rsidRPr="00224905">
              <w:rPr>
                <w:sz w:val="24"/>
                <w:szCs w:val="24"/>
                <w:lang w:val="en-GB"/>
              </w:rPr>
              <w:t xml:space="preserve">(ESPR) will help consumers reduce water consumption by </w:t>
            </w:r>
            <w:r w:rsidR="4AA4E619" w:rsidRPr="00224905">
              <w:rPr>
                <w:sz w:val="24"/>
                <w:szCs w:val="24"/>
                <w:lang w:val="en-GB"/>
              </w:rPr>
              <w:t xml:space="preserve">ensuring that the products they purchase are </w:t>
            </w:r>
            <w:r w:rsidRPr="00224905">
              <w:rPr>
                <w:sz w:val="24"/>
                <w:szCs w:val="24"/>
                <w:lang w:val="en-GB"/>
              </w:rPr>
              <w:t>less polluting and more water efficient. This should shift demand towards water-smart products, boosting the EU’s clean and circular competitiveness. New private initiatives are also emerging to promote water efficiency.</w:t>
            </w:r>
          </w:p>
        </w:tc>
      </w:tr>
    </w:tbl>
    <w:p w14:paraId="4B31F071" w14:textId="77777777" w:rsidR="00077C4F" w:rsidRPr="00D86C39" w:rsidRDefault="00077C4F" w:rsidP="00077C4F">
      <w:pPr>
        <w:rPr>
          <w:rFonts w:ascii="Times New Roman" w:hAnsi="Times New Roman"/>
          <w:sz w:val="2"/>
          <w:szCs w:val="2"/>
        </w:rPr>
      </w:pPr>
    </w:p>
    <w:sectPr w:rsidR="00077C4F" w:rsidRPr="00D86C3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EE30" w14:textId="77777777" w:rsidR="00312BDB" w:rsidRDefault="00312BDB" w:rsidP="00FF63EA">
      <w:pPr>
        <w:spacing w:after="0" w:line="240" w:lineRule="auto"/>
      </w:pPr>
      <w:r>
        <w:separator/>
      </w:r>
    </w:p>
  </w:endnote>
  <w:endnote w:type="continuationSeparator" w:id="0">
    <w:p w14:paraId="71BA0E41" w14:textId="77777777" w:rsidR="00312BDB" w:rsidRDefault="00312BDB" w:rsidP="00FF63EA">
      <w:pPr>
        <w:spacing w:after="0" w:line="240" w:lineRule="auto"/>
      </w:pPr>
      <w:r>
        <w:continuationSeparator/>
      </w:r>
    </w:p>
  </w:endnote>
  <w:endnote w:type="continuationNotice" w:id="1">
    <w:p w14:paraId="7628C736" w14:textId="77777777" w:rsidR="00312BDB" w:rsidRDefault="00312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E837" w14:textId="77777777" w:rsidR="00972624" w:rsidRDefault="00972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A62E" w14:textId="77777777" w:rsidR="00312BDB" w:rsidRDefault="00312BDB" w:rsidP="009726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4FE7" w14:textId="77777777" w:rsidR="00972624" w:rsidRDefault="0097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327E" w14:textId="77777777" w:rsidR="00312BDB" w:rsidRDefault="00312BDB" w:rsidP="00FF63EA">
      <w:pPr>
        <w:spacing w:after="0" w:line="240" w:lineRule="auto"/>
      </w:pPr>
      <w:r>
        <w:separator/>
      </w:r>
    </w:p>
  </w:footnote>
  <w:footnote w:type="continuationSeparator" w:id="0">
    <w:p w14:paraId="65A42943" w14:textId="77777777" w:rsidR="00312BDB" w:rsidRDefault="00312BDB" w:rsidP="00FF63EA">
      <w:pPr>
        <w:spacing w:after="0" w:line="240" w:lineRule="auto"/>
      </w:pPr>
      <w:r>
        <w:continuationSeparator/>
      </w:r>
    </w:p>
  </w:footnote>
  <w:footnote w:type="continuationNotice" w:id="1">
    <w:p w14:paraId="10182497" w14:textId="77777777" w:rsidR="00312BDB" w:rsidRDefault="00312BDB">
      <w:pPr>
        <w:spacing w:after="0" w:line="240" w:lineRule="auto"/>
      </w:pPr>
    </w:p>
  </w:footnote>
  <w:footnote w:id="2">
    <w:p w14:paraId="710690EC" w14:textId="0C03B88A" w:rsidR="00E15ABF" w:rsidRPr="00224905" w:rsidRDefault="00E15ABF" w:rsidP="00220547">
      <w:pPr>
        <w:pStyle w:val="FootnoteText"/>
        <w:widowControl w:val="0"/>
        <w:spacing w:after="0" w:line="240" w:lineRule="auto"/>
        <w:ind w:left="142" w:right="-284" w:hanging="284"/>
        <w:jc w:val="both"/>
        <w:rPr>
          <w:rFonts w:ascii="Times New Roman" w:hAnsi="Times New Roman"/>
          <w:lang w:val="fr-BE"/>
        </w:rPr>
      </w:pPr>
      <w:r w:rsidRPr="00224905">
        <w:rPr>
          <w:rStyle w:val="FootnoteReference"/>
          <w:rFonts w:ascii="Times New Roman" w:hAnsi="Times New Roman"/>
        </w:rPr>
        <w:footnoteRef/>
      </w:r>
      <w:r w:rsidRPr="00224905">
        <w:rPr>
          <w:rFonts w:ascii="Times New Roman" w:hAnsi="Times New Roman"/>
          <w:lang w:val="fr-BE"/>
        </w:rPr>
        <w:t xml:space="preserve"> </w:t>
      </w:r>
      <w:r w:rsidRPr="00224905">
        <w:rPr>
          <w:rFonts w:ascii="Times New Roman" w:hAnsi="Times New Roman"/>
          <w:lang w:val="fr-BE"/>
        </w:rPr>
        <w:tab/>
        <w:t>COM(2025) 280 final (</w:t>
      </w:r>
      <w:hyperlink r:id="rId1" w:history="1">
        <w:r w:rsidRPr="00224905">
          <w:rPr>
            <w:rStyle w:val="Hyperlink"/>
            <w:rFonts w:ascii="Times New Roman" w:hAnsi="Times New Roman"/>
            <w:lang w:val="fr-BE"/>
          </w:rPr>
          <w:t>EUR-Lex - 52025DC0280 - EN - EUR-Lex</w:t>
        </w:r>
      </w:hyperlink>
      <w:r w:rsidRPr="00224905">
        <w:rPr>
          <w:rFonts w:ascii="Times New Roman" w:hAnsi="Times New Roman"/>
          <w:lang w:val="fr-BE"/>
        </w:rPr>
        <w:t>).</w:t>
      </w:r>
    </w:p>
  </w:footnote>
  <w:footnote w:id="3">
    <w:p w14:paraId="148E8467" w14:textId="01428650" w:rsidR="00E15ABF" w:rsidRPr="00224905" w:rsidRDefault="00E15ABF" w:rsidP="00220547">
      <w:pPr>
        <w:pStyle w:val="FootnoteText"/>
        <w:widowControl w:val="0"/>
        <w:spacing w:after="0" w:line="240" w:lineRule="auto"/>
        <w:ind w:left="142" w:right="-284" w:hanging="284"/>
        <w:jc w:val="both"/>
        <w:rPr>
          <w:rFonts w:ascii="Times New Roman" w:hAnsi="Times New Roman"/>
          <w:lang w:val="fr-BE"/>
        </w:rPr>
      </w:pPr>
      <w:r w:rsidRPr="00224905">
        <w:rPr>
          <w:rStyle w:val="FootnoteReference"/>
          <w:rFonts w:ascii="Times New Roman" w:hAnsi="Times New Roman"/>
        </w:rPr>
        <w:footnoteRef/>
      </w:r>
      <w:r w:rsidRPr="00224905">
        <w:rPr>
          <w:rFonts w:ascii="Times New Roman" w:hAnsi="Times New Roman"/>
          <w:lang w:val="fr-BE"/>
        </w:rPr>
        <w:t xml:space="preserve"> </w:t>
      </w:r>
      <w:r w:rsidRPr="00224905">
        <w:rPr>
          <w:rFonts w:ascii="Times New Roman" w:hAnsi="Times New Roman"/>
          <w:lang w:val="fr-BE"/>
        </w:rPr>
        <w:tab/>
        <w:t>COM(2025) 281 final (</w:t>
      </w:r>
      <w:hyperlink r:id="rId2" w:history="1">
        <w:r w:rsidRPr="00224905">
          <w:rPr>
            <w:rStyle w:val="Hyperlink"/>
            <w:rFonts w:ascii="Times New Roman" w:hAnsi="Times New Roman"/>
            <w:lang w:val="fr-BE"/>
          </w:rPr>
          <w:t>EUR-Lex - 52025DC0281 - EN - EUR-Lex</w:t>
        </w:r>
      </w:hyperlink>
      <w:r w:rsidRPr="00224905">
        <w:rPr>
          <w:rFonts w:ascii="Times New Roman" w:hAnsi="Times New Roman"/>
          <w:lang w:val="fr-BE"/>
        </w:rPr>
        <w:t>).</w:t>
      </w:r>
    </w:p>
  </w:footnote>
  <w:footnote w:id="4">
    <w:p w14:paraId="02A72F18" w14:textId="016534D1" w:rsidR="00E15ABF" w:rsidRPr="00224905" w:rsidRDefault="00E15ABF" w:rsidP="00220547">
      <w:pPr>
        <w:pStyle w:val="FootnoteText"/>
        <w:widowControl w:val="0"/>
        <w:spacing w:after="0" w:line="240" w:lineRule="auto"/>
        <w:ind w:left="142" w:right="-284" w:hanging="284"/>
        <w:jc w:val="both"/>
        <w:rPr>
          <w:rFonts w:ascii="Times New Roman" w:hAnsi="Times New Roman"/>
          <w:lang w:val="pt-PT"/>
        </w:rPr>
      </w:pPr>
      <w:r w:rsidRPr="00224905">
        <w:rPr>
          <w:rStyle w:val="FootnoteReference"/>
          <w:rFonts w:ascii="Times New Roman" w:hAnsi="Times New Roman"/>
        </w:rPr>
        <w:footnoteRef/>
      </w:r>
      <w:r w:rsidRPr="00224905">
        <w:rPr>
          <w:rFonts w:ascii="Times New Roman" w:hAnsi="Times New Roman"/>
          <w:lang w:val="pt-PT"/>
        </w:rPr>
        <w:t xml:space="preserve"> </w:t>
      </w:r>
      <w:r w:rsidRPr="00224905">
        <w:rPr>
          <w:rFonts w:ascii="Times New Roman" w:hAnsi="Times New Roman"/>
          <w:lang w:val="pt-PT"/>
        </w:rPr>
        <w:tab/>
        <w:t>COM(2025) 530 final (</w:t>
      </w:r>
      <w:hyperlink r:id="rId3" w:history="1">
        <w:r w:rsidR="00224905" w:rsidRPr="00373369">
          <w:rPr>
            <w:rStyle w:val="Hyperlink"/>
            <w:rFonts w:ascii="Times New Roman" w:hAnsi="Times New Roman"/>
            <w:lang w:val="pt-PT"/>
          </w:rPr>
          <w:t>https://eur-lex.europa.eu/legal-content/EN/TXT/?uri=celex:52025DC0530</w:t>
        </w:r>
      </w:hyperlink>
      <w:r w:rsidRPr="00224905">
        <w:rPr>
          <w:rFonts w:ascii="Times New Roman" w:hAnsi="Times New Roman"/>
          <w:lang w:val="pt-PT"/>
        </w:rPr>
        <w:t>).</w:t>
      </w:r>
    </w:p>
  </w:footnote>
  <w:footnote w:id="5">
    <w:p w14:paraId="22CFEF45" w14:textId="6E1514F7" w:rsidR="00B4098C" w:rsidRPr="000A2C48" w:rsidRDefault="00B4098C" w:rsidP="00220547">
      <w:pPr>
        <w:pStyle w:val="FootnoteText"/>
        <w:widowControl w:val="0"/>
        <w:spacing w:after="0" w:line="240" w:lineRule="auto"/>
        <w:ind w:left="142" w:right="-284" w:hanging="284"/>
        <w:jc w:val="both"/>
        <w:rPr>
          <w:rFonts w:ascii="Times New Roman" w:hAnsi="Times New Roman"/>
          <w:lang w:val="en-IE"/>
        </w:rPr>
      </w:pPr>
      <w:r w:rsidRPr="00224905">
        <w:rPr>
          <w:rStyle w:val="FootnoteReference"/>
          <w:rFonts w:ascii="Times New Roman" w:hAnsi="Times New Roman"/>
        </w:rPr>
        <w:footnoteRef/>
      </w:r>
      <w:r w:rsidRPr="00224905">
        <w:rPr>
          <w:rFonts w:ascii="Times New Roman" w:hAnsi="Times New Roman"/>
        </w:rPr>
        <w:t xml:space="preserve"> </w:t>
      </w:r>
      <w:r w:rsidRPr="00224905">
        <w:rPr>
          <w:rFonts w:ascii="Times New Roman" w:hAnsi="Times New Roman"/>
          <w:lang w:val="en-IE"/>
        </w:rPr>
        <w:tab/>
      </w:r>
      <w:proofErr w:type="spellStart"/>
      <w:r w:rsidR="00224905">
        <w:rPr>
          <w:rFonts w:ascii="Times New Roman" w:hAnsi="Times New Roman"/>
        </w:rPr>
        <w:t>ʻ</w:t>
      </w:r>
      <w:r w:rsidRPr="00224905">
        <w:rPr>
          <w:rFonts w:ascii="Times New Roman" w:hAnsi="Times New Roman"/>
        </w:rPr>
        <w:t>Through</w:t>
      </w:r>
      <w:proofErr w:type="spellEnd"/>
      <w:r w:rsidRPr="00224905">
        <w:rPr>
          <w:rFonts w:ascii="Times New Roman" w:hAnsi="Times New Roman"/>
        </w:rPr>
        <w:t xml:space="preserve"> Water Efficiency to Water Resilience: Every Drop Counts</w:t>
      </w:r>
      <w:r w:rsidR="00224905">
        <w:rPr>
          <w:rFonts w:ascii="Times New Roman" w:hAnsi="Times New Roman"/>
        </w:rPr>
        <w:t>’</w:t>
      </w:r>
      <w:r w:rsidRPr="00224905">
        <w:rPr>
          <w:rFonts w:ascii="Times New Roman" w:hAnsi="Times New Roman"/>
        </w:rPr>
        <w:t xml:space="preserve"> </w:t>
      </w:r>
      <w:r w:rsidR="00224905" w:rsidRPr="729E9244">
        <w:rPr>
          <w:rFonts w:ascii="Times New Roman" w:hAnsi="Times New Roman"/>
          <w:b/>
          <w:bCs/>
          <w:sz w:val="24"/>
          <w:szCs w:val="24"/>
        </w:rPr>
        <w:t>–</w:t>
      </w:r>
      <w:r w:rsidRPr="00224905">
        <w:rPr>
          <w:rFonts w:ascii="Times New Roman" w:hAnsi="Times New Roman"/>
        </w:rPr>
        <w:t xml:space="preserve"> Commission Recommendation on Water Efficiency First: guiding principles (</w:t>
      </w:r>
      <w:hyperlink r:id="rId4" w:history="1">
        <w:r w:rsidR="00224905" w:rsidRPr="00373369">
          <w:rPr>
            <w:rStyle w:val="Hyperlink"/>
            <w:rFonts w:ascii="Times New Roman" w:hAnsi="Times New Roman"/>
          </w:rPr>
          <w:t>https://op.europa.eu/en/publication-detail/-/publication/2672f182-e2e5-11ef-be2a-01aa75ed71a1/language-en</w:t>
        </w:r>
      </w:hyperlink>
      <w:r w:rsidRPr="00224905">
        <w:rPr>
          <w:rFonts w:ascii="Times New Roman" w:hAnsi="Times New Roman"/>
        </w:rPr>
        <w:t>)</w:t>
      </w:r>
      <w:r w:rsidR="00C91E7C">
        <w:rPr>
          <w:rFonts w:ascii="Times New Roman" w:hAnsi="Times New Roman"/>
        </w:rPr>
        <w:t>.</w:t>
      </w:r>
    </w:p>
  </w:footnote>
  <w:footnote w:id="6">
    <w:p w14:paraId="05912A9B" w14:textId="309EB5A9" w:rsidR="00B4098C" w:rsidRPr="00224905" w:rsidRDefault="00B4098C" w:rsidP="00224905">
      <w:pPr>
        <w:pStyle w:val="FootnoteText"/>
        <w:widowControl w:val="0"/>
        <w:spacing w:after="0" w:line="240" w:lineRule="auto"/>
        <w:ind w:left="142" w:right="-284" w:hanging="284"/>
        <w:jc w:val="both"/>
        <w:rPr>
          <w:rFonts w:ascii="Times New Roman" w:hAnsi="Times New Roman"/>
          <w:lang w:val="en"/>
        </w:rPr>
      </w:pPr>
      <w:r w:rsidRPr="00224905">
        <w:rPr>
          <w:rStyle w:val="FootnoteReference"/>
          <w:rFonts w:ascii="Times New Roman" w:hAnsi="Times New Roman"/>
        </w:rPr>
        <w:footnoteRef/>
      </w:r>
      <w:r w:rsidRPr="00224905">
        <w:rPr>
          <w:rFonts w:ascii="Times New Roman" w:hAnsi="Times New Roman"/>
        </w:rPr>
        <w:t xml:space="preserve"> </w:t>
      </w:r>
      <w:r w:rsidRPr="00224905">
        <w:rPr>
          <w:rFonts w:ascii="Times New Roman" w:hAnsi="Times New Roman"/>
        </w:rPr>
        <w:tab/>
        <w:t>Directive 2000/60/EC of the European Parliament and of the Council of 23 October 2000 establishing a</w:t>
      </w:r>
      <w:r w:rsidR="00224905">
        <w:rPr>
          <w:rFonts w:ascii="Times New Roman" w:hAnsi="Times New Roman"/>
        </w:rPr>
        <w:t> </w:t>
      </w:r>
      <w:r w:rsidRPr="00224905">
        <w:rPr>
          <w:rFonts w:ascii="Times New Roman" w:hAnsi="Times New Roman"/>
        </w:rPr>
        <w:t>framework for Community action in the field of water policy (</w:t>
      </w:r>
      <w:hyperlink r:id="rId5" w:tooltip="Gives access to this document through its ELI URI." w:history="1">
        <w:r w:rsidRPr="00224905">
          <w:rPr>
            <w:rStyle w:val="Hyperlink"/>
            <w:rFonts w:ascii="Times New Roman" w:hAnsi="Times New Roman"/>
            <w:lang w:val="en"/>
          </w:rPr>
          <w:t>http://data.europa.eu/eli/dir/2000/60/oj</w:t>
        </w:r>
      </w:hyperlink>
      <w:r w:rsidRPr="00224905">
        <w:rPr>
          <w:rFonts w:ascii="Times New Roman" w:hAnsi="Times New Roman"/>
          <w:lang w:val="en"/>
        </w:rPr>
        <w:t>).</w:t>
      </w:r>
    </w:p>
  </w:footnote>
  <w:footnote w:id="7">
    <w:p w14:paraId="6E27A344" w14:textId="04DAB935" w:rsidR="006C0E5A" w:rsidRPr="00224905" w:rsidRDefault="006C0E5A" w:rsidP="000A2C48">
      <w:pPr>
        <w:pStyle w:val="FootnoteText"/>
        <w:spacing w:after="0" w:line="240" w:lineRule="auto"/>
        <w:ind w:left="142" w:right="-284" w:hanging="284"/>
        <w:jc w:val="both"/>
        <w:rPr>
          <w:rFonts w:ascii="Times New Roman" w:hAnsi="Times New Roman"/>
          <w:lang w:val="en"/>
        </w:rPr>
      </w:pPr>
      <w:r w:rsidRPr="00224905">
        <w:rPr>
          <w:rStyle w:val="FootnoteReference"/>
          <w:rFonts w:ascii="Times New Roman" w:hAnsi="Times New Roman"/>
        </w:rPr>
        <w:footnoteRef/>
      </w:r>
      <w:r w:rsidRPr="00224905">
        <w:rPr>
          <w:rFonts w:ascii="Times New Roman" w:hAnsi="Times New Roman"/>
          <w:lang w:val="en"/>
        </w:rPr>
        <w:t xml:space="preserve"> </w:t>
      </w:r>
      <w:r w:rsidR="00D86C39" w:rsidRPr="00224905">
        <w:rPr>
          <w:rFonts w:ascii="Times New Roman" w:hAnsi="Times New Roman"/>
          <w:lang w:val="en"/>
        </w:rPr>
        <w:tab/>
        <w:t>EIT (</w:t>
      </w:r>
      <w:hyperlink r:id="rId6" w:history="1">
        <w:r w:rsidR="00D86C39" w:rsidRPr="00224905">
          <w:rPr>
            <w:rStyle w:val="Hyperlink"/>
            <w:rFonts w:ascii="Times New Roman" w:hAnsi="Times New Roman"/>
            <w:lang w:val="en"/>
          </w:rPr>
          <w:t>https://www.eit.europa.eu/</w:t>
        </w:r>
      </w:hyperlink>
      <w:r w:rsidR="00D86C39" w:rsidRPr="00224905">
        <w:rPr>
          <w:rFonts w:ascii="Times New Roman" w:hAnsi="Times New Roman"/>
          <w:lang w:val="en"/>
        </w:rPr>
        <w:t>).</w:t>
      </w:r>
    </w:p>
  </w:footnote>
  <w:footnote w:id="8">
    <w:p w14:paraId="5A2112C6" w14:textId="2079271A" w:rsidR="00183FF3" w:rsidRPr="000A2C48" w:rsidRDefault="00183FF3" w:rsidP="000A2C48">
      <w:pPr>
        <w:pStyle w:val="FootnoteText"/>
        <w:spacing w:after="0" w:line="240" w:lineRule="auto"/>
        <w:ind w:left="142" w:right="-284" w:hanging="284"/>
        <w:jc w:val="both"/>
        <w:rPr>
          <w:rFonts w:ascii="Times New Roman" w:hAnsi="Times New Roman"/>
          <w:lang w:val="pt-PT"/>
        </w:rPr>
      </w:pPr>
      <w:r w:rsidRPr="00224905">
        <w:rPr>
          <w:rStyle w:val="FootnoteReference"/>
          <w:rFonts w:ascii="Times New Roman" w:hAnsi="Times New Roman"/>
        </w:rPr>
        <w:footnoteRef/>
      </w:r>
      <w:r w:rsidRPr="00224905">
        <w:rPr>
          <w:rFonts w:ascii="Times New Roman" w:hAnsi="Times New Roman"/>
          <w:lang w:val="pt-PT"/>
        </w:rPr>
        <w:t xml:space="preserve"> </w:t>
      </w:r>
      <w:r w:rsidR="00D86C39" w:rsidRPr="00224905">
        <w:rPr>
          <w:rFonts w:ascii="Times New Roman" w:hAnsi="Times New Roman"/>
          <w:lang w:val="pt-PT"/>
        </w:rPr>
        <w:tab/>
      </w:r>
      <w:r w:rsidR="00C6648A" w:rsidRPr="00224905">
        <w:rPr>
          <w:rFonts w:ascii="Times New Roman" w:hAnsi="Times New Roman"/>
          <w:lang w:val="pt-PT"/>
        </w:rPr>
        <w:t>COM(2025) 89 final</w:t>
      </w:r>
      <w:r w:rsidR="00D86C39" w:rsidRPr="00224905">
        <w:rPr>
          <w:rFonts w:ascii="Times New Roman" w:hAnsi="Times New Roman"/>
          <w:lang w:val="pt-PT"/>
        </w:rPr>
        <w:t xml:space="preserve"> (</w:t>
      </w:r>
      <w:hyperlink r:id="rId7" w:history="1">
        <w:r w:rsidR="00224905" w:rsidRPr="00373369">
          <w:rPr>
            <w:rStyle w:val="Hyperlink"/>
            <w:rFonts w:ascii="Times New Roman" w:hAnsi="Times New Roman"/>
            <w:lang w:val="pt-PT"/>
          </w:rPr>
          <w:t>https://eur-lex.europa.eu/legal-content/EN/TXT/?uri=celex:52025DC0089</w:t>
        </w:r>
      </w:hyperlink>
      <w:r w:rsidR="00D86C39" w:rsidRPr="00224905">
        <w:rPr>
          <w:rFonts w:ascii="Times New Roman" w:hAnsi="Times New Roman"/>
          <w:lang w:val="pt-PT"/>
        </w:rPr>
        <w:t>).</w:t>
      </w:r>
    </w:p>
  </w:footnote>
  <w:footnote w:id="9">
    <w:p w14:paraId="7C8571A7" w14:textId="4F8EC2FD" w:rsidR="6A806CCC" w:rsidRPr="00126AEF" w:rsidRDefault="6A806CCC" w:rsidP="00220547">
      <w:pPr>
        <w:pStyle w:val="FootnoteText"/>
        <w:widowControl w:val="0"/>
        <w:spacing w:after="0" w:line="240" w:lineRule="auto"/>
        <w:ind w:left="142" w:right="-284" w:hanging="284"/>
        <w:jc w:val="both"/>
        <w:rPr>
          <w:rFonts w:ascii="Times New Roman" w:hAnsi="Times New Roman"/>
          <w:lang w:val="pt-PT"/>
        </w:rPr>
      </w:pPr>
      <w:r w:rsidRPr="00220547">
        <w:rPr>
          <w:rStyle w:val="FootnoteReference"/>
          <w:rFonts w:ascii="Times New Roman" w:hAnsi="Times New Roman"/>
        </w:rPr>
        <w:footnoteRef/>
      </w:r>
      <w:r w:rsidRPr="00126AEF">
        <w:rPr>
          <w:rFonts w:ascii="Times New Roman" w:hAnsi="Times New Roman"/>
          <w:lang w:val="pt-PT"/>
        </w:rPr>
        <w:t xml:space="preserve"> </w:t>
      </w:r>
      <w:r w:rsidR="00D86C39" w:rsidRPr="00126AEF">
        <w:rPr>
          <w:rFonts w:ascii="Times New Roman" w:hAnsi="Times New Roman"/>
          <w:lang w:val="pt-PT"/>
        </w:rPr>
        <w:tab/>
        <w:t>COM(2025) 529 final</w:t>
      </w:r>
      <w:r w:rsidR="00D86C39" w:rsidRPr="00126AEF" w:rsidDel="00D86C39">
        <w:rPr>
          <w:rFonts w:ascii="Times New Roman" w:hAnsi="Times New Roman"/>
          <w:lang w:val="pt-PT"/>
        </w:rPr>
        <w:t xml:space="preserve"> </w:t>
      </w:r>
      <w:r w:rsidR="00D86C39" w:rsidRPr="00126AEF">
        <w:rPr>
          <w:rFonts w:ascii="Times New Roman" w:hAnsi="Times New Roman"/>
          <w:lang w:val="pt-PT"/>
        </w:rPr>
        <w:t>(</w:t>
      </w:r>
      <w:hyperlink r:id="rId8" w:history="1">
        <w:r w:rsidR="00224905" w:rsidRPr="00373369">
          <w:rPr>
            <w:rStyle w:val="Hyperlink"/>
            <w:rFonts w:ascii="Times New Roman" w:hAnsi="Times New Roman"/>
            <w:lang w:val="pt-PT"/>
          </w:rPr>
          <w:t>https://eur-lex.europa.eu/legal-content/EN/TXT/?uri=celex:52025DC0529</w:t>
        </w:r>
      </w:hyperlink>
      <w:r w:rsidR="00D86C39" w:rsidRPr="00126AEF">
        <w:rPr>
          <w:rFonts w:ascii="Times New Roman" w:hAnsi="Times New Roman"/>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394E" w14:textId="77777777" w:rsidR="00972624" w:rsidRDefault="00972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D794" w14:textId="77777777" w:rsidR="00312BDB" w:rsidRDefault="00312BDB" w:rsidP="009726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3277" w14:textId="77777777" w:rsidR="00972624" w:rsidRDefault="00972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8B25972"/>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50701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6B15"/>
    <w:rsid w:val="00050DC7"/>
    <w:rsid w:val="00065C8A"/>
    <w:rsid w:val="0007342D"/>
    <w:rsid w:val="00076109"/>
    <w:rsid w:val="00077C4F"/>
    <w:rsid w:val="00084608"/>
    <w:rsid w:val="000A2C48"/>
    <w:rsid w:val="000D1887"/>
    <w:rsid w:val="000F5FD8"/>
    <w:rsid w:val="000F7906"/>
    <w:rsid w:val="001167C0"/>
    <w:rsid w:val="00126AEF"/>
    <w:rsid w:val="00135C2A"/>
    <w:rsid w:val="0018369F"/>
    <w:rsid w:val="00183FF3"/>
    <w:rsid w:val="00194141"/>
    <w:rsid w:val="001B0E0B"/>
    <w:rsid w:val="001B6BE3"/>
    <w:rsid w:val="001C4138"/>
    <w:rsid w:val="001E5A2C"/>
    <w:rsid w:val="001F2EC6"/>
    <w:rsid w:val="001F65D0"/>
    <w:rsid w:val="00217E59"/>
    <w:rsid w:val="00220547"/>
    <w:rsid w:val="00224905"/>
    <w:rsid w:val="00246206"/>
    <w:rsid w:val="00290DAB"/>
    <w:rsid w:val="002A79EB"/>
    <w:rsid w:val="002C3A09"/>
    <w:rsid w:val="002E4478"/>
    <w:rsid w:val="002F03FA"/>
    <w:rsid w:val="003004D2"/>
    <w:rsid w:val="00312BDB"/>
    <w:rsid w:val="0032250B"/>
    <w:rsid w:val="003253B5"/>
    <w:rsid w:val="003349A3"/>
    <w:rsid w:val="00357113"/>
    <w:rsid w:val="00377967"/>
    <w:rsid w:val="00381463"/>
    <w:rsid w:val="00386143"/>
    <w:rsid w:val="003A62AC"/>
    <w:rsid w:val="003B58DC"/>
    <w:rsid w:val="003F0334"/>
    <w:rsid w:val="003F686E"/>
    <w:rsid w:val="00421E27"/>
    <w:rsid w:val="00432292"/>
    <w:rsid w:val="00442552"/>
    <w:rsid w:val="00455A1C"/>
    <w:rsid w:val="004675B5"/>
    <w:rsid w:val="004770D6"/>
    <w:rsid w:val="00477FA2"/>
    <w:rsid w:val="0049065B"/>
    <w:rsid w:val="00491264"/>
    <w:rsid w:val="0049246C"/>
    <w:rsid w:val="004A32B4"/>
    <w:rsid w:val="004E3315"/>
    <w:rsid w:val="004F03D3"/>
    <w:rsid w:val="004F6117"/>
    <w:rsid w:val="004F63F1"/>
    <w:rsid w:val="004F651E"/>
    <w:rsid w:val="0052596B"/>
    <w:rsid w:val="00537E9D"/>
    <w:rsid w:val="005403E5"/>
    <w:rsid w:val="00554D8D"/>
    <w:rsid w:val="00573835"/>
    <w:rsid w:val="00581306"/>
    <w:rsid w:val="005C3105"/>
    <w:rsid w:val="005E13F0"/>
    <w:rsid w:val="00610FED"/>
    <w:rsid w:val="00647898"/>
    <w:rsid w:val="00651BF3"/>
    <w:rsid w:val="00654015"/>
    <w:rsid w:val="006550F4"/>
    <w:rsid w:val="00692C2F"/>
    <w:rsid w:val="00695797"/>
    <w:rsid w:val="00696A5E"/>
    <w:rsid w:val="0069777D"/>
    <w:rsid w:val="006A7C01"/>
    <w:rsid w:val="006B3B69"/>
    <w:rsid w:val="006C0E5A"/>
    <w:rsid w:val="006C49E1"/>
    <w:rsid w:val="006C6FD0"/>
    <w:rsid w:val="00734613"/>
    <w:rsid w:val="00751910"/>
    <w:rsid w:val="00751E60"/>
    <w:rsid w:val="007547B5"/>
    <w:rsid w:val="00785BB7"/>
    <w:rsid w:val="007908B3"/>
    <w:rsid w:val="00795A9E"/>
    <w:rsid w:val="007A606D"/>
    <w:rsid w:val="007C2214"/>
    <w:rsid w:val="00807B48"/>
    <w:rsid w:val="008135CA"/>
    <w:rsid w:val="0081584F"/>
    <w:rsid w:val="008703BF"/>
    <w:rsid w:val="00874F78"/>
    <w:rsid w:val="008925CE"/>
    <w:rsid w:val="00897908"/>
    <w:rsid w:val="008C37FF"/>
    <w:rsid w:val="008C4D41"/>
    <w:rsid w:val="00934C9D"/>
    <w:rsid w:val="00934D47"/>
    <w:rsid w:val="00972624"/>
    <w:rsid w:val="00981F45"/>
    <w:rsid w:val="00994D12"/>
    <w:rsid w:val="009B128B"/>
    <w:rsid w:val="009B209B"/>
    <w:rsid w:val="009E3686"/>
    <w:rsid w:val="00A16F07"/>
    <w:rsid w:val="00A62C7B"/>
    <w:rsid w:val="00A7709A"/>
    <w:rsid w:val="00A95932"/>
    <w:rsid w:val="00AD4E3A"/>
    <w:rsid w:val="00AE1842"/>
    <w:rsid w:val="00AE3C7C"/>
    <w:rsid w:val="00AE7777"/>
    <w:rsid w:val="00AF5294"/>
    <w:rsid w:val="00B31306"/>
    <w:rsid w:val="00B4098C"/>
    <w:rsid w:val="00B42814"/>
    <w:rsid w:val="00B453E6"/>
    <w:rsid w:val="00B8070E"/>
    <w:rsid w:val="00B83936"/>
    <w:rsid w:val="00BC655F"/>
    <w:rsid w:val="00BD6EB7"/>
    <w:rsid w:val="00BF1DD2"/>
    <w:rsid w:val="00C41880"/>
    <w:rsid w:val="00C51263"/>
    <w:rsid w:val="00C54D27"/>
    <w:rsid w:val="00C6648A"/>
    <w:rsid w:val="00C76EEB"/>
    <w:rsid w:val="00C91E7C"/>
    <w:rsid w:val="00C92F0D"/>
    <w:rsid w:val="00CC4A61"/>
    <w:rsid w:val="00CE1A23"/>
    <w:rsid w:val="00CE5EBA"/>
    <w:rsid w:val="00D01F5A"/>
    <w:rsid w:val="00D1716E"/>
    <w:rsid w:val="00D43581"/>
    <w:rsid w:val="00D46EA2"/>
    <w:rsid w:val="00D472B6"/>
    <w:rsid w:val="00D6172E"/>
    <w:rsid w:val="00D64E05"/>
    <w:rsid w:val="00D86C39"/>
    <w:rsid w:val="00D92FD3"/>
    <w:rsid w:val="00DA3B6E"/>
    <w:rsid w:val="00DB0D6B"/>
    <w:rsid w:val="00DB7581"/>
    <w:rsid w:val="00DC70C1"/>
    <w:rsid w:val="00DF3083"/>
    <w:rsid w:val="00E027D0"/>
    <w:rsid w:val="00E045B5"/>
    <w:rsid w:val="00E07A41"/>
    <w:rsid w:val="00E15ABF"/>
    <w:rsid w:val="00E21B01"/>
    <w:rsid w:val="00E83C12"/>
    <w:rsid w:val="00E87D3E"/>
    <w:rsid w:val="00E904C8"/>
    <w:rsid w:val="00EA1BBF"/>
    <w:rsid w:val="00EB29A9"/>
    <w:rsid w:val="00EB77D2"/>
    <w:rsid w:val="00EE28DB"/>
    <w:rsid w:val="00F230C1"/>
    <w:rsid w:val="00F316C8"/>
    <w:rsid w:val="00F56F8F"/>
    <w:rsid w:val="00F632DE"/>
    <w:rsid w:val="00F64576"/>
    <w:rsid w:val="00F735E4"/>
    <w:rsid w:val="00FB7834"/>
    <w:rsid w:val="00FC304A"/>
    <w:rsid w:val="00FD4B6A"/>
    <w:rsid w:val="00FF03A8"/>
    <w:rsid w:val="00FF57E5"/>
    <w:rsid w:val="00FF63EA"/>
    <w:rsid w:val="00FF7740"/>
    <w:rsid w:val="0EF59A25"/>
    <w:rsid w:val="12C27AF7"/>
    <w:rsid w:val="236DED58"/>
    <w:rsid w:val="319EBE78"/>
    <w:rsid w:val="31E6EE70"/>
    <w:rsid w:val="3F5C2CB6"/>
    <w:rsid w:val="427468EE"/>
    <w:rsid w:val="44A53694"/>
    <w:rsid w:val="49BF53CE"/>
    <w:rsid w:val="4AA4E619"/>
    <w:rsid w:val="5B2B2096"/>
    <w:rsid w:val="5D59D099"/>
    <w:rsid w:val="6113E3B1"/>
    <w:rsid w:val="676F8AA8"/>
    <w:rsid w:val="6A806CCC"/>
    <w:rsid w:val="729E9244"/>
    <w:rsid w:val="7B14A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654015"/>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654015"/>
    <w:pPr>
      <w:numPr>
        <w:ilvl w:val="1"/>
        <w:numId w:val="1"/>
      </w:numPr>
      <w:spacing w:after="0" w:line="288" w:lineRule="auto"/>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654015"/>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654015"/>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654015"/>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654015"/>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654015"/>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654015"/>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654015"/>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4015"/>
    <w:rPr>
      <w:rFonts w:ascii="Times New Roman" w:eastAsia="Times New Roman" w:hAnsi="Times New Roman"/>
      <w:kern w:val="28"/>
      <w:sz w:val="22"/>
      <w:szCs w:val="22"/>
      <w:lang w:val="en-US" w:eastAsia="en-US"/>
    </w:rPr>
  </w:style>
  <w:style w:type="character" w:customStyle="1" w:styleId="Heading2Char">
    <w:name w:val="Heading 2 Char"/>
    <w:link w:val="Heading2"/>
    <w:rsid w:val="00654015"/>
    <w:rPr>
      <w:rFonts w:ascii="Times New Roman" w:eastAsia="Times New Roman" w:hAnsi="Times New Roman"/>
      <w:sz w:val="22"/>
      <w:szCs w:val="22"/>
      <w:lang w:val="en-US" w:eastAsia="en-US"/>
    </w:rPr>
  </w:style>
  <w:style w:type="character" w:customStyle="1" w:styleId="Heading3Char">
    <w:name w:val="Heading 3 Char"/>
    <w:link w:val="Heading3"/>
    <w:rsid w:val="00654015"/>
    <w:rPr>
      <w:rFonts w:ascii="Times New Roman" w:eastAsia="Times New Roman" w:hAnsi="Times New Roman"/>
      <w:sz w:val="22"/>
      <w:szCs w:val="22"/>
      <w:lang w:val="en-US" w:eastAsia="en-US"/>
    </w:rPr>
  </w:style>
  <w:style w:type="character" w:customStyle="1" w:styleId="Heading4Char">
    <w:name w:val="Heading 4 Char"/>
    <w:link w:val="Heading4"/>
    <w:rsid w:val="00654015"/>
    <w:rPr>
      <w:rFonts w:ascii="Times New Roman" w:eastAsia="Times New Roman" w:hAnsi="Times New Roman"/>
      <w:sz w:val="22"/>
      <w:szCs w:val="22"/>
      <w:lang w:val="en-US" w:eastAsia="en-US"/>
    </w:rPr>
  </w:style>
  <w:style w:type="character" w:customStyle="1" w:styleId="Heading5Char">
    <w:name w:val="Heading 5 Char"/>
    <w:link w:val="Heading5"/>
    <w:rsid w:val="00654015"/>
    <w:rPr>
      <w:rFonts w:ascii="Times New Roman" w:eastAsia="Times New Roman" w:hAnsi="Times New Roman"/>
      <w:sz w:val="22"/>
      <w:szCs w:val="22"/>
      <w:lang w:val="en-US" w:eastAsia="en-US"/>
    </w:rPr>
  </w:style>
  <w:style w:type="character" w:customStyle="1" w:styleId="Heading6Char">
    <w:name w:val="Heading 6 Char"/>
    <w:link w:val="Heading6"/>
    <w:rsid w:val="00654015"/>
    <w:rPr>
      <w:rFonts w:ascii="Times New Roman" w:eastAsia="Times New Roman" w:hAnsi="Times New Roman"/>
      <w:sz w:val="22"/>
      <w:szCs w:val="22"/>
      <w:lang w:val="en-US" w:eastAsia="en-US"/>
    </w:rPr>
  </w:style>
  <w:style w:type="character" w:customStyle="1" w:styleId="Heading7Char">
    <w:name w:val="Heading 7 Char"/>
    <w:link w:val="Heading7"/>
    <w:rsid w:val="00654015"/>
    <w:rPr>
      <w:rFonts w:ascii="Times New Roman" w:eastAsia="Times New Roman" w:hAnsi="Times New Roman"/>
      <w:sz w:val="22"/>
      <w:szCs w:val="22"/>
      <w:lang w:val="en-US" w:eastAsia="en-US"/>
    </w:rPr>
  </w:style>
  <w:style w:type="character" w:customStyle="1" w:styleId="Heading8Char">
    <w:name w:val="Heading 8 Char"/>
    <w:link w:val="Heading8"/>
    <w:rsid w:val="00654015"/>
    <w:rPr>
      <w:rFonts w:ascii="Times New Roman" w:eastAsia="Times New Roman" w:hAnsi="Times New Roman"/>
      <w:sz w:val="22"/>
      <w:szCs w:val="22"/>
      <w:lang w:val="en-US" w:eastAsia="en-US"/>
    </w:rPr>
  </w:style>
  <w:style w:type="character" w:customStyle="1" w:styleId="Heading9Char">
    <w:name w:val="Heading 9 Char"/>
    <w:link w:val="Heading9"/>
    <w:rsid w:val="00654015"/>
    <w:rPr>
      <w:rFonts w:ascii="Times New Roman" w:eastAsia="Times New Roman" w:hAnsi="Times New Roman"/>
      <w:sz w:val="22"/>
      <w:szCs w:val="22"/>
      <w:lang w:val="en-US" w:eastAsia="en-US"/>
    </w:rPr>
  </w:style>
  <w:style w:type="character" w:styleId="Hyperlink">
    <w:name w:val="Hyperlink"/>
    <w:uiPriority w:val="99"/>
    <w:unhideWhenUsed/>
    <w:rsid w:val="00654015"/>
    <w:rPr>
      <w:color w:val="467886"/>
      <w:u w:val="single"/>
    </w:rPr>
  </w:style>
  <w:style w:type="paragraph" w:styleId="Revision">
    <w:name w:val="Revision"/>
    <w:hidden/>
    <w:uiPriority w:val="99"/>
    <w:semiHidden/>
    <w:rsid w:val="00F64576"/>
    <w:rPr>
      <w:sz w:val="22"/>
      <w:szCs w:val="22"/>
      <w:lang w:val="en-GB" w:eastAsia="en-US"/>
    </w:rPr>
  </w:style>
  <w:style w:type="paragraph" w:styleId="FootnoteText">
    <w:name w:val="footnote text"/>
    <w:basedOn w:val="Normal"/>
    <w:link w:val="FootnoteTextChar"/>
    <w:uiPriority w:val="99"/>
    <w:semiHidden/>
    <w:unhideWhenUsed/>
    <w:rsid w:val="006C0E5A"/>
    <w:rPr>
      <w:sz w:val="20"/>
      <w:szCs w:val="20"/>
    </w:rPr>
  </w:style>
  <w:style w:type="character" w:customStyle="1" w:styleId="FootnoteTextChar">
    <w:name w:val="Footnote Text Char"/>
    <w:basedOn w:val="DefaultParagraphFont"/>
    <w:link w:val="FootnoteText"/>
    <w:uiPriority w:val="99"/>
    <w:semiHidden/>
    <w:rsid w:val="006C0E5A"/>
    <w:rPr>
      <w:lang w:val="en-GB" w:eastAsia="en-US"/>
    </w:rPr>
  </w:style>
  <w:style w:type="character" w:styleId="FootnoteReference">
    <w:name w:val="footnote reference"/>
    <w:basedOn w:val="DefaultParagraphFont"/>
    <w:uiPriority w:val="99"/>
    <w:semiHidden/>
    <w:unhideWhenUsed/>
    <w:rsid w:val="006C0E5A"/>
    <w:rPr>
      <w:vertAlign w:val="superscript"/>
    </w:rPr>
  </w:style>
  <w:style w:type="paragraph" w:styleId="CommentText">
    <w:name w:val="annotation text"/>
    <w:basedOn w:val="Normal"/>
    <w:link w:val="CommentTextChar"/>
    <w:uiPriority w:val="99"/>
    <w:unhideWhenUsed/>
    <w:rsid w:val="00312BDB"/>
    <w:rPr>
      <w:sz w:val="20"/>
      <w:szCs w:val="20"/>
    </w:rPr>
  </w:style>
  <w:style w:type="character" w:customStyle="1" w:styleId="CommentTextChar">
    <w:name w:val="Comment Text Char"/>
    <w:basedOn w:val="DefaultParagraphFont"/>
    <w:link w:val="CommentText"/>
    <w:uiPriority w:val="99"/>
    <w:rsid w:val="00312BDB"/>
    <w:rPr>
      <w:lang w:val="en-GB" w:eastAsia="en-US"/>
    </w:rPr>
  </w:style>
  <w:style w:type="character" w:styleId="CommentReference">
    <w:name w:val="annotation reference"/>
    <w:basedOn w:val="DefaultParagraphFont"/>
    <w:uiPriority w:val="99"/>
    <w:semiHidden/>
    <w:unhideWhenUsed/>
    <w:rsid w:val="00312BDB"/>
    <w:rPr>
      <w:sz w:val="16"/>
      <w:szCs w:val="16"/>
    </w:rPr>
  </w:style>
  <w:style w:type="paragraph" w:styleId="CommentSubject">
    <w:name w:val="annotation subject"/>
    <w:basedOn w:val="CommentText"/>
    <w:next w:val="CommentText"/>
    <w:link w:val="CommentSubjectChar"/>
    <w:uiPriority w:val="99"/>
    <w:semiHidden/>
    <w:unhideWhenUsed/>
    <w:rsid w:val="00312BDB"/>
    <w:rPr>
      <w:b/>
      <w:bCs/>
    </w:rPr>
  </w:style>
  <w:style w:type="character" w:customStyle="1" w:styleId="CommentSubjectChar">
    <w:name w:val="Comment Subject Char"/>
    <w:basedOn w:val="CommentTextChar"/>
    <w:link w:val="CommentSubject"/>
    <w:uiPriority w:val="99"/>
    <w:semiHidden/>
    <w:rsid w:val="00312BDB"/>
    <w:rPr>
      <w:b/>
      <w:bCs/>
      <w:lang w:val="en-GB" w:eastAsia="en-US"/>
    </w:rPr>
  </w:style>
  <w:style w:type="paragraph" w:styleId="Header">
    <w:name w:val="header"/>
    <w:basedOn w:val="Normal"/>
    <w:link w:val="HeaderChar"/>
    <w:uiPriority w:val="99"/>
    <w:unhideWhenUsed/>
    <w:rsid w:val="00312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BDB"/>
    <w:rPr>
      <w:sz w:val="22"/>
      <w:szCs w:val="22"/>
      <w:lang w:val="en-GB" w:eastAsia="en-US"/>
    </w:rPr>
  </w:style>
  <w:style w:type="paragraph" w:styleId="Footer">
    <w:name w:val="footer"/>
    <w:basedOn w:val="Normal"/>
    <w:link w:val="FooterChar"/>
    <w:uiPriority w:val="99"/>
    <w:unhideWhenUsed/>
    <w:rsid w:val="00312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BDB"/>
    <w:rPr>
      <w:sz w:val="22"/>
      <w:szCs w:val="22"/>
      <w:lang w:val="en-GB" w:eastAsia="en-US"/>
    </w:rPr>
  </w:style>
  <w:style w:type="character" w:styleId="UnresolvedMention">
    <w:name w:val="Unresolved Mention"/>
    <w:basedOn w:val="DefaultParagraphFont"/>
    <w:uiPriority w:val="99"/>
    <w:semiHidden/>
    <w:unhideWhenUsed/>
    <w:rsid w:val="00E15ABF"/>
    <w:rPr>
      <w:color w:val="605E5C"/>
      <w:shd w:val="clear" w:color="auto" w:fill="E1DFDD"/>
    </w:rPr>
  </w:style>
  <w:style w:type="paragraph" w:styleId="NormalWeb">
    <w:name w:val="Normal (Web)"/>
    <w:basedOn w:val="Normal"/>
    <w:uiPriority w:val="99"/>
    <w:semiHidden/>
    <w:unhideWhenUsed/>
    <w:rsid w:val="00B4098C"/>
    <w:rPr>
      <w:rFonts w:ascii="Times New Roman" w:hAnsi="Times New Roman"/>
      <w:sz w:val="24"/>
      <w:szCs w:val="24"/>
    </w:rPr>
  </w:style>
  <w:style w:type="character" w:styleId="FollowedHyperlink">
    <w:name w:val="FollowedHyperlink"/>
    <w:basedOn w:val="DefaultParagraphFont"/>
    <w:uiPriority w:val="99"/>
    <w:semiHidden/>
    <w:unhideWhenUsed/>
    <w:rsid w:val="00224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07145">
      <w:bodyDiv w:val="1"/>
      <w:marLeft w:val="0"/>
      <w:marRight w:val="0"/>
      <w:marTop w:val="0"/>
      <w:marBottom w:val="0"/>
      <w:divBdr>
        <w:top w:val="none" w:sz="0" w:space="0" w:color="auto"/>
        <w:left w:val="none" w:sz="0" w:space="0" w:color="auto"/>
        <w:bottom w:val="none" w:sz="0" w:space="0" w:color="auto"/>
        <w:right w:val="none" w:sz="0" w:space="0" w:color="auto"/>
      </w:divBdr>
      <w:divsChild>
        <w:div w:id="278534604">
          <w:marLeft w:val="0"/>
          <w:marRight w:val="0"/>
          <w:marTop w:val="0"/>
          <w:marBottom w:val="0"/>
          <w:divBdr>
            <w:top w:val="none" w:sz="0" w:space="0" w:color="auto"/>
            <w:left w:val="none" w:sz="0" w:space="0" w:color="auto"/>
            <w:bottom w:val="none" w:sz="0" w:space="0" w:color="auto"/>
            <w:right w:val="none" w:sz="0" w:space="0" w:color="auto"/>
          </w:divBdr>
          <w:divsChild>
            <w:div w:id="10491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7395">
      <w:bodyDiv w:val="1"/>
      <w:marLeft w:val="0"/>
      <w:marRight w:val="0"/>
      <w:marTop w:val="0"/>
      <w:marBottom w:val="0"/>
      <w:divBdr>
        <w:top w:val="none" w:sz="0" w:space="0" w:color="auto"/>
        <w:left w:val="none" w:sz="0" w:space="0" w:color="auto"/>
        <w:bottom w:val="none" w:sz="0" w:space="0" w:color="auto"/>
        <w:right w:val="none" w:sz="0" w:space="0" w:color="auto"/>
      </w:divBdr>
      <w:divsChild>
        <w:div w:id="1002393238">
          <w:marLeft w:val="0"/>
          <w:marRight w:val="0"/>
          <w:marTop w:val="0"/>
          <w:marBottom w:val="0"/>
          <w:divBdr>
            <w:top w:val="none" w:sz="0" w:space="0" w:color="auto"/>
            <w:left w:val="none" w:sz="0" w:space="0" w:color="auto"/>
            <w:bottom w:val="none" w:sz="0" w:space="0" w:color="auto"/>
            <w:right w:val="none" w:sz="0" w:space="0" w:color="auto"/>
          </w:divBdr>
          <w:divsChild>
            <w:div w:id="15442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nvironment.ec.europa.eu/topics/water/water-wise-eu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52025DC0529" TargetMode="External"/><Relationship Id="rId3" Type="http://schemas.openxmlformats.org/officeDocument/2006/relationships/hyperlink" Target="https://eur-lex.europa.eu/legal-content/EN/TXT/?uri=celex:52025DC0530" TargetMode="External"/><Relationship Id="rId7" Type="http://schemas.openxmlformats.org/officeDocument/2006/relationships/hyperlink" Target="https://eur-lex.europa.eu/legal-content/EN/TXT/?uri=celex:52025DC0089" TargetMode="External"/><Relationship Id="rId2" Type="http://schemas.openxmlformats.org/officeDocument/2006/relationships/hyperlink" Target="https://eur-lex.europa.eu/legal-content/EN/TXT/?uri=celex:52025DC0281" TargetMode="External"/><Relationship Id="rId1" Type="http://schemas.openxmlformats.org/officeDocument/2006/relationships/hyperlink" Target="https://eur-lex.europa.eu/legal-content/EN/TXT/?uri=celex:52025DC0280" TargetMode="External"/><Relationship Id="rId6" Type="http://schemas.openxmlformats.org/officeDocument/2006/relationships/hyperlink" Target="https://www.eit.europa.eu/" TargetMode="External"/><Relationship Id="rId5" Type="http://schemas.openxmlformats.org/officeDocument/2006/relationships/hyperlink" Target="http://data.europa.eu/eli/dir/2000/60/oj" TargetMode="External"/><Relationship Id="rId4" Type="http://schemas.openxmlformats.org/officeDocument/2006/relationships/hyperlink" Target="https://op.europa.eu/en/publication-detail/-/publication/2672f182-e2e5-11ef-be2a-01aa75ed71a1/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7" ma:contentTypeDescription="Create a new document." ma:contentTypeScope="" ma:versionID="438f1825d4093aa75a1c0fcfa655a8ac">
  <xsd:schema xmlns:xsd="http://www.w3.org/2001/XMLSchema" xmlns:xs="http://www.w3.org/2001/XMLSchema" xmlns:p="http://schemas.microsoft.com/office/2006/metadata/properties" xmlns:ns2="a4c6cd38-953d-409e-8266-a7703513a0a4" xmlns:ns3="64638040-35f6-4905-b21f-4e31af5e1fb5" targetNamespace="http://schemas.microsoft.com/office/2006/metadata/properties" ma:root="true" ma:fieldsID="dab4884958b6788e731b889c524dfe5c" ns2:_="" ns3:_="">
    <xsd:import namespace="a4c6cd38-953d-409e-8266-a7703513a0a4"/>
    <xsd:import namespace="64638040-35f6-4905-b21f-4e31af5e1f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38040-35f6-4905-b21f-4e31af5e1f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17" ma:contentTypeDescription="Create a new document." ma:contentTypeScope="" ma:versionID="646f3ea6e7e9ae9f957f3eebb5167d99">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f916fbf04cb4b40d8702931a237e2c61"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Datecreated_x002f_received_x002f_modifi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Datecreated_x002f_received_x002f_modified" ma:index="16" nillable="true" ma:displayName="Date created/received/modified" ma:format="Dropdown" ma:internalName="Datecreated_x002f_received_x002f_modified">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e6f62dd-2e42-4a2c-bb0e-32559e24dd7a}" ma:internalName="TaxCatchAll" ma:showField="CatchAllData" ma:web="604b4288-15a6-4b36-801c-a9875e40b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a4c6cd38-953d-409e-8266-a7703513a0a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atecreated_x002f_received_x002f_modified xmlns="fb6c068c-bc2d-4620-b517-6a4d82a7e161" xsi:nil="true"/>
    <TaxCatchAll xmlns="604b4288-15a6-4b36-801c-a9875e40b072" xsi:nil="true"/>
    <lcf76f155ced4ddcb4097134ff3c332f xmlns="fb6c068c-bc2d-4620-b517-6a4d82a7e16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707C28D8-6A44-4C70-91D4-B5A0972A4D2D}">
  <ds:schemaRefs>
    <ds:schemaRef ds:uri="http://schemas.microsoft.com/sharepoint/v3/contenttype/forms"/>
  </ds:schemaRefs>
</ds:datastoreItem>
</file>

<file path=customXml/itemProps2.xml><?xml version="1.0" encoding="utf-8"?>
<ds:datastoreItem xmlns:ds="http://schemas.openxmlformats.org/officeDocument/2006/customXml" ds:itemID="{4ECFADE7-7F89-428A-A8C4-6D233838D0C1}">
  <ds:schemaRefs>
    <ds:schemaRef ds:uri="http://schemas.openxmlformats.org/officeDocument/2006/bibliography"/>
  </ds:schemaRefs>
</ds:datastoreItem>
</file>

<file path=customXml/itemProps3.xml><?xml version="1.0" encoding="utf-8"?>
<ds:datastoreItem xmlns:ds="http://schemas.openxmlformats.org/officeDocument/2006/customXml" ds:itemID="{3E35A7C2-8865-49A4-B9B3-301DB843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64638040-35f6-4905-b21f-4e31af5e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947AA-2066-48C4-BE62-507496C13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225655-47CB-43D6-97DF-6C16117EEE68}">
  <ds:schemaRefs>
    <ds:schemaRef ds:uri="http://schemas.microsoft.com/office/2006/metadata/properties"/>
    <ds:schemaRef ds:uri="http://schemas.microsoft.com/office/infopath/2007/PartnerControls"/>
    <ds:schemaRef ds:uri="a4c6cd38-953d-409e-8266-a7703513a0a4"/>
  </ds:schemaRefs>
</ds:datastoreItem>
</file>

<file path=customXml/itemProps6.xml><?xml version="1.0" encoding="utf-8"?>
<ds:datastoreItem xmlns:ds="http://schemas.openxmlformats.org/officeDocument/2006/customXml" ds:itemID="{81A8F342-BD78-49B7-9A86-F952F92FB937}">
  <ds:schemaRefs>
    <ds:schemaRef ds:uri="http://schemas.microsoft.com/sharepoint/v3/contenttype/forms"/>
  </ds:schemaRefs>
</ds:datastoreItem>
</file>

<file path=customXml/itemProps7.xml><?xml version="1.0" encoding="utf-8"?>
<ds:datastoreItem xmlns:ds="http://schemas.openxmlformats.org/officeDocument/2006/customXml" ds:itemID="{CD3F6B45-939A-49C3-A1A4-6A967B179D68}">
  <ds:schemaRefs>
    <ds:schemaRef ds:uri="http://schemas.microsoft.com/office/2006/metadata/properties"/>
    <ds:schemaRef ds:uri="http://schemas.microsoft.com/office/infopath/2007/PartnerControls"/>
    <ds:schemaRef ds:uri="fb6c068c-bc2d-4620-b517-6a4d82a7e161"/>
    <ds:schemaRef ds:uri="604b4288-15a6-4b36-801c-a9875e40b07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1113</Words>
  <Characters>6537</Characters>
  <Application>Microsoft Office Word</Application>
  <DocSecurity>0</DocSecurity>
  <Lines>94</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4</cp:revision>
  <cp:lastPrinted>2013-02-27T18:02:00Z</cp:lastPrinted>
  <dcterms:created xsi:type="dcterms:W3CDTF">2026-02-16T14:59:00Z</dcterms:created>
  <dcterms:modified xsi:type="dcterms:W3CDTF">2026-02-16T15:07:00Z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0x0101003F53AE254540994BBD772E5BCBE11F29</vt:lpwstr>
  </property>
  <property fmtid="{D5CDD505-2E9C-101B-9397-08002B2CF9AE}" pid="10" name="MediaServiceImageTags">
    <vt:lpwstr/>
  </property>
</Properties>
</file>