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8"/>
      </w:tblGrid>
      <w:tr w:rsidR="001C4138" w:rsidRPr="00C55AC4" w14:paraId="7E6372DC" w14:textId="77777777" w:rsidTr="004A3CF9">
        <w:trPr>
          <w:jc w:val="center"/>
        </w:trPr>
        <w:tc>
          <w:tcPr>
            <w:tcW w:w="10288" w:type="dxa"/>
          </w:tcPr>
          <w:p w14:paraId="3A4EDC3A" w14:textId="7C0DB29D" w:rsidR="001C4138" w:rsidRPr="00C55AC4" w:rsidRDefault="00221BD7" w:rsidP="00E723B4">
            <w:pPr>
              <w:widowControl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IE"/>
              </w:rPr>
            </w:pPr>
            <w:r w:rsidRPr="00221BD7">
              <w:rPr>
                <w:rFonts w:ascii="Times New Roman" w:eastAsia="Times New Roman" w:hAnsi="Times New Roman"/>
                <w:b/>
                <w:sz w:val="24"/>
                <w:szCs w:val="24"/>
              </w:rPr>
              <w:t>Citizens</w:t>
            </w:r>
            <w:r w:rsidR="00BD5A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</w:t>
            </w:r>
            <w:r w:rsidRPr="00221B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nergy Package: </w:t>
            </w:r>
            <w:r w:rsidRPr="00D2016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citizens’ engagement, energy communities and </w:t>
            </w:r>
            <w:proofErr w:type="spellStart"/>
            <w:r w:rsidRPr="00D2016F">
              <w:rPr>
                <w:rFonts w:ascii="Times New Roman" w:eastAsia="Times New Roman" w:hAnsi="Times New Roman"/>
                <w:b/>
                <w:sz w:val="24"/>
                <w:szCs w:val="24"/>
              </w:rPr>
              <w:t>prosumerism</w:t>
            </w:r>
            <w:proofErr w:type="spellEnd"/>
            <w:r w:rsidRPr="00D2016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C55A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(e</w:t>
            </w:r>
            <w:r w:rsidR="00C55AC4" w:rsidRPr="00D61D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xploratory </w:t>
            </w:r>
            <w:r w:rsidR="00C55A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</w:t>
            </w:r>
            <w:r w:rsidR="00C55AC4" w:rsidRPr="00D61D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pinion requested by the European Commission</w:t>
            </w:r>
            <w:r w:rsidR="00C55AC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EFEFE"/>
              </w:rPr>
              <w:t>)</w:t>
            </w:r>
            <w:r w:rsidR="00C55AC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="00C55AC4" w:rsidRPr="00904E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EESC-2025-01467 –</w:t>
            </w:r>
            <w:r w:rsidR="00C55AC4" w:rsidRPr="00D201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4C09" w:rsidRPr="00D2016F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EFEFE"/>
              </w:rPr>
              <w:t>TEN/854</w:t>
            </w:r>
            <w:r w:rsidR="0029105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EFEFE"/>
              </w:rPr>
              <w:br/>
            </w:r>
            <w:r w:rsidR="00C55AC4">
              <w:rPr>
                <w:rFonts w:ascii="Times New Roman" w:hAnsi="Times New Roman"/>
                <w:b/>
                <w:sz w:val="24"/>
                <w:szCs w:val="24"/>
              </w:rPr>
              <w:t>599</w:t>
            </w:r>
            <w:r w:rsidR="00C55AC4" w:rsidRPr="00904E0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="00C55A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4138" w:rsidRPr="00D2016F">
              <w:rPr>
                <w:rFonts w:ascii="Times New Roman" w:hAnsi="Times New Roman"/>
                <w:b/>
                <w:sz w:val="24"/>
                <w:szCs w:val="24"/>
              </w:rPr>
              <w:t xml:space="preserve">Plenary Session </w:t>
            </w:r>
            <w:r w:rsidR="004A3CF9" w:rsidRPr="00D2016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2016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en-IE" w:eastAsia="en-IE"/>
              </w:rPr>
              <w:t xml:space="preserve"> </w:t>
            </w:r>
            <w:r w:rsidRPr="00221BD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en-IE" w:eastAsia="en-IE"/>
              </w:rPr>
              <w:t>Sep</w:t>
            </w:r>
            <w:r w:rsidR="00C55AC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en-IE" w:eastAsia="en-IE"/>
              </w:rPr>
              <w:t>tember</w:t>
            </w:r>
            <w:r w:rsidRPr="00221BD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en-IE" w:eastAsia="en-IE"/>
              </w:rPr>
              <w:t xml:space="preserve"> 2025</w:t>
            </w:r>
            <w:r w:rsidR="00C55AC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="00291C6C" w:rsidRPr="00C55AC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Rapporteur:</w:t>
            </w:r>
            <w:r w:rsidR="001C4138" w:rsidRPr="00C55AC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 w:rsidRPr="00C55AC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Corina MURAFA BENGA </w:t>
            </w:r>
            <w:r w:rsidR="00C55AC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en-IE" w:eastAsia="en-IE"/>
              </w:rPr>
              <w:t>(RO-</w:t>
            </w:r>
            <w:r w:rsidRPr="00C55AC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en-IE" w:eastAsia="en-IE"/>
              </w:rPr>
              <w:t>III</w:t>
            </w:r>
            <w:r w:rsidR="00C55AC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en-IE" w:eastAsia="en-IE"/>
              </w:rPr>
              <w:t>)</w:t>
            </w:r>
            <w:r w:rsidR="00C55AC4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="001C4138" w:rsidRPr="00D2016F">
              <w:rPr>
                <w:rFonts w:ascii="Times New Roman" w:hAnsi="Times New Roman"/>
                <w:b/>
                <w:sz w:val="24"/>
                <w:szCs w:val="24"/>
              </w:rPr>
              <w:t xml:space="preserve">DG </w:t>
            </w:r>
            <w:r w:rsidRPr="00D2016F">
              <w:rPr>
                <w:rFonts w:ascii="Times New Roman" w:hAnsi="Times New Roman"/>
                <w:b/>
                <w:sz w:val="24"/>
                <w:szCs w:val="24"/>
              </w:rPr>
              <w:t>ENER</w:t>
            </w:r>
            <w:r w:rsidR="001C4138" w:rsidRPr="00D2016F">
              <w:rPr>
                <w:rFonts w:ascii="Times New Roman" w:hAnsi="Times New Roman"/>
                <w:b/>
                <w:sz w:val="24"/>
                <w:szCs w:val="24"/>
              </w:rPr>
              <w:t xml:space="preserve"> – Commissioner </w:t>
            </w:r>
            <w:r w:rsidR="00C55AC4">
              <w:rPr>
                <w:rFonts w:ascii="Times New Roman" w:hAnsi="Times New Roman"/>
                <w:b/>
                <w:sz w:val="24"/>
                <w:szCs w:val="24"/>
              </w:rPr>
              <w:t>JØRGENSEN</w:t>
            </w:r>
          </w:p>
        </w:tc>
      </w:tr>
      <w:tr w:rsidR="00734613" w:rsidRPr="00442552" w14:paraId="1937071F" w14:textId="77777777" w:rsidTr="004A3CF9">
        <w:trPr>
          <w:jc w:val="center"/>
        </w:trPr>
        <w:tc>
          <w:tcPr>
            <w:tcW w:w="10288" w:type="dxa"/>
          </w:tcPr>
          <w:p w14:paraId="1E50B4DB" w14:textId="327D10D5" w:rsidR="00734613" w:rsidRPr="00D61D3B" w:rsidRDefault="004F6117" w:rsidP="0068410C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3B">
              <w:rPr>
                <w:rFonts w:ascii="Times New Roman" w:hAnsi="Times New Roman"/>
                <w:b/>
                <w:sz w:val="24"/>
                <w:szCs w:val="24"/>
              </w:rPr>
              <w:t>European Commission position on points of the European Economic and Social Committee</w:t>
            </w:r>
            <w:r w:rsidR="0068410C">
              <w:rPr>
                <w:rFonts w:ascii="Times New Roman" w:hAnsi="Times New Roman"/>
                <w:b/>
                <w:sz w:val="24"/>
                <w:szCs w:val="24"/>
              </w:rPr>
              <w:t xml:space="preserve"> (EESC)</w:t>
            </w:r>
            <w:r w:rsidRPr="00D61D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41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opinion considered as essential</w:t>
            </w:r>
          </w:p>
        </w:tc>
      </w:tr>
      <w:tr w:rsidR="00734613" w:rsidRPr="004F6117" w14:paraId="673DDC1B" w14:textId="77777777" w:rsidTr="004A3CF9">
        <w:trPr>
          <w:jc w:val="center"/>
        </w:trPr>
        <w:tc>
          <w:tcPr>
            <w:tcW w:w="10288" w:type="dxa"/>
          </w:tcPr>
          <w:p w14:paraId="4387CA40" w14:textId="74E03DCB" w:rsidR="00DB2115" w:rsidRDefault="00BD5A38" w:rsidP="00B96F1E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</w:pPr>
            <w:r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The Commission thanks the Committee for its </w:t>
            </w:r>
            <w:r w:rsidRPr="05E67A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Exploratory Opinion</w:t>
            </w:r>
            <w:r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on the </w:t>
            </w:r>
            <w:r w:rsidRPr="05E67A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Citizens Energy Packag</w:t>
            </w:r>
            <w:r w:rsidRPr="004F5F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e</w:t>
            </w:r>
            <w:r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. The Package aims to </w:t>
            </w:r>
            <w:r w:rsidR="00B96F1E" w:rsidRPr="00B96F1E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increase citizens’ participation in the energy transition and strengthen the social dimension of the Energy Union.</w:t>
            </w:r>
          </w:p>
          <w:p w14:paraId="39D2205E" w14:textId="542DF086" w:rsidR="00DB2115" w:rsidRPr="00DB2115" w:rsidRDefault="00330445" w:rsidP="00446263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A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part 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of the EU's </w:t>
            </w:r>
            <w:r w:rsidR="00DB2115" w:rsidRPr="05E67A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Affordable Energy Action Plan</w:t>
            </w:r>
            <w:r w:rsidR="00BA6D3D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footnoteReference w:id="2"/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, the Citizens Energy Package seeks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to empower </w:t>
            </w:r>
            <w:r w:rsidRPr="00330445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consumers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, including to </w:t>
            </w:r>
            <w:r w:rsidRPr="00330445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switch to cheaper energy suppliers, and to benefit from affordable renewable energy, while tackling energy poverty</w:t>
            </w:r>
          </w:p>
          <w:p w14:paraId="5E1C2D60" w14:textId="7D0AE464" w:rsidR="00D441B3" w:rsidRDefault="00DB2115" w:rsidP="005B72B0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</w:pPr>
            <w:r w:rsidRPr="00DB211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Commission </w:t>
            </w:r>
            <w:r w:rsidR="00D441B3">
              <w:rPr>
                <w:rFonts w:ascii="Times New Roman" w:hAnsi="Times New Roman"/>
                <w:sz w:val="24"/>
                <w:szCs w:val="24"/>
                <w:lang w:val="en-IE"/>
              </w:rPr>
              <w:t>expresses its appreciation for</w:t>
            </w:r>
            <w:r w:rsidRPr="00DB211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the EESC's Opinion, which welcomes the Citizens Energy Package initiative. The Commission agrees on the need to restore </w:t>
            </w:r>
            <w:r w:rsidRPr="00D441B3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public trust</w:t>
            </w:r>
            <w:r w:rsidRPr="00DB211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in the energy system through inclusive governance and awareness-raising actions. Citizens should be </w:t>
            </w:r>
            <w:r w:rsidR="00D441B3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well </w:t>
            </w:r>
            <w:r w:rsidRPr="00D441B3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informed about their rights </w:t>
            </w:r>
            <w:r w:rsidRPr="00DB2115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and able to make </w:t>
            </w:r>
            <w:r w:rsidRPr="00D441B3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informed decisions about energy services</w:t>
            </w:r>
            <w:r w:rsidRPr="00DB2115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  <w:r w:rsidR="00D441B3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D441B3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Clear</w:t>
            </w:r>
            <w:r w:rsidRPr="00DB2115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</w:t>
            </w:r>
            <w:r w:rsidR="00D441B3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information, easy-to-understand r</w:t>
            </w:r>
            <w:r w:rsidRPr="00DB2115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ules</w:t>
            </w:r>
            <w:r w:rsidR="00D441B3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and intelligible bills are essential for citizens to </w:t>
            </w:r>
            <w:r w:rsidRPr="00DB2115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save energy </w:t>
            </w:r>
            <w:r w:rsidR="00D441B3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and </w:t>
            </w:r>
            <w:r w:rsidRPr="00DB2115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thus cut their energy bills</w:t>
            </w:r>
            <w:r w:rsidR="00D441B3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, or to </w:t>
            </w:r>
            <w:r w:rsidRPr="00DB2115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participat</w:t>
            </w:r>
            <w:r w:rsidR="00D441B3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e</w:t>
            </w:r>
            <w:r w:rsidRPr="00DB2115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in collective initiatives, such as energy communities or energy sharing.</w:t>
            </w:r>
          </w:p>
          <w:p w14:paraId="18786C9D" w14:textId="21EAC054" w:rsidR="00BE68D8" w:rsidRDefault="00DB2115" w:rsidP="005B72B0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</w:pPr>
            <w:r w:rsidRPr="0A0A7EB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The </w:t>
            </w:r>
            <w:r w:rsidR="00D441B3" w:rsidRPr="0A0A7EB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Commission notes</w:t>
            </w:r>
            <w:r w:rsidRPr="0A0A7EB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the </w:t>
            </w:r>
            <w:r w:rsidR="00D441B3" w:rsidRPr="0A0A7EB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EESC’s </w:t>
            </w:r>
            <w:r w:rsidRPr="0A0A7EB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call for acknowledging and promoting the strategic role of citizen </w:t>
            </w:r>
            <w:r w:rsidRPr="0A0A7E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energy communities</w:t>
            </w:r>
            <w:r w:rsidRPr="0A0A7EB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in energy policy including through the </w:t>
            </w:r>
            <w:r w:rsidRPr="0A0A7E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removal of technical, financial,</w:t>
            </w:r>
            <w:r w:rsidR="00250F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 xml:space="preserve"> and </w:t>
            </w:r>
            <w:r w:rsidRPr="0A0A7E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administrative barriers</w:t>
            </w:r>
            <w:r w:rsidRPr="0A0A7EB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hampering the development of energy communities. </w:t>
            </w:r>
            <w:r w:rsidR="003A5ECB" w:rsidRPr="0A0A7EB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The Commission</w:t>
            </w:r>
            <w:r w:rsidR="00330445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agrees on the importance of the swift implementation of the provisions on </w:t>
            </w:r>
            <w:r w:rsidR="003304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e</w:t>
            </w:r>
            <w:r w:rsidR="003A5ECB" w:rsidRPr="0A0A7E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nergy communitie</w:t>
            </w:r>
            <w:r w:rsidR="003A5ECB" w:rsidRPr="004F5F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s</w:t>
            </w:r>
            <w:r w:rsidR="00D16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 xml:space="preserve"> </w:t>
            </w:r>
            <w:r w:rsidR="00330445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and energy sharing in all Member States, which is the precondition for enabling all citizens to benefit </w:t>
            </w:r>
            <w:r w:rsidR="00FA1778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from </w:t>
            </w:r>
            <w:r w:rsidR="00FA1778" w:rsidRPr="00FA1778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entities that empower individuals, small businesses, and local authorities to collectively produce, manage, consume, and share their own energy</w:t>
            </w:r>
            <w:r w:rsidR="00FA1778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. </w:t>
            </w:r>
          </w:p>
          <w:p w14:paraId="6D67369F" w14:textId="3C4EA9ED" w:rsidR="003A5ECB" w:rsidRDefault="00DB2115" w:rsidP="005B72B0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IE"/>
              </w:rPr>
            </w:pPr>
            <w:r w:rsidRPr="0A0A7EB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The Exploratory Opinion also rightly stresses the importance of </w:t>
            </w:r>
            <w:r w:rsidRPr="004F5F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l</w:t>
            </w:r>
            <w:r w:rsidRPr="0A0A7E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ocal and regional authorities</w:t>
            </w:r>
            <w:r w:rsidRPr="0A0A7EB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to link national energy policy and citizens’ needs and to set energy policies tailored to the specific local contexts.</w:t>
            </w:r>
          </w:p>
          <w:p w14:paraId="5B382B7A" w14:textId="5F8FF3A3" w:rsidR="003A5ECB" w:rsidRDefault="00DB2115" w:rsidP="005B72B0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</w:pPr>
            <w:r w:rsidRPr="00DB2115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Regarding </w:t>
            </w:r>
            <w:r w:rsidRPr="003A5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energy disconnections</w:t>
            </w:r>
            <w:r w:rsidRPr="00DB2115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, the Commission confirms that, although current EU legislation does not impose a complete energy disconnection ban, it does oblige Member States to protect vulnerable and energy poor households from disconnection of both electricity and gas. The</w:t>
            </w:r>
            <w:r w:rsidR="00FA1778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Commission encourages Member States to share </w:t>
            </w:r>
          </w:p>
          <w:p w14:paraId="764370FA" w14:textId="2BDC0B13" w:rsidR="00DB2115" w:rsidRDefault="00C3555B" w:rsidP="005B72B0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The Commission agrees that </w:t>
            </w:r>
            <w:r w:rsidR="00FA17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s</w:t>
            </w:r>
            <w:r w:rsidR="00DB2115" w:rsidRPr="05E67A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tructural measures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, such as the </w:t>
            </w:r>
            <w:r w:rsidR="00DB2115" w:rsidRPr="05E67A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energy renovation of buildings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, can lower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energy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bills 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,</w:t>
            </w:r>
            <w:proofErr w:type="gramEnd"/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thereby contributing to housing affordability and the alleviation of energy poverty. The Commission is working closely with Member States </w:t>
            </w:r>
            <w:r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to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improve data collection on the energy 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lastRenderedPageBreak/>
              <w:t>performance of the EU building stock. New provisions in the recast Energy Performance of Buildings Directive</w:t>
            </w:r>
            <w:r w:rsidR="00F425FB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footnoteReference w:id="3"/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establish national databases for the energy performance of buildings and strengthen the EU Building Stock Observatory.</w:t>
            </w:r>
            <w:r w:rsidR="00AD7D08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</w:t>
            </w:r>
            <w:r w:rsidR="00790AEE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The Commission is</w:t>
            </w:r>
            <w:r w:rsidR="004417E7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also</w:t>
            </w:r>
            <w:r w:rsidR="00790AEE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working closely with Member States on the finalisation of their Social Climate Plans, </w:t>
            </w:r>
            <w:r w:rsidR="003C229B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pursuant to the </w:t>
            </w:r>
            <w:r w:rsidR="00B25F83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Social Climate Fund Regulation</w:t>
            </w:r>
            <w:r w:rsidR="00F425FB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footnoteReference w:id="4"/>
            </w:r>
            <w:r w:rsidR="00B25F83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,</w:t>
            </w:r>
            <w:r w:rsidR="00B9000B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including on investments toward energy renovation of buildings.</w:t>
            </w:r>
          </w:p>
          <w:p w14:paraId="30D14481" w14:textId="019925E8" w:rsidR="006C5D4B" w:rsidRPr="00E723B4" w:rsidRDefault="00CA799A" w:rsidP="00C3555B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Moreover, t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he Commission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is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work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ing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closely with Member States on the </w:t>
            </w:r>
            <w:r w:rsidR="00DB2115" w:rsidRPr="05E67A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identification of vulnerable households and people in a situation of energy povert</w:t>
            </w:r>
            <w:r w:rsidR="00DB2115" w:rsidRPr="004F5F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IE" w:eastAsia="en-IE"/>
              </w:rPr>
              <w:t>y</w:t>
            </w:r>
            <w:r w:rsidR="00C3555B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pursuant to 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the Energy Efficiency Directive</w:t>
            </w:r>
            <w:r w:rsidR="00F425FB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footnoteReference w:id="5"/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and the Social Climate Fund Regulation</w:t>
            </w:r>
            <w:r w:rsidR="00F879C7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footnoteReference w:id="6"/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</w:t>
            </w:r>
            <w:r w:rsidR="00FA1778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to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 </w:t>
            </w:r>
            <w:r w:rsidR="00C3555B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support Member States in developing 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target policy measures </w:t>
            </w:r>
            <w:r w:rsidR="009011E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>and investments</w:t>
            </w:r>
            <w:r w:rsidR="00DB2115" w:rsidRPr="05E67AD0">
              <w:rPr>
                <w:rFonts w:ascii="Times New Roman" w:eastAsia="Times New Roman" w:hAnsi="Times New Roman"/>
                <w:sz w:val="24"/>
                <w:szCs w:val="24"/>
                <w:lang w:val="en-IE" w:eastAsia="en-IE"/>
              </w:rPr>
              <w:t xml:space="preserve">. </w:t>
            </w:r>
          </w:p>
        </w:tc>
      </w:tr>
    </w:tbl>
    <w:p w14:paraId="7E347EA8" w14:textId="3EEBE380" w:rsidR="004F6117" w:rsidRPr="00E723B4" w:rsidRDefault="004F6117" w:rsidP="00DF3814">
      <w:pPr>
        <w:spacing w:after="120" w:line="240" w:lineRule="auto"/>
        <w:jc w:val="both"/>
        <w:rPr>
          <w:rFonts w:ascii="Times New Roman" w:hAnsi="Times New Roman"/>
          <w:b/>
          <w:sz w:val="2"/>
          <w:szCs w:val="2"/>
          <w:u w:val="single"/>
        </w:rPr>
      </w:pPr>
    </w:p>
    <w:p w14:paraId="7A8371B3" w14:textId="1FADD5D1" w:rsidR="004F6117" w:rsidRPr="00E723B4" w:rsidRDefault="004F6117" w:rsidP="00DF3814">
      <w:pPr>
        <w:spacing w:after="120" w:line="240" w:lineRule="auto"/>
        <w:jc w:val="both"/>
        <w:rPr>
          <w:rFonts w:ascii="Times New Roman" w:hAnsi="Times New Roman"/>
          <w:b/>
          <w:strike/>
          <w:sz w:val="2"/>
          <w:szCs w:val="2"/>
          <w:u w:val="single"/>
        </w:rPr>
      </w:pPr>
    </w:p>
    <w:p w14:paraId="6AF07B14" w14:textId="26AEAB66" w:rsidR="004F6117" w:rsidRPr="00E723B4" w:rsidRDefault="004F6117" w:rsidP="00751910">
      <w:pPr>
        <w:rPr>
          <w:rFonts w:ascii="Times New Roman" w:hAnsi="Times New Roman"/>
          <w:b/>
          <w:strike/>
          <w:sz w:val="2"/>
          <w:szCs w:val="2"/>
          <w:u w:val="single"/>
        </w:rPr>
      </w:pPr>
    </w:p>
    <w:sectPr w:rsidR="004F6117" w:rsidRPr="00E723B4" w:rsidSect="00AF4D78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22CC" w14:textId="77777777" w:rsidR="003B11C0" w:rsidRDefault="003B11C0" w:rsidP="00FF63EA">
      <w:pPr>
        <w:spacing w:after="0" w:line="240" w:lineRule="auto"/>
      </w:pPr>
      <w:r>
        <w:separator/>
      </w:r>
    </w:p>
  </w:endnote>
  <w:endnote w:type="continuationSeparator" w:id="0">
    <w:p w14:paraId="4F7D8352" w14:textId="77777777" w:rsidR="003B11C0" w:rsidRDefault="003B11C0" w:rsidP="00FF63EA">
      <w:pPr>
        <w:spacing w:after="0" w:line="240" w:lineRule="auto"/>
      </w:pPr>
      <w:r>
        <w:continuationSeparator/>
      </w:r>
    </w:p>
  </w:endnote>
  <w:endnote w:type="continuationNotice" w:id="1">
    <w:p w14:paraId="0205CBE9" w14:textId="77777777" w:rsidR="003B11C0" w:rsidRDefault="003B11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54A9" w14:textId="77777777" w:rsidR="003B11C0" w:rsidRDefault="003B11C0" w:rsidP="00FF63EA">
      <w:pPr>
        <w:spacing w:after="0" w:line="240" w:lineRule="auto"/>
      </w:pPr>
      <w:r>
        <w:separator/>
      </w:r>
    </w:p>
  </w:footnote>
  <w:footnote w:type="continuationSeparator" w:id="0">
    <w:p w14:paraId="12D995B1" w14:textId="77777777" w:rsidR="003B11C0" w:rsidRDefault="003B11C0" w:rsidP="00FF63EA">
      <w:pPr>
        <w:spacing w:after="0" w:line="240" w:lineRule="auto"/>
      </w:pPr>
      <w:r>
        <w:continuationSeparator/>
      </w:r>
    </w:p>
  </w:footnote>
  <w:footnote w:type="continuationNotice" w:id="1">
    <w:p w14:paraId="65587A3B" w14:textId="77777777" w:rsidR="003B11C0" w:rsidRDefault="003B11C0">
      <w:pPr>
        <w:spacing w:after="0" w:line="240" w:lineRule="auto"/>
      </w:pPr>
    </w:p>
  </w:footnote>
  <w:footnote w:id="2">
    <w:p w14:paraId="2F8C8E43" w14:textId="7191306B" w:rsidR="00BA6D3D" w:rsidRPr="00446263" w:rsidRDefault="00BA6D3D" w:rsidP="004A3CF9">
      <w:pPr>
        <w:pStyle w:val="FootnoteText"/>
        <w:widowControl w:val="0"/>
        <w:spacing w:after="0"/>
        <w:ind w:left="0" w:right="-285" w:hanging="284"/>
        <w:rPr>
          <w:rFonts w:ascii="Times New Roman" w:hAnsi="Times New Roman"/>
          <w:lang w:val="pt-PT"/>
        </w:rPr>
      </w:pPr>
      <w:r w:rsidRPr="00446263">
        <w:rPr>
          <w:rStyle w:val="FootnoteReference"/>
          <w:rFonts w:ascii="Times New Roman" w:hAnsi="Times New Roman"/>
        </w:rPr>
        <w:footnoteRef/>
      </w:r>
      <w:r w:rsidRPr="00446263">
        <w:rPr>
          <w:rFonts w:ascii="Times New Roman" w:hAnsi="Times New Roman"/>
          <w:lang w:val="pt-PT"/>
        </w:rPr>
        <w:t xml:space="preserve"> </w:t>
      </w:r>
      <w:r w:rsidRPr="00446263">
        <w:rPr>
          <w:rFonts w:ascii="Times New Roman" w:hAnsi="Times New Roman"/>
          <w:lang w:val="pt-PT"/>
        </w:rPr>
        <w:tab/>
      </w:r>
      <w:proofErr w:type="gramStart"/>
      <w:r w:rsidRPr="00446263">
        <w:rPr>
          <w:rFonts w:ascii="Times New Roman" w:hAnsi="Times New Roman"/>
          <w:lang w:val="pt-PT"/>
        </w:rPr>
        <w:t>COM(</w:t>
      </w:r>
      <w:proofErr w:type="gramEnd"/>
      <w:r w:rsidRPr="00446263">
        <w:rPr>
          <w:rFonts w:ascii="Times New Roman" w:hAnsi="Times New Roman"/>
          <w:lang w:val="pt-PT"/>
        </w:rPr>
        <w:t>2025)</w:t>
      </w:r>
      <w:r w:rsidR="00291053">
        <w:rPr>
          <w:rFonts w:ascii="Times New Roman" w:hAnsi="Times New Roman"/>
          <w:lang w:val="pt-PT"/>
        </w:rPr>
        <w:t xml:space="preserve"> </w:t>
      </w:r>
      <w:r w:rsidRPr="00446263">
        <w:rPr>
          <w:rFonts w:ascii="Times New Roman" w:hAnsi="Times New Roman"/>
          <w:lang w:val="pt-PT"/>
        </w:rPr>
        <w:t xml:space="preserve">79 final </w:t>
      </w:r>
      <w:r w:rsidR="00F425FB" w:rsidRPr="00446263">
        <w:rPr>
          <w:rFonts w:ascii="Times New Roman" w:hAnsi="Times New Roman"/>
          <w:lang w:val="pt-PT"/>
        </w:rPr>
        <w:t>(</w:t>
      </w:r>
      <w:hyperlink r:id="rId1" w:history="1">
        <w:r w:rsidR="00291053" w:rsidRPr="00870A05">
          <w:rPr>
            <w:rStyle w:val="Hyperlink"/>
            <w:rFonts w:ascii="Times New Roman" w:hAnsi="Times New Roman"/>
            <w:lang w:val="pt-PT"/>
          </w:rPr>
          <w:t>https://eur-lex.europa.eu/legal-content/EN/TXT/?uri=celex:52025DC0079</w:t>
        </w:r>
      </w:hyperlink>
      <w:r w:rsidR="00291053">
        <w:rPr>
          <w:rFonts w:ascii="Times New Roman" w:hAnsi="Times New Roman"/>
          <w:lang w:val="pt-PT"/>
        </w:rPr>
        <w:t>)</w:t>
      </w:r>
      <w:r w:rsidR="00F425FB" w:rsidRPr="00446263">
        <w:rPr>
          <w:rFonts w:ascii="Times New Roman" w:hAnsi="Times New Roman"/>
          <w:lang w:val="pt-PT"/>
        </w:rPr>
        <w:t>.</w:t>
      </w:r>
    </w:p>
  </w:footnote>
  <w:footnote w:id="3">
    <w:p w14:paraId="3896F5E0" w14:textId="5C388F00" w:rsidR="00F425FB" w:rsidRPr="00446263" w:rsidRDefault="00F425FB" w:rsidP="004A3CF9">
      <w:pPr>
        <w:pStyle w:val="FootnoteText"/>
        <w:widowControl w:val="0"/>
        <w:spacing w:after="0"/>
        <w:ind w:left="0" w:right="-285" w:hanging="284"/>
        <w:rPr>
          <w:rFonts w:ascii="Times New Roman" w:hAnsi="Times New Roman"/>
        </w:rPr>
      </w:pPr>
      <w:r w:rsidRPr="00446263">
        <w:rPr>
          <w:rStyle w:val="FootnoteReference"/>
          <w:rFonts w:ascii="Times New Roman" w:hAnsi="Times New Roman"/>
        </w:rPr>
        <w:footnoteRef/>
      </w:r>
      <w:r w:rsidRPr="00446263">
        <w:rPr>
          <w:rFonts w:ascii="Times New Roman" w:hAnsi="Times New Roman"/>
        </w:rPr>
        <w:t xml:space="preserve"> </w:t>
      </w:r>
      <w:r w:rsidRPr="00446263">
        <w:rPr>
          <w:rFonts w:ascii="Times New Roman" w:hAnsi="Times New Roman"/>
        </w:rPr>
        <w:tab/>
      </w:r>
      <w:r w:rsidRPr="00446263">
        <w:rPr>
          <w:rFonts w:ascii="Times New Roman" w:hAnsi="Times New Roman"/>
          <w:lang w:val="en-GB"/>
        </w:rPr>
        <w:t>Directive (EU) 2024/1275 of the European Parliament and of the Council of 24 April 2024 on the energy performance of buildings (</w:t>
      </w:r>
      <w:hyperlink r:id="rId2" w:tooltip="Gives access to this document through its ELI URI." w:history="1">
        <w:r w:rsidRPr="00446263">
          <w:rPr>
            <w:rStyle w:val="Hyperlink"/>
            <w:rFonts w:ascii="Times New Roman" w:hAnsi="Times New Roman"/>
            <w:lang w:val="en-GB"/>
          </w:rPr>
          <w:t>http://data.europa.eu/eli/dir/2024/1275/oj</w:t>
        </w:r>
      </w:hyperlink>
      <w:r w:rsidRPr="00446263">
        <w:rPr>
          <w:rFonts w:ascii="Times New Roman" w:hAnsi="Times New Roman"/>
          <w:lang w:val="en-GB"/>
        </w:rPr>
        <w:t>).</w:t>
      </w:r>
    </w:p>
  </w:footnote>
  <w:footnote w:id="4">
    <w:p w14:paraId="1F29C02A" w14:textId="1F757F4C" w:rsidR="00F425FB" w:rsidRDefault="00F425FB" w:rsidP="004A3CF9">
      <w:pPr>
        <w:pStyle w:val="FootnoteText"/>
        <w:widowControl w:val="0"/>
        <w:spacing w:after="0"/>
        <w:ind w:left="0" w:right="-285" w:hanging="284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46263">
        <w:rPr>
          <w:rFonts w:ascii="Times New Roman" w:hAnsi="Times New Roman"/>
          <w:lang w:val="en-GB"/>
        </w:rPr>
        <w:t>Regulation (EU) 2023/955 of the European Parliament and of the Council of 10 May 2023 establishing a Social Climate Fund and amending Regulation (EU) 2021/1060 (</w:t>
      </w:r>
      <w:hyperlink r:id="rId3" w:tooltip="Gives access to this document through its ELI URI." w:history="1">
        <w:r w:rsidRPr="00F425FB">
          <w:rPr>
            <w:rStyle w:val="Hyperlink"/>
            <w:rFonts w:ascii="Times New Roman" w:hAnsi="Times New Roman"/>
            <w:lang w:val="en-GB"/>
          </w:rPr>
          <w:t>http://data.europa.eu/eli/reg/2023/955/oj</w:t>
        </w:r>
      </w:hyperlink>
      <w:r w:rsidRPr="00446263">
        <w:rPr>
          <w:rFonts w:ascii="Times New Roman" w:hAnsi="Times New Roman"/>
          <w:lang w:val="en-GB"/>
        </w:rPr>
        <w:t>).</w:t>
      </w:r>
    </w:p>
  </w:footnote>
  <w:footnote w:id="5">
    <w:p w14:paraId="2555324F" w14:textId="72AE523B" w:rsidR="00F425FB" w:rsidRPr="00446263" w:rsidRDefault="00F425FB" w:rsidP="004A3CF9">
      <w:pPr>
        <w:pStyle w:val="FootnoteText"/>
        <w:widowControl w:val="0"/>
        <w:spacing w:after="0"/>
        <w:ind w:left="0" w:right="-285" w:hanging="284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46263">
        <w:rPr>
          <w:rFonts w:ascii="Times New Roman" w:hAnsi="Times New Roman"/>
          <w:lang w:val="en-GB"/>
        </w:rPr>
        <w:t>Directive (EU) 2023/1791 of the European Parliament and of the Council of 13 September 2023 on energy efficiency and amending Regulation (EU) 2023/955 ( </w:t>
      </w:r>
      <w:hyperlink r:id="rId4" w:tooltip="Gives access to this document through its ELI URI." w:history="1">
        <w:r w:rsidRPr="00446263">
          <w:rPr>
            <w:rStyle w:val="Hyperlink"/>
            <w:rFonts w:ascii="Times New Roman" w:hAnsi="Times New Roman"/>
            <w:lang w:val="en-GB"/>
          </w:rPr>
          <w:t>http://data.europa.eu/eli/dir/2023/1791/oj</w:t>
        </w:r>
      </w:hyperlink>
      <w:r w:rsidRPr="00446263">
        <w:rPr>
          <w:rFonts w:ascii="Times New Roman" w:hAnsi="Times New Roman"/>
          <w:lang w:val="en-GB"/>
        </w:rPr>
        <w:t>).</w:t>
      </w:r>
    </w:p>
  </w:footnote>
  <w:footnote w:id="6">
    <w:p w14:paraId="14F26B56" w14:textId="24060D28" w:rsidR="00F879C7" w:rsidRDefault="00F879C7" w:rsidP="004A3CF9">
      <w:pPr>
        <w:pStyle w:val="FootnoteText"/>
        <w:widowControl w:val="0"/>
        <w:spacing w:after="0"/>
        <w:ind w:left="0" w:right="-285" w:hanging="284"/>
      </w:pPr>
      <w:r w:rsidRPr="00446263">
        <w:rPr>
          <w:rStyle w:val="FootnoteReference"/>
          <w:rFonts w:ascii="Times New Roman" w:hAnsi="Times New Roman"/>
        </w:rPr>
        <w:footnoteRef/>
      </w:r>
      <w:r w:rsidRPr="00446263">
        <w:rPr>
          <w:rFonts w:ascii="Times New Roman" w:hAnsi="Times New Roman"/>
        </w:rPr>
        <w:t xml:space="preserve"> </w:t>
      </w:r>
      <w:r w:rsidRPr="00446263">
        <w:rPr>
          <w:rFonts w:ascii="Times New Roman" w:hAnsi="Times New Roman"/>
        </w:rPr>
        <w:tab/>
      </w:r>
      <w:r w:rsidRPr="00446263">
        <w:rPr>
          <w:rFonts w:ascii="Times New Roman" w:hAnsi="Times New Roman"/>
          <w:lang w:val="en-GB"/>
        </w:rPr>
        <w:t>Regulation (EU) 2023/955 of the European Parliament and of the Council of 10 May 2023 establishing a Social Climate Fund and amending Regulation (EU) 2021/1060 (</w:t>
      </w:r>
      <w:hyperlink r:id="rId5" w:tooltip="Gives access to this document through its ELI URI." w:history="1">
        <w:r w:rsidRPr="00446263">
          <w:rPr>
            <w:rStyle w:val="Hyperlink"/>
            <w:rFonts w:ascii="Times New Roman" w:hAnsi="Times New Roman"/>
            <w:lang w:val="en-GB"/>
          </w:rPr>
          <w:t>http://data.europa.eu/eli/reg/2023/955/oj</w:t>
        </w:r>
      </w:hyperlink>
      <w:r w:rsidRPr="00446263">
        <w:rPr>
          <w:rFonts w:ascii="Times New Roman" w:hAnsi="Times New Roman"/>
          <w:lang w:val="en-GB"/>
        </w:rPr>
        <w:t>).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DDCE010"/>
    <w:lvl w:ilvl="0">
      <w:start w:val="1"/>
      <w:numFmt w:val="decimal"/>
      <w:pStyle w:val="Heading1"/>
      <w:lvlText w:val="%1."/>
      <w:legacy w:legacy="1" w:legacySpace="0" w:legacyIndent="0"/>
      <w:lvlJc w:val="left"/>
      <w:pPr>
        <w:ind w:left="0" w:firstLine="0"/>
      </w:pPr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 w15:restartNumberingAfterBreak="0">
    <w:nsid w:val="0E0D8C3B"/>
    <w:multiLevelType w:val="hybridMultilevel"/>
    <w:tmpl w:val="17C2C1D8"/>
    <w:lvl w:ilvl="0" w:tplc="0EE0F1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62E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6D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48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E9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A2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21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E1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6E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61F8"/>
    <w:multiLevelType w:val="hybridMultilevel"/>
    <w:tmpl w:val="5B66B2B0"/>
    <w:lvl w:ilvl="0" w:tplc="A9909016">
      <w:start w:val="1"/>
      <w:numFmt w:val="decimal"/>
      <w:lvlText w:val="̶"/>
      <w:lvlJc w:val="left"/>
      <w:pPr>
        <w:ind w:left="720" w:hanging="360"/>
      </w:pPr>
    </w:lvl>
    <w:lvl w:ilvl="1" w:tplc="43CAF616">
      <w:start w:val="1"/>
      <w:numFmt w:val="lowerLetter"/>
      <w:lvlText w:val="%2."/>
      <w:lvlJc w:val="left"/>
      <w:pPr>
        <w:ind w:left="1440" w:hanging="360"/>
      </w:pPr>
    </w:lvl>
    <w:lvl w:ilvl="2" w:tplc="4BA8C53A">
      <w:start w:val="1"/>
      <w:numFmt w:val="lowerRoman"/>
      <w:lvlText w:val="%3."/>
      <w:lvlJc w:val="right"/>
      <w:pPr>
        <w:ind w:left="2160" w:hanging="180"/>
      </w:pPr>
    </w:lvl>
    <w:lvl w:ilvl="3" w:tplc="CA4409A4">
      <w:start w:val="1"/>
      <w:numFmt w:val="decimal"/>
      <w:lvlText w:val="%4."/>
      <w:lvlJc w:val="left"/>
      <w:pPr>
        <w:ind w:left="2880" w:hanging="360"/>
      </w:pPr>
    </w:lvl>
    <w:lvl w:ilvl="4" w:tplc="236EBE48">
      <w:start w:val="1"/>
      <w:numFmt w:val="lowerLetter"/>
      <w:lvlText w:val="%5."/>
      <w:lvlJc w:val="left"/>
      <w:pPr>
        <w:ind w:left="3600" w:hanging="360"/>
      </w:pPr>
    </w:lvl>
    <w:lvl w:ilvl="5" w:tplc="58E4C044">
      <w:start w:val="1"/>
      <w:numFmt w:val="lowerRoman"/>
      <w:lvlText w:val="%6."/>
      <w:lvlJc w:val="right"/>
      <w:pPr>
        <w:ind w:left="4320" w:hanging="180"/>
      </w:pPr>
    </w:lvl>
    <w:lvl w:ilvl="6" w:tplc="650031CC">
      <w:start w:val="1"/>
      <w:numFmt w:val="decimal"/>
      <w:lvlText w:val="%7."/>
      <w:lvlJc w:val="left"/>
      <w:pPr>
        <w:ind w:left="5040" w:hanging="360"/>
      </w:pPr>
    </w:lvl>
    <w:lvl w:ilvl="7" w:tplc="B492C16C">
      <w:start w:val="1"/>
      <w:numFmt w:val="lowerLetter"/>
      <w:lvlText w:val="%8."/>
      <w:lvlJc w:val="left"/>
      <w:pPr>
        <w:ind w:left="5760" w:hanging="360"/>
      </w:pPr>
    </w:lvl>
    <w:lvl w:ilvl="8" w:tplc="BCC2F4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3CB8"/>
    <w:multiLevelType w:val="hybridMultilevel"/>
    <w:tmpl w:val="54747230"/>
    <w:lvl w:ilvl="0" w:tplc="B084449C">
      <w:numFmt w:val="bullet"/>
      <w:lvlText w:val="̶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A528B"/>
    <w:multiLevelType w:val="hybridMultilevel"/>
    <w:tmpl w:val="E4D8E8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5CBB"/>
    <w:multiLevelType w:val="hybridMultilevel"/>
    <w:tmpl w:val="FE0EE2FE"/>
    <w:lvl w:ilvl="0" w:tplc="FFFFFFFF">
      <w:numFmt w:val="bullet"/>
      <w:lvlText w:val="̶"/>
      <w:lvlJc w:val="left"/>
      <w:pPr>
        <w:ind w:left="720" w:hanging="360"/>
      </w:pPr>
      <w:rPr>
        <w:rFonts w:ascii="Times New Roman" w:hAnsi="Times New Roman" w:hint="default"/>
      </w:rPr>
    </w:lvl>
    <w:lvl w:ilvl="1" w:tplc="D46AA7E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D0685"/>
    <w:multiLevelType w:val="hybridMultilevel"/>
    <w:tmpl w:val="88B2A12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17314C6"/>
    <w:multiLevelType w:val="hybridMultilevel"/>
    <w:tmpl w:val="442243E6"/>
    <w:lvl w:ilvl="0" w:tplc="FFFFFFFF">
      <w:numFmt w:val="bullet"/>
      <w:lvlText w:val="̶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255DE"/>
    <w:multiLevelType w:val="hybridMultilevel"/>
    <w:tmpl w:val="F5E2A2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B7398"/>
    <w:multiLevelType w:val="hybridMultilevel"/>
    <w:tmpl w:val="B3B6C636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BC5B0D"/>
    <w:multiLevelType w:val="hybridMultilevel"/>
    <w:tmpl w:val="85AA2C96"/>
    <w:lvl w:ilvl="0" w:tplc="FFFFFFFF">
      <w:start w:val="1"/>
      <w:numFmt w:val="bullet"/>
      <w:lvlText w:val="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34794296">
    <w:abstractNumId w:val="2"/>
  </w:num>
  <w:num w:numId="2" w16cid:durableId="787236885">
    <w:abstractNumId w:val="1"/>
  </w:num>
  <w:num w:numId="3" w16cid:durableId="1324553391">
    <w:abstractNumId w:val="6"/>
  </w:num>
  <w:num w:numId="4" w16cid:durableId="811336166">
    <w:abstractNumId w:val="5"/>
  </w:num>
  <w:num w:numId="5" w16cid:durableId="155849830">
    <w:abstractNumId w:val="7"/>
  </w:num>
  <w:num w:numId="6" w16cid:durableId="783426663">
    <w:abstractNumId w:val="3"/>
  </w:num>
  <w:num w:numId="7" w16cid:durableId="697199846">
    <w:abstractNumId w:val="8"/>
  </w:num>
  <w:num w:numId="8" w16cid:durableId="1414427847">
    <w:abstractNumId w:val="9"/>
  </w:num>
  <w:num w:numId="9" w16cid:durableId="382146572">
    <w:abstractNumId w:val="10"/>
  </w:num>
  <w:num w:numId="10" w16cid:durableId="772673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5376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77C4F"/>
    <w:rsid w:val="00001BC9"/>
    <w:rsid w:val="00012A37"/>
    <w:rsid w:val="00014D87"/>
    <w:rsid w:val="0002339D"/>
    <w:rsid w:val="000277E2"/>
    <w:rsid w:val="00030B17"/>
    <w:rsid w:val="00037B18"/>
    <w:rsid w:val="0004088C"/>
    <w:rsid w:val="00046B15"/>
    <w:rsid w:val="00050DC7"/>
    <w:rsid w:val="00056452"/>
    <w:rsid w:val="0006141D"/>
    <w:rsid w:val="00067FA5"/>
    <w:rsid w:val="00074000"/>
    <w:rsid w:val="00076109"/>
    <w:rsid w:val="00077C4F"/>
    <w:rsid w:val="000916EE"/>
    <w:rsid w:val="00092E41"/>
    <w:rsid w:val="000A3108"/>
    <w:rsid w:val="000A4705"/>
    <w:rsid w:val="000A5738"/>
    <w:rsid w:val="000B2AC7"/>
    <w:rsid w:val="000B79E9"/>
    <w:rsid w:val="000D13B0"/>
    <w:rsid w:val="000E72E4"/>
    <w:rsid w:val="000F4481"/>
    <w:rsid w:val="000F5FD8"/>
    <w:rsid w:val="00105598"/>
    <w:rsid w:val="00106535"/>
    <w:rsid w:val="001167C0"/>
    <w:rsid w:val="00130CBF"/>
    <w:rsid w:val="00135C2A"/>
    <w:rsid w:val="0015624D"/>
    <w:rsid w:val="00160A6B"/>
    <w:rsid w:val="00166F60"/>
    <w:rsid w:val="001704CA"/>
    <w:rsid w:val="001878B6"/>
    <w:rsid w:val="001A458D"/>
    <w:rsid w:val="001B0E0B"/>
    <w:rsid w:val="001B6CA9"/>
    <w:rsid w:val="001C0817"/>
    <w:rsid w:val="001C4138"/>
    <w:rsid w:val="001C5785"/>
    <w:rsid w:val="001D36D5"/>
    <w:rsid w:val="001D5661"/>
    <w:rsid w:val="001E7C07"/>
    <w:rsid w:val="001F2D20"/>
    <w:rsid w:val="001F2EC6"/>
    <w:rsid w:val="001F65D0"/>
    <w:rsid w:val="00217E59"/>
    <w:rsid w:val="002203E1"/>
    <w:rsid w:val="00221BD7"/>
    <w:rsid w:val="00240564"/>
    <w:rsid w:val="002462A2"/>
    <w:rsid w:val="00250F56"/>
    <w:rsid w:val="00265410"/>
    <w:rsid w:val="00265ACE"/>
    <w:rsid w:val="00266EE6"/>
    <w:rsid w:val="00275730"/>
    <w:rsid w:val="002802ED"/>
    <w:rsid w:val="00291053"/>
    <w:rsid w:val="00291C6C"/>
    <w:rsid w:val="00294A7D"/>
    <w:rsid w:val="002D22DF"/>
    <w:rsid w:val="002D7462"/>
    <w:rsid w:val="002F03FA"/>
    <w:rsid w:val="003004D2"/>
    <w:rsid w:val="00300625"/>
    <w:rsid w:val="00303096"/>
    <w:rsid w:val="00330445"/>
    <w:rsid w:val="003308DE"/>
    <w:rsid w:val="003349A3"/>
    <w:rsid w:val="00347740"/>
    <w:rsid w:val="00374865"/>
    <w:rsid w:val="003755E9"/>
    <w:rsid w:val="00377967"/>
    <w:rsid w:val="00386143"/>
    <w:rsid w:val="0039106B"/>
    <w:rsid w:val="003A5ECB"/>
    <w:rsid w:val="003B11C0"/>
    <w:rsid w:val="003B38FE"/>
    <w:rsid w:val="003B58DC"/>
    <w:rsid w:val="003C00E3"/>
    <w:rsid w:val="003C229B"/>
    <w:rsid w:val="003E682A"/>
    <w:rsid w:val="003F2444"/>
    <w:rsid w:val="003F686E"/>
    <w:rsid w:val="00413439"/>
    <w:rsid w:val="00421CDD"/>
    <w:rsid w:val="004417E7"/>
    <w:rsid w:val="00442552"/>
    <w:rsid w:val="004459A0"/>
    <w:rsid w:val="00446263"/>
    <w:rsid w:val="00455323"/>
    <w:rsid w:val="00455A1C"/>
    <w:rsid w:val="004675B5"/>
    <w:rsid w:val="004770D6"/>
    <w:rsid w:val="0049246C"/>
    <w:rsid w:val="004A3CF9"/>
    <w:rsid w:val="004A3EF8"/>
    <w:rsid w:val="004A6482"/>
    <w:rsid w:val="004B42DA"/>
    <w:rsid w:val="004C2C5D"/>
    <w:rsid w:val="004E3866"/>
    <w:rsid w:val="004E5492"/>
    <w:rsid w:val="004F5FC2"/>
    <w:rsid w:val="004F6117"/>
    <w:rsid w:val="004F63F1"/>
    <w:rsid w:val="004F651E"/>
    <w:rsid w:val="0052596B"/>
    <w:rsid w:val="0053316C"/>
    <w:rsid w:val="00547282"/>
    <w:rsid w:val="00547A76"/>
    <w:rsid w:val="00554D8D"/>
    <w:rsid w:val="00573835"/>
    <w:rsid w:val="00581306"/>
    <w:rsid w:val="0058664A"/>
    <w:rsid w:val="00587CFC"/>
    <w:rsid w:val="00594BD8"/>
    <w:rsid w:val="005B2E53"/>
    <w:rsid w:val="005B72B0"/>
    <w:rsid w:val="005C3105"/>
    <w:rsid w:val="005C3E57"/>
    <w:rsid w:val="005C6DCD"/>
    <w:rsid w:val="005C6E86"/>
    <w:rsid w:val="005D2546"/>
    <w:rsid w:val="005F2100"/>
    <w:rsid w:val="0060669E"/>
    <w:rsid w:val="006133AA"/>
    <w:rsid w:val="00617BB5"/>
    <w:rsid w:val="00621831"/>
    <w:rsid w:val="00623E21"/>
    <w:rsid w:val="00625877"/>
    <w:rsid w:val="006262BA"/>
    <w:rsid w:val="00636089"/>
    <w:rsid w:val="0064047B"/>
    <w:rsid w:val="00645696"/>
    <w:rsid w:val="00654092"/>
    <w:rsid w:val="00655212"/>
    <w:rsid w:val="00666E0D"/>
    <w:rsid w:val="0067027A"/>
    <w:rsid w:val="0068410C"/>
    <w:rsid w:val="00686711"/>
    <w:rsid w:val="00687D3E"/>
    <w:rsid w:val="00691BFD"/>
    <w:rsid w:val="00692C2F"/>
    <w:rsid w:val="00695797"/>
    <w:rsid w:val="00696A5E"/>
    <w:rsid w:val="006A197F"/>
    <w:rsid w:val="006B2BFA"/>
    <w:rsid w:val="006B3B69"/>
    <w:rsid w:val="006B3FA0"/>
    <w:rsid w:val="006C5D4B"/>
    <w:rsid w:val="006F2AF1"/>
    <w:rsid w:val="00714949"/>
    <w:rsid w:val="007232CF"/>
    <w:rsid w:val="00724E12"/>
    <w:rsid w:val="007317AE"/>
    <w:rsid w:val="00731F08"/>
    <w:rsid w:val="007332A8"/>
    <w:rsid w:val="00734613"/>
    <w:rsid w:val="00751910"/>
    <w:rsid w:val="00751C59"/>
    <w:rsid w:val="00751E60"/>
    <w:rsid w:val="007547B5"/>
    <w:rsid w:val="00765642"/>
    <w:rsid w:val="00774F81"/>
    <w:rsid w:val="00780CD0"/>
    <w:rsid w:val="00781B23"/>
    <w:rsid w:val="00790AEE"/>
    <w:rsid w:val="00792162"/>
    <w:rsid w:val="00794D64"/>
    <w:rsid w:val="00795A9E"/>
    <w:rsid w:val="0079794C"/>
    <w:rsid w:val="007A0E63"/>
    <w:rsid w:val="007A606D"/>
    <w:rsid w:val="007A7C30"/>
    <w:rsid w:val="007B1D20"/>
    <w:rsid w:val="007C2214"/>
    <w:rsid w:val="007C5B7A"/>
    <w:rsid w:val="007C674D"/>
    <w:rsid w:val="007D3469"/>
    <w:rsid w:val="007E12D3"/>
    <w:rsid w:val="007E14C4"/>
    <w:rsid w:val="007F19D7"/>
    <w:rsid w:val="00807B48"/>
    <w:rsid w:val="008135CA"/>
    <w:rsid w:val="0081584F"/>
    <w:rsid w:val="008313FE"/>
    <w:rsid w:val="00835543"/>
    <w:rsid w:val="00843359"/>
    <w:rsid w:val="00852359"/>
    <w:rsid w:val="00852566"/>
    <w:rsid w:val="008703BF"/>
    <w:rsid w:val="00876F0D"/>
    <w:rsid w:val="008925CE"/>
    <w:rsid w:val="00894602"/>
    <w:rsid w:val="00894B6F"/>
    <w:rsid w:val="008A03C9"/>
    <w:rsid w:val="008A4010"/>
    <w:rsid w:val="008B04C3"/>
    <w:rsid w:val="008B53AF"/>
    <w:rsid w:val="008C4CD8"/>
    <w:rsid w:val="008C4D41"/>
    <w:rsid w:val="008C5349"/>
    <w:rsid w:val="008D43AD"/>
    <w:rsid w:val="008D4C09"/>
    <w:rsid w:val="008E05C7"/>
    <w:rsid w:val="008E2E13"/>
    <w:rsid w:val="008F0A09"/>
    <w:rsid w:val="008F2C04"/>
    <w:rsid w:val="009011E0"/>
    <w:rsid w:val="00915930"/>
    <w:rsid w:val="009159EB"/>
    <w:rsid w:val="0091E3DA"/>
    <w:rsid w:val="00922F48"/>
    <w:rsid w:val="00924312"/>
    <w:rsid w:val="00927CB8"/>
    <w:rsid w:val="0093193F"/>
    <w:rsid w:val="00935BD9"/>
    <w:rsid w:val="00944571"/>
    <w:rsid w:val="00961961"/>
    <w:rsid w:val="00972799"/>
    <w:rsid w:val="00981F45"/>
    <w:rsid w:val="009856D0"/>
    <w:rsid w:val="00985E6E"/>
    <w:rsid w:val="00994D12"/>
    <w:rsid w:val="009B02B2"/>
    <w:rsid w:val="009B128B"/>
    <w:rsid w:val="009B129B"/>
    <w:rsid w:val="009B130A"/>
    <w:rsid w:val="009B1C5B"/>
    <w:rsid w:val="009B75FB"/>
    <w:rsid w:val="009C13DC"/>
    <w:rsid w:val="009C2A37"/>
    <w:rsid w:val="009C6876"/>
    <w:rsid w:val="009D60AC"/>
    <w:rsid w:val="009F0361"/>
    <w:rsid w:val="009F42CC"/>
    <w:rsid w:val="00A015EC"/>
    <w:rsid w:val="00A16E5E"/>
    <w:rsid w:val="00A16F07"/>
    <w:rsid w:val="00A20A63"/>
    <w:rsid w:val="00A24299"/>
    <w:rsid w:val="00A24709"/>
    <w:rsid w:val="00A2527B"/>
    <w:rsid w:val="00A32120"/>
    <w:rsid w:val="00A35F6F"/>
    <w:rsid w:val="00A57C63"/>
    <w:rsid w:val="00A62C7B"/>
    <w:rsid w:val="00A65A65"/>
    <w:rsid w:val="00A7417E"/>
    <w:rsid w:val="00A7709A"/>
    <w:rsid w:val="00A82F85"/>
    <w:rsid w:val="00A908F7"/>
    <w:rsid w:val="00A93E32"/>
    <w:rsid w:val="00AA45E6"/>
    <w:rsid w:val="00AA6259"/>
    <w:rsid w:val="00AA73BE"/>
    <w:rsid w:val="00AC4592"/>
    <w:rsid w:val="00AD14EB"/>
    <w:rsid w:val="00AD7D08"/>
    <w:rsid w:val="00AE1842"/>
    <w:rsid w:val="00AE3C7C"/>
    <w:rsid w:val="00AE4A7F"/>
    <w:rsid w:val="00AE69AB"/>
    <w:rsid w:val="00AF4884"/>
    <w:rsid w:val="00AF4D78"/>
    <w:rsid w:val="00B0595E"/>
    <w:rsid w:val="00B10E59"/>
    <w:rsid w:val="00B25F83"/>
    <w:rsid w:val="00B31306"/>
    <w:rsid w:val="00B42478"/>
    <w:rsid w:val="00B42814"/>
    <w:rsid w:val="00B5283D"/>
    <w:rsid w:val="00B534E6"/>
    <w:rsid w:val="00B63339"/>
    <w:rsid w:val="00B648CB"/>
    <w:rsid w:val="00B66ABD"/>
    <w:rsid w:val="00B77A4B"/>
    <w:rsid w:val="00B83936"/>
    <w:rsid w:val="00B86787"/>
    <w:rsid w:val="00B9000B"/>
    <w:rsid w:val="00B96F1E"/>
    <w:rsid w:val="00B97FCB"/>
    <w:rsid w:val="00BA4849"/>
    <w:rsid w:val="00BA6D3D"/>
    <w:rsid w:val="00BD390F"/>
    <w:rsid w:val="00BD5A38"/>
    <w:rsid w:val="00BD5AE2"/>
    <w:rsid w:val="00BD6EB7"/>
    <w:rsid w:val="00BD6FBE"/>
    <w:rsid w:val="00BE68D8"/>
    <w:rsid w:val="00BE7C83"/>
    <w:rsid w:val="00C3555B"/>
    <w:rsid w:val="00C40F67"/>
    <w:rsid w:val="00C52C6C"/>
    <w:rsid w:val="00C54D27"/>
    <w:rsid w:val="00C55AC4"/>
    <w:rsid w:val="00C65E6D"/>
    <w:rsid w:val="00C67CFF"/>
    <w:rsid w:val="00C769C5"/>
    <w:rsid w:val="00C76EEB"/>
    <w:rsid w:val="00C811FD"/>
    <w:rsid w:val="00C876E9"/>
    <w:rsid w:val="00C92441"/>
    <w:rsid w:val="00C93AC8"/>
    <w:rsid w:val="00CA799A"/>
    <w:rsid w:val="00CD4858"/>
    <w:rsid w:val="00CD50FE"/>
    <w:rsid w:val="00CE68D1"/>
    <w:rsid w:val="00CE6A1A"/>
    <w:rsid w:val="00CF5B13"/>
    <w:rsid w:val="00D01F5A"/>
    <w:rsid w:val="00D0585A"/>
    <w:rsid w:val="00D05F7D"/>
    <w:rsid w:val="00D11F5C"/>
    <w:rsid w:val="00D16FD2"/>
    <w:rsid w:val="00D1716E"/>
    <w:rsid w:val="00D2016F"/>
    <w:rsid w:val="00D4242E"/>
    <w:rsid w:val="00D43DF2"/>
    <w:rsid w:val="00D441B3"/>
    <w:rsid w:val="00D47C84"/>
    <w:rsid w:val="00D52F19"/>
    <w:rsid w:val="00D56B32"/>
    <w:rsid w:val="00D61D3B"/>
    <w:rsid w:val="00D643DC"/>
    <w:rsid w:val="00D64E05"/>
    <w:rsid w:val="00D65182"/>
    <w:rsid w:val="00D67E54"/>
    <w:rsid w:val="00D76356"/>
    <w:rsid w:val="00D77D61"/>
    <w:rsid w:val="00D7D13F"/>
    <w:rsid w:val="00D92FD3"/>
    <w:rsid w:val="00D93586"/>
    <w:rsid w:val="00D96E1F"/>
    <w:rsid w:val="00D96EA9"/>
    <w:rsid w:val="00DA3B6E"/>
    <w:rsid w:val="00DB20A2"/>
    <w:rsid w:val="00DB2115"/>
    <w:rsid w:val="00DB7581"/>
    <w:rsid w:val="00DC70C1"/>
    <w:rsid w:val="00DE060B"/>
    <w:rsid w:val="00DF3814"/>
    <w:rsid w:val="00E0175F"/>
    <w:rsid w:val="00E05217"/>
    <w:rsid w:val="00E1379D"/>
    <w:rsid w:val="00E42D98"/>
    <w:rsid w:val="00E5578E"/>
    <w:rsid w:val="00E723B4"/>
    <w:rsid w:val="00E83C12"/>
    <w:rsid w:val="00E86207"/>
    <w:rsid w:val="00E87E56"/>
    <w:rsid w:val="00E904C8"/>
    <w:rsid w:val="00E96375"/>
    <w:rsid w:val="00EA03B7"/>
    <w:rsid w:val="00EA1BBF"/>
    <w:rsid w:val="00EA6B98"/>
    <w:rsid w:val="00EB29A9"/>
    <w:rsid w:val="00EB77D2"/>
    <w:rsid w:val="00EE263C"/>
    <w:rsid w:val="00EF4333"/>
    <w:rsid w:val="00F2649C"/>
    <w:rsid w:val="00F316C8"/>
    <w:rsid w:val="00F32AC3"/>
    <w:rsid w:val="00F369FC"/>
    <w:rsid w:val="00F40AC0"/>
    <w:rsid w:val="00F425FB"/>
    <w:rsid w:val="00F47379"/>
    <w:rsid w:val="00F54646"/>
    <w:rsid w:val="00F553E0"/>
    <w:rsid w:val="00F632DE"/>
    <w:rsid w:val="00F66875"/>
    <w:rsid w:val="00F735E4"/>
    <w:rsid w:val="00F73E40"/>
    <w:rsid w:val="00F75061"/>
    <w:rsid w:val="00F879C7"/>
    <w:rsid w:val="00F95B87"/>
    <w:rsid w:val="00FA1778"/>
    <w:rsid w:val="00FA2FAB"/>
    <w:rsid w:val="00FA753C"/>
    <w:rsid w:val="00FB2C95"/>
    <w:rsid w:val="00FB7834"/>
    <w:rsid w:val="00FD2B96"/>
    <w:rsid w:val="00FD4B6A"/>
    <w:rsid w:val="00FF03A8"/>
    <w:rsid w:val="00FF63EA"/>
    <w:rsid w:val="00FF6AA0"/>
    <w:rsid w:val="00FF738E"/>
    <w:rsid w:val="00FF79BB"/>
    <w:rsid w:val="02A68DB3"/>
    <w:rsid w:val="03088755"/>
    <w:rsid w:val="043BCD3E"/>
    <w:rsid w:val="043E679E"/>
    <w:rsid w:val="044FB64D"/>
    <w:rsid w:val="04687A37"/>
    <w:rsid w:val="0476DDA5"/>
    <w:rsid w:val="05321ECB"/>
    <w:rsid w:val="0539D48F"/>
    <w:rsid w:val="0598F85D"/>
    <w:rsid w:val="05B74886"/>
    <w:rsid w:val="05E67AD0"/>
    <w:rsid w:val="060FBA46"/>
    <w:rsid w:val="06564BB5"/>
    <w:rsid w:val="065ED285"/>
    <w:rsid w:val="0673DFAA"/>
    <w:rsid w:val="06B30B12"/>
    <w:rsid w:val="06C2B6BF"/>
    <w:rsid w:val="06F8AB31"/>
    <w:rsid w:val="070013BC"/>
    <w:rsid w:val="07106A81"/>
    <w:rsid w:val="0725492F"/>
    <w:rsid w:val="07776822"/>
    <w:rsid w:val="07BFBE31"/>
    <w:rsid w:val="0856301B"/>
    <w:rsid w:val="095D2535"/>
    <w:rsid w:val="099D6727"/>
    <w:rsid w:val="0A0A7EB0"/>
    <w:rsid w:val="0A746EE5"/>
    <w:rsid w:val="0B8A05A4"/>
    <w:rsid w:val="0CD4623C"/>
    <w:rsid w:val="0CE65EEE"/>
    <w:rsid w:val="0CEE58BA"/>
    <w:rsid w:val="0D2BE241"/>
    <w:rsid w:val="0E888D23"/>
    <w:rsid w:val="0E8B74BC"/>
    <w:rsid w:val="0EBAE5CD"/>
    <w:rsid w:val="0EF7DB9D"/>
    <w:rsid w:val="0F40B210"/>
    <w:rsid w:val="0F8981CC"/>
    <w:rsid w:val="0FDDDCC6"/>
    <w:rsid w:val="114790EA"/>
    <w:rsid w:val="114FA5CF"/>
    <w:rsid w:val="115382CE"/>
    <w:rsid w:val="11760AC2"/>
    <w:rsid w:val="11A6B8FC"/>
    <w:rsid w:val="122FECDC"/>
    <w:rsid w:val="12482D2D"/>
    <w:rsid w:val="12753CA2"/>
    <w:rsid w:val="1279AD86"/>
    <w:rsid w:val="129A57FF"/>
    <w:rsid w:val="13369C55"/>
    <w:rsid w:val="136E685B"/>
    <w:rsid w:val="13E70369"/>
    <w:rsid w:val="1400576A"/>
    <w:rsid w:val="14EB8D2C"/>
    <w:rsid w:val="1561FD63"/>
    <w:rsid w:val="15C252A8"/>
    <w:rsid w:val="16897579"/>
    <w:rsid w:val="16BD7D02"/>
    <w:rsid w:val="16F0515D"/>
    <w:rsid w:val="17C7D0DE"/>
    <w:rsid w:val="191F8ABA"/>
    <w:rsid w:val="19BE32D1"/>
    <w:rsid w:val="1A6706C5"/>
    <w:rsid w:val="1A71924D"/>
    <w:rsid w:val="1AB87B02"/>
    <w:rsid w:val="1AE9FBC6"/>
    <w:rsid w:val="1B125EEB"/>
    <w:rsid w:val="1B5D4A3E"/>
    <w:rsid w:val="1B7B27C1"/>
    <w:rsid w:val="1C76D167"/>
    <w:rsid w:val="1CF2D0AE"/>
    <w:rsid w:val="1D7D0890"/>
    <w:rsid w:val="1DC9521C"/>
    <w:rsid w:val="1DE17720"/>
    <w:rsid w:val="1DFB29A7"/>
    <w:rsid w:val="1EBE1BBF"/>
    <w:rsid w:val="1ED5F9BD"/>
    <w:rsid w:val="1F0047D0"/>
    <w:rsid w:val="1F26C0C0"/>
    <w:rsid w:val="1FB354E5"/>
    <w:rsid w:val="1FF695C0"/>
    <w:rsid w:val="20392C9B"/>
    <w:rsid w:val="2046D657"/>
    <w:rsid w:val="2087E219"/>
    <w:rsid w:val="2131F744"/>
    <w:rsid w:val="213396AB"/>
    <w:rsid w:val="2220074D"/>
    <w:rsid w:val="226A7646"/>
    <w:rsid w:val="22C9D9D1"/>
    <w:rsid w:val="23AA1BF6"/>
    <w:rsid w:val="23BF1F27"/>
    <w:rsid w:val="243F6FC6"/>
    <w:rsid w:val="25649F22"/>
    <w:rsid w:val="25AFFEF9"/>
    <w:rsid w:val="25D058E7"/>
    <w:rsid w:val="261DF7C9"/>
    <w:rsid w:val="269A8248"/>
    <w:rsid w:val="26F70853"/>
    <w:rsid w:val="27257EF6"/>
    <w:rsid w:val="273EE153"/>
    <w:rsid w:val="27E06765"/>
    <w:rsid w:val="283BEB9E"/>
    <w:rsid w:val="285EB18E"/>
    <w:rsid w:val="28604899"/>
    <w:rsid w:val="288EB669"/>
    <w:rsid w:val="289BBBD5"/>
    <w:rsid w:val="294E2BBA"/>
    <w:rsid w:val="29935A30"/>
    <w:rsid w:val="29C4FA8A"/>
    <w:rsid w:val="29C8EDF9"/>
    <w:rsid w:val="2B7A7A0E"/>
    <w:rsid w:val="2C7830A2"/>
    <w:rsid w:val="2D0720DE"/>
    <w:rsid w:val="2D89DA35"/>
    <w:rsid w:val="2DBBCEED"/>
    <w:rsid w:val="2EE8BBC6"/>
    <w:rsid w:val="2FEB63B0"/>
    <w:rsid w:val="30077E8F"/>
    <w:rsid w:val="300897E6"/>
    <w:rsid w:val="3008F4AA"/>
    <w:rsid w:val="300C2420"/>
    <w:rsid w:val="30F5CB54"/>
    <w:rsid w:val="32242C26"/>
    <w:rsid w:val="324BE0F7"/>
    <w:rsid w:val="32D2014C"/>
    <w:rsid w:val="33163C10"/>
    <w:rsid w:val="337D435F"/>
    <w:rsid w:val="338322CA"/>
    <w:rsid w:val="33B2B2F7"/>
    <w:rsid w:val="34474B50"/>
    <w:rsid w:val="3471953C"/>
    <w:rsid w:val="34CD49C1"/>
    <w:rsid w:val="34DD1C58"/>
    <w:rsid w:val="351ADEB2"/>
    <w:rsid w:val="3532DB2E"/>
    <w:rsid w:val="3583F8A8"/>
    <w:rsid w:val="35990315"/>
    <w:rsid w:val="35CBA5A0"/>
    <w:rsid w:val="35CDF1F1"/>
    <w:rsid w:val="35EE9548"/>
    <w:rsid w:val="363A1828"/>
    <w:rsid w:val="367BD192"/>
    <w:rsid w:val="36C23A3F"/>
    <w:rsid w:val="37C47601"/>
    <w:rsid w:val="38CE7677"/>
    <w:rsid w:val="393E4DFB"/>
    <w:rsid w:val="3A47E7DE"/>
    <w:rsid w:val="3A873CF0"/>
    <w:rsid w:val="3AD1CE09"/>
    <w:rsid w:val="3B306408"/>
    <w:rsid w:val="3B8FEE38"/>
    <w:rsid w:val="3BBDDD9D"/>
    <w:rsid w:val="3BF403F6"/>
    <w:rsid w:val="3C5FCAC0"/>
    <w:rsid w:val="3C70939A"/>
    <w:rsid w:val="3C966120"/>
    <w:rsid w:val="3CA836F5"/>
    <w:rsid w:val="3CDC1AED"/>
    <w:rsid w:val="3D14C33A"/>
    <w:rsid w:val="3D153C0A"/>
    <w:rsid w:val="3D3A6124"/>
    <w:rsid w:val="3E0A73D5"/>
    <w:rsid w:val="3E85AC46"/>
    <w:rsid w:val="3E87957C"/>
    <w:rsid w:val="3FF39FD1"/>
    <w:rsid w:val="404EA80F"/>
    <w:rsid w:val="410E7941"/>
    <w:rsid w:val="418D0775"/>
    <w:rsid w:val="422AA092"/>
    <w:rsid w:val="427B79CB"/>
    <w:rsid w:val="42E683B2"/>
    <w:rsid w:val="43B01089"/>
    <w:rsid w:val="43F51B65"/>
    <w:rsid w:val="443E05D8"/>
    <w:rsid w:val="444A558D"/>
    <w:rsid w:val="45B12D89"/>
    <w:rsid w:val="45B37F48"/>
    <w:rsid w:val="472205C7"/>
    <w:rsid w:val="4729171A"/>
    <w:rsid w:val="475ED6D2"/>
    <w:rsid w:val="47917309"/>
    <w:rsid w:val="47EA50DF"/>
    <w:rsid w:val="48445856"/>
    <w:rsid w:val="49620209"/>
    <w:rsid w:val="49D96D8B"/>
    <w:rsid w:val="49E73C11"/>
    <w:rsid w:val="4A778613"/>
    <w:rsid w:val="4AD85C1E"/>
    <w:rsid w:val="4B00091B"/>
    <w:rsid w:val="4B142154"/>
    <w:rsid w:val="4C034A0D"/>
    <w:rsid w:val="4C6FAF0F"/>
    <w:rsid w:val="4C81723B"/>
    <w:rsid w:val="4D611690"/>
    <w:rsid w:val="4DA8ACA7"/>
    <w:rsid w:val="4E0BC8DD"/>
    <w:rsid w:val="4E1A2196"/>
    <w:rsid w:val="4E609F5E"/>
    <w:rsid w:val="4ED92546"/>
    <w:rsid w:val="4FDFB2C9"/>
    <w:rsid w:val="5080D2C0"/>
    <w:rsid w:val="50EB650E"/>
    <w:rsid w:val="50F51052"/>
    <w:rsid w:val="514DE5AB"/>
    <w:rsid w:val="514E54D8"/>
    <w:rsid w:val="51D41930"/>
    <w:rsid w:val="51DF9333"/>
    <w:rsid w:val="5203CEA6"/>
    <w:rsid w:val="521DAC5C"/>
    <w:rsid w:val="524F635A"/>
    <w:rsid w:val="525C4277"/>
    <w:rsid w:val="527A5A6C"/>
    <w:rsid w:val="5286C942"/>
    <w:rsid w:val="5346EF50"/>
    <w:rsid w:val="53542CC3"/>
    <w:rsid w:val="539FE8A9"/>
    <w:rsid w:val="53E78D0C"/>
    <w:rsid w:val="5429AF07"/>
    <w:rsid w:val="545E0501"/>
    <w:rsid w:val="54B6C970"/>
    <w:rsid w:val="54BD60B9"/>
    <w:rsid w:val="54E2A1B1"/>
    <w:rsid w:val="54E909A4"/>
    <w:rsid w:val="55440122"/>
    <w:rsid w:val="5545019B"/>
    <w:rsid w:val="55A99D3D"/>
    <w:rsid w:val="55C292E1"/>
    <w:rsid w:val="56D9CBEA"/>
    <w:rsid w:val="570BBAE5"/>
    <w:rsid w:val="5739B9CE"/>
    <w:rsid w:val="573C987E"/>
    <w:rsid w:val="57D61A4A"/>
    <w:rsid w:val="57FA20BF"/>
    <w:rsid w:val="5858DD3B"/>
    <w:rsid w:val="58CB4234"/>
    <w:rsid w:val="58E78E9A"/>
    <w:rsid w:val="58F60210"/>
    <w:rsid w:val="59562D34"/>
    <w:rsid w:val="59A4E5B8"/>
    <w:rsid w:val="59BC3BD7"/>
    <w:rsid w:val="59FB6DD7"/>
    <w:rsid w:val="5AB13253"/>
    <w:rsid w:val="5ACCE42B"/>
    <w:rsid w:val="5ADBE328"/>
    <w:rsid w:val="5B1ECF12"/>
    <w:rsid w:val="5B1F3B83"/>
    <w:rsid w:val="5B6A0A0E"/>
    <w:rsid w:val="5B780D58"/>
    <w:rsid w:val="5C1CFB07"/>
    <w:rsid w:val="5C30E30B"/>
    <w:rsid w:val="5D2D8DF3"/>
    <w:rsid w:val="5D4C1411"/>
    <w:rsid w:val="5D55522C"/>
    <w:rsid w:val="5E3781AF"/>
    <w:rsid w:val="5E91DB59"/>
    <w:rsid w:val="5F159036"/>
    <w:rsid w:val="5F28E8BF"/>
    <w:rsid w:val="5F55B556"/>
    <w:rsid w:val="5FA0AEBF"/>
    <w:rsid w:val="5FC799B3"/>
    <w:rsid w:val="5FCF020C"/>
    <w:rsid w:val="5FDDACFD"/>
    <w:rsid w:val="60BEA945"/>
    <w:rsid w:val="60D88FFE"/>
    <w:rsid w:val="61DEA588"/>
    <w:rsid w:val="61E1FC15"/>
    <w:rsid w:val="623DCD8A"/>
    <w:rsid w:val="623F9630"/>
    <w:rsid w:val="62822EFC"/>
    <w:rsid w:val="63691156"/>
    <w:rsid w:val="63BF5DD0"/>
    <w:rsid w:val="63CF274A"/>
    <w:rsid w:val="643DD698"/>
    <w:rsid w:val="64B89E51"/>
    <w:rsid w:val="65375581"/>
    <w:rsid w:val="65557174"/>
    <w:rsid w:val="669420ED"/>
    <w:rsid w:val="66A103E3"/>
    <w:rsid w:val="66AE2463"/>
    <w:rsid w:val="66B2C742"/>
    <w:rsid w:val="66C59D48"/>
    <w:rsid w:val="67151FB3"/>
    <w:rsid w:val="67990052"/>
    <w:rsid w:val="684736EB"/>
    <w:rsid w:val="684E7CE4"/>
    <w:rsid w:val="68B99E8E"/>
    <w:rsid w:val="68C44A74"/>
    <w:rsid w:val="697447A4"/>
    <w:rsid w:val="6A85F6EF"/>
    <w:rsid w:val="6B3CD555"/>
    <w:rsid w:val="6B98A446"/>
    <w:rsid w:val="6BDC1D51"/>
    <w:rsid w:val="6C1E2223"/>
    <w:rsid w:val="6C46361C"/>
    <w:rsid w:val="6CF924AF"/>
    <w:rsid w:val="6DAB4F45"/>
    <w:rsid w:val="6DCF3238"/>
    <w:rsid w:val="6E2E70AA"/>
    <w:rsid w:val="6F632484"/>
    <w:rsid w:val="6F89CE2B"/>
    <w:rsid w:val="6FB285C3"/>
    <w:rsid w:val="6FBD423B"/>
    <w:rsid w:val="6FD713B6"/>
    <w:rsid w:val="707FECC9"/>
    <w:rsid w:val="708537BD"/>
    <w:rsid w:val="70BB971E"/>
    <w:rsid w:val="714FC3D2"/>
    <w:rsid w:val="7160346C"/>
    <w:rsid w:val="71AFBD83"/>
    <w:rsid w:val="71FF7121"/>
    <w:rsid w:val="728A648B"/>
    <w:rsid w:val="72962499"/>
    <w:rsid w:val="733CFE43"/>
    <w:rsid w:val="73552A27"/>
    <w:rsid w:val="73C6BD31"/>
    <w:rsid w:val="73CB4656"/>
    <w:rsid w:val="74447B42"/>
    <w:rsid w:val="75A6E896"/>
    <w:rsid w:val="763312D7"/>
    <w:rsid w:val="766AD099"/>
    <w:rsid w:val="76CA71A7"/>
    <w:rsid w:val="76D2C276"/>
    <w:rsid w:val="7749E8BA"/>
    <w:rsid w:val="7755AE5A"/>
    <w:rsid w:val="77CB318F"/>
    <w:rsid w:val="77FBC844"/>
    <w:rsid w:val="7846A66C"/>
    <w:rsid w:val="784F4936"/>
    <w:rsid w:val="7879BC37"/>
    <w:rsid w:val="79041ED5"/>
    <w:rsid w:val="798B6A06"/>
    <w:rsid w:val="7A572855"/>
    <w:rsid w:val="7B085D4C"/>
    <w:rsid w:val="7BC142C8"/>
    <w:rsid w:val="7C1D19E3"/>
    <w:rsid w:val="7C917306"/>
    <w:rsid w:val="7D0B62FD"/>
    <w:rsid w:val="7D175C31"/>
    <w:rsid w:val="7DBA05FA"/>
    <w:rsid w:val="7DCF336E"/>
    <w:rsid w:val="7DEADF36"/>
    <w:rsid w:val="7E16F6CC"/>
    <w:rsid w:val="7E5A98D8"/>
    <w:rsid w:val="7F11B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EE9"/>
  <w15:chartTrackingRefBased/>
  <w15:docId w15:val="{F6113A6D-7186-4FCC-BEB5-6C6D659F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751C59"/>
    <w:pPr>
      <w:numPr>
        <w:numId w:val="10"/>
      </w:numPr>
      <w:spacing w:after="0" w:line="288" w:lineRule="auto"/>
      <w:ind w:left="567" w:hanging="567"/>
      <w:jc w:val="both"/>
      <w:outlineLvl w:val="0"/>
    </w:pPr>
    <w:rPr>
      <w:rFonts w:ascii="Times New Roman" w:eastAsia="Aptos" w:hAnsi="Times New Roman"/>
      <w:kern w:val="36"/>
      <w:lang w:val="en-IE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51C59"/>
    <w:pPr>
      <w:numPr>
        <w:ilvl w:val="1"/>
        <w:numId w:val="10"/>
      </w:numPr>
      <w:spacing w:after="0" w:line="288" w:lineRule="auto"/>
      <w:ind w:left="567" w:hanging="567"/>
      <w:jc w:val="both"/>
      <w:outlineLvl w:val="1"/>
    </w:pPr>
    <w:rPr>
      <w:rFonts w:ascii="Times New Roman" w:eastAsia="Aptos" w:hAnsi="Times New Roman"/>
      <w:lang w:val="en-I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51C59"/>
    <w:pPr>
      <w:numPr>
        <w:ilvl w:val="2"/>
        <w:numId w:val="10"/>
      </w:numPr>
      <w:spacing w:after="0" w:line="288" w:lineRule="auto"/>
      <w:ind w:left="567" w:hanging="567"/>
      <w:jc w:val="both"/>
      <w:outlineLvl w:val="2"/>
    </w:pPr>
    <w:rPr>
      <w:rFonts w:ascii="Times New Roman" w:eastAsia="Aptos" w:hAnsi="Times New Roman"/>
      <w:lang w:val="en-IE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51C59"/>
    <w:pPr>
      <w:numPr>
        <w:ilvl w:val="3"/>
        <w:numId w:val="10"/>
      </w:numPr>
      <w:spacing w:after="0" w:line="288" w:lineRule="auto"/>
      <w:ind w:left="567" w:hanging="567"/>
      <w:jc w:val="both"/>
      <w:outlineLvl w:val="3"/>
    </w:pPr>
    <w:rPr>
      <w:rFonts w:ascii="Times New Roman" w:eastAsia="Aptos" w:hAnsi="Times New Roman"/>
      <w:lang w:val="en-IE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751C59"/>
    <w:pPr>
      <w:numPr>
        <w:ilvl w:val="4"/>
        <w:numId w:val="10"/>
      </w:numPr>
      <w:spacing w:after="0" w:line="288" w:lineRule="auto"/>
      <w:ind w:left="567" w:hanging="567"/>
      <w:jc w:val="both"/>
      <w:outlineLvl w:val="4"/>
    </w:pPr>
    <w:rPr>
      <w:rFonts w:ascii="Times New Roman" w:eastAsia="Aptos" w:hAnsi="Times New Roman"/>
      <w:lang w:val="en-IE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751C59"/>
    <w:pPr>
      <w:numPr>
        <w:ilvl w:val="5"/>
        <w:numId w:val="10"/>
      </w:numPr>
      <w:spacing w:after="0" w:line="288" w:lineRule="auto"/>
      <w:ind w:left="567" w:hanging="567"/>
      <w:jc w:val="both"/>
      <w:outlineLvl w:val="5"/>
    </w:pPr>
    <w:rPr>
      <w:rFonts w:ascii="Times New Roman" w:eastAsia="Aptos" w:hAnsi="Times New Roman"/>
      <w:lang w:val="en-IE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751C59"/>
    <w:pPr>
      <w:numPr>
        <w:ilvl w:val="6"/>
        <w:numId w:val="10"/>
      </w:numPr>
      <w:spacing w:after="0" w:line="288" w:lineRule="auto"/>
      <w:ind w:left="567" w:hanging="567"/>
      <w:jc w:val="both"/>
      <w:outlineLvl w:val="6"/>
    </w:pPr>
    <w:rPr>
      <w:rFonts w:ascii="Times New Roman" w:eastAsia="Aptos" w:hAnsi="Times New Roman"/>
      <w:lang w:val="en-IE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751C59"/>
    <w:pPr>
      <w:numPr>
        <w:ilvl w:val="7"/>
        <w:numId w:val="10"/>
      </w:numPr>
      <w:spacing w:after="0" w:line="288" w:lineRule="auto"/>
      <w:ind w:left="567" w:hanging="567"/>
      <w:jc w:val="both"/>
      <w:outlineLvl w:val="7"/>
    </w:pPr>
    <w:rPr>
      <w:rFonts w:ascii="Times New Roman" w:eastAsia="Aptos" w:hAnsi="Times New Roman"/>
      <w:lang w:val="en-IE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751C59"/>
    <w:pPr>
      <w:numPr>
        <w:ilvl w:val="8"/>
        <w:numId w:val="10"/>
      </w:numPr>
      <w:spacing w:after="0" w:line="288" w:lineRule="auto"/>
      <w:ind w:left="567" w:hanging="567"/>
      <w:jc w:val="both"/>
      <w:outlineLvl w:val="8"/>
    </w:pPr>
    <w:rPr>
      <w:rFonts w:ascii="Times New Roman" w:eastAsia="Aptos" w:hAnsi="Times New Roman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clusion de partie,Dot pt,No Spacing1,List Paragraph Char Char Char,Indicator Text,Numbered Para 1,List Paragraph1,Bullet Points,MAIN CONTENT,List Paragraph12,List Paragraph11,OBC Bullet,F5 List Paragraph,Colorful List - Accent 11,LISTA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445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445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445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44571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655212"/>
    <w:rPr>
      <w:color w:val="605E5C"/>
      <w:shd w:val="clear" w:color="auto" w:fill="E1DFDD"/>
    </w:rPr>
  </w:style>
  <w:style w:type="paragraph" w:customStyle="1" w:styleId="Briefingtext">
    <w:name w:val="Briefing text"/>
    <w:basedOn w:val="Normal"/>
    <w:link w:val="BriefingtextChar"/>
    <w:qFormat/>
    <w:rsid w:val="00731F08"/>
    <w:p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riefingtextChar">
    <w:name w:val="Briefing text Char"/>
    <w:link w:val="Briefingtext"/>
    <w:qFormat/>
    <w:rsid w:val="00731F08"/>
    <w:rPr>
      <w:rFonts w:ascii="Arial" w:eastAsia="Times New Roman" w:hAnsi="Arial" w:cs="Arial"/>
      <w:sz w:val="22"/>
      <w:szCs w:val="24"/>
      <w:lang w:val="en-GB" w:eastAsia="en-US"/>
    </w:rPr>
  </w:style>
  <w:style w:type="character" w:customStyle="1" w:styleId="ListParagraphChar">
    <w:name w:val="List Paragraph Char"/>
    <w:aliases w:val="Conclusion de partie Char,Dot pt Char,No Spacing1 Char,List Paragraph Char Char Char Char,Indicator Text Char,Numbered Para 1 Char,List Paragraph1 Char,Bullet Points Char,MAIN CONTENT Char,List Paragraph12 Char,List Paragraph11 Char"/>
    <w:link w:val="ListParagraph"/>
    <w:uiPriority w:val="34"/>
    <w:qFormat/>
    <w:locked/>
    <w:rsid w:val="00AF4884"/>
    <w:rPr>
      <w:sz w:val="22"/>
      <w:szCs w:val="22"/>
      <w:lang w:val="en-GB" w:eastAsia="en-US"/>
    </w:rPr>
  </w:style>
  <w:style w:type="paragraph" w:customStyle="1" w:styleId="Body">
    <w:name w:val="Body"/>
    <w:uiPriority w:val="99"/>
    <w:rsid w:val="00AF488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Heading1Char">
    <w:name w:val="Heading 1 Char"/>
    <w:link w:val="Heading1"/>
    <w:uiPriority w:val="9"/>
    <w:rsid w:val="00751C59"/>
    <w:rPr>
      <w:rFonts w:ascii="Times New Roman" w:eastAsia="Aptos" w:hAnsi="Times New Roman"/>
      <w:kern w:val="36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51C59"/>
    <w:rPr>
      <w:rFonts w:ascii="Times New Roman" w:eastAsia="Aptos" w:hAnsi="Times New Roman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semiHidden/>
    <w:rsid w:val="00751C59"/>
    <w:rPr>
      <w:rFonts w:ascii="Times New Roman" w:eastAsia="Aptos" w:hAnsi="Times New Roman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751C59"/>
    <w:rPr>
      <w:rFonts w:ascii="Times New Roman" w:eastAsia="Aptos" w:hAnsi="Times New Roman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751C59"/>
    <w:rPr>
      <w:rFonts w:ascii="Times New Roman" w:eastAsia="Aptos" w:hAnsi="Times New Roman"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9"/>
    <w:semiHidden/>
    <w:rsid w:val="00751C59"/>
    <w:rPr>
      <w:rFonts w:ascii="Times New Roman" w:eastAsia="Aptos" w:hAnsi="Times New Roman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751C59"/>
    <w:rPr>
      <w:rFonts w:ascii="Times New Roman" w:eastAsia="Aptos" w:hAnsi="Times New Roman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751C59"/>
    <w:rPr>
      <w:rFonts w:ascii="Times New Roman" w:eastAsia="Aptos" w:hAnsi="Times New Roman"/>
      <w:sz w:val="22"/>
      <w:szCs w:val="22"/>
      <w:lang w:eastAsia="en-US"/>
    </w:rPr>
  </w:style>
  <w:style w:type="character" w:customStyle="1" w:styleId="Heading9Char">
    <w:name w:val="Heading 9 Char"/>
    <w:link w:val="Heading9"/>
    <w:uiPriority w:val="9"/>
    <w:semiHidden/>
    <w:rsid w:val="00751C59"/>
    <w:rPr>
      <w:rFonts w:ascii="Times New Roman" w:eastAsia="Aptos" w:hAnsi="Times New Roman"/>
      <w:sz w:val="22"/>
      <w:szCs w:val="22"/>
      <w:lang w:eastAsia="en-US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uiPriority w:val="99"/>
    <w:qFormat/>
    <w:locked/>
    <w:rsid w:val="00751C59"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,Char,Fußno"/>
    <w:basedOn w:val="Normal"/>
    <w:link w:val="FootnoteTextChar"/>
    <w:uiPriority w:val="99"/>
    <w:unhideWhenUsed/>
    <w:qFormat/>
    <w:rsid w:val="00751C59"/>
    <w:pPr>
      <w:spacing w:after="60" w:line="240" w:lineRule="auto"/>
      <w:ind w:left="567" w:hanging="567"/>
      <w:jc w:val="both"/>
    </w:pPr>
    <w:rPr>
      <w:sz w:val="20"/>
      <w:szCs w:val="20"/>
      <w:lang w:val="en-IE" w:eastAsia="en-IE"/>
    </w:rPr>
  </w:style>
  <w:style w:type="character" w:customStyle="1" w:styleId="FootnoteTextChar1">
    <w:name w:val="Footnote Text Char1"/>
    <w:uiPriority w:val="99"/>
    <w:semiHidden/>
    <w:rsid w:val="00751C59"/>
    <w:rPr>
      <w:lang w:val="en-GB" w:eastAsia="en-US"/>
    </w:rPr>
  </w:style>
  <w:style w:type="character" w:styleId="FootnoteReference">
    <w:name w:val="footnote reference"/>
    <w:aliases w:val="Footnote symbol,number,SUPERS,Footnote Reference Superscript,stylish,BVI fnr,-E Fußnotenzeichen,Source Reference,Footnote reference number,note TESI,Times 10 Point,Exposant 3 Point,Ref,de nota al pie,EN Footnote Reference,R,ftref,16 P"/>
    <w:link w:val="FootnoteReferenceCharCarCharCharCarCharCarCharCarCharCarCharCharCarCarCharCharCharCharCharCarCharCarCharCharCarCharCar"/>
    <w:uiPriority w:val="99"/>
    <w:unhideWhenUsed/>
    <w:qFormat/>
    <w:rsid w:val="00751C59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66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8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6687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8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875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0F4481"/>
    <w:rPr>
      <w:sz w:val="22"/>
      <w:szCs w:val="22"/>
      <w:lang w:val="en-GB" w:eastAsia="en-US"/>
    </w:rPr>
  </w:style>
  <w:style w:type="character" w:customStyle="1" w:styleId="cf01">
    <w:name w:val="cf01"/>
    <w:rsid w:val="0064047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C0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E" w:eastAsia="en-IE"/>
    </w:r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Normal"/>
    <w:link w:val="FootnoteReference"/>
    <w:uiPriority w:val="99"/>
    <w:rsid w:val="001B6CA9"/>
    <w:pPr>
      <w:spacing w:after="160" w:line="240" w:lineRule="exact"/>
      <w:jc w:val="both"/>
    </w:pPr>
    <w:rPr>
      <w:sz w:val="20"/>
      <w:szCs w:val="20"/>
      <w:vertAlign w:val="superscript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AA73B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europa.eu/eli/reg/2023/955/oj" TargetMode="External"/><Relationship Id="rId2" Type="http://schemas.openxmlformats.org/officeDocument/2006/relationships/hyperlink" Target="http://data.europa.eu/eli/dir/2024/1275/oj" TargetMode="External"/><Relationship Id="rId1" Type="http://schemas.openxmlformats.org/officeDocument/2006/relationships/hyperlink" Target="https://eur-lex.europa.eu/legal-content/EN/TXT/?uri=celex:52025DC0079" TargetMode="External"/><Relationship Id="rId5" Type="http://schemas.openxmlformats.org/officeDocument/2006/relationships/hyperlink" Target="http://data.europa.eu/eli/reg/2023/955/oj" TargetMode="External"/><Relationship Id="rId4" Type="http://schemas.openxmlformats.org/officeDocument/2006/relationships/hyperlink" Target="http://data.europa.eu/eli/dir/2023/1791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6901220668F4BB3A67BE672005023" ma:contentTypeVersion="15" ma:contentTypeDescription="Create a new document." ma:contentTypeScope="" ma:versionID="f333c58127ff6b683d4fe8e9bc86f713">
  <xsd:schema xmlns:xsd="http://www.w3.org/2001/XMLSchema" xmlns:xs="http://www.w3.org/2001/XMLSchema" xmlns:p="http://schemas.microsoft.com/office/2006/metadata/properties" xmlns:ns2="6f3ca250-38ff-4ce0-a943-575e2b64cba9" xmlns:ns3="e1a78ac4-7176-4dde-ad25-36245d50a152" targetNamespace="http://schemas.microsoft.com/office/2006/metadata/properties" ma:root="true" ma:fieldsID="8f091cfee7f0ea5671a30e12c569ddc2" ns2:_="" ns3:_="">
    <xsd:import namespace="6f3ca250-38ff-4ce0-a943-575e2b64cba9"/>
    <xsd:import namespace="e1a78ac4-7176-4dde-ad25-36245d50a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ca250-38ff-4ce0-a943-575e2b64c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2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78ac4-7176-4dde-ad25-36245d50a15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cdbe16-ee85-4ce4-942c-24a2e27804b5}" ma:internalName="TaxCatchAll" ma:showField="CatchAllData" ma:web="e1a78ac4-7176-4dde-ad25-36245d50a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ca250-38ff-4ce0-a943-575e2b64c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e1a78ac4-7176-4dde-ad25-36245d50a152" xsi:nil="true"/>
    <comment xmlns="6f3ca250-38ff-4ce0-a943-575e2b64cba9" xsi:nil="true"/>
  </documentManagement>
</p:properties>
</file>

<file path=customXml/itemProps1.xml><?xml version="1.0" encoding="utf-8"?>
<ds:datastoreItem xmlns:ds="http://schemas.openxmlformats.org/officeDocument/2006/customXml" ds:itemID="{0D7D5010-EC4C-4E17-B158-940B14CAB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B2053-5AAB-4BF4-B0D1-0AF13E776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ca250-38ff-4ce0-a943-575e2b64cba9"/>
    <ds:schemaRef ds:uri="e1a78ac4-7176-4dde-ad25-36245d50a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E85DA-4ED2-4A5D-B6F4-1F0DAC489F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3DAD2-D715-4CD5-BD7D-4F0F1535D0A6}">
  <ds:schemaRefs>
    <ds:schemaRef ds:uri="http://schemas.microsoft.com/office/2006/metadata/properties"/>
    <ds:schemaRef ds:uri="http://schemas.microsoft.com/office/infopath/2007/PartnerControls"/>
    <ds:schemaRef ds:uri="6f3ca250-38ff-4ce0-a943-575e2b64cba9"/>
    <ds:schemaRef ds:uri="e1a78ac4-7176-4dde-ad25-36245d50a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3188</Characters>
  <Application>Microsoft Office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(SG-EXT)</cp:lastModifiedBy>
  <cp:revision>2</cp:revision>
  <cp:lastPrinted>2013-03-01T15:02:00Z</cp:lastPrinted>
  <dcterms:created xsi:type="dcterms:W3CDTF">2026-01-12T10:10:00Z</dcterms:created>
  <dcterms:modified xsi:type="dcterms:W3CDTF">2026-01-12T10:10:00Z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0x010100F696901220668F4BB3A67BE672005023</vt:lpwstr>
  </property>
  <property fmtid="{D5CDD505-2E9C-101B-9397-08002B2CF9AE}" pid="10" name="MediaServiceImageTags">
    <vt:lpwstr/>
  </property>
</Properties>
</file>