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21AC277" w:rsidR="004D7AC0" w:rsidRDefault="00CA46B0" w:rsidP="004D7AC0">
      <w:pPr>
        <w:jc w:val="center"/>
      </w:pPr>
      <w:r>
        <w:rPr>
          <w:noProof/>
        </w:rPr>
        <w:drawing>
          <wp:inline distT="0" distB="0" distL="0" distR="0" wp14:anchorId="4D07F5B8" wp14:editId="47062734">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67A3417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4982DD4E" w14:textId="77777777" w:rsidR="004D7AC0" w:rsidRDefault="004D7AC0" w:rsidP="004D7AC0"/>
    <w:p w14:paraId="4982DD4F" w14:textId="46C3CD81" w:rsidR="004D7AC0" w:rsidRDefault="004D7AC0" w:rsidP="004D7AC0">
      <w:pPr>
        <w:jc w:val="right"/>
      </w:pPr>
      <w:r>
        <w:t>Bruxelles, 6 februarie 2026</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4EBE6AAE" w:rsidR="003066BE" w:rsidRDefault="00CD57F4" w:rsidP="00600C84">
            <w:pPr>
              <w:snapToGrid w:val="0"/>
              <w:jc w:val="center"/>
              <w:rPr>
                <w:b/>
                <w:sz w:val="32"/>
                <w:szCs w:val="32"/>
              </w:rPr>
            </w:pPr>
            <w:r>
              <w:rPr>
                <w:b/>
                <w:sz w:val="32"/>
              </w:rPr>
              <w:t>A 602-A SESIUNE PLENARĂ</w:t>
            </w:r>
          </w:p>
          <w:p w14:paraId="4982DD54" w14:textId="77777777" w:rsidR="003066BE" w:rsidRDefault="003066BE" w:rsidP="00600C84">
            <w:pPr>
              <w:snapToGrid w:val="0"/>
              <w:jc w:val="center"/>
              <w:rPr>
                <w:b/>
                <w:sz w:val="32"/>
                <w:szCs w:val="32"/>
              </w:rPr>
            </w:pPr>
          </w:p>
          <w:p w14:paraId="4982DD55" w14:textId="4037B3F6" w:rsidR="003066BE" w:rsidRDefault="00903E48" w:rsidP="00600C84">
            <w:pPr>
              <w:snapToGrid w:val="0"/>
              <w:jc w:val="center"/>
              <w:rPr>
                <w:b/>
                <w:sz w:val="32"/>
                <w:szCs w:val="32"/>
              </w:rPr>
            </w:pPr>
            <w:r>
              <w:rPr>
                <w:b/>
                <w:sz w:val="32"/>
              </w:rPr>
              <w:t>21 și 22 ianuarie 2026</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45A1AD28" w:rsidR="004D7AC0" w:rsidRPr="0081153B" w:rsidRDefault="004D7AC0" w:rsidP="00600C84">
            <w:pPr>
              <w:snapToGrid w:val="0"/>
              <w:jc w:val="center"/>
            </w:pPr>
            <w:r>
              <w:t xml:space="preserve">Prezentul document este disponibil în limbile oficiale ale Uniunii Europene </w:t>
            </w:r>
            <w:r w:rsidR="00A01B98">
              <w:br/>
            </w:r>
            <w:r>
              <w:t>pe site-ul internet al CESE, la adresa:</w:t>
            </w:r>
            <w:r w:rsidR="00A01B98">
              <w:t xml:space="preserve"> </w:t>
            </w:r>
            <w:r>
              <w:br/>
            </w:r>
            <w:r>
              <w:br/>
            </w:r>
            <w:hyperlink r:id="rId12" w:history="1">
              <w:r>
                <w:rPr>
                  <w:rStyle w:val="Hyperlink"/>
                </w:rPr>
                <w:t>https://www.eesc.europa.eu/ro/our-work/opinions-information-reports/plenary-session-summaries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5F8D2A6E" w:rsidR="004D7AC0" w:rsidRPr="00044561" w:rsidRDefault="004D7AC0" w:rsidP="00600C84">
            <w:pPr>
              <w:snapToGrid w:val="0"/>
              <w:jc w:val="center"/>
            </w:pPr>
            <w:r>
              <w:t>Avizele menționate pot fi consultate online prin intermediul motorului de căutare al CESE:</w:t>
            </w:r>
            <w:r w:rsidR="00A01B98">
              <w:t xml:space="preserve"> </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300BD1">
          <w:footerReference w:type="default" r:id="rId14"/>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Cuprins: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44ACACB4" w14:textId="0D081622" w:rsidR="003B5A27"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1267977" w:history="1">
            <w:r w:rsidR="003B5A27" w:rsidRPr="007B7030">
              <w:rPr>
                <w:rStyle w:val="Hyperlink"/>
                <w:b/>
                <w:noProof/>
              </w:rPr>
              <w:t>1.</w:t>
            </w:r>
            <w:r w:rsidR="003B5A27">
              <w:rPr>
                <w:rFonts w:asciiTheme="minorHAnsi" w:eastAsiaTheme="minorEastAsia" w:hAnsiTheme="minorHAnsi" w:cstheme="minorBidi"/>
                <w:noProof/>
                <w:lang w:val="en-US"/>
              </w:rPr>
              <w:tab/>
            </w:r>
            <w:r w:rsidR="003B5A27" w:rsidRPr="007B7030">
              <w:rPr>
                <w:rStyle w:val="Hyperlink"/>
                <w:b/>
                <w:noProof/>
              </w:rPr>
              <w:t>REZOLUȚIE</w:t>
            </w:r>
            <w:r w:rsidR="003B5A27">
              <w:rPr>
                <w:noProof/>
                <w:webHidden/>
              </w:rPr>
              <w:tab/>
            </w:r>
            <w:r w:rsidR="003B5A27">
              <w:rPr>
                <w:noProof/>
                <w:webHidden/>
              </w:rPr>
              <w:fldChar w:fldCharType="begin"/>
            </w:r>
            <w:r w:rsidR="003B5A27">
              <w:rPr>
                <w:noProof/>
                <w:webHidden/>
              </w:rPr>
              <w:instrText xml:space="preserve"> PAGEREF _Toc221267977 \h </w:instrText>
            </w:r>
            <w:r w:rsidR="003B5A27">
              <w:rPr>
                <w:noProof/>
                <w:webHidden/>
              </w:rPr>
            </w:r>
            <w:r w:rsidR="003B5A27">
              <w:rPr>
                <w:noProof/>
                <w:webHidden/>
              </w:rPr>
              <w:fldChar w:fldCharType="separate"/>
            </w:r>
            <w:r w:rsidR="003B5A27">
              <w:rPr>
                <w:noProof/>
                <w:webHidden/>
              </w:rPr>
              <w:t>6</w:t>
            </w:r>
            <w:r w:rsidR="003B5A27">
              <w:rPr>
                <w:noProof/>
                <w:webHidden/>
              </w:rPr>
              <w:fldChar w:fldCharType="end"/>
            </w:r>
          </w:hyperlink>
        </w:p>
        <w:p w14:paraId="2F6A56F3" w14:textId="0CDD0413" w:rsidR="003B5A27" w:rsidRDefault="005A1446" w:rsidP="007B2A4C">
          <w:pPr>
            <w:pStyle w:val="TOC1"/>
            <w:tabs>
              <w:tab w:val="left" w:pos="440"/>
              <w:tab w:val="right" w:leader="dot" w:pos="9063"/>
            </w:tabs>
            <w:ind w:left="440" w:hanging="440"/>
            <w:rPr>
              <w:rFonts w:asciiTheme="minorHAnsi" w:eastAsiaTheme="minorEastAsia" w:hAnsiTheme="minorHAnsi" w:cstheme="minorBidi"/>
              <w:noProof/>
              <w:lang w:val="en-US"/>
            </w:rPr>
          </w:pPr>
          <w:hyperlink w:anchor="_Toc221267978" w:history="1">
            <w:r w:rsidR="003B5A27" w:rsidRPr="007B7030">
              <w:rPr>
                <w:rStyle w:val="Hyperlink"/>
                <w:b/>
                <w:noProof/>
              </w:rPr>
              <w:t>2.</w:t>
            </w:r>
            <w:r w:rsidR="003B5A27">
              <w:rPr>
                <w:rFonts w:asciiTheme="minorHAnsi" w:eastAsiaTheme="minorEastAsia" w:hAnsiTheme="minorHAnsi" w:cstheme="minorBidi"/>
                <w:noProof/>
                <w:lang w:val="en-US"/>
              </w:rPr>
              <w:tab/>
            </w:r>
            <w:r w:rsidR="003B5A27" w:rsidRPr="007B7030">
              <w:rPr>
                <w:rStyle w:val="Hyperlink"/>
                <w:b/>
                <w:noProof/>
              </w:rPr>
              <w:t>SECȚIUNEA PENTRU UNIUNEA ECONOMICĂ ȘI MONETARĂ ȘI COEZIUNE ECONOMICĂ ȘI SOCIALĂ</w:t>
            </w:r>
            <w:r w:rsidR="003B5A27">
              <w:rPr>
                <w:noProof/>
                <w:webHidden/>
              </w:rPr>
              <w:tab/>
            </w:r>
            <w:r w:rsidR="003B5A27">
              <w:rPr>
                <w:noProof/>
                <w:webHidden/>
              </w:rPr>
              <w:fldChar w:fldCharType="begin"/>
            </w:r>
            <w:r w:rsidR="003B5A27">
              <w:rPr>
                <w:noProof/>
                <w:webHidden/>
              </w:rPr>
              <w:instrText xml:space="preserve"> PAGEREF _Toc221267978 \h </w:instrText>
            </w:r>
            <w:r w:rsidR="003B5A27">
              <w:rPr>
                <w:noProof/>
                <w:webHidden/>
              </w:rPr>
            </w:r>
            <w:r w:rsidR="003B5A27">
              <w:rPr>
                <w:noProof/>
                <w:webHidden/>
              </w:rPr>
              <w:fldChar w:fldCharType="separate"/>
            </w:r>
            <w:r w:rsidR="003B5A27">
              <w:rPr>
                <w:noProof/>
                <w:webHidden/>
              </w:rPr>
              <w:t>7</w:t>
            </w:r>
            <w:r w:rsidR="003B5A27">
              <w:rPr>
                <w:noProof/>
                <w:webHidden/>
              </w:rPr>
              <w:fldChar w:fldCharType="end"/>
            </w:r>
          </w:hyperlink>
        </w:p>
        <w:p w14:paraId="7D1EA09A" w14:textId="03142DB6" w:rsidR="003B5A27" w:rsidRDefault="005A1446" w:rsidP="007B2A4C">
          <w:pPr>
            <w:pStyle w:val="TOC1"/>
            <w:tabs>
              <w:tab w:val="left" w:pos="440"/>
              <w:tab w:val="right" w:leader="dot" w:pos="9063"/>
            </w:tabs>
            <w:ind w:left="440" w:hanging="440"/>
            <w:rPr>
              <w:rFonts w:asciiTheme="minorHAnsi" w:eastAsiaTheme="minorEastAsia" w:hAnsiTheme="minorHAnsi" w:cstheme="minorBidi"/>
              <w:noProof/>
              <w:lang w:val="en-US"/>
            </w:rPr>
          </w:pPr>
          <w:hyperlink w:anchor="_Toc221268012" w:history="1">
            <w:r w:rsidR="003B5A27" w:rsidRPr="007B7030">
              <w:rPr>
                <w:rStyle w:val="Hyperlink"/>
                <w:b/>
                <w:noProof/>
              </w:rPr>
              <w:t>3.</w:t>
            </w:r>
            <w:r w:rsidR="003B5A27">
              <w:rPr>
                <w:rFonts w:asciiTheme="minorHAnsi" w:eastAsiaTheme="minorEastAsia" w:hAnsiTheme="minorHAnsi" w:cstheme="minorBidi"/>
                <w:noProof/>
                <w:lang w:val="en-US"/>
              </w:rPr>
              <w:tab/>
            </w:r>
            <w:r w:rsidR="003B5A27" w:rsidRPr="007B7030">
              <w:rPr>
                <w:rStyle w:val="Hyperlink"/>
                <w:b/>
                <w:noProof/>
              </w:rPr>
              <w:t>SECȚIUNEA PENTRU OCUPAREA FORȚEI DE MUNCĂ, AFACERI SOCIALE ȘI CETĂȚENIE</w:t>
            </w:r>
            <w:r w:rsidR="003B5A27">
              <w:rPr>
                <w:noProof/>
                <w:webHidden/>
              </w:rPr>
              <w:tab/>
            </w:r>
            <w:r w:rsidR="003B5A27">
              <w:rPr>
                <w:noProof/>
                <w:webHidden/>
              </w:rPr>
              <w:fldChar w:fldCharType="begin"/>
            </w:r>
            <w:r w:rsidR="003B5A27">
              <w:rPr>
                <w:noProof/>
                <w:webHidden/>
              </w:rPr>
              <w:instrText xml:space="preserve"> PAGEREF _Toc221268012 \h </w:instrText>
            </w:r>
            <w:r w:rsidR="003B5A27">
              <w:rPr>
                <w:noProof/>
                <w:webHidden/>
              </w:rPr>
            </w:r>
            <w:r w:rsidR="003B5A27">
              <w:rPr>
                <w:noProof/>
                <w:webHidden/>
              </w:rPr>
              <w:fldChar w:fldCharType="separate"/>
            </w:r>
            <w:r w:rsidR="003B5A27">
              <w:rPr>
                <w:noProof/>
                <w:webHidden/>
              </w:rPr>
              <w:t>12</w:t>
            </w:r>
            <w:r w:rsidR="003B5A27">
              <w:rPr>
                <w:noProof/>
                <w:webHidden/>
              </w:rPr>
              <w:fldChar w:fldCharType="end"/>
            </w:r>
          </w:hyperlink>
        </w:p>
        <w:p w14:paraId="1B043BB8" w14:textId="1E5F7431" w:rsidR="003B5A27" w:rsidRDefault="005A1446" w:rsidP="007B2A4C">
          <w:pPr>
            <w:pStyle w:val="TOC1"/>
            <w:tabs>
              <w:tab w:val="left" w:pos="440"/>
              <w:tab w:val="right" w:leader="dot" w:pos="9063"/>
            </w:tabs>
            <w:ind w:left="440" w:hanging="440"/>
            <w:rPr>
              <w:rFonts w:asciiTheme="minorHAnsi" w:eastAsiaTheme="minorEastAsia" w:hAnsiTheme="minorHAnsi" w:cstheme="minorBidi"/>
              <w:noProof/>
              <w:lang w:val="en-US"/>
            </w:rPr>
          </w:pPr>
          <w:hyperlink w:anchor="_Toc221268013" w:history="1">
            <w:r w:rsidR="003B5A27" w:rsidRPr="007B7030">
              <w:rPr>
                <w:rStyle w:val="Hyperlink"/>
                <w:b/>
                <w:noProof/>
              </w:rPr>
              <w:t>4.</w:t>
            </w:r>
            <w:r w:rsidR="003B5A27">
              <w:rPr>
                <w:rFonts w:asciiTheme="minorHAnsi" w:eastAsiaTheme="minorEastAsia" w:hAnsiTheme="minorHAnsi" w:cstheme="minorBidi"/>
                <w:noProof/>
                <w:lang w:val="en-US"/>
              </w:rPr>
              <w:tab/>
            </w:r>
            <w:r w:rsidR="003B5A27" w:rsidRPr="007B7030">
              <w:rPr>
                <w:rStyle w:val="Hyperlink"/>
                <w:b/>
                <w:noProof/>
              </w:rPr>
              <w:t>SECȚIUNEA PENTRU TRANSPORTURI, ENERGIE, INFRASTRUCTURĂ ȘI SOCIETATEA INFORMAȚIONALĂ</w:t>
            </w:r>
            <w:r w:rsidR="003B5A27">
              <w:rPr>
                <w:noProof/>
                <w:webHidden/>
              </w:rPr>
              <w:tab/>
            </w:r>
            <w:r w:rsidR="003B5A27">
              <w:rPr>
                <w:noProof/>
                <w:webHidden/>
              </w:rPr>
              <w:fldChar w:fldCharType="begin"/>
            </w:r>
            <w:r w:rsidR="003B5A27">
              <w:rPr>
                <w:noProof/>
                <w:webHidden/>
              </w:rPr>
              <w:instrText xml:space="preserve"> PAGEREF _Toc221268013 \h </w:instrText>
            </w:r>
            <w:r w:rsidR="003B5A27">
              <w:rPr>
                <w:noProof/>
                <w:webHidden/>
              </w:rPr>
            </w:r>
            <w:r w:rsidR="003B5A27">
              <w:rPr>
                <w:noProof/>
                <w:webHidden/>
              </w:rPr>
              <w:fldChar w:fldCharType="separate"/>
            </w:r>
            <w:r w:rsidR="003B5A27">
              <w:rPr>
                <w:noProof/>
                <w:webHidden/>
              </w:rPr>
              <w:t>15</w:t>
            </w:r>
            <w:r w:rsidR="003B5A27">
              <w:rPr>
                <w:noProof/>
                <w:webHidden/>
              </w:rPr>
              <w:fldChar w:fldCharType="end"/>
            </w:r>
          </w:hyperlink>
        </w:p>
        <w:p w14:paraId="0C73BA6B" w14:textId="167D79A7" w:rsidR="003B5A27" w:rsidRDefault="005A1446">
          <w:pPr>
            <w:pStyle w:val="TOC1"/>
            <w:tabs>
              <w:tab w:val="left" w:pos="440"/>
              <w:tab w:val="right" w:leader="dot" w:pos="9063"/>
            </w:tabs>
            <w:rPr>
              <w:rFonts w:asciiTheme="minorHAnsi" w:eastAsiaTheme="minorEastAsia" w:hAnsiTheme="minorHAnsi" w:cstheme="minorBidi"/>
              <w:noProof/>
              <w:lang w:val="en-US"/>
            </w:rPr>
          </w:pPr>
          <w:hyperlink w:anchor="_Toc221268014" w:history="1">
            <w:r w:rsidR="003B5A27" w:rsidRPr="007B7030">
              <w:rPr>
                <w:rStyle w:val="Hyperlink"/>
                <w:b/>
                <w:noProof/>
              </w:rPr>
              <w:t>5.</w:t>
            </w:r>
            <w:r w:rsidR="003B5A27">
              <w:rPr>
                <w:rFonts w:asciiTheme="minorHAnsi" w:eastAsiaTheme="minorEastAsia" w:hAnsiTheme="minorHAnsi" w:cstheme="minorBidi"/>
                <w:noProof/>
                <w:lang w:val="en-US"/>
              </w:rPr>
              <w:tab/>
            </w:r>
            <w:r w:rsidR="003B5A27" w:rsidRPr="007B7030">
              <w:rPr>
                <w:rStyle w:val="Hyperlink"/>
                <w:b/>
                <w:noProof/>
              </w:rPr>
              <w:t>SECȚIUNEA PENTRU PIAȚA UNICĂ, PRODUCȚIE ȘI CONSUM</w:t>
            </w:r>
            <w:r w:rsidR="003B5A27">
              <w:rPr>
                <w:noProof/>
                <w:webHidden/>
              </w:rPr>
              <w:tab/>
            </w:r>
            <w:r w:rsidR="003B5A27">
              <w:rPr>
                <w:noProof/>
                <w:webHidden/>
              </w:rPr>
              <w:fldChar w:fldCharType="begin"/>
            </w:r>
            <w:r w:rsidR="003B5A27">
              <w:rPr>
                <w:noProof/>
                <w:webHidden/>
              </w:rPr>
              <w:instrText xml:space="preserve"> PAGEREF _Toc221268014 \h </w:instrText>
            </w:r>
            <w:r w:rsidR="003B5A27">
              <w:rPr>
                <w:noProof/>
                <w:webHidden/>
              </w:rPr>
            </w:r>
            <w:r w:rsidR="003B5A27">
              <w:rPr>
                <w:noProof/>
                <w:webHidden/>
              </w:rPr>
              <w:fldChar w:fldCharType="separate"/>
            </w:r>
            <w:r w:rsidR="003B5A27">
              <w:rPr>
                <w:noProof/>
                <w:webHidden/>
              </w:rPr>
              <w:t>17</w:t>
            </w:r>
            <w:r w:rsidR="003B5A27">
              <w:rPr>
                <w:noProof/>
                <w:webHidden/>
              </w:rPr>
              <w:fldChar w:fldCharType="end"/>
            </w:r>
          </w:hyperlink>
        </w:p>
        <w:p w14:paraId="4EC353AB" w14:textId="4A86DA26" w:rsidR="003B5A27" w:rsidRDefault="005A1446" w:rsidP="007B2A4C">
          <w:pPr>
            <w:pStyle w:val="TOC1"/>
            <w:tabs>
              <w:tab w:val="left" w:pos="440"/>
              <w:tab w:val="right" w:leader="dot" w:pos="9063"/>
            </w:tabs>
            <w:ind w:left="440" w:hanging="440"/>
            <w:rPr>
              <w:rFonts w:asciiTheme="minorHAnsi" w:eastAsiaTheme="minorEastAsia" w:hAnsiTheme="minorHAnsi" w:cstheme="minorBidi"/>
              <w:noProof/>
              <w:lang w:val="en-US"/>
            </w:rPr>
          </w:pPr>
          <w:hyperlink w:anchor="_Toc221268015" w:history="1">
            <w:r w:rsidR="003B5A27" w:rsidRPr="007B7030">
              <w:rPr>
                <w:rStyle w:val="Hyperlink"/>
                <w:b/>
                <w:noProof/>
              </w:rPr>
              <w:t>6.</w:t>
            </w:r>
            <w:r w:rsidR="003B5A27">
              <w:rPr>
                <w:rFonts w:asciiTheme="minorHAnsi" w:eastAsiaTheme="minorEastAsia" w:hAnsiTheme="minorHAnsi" w:cstheme="minorBidi"/>
                <w:noProof/>
                <w:lang w:val="en-US"/>
              </w:rPr>
              <w:tab/>
            </w:r>
            <w:r w:rsidR="003B5A27" w:rsidRPr="007B7030">
              <w:rPr>
                <w:rStyle w:val="Hyperlink"/>
                <w:b/>
                <w:noProof/>
              </w:rPr>
              <w:t>SECȚIUNEA PENTRU AGRICULTURĂ, DEZVOLTARE RURALĂ ȘI PROTECȚIA MEDIULUI</w:t>
            </w:r>
            <w:r w:rsidR="003B5A27">
              <w:rPr>
                <w:noProof/>
                <w:webHidden/>
              </w:rPr>
              <w:tab/>
            </w:r>
            <w:r w:rsidR="003B5A27">
              <w:rPr>
                <w:noProof/>
                <w:webHidden/>
              </w:rPr>
              <w:fldChar w:fldCharType="begin"/>
            </w:r>
            <w:r w:rsidR="003B5A27">
              <w:rPr>
                <w:noProof/>
                <w:webHidden/>
              </w:rPr>
              <w:instrText xml:space="preserve"> PAGEREF _Toc221268015 \h </w:instrText>
            </w:r>
            <w:r w:rsidR="003B5A27">
              <w:rPr>
                <w:noProof/>
                <w:webHidden/>
              </w:rPr>
            </w:r>
            <w:r w:rsidR="003B5A27">
              <w:rPr>
                <w:noProof/>
                <w:webHidden/>
              </w:rPr>
              <w:fldChar w:fldCharType="separate"/>
            </w:r>
            <w:r w:rsidR="003B5A27">
              <w:rPr>
                <w:noProof/>
                <w:webHidden/>
              </w:rPr>
              <w:t>22</w:t>
            </w:r>
            <w:r w:rsidR="003B5A27">
              <w:rPr>
                <w:noProof/>
                <w:webHidden/>
              </w:rPr>
              <w:fldChar w:fldCharType="end"/>
            </w:r>
          </w:hyperlink>
        </w:p>
        <w:p w14:paraId="7D8923E2" w14:textId="7027A8A3" w:rsidR="003B5A27" w:rsidRDefault="005A1446">
          <w:pPr>
            <w:pStyle w:val="TOC1"/>
            <w:tabs>
              <w:tab w:val="left" w:pos="440"/>
              <w:tab w:val="right" w:leader="dot" w:pos="9063"/>
            </w:tabs>
            <w:rPr>
              <w:rFonts w:asciiTheme="minorHAnsi" w:eastAsiaTheme="minorEastAsia" w:hAnsiTheme="minorHAnsi" w:cstheme="minorBidi"/>
              <w:noProof/>
              <w:lang w:val="en-US"/>
            </w:rPr>
          </w:pPr>
          <w:hyperlink w:anchor="_Toc221268024" w:history="1">
            <w:r w:rsidR="003B5A27" w:rsidRPr="007B7030">
              <w:rPr>
                <w:rStyle w:val="Hyperlink"/>
                <w:b/>
                <w:noProof/>
              </w:rPr>
              <w:t>7.</w:t>
            </w:r>
            <w:r w:rsidR="003B5A27">
              <w:rPr>
                <w:rFonts w:asciiTheme="minorHAnsi" w:eastAsiaTheme="minorEastAsia" w:hAnsiTheme="minorHAnsi" w:cstheme="minorBidi"/>
                <w:noProof/>
                <w:lang w:val="en-US"/>
              </w:rPr>
              <w:tab/>
            </w:r>
            <w:r w:rsidR="003B5A27" w:rsidRPr="007B7030">
              <w:rPr>
                <w:rStyle w:val="Hyperlink"/>
                <w:b/>
                <w:noProof/>
              </w:rPr>
              <w:t>COMISIA CONSULTATIVĂ PENTRU MUTAȚII INDUSTRIALE</w:t>
            </w:r>
            <w:r w:rsidR="003B5A27">
              <w:rPr>
                <w:noProof/>
                <w:webHidden/>
              </w:rPr>
              <w:tab/>
            </w:r>
            <w:r w:rsidR="003B5A27">
              <w:rPr>
                <w:noProof/>
                <w:webHidden/>
              </w:rPr>
              <w:fldChar w:fldCharType="begin"/>
            </w:r>
            <w:r w:rsidR="003B5A27">
              <w:rPr>
                <w:noProof/>
                <w:webHidden/>
              </w:rPr>
              <w:instrText xml:space="preserve"> PAGEREF _Toc221268024 \h </w:instrText>
            </w:r>
            <w:r w:rsidR="003B5A27">
              <w:rPr>
                <w:noProof/>
                <w:webHidden/>
              </w:rPr>
            </w:r>
            <w:r w:rsidR="003B5A27">
              <w:rPr>
                <w:noProof/>
                <w:webHidden/>
              </w:rPr>
              <w:fldChar w:fldCharType="separate"/>
            </w:r>
            <w:r w:rsidR="003B5A27">
              <w:rPr>
                <w:noProof/>
                <w:webHidden/>
              </w:rPr>
              <w:t>28</w:t>
            </w:r>
            <w:r w:rsidR="003B5A27">
              <w:rPr>
                <w:noProof/>
                <w:webHidden/>
              </w:rPr>
              <w:fldChar w:fldCharType="end"/>
            </w:r>
          </w:hyperlink>
        </w:p>
        <w:p w14:paraId="4982DD6A" w14:textId="4E17C54A" w:rsidR="004D7AC0" w:rsidRDefault="004D7AC0" w:rsidP="004D7AC0">
          <w:r>
            <w:rPr>
              <w:b/>
            </w:rPr>
            <w:fldChar w:fldCharType="end"/>
          </w:r>
        </w:p>
      </w:sdtContent>
    </w:sdt>
    <w:p w14:paraId="41CF20B2" w14:textId="77777777" w:rsidR="00566EF0" w:rsidRDefault="00566EF0" w:rsidP="004D7AC0"/>
    <w:p w14:paraId="4982DD6C" w14:textId="77777777" w:rsidR="004D7AC0" w:rsidRDefault="004D7AC0" w:rsidP="004D7AC0">
      <w:pPr>
        <w:spacing w:after="160" w:line="259" w:lineRule="auto"/>
        <w:jc w:val="left"/>
      </w:pPr>
      <w:r>
        <w:br w:type="page"/>
      </w:r>
    </w:p>
    <w:p w14:paraId="02059370" w14:textId="0051BE24" w:rsidR="00145E70" w:rsidRDefault="007A5C3E" w:rsidP="004D7AC0">
      <w:pPr>
        <w:pStyle w:val="Heading1"/>
        <w:rPr>
          <w:b/>
        </w:rPr>
      </w:pPr>
      <w:bookmarkStart w:id="0" w:name="_Toc221267977"/>
      <w:r>
        <w:rPr>
          <w:b/>
        </w:rPr>
        <w:lastRenderedPageBreak/>
        <w:t>REZOLUȚIE</w:t>
      </w:r>
      <w:bookmarkEnd w:id="0"/>
    </w:p>
    <w:p w14:paraId="7ABE8773" w14:textId="77777777" w:rsidR="00790212" w:rsidRDefault="00790212" w:rsidP="00790212"/>
    <w:p w14:paraId="0487404F" w14:textId="7A49618B" w:rsidR="009F0424" w:rsidRPr="00623D14" w:rsidRDefault="005A1446" w:rsidP="008D3BC2">
      <w:pPr>
        <w:pStyle w:val="ListParagraph"/>
        <w:numPr>
          <w:ilvl w:val="0"/>
          <w:numId w:val="54"/>
        </w:numPr>
        <w:ind w:left="426" w:hanging="426"/>
        <w:rPr>
          <w:sz w:val="28"/>
          <w:szCs w:val="28"/>
          <w:lang w:val="en-GB"/>
        </w:rPr>
      </w:pPr>
      <w:hyperlink r:id="rId15" w:history="1">
        <w:r w:rsidR="00CA46B0" w:rsidRPr="00623D14">
          <w:rPr>
            <w:rStyle w:val="Hyperlink"/>
            <w:b/>
            <w:i/>
            <w:sz w:val="28"/>
            <w:szCs w:val="28"/>
          </w:rPr>
          <w:t>Contribuția CESE la prioritățile UE în cadrul celei de-a 70-a sesiuni a Comisiei ONU pentru statutul femeilor (CSW)</w:t>
        </w:r>
      </w:hyperlink>
    </w:p>
    <w:p w14:paraId="53BAD4BD" w14:textId="45DA4FE0" w:rsidR="009F0424" w:rsidRPr="009F0424" w:rsidRDefault="009F0424" w:rsidP="009F0424">
      <w:pPr>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tblGrid>
      <w:tr w:rsidR="009F0424" w:rsidRPr="009F0424" w14:paraId="45ADE66B" w14:textId="77777777" w:rsidTr="00A01B98">
        <w:tc>
          <w:tcPr>
            <w:tcW w:w="1701" w:type="dxa"/>
          </w:tcPr>
          <w:p w14:paraId="41803FC9" w14:textId="1372B946" w:rsidR="009F0424" w:rsidRPr="002C2DFE" w:rsidRDefault="009F0424">
            <w:pPr>
              <w:rPr>
                <w:b/>
                <w:bCs/>
              </w:rPr>
            </w:pPr>
            <w:r>
              <w:rPr>
                <w:b/>
              </w:rPr>
              <w:t>Raportori:</w:t>
            </w:r>
          </w:p>
        </w:tc>
        <w:tc>
          <w:tcPr>
            <w:tcW w:w="7230" w:type="dxa"/>
          </w:tcPr>
          <w:p w14:paraId="701BD5C9" w14:textId="4D4C32D5" w:rsidR="009F0424" w:rsidRPr="00BC3DCE" w:rsidRDefault="009F0424">
            <w:proofErr w:type="spellStart"/>
            <w:r>
              <w:t>Christa</w:t>
            </w:r>
            <w:proofErr w:type="spellEnd"/>
            <w:r>
              <w:t xml:space="preserve"> SCHWENG (Grupul „Angajatori” </w:t>
            </w:r>
            <w:r w:rsidR="00A01B98">
              <w:t>–</w:t>
            </w:r>
            <w:r>
              <w:t xml:space="preserve"> AT)</w:t>
            </w:r>
          </w:p>
          <w:p w14:paraId="76E58311" w14:textId="6504E8B0" w:rsidR="009F0424" w:rsidRPr="00BC3DCE" w:rsidRDefault="009F0424">
            <w:r>
              <w:t>Giulia BARBUCCI (Grupul „Lucrători” – IT)</w:t>
            </w:r>
          </w:p>
          <w:p w14:paraId="5DE2178A" w14:textId="085FA273" w:rsidR="009F0424" w:rsidRPr="00BC3DCE" w:rsidRDefault="009F0424">
            <w:proofErr w:type="spellStart"/>
            <w:r>
              <w:t>Juliane</w:t>
            </w:r>
            <w:proofErr w:type="spellEnd"/>
            <w:r>
              <w:t xml:space="preserve"> </w:t>
            </w:r>
            <w:proofErr w:type="spellStart"/>
            <w:r>
              <w:t>Marie</w:t>
            </w:r>
            <w:proofErr w:type="spellEnd"/>
            <w:r>
              <w:t xml:space="preserve"> NEIIENDAM (Grupul „Organizații ale societății civile” – DK)</w:t>
            </w:r>
          </w:p>
        </w:tc>
      </w:tr>
      <w:tr w:rsidR="009F0424" w:rsidRPr="009F0424" w14:paraId="715B9E58" w14:textId="77777777" w:rsidTr="00A01B98">
        <w:tc>
          <w:tcPr>
            <w:tcW w:w="8931" w:type="dxa"/>
            <w:gridSpan w:val="2"/>
          </w:tcPr>
          <w:p w14:paraId="3B6D762E" w14:textId="77777777" w:rsidR="009F0424" w:rsidRPr="002C2DFE" w:rsidRDefault="009F0424">
            <w:pPr>
              <w:rPr>
                <w:b/>
                <w:bCs/>
              </w:rPr>
            </w:pPr>
          </w:p>
        </w:tc>
      </w:tr>
      <w:tr w:rsidR="009F0424" w:rsidRPr="009F0424" w14:paraId="12A9B6F7" w14:textId="77777777" w:rsidTr="00A01B98">
        <w:tc>
          <w:tcPr>
            <w:tcW w:w="1701" w:type="dxa"/>
            <w:vMerge w:val="restart"/>
          </w:tcPr>
          <w:p w14:paraId="62D69BCA" w14:textId="57E7C894" w:rsidR="009F0424" w:rsidRPr="002C2DFE" w:rsidRDefault="009F0424" w:rsidP="002C2DFE">
            <w:pPr>
              <w:rPr>
                <w:b/>
                <w:bCs/>
              </w:rPr>
            </w:pPr>
            <w:r>
              <w:rPr>
                <w:b/>
              </w:rPr>
              <w:t xml:space="preserve">Referințe: </w:t>
            </w:r>
          </w:p>
        </w:tc>
        <w:tc>
          <w:tcPr>
            <w:tcW w:w="7230" w:type="dxa"/>
          </w:tcPr>
          <w:p w14:paraId="5E237E1B" w14:textId="77777777" w:rsidR="009F0424" w:rsidRPr="002C2DFE" w:rsidRDefault="009F0424">
            <w:r>
              <w:t>Rezoluție</w:t>
            </w:r>
          </w:p>
        </w:tc>
      </w:tr>
      <w:tr w:rsidR="009F0424" w:rsidRPr="009F0424" w14:paraId="756C9475" w14:textId="77777777" w:rsidTr="00A01B98">
        <w:tc>
          <w:tcPr>
            <w:tcW w:w="1701" w:type="dxa"/>
            <w:vMerge/>
          </w:tcPr>
          <w:p w14:paraId="13DCDD74" w14:textId="77777777" w:rsidR="009F0424" w:rsidRPr="002C2DFE" w:rsidRDefault="009F0424">
            <w:pPr>
              <w:rPr>
                <w:b/>
                <w:bCs/>
              </w:rPr>
            </w:pPr>
          </w:p>
        </w:tc>
        <w:tc>
          <w:tcPr>
            <w:tcW w:w="7230" w:type="dxa"/>
          </w:tcPr>
          <w:p w14:paraId="1B2855B4" w14:textId="77777777" w:rsidR="009F0424" w:rsidRPr="002C2DFE" w:rsidRDefault="009F0424">
            <w:r>
              <w:t>EESC-2025-04173-00-00-RES</w:t>
            </w:r>
          </w:p>
        </w:tc>
      </w:tr>
    </w:tbl>
    <w:p w14:paraId="60371ECC" w14:textId="77777777" w:rsidR="00A01B98" w:rsidRDefault="00A01B98" w:rsidP="009F0424">
      <w:pPr>
        <w:rPr>
          <w:b/>
        </w:rPr>
      </w:pPr>
    </w:p>
    <w:p w14:paraId="618843F0" w14:textId="7F46F522" w:rsidR="009F0424" w:rsidRDefault="009F0424" w:rsidP="009F0424">
      <w:pPr>
        <w:rPr>
          <w:b/>
        </w:rPr>
      </w:pPr>
      <w:r>
        <w:rPr>
          <w:b/>
        </w:rPr>
        <w:t>Punctele principale:</w:t>
      </w:r>
    </w:p>
    <w:p w14:paraId="43A33CB5" w14:textId="77777777" w:rsidR="009F0424" w:rsidRPr="009F0424" w:rsidRDefault="009F0424" w:rsidP="009F0424">
      <w:pPr>
        <w:rPr>
          <w:b/>
          <w:lang w:val="it-IT"/>
        </w:rPr>
      </w:pPr>
    </w:p>
    <w:p w14:paraId="685CC285" w14:textId="77777777" w:rsidR="009F0424" w:rsidRDefault="009F0424" w:rsidP="009F0424">
      <w:pPr>
        <w:rPr>
          <w:bCs/>
          <w:iCs/>
        </w:rPr>
      </w:pPr>
      <w:r>
        <w:t>CESE:</w:t>
      </w:r>
    </w:p>
    <w:p w14:paraId="6EF41F4A" w14:textId="77777777" w:rsidR="00954942" w:rsidRPr="009F0424" w:rsidRDefault="00954942" w:rsidP="009F0424">
      <w:pPr>
        <w:rPr>
          <w:bCs/>
          <w:iCs/>
          <w:lang w:val="en-GB"/>
        </w:rPr>
      </w:pPr>
    </w:p>
    <w:p w14:paraId="499F4F31" w14:textId="77777777" w:rsidR="009F0424" w:rsidRPr="009F0424" w:rsidRDefault="009F0424" w:rsidP="002C2DFE">
      <w:pPr>
        <w:numPr>
          <w:ilvl w:val="0"/>
          <w:numId w:val="32"/>
        </w:numPr>
        <w:spacing w:line="276" w:lineRule="auto"/>
        <w:ind w:left="284" w:hanging="284"/>
      </w:pPr>
      <w:r>
        <w:t>își reafirmă angajamentul de lungă durată față de egalitatea de gen, drepturile femeilor și statul de drept, ca temelii ale democrației, justiției sociale și creșterii incluzive, eliminarea tuturor formelor de violență împotriva femeilor și fetelor și participarea lor deplină și efectivă la viața economică, politică și socială;</w:t>
      </w:r>
    </w:p>
    <w:p w14:paraId="7FADF3B2" w14:textId="77777777" w:rsidR="009F0424" w:rsidRPr="009F0424" w:rsidRDefault="009F0424" w:rsidP="002C2DFE">
      <w:pPr>
        <w:numPr>
          <w:ilvl w:val="0"/>
          <w:numId w:val="32"/>
        </w:numPr>
        <w:spacing w:line="276" w:lineRule="auto"/>
        <w:ind w:left="284" w:hanging="284"/>
      </w:pPr>
      <w:r>
        <w:t xml:space="preserve">subliniază că </w:t>
      </w:r>
      <w:r>
        <w:rPr>
          <w:b/>
        </w:rPr>
        <w:t>accesul la justiție</w:t>
      </w:r>
      <w:r>
        <w:t xml:space="preserve"> este, în sine, atât un drept fundamental al omului, cât și o premisă pentru aplicarea altor drepturi ale omului, cum ar fi egalitatea de gen, și că garantarea sa necesită: </w:t>
      </w:r>
      <w:r>
        <w:rPr>
          <w:b/>
        </w:rPr>
        <w:t>eliminarea legilor, politicilor și practicilor discriminatorii; consolidarea sistemelor de justiție, astfel încât să țină seama de dimensiunea de gen;</w:t>
      </w:r>
      <w:r>
        <w:t xml:space="preserve"> </w:t>
      </w:r>
      <w:r>
        <w:rPr>
          <w:b/>
        </w:rPr>
        <w:t>asigurarea disponibilității asistenței juridice și a reprezentării accesibile, abordabile ca preț și de calitate; garantarea protecției, siguranței și confidențialității</w:t>
      </w:r>
      <w:r>
        <w:t xml:space="preserve"> pentru cei ce supraviețuiesc violenței; </w:t>
      </w:r>
      <w:r>
        <w:rPr>
          <w:b/>
        </w:rPr>
        <w:t>accesul digital la legislație; eliminarea barierelor socioeconomice</w:t>
      </w:r>
      <w:r>
        <w:t xml:space="preserve">, și planuri naționale de acțiune privind accesul la justiție finanțate adecvat, care să integreze egalitatea de gen, </w:t>
      </w:r>
    </w:p>
    <w:p w14:paraId="4F6AFF41" w14:textId="77777777" w:rsidR="009F0424" w:rsidRPr="009F0424" w:rsidRDefault="009F0424" w:rsidP="002C2DFE">
      <w:pPr>
        <w:numPr>
          <w:ilvl w:val="0"/>
          <w:numId w:val="32"/>
        </w:numPr>
        <w:spacing w:line="276" w:lineRule="auto"/>
        <w:ind w:left="284" w:hanging="284"/>
      </w:pPr>
      <w:r>
        <w:t xml:space="preserve">în ceea ce privește </w:t>
      </w:r>
      <w:r>
        <w:rPr>
          <w:b/>
        </w:rPr>
        <w:t>participarea la viața publică și eliminarea violenței</w:t>
      </w:r>
      <w:r>
        <w:t xml:space="preserve">, reiterează necesitatea de: a asigura </w:t>
      </w:r>
      <w:r>
        <w:rPr>
          <w:b/>
        </w:rPr>
        <w:t>reprezentarea egală a femeilor</w:t>
      </w:r>
      <w:r>
        <w:t xml:space="preserve"> în procesul decizional politic, economic și public, a garanta </w:t>
      </w:r>
      <w:r>
        <w:rPr>
          <w:b/>
        </w:rPr>
        <w:t>toleranța zero față de violența bazată pe gen</w:t>
      </w:r>
      <w:r>
        <w:t xml:space="preserve">, a consolida </w:t>
      </w:r>
      <w:r>
        <w:rPr>
          <w:b/>
        </w:rPr>
        <w:t>sprijinul și protecția pentru apărătoarele drepturilor femeilor și organizațiile societății civile</w:t>
      </w:r>
      <w:r>
        <w:t xml:space="preserve">, a promova </w:t>
      </w:r>
      <w:r>
        <w:rPr>
          <w:b/>
        </w:rPr>
        <w:t>spații civice sigure, incluzive și democratice</w:t>
      </w:r>
      <w:r>
        <w:t>, și a sprijini</w:t>
      </w:r>
      <w:r>
        <w:rPr>
          <w:b/>
        </w:rPr>
        <w:t xml:space="preserve"> abordări </w:t>
      </w:r>
      <w:proofErr w:type="spellStart"/>
      <w:r>
        <w:rPr>
          <w:b/>
        </w:rPr>
        <w:t>intersecționale</w:t>
      </w:r>
      <w:proofErr w:type="spellEnd"/>
      <w:r>
        <w:rPr>
          <w:b/>
        </w:rPr>
        <w:t xml:space="preserve">, </w:t>
      </w:r>
      <w:r>
        <w:t>a combate</w:t>
      </w:r>
      <w:r>
        <w:rPr>
          <w:b/>
        </w:rPr>
        <w:t xml:space="preserve"> stereotipurile și dezinformarea</w:t>
      </w:r>
      <w:r>
        <w:t>;</w:t>
      </w:r>
    </w:p>
    <w:p w14:paraId="56CF49BD" w14:textId="77777777" w:rsidR="009F0424" w:rsidRPr="009F0424" w:rsidRDefault="009F0424" w:rsidP="002C2DFE">
      <w:pPr>
        <w:numPr>
          <w:ilvl w:val="0"/>
          <w:numId w:val="32"/>
        </w:numPr>
        <w:spacing w:line="276" w:lineRule="auto"/>
        <w:ind w:left="284" w:hanging="284"/>
      </w:pPr>
      <w:r>
        <w:t xml:space="preserve">se angajează să contribuie la punerea în aplicare a obiectivelor CSW70 prin: </w:t>
      </w:r>
      <w:r>
        <w:rPr>
          <w:b/>
        </w:rPr>
        <w:t>promovarea unui dialog social și civil structurat</w:t>
      </w:r>
      <w:r>
        <w:t xml:space="preserve">, care să sprijine reformele justiției ce iau în considerare dimensiunea de gen, </w:t>
      </w:r>
      <w:r>
        <w:rPr>
          <w:b/>
        </w:rPr>
        <w:t>promovarea integrării perspectivei de gen și a includerii în buget a dimensiunii de gen,</w:t>
      </w:r>
      <w:r>
        <w:t xml:space="preserve"> </w:t>
      </w:r>
      <w:r>
        <w:rPr>
          <w:b/>
        </w:rPr>
        <w:t>sprijinirea măsurilor de sensibilizare, educare și prevenire</w:t>
      </w:r>
      <w:r>
        <w:t xml:space="preserve">, inclusiv cu privire la drepturile legale, siguranța digitală și eliminarea stereotipurilor, și </w:t>
      </w:r>
      <w:r>
        <w:rPr>
          <w:b/>
        </w:rPr>
        <w:t>încurajarea cooperării între instituțiile UE, statele membre, partenerii sociali și societatea civilă</w:t>
      </w:r>
      <w:r>
        <w:t xml:space="preserve"> pentru a asigura abordări coordonate, la nivelul întregii societăți.</w:t>
      </w:r>
    </w:p>
    <w:p w14:paraId="694CAB6E" w14:textId="77777777" w:rsidR="009F0424" w:rsidRPr="009F0424" w:rsidRDefault="009F0424" w:rsidP="009F042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5670"/>
      </w:tblGrid>
      <w:tr w:rsidR="009F0424" w:rsidRPr="009F0424" w14:paraId="10B352AE" w14:textId="77777777" w:rsidTr="00BA7DA9">
        <w:tc>
          <w:tcPr>
            <w:tcW w:w="1418" w:type="dxa"/>
          </w:tcPr>
          <w:p w14:paraId="3D5977A6" w14:textId="77777777" w:rsidR="009F0424" w:rsidRPr="002C2DFE" w:rsidRDefault="009F0424" w:rsidP="009F0424">
            <w:pPr>
              <w:rPr>
                <w:i/>
                <w:sz w:val="20"/>
                <w:szCs w:val="20"/>
              </w:rPr>
            </w:pPr>
            <w:r>
              <w:rPr>
                <w:b/>
                <w:i/>
                <w:sz w:val="20"/>
              </w:rPr>
              <w:t>Date de contact:</w:t>
            </w:r>
          </w:p>
        </w:tc>
        <w:tc>
          <w:tcPr>
            <w:tcW w:w="5670" w:type="dxa"/>
          </w:tcPr>
          <w:p w14:paraId="2C4FE93B" w14:textId="2735A29B" w:rsidR="009F0424" w:rsidRPr="002C2DFE" w:rsidRDefault="009F0424" w:rsidP="009F0424">
            <w:pPr>
              <w:rPr>
                <w:i/>
                <w:sz w:val="20"/>
                <w:szCs w:val="20"/>
              </w:rPr>
            </w:pPr>
            <w:r>
              <w:rPr>
                <w:i/>
                <w:sz w:val="20"/>
              </w:rPr>
              <w:t xml:space="preserve">Antoni </w:t>
            </w:r>
            <w:proofErr w:type="spellStart"/>
            <w:r>
              <w:rPr>
                <w:i/>
                <w:sz w:val="20"/>
              </w:rPr>
              <w:t>Torras</w:t>
            </w:r>
            <w:proofErr w:type="spellEnd"/>
            <w:r>
              <w:rPr>
                <w:i/>
                <w:sz w:val="20"/>
              </w:rPr>
              <w:t xml:space="preserve"> </w:t>
            </w:r>
            <w:proofErr w:type="spellStart"/>
            <w:r>
              <w:rPr>
                <w:i/>
                <w:sz w:val="20"/>
              </w:rPr>
              <w:t>Estruch</w:t>
            </w:r>
            <w:proofErr w:type="spellEnd"/>
          </w:p>
        </w:tc>
      </w:tr>
      <w:tr w:rsidR="009F0424" w:rsidRPr="009F0424" w14:paraId="0A77913D" w14:textId="77777777" w:rsidTr="00BA7DA9">
        <w:tc>
          <w:tcPr>
            <w:tcW w:w="1418" w:type="dxa"/>
          </w:tcPr>
          <w:p w14:paraId="4A77934F" w14:textId="77777777" w:rsidR="009F0424" w:rsidRPr="002C2DFE" w:rsidRDefault="009F0424" w:rsidP="009F0424">
            <w:pPr>
              <w:rPr>
                <w:i/>
                <w:sz w:val="20"/>
                <w:szCs w:val="20"/>
              </w:rPr>
            </w:pPr>
            <w:r>
              <w:rPr>
                <w:i/>
                <w:sz w:val="20"/>
              </w:rPr>
              <w:t>Tel.:</w:t>
            </w:r>
          </w:p>
        </w:tc>
        <w:tc>
          <w:tcPr>
            <w:tcW w:w="5670" w:type="dxa"/>
          </w:tcPr>
          <w:p w14:paraId="685B1D15" w14:textId="7206B572" w:rsidR="009F0424" w:rsidRPr="002C2DFE" w:rsidRDefault="009F0424" w:rsidP="009F0424">
            <w:pPr>
              <w:rPr>
                <w:i/>
                <w:sz w:val="20"/>
                <w:szCs w:val="20"/>
              </w:rPr>
            </w:pPr>
            <w:r>
              <w:rPr>
                <w:i/>
                <w:sz w:val="20"/>
              </w:rPr>
              <w:t>+32 25468391</w:t>
            </w:r>
          </w:p>
        </w:tc>
      </w:tr>
      <w:tr w:rsidR="009F0424" w:rsidRPr="009F0424" w14:paraId="09E94DAC" w14:textId="77777777" w:rsidTr="00BA7DA9">
        <w:tc>
          <w:tcPr>
            <w:tcW w:w="1418" w:type="dxa"/>
          </w:tcPr>
          <w:p w14:paraId="280B8623" w14:textId="066BD4E6" w:rsidR="009F0424" w:rsidRPr="002C2DFE" w:rsidRDefault="00607388" w:rsidP="009F0424">
            <w:pPr>
              <w:rPr>
                <w:i/>
                <w:sz w:val="20"/>
                <w:szCs w:val="20"/>
              </w:rPr>
            </w:pPr>
            <w:r>
              <w:rPr>
                <w:i/>
                <w:sz w:val="20"/>
              </w:rPr>
              <w:t>E-mail:</w:t>
            </w:r>
          </w:p>
        </w:tc>
        <w:tc>
          <w:tcPr>
            <w:tcW w:w="5670" w:type="dxa"/>
          </w:tcPr>
          <w:p w14:paraId="5D25B04C" w14:textId="77777777" w:rsidR="009F0424" w:rsidRPr="002C2DFE" w:rsidRDefault="005A1446" w:rsidP="009F0424">
            <w:pPr>
              <w:rPr>
                <w:i/>
                <w:iCs/>
                <w:sz w:val="20"/>
                <w:szCs w:val="20"/>
                <w:u w:val="single"/>
              </w:rPr>
            </w:pPr>
            <w:hyperlink r:id="rId16" w:history="1">
              <w:r w:rsidR="00CA46B0">
                <w:rPr>
                  <w:rStyle w:val="Hyperlink"/>
                  <w:i/>
                  <w:sz w:val="20"/>
                </w:rPr>
                <w:t>Antoni.TorrasEstruch@eesc.europa.eu</w:t>
              </w:r>
            </w:hyperlink>
          </w:p>
        </w:tc>
      </w:tr>
    </w:tbl>
    <w:p w14:paraId="289A0C0D" w14:textId="3B276C83" w:rsidR="009E37FC" w:rsidRDefault="009E37FC">
      <w:pPr>
        <w:spacing w:after="160" w:line="259" w:lineRule="auto"/>
        <w:jc w:val="left"/>
      </w:pPr>
      <w:r>
        <w:br w:type="page"/>
      </w:r>
    </w:p>
    <w:p w14:paraId="4982DD6D" w14:textId="58F31F53" w:rsidR="004D7AC0" w:rsidRDefault="004D7AC0" w:rsidP="004D7AC0">
      <w:pPr>
        <w:pStyle w:val="Heading1"/>
        <w:rPr>
          <w:b/>
        </w:rPr>
      </w:pPr>
      <w:bookmarkStart w:id="1" w:name="_Toc221267978"/>
      <w:r>
        <w:rPr>
          <w:b/>
        </w:rPr>
        <w:lastRenderedPageBreak/>
        <w:t>SECȚIUNEA PENTRU UNIUNEA ECONOMICĂ ȘI MONETARĂ ȘI COEZIUNE ECONOMICĂ ȘI SOCIALĂ</w:t>
      </w:r>
      <w:bookmarkEnd w:id="1"/>
    </w:p>
    <w:p w14:paraId="4982DD6E" w14:textId="23CA0105" w:rsidR="004D7AC0" w:rsidRPr="00A01B98" w:rsidRDefault="004D7AC0" w:rsidP="00A01B98">
      <w:pPr>
        <w:spacing w:line="240" w:lineRule="auto"/>
        <w:rPr>
          <w:sz w:val="12"/>
          <w:szCs w:val="12"/>
        </w:rPr>
      </w:pPr>
    </w:p>
    <w:p w14:paraId="1EFCB06C" w14:textId="72E81132" w:rsidR="003A0D87" w:rsidRPr="008D3BC2" w:rsidRDefault="005A1446" w:rsidP="008D3BC2">
      <w:pPr>
        <w:pStyle w:val="ListParagraph"/>
        <w:numPr>
          <w:ilvl w:val="0"/>
          <w:numId w:val="54"/>
        </w:numPr>
        <w:ind w:left="426" w:hanging="426"/>
        <w:rPr>
          <w:sz w:val="28"/>
          <w:szCs w:val="28"/>
          <w:lang w:val="en-GB"/>
        </w:rPr>
      </w:pPr>
      <w:hyperlink r:id="rId17" w:history="1">
        <w:r w:rsidR="00CA46B0">
          <w:rPr>
            <w:b/>
            <w:i/>
            <w:color w:val="0000FF"/>
            <w:sz w:val="28"/>
            <w:u w:val="single"/>
          </w:rPr>
          <w:t>Politica economică a zonei euro 2026</w:t>
        </w:r>
      </w:hyperlink>
    </w:p>
    <w:p w14:paraId="5F08E6DD" w14:textId="77777777" w:rsidR="003A0D87" w:rsidRPr="00A01B98" w:rsidRDefault="003A0D87" w:rsidP="00A01B98">
      <w:pPr>
        <w:spacing w:line="240" w:lineRule="auto"/>
        <w:jc w:val="left"/>
        <w:rPr>
          <w:sz w:val="16"/>
          <w:szCs w:val="16"/>
          <w:lang w:val="it-IT"/>
        </w:rP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3A0D87" w:rsidRPr="003A0D87" w14:paraId="4129CFD9" w14:textId="77777777" w:rsidTr="00051934">
        <w:tc>
          <w:tcPr>
            <w:tcW w:w="1701" w:type="dxa"/>
          </w:tcPr>
          <w:p w14:paraId="738D9EFF" w14:textId="77777777" w:rsidR="003A0D87" w:rsidRPr="003A0D87" w:rsidRDefault="003A0D87" w:rsidP="003A0D87">
            <w:pPr>
              <w:tabs>
                <w:tab w:val="center" w:pos="284"/>
              </w:tabs>
              <w:ind w:left="266" w:hanging="266"/>
              <w:rPr>
                <w:b/>
              </w:rPr>
            </w:pPr>
            <w:r>
              <w:rPr>
                <w:b/>
              </w:rPr>
              <w:t>Raportor:</w:t>
            </w:r>
          </w:p>
        </w:tc>
        <w:tc>
          <w:tcPr>
            <w:tcW w:w="7371" w:type="dxa"/>
          </w:tcPr>
          <w:p w14:paraId="1B19A05D" w14:textId="03676554" w:rsidR="00FE0765" w:rsidRPr="00A01B98" w:rsidRDefault="003A0D87" w:rsidP="003A0D87">
            <w:pPr>
              <w:tabs>
                <w:tab w:val="center" w:pos="284"/>
              </w:tabs>
              <w:ind w:left="266" w:hanging="266"/>
            </w:pPr>
            <w:r>
              <w:t>Javier DOZ ORRIT (Grupul „Lucrători” - ES)</w:t>
            </w:r>
          </w:p>
        </w:tc>
      </w:tr>
      <w:tr w:rsidR="003A0D87" w:rsidRPr="003A0D87" w14:paraId="4C6CE342" w14:textId="77777777" w:rsidTr="00051934">
        <w:tc>
          <w:tcPr>
            <w:tcW w:w="1701" w:type="dxa"/>
          </w:tcPr>
          <w:p w14:paraId="7C179D48" w14:textId="77777777" w:rsidR="003A0D87" w:rsidRPr="003A0D87" w:rsidRDefault="003A0D87" w:rsidP="003A0D87">
            <w:pPr>
              <w:tabs>
                <w:tab w:val="center" w:pos="284"/>
              </w:tabs>
              <w:ind w:left="266" w:hanging="266"/>
              <w:rPr>
                <w:b/>
              </w:rPr>
            </w:pPr>
            <w:r>
              <w:rPr>
                <w:b/>
              </w:rPr>
              <w:t>Referințe:</w:t>
            </w:r>
          </w:p>
        </w:tc>
        <w:tc>
          <w:tcPr>
            <w:tcW w:w="7371" w:type="dxa"/>
          </w:tcPr>
          <w:p w14:paraId="30F9D11D" w14:textId="77777777" w:rsidR="003A0D87" w:rsidRPr="003A0D87" w:rsidRDefault="003A0D87" w:rsidP="00A01B98">
            <w:pPr>
              <w:tabs>
                <w:tab w:val="center" w:pos="284"/>
              </w:tabs>
              <w:spacing w:line="240" w:lineRule="auto"/>
              <w:ind w:left="266" w:hanging="266"/>
            </w:pPr>
            <w:r>
              <w:t>COM(2025) 957 final</w:t>
            </w:r>
          </w:p>
          <w:p w14:paraId="7AD8060C" w14:textId="37426F7C" w:rsidR="003A0D87" w:rsidRPr="003A0D87" w:rsidRDefault="003A0D87" w:rsidP="00A01B98">
            <w:pPr>
              <w:tabs>
                <w:tab w:val="center" w:pos="284"/>
              </w:tabs>
              <w:spacing w:line="240" w:lineRule="auto"/>
              <w:ind w:left="266" w:hanging="266"/>
            </w:pPr>
            <w:r>
              <w:t>EESC-2025-03708-00-00-AC</w:t>
            </w:r>
          </w:p>
        </w:tc>
      </w:tr>
    </w:tbl>
    <w:p w14:paraId="08574035" w14:textId="77777777" w:rsidR="003A0D87" w:rsidRPr="00527073" w:rsidRDefault="003A0D87" w:rsidP="00527073">
      <w:pPr>
        <w:spacing w:line="240" w:lineRule="auto"/>
        <w:jc w:val="left"/>
        <w:rPr>
          <w:sz w:val="16"/>
          <w:szCs w:val="16"/>
          <w:lang w:val="pt-PT"/>
        </w:rPr>
      </w:pPr>
    </w:p>
    <w:p w14:paraId="1646F3F1" w14:textId="77777777" w:rsidR="003A0D87" w:rsidRPr="00527073" w:rsidRDefault="003A0D87" w:rsidP="00527073">
      <w:pPr>
        <w:rPr>
          <w:b/>
        </w:rPr>
      </w:pPr>
      <w:r>
        <w:rPr>
          <w:b/>
        </w:rPr>
        <w:t>Punctele principale:</w:t>
      </w:r>
    </w:p>
    <w:p w14:paraId="6298E611" w14:textId="77777777" w:rsidR="006036EC" w:rsidRPr="00A01B98" w:rsidRDefault="006036EC" w:rsidP="00A01B98">
      <w:pPr>
        <w:spacing w:line="240" w:lineRule="auto"/>
        <w:jc w:val="left"/>
        <w:rPr>
          <w:b/>
          <w:bCs/>
          <w:sz w:val="12"/>
          <w:szCs w:val="12"/>
          <w:lang w:val="en-GB"/>
        </w:rPr>
      </w:pPr>
    </w:p>
    <w:p w14:paraId="3B09315A" w14:textId="77777777" w:rsidR="003A0D87" w:rsidRPr="00527073" w:rsidRDefault="003A0D87" w:rsidP="00527073">
      <w:pPr>
        <w:rPr>
          <w:bCs/>
          <w:iCs/>
        </w:rPr>
      </w:pPr>
      <w:r>
        <w:t>CESE:</w:t>
      </w:r>
    </w:p>
    <w:p w14:paraId="309CD272" w14:textId="77777777" w:rsidR="007D4BC5" w:rsidRPr="00A01B98" w:rsidRDefault="007D4BC5" w:rsidP="00A01B98">
      <w:pPr>
        <w:spacing w:line="240" w:lineRule="auto"/>
        <w:jc w:val="left"/>
        <w:rPr>
          <w:sz w:val="12"/>
          <w:szCs w:val="12"/>
          <w:lang w:val="en-GB"/>
        </w:rPr>
      </w:pPr>
    </w:p>
    <w:p w14:paraId="6AB72A80" w14:textId="77777777" w:rsidR="003A0D87" w:rsidRPr="003A0D87" w:rsidRDefault="003A0D87" w:rsidP="00527073">
      <w:pPr>
        <w:numPr>
          <w:ilvl w:val="0"/>
          <w:numId w:val="32"/>
        </w:numPr>
        <w:spacing w:line="276" w:lineRule="auto"/>
        <w:ind w:left="284" w:hanging="284"/>
      </w:pPr>
      <w:r>
        <w:t>consideră că consolidarea unității politice a Europei și a capacității sale de acțiune prin autonomia sa strategică în domenii precum politica externă, de securitate și apărare și politicile comercială, industrială și de dezvoltare tehnologică va stimula, de asemenea, creșterea economică;</w:t>
      </w:r>
    </w:p>
    <w:p w14:paraId="0FE6646B" w14:textId="77777777" w:rsidR="003A0D87" w:rsidRPr="003A0D87" w:rsidRDefault="003A0D87" w:rsidP="00527073">
      <w:pPr>
        <w:numPr>
          <w:ilvl w:val="0"/>
          <w:numId w:val="32"/>
        </w:numPr>
        <w:spacing w:line="276" w:lineRule="auto"/>
        <w:ind w:left="284" w:hanging="284"/>
      </w:pPr>
      <w:bookmarkStart w:id="2" w:name="_Hlk221268338"/>
      <w:r>
        <w:t>își exprimă îngrijorarea cu privire la faptul că UE și statele membre ar putea să nu dispună de suficiente instrumente, în special bugetare, pentru a pune în aplicare recomandările Comisiei, și reiterează că este necesar să se mobilizeze toate instrumentele de finanțare, atât publice, cât și private;</w:t>
      </w:r>
      <w:bookmarkEnd w:id="2"/>
    </w:p>
    <w:p w14:paraId="14A71046" w14:textId="77777777" w:rsidR="003A0D87" w:rsidRPr="003A0D87" w:rsidRDefault="003A0D87" w:rsidP="00527073">
      <w:pPr>
        <w:numPr>
          <w:ilvl w:val="0"/>
          <w:numId w:val="32"/>
        </w:numPr>
        <w:spacing w:line="276" w:lineRule="auto"/>
        <w:ind w:left="284" w:hanging="284"/>
      </w:pPr>
      <w:r>
        <w:t>este preocupat de faptul că se acordă prioritate apărării în detrimentul finanțării obiectivelor de mediu și sociale prioritare sau chiar al infrastructurii energetice sau digitale esențiale;</w:t>
      </w:r>
    </w:p>
    <w:p w14:paraId="68281822" w14:textId="77777777" w:rsidR="003A0D87" w:rsidRPr="003A0D87" w:rsidRDefault="003A0D87" w:rsidP="00527073">
      <w:pPr>
        <w:numPr>
          <w:ilvl w:val="0"/>
          <w:numId w:val="32"/>
        </w:numPr>
        <w:spacing w:line="276" w:lineRule="auto"/>
        <w:ind w:left="284" w:hanging="284"/>
      </w:pPr>
      <w:r>
        <w:t>solicită să se utilizeze pe deplin fondurile Mecanismului de redresare și reziliență (MRR) pentru obiectivele inițiale, cele revizuite și, în cele din urmă, pentru noi investiții în bunuri comune europene;</w:t>
      </w:r>
    </w:p>
    <w:p w14:paraId="6532ADDC" w14:textId="77777777" w:rsidR="003A0D87" w:rsidRPr="003A0D87" w:rsidRDefault="003A0D87" w:rsidP="00527073">
      <w:pPr>
        <w:numPr>
          <w:ilvl w:val="0"/>
          <w:numId w:val="32"/>
        </w:numPr>
        <w:spacing w:line="276" w:lineRule="auto"/>
        <w:ind w:left="284" w:hanging="284"/>
      </w:pPr>
      <w:r>
        <w:t xml:space="preserve">este de acord cu Comisia în ceea ce privește urgența eliminării barierelor rămase pe piața internă, însă subliniază, de asemenea, necesitatea reducerii deficitului de investiții prin: crearea unui Fond de investiții strategice pentru bunurile comune europene; stimularea investițiilor private – reînnoirea </w:t>
      </w:r>
      <w:proofErr w:type="spellStart"/>
      <w:r>
        <w:t>InvestEU</w:t>
      </w:r>
      <w:proofErr w:type="spellEnd"/>
      <w:r>
        <w:t xml:space="preserve"> și finalizarea fără întârziere a uniunii economiilor și a investițiilor; prețuri mai mici la energia electrică – interconectarea rețelelor și uniunea energetică și extinderea energiei curate și din surse regenerabile; consolidarea programelor europene de cercetare, dezvoltare și inovare (C&amp;D&amp;I); și îmbunătățirea educației și a formării capitalului uman;</w:t>
      </w:r>
    </w:p>
    <w:p w14:paraId="6444C522" w14:textId="77777777" w:rsidR="003A0D87" w:rsidRPr="003A0D87" w:rsidRDefault="003A0D87" w:rsidP="00527073">
      <w:pPr>
        <w:numPr>
          <w:ilvl w:val="0"/>
          <w:numId w:val="32"/>
        </w:numPr>
        <w:spacing w:line="276" w:lineRule="auto"/>
        <w:ind w:left="284" w:hanging="284"/>
      </w:pPr>
      <w:r>
        <w:t>consideră că „simplificarea” trebuie să respecte întotdeauna drepturile lucrătorilor și ale consumatorilor, precum și obiectivele tranziției verzi și digitale juste. De asemenea, consideră că este esențial să se apere autonomia de reglementare a UE împotriva presiunilor externe care urmăresc să modifice reglementările bune, cum ar fi cele privind piețele digitale și IA;</w:t>
      </w:r>
    </w:p>
    <w:p w14:paraId="3D4B9EFD" w14:textId="77777777" w:rsidR="003A0D87" w:rsidRPr="003A0D87" w:rsidRDefault="003A0D87" w:rsidP="00527073">
      <w:pPr>
        <w:numPr>
          <w:ilvl w:val="0"/>
          <w:numId w:val="32"/>
        </w:numPr>
        <w:spacing w:line="276" w:lineRule="auto"/>
        <w:ind w:left="284" w:hanging="284"/>
      </w:pPr>
      <w:r>
        <w:t xml:space="preserve">consideră că accesul la locuințe decente este un drept fundamental al tuturor cetățenilor europeni și că Planul european pentru locuințe la prețuri accesibile ar trebui să includă toate măsurile de sprijin pe care UE le poate oferi statelor membre pentru construirea de locuințe sociale, începând cu sprijinul financiar; </w:t>
      </w:r>
    </w:p>
    <w:p w14:paraId="191F307F" w14:textId="77777777" w:rsidR="003A0D87" w:rsidRPr="003A0D87" w:rsidRDefault="003A0D87" w:rsidP="00527073">
      <w:pPr>
        <w:numPr>
          <w:ilvl w:val="0"/>
          <w:numId w:val="32"/>
        </w:numPr>
        <w:spacing w:line="276" w:lineRule="auto"/>
        <w:ind w:left="284" w:hanging="284"/>
      </w:pPr>
      <w:r>
        <w:t>este de acord cu recomandarea de a promova rolul internațional al monedei euro și de a crea moneda euro digitală pentru a contribui la realizarea acestui obiectiv, adăugând că finalizarea uniunii piețelor de capital și gestionarea unui stoc comun suficient și durabil de datorii în euro ar contribui, de asemenea, la realizarea acestui obiectiv;</w:t>
      </w:r>
    </w:p>
    <w:p w14:paraId="5C9430C8" w14:textId="697572F2" w:rsidR="003A0D87" w:rsidRDefault="003A0D87" w:rsidP="00527073">
      <w:pPr>
        <w:numPr>
          <w:ilvl w:val="0"/>
          <w:numId w:val="32"/>
        </w:numPr>
        <w:spacing w:line="276" w:lineRule="auto"/>
        <w:ind w:left="284" w:hanging="284"/>
      </w:pPr>
      <w:r>
        <w:t>își reiterează solicitarea de a reglementa participarea societății civile organizate la guvernanța economică europeană prin intermediul semestrului european și regretă că această chestiune nu este abordată în recomandare.</w:t>
      </w:r>
    </w:p>
    <w:p w14:paraId="59C79BE8" w14:textId="77777777" w:rsidR="00CB6673" w:rsidRPr="00527073" w:rsidRDefault="00CB6673" w:rsidP="00527073">
      <w:pPr>
        <w:spacing w:line="240" w:lineRule="auto"/>
        <w:rPr>
          <w:sz w:val="16"/>
          <w:szCs w:val="16"/>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B6673" w:rsidRPr="00527073" w14:paraId="439D0FE6" w14:textId="77777777" w:rsidTr="00A01B98">
        <w:tc>
          <w:tcPr>
            <w:tcW w:w="1701" w:type="dxa"/>
          </w:tcPr>
          <w:p w14:paraId="712C09C1" w14:textId="77777777" w:rsidR="00CB6673" w:rsidRPr="00527073" w:rsidRDefault="00CB6673" w:rsidP="00527073">
            <w:pPr>
              <w:spacing w:line="240" w:lineRule="auto"/>
              <w:rPr>
                <w:lang w:val="en-GB"/>
              </w:rPr>
            </w:pPr>
            <w:r w:rsidRPr="00527073">
              <w:rPr>
                <w:lang w:val="en-GB"/>
              </w:rPr>
              <w:t>Date de contact:</w:t>
            </w:r>
          </w:p>
        </w:tc>
        <w:tc>
          <w:tcPr>
            <w:tcW w:w="7621" w:type="dxa"/>
          </w:tcPr>
          <w:p w14:paraId="417F16DE" w14:textId="77777777" w:rsidR="00CB6673" w:rsidRPr="00527073" w:rsidRDefault="00CB6673" w:rsidP="00527073">
            <w:pPr>
              <w:spacing w:line="240" w:lineRule="auto"/>
              <w:rPr>
                <w:lang w:val="en-GB"/>
              </w:rPr>
            </w:pPr>
            <w:r w:rsidRPr="00527073">
              <w:rPr>
                <w:lang w:val="en-GB"/>
              </w:rPr>
              <w:t xml:space="preserve">Krisztina </w:t>
            </w:r>
            <w:proofErr w:type="spellStart"/>
            <w:r w:rsidRPr="00527073">
              <w:rPr>
                <w:lang w:val="en-GB"/>
              </w:rPr>
              <w:t>Perlaky</w:t>
            </w:r>
            <w:proofErr w:type="spellEnd"/>
            <w:r w:rsidRPr="00527073">
              <w:rPr>
                <w:lang w:val="en-GB"/>
              </w:rPr>
              <w:t>-Toth</w:t>
            </w:r>
          </w:p>
        </w:tc>
      </w:tr>
      <w:tr w:rsidR="00CB6673" w:rsidRPr="00527073" w14:paraId="1372D00E" w14:textId="77777777" w:rsidTr="00A01B98">
        <w:tc>
          <w:tcPr>
            <w:tcW w:w="1701" w:type="dxa"/>
          </w:tcPr>
          <w:p w14:paraId="7B77CECE" w14:textId="77777777" w:rsidR="00CB6673" w:rsidRPr="00527073" w:rsidRDefault="00CB6673" w:rsidP="00527073">
            <w:pPr>
              <w:spacing w:line="240" w:lineRule="auto"/>
              <w:rPr>
                <w:lang w:val="en-GB"/>
              </w:rPr>
            </w:pPr>
            <w:r w:rsidRPr="00527073">
              <w:rPr>
                <w:lang w:val="en-GB"/>
              </w:rPr>
              <w:t>Tel.:</w:t>
            </w:r>
          </w:p>
        </w:tc>
        <w:tc>
          <w:tcPr>
            <w:tcW w:w="7621" w:type="dxa"/>
          </w:tcPr>
          <w:p w14:paraId="3E45B663" w14:textId="77777777" w:rsidR="00CB6673" w:rsidRPr="00527073" w:rsidRDefault="00CB6673" w:rsidP="00527073">
            <w:pPr>
              <w:spacing w:line="240" w:lineRule="auto"/>
              <w:rPr>
                <w:lang w:val="en-GB"/>
              </w:rPr>
            </w:pPr>
            <w:r w:rsidRPr="00527073">
              <w:rPr>
                <w:lang w:val="en-GB"/>
              </w:rPr>
              <w:t>+32 25469740</w:t>
            </w:r>
          </w:p>
        </w:tc>
      </w:tr>
      <w:tr w:rsidR="00CB6673" w:rsidRPr="00527073" w14:paraId="13EF96B6" w14:textId="77777777" w:rsidTr="00A01B98">
        <w:tc>
          <w:tcPr>
            <w:tcW w:w="1701" w:type="dxa"/>
          </w:tcPr>
          <w:p w14:paraId="36A465A1" w14:textId="77777777" w:rsidR="00CB6673" w:rsidRPr="00527073" w:rsidRDefault="00CB6673" w:rsidP="00527073">
            <w:pPr>
              <w:spacing w:line="240" w:lineRule="auto"/>
              <w:rPr>
                <w:lang w:val="en-GB"/>
              </w:rPr>
            </w:pPr>
            <w:r w:rsidRPr="00527073">
              <w:rPr>
                <w:lang w:val="en-GB"/>
              </w:rPr>
              <w:t>E-mail:</w:t>
            </w:r>
          </w:p>
        </w:tc>
        <w:tc>
          <w:tcPr>
            <w:tcW w:w="7621" w:type="dxa"/>
          </w:tcPr>
          <w:p w14:paraId="5BDBA256" w14:textId="77777777" w:rsidR="00CB6673" w:rsidRPr="00527073" w:rsidRDefault="005A1446" w:rsidP="00527073">
            <w:pPr>
              <w:spacing w:line="240" w:lineRule="auto"/>
              <w:rPr>
                <w:lang w:val="en-GB"/>
              </w:rPr>
            </w:pPr>
            <w:hyperlink r:id="rId18" w:history="1">
              <w:r w:rsidR="00CA46B0" w:rsidRPr="00527073">
                <w:rPr>
                  <w:lang w:val="en-GB"/>
                </w:rPr>
                <w:t>Krisztina.PerlakyToth@eesc.europa.eu</w:t>
              </w:r>
            </w:hyperlink>
          </w:p>
        </w:tc>
      </w:tr>
    </w:tbl>
    <w:p w14:paraId="3C204EC9" w14:textId="136EF560" w:rsidR="00CB6673" w:rsidRDefault="00CB6673">
      <w:pPr>
        <w:spacing w:after="160" w:line="259" w:lineRule="auto"/>
        <w:jc w:val="left"/>
        <w:rPr>
          <w:sz w:val="18"/>
          <w:szCs w:val="18"/>
        </w:rPr>
      </w:pPr>
      <w:r>
        <w:br w:type="page"/>
      </w:r>
    </w:p>
    <w:p w14:paraId="26E29E4B" w14:textId="64E2AAB7" w:rsidR="00DA78A0" w:rsidRPr="00DA78A0" w:rsidRDefault="005A1446" w:rsidP="002C2DFE">
      <w:pPr>
        <w:widowControl w:val="0"/>
        <w:numPr>
          <w:ilvl w:val="0"/>
          <w:numId w:val="4"/>
        </w:numPr>
        <w:overflowPunct w:val="0"/>
        <w:autoSpaceDE w:val="0"/>
        <w:autoSpaceDN w:val="0"/>
        <w:adjustRightInd w:val="0"/>
        <w:ind w:hanging="567"/>
        <w:textAlignment w:val="baseline"/>
        <w:rPr>
          <w:b/>
          <w:i/>
          <w:iCs/>
          <w:sz w:val="28"/>
          <w:szCs w:val="28"/>
        </w:rPr>
      </w:pPr>
      <w:hyperlink r:id="rId19" w:history="1">
        <w:r w:rsidR="00CA46B0">
          <w:rPr>
            <w:b/>
            <w:i/>
            <w:color w:val="0000FF"/>
            <w:sz w:val="28"/>
            <w:u w:val="single"/>
          </w:rPr>
          <w:t>Cadrul financiar multianual 2028-2034</w:t>
        </w:r>
      </w:hyperlink>
    </w:p>
    <w:p w14:paraId="5EDF5A3E" w14:textId="77777777" w:rsidR="00DA78A0" w:rsidRPr="0096376B" w:rsidRDefault="00DA78A0" w:rsidP="0096376B">
      <w:pPr>
        <w:widowControl w:val="0"/>
        <w:overflowPunct w:val="0"/>
        <w:autoSpaceDE w:val="0"/>
        <w:autoSpaceDN w:val="0"/>
        <w:adjustRightInd w:val="0"/>
        <w:spacing w:line="240" w:lineRule="auto"/>
        <w:ind w:left="284"/>
        <w:textAlignment w:val="baseline"/>
        <w:rPr>
          <w:b/>
          <w:i/>
          <w:iCs/>
          <w:sz w:val="16"/>
          <w:szCs w:val="16"/>
          <w:lang w:val="en-GB"/>
        </w:rPr>
      </w:pPr>
    </w:p>
    <w:tbl>
      <w:tblPr>
        <w:tblStyle w:val="TableGrid2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62AC9" w:rsidRPr="00BC3DCE" w14:paraId="40D977E7" w14:textId="77777777" w:rsidTr="00051934">
        <w:tc>
          <w:tcPr>
            <w:tcW w:w="1701" w:type="dxa"/>
          </w:tcPr>
          <w:p w14:paraId="00A0E847" w14:textId="77777777" w:rsidR="00E62AC9" w:rsidRPr="0096376B" w:rsidRDefault="00E62AC9" w:rsidP="002C2DFE">
            <w:pPr>
              <w:rPr>
                <w:b/>
                <w:bCs/>
                <w:sz w:val="22"/>
                <w:szCs w:val="22"/>
              </w:rPr>
            </w:pPr>
            <w:r w:rsidRPr="0096376B">
              <w:rPr>
                <w:b/>
                <w:sz w:val="22"/>
                <w:szCs w:val="22"/>
              </w:rPr>
              <w:t>Raportoare:</w:t>
            </w:r>
          </w:p>
        </w:tc>
        <w:tc>
          <w:tcPr>
            <w:tcW w:w="7371" w:type="dxa"/>
          </w:tcPr>
          <w:p w14:paraId="37FB9DB2" w14:textId="66BC204B" w:rsidR="00E62AC9" w:rsidRPr="0096376B" w:rsidRDefault="00E62AC9" w:rsidP="002C2DFE">
            <w:pPr>
              <w:rPr>
                <w:sz w:val="22"/>
                <w:szCs w:val="22"/>
              </w:rPr>
            </w:pPr>
            <w:proofErr w:type="spellStart"/>
            <w:r w:rsidRPr="0096376B">
              <w:rPr>
                <w:sz w:val="22"/>
                <w:szCs w:val="22"/>
              </w:rPr>
              <w:t>Dominika</w:t>
            </w:r>
            <w:proofErr w:type="spellEnd"/>
            <w:r w:rsidRPr="0096376B">
              <w:rPr>
                <w:sz w:val="22"/>
                <w:szCs w:val="22"/>
              </w:rPr>
              <w:t xml:space="preserve"> BIEGON (Grupul „Lucrători” – DE)</w:t>
            </w:r>
          </w:p>
          <w:p w14:paraId="4ADD8E74" w14:textId="5A2FDA13" w:rsidR="00E62AC9" w:rsidRPr="0096376B" w:rsidRDefault="00E62AC9" w:rsidP="002C2DFE">
            <w:pPr>
              <w:rPr>
                <w:sz w:val="22"/>
                <w:szCs w:val="22"/>
              </w:rPr>
            </w:pPr>
            <w:proofErr w:type="spellStart"/>
            <w:r w:rsidRPr="0096376B">
              <w:rPr>
                <w:sz w:val="22"/>
                <w:szCs w:val="22"/>
              </w:rPr>
              <w:t>Konstantinos</w:t>
            </w:r>
            <w:proofErr w:type="spellEnd"/>
            <w:r w:rsidRPr="0096376B">
              <w:rPr>
                <w:sz w:val="22"/>
                <w:szCs w:val="22"/>
              </w:rPr>
              <w:t xml:space="preserve"> DIAMANTOUROS (Grupul „Angajatori” – EL)</w:t>
            </w:r>
          </w:p>
          <w:p w14:paraId="30AEE6D0" w14:textId="3808095B" w:rsidR="00732FD3" w:rsidRPr="002C2DFE" w:rsidRDefault="00E62AC9" w:rsidP="002C2DFE">
            <w:pPr>
              <w:rPr>
                <w:sz w:val="22"/>
                <w:szCs w:val="22"/>
              </w:rPr>
            </w:pPr>
            <w:r w:rsidRPr="0096376B">
              <w:rPr>
                <w:sz w:val="22"/>
                <w:szCs w:val="22"/>
              </w:rPr>
              <w:t>Luca JAHIER (Grupul „Organizații ale societății civile”</w:t>
            </w:r>
            <w:r w:rsidR="00E13D82" w:rsidRPr="0096376B">
              <w:rPr>
                <w:sz w:val="22"/>
                <w:szCs w:val="22"/>
              </w:rPr>
              <w:t xml:space="preserve"> –</w:t>
            </w:r>
            <w:r w:rsidRPr="0096376B">
              <w:rPr>
                <w:sz w:val="22"/>
                <w:szCs w:val="22"/>
              </w:rPr>
              <w:t xml:space="preserve"> IT)</w:t>
            </w:r>
          </w:p>
        </w:tc>
      </w:tr>
      <w:tr w:rsidR="00E62AC9" w:rsidRPr="00BC3DCE" w14:paraId="6415161B" w14:textId="77777777" w:rsidTr="00051934">
        <w:tc>
          <w:tcPr>
            <w:tcW w:w="1701" w:type="dxa"/>
          </w:tcPr>
          <w:p w14:paraId="71D9B78D" w14:textId="77777777" w:rsidR="00E62AC9" w:rsidRPr="002C2DFE" w:rsidRDefault="00E62AC9" w:rsidP="002C2DFE">
            <w:pPr>
              <w:rPr>
                <w:b/>
                <w:bCs/>
                <w:sz w:val="22"/>
                <w:szCs w:val="22"/>
              </w:rPr>
            </w:pPr>
            <w:r>
              <w:rPr>
                <w:b/>
              </w:rPr>
              <w:t>Referințe:</w:t>
            </w:r>
          </w:p>
        </w:tc>
        <w:tc>
          <w:tcPr>
            <w:tcW w:w="7371" w:type="dxa"/>
          </w:tcPr>
          <w:p w14:paraId="486385DF" w14:textId="77777777" w:rsidR="00E62AC9" w:rsidRPr="002C2DFE" w:rsidRDefault="00E62AC9" w:rsidP="002C2DFE">
            <w:pPr>
              <w:rPr>
                <w:sz w:val="22"/>
                <w:szCs w:val="22"/>
              </w:rPr>
            </w:pPr>
            <w:r>
              <w:t>COM(2025) 570 final</w:t>
            </w:r>
          </w:p>
          <w:p w14:paraId="2D139A59" w14:textId="1153B617" w:rsidR="00E62AC9" w:rsidRPr="002C2DFE" w:rsidRDefault="00E62AC9" w:rsidP="002C2DFE">
            <w:pPr>
              <w:rPr>
                <w:sz w:val="22"/>
                <w:szCs w:val="22"/>
              </w:rPr>
            </w:pPr>
            <w:r>
              <w:t>EESC-2025-02245-00-00-AC</w:t>
            </w:r>
          </w:p>
        </w:tc>
      </w:tr>
    </w:tbl>
    <w:p w14:paraId="17FDF87B" w14:textId="77777777" w:rsidR="00E62AC9" w:rsidRPr="0096376B" w:rsidRDefault="00E62AC9" w:rsidP="0096376B">
      <w:pPr>
        <w:keepNext/>
        <w:keepLines/>
        <w:tabs>
          <w:tab w:val="center" w:pos="284"/>
        </w:tabs>
        <w:overflowPunct w:val="0"/>
        <w:autoSpaceDE w:val="0"/>
        <w:autoSpaceDN w:val="0"/>
        <w:adjustRightInd w:val="0"/>
        <w:spacing w:line="240" w:lineRule="auto"/>
        <w:ind w:left="266" w:hanging="266"/>
        <w:textAlignment w:val="baseline"/>
        <w:rPr>
          <w:b/>
          <w:sz w:val="16"/>
          <w:szCs w:val="16"/>
          <w:lang w:val="pt-PT"/>
        </w:rPr>
      </w:pPr>
    </w:p>
    <w:p w14:paraId="05324507"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rPr>
      </w:pPr>
      <w:r>
        <w:rPr>
          <w:b/>
        </w:rPr>
        <w:t>Punctele principale:</w:t>
      </w:r>
    </w:p>
    <w:p w14:paraId="748ED5D0" w14:textId="77777777" w:rsidR="00E62AC9" w:rsidRPr="0096376B" w:rsidRDefault="00E62AC9" w:rsidP="0096376B">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14:paraId="26AD7637" w14:textId="77777777" w:rsidR="00E62AC9" w:rsidRPr="00E62AC9" w:rsidRDefault="00E62AC9" w:rsidP="00E62AC9">
      <w:pPr>
        <w:overflowPunct w:val="0"/>
        <w:autoSpaceDE w:val="0"/>
        <w:autoSpaceDN w:val="0"/>
        <w:adjustRightInd w:val="0"/>
        <w:textAlignment w:val="baseline"/>
        <w:rPr>
          <w:bCs/>
          <w:iCs/>
        </w:rPr>
      </w:pPr>
      <w:r>
        <w:t>CESE:</w:t>
      </w:r>
    </w:p>
    <w:p w14:paraId="679CD3F3" w14:textId="77777777" w:rsidR="00E62AC9" w:rsidRPr="0096376B" w:rsidRDefault="00E62AC9" w:rsidP="0096376B">
      <w:pPr>
        <w:overflowPunct w:val="0"/>
        <w:autoSpaceDE w:val="0"/>
        <w:autoSpaceDN w:val="0"/>
        <w:adjustRightInd w:val="0"/>
        <w:spacing w:line="240" w:lineRule="auto"/>
        <w:textAlignment w:val="baseline"/>
        <w:rPr>
          <w:bCs/>
          <w:iCs/>
          <w:sz w:val="16"/>
          <w:szCs w:val="16"/>
          <w:lang w:val="en-GB"/>
        </w:rPr>
      </w:pPr>
    </w:p>
    <w:p w14:paraId="067C056C"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3" w:name="_Toc221267979"/>
      <w:r>
        <w:t>avertizează că majorarea marginală a volumului cadrului financiar multianual (CFM), propusă de Comisie, este inadecvată și subliniază că este nevoie de o majorare substanțială a resurselor reale;</w:t>
      </w:r>
      <w:bookmarkEnd w:id="3"/>
    </w:p>
    <w:p w14:paraId="5EE8A22D"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4" w:name="_Toc221267884"/>
      <w:bookmarkStart w:id="5" w:name="_Toc221267980"/>
      <w:r>
        <w:t>salută propunerea Comisiei privind noi resurse proprii ale UE, însă solicită mărirea nivelului de ambiție pentru a se asigura un buget mai eficace, subliniind că veniturile ar trebui corelate cu politicile UE;</w:t>
      </w:r>
      <w:bookmarkEnd w:id="4"/>
      <w:bookmarkEnd w:id="5"/>
    </w:p>
    <w:p w14:paraId="1DA27D0E"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6" w:name="_Toc221267981"/>
      <w:r>
        <w:t>respinge ferm propunerea de a reduce finanțarea politicii de coeziune – și a politicii agricole comune (PAC) – în următorul CFM;</w:t>
      </w:r>
      <w:bookmarkEnd w:id="6"/>
    </w:p>
    <w:p w14:paraId="7DA43A5B" w14:textId="275BB623"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7" w:name="_Toc221267982"/>
      <w:r>
        <w:t>se opune, de asemenea, planului de fuzionare a resurselor pentru politica de coeziune, FSE+, PAC, pescuit, migrație și securitate într-un fond unic;</w:t>
      </w:r>
      <w:bookmarkEnd w:id="7"/>
    </w:p>
    <w:p w14:paraId="205F9EB6" w14:textId="59E97889"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8" w:name="_Toc221267983"/>
      <w:r>
        <w:t>subliniază că toate părțile interesate trebuie implicate în mod efectiv la fiecare nivel al procesului decizional privind alocarea resurselor, prioritățile strategice, programele, indicatorii și evaluarea. În</w:t>
      </w:r>
      <w:r w:rsidR="003B1BF5">
        <w:t> </w:t>
      </w:r>
      <w:r>
        <w:t>cazurile în care guvernele nu implică în mod efectiv părțile interesate, trebuie puse în aplicare garanții și condiționalități adecvate pentru a îmbunătăți participarea;</w:t>
      </w:r>
      <w:bookmarkEnd w:id="8"/>
    </w:p>
    <w:p w14:paraId="0F586418"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9" w:name="_Toc221267984"/>
      <w:r>
        <w:t>se opune oricărei forme de condiționalitate macroeconomică în cadrul planurilor de parteneriat național și regional (planurile PNR). Plata fondurilor UE nu trebuie corelată cu propuneri irelevante de reforme structurale;</w:t>
      </w:r>
      <w:bookmarkEnd w:id="9"/>
    </w:p>
    <w:p w14:paraId="4D049421"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0" w:name="_Toc221267985"/>
      <w:r>
        <w:t>subliniază că Fondul social european Plus (FSE+) și Fondul pentru o tranziție justă ar trebui să rămână instrumente de sine stătătoare în următorul CFM și să beneficieze de o finanțare sporită;</w:t>
      </w:r>
      <w:bookmarkEnd w:id="10"/>
    </w:p>
    <w:p w14:paraId="43B3A4A8"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1" w:name="_Toc221267986"/>
      <w:r>
        <w:rPr>
          <w:color w:val="222222"/>
          <w:shd w:val="clear" w:color="auto" w:fill="FFFFFF"/>
        </w:rPr>
        <w:t>subliniază că finanțarea adecvată a programelor pentru societatea civilă și mass-media (</w:t>
      </w:r>
      <w:proofErr w:type="spellStart"/>
      <w:r>
        <w:rPr>
          <w:color w:val="222222"/>
          <w:shd w:val="clear" w:color="auto" w:fill="FFFFFF"/>
        </w:rPr>
        <w:t>AgoraEU</w:t>
      </w:r>
      <w:proofErr w:type="spellEnd"/>
      <w:r>
        <w:rPr>
          <w:color w:val="222222"/>
          <w:shd w:val="clear" w:color="auto" w:fill="FFFFFF"/>
        </w:rPr>
        <w:t>, CEDV) trebuie considerată o infrastructură democratică esențială, și nu o cheltuială opțională;</w:t>
      </w:r>
      <w:bookmarkEnd w:id="11"/>
    </w:p>
    <w:p w14:paraId="5DC0A5BC"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2" w:name="_Toc221267987"/>
      <w:r>
        <w:t>salută soliditatea dimensiunii de competitivitate din următorul CFM, evidențiind rolul central al cercetării și inovării pentru creșterea internă durabilă, autonomia strategică, reziliența în domeniul apei și dubla tranziție verde și digitală, și, ca atare, sprijină crearea unui Fond european pentru competitivitate (FEC) și consolidarea programului Orizont Europa cu alocări mai mari;</w:t>
      </w:r>
      <w:bookmarkEnd w:id="12"/>
    </w:p>
    <w:p w14:paraId="42A2FBEE"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3" w:name="_Toc221267988"/>
      <w:r>
        <w:t>solicită ca finanțarea UE în temeiul Regulamentului privind „fondul polivalent” să fie condiționată de respectarea unor criterii sociale, care să fie elaborate împreună cu partenerii sociali naționali. În ce privește FEC, Comitetul propune stimulente suplimentare pentru ca întreprinderile să investească în calificarea și formarea forței lor de muncă sau să investească în regiunile cu o rată ridicată a șomajului sau în regiunile aflate în tranziție industrială;</w:t>
      </w:r>
      <w:bookmarkEnd w:id="13"/>
    </w:p>
    <w:p w14:paraId="01A7C31D"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4" w:name="_Toc221267989"/>
      <w:r>
        <w:t>salută majorarea bugetului pentru instrumentul „Europa globală”, considerând-o crucială pentru consolidarea potențialului enorm al acțiunii externe a UE.</w:t>
      </w:r>
      <w:bookmarkEnd w:id="14"/>
    </w:p>
    <w:p w14:paraId="1BF4E75C" w14:textId="77777777" w:rsidR="00E62AC9" w:rsidRPr="00E62AC9" w:rsidRDefault="00E62AC9" w:rsidP="0096376B">
      <w:pPr>
        <w:overflowPunct w:val="0"/>
        <w:autoSpaceDE w:val="0"/>
        <w:autoSpaceDN w:val="0"/>
        <w:adjustRightInd w:val="0"/>
        <w:spacing w:line="240" w:lineRule="auto"/>
        <w:textAlignment w:val="baseline"/>
        <w:rPr>
          <w:bCs/>
          <w:iCs/>
          <w:lang w:val="en-GB"/>
        </w:rPr>
      </w:pP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E62AC9" w:rsidRPr="00E62AC9" w14:paraId="33CC6A92" w14:textId="77777777" w:rsidTr="00E13D82">
        <w:tc>
          <w:tcPr>
            <w:tcW w:w="1701" w:type="dxa"/>
          </w:tcPr>
          <w:p w14:paraId="1D5C7444" w14:textId="77777777" w:rsidR="00E62AC9" w:rsidRPr="00E62AC9" w:rsidRDefault="00E62AC9" w:rsidP="00E62AC9">
            <w:pPr>
              <w:overflowPunct w:val="0"/>
              <w:autoSpaceDE w:val="0"/>
              <w:autoSpaceDN w:val="0"/>
              <w:adjustRightInd w:val="0"/>
              <w:textAlignment w:val="baseline"/>
              <w:rPr>
                <w:i/>
              </w:rPr>
            </w:pPr>
            <w:r>
              <w:rPr>
                <w:b/>
                <w:i/>
              </w:rPr>
              <w:t>Date de contact:</w:t>
            </w:r>
          </w:p>
        </w:tc>
        <w:tc>
          <w:tcPr>
            <w:tcW w:w="5387" w:type="dxa"/>
          </w:tcPr>
          <w:p w14:paraId="7EE50A63" w14:textId="16533F3B" w:rsidR="00E62AC9" w:rsidRPr="00E62AC9" w:rsidRDefault="00E62AC9" w:rsidP="00E62AC9">
            <w:pPr>
              <w:overflowPunct w:val="0"/>
              <w:autoSpaceDE w:val="0"/>
              <w:autoSpaceDN w:val="0"/>
              <w:adjustRightInd w:val="0"/>
              <w:textAlignment w:val="baseline"/>
              <w:rPr>
                <w:i/>
              </w:rPr>
            </w:pPr>
            <w:proofErr w:type="spellStart"/>
            <w:r>
              <w:rPr>
                <w:i/>
              </w:rPr>
              <w:t>Gerald</w:t>
            </w:r>
            <w:proofErr w:type="spellEnd"/>
            <w:r>
              <w:rPr>
                <w:i/>
              </w:rPr>
              <w:t xml:space="preserve"> </w:t>
            </w:r>
            <w:proofErr w:type="spellStart"/>
            <w:r>
              <w:rPr>
                <w:i/>
              </w:rPr>
              <w:t>Klec</w:t>
            </w:r>
            <w:proofErr w:type="spellEnd"/>
          </w:p>
        </w:tc>
      </w:tr>
      <w:tr w:rsidR="00E62AC9" w:rsidRPr="00E62AC9" w14:paraId="47068495" w14:textId="77777777" w:rsidTr="00E13D82">
        <w:tc>
          <w:tcPr>
            <w:tcW w:w="1701" w:type="dxa"/>
          </w:tcPr>
          <w:p w14:paraId="442122CE" w14:textId="77777777" w:rsidR="00E62AC9" w:rsidRPr="00E62AC9" w:rsidRDefault="00E62AC9" w:rsidP="00E62AC9">
            <w:pPr>
              <w:overflowPunct w:val="0"/>
              <w:autoSpaceDE w:val="0"/>
              <w:autoSpaceDN w:val="0"/>
              <w:adjustRightInd w:val="0"/>
              <w:textAlignment w:val="baseline"/>
              <w:rPr>
                <w:i/>
              </w:rPr>
            </w:pPr>
            <w:r>
              <w:rPr>
                <w:i/>
              </w:rPr>
              <w:t>Tel.:</w:t>
            </w:r>
          </w:p>
        </w:tc>
        <w:tc>
          <w:tcPr>
            <w:tcW w:w="5387" w:type="dxa"/>
          </w:tcPr>
          <w:p w14:paraId="4641026A" w14:textId="537D4DB9" w:rsidR="00E62AC9" w:rsidRPr="00E62AC9" w:rsidRDefault="00E62AC9" w:rsidP="00E62AC9">
            <w:pPr>
              <w:overflowPunct w:val="0"/>
              <w:autoSpaceDE w:val="0"/>
              <w:autoSpaceDN w:val="0"/>
              <w:adjustRightInd w:val="0"/>
              <w:textAlignment w:val="baseline"/>
              <w:rPr>
                <w:i/>
              </w:rPr>
            </w:pPr>
            <w:r>
              <w:rPr>
                <w:i/>
              </w:rPr>
              <w:t>+32 25469909</w:t>
            </w:r>
          </w:p>
        </w:tc>
      </w:tr>
      <w:tr w:rsidR="00E62AC9" w:rsidRPr="00E62AC9" w14:paraId="6FC199DD" w14:textId="77777777" w:rsidTr="00E13D82">
        <w:tc>
          <w:tcPr>
            <w:tcW w:w="1701" w:type="dxa"/>
          </w:tcPr>
          <w:p w14:paraId="60192D6E" w14:textId="091B82FC" w:rsidR="00E62AC9" w:rsidRPr="00E62AC9" w:rsidRDefault="00732FD3" w:rsidP="00E62AC9">
            <w:pPr>
              <w:overflowPunct w:val="0"/>
              <w:autoSpaceDE w:val="0"/>
              <w:autoSpaceDN w:val="0"/>
              <w:adjustRightInd w:val="0"/>
              <w:textAlignment w:val="baseline"/>
              <w:rPr>
                <w:i/>
              </w:rPr>
            </w:pPr>
            <w:r>
              <w:rPr>
                <w:i/>
              </w:rPr>
              <w:t>E-mail:</w:t>
            </w:r>
          </w:p>
        </w:tc>
        <w:tc>
          <w:tcPr>
            <w:tcW w:w="5387" w:type="dxa"/>
          </w:tcPr>
          <w:p w14:paraId="40F0C4FB" w14:textId="77777777" w:rsidR="00E62AC9" w:rsidRPr="00E62AC9" w:rsidRDefault="005A1446" w:rsidP="00E62AC9">
            <w:pPr>
              <w:overflowPunct w:val="0"/>
              <w:autoSpaceDE w:val="0"/>
              <w:autoSpaceDN w:val="0"/>
              <w:adjustRightInd w:val="0"/>
              <w:textAlignment w:val="baseline"/>
              <w:rPr>
                <w:i/>
                <w:iCs/>
              </w:rPr>
            </w:pPr>
            <w:hyperlink r:id="rId20" w:history="1">
              <w:r w:rsidR="00CA46B0">
                <w:rPr>
                  <w:i/>
                  <w:color w:val="0000FF"/>
                  <w:u w:val="single"/>
                </w:rPr>
                <w:t>Gerald.Klec@eesc.europa.eu</w:t>
              </w:r>
            </w:hyperlink>
          </w:p>
        </w:tc>
      </w:tr>
    </w:tbl>
    <w:p w14:paraId="7A2E20F5" w14:textId="77777777" w:rsidR="00DA78A0" w:rsidRDefault="00DA78A0">
      <w:pPr>
        <w:spacing w:after="160" w:line="259" w:lineRule="auto"/>
        <w:jc w:val="left"/>
      </w:pPr>
      <w:r>
        <w:br w:type="page"/>
      </w:r>
    </w:p>
    <w:p w14:paraId="0C796DDB" w14:textId="6C865186" w:rsidR="00BA4FAE" w:rsidRPr="002C2DFE" w:rsidRDefault="005A1446" w:rsidP="00BA4FAE">
      <w:pPr>
        <w:widowControl w:val="0"/>
        <w:numPr>
          <w:ilvl w:val="0"/>
          <w:numId w:val="9"/>
        </w:numPr>
        <w:overflowPunct w:val="0"/>
        <w:autoSpaceDE w:val="0"/>
        <w:autoSpaceDN w:val="0"/>
        <w:adjustRightInd w:val="0"/>
        <w:spacing w:after="120"/>
        <w:ind w:hanging="567"/>
        <w:textAlignment w:val="baseline"/>
        <w:rPr>
          <w:b/>
          <w:i/>
          <w:iCs/>
          <w:sz w:val="28"/>
          <w:szCs w:val="28"/>
        </w:rPr>
      </w:pPr>
      <w:hyperlink r:id="rId21" w:history="1">
        <w:r w:rsidR="00CA46B0">
          <w:rPr>
            <w:b/>
            <w:i/>
            <w:color w:val="0000FF"/>
            <w:sz w:val="28"/>
            <w:u w:val="single"/>
          </w:rPr>
          <w:t>Fondul UE pentru coeziune, agricultură și zone rurale, pescuit și afaceri maritime, prosperitate și securitate</w:t>
        </w:r>
      </w:hyperlink>
    </w:p>
    <w:p w14:paraId="02787264" w14:textId="77777777" w:rsidR="00686452" w:rsidRPr="00B92236" w:rsidRDefault="00686452" w:rsidP="00B92236">
      <w:pPr>
        <w:overflowPunct w:val="0"/>
        <w:autoSpaceDE w:val="0"/>
        <w:autoSpaceDN w:val="0"/>
        <w:adjustRightInd w:val="0"/>
        <w:textAlignment w:val="baseline"/>
        <w:rPr>
          <w:bCs/>
          <w:iCs/>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A4FAE" w:rsidRPr="00B92236" w14:paraId="2DC3AFA7" w14:textId="77777777" w:rsidTr="005B3E63">
        <w:tc>
          <w:tcPr>
            <w:tcW w:w="1701" w:type="dxa"/>
          </w:tcPr>
          <w:p w14:paraId="2978248E" w14:textId="77777777" w:rsidR="00BA4FAE" w:rsidRPr="00B92236" w:rsidRDefault="00BA4FAE" w:rsidP="002C2DFE">
            <w:pPr>
              <w:rPr>
                <w:b/>
                <w:bCs/>
                <w:sz w:val="22"/>
                <w:szCs w:val="22"/>
              </w:rPr>
            </w:pPr>
            <w:r w:rsidRPr="00B92236">
              <w:rPr>
                <w:b/>
                <w:sz w:val="22"/>
                <w:szCs w:val="22"/>
              </w:rPr>
              <w:t>Raportor:</w:t>
            </w:r>
          </w:p>
          <w:p w14:paraId="011F25B2" w14:textId="77777777" w:rsidR="00BA4FAE" w:rsidRPr="00B92236" w:rsidRDefault="00BA4FAE" w:rsidP="002C2DFE">
            <w:pPr>
              <w:rPr>
                <w:b/>
                <w:bCs/>
                <w:sz w:val="22"/>
                <w:szCs w:val="22"/>
              </w:rPr>
            </w:pPr>
            <w:r w:rsidRPr="00B92236">
              <w:rPr>
                <w:b/>
                <w:sz w:val="22"/>
                <w:szCs w:val="22"/>
              </w:rPr>
              <w:t>Coraportor:</w:t>
            </w:r>
          </w:p>
        </w:tc>
        <w:tc>
          <w:tcPr>
            <w:tcW w:w="7621" w:type="dxa"/>
          </w:tcPr>
          <w:p w14:paraId="22F5C36E" w14:textId="77F26F4C" w:rsidR="00BA4FAE" w:rsidRPr="00B92236" w:rsidRDefault="00BA4FAE" w:rsidP="002C2DFE">
            <w:pPr>
              <w:rPr>
                <w:sz w:val="22"/>
                <w:szCs w:val="22"/>
              </w:rPr>
            </w:pPr>
            <w:r w:rsidRPr="00B92236">
              <w:rPr>
                <w:sz w:val="22"/>
                <w:szCs w:val="22"/>
              </w:rPr>
              <w:t>Florian MARIN (Grupul „Lucrători”- RO)</w:t>
            </w:r>
          </w:p>
          <w:p w14:paraId="49571B6B" w14:textId="7ECF59FA" w:rsidR="00686452" w:rsidRPr="00B92236" w:rsidRDefault="00BA4FAE" w:rsidP="002C2DFE">
            <w:pPr>
              <w:rPr>
                <w:sz w:val="22"/>
                <w:szCs w:val="22"/>
              </w:rPr>
            </w:pPr>
            <w:r w:rsidRPr="00B92236">
              <w:rPr>
                <w:sz w:val="22"/>
                <w:szCs w:val="22"/>
              </w:rPr>
              <w:t>David SVENTEK (Grupul „Angajatori” – CZ)</w:t>
            </w:r>
          </w:p>
        </w:tc>
      </w:tr>
      <w:tr w:rsidR="00BA4FAE" w:rsidRPr="00B92236" w14:paraId="636B5388" w14:textId="77777777" w:rsidTr="005B3E63">
        <w:tc>
          <w:tcPr>
            <w:tcW w:w="1701" w:type="dxa"/>
          </w:tcPr>
          <w:p w14:paraId="4736584F" w14:textId="77777777" w:rsidR="00BA4FAE" w:rsidRPr="00B92236" w:rsidRDefault="00BA4FAE" w:rsidP="002C2DFE">
            <w:pPr>
              <w:rPr>
                <w:b/>
                <w:bCs/>
                <w:sz w:val="22"/>
                <w:szCs w:val="22"/>
              </w:rPr>
            </w:pPr>
            <w:r w:rsidRPr="00B92236">
              <w:rPr>
                <w:b/>
                <w:sz w:val="22"/>
                <w:szCs w:val="22"/>
              </w:rPr>
              <w:t>Referințe:</w:t>
            </w:r>
          </w:p>
        </w:tc>
        <w:tc>
          <w:tcPr>
            <w:tcW w:w="7621" w:type="dxa"/>
          </w:tcPr>
          <w:p w14:paraId="0AE6A2D9" w14:textId="0A8AAC62" w:rsidR="00BA4FAE" w:rsidRPr="00B92236" w:rsidRDefault="00BA4FAE" w:rsidP="002C2DFE">
            <w:pPr>
              <w:rPr>
                <w:sz w:val="22"/>
                <w:szCs w:val="22"/>
              </w:rPr>
            </w:pPr>
            <w:r w:rsidRPr="00B92236">
              <w:rPr>
                <w:sz w:val="22"/>
                <w:szCs w:val="22"/>
              </w:rPr>
              <w:t xml:space="preserve">COM(2025) 565 final </w:t>
            </w:r>
          </w:p>
          <w:p w14:paraId="4D0211A2" w14:textId="0503EC7E" w:rsidR="00BA4FAE" w:rsidRPr="00B92236" w:rsidRDefault="00BA4FAE" w:rsidP="002C2DFE">
            <w:pPr>
              <w:rPr>
                <w:sz w:val="22"/>
                <w:szCs w:val="22"/>
              </w:rPr>
            </w:pPr>
            <w:r w:rsidRPr="00B92236">
              <w:rPr>
                <w:sz w:val="22"/>
                <w:szCs w:val="22"/>
              </w:rPr>
              <w:t>EESC-2025-02552-00-00-AC</w:t>
            </w:r>
          </w:p>
        </w:tc>
      </w:tr>
    </w:tbl>
    <w:p w14:paraId="277086E3" w14:textId="77777777" w:rsidR="00BA4FAE" w:rsidRDefault="00BA4FAE" w:rsidP="00BA4FAE">
      <w:pPr>
        <w:keepNext/>
        <w:keepLines/>
        <w:tabs>
          <w:tab w:val="center" w:pos="284"/>
        </w:tabs>
        <w:overflowPunct w:val="0"/>
        <w:autoSpaceDE w:val="0"/>
        <w:autoSpaceDN w:val="0"/>
        <w:adjustRightInd w:val="0"/>
        <w:spacing w:before="120"/>
        <w:ind w:left="266" w:hanging="266"/>
        <w:textAlignment w:val="baseline"/>
        <w:rPr>
          <w:b/>
        </w:rPr>
      </w:pPr>
      <w:r>
        <w:rPr>
          <w:b/>
        </w:rPr>
        <w:t>Punctele principale:</w:t>
      </w:r>
    </w:p>
    <w:p w14:paraId="39641B10" w14:textId="77777777" w:rsidR="00686452" w:rsidRPr="00BA4FAE" w:rsidRDefault="00686452" w:rsidP="00BA4FAE">
      <w:pPr>
        <w:keepNext/>
        <w:keepLines/>
        <w:tabs>
          <w:tab w:val="center" w:pos="284"/>
        </w:tabs>
        <w:overflowPunct w:val="0"/>
        <w:autoSpaceDE w:val="0"/>
        <w:autoSpaceDN w:val="0"/>
        <w:adjustRightInd w:val="0"/>
        <w:spacing w:before="120"/>
        <w:ind w:left="266" w:hanging="266"/>
        <w:textAlignment w:val="baseline"/>
        <w:rPr>
          <w:b/>
          <w:lang w:val="en-GB"/>
        </w:rPr>
      </w:pPr>
    </w:p>
    <w:p w14:paraId="22F37D52" w14:textId="77777777" w:rsidR="00BA4FAE" w:rsidRDefault="00BA4FAE" w:rsidP="00BA4FAE">
      <w:pPr>
        <w:overflowPunct w:val="0"/>
        <w:autoSpaceDE w:val="0"/>
        <w:autoSpaceDN w:val="0"/>
        <w:adjustRightInd w:val="0"/>
        <w:textAlignment w:val="baseline"/>
        <w:rPr>
          <w:bCs/>
          <w:iCs/>
        </w:rPr>
      </w:pPr>
      <w:r>
        <w:t>CESE:</w:t>
      </w:r>
    </w:p>
    <w:p w14:paraId="02D99BB2" w14:textId="77777777" w:rsidR="00686452" w:rsidRPr="00BA4FAE" w:rsidRDefault="00686452" w:rsidP="00BA4FAE">
      <w:pPr>
        <w:overflowPunct w:val="0"/>
        <w:autoSpaceDE w:val="0"/>
        <w:autoSpaceDN w:val="0"/>
        <w:adjustRightInd w:val="0"/>
        <w:textAlignment w:val="baseline"/>
        <w:rPr>
          <w:bCs/>
          <w:iCs/>
          <w:lang w:val="en-GB"/>
        </w:rPr>
      </w:pPr>
    </w:p>
    <w:p w14:paraId="721B77DF" w14:textId="77777777" w:rsidR="00BA4FAE" w:rsidRPr="00BA4FAE" w:rsidRDefault="00BA4FAE" w:rsidP="002C2DFE">
      <w:pPr>
        <w:numPr>
          <w:ilvl w:val="0"/>
          <w:numId w:val="35"/>
        </w:numPr>
        <w:overflowPunct w:val="0"/>
        <w:autoSpaceDE w:val="0"/>
        <w:autoSpaceDN w:val="0"/>
        <w:adjustRightInd w:val="0"/>
        <w:spacing w:line="276" w:lineRule="auto"/>
        <w:ind w:left="284" w:hanging="284"/>
        <w:contextualSpacing/>
        <w:textAlignment w:val="baseline"/>
        <w:rPr>
          <w:bCs/>
          <w:iCs/>
        </w:rPr>
      </w:pPr>
      <w:r>
        <w:t>salută dorința Comisiei de a simplifica și de a asigura o mai mare flexibilitate, dar consideră că simplificarea prevăzută necesită garanții concrete pentru a fi eficace. Pentru a proteja identitatea distinctă și misiunea fundamentală a politicilor-cheie ale UE, trebuie păstrate identitatea, vizibilitatea, predictibilitatea și obiectivele pe termen lung ale acestora, garantând că flexibilitatea nu se realizează în detrimentul regiunilor, comunităților, sectoarelor și grupurilor celor mai vulnerabile;</w:t>
      </w:r>
    </w:p>
    <w:p w14:paraId="22D291FC"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5" w:name="_Toc221267990"/>
      <w:r>
        <w:t>este îngrijorat că gruparea sub o singură umbrelă a nevoilor de investiții pentru domenii de politică diverse, cum ar fi agricultura, pescuitul, coeziunea și securitatea, ar putea să creeze concurență între priorități și să slăbească garanțiile pe termen lung; se opune ferm acestei abordări, deoarece ea riscă să dilueze resursele și să afecteze eforturile de realizare a tranziției climatice și digitale;</w:t>
      </w:r>
      <w:bookmarkEnd w:id="15"/>
    </w:p>
    <w:p w14:paraId="033740A6"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6" w:name="_Toc221267991"/>
      <w:r>
        <w:t xml:space="preserve">avertizează, de asemenea, în mod expres că arhitectura </w:t>
      </w:r>
      <w:proofErr w:type="spellStart"/>
      <w:r>
        <w:t>multifondurilor</w:t>
      </w:r>
      <w:proofErr w:type="spellEnd"/>
      <w:r>
        <w:t xml:space="preserve"> ar putea alimenta conflictele de distribuție. Atât la începutul, cât și pe parcursul viitoarei perioade de finanțare, există riscul unei concurențe structurale între dimensiunea socială, dezvoltarea regională și rurală și politica de securitate și în domeniul migrației;</w:t>
      </w:r>
      <w:bookmarkEnd w:id="16"/>
    </w:p>
    <w:p w14:paraId="79B7DA72"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7" w:name="_Toc221267992"/>
      <w:r>
        <w:t>se opune transferului responsabilității de la nivel regional la nivel național, deoarece acest lucru subminează principiul subsidiarității, teritorialitatea, guvernanța pe mai multe niveluri și încrederea în UE;</w:t>
      </w:r>
      <w:bookmarkEnd w:id="17"/>
    </w:p>
    <w:p w14:paraId="1D4445D3"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8" w:name="_Toc221267993"/>
      <w:r>
        <w:t>subliniază că funcționarea eficace a planurilor de parteneriat naționale și regionale (planuri PNR) va necesita implicarea puternică și efectivă a partenerilor locali și regionali, a partenerilor sociali și a organizațiilor societății civile, precum și a reprezentanților sectoarelor și industriilor, atât în etapa de programare, cât și în ceea ce privește punerea în aplicare, gestionarea, monitorizarea, evaluarea și controlul;</w:t>
      </w:r>
      <w:bookmarkEnd w:id="18"/>
      <w:r>
        <w:t xml:space="preserve"> </w:t>
      </w:r>
    </w:p>
    <w:p w14:paraId="5F37642D"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9" w:name="_Toc221267994"/>
      <w:r>
        <w:t>propune ca, pe lângă verificarea din perspectivă regională, să aibă loc și o verificare din perspectiva partenerilor sociali și a organizațiilor societății civile;</w:t>
      </w:r>
      <w:bookmarkEnd w:id="19"/>
    </w:p>
    <w:p w14:paraId="6B0AF8D9"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0" w:name="_Toc221267995"/>
      <w:r>
        <w:t>subliniază că parteneriatul trebuie să se reflecte în fiecare capitol al planului PNR și subliniază necesitatea unei reprezentări echilibrate a partenerilor relevanți în comitetele de monitorizare;</w:t>
      </w:r>
      <w:bookmarkEnd w:id="20"/>
      <w:r>
        <w:t xml:space="preserve"> </w:t>
      </w:r>
    </w:p>
    <w:p w14:paraId="1EF98941"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1" w:name="_Toc221267996"/>
      <w:r>
        <w:t>face apel la Comisia Europeană să revizuiască, fără întârziere, Codul european de conduită referitor la parteneriat;</w:t>
      </w:r>
      <w:bookmarkEnd w:id="21"/>
    </w:p>
    <w:p w14:paraId="66135628"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2" w:name="_Toc221267997"/>
      <w:r>
        <w:t>sugerează introducerea unui sistem de sancțiuni pentru cazurile în care nu există o implicare efectivă, semnificativă și transversală a partenerilor sociali și a organizațiilor societății civile;</w:t>
      </w:r>
      <w:bookmarkEnd w:id="22"/>
    </w:p>
    <w:p w14:paraId="0EDD2AAE" w14:textId="77777777" w:rsidR="00BA4FAE" w:rsidRPr="00BC3DC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3" w:name="_Toc221267998"/>
      <w:r>
        <w:t>consideră că politica de coeziune ar trebui consolidată în mai mare măsură, întrucât este slăbită de propunere; solicită garanții pentru protejarea regiunilor și orașelor, în special în cazul în care statele membre le-ar putea exclude;</w:t>
      </w:r>
      <w:bookmarkEnd w:id="23"/>
    </w:p>
    <w:p w14:paraId="55BB0923"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4" w:name="_Toc221267999"/>
      <w:r>
        <w:rPr>
          <w:color w:val="000000"/>
        </w:rPr>
        <w:t>subliniază că sunt necesare norme mai stricte pentru a se garanta implicarea actorilor locali și a orașelor și că nu trebuie sancționate interesele subnaționale;</w:t>
      </w:r>
      <w:bookmarkEnd w:id="24"/>
    </w:p>
    <w:p w14:paraId="035A58D6"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5" w:name="_Toc221268000"/>
      <w:r>
        <w:rPr>
          <w:color w:val="000000"/>
        </w:rPr>
        <w:lastRenderedPageBreak/>
        <w:t>solicită concentrări tematice specifice în domeniul securității alimentare, al inegalității, al îmbătrânirii cu demnitate și al angajamentului civic, cu sprijin pentru grupurile vulnerabile, voluntari și actorii din economia socială;</w:t>
      </w:r>
      <w:bookmarkEnd w:id="25"/>
    </w:p>
    <w:p w14:paraId="3C0ECA68" w14:textId="77777777" w:rsidR="00BA4FAE" w:rsidRPr="00BA4FAE" w:rsidRDefault="00BA4FAE" w:rsidP="002C2DFE">
      <w:pPr>
        <w:keepNext/>
        <w:numPr>
          <w:ilvl w:val="0"/>
          <w:numId w:val="35"/>
        </w:numPr>
        <w:overflowPunct w:val="0"/>
        <w:autoSpaceDE w:val="0"/>
        <w:autoSpaceDN w:val="0"/>
        <w:adjustRightInd w:val="0"/>
        <w:spacing w:line="276" w:lineRule="auto"/>
        <w:ind w:left="284" w:hanging="284"/>
        <w:contextualSpacing/>
        <w:textAlignment w:val="baseline"/>
        <w:outlineLvl w:val="1"/>
        <w:rPr>
          <w:szCs w:val="20"/>
        </w:rPr>
      </w:pPr>
      <w:bookmarkStart w:id="26" w:name="_Toc221268001"/>
      <w:r>
        <w:rPr>
          <w:color w:val="000000"/>
        </w:rPr>
        <w:t>avertizează că obiectivele sociale trebuie definite în mod clar și subliniază că obiectivul de 14 % pentru cheltuielile sociale ar trebui să vizeze exclusiv obiectivele fondului social european (FSE), cum ar fi calificările și formarea, precum și sprijinul pentru grupurile vulnerabile și defavorizate;</w:t>
      </w:r>
      <w:bookmarkEnd w:id="26"/>
    </w:p>
    <w:p w14:paraId="1E77C842" w14:textId="77777777" w:rsidR="00BA4FAE" w:rsidRPr="00BA4FAE" w:rsidRDefault="00BA4FAE" w:rsidP="002C2DFE">
      <w:pPr>
        <w:keepNext/>
        <w:numPr>
          <w:ilvl w:val="0"/>
          <w:numId w:val="35"/>
        </w:numPr>
        <w:overflowPunct w:val="0"/>
        <w:autoSpaceDE w:val="0"/>
        <w:autoSpaceDN w:val="0"/>
        <w:adjustRightInd w:val="0"/>
        <w:spacing w:line="276" w:lineRule="auto"/>
        <w:ind w:left="284" w:hanging="284"/>
        <w:contextualSpacing/>
        <w:textAlignment w:val="baseline"/>
        <w:outlineLvl w:val="1"/>
        <w:rPr>
          <w:szCs w:val="20"/>
        </w:rPr>
      </w:pPr>
      <w:bookmarkStart w:id="27" w:name="_Toc221268002"/>
      <w:r>
        <w:t>critică ferm absența unui fond dedicat tranziției juste și atrage atenția asupra combinării tranziției juste cu tranziția curată.</w:t>
      </w:r>
      <w:bookmarkEnd w:id="27"/>
      <w:r>
        <w:t xml:space="preserve"> </w:t>
      </w:r>
    </w:p>
    <w:p w14:paraId="744A4299" w14:textId="77777777" w:rsidR="00BA4FAE" w:rsidRPr="00BA4FAE" w:rsidRDefault="00BA4FAE" w:rsidP="00BA4FAE">
      <w:pPr>
        <w:overflowPunct w:val="0"/>
        <w:autoSpaceDE w:val="0"/>
        <w:autoSpaceDN w:val="0"/>
        <w:adjustRightInd w:val="0"/>
        <w:ind w:left="360"/>
        <w:contextualSpacing/>
        <w:textAlignment w:val="baseline"/>
        <w:rPr>
          <w:bCs/>
          <w:iCs/>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A4FAE" w:rsidRPr="00BA4FAE" w14:paraId="64544161" w14:textId="77777777" w:rsidTr="00B92236">
        <w:tc>
          <w:tcPr>
            <w:tcW w:w="1701" w:type="dxa"/>
          </w:tcPr>
          <w:p w14:paraId="5FE9D161" w14:textId="77777777" w:rsidR="00BA4FAE" w:rsidRPr="00BA4FAE" w:rsidRDefault="00BA4FAE" w:rsidP="00BA4FAE">
            <w:pPr>
              <w:overflowPunct w:val="0"/>
              <w:autoSpaceDE w:val="0"/>
              <w:autoSpaceDN w:val="0"/>
              <w:adjustRightInd w:val="0"/>
              <w:textAlignment w:val="baseline"/>
              <w:rPr>
                <w:i/>
              </w:rPr>
            </w:pPr>
            <w:r>
              <w:rPr>
                <w:b/>
                <w:i/>
              </w:rPr>
              <w:t>Date de contact:</w:t>
            </w:r>
          </w:p>
        </w:tc>
        <w:tc>
          <w:tcPr>
            <w:tcW w:w="7621" w:type="dxa"/>
          </w:tcPr>
          <w:p w14:paraId="2812625D" w14:textId="0027E983" w:rsidR="00BA4FAE" w:rsidRPr="00BA4FAE" w:rsidRDefault="00BA4FAE" w:rsidP="00BA4FAE">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00BA4FAE" w:rsidRPr="00BA4FAE" w14:paraId="734D010F" w14:textId="77777777" w:rsidTr="00B92236">
        <w:tc>
          <w:tcPr>
            <w:tcW w:w="1701" w:type="dxa"/>
          </w:tcPr>
          <w:p w14:paraId="0F5D1DE7" w14:textId="77777777" w:rsidR="00BA4FAE" w:rsidRPr="00BA4FAE" w:rsidRDefault="00BA4FAE" w:rsidP="00BA4FAE">
            <w:pPr>
              <w:overflowPunct w:val="0"/>
              <w:autoSpaceDE w:val="0"/>
              <w:autoSpaceDN w:val="0"/>
              <w:adjustRightInd w:val="0"/>
              <w:textAlignment w:val="baseline"/>
              <w:rPr>
                <w:i/>
              </w:rPr>
            </w:pPr>
            <w:r>
              <w:rPr>
                <w:i/>
              </w:rPr>
              <w:t>Tel.:</w:t>
            </w:r>
          </w:p>
        </w:tc>
        <w:tc>
          <w:tcPr>
            <w:tcW w:w="7621" w:type="dxa"/>
          </w:tcPr>
          <w:p w14:paraId="0250DD78" w14:textId="5AFDBB5F" w:rsidR="00BA4FAE" w:rsidRPr="00BA4FAE" w:rsidRDefault="00BA4FAE" w:rsidP="00BA4FAE">
            <w:pPr>
              <w:overflowPunct w:val="0"/>
              <w:autoSpaceDE w:val="0"/>
              <w:autoSpaceDN w:val="0"/>
              <w:adjustRightInd w:val="0"/>
              <w:textAlignment w:val="baseline"/>
              <w:rPr>
                <w:i/>
              </w:rPr>
            </w:pPr>
            <w:r>
              <w:rPr>
                <w:i/>
              </w:rPr>
              <w:t>+32 25469795</w:t>
            </w:r>
          </w:p>
        </w:tc>
      </w:tr>
      <w:tr w:rsidR="00BA4FAE" w:rsidRPr="00BA4FAE" w14:paraId="168D1487" w14:textId="77777777" w:rsidTr="00B92236">
        <w:tc>
          <w:tcPr>
            <w:tcW w:w="1701" w:type="dxa"/>
          </w:tcPr>
          <w:p w14:paraId="6C2E8CB1" w14:textId="77777777" w:rsidR="00BA4FAE" w:rsidRPr="00BA4FAE" w:rsidRDefault="00BA4FAE" w:rsidP="00BA4FAE">
            <w:pPr>
              <w:overflowPunct w:val="0"/>
              <w:autoSpaceDE w:val="0"/>
              <w:autoSpaceDN w:val="0"/>
              <w:adjustRightInd w:val="0"/>
              <w:textAlignment w:val="baseline"/>
              <w:rPr>
                <w:i/>
              </w:rPr>
            </w:pPr>
            <w:r>
              <w:rPr>
                <w:i/>
              </w:rPr>
              <w:t>E-mail:</w:t>
            </w:r>
          </w:p>
        </w:tc>
        <w:tc>
          <w:tcPr>
            <w:tcW w:w="7621" w:type="dxa"/>
          </w:tcPr>
          <w:p w14:paraId="50D856F7" w14:textId="77777777" w:rsidR="00BA4FAE" w:rsidRPr="00BA4FAE" w:rsidRDefault="005A1446" w:rsidP="00BA4FAE">
            <w:pPr>
              <w:overflowPunct w:val="0"/>
              <w:autoSpaceDE w:val="0"/>
              <w:autoSpaceDN w:val="0"/>
              <w:adjustRightInd w:val="0"/>
              <w:textAlignment w:val="baseline"/>
              <w:rPr>
                <w:i/>
                <w:iCs/>
              </w:rPr>
            </w:pPr>
            <w:hyperlink r:id="rId22" w:history="1">
              <w:r w:rsidR="00CA46B0">
                <w:rPr>
                  <w:i/>
                  <w:color w:val="0000FF"/>
                  <w:u w:val="single"/>
                </w:rPr>
                <w:t>Georgios.Meleas@eesc.europa.eu</w:t>
              </w:r>
            </w:hyperlink>
          </w:p>
        </w:tc>
      </w:tr>
    </w:tbl>
    <w:p w14:paraId="3196C461" w14:textId="2B6DC4DE" w:rsidR="00B16290" w:rsidRDefault="00B16290" w:rsidP="004D7AC0">
      <w:pPr>
        <w:pStyle w:val="ListParagraph"/>
        <w:ind w:left="0"/>
      </w:pPr>
    </w:p>
    <w:p w14:paraId="2D264CCB" w14:textId="77777777" w:rsidR="00B16290" w:rsidRDefault="00B16290">
      <w:pPr>
        <w:spacing w:after="160" w:line="259" w:lineRule="auto"/>
        <w:jc w:val="left"/>
      </w:pPr>
      <w:r>
        <w:br w:type="page"/>
      </w:r>
    </w:p>
    <w:p w14:paraId="3D1C3DEA" w14:textId="28AA3449" w:rsidR="00E3707D" w:rsidRPr="00E3707D" w:rsidRDefault="005A1446" w:rsidP="002C2DFE">
      <w:pPr>
        <w:widowControl w:val="0"/>
        <w:numPr>
          <w:ilvl w:val="0"/>
          <w:numId w:val="9"/>
        </w:numPr>
        <w:overflowPunct w:val="0"/>
        <w:autoSpaceDE w:val="0"/>
        <w:autoSpaceDN w:val="0"/>
        <w:adjustRightInd w:val="0"/>
        <w:ind w:hanging="567"/>
        <w:textAlignment w:val="baseline"/>
        <w:rPr>
          <w:b/>
          <w:i/>
          <w:iCs/>
          <w:sz w:val="28"/>
          <w:szCs w:val="28"/>
        </w:rPr>
      </w:pPr>
      <w:hyperlink r:id="rId23" w:history="1">
        <w:r w:rsidR="00CA46B0">
          <w:rPr>
            <w:b/>
            <w:i/>
            <w:color w:val="0000FF"/>
            <w:sz w:val="28"/>
            <w:u w:val="single"/>
          </w:rPr>
          <w:t>Resurse proprii – propunerea din 2025</w:t>
        </w:r>
      </w:hyperlink>
    </w:p>
    <w:p w14:paraId="7F80198A" w14:textId="77777777" w:rsidR="00E3707D" w:rsidRPr="00873941" w:rsidRDefault="00E3707D" w:rsidP="00D81A9E">
      <w:pPr>
        <w:widowControl w:val="0"/>
        <w:overflowPunct w:val="0"/>
        <w:autoSpaceDE w:val="0"/>
        <w:autoSpaceDN w:val="0"/>
        <w:adjustRightInd w:val="0"/>
        <w:spacing w:line="240" w:lineRule="auto"/>
        <w:ind w:left="284"/>
        <w:textAlignment w:val="baseline"/>
        <w:rPr>
          <w:b/>
          <w:i/>
          <w:iCs/>
          <w:sz w:val="12"/>
          <w:szCs w:val="12"/>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7379"/>
      </w:tblGrid>
      <w:tr w:rsidR="00E3707D" w:rsidRPr="00E3707D" w14:paraId="7F3A9815" w14:textId="77777777" w:rsidTr="005B3E63">
        <w:tc>
          <w:tcPr>
            <w:tcW w:w="1701" w:type="dxa"/>
          </w:tcPr>
          <w:p w14:paraId="7060B3AC"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Raportoare:</w:t>
            </w:r>
          </w:p>
          <w:p w14:paraId="48D9C718"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Coraportor:</w:t>
            </w:r>
          </w:p>
        </w:tc>
        <w:tc>
          <w:tcPr>
            <w:tcW w:w="7479" w:type="dxa"/>
          </w:tcPr>
          <w:p w14:paraId="65B7B610" w14:textId="24A48CCB" w:rsidR="00E3707D" w:rsidRPr="00E3707D" w:rsidRDefault="00E3707D" w:rsidP="00E3707D">
            <w:pPr>
              <w:tabs>
                <w:tab w:val="center" w:pos="284"/>
              </w:tabs>
              <w:overflowPunct w:val="0"/>
              <w:autoSpaceDE w:val="0"/>
              <w:autoSpaceDN w:val="0"/>
              <w:adjustRightInd w:val="0"/>
              <w:ind w:left="266" w:hanging="266"/>
              <w:textAlignment w:val="baseline"/>
            </w:pPr>
            <w:proofErr w:type="spellStart"/>
            <w:r>
              <w:t>Katrīna</w:t>
            </w:r>
            <w:proofErr w:type="spellEnd"/>
            <w:r>
              <w:t xml:space="preserve"> ZARIŅA (Grupul „Angajatori” – LV)</w:t>
            </w:r>
          </w:p>
          <w:p w14:paraId="53D0758E" w14:textId="35D9A2B4" w:rsidR="002059F6" w:rsidRPr="00887D9C" w:rsidRDefault="00E3707D" w:rsidP="00E3707D">
            <w:pPr>
              <w:tabs>
                <w:tab w:val="center" w:pos="284"/>
              </w:tabs>
              <w:overflowPunct w:val="0"/>
              <w:autoSpaceDE w:val="0"/>
              <w:autoSpaceDN w:val="0"/>
              <w:adjustRightInd w:val="0"/>
              <w:ind w:left="266" w:hanging="266"/>
              <w:textAlignment w:val="baseline"/>
            </w:pPr>
            <w:r>
              <w:t xml:space="preserve">Petru Sorin DANDEA (Grupul „Lucrători“ </w:t>
            </w:r>
            <w:r w:rsidR="00887D9C">
              <w:t>–</w:t>
            </w:r>
            <w:r>
              <w:t xml:space="preserve"> RO)</w:t>
            </w:r>
          </w:p>
        </w:tc>
      </w:tr>
      <w:tr w:rsidR="00E3707D" w:rsidRPr="00E3707D" w14:paraId="3FF8ABC4" w14:textId="77777777" w:rsidTr="005B3E63">
        <w:tc>
          <w:tcPr>
            <w:tcW w:w="1701" w:type="dxa"/>
          </w:tcPr>
          <w:p w14:paraId="05E9531F" w14:textId="77777777" w:rsidR="00E3707D" w:rsidRPr="00E3707D" w:rsidRDefault="00E3707D" w:rsidP="00873941">
            <w:pPr>
              <w:tabs>
                <w:tab w:val="center" w:pos="284"/>
              </w:tabs>
              <w:overflowPunct w:val="0"/>
              <w:autoSpaceDE w:val="0"/>
              <w:autoSpaceDN w:val="0"/>
              <w:adjustRightInd w:val="0"/>
              <w:spacing w:line="240" w:lineRule="auto"/>
              <w:ind w:left="266" w:hanging="266"/>
              <w:textAlignment w:val="baseline"/>
              <w:rPr>
                <w:b/>
              </w:rPr>
            </w:pPr>
            <w:r>
              <w:rPr>
                <w:b/>
              </w:rPr>
              <w:t>Referințe:</w:t>
            </w:r>
          </w:p>
        </w:tc>
        <w:tc>
          <w:tcPr>
            <w:tcW w:w="7479" w:type="dxa"/>
          </w:tcPr>
          <w:p w14:paraId="6326788B" w14:textId="17461018" w:rsidR="00E3707D" w:rsidRPr="00E3707D" w:rsidRDefault="00E3707D" w:rsidP="00873941">
            <w:pPr>
              <w:tabs>
                <w:tab w:val="center" w:pos="284"/>
              </w:tabs>
              <w:overflowPunct w:val="0"/>
              <w:autoSpaceDE w:val="0"/>
              <w:autoSpaceDN w:val="0"/>
              <w:adjustRightInd w:val="0"/>
              <w:spacing w:line="240" w:lineRule="auto"/>
              <w:ind w:left="266" w:hanging="266"/>
              <w:textAlignment w:val="baseline"/>
            </w:pPr>
            <w:r>
              <w:t xml:space="preserve">COM(2025) 574 final </w:t>
            </w:r>
          </w:p>
          <w:p w14:paraId="55EB53BF" w14:textId="75E4288E" w:rsidR="00E3707D" w:rsidRPr="00E3707D" w:rsidRDefault="00E3707D" w:rsidP="00873941">
            <w:pPr>
              <w:tabs>
                <w:tab w:val="center" w:pos="284"/>
              </w:tabs>
              <w:overflowPunct w:val="0"/>
              <w:autoSpaceDE w:val="0"/>
              <w:autoSpaceDN w:val="0"/>
              <w:adjustRightInd w:val="0"/>
              <w:spacing w:line="240" w:lineRule="auto"/>
              <w:ind w:left="266" w:hanging="266"/>
              <w:textAlignment w:val="baseline"/>
            </w:pPr>
            <w:r>
              <w:t>EESC-2025-02595-00-00-AC</w:t>
            </w:r>
          </w:p>
        </w:tc>
      </w:tr>
    </w:tbl>
    <w:p w14:paraId="41E24ED4" w14:textId="77777777" w:rsidR="00E3707D" w:rsidRPr="00D81A9E" w:rsidRDefault="00E3707D" w:rsidP="00887D9C">
      <w:pPr>
        <w:keepNext/>
        <w:keepLines/>
        <w:tabs>
          <w:tab w:val="center" w:pos="284"/>
        </w:tabs>
        <w:overflowPunct w:val="0"/>
        <w:autoSpaceDE w:val="0"/>
        <w:autoSpaceDN w:val="0"/>
        <w:adjustRightInd w:val="0"/>
        <w:spacing w:line="240" w:lineRule="auto"/>
        <w:ind w:left="266" w:hanging="266"/>
        <w:textAlignment w:val="baseline"/>
        <w:rPr>
          <w:b/>
          <w:sz w:val="12"/>
          <w:szCs w:val="12"/>
          <w:lang w:val="pt-PT"/>
        </w:rPr>
      </w:pPr>
    </w:p>
    <w:p w14:paraId="21F6DF9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rPr>
      </w:pPr>
      <w:r>
        <w:rPr>
          <w:b/>
        </w:rPr>
        <w:t>Punctele principale:</w:t>
      </w:r>
    </w:p>
    <w:p w14:paraId="16EBEBF6" w14:textId="77777777" w:rsidR="00E3707D" w:rsidRPr="00D81A9E" w:rsidRDefault="00E3707D" w:rsidP="00D81A9E">
      <w:pPr>
        <w:keepNext/>
        <w:keepLines/>
        <w:tabs>
          <w:tab w:val="center" w:pos="284"/>
        </w:tabs>
        <w:overflowPunct w:val="0"/>
        <w:autoSpaceDE w:val="0"/>
        <w:autoSpaceDN w:val="0"/>
        <w:adjustRightInd w:val="0"/>
        <w:spacing w:line="240" w:lineRule="auto"/>
        <w:ind w:left="266" w:hanging="266"/>
        <w:textAlignment w:val="baseline"/>
        <w:rPr>
          <w:b/>
          <w:sz w:val="12"/>
          <w:szCs w:val="12"/>
          <w:lang w:val="en-GB"/>
        </w:rPr>
      </w:pPr>
    </w:p>
    <w:p w14:paraId="73C802DF" w14:textId="77777777" w:rsidR="00E3707D" w:rsidRDefault="00E3707D" w:rsidP="00E3707D">
      <w:pPr>
        <w:overflowPunct w:val="0"/>
        <w:autoSpaceDE w:val="0"/>
        <w:autoSpaceDN w:val="0"/>
        <w:adjustRightInd w:val="0"/>
        <w:textAlignment w:val="baseline"/>
        <w:rPr>
          <w:bCs/>
          <w:iCs/>
        </w:rPr>
      </w:pPr>
      <w:r>
        <w:t>CESE:</w:t>
      </w:r>
    </w:p>
    <w:p w14:paraId="566569EC" w14:textId="77777777" w:rsidR="002059F6" w:rsidRPr="00D81A9E" w:rsidRDefault="002059F6" w:rsidP="00D81A9E">
      <w:pPr>
        <w:overflowPunct w:val="0"/>
        <w:autoSpaceDE w:val="0"/>
        <w:autoSpaceDN w:val="0"/>
        <w:adjustRightInd w:val="0"/>
        <w:spacing w:line="240" w:lineRule="auto"/>
        <w:textAlignment w:val="baseline"/>
        <w:rPr>
          <w:bCs/>
          <w:iCs/>
          <w:sz w:val="12"/>
          <w:szCs w:val="12"/>
          <w:lang w:val="en-GB"/>
        </w:rPr>
      </w:pPr>
    </w:p>
    <w:p w14:paraId="5B23224A"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28" w:name="_Toc221268003"/>
      <w:r>
        <w:t>subliniază că dezbaterea privind noile resurse proprii ar trebui să depășească ajustările tehnice și să devină o reflecție strategică cu privire la modalitățile de consolidare a autonomiei financiare, a coeziunii și a competitivității UE;</w:t>
      </w:r>
      <w:bookmarkEnd w:id="28"/>
    </w:p>
    <w:p w14:paraId="6DE765B2" w14:textId="1A81DA0D"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29" w:name="_Toc221268004"/>
      <w:r>
        <w:t>încurajează Comisia Europeană să perfecționeze în continuare concepția generală a pachetului propus privind resursele proprii, astfel încât acesta să devină ambițios, echilibrat și orientat spre viitor. Comisia ar trebui: (a) să stabilească o foaie de parcurs clară în vederea reducerii treptate a dependenței de contribuțiile bazate pe VNB și a creșterii autonomiei financiare reale a UE; (b)</w:t>
      </w:r>
      <w:r w:rsidR="00887D9C">
        <w:t> </w:t>
      </w:r>
      <w:r>
        <w:t>să</w:t>
      </w:r>
      <w:r w:rsidR="00887D9C">
        <w:t> </w:t>
      </w:r>
      <w:r>
        <w:t>conceapă măsuri care să promoveze coeziunea și echitatea, garantând că toate statele membre contribuie proporțional cu puterea lor economică;</w:t>
      </w:r>
      <w:bookmarkEnd w:id="29"/>
    </w:p>
    <w:p w14:paraId="61353E52"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30" w:name="_Toc221268005"/>
      <w:r>
        <w:t>(c) să integreze un dispozitiv pentru a evalua incidența asupra competitivității și a IMM-urilor în toate propunerile noi privind resursele proprii; (d) să mențină un anumit grad de flexibilitate în mecanismele de răspuns la situații de criză;</w:t>
      </w:r>
      <w:bookmarkEnd w:id="30"/>
    </w:p>
    <w:p w14:paraId="52A4B5EA"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31" w:name="_Toc221268006"/>
      <w:r>
        <w:t>invită Consiliul și Parlamentul European să ajungă la un consens larg și de durată printr-o abordare pragmatică, etapizată și bazată pe dovezi. Instituțiile ar trebui (a) să promoveze mai întâi propunerile care sunt gata de punere în aplicare – cum ar fi resursa bazată pe CBAM, contribuția modernizată bazată pe deșeurile de materiale plastice și reforma privind taxele vamale pe care statele membre le rețin pentru a-și acoperi costurile de colectare – acordând, în același timp, mai mult timp pentru discutarea și analiza unor instrumente complexe; (b) să convină asupra unei clauze comune de revizuire interinstituțională, astfel încât toate noile resurse proprii să fie evaluate în termen de doi ani de la intrarea în vigoare; (c) să se asigure că în pachetul final sunt integrate mecanisme de prevenire a regresiei și de compensare a prejudiciilor suferite de statele membre situate la frontierele externe ale UE;</w:t>
      </w:r>
      <w:bookmarkEnd w:id="31"/>
    </w:p>
    <w:p w14:paraId="13E3C1F4"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32" w:name="_Toc221268007"/>
      <w:r>
        <w:t>consideră că propunerea privind resursa corporativă pentru Europa (CORE) nu este clară în ceea ce privește funcționarea sa în practică și își exprimă unele rezerve cu privire la propunerea CORE în ansamblu;</w:t>
      </w:r>
      <w:bookmarkEnd w:id="32"/>
    </w:p>
    <w:p w14:paraId="23946F5B"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33" w:name="_Toc221268008"/>
      <w:r>
        <w:t>salută contribuția pozitivă pe care atât CBAM, cât și mecanismul privind echipamentele electrice și electronice necolectate („e-deșeuri”) ar putea să o aducă la durabilitate și circularitate;</w:t>
      </w:r>
      <w:bookmarkEnd w:id="33"/>
    </w:p>
    <w:p w14:paraId="1080B500"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34" w:name="_Toc221268009"/>
      <w:r>
        <w:t>observă că propunerea privind resursele proprii bazate pe accizele la tutun ar trebui concepută cu atenție pentru a evita efectele negative în regiunile de frontieră sau stimularea comerțului ilicit;</w:t>
      </w:r>
      <w:bookmarkEnd w:id="34"/>
    </w:p>
    <w:p w14:paraId="34AC8AA8"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35" w:name="_Toc221268010"/>
      <w:r>
        <w:t>sprijină reducerea la 10 % a taxelor vamale pe care statele membre le rețin pentru a-și acoperi costurile de colectare ca un pas către o mai mare coerență financiară a UE, cu condiția instituirii unor mecanisme compensatorii adecvate;</w:t>
      </w:r>
      <w:bookmarkEnd w:id="35"/>
    </w:p>
    <w:p w14:paraId="5A5017B6"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36" w:name="_Toc221268011"/>
      <w:r>
        <w:t xml:space="preserve">salută eliminarea pragului de </w:t>
      </w:r>
      <w:proofErr w:type="spellStart"/>
      <w:r>
        <w:t>minimis</w:t>
      </w:r>
      <w:proofErr w:type="spellEnd"/>
      <w:r>
        <w:t xml:space="preserve"> de 150 EUR pentru coletele trimise către UE din țări terțe și introducerea unei taxe de procesare pentru comerțul electronic începând din noiembrie 2026, cu posibilitatea ca această taxă de procesare să devină o nouă resursă proprie a bugetului UE.</w:t>
      </w:r>
      <w:bookmarkEnd w:id="36"/>
    </w:p>
    <w:p w14:paraId="4DAA824C" w14:textId="77777777" w:rsidR="00E3707D" w:rsidRPr="00D81A9E" w:rsidRDefault="00E3707D" w:rsidP="00887D9C">
      <w:pPr>
        <w:overflowPunct w:val="0"/>
        <w:autoSpaceDE w:val="0"/>
        <w:autoSpaceDN w:val="0"/>
        <w:adjustRightInd w:val="0"/>
        <w:spacing w:line="240" w:lineRule="auto"/>
        <w:textAlignment w:val="baseline"/>
        <w:rPr>
          <w:bCs/>
          <w:iCs/>
          <w:sz w:val="12"/>
          <w:szCs w:val="12"/>
          <w:lang w:val="en-GB"/>
        </w:rPr>
      </w:pPr>
    </w:p>
    <w:tbl>
      <w:tblPr>
        <w:tblStyle w:val="TableGrid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62"/>
      </w:tblGrid>
      <w:tr w:rsidR="00E3707D" w:rsidRPr="00E3707D" w14:paraId="21B6BE42" w14:textId="77777777" w:rsidTr="00887D9C">
        <w:tc>
          <w:tcPr>
            <w:tcW w:w="1560" w:type="dxa"/>
          </w:tcPr>
          <w:p w14:paraId="21558E01" w14:textId="77777777" w:rsidR="00E3707D" w:rsidRPr="00E3707D" w:rsidRDefault="00E3707D" w:rsidP="00873941">
            <w:pPr>
              <w:overflowPunct w:val="0"/>
              <w:autoSpaceDE w:val="0"/>
              <w:autoSpaceDN w:val="0"/>
              <w:adjustRightInd w:val="0"/>
              <w:spacing w:line="240" w:lineRule="auto"/>
              <w:textAlignment w:val="baseline"/>
              <w:rPr>
                <w:i/>
              </w:rPr>
            </w:pPr>
            <w:r>
              <w:rPr>
                <w:b/>
                <w:i/>
              </w:rPr>
              <w:t>Date de contact:</w:t>
            </w:r>
          </w:p>
        </w:tc>
        <w:tc>
          <w:tcPr>
            <w:tcW w:w="7762" w:type="dxa"/>
          </w:tcPr>
          <w:p w14:paraId="6A358185" w14:textId="6A297F81" w:rsidR="00E3707D" w:rsidRPr="00E3707D" w:rsidRDefault="00E3707D" w:rsidP="00873941">
            <w:pPr>
              <w:overflowPunct w:val="0"/>
              <w:autoSpaceDE w:val="0"/>
              <w:autoSpaceDN w:val="0"/>
              <w:adjustRightInd w:val="0"/>
              <w:spacing w:line="240" w:lineRule="auto"/>
              <w:textAlignment w:val="baseline"/>
              <w:rPr>
                <w:i/>
              </w:rPr>
            </w:pPr>
            <w:proofErr w:type="spellStart"/>
            <w:r>
              <w:rPr>
                <w:i/>
              </w:rPr>
              <w:t>Gerald</w:t>
            </w:r>
            <w:proofErr w:type="spellEnd"/>
            <w:r>
              <w:rPr>
                <w:i/>
              </w:rPr>
              <w:t xml:space="preserve"> </w:t>
            </w:r>
            <w:proofErr w:type="spellStart"/>
            <w:r>
              <w:rPr>
                <w:i/>
              </w:rPr>
              <w:t>Klec</w:t>
            </w:r>
            <w:proofErr w:type="spellEnd"/>
          </w:p>
        </w:tc>
      </w:tr>
      <w:tr w:rsidR="00E3707D" w:rsidRPr="00E3707D" w14:paraId="009AA950" w14:textId="77777777" w:rsidTr="00887D9C">
        <w:tc>
          <w:tcPr>
            <w:tcW w:w="1560" w:type="dxa"/>
          </w:tcPr>
          <w:p w14:paraId="7AADB5E0" w14:textId="77777777" w:rsidR="00E3707D" w:rsidRPr="00E3707D" w:rsidRDefault="00E3707D" w:rsidP="00873941">
            <w:pPr>
              <w:overflowPunct w:val="0"/>
              <w:autoSpaceDE w:val="0"/>
              <w:autoSpaceDN w:val="0"/>
              <w:adjustRightInd w:val="0"/>
              <w:spacing w:line="240" w:lineRule="auto"/>
              <w:textAlignment w:val="baseline"/>
              <w:rPr>
                <w:i/>
              </w:rPr>
            </w:pPr>
            <w:r>
              <w:rPr>
                <w:i/>
              </w:rPr>
              <w:t>Tel.:</w:t>
            </w:r>
          </w:p>
        </w:tc>
        <w:tc>
          <w:tcPr>
            <w:tcW w:w="7762" w:type="dxa"/>
          </w:tcPr>
          <w:p w14:paraId="752752A6" w14:textId="0DC273E7" w:rsidR="00E3707D" w:rsidRPr="00E3707D" w:rsidRDefault="00E3707D" w:rsidP="00873941">
            <w:pPr>
              <w:overflowPunct w:val="0"/>
              <w:autoSpaceDE w:val="0"/>
              <w:autoSpaceDN w:val="0"/>
              <w:adjustRightInd w:val="0"/>
              <w:spacing w:line="240" w:lineRule="auto"/>
              <w:textAlignment w:val="baseline"/>
              <w:rPr>
                <w:i/>
              </w:rPr>
            </w:pPr>
            <w:r>
              <w:rPr>
                <w:i/>
              </w:rPr>
              <w:t>+32 25469909</w:t>
            </w:r>
          </w:p>
        </w:tc>
      </w:tr>
      <w:tr w:rsidR="00E3707D" w:rsidRPr="00E3707D" w14:paraId="090F9241" w14:textId="77777777" w:rsidTr="00887D9C">
        <w:tc>
          <w:tcPr>
            <w:tcW w:w="1560" w:type="dxa"/>
          </w:tcPr>
          <w:p w14:paraId="485E110B" w14:textId="77777777" w:rsidR="00E3707D" w:rsidRPr="00E3707D" w:rsidRDefault="00E3707D" w:rsidP="00873941">
            <w:pPr>
              <w:overflowPunct w:val="0"/>
              <w:autoSpaceDE w:val="0"/>
              <w:autoSpaceDN w:val="0"/>
              <w:adjustRightInd w:val="0"/>
              <w:spacing w:line="240" w:lineRule="auto"/>
              <w:textAlignment w:val="baseline"/>
              <w:rPr>
                <w:i/>
              </w:rPr>
            </w:pPr>
            <w:r>
              <w:rPr>
                <w:i/>
              </w:rPr>
              <w:t>E-mail:</w:t>
            </w:r>
          </w:p>
        </w:tc>
        <w:tc>
          <w:tcPr>
            <w:tcW w:w="7762" w:type="dxa"/>
          </w:tcPr>
          <w:p w14:paraId="5BC0A890" w14:textId="77777777" w:rsidR="00E3707D" w:rsidRPr="00E3707D" w:rsidRDefault="005A1446" w:rsidP="00873941">
            <w:pPr>
              <w:overflowPunct w:val="0"/>
              <w:autoSpaceDE w:val="0"/>
              <w:autoSpaceDN w:val="0"/>
              <w:adjustRightInd w:val="0"/>
              <w:spacing w:line="240" w:lineRule="auto"/>
              <w:textAlignment w:val="baseline"/>
              <w:rPr>
                <w:i/>
                <w:iCs/>
              </w:rPr>
            </w:pPr>
            <w:hyperlink r:id="rId24" w:history="1">
              <w:r w:rsidR="00CA46B0">
                <w:rPr>
                  <w:i/>
                  <w:color w:val="0000FF"/>
                  <w:u w:val="single"/>
                </w:rPr>
                <w:t>Gerald.Klec@eesc.europa.eu</w:t>
              </w:r>
            </w:hyperlink>
          </w:p>
        </w:tc>
      </w:tr>
    </w:tbl>
    <w:p w14:paraId="4982DD98" w14:textId="77777777" w:rsidR="004D7AC0" w:rsidRDefault="004D7AC0" w:rsidP="004D7AC0">
      <w:pPr>
        <w:spacing w:after="160" w:line="259" w:lineRule="auto"/>
        <w:jc w:val="left"/>
      </w:pPr>
      <w:r>
        <w:br w:type="page"/>
      </w:r>
    </w:p>
    <w:p w14:paraId="4982DD99" w14:textId="237C634B" w:rsidR="004D7AC0" w:rsidRDefault="004D7AC0" w:rsidP="004D7AC0">
      <w:pPr>
        <w:pStyle w:val="Heading1"/>
        <w:rPr>
          <w:b/>
        </w:rPr>
      </w:pPr>
      <w:bookmarkStart w:id="37" w:name="_Toc75527081"/>
      <w:bookmarkStart w:id="38" w:name="_Toc221268012"/>
      <w:r>
        <w:rPr>
          <w:b/>
        </w:rPr>
        <w:lastRenderedPageBreak/>
        <w:t>SECȚIUNEA PENTRU OCUPAREA FORȚEI DE MUNCĂ, AFACERI SOCIALE ȘI</w:t>
      </w:r>
      <w:r w:rsidR="00782E41">
        <w:rPr>
          <w:b/>
        </w:rPr>
        <w:t> </w:t>
      </w:r>
      <w:r>
        <w:rPr>
          <w:b/>
        </w:rPr>
        <w:t>CETĂȚENIE</w:t>
      </w:r>
      <w:bookmarkEnd w:id="37"/>
      <w:bookmarkEnd w:id="38"/>
    </w:p>
    <w:p w14:paraId="4982DD9A" w14:textId="77777777" w:rsidR="004D7AC0" w:rsidRDefault="004D7AC0" w:rsidP="004D7AC0"/>
    <w:p w14:paraId="165D188C" w14:textId="77E52D25" w:rsidR="00DA024B" w:rsidRPr="00DA024B" w:rsidRDefault="005A1446" w:rsidP="00DA024B">
      <w:pPr>
        <w:widowControl w:val="0"/>
        <w:numPr>
          <w:ilvl w:val="0"/>
          <w:numId w:val="4"/>
        </w:numPr>
        <w:overflowPunct w:val="0"/>
        <w:autoSpaceDE w:val="0"/>
        <w:autoSpaceDN w:val="0"/>
        <w:adjustRightInd w:val="0"/>
        <w:ind w:hanging="567"/>
        <w:textAlignment w:val="baseline"/>
        <w:rPr>
          <w:sz w:val="24"/>
          <w:szCs w:val="24"/>
        </w:rPr>
      </w:pPr>
      <w:hyperlink r:id="rId25" w:history="1">
        <w:proofErr w:type="spellStart"/>
        <w:r w:rsidR="00CA46B0">
          <w:rPr>
            <w:b/>
            <w:i/>
            <w:color w:val="0000FF"/>
            <w:sz w:val="28"/>
            <w:u w:val="single"/>
          </w:rPr>
          <w:t>My</w:t>
        </w:r>
        <w:proofErr w:type="spellEnd"/>
        <w:r w:rsidR="00CA46B0">
          <w:rPr>
            <w:b/>
            <w:i/>
            <w:color w:val="0000FF"/>
            <w:sz w:val="28"/>
            <w:u w:val="single"/>
          </w:rPr>
          <w:t xml:space="preserve"> </w:t>
        </w:r>
        <w:proofErr w:type="spellStart"/>
        <w:r w:rsidR="00CA46B0">
          <w:rPr>
            <w:b/>
            <w:i/>
            <w:color w:val="0000FF"/>
            <w:sz w:val="28"/>
            <w:u w:val="single"/>
          </w:rPr>
          <w:t>Voice</w:t>
        </w:r>
        <w:proofErr w:type="spellEnd"/>
        <w:r w:rsidR="00CA46B0">
          <w:rPr>
            <w:b/>
            <w:i/>
            <w:color w:val="0000FF"/>
            <w:sz w:val="28"/>
            <w:u w:val="single"/>
          </w:rPr>
          <w:t xml:space="preserve">, </w:t>
        </w:r>
        <w:proofErr w:type="spellStart"/>
        <w:r w:rsidR="00CA46B0">
          <w:rPr>
            <w:b/>
            <w:i/>
            <w:color w:val="0000FF"/>
            <w:sz w:val="28"/>
            <w:u w:val="single"/>
          </w:rPr>
          <w:t>My</w:t>
        </w:r>
        <w:proofErr w:type="spellEnd"/>
        <w:r w:rsidR="00CA46B0">
          <w:rPr>
            <w:b/>
            <w:i/>
            <w:color w:val="0000FF"/>
            <w:sz w:val="28"/>
            <w:u w:val="single"/>
          </w:rPr>
          <w:t xml:space="preserve"> </w:t>
        </w:r>
        <w:proofErr w:type="spellStart"/>
        <w:r w:rsidR="00CA46B0">
          <w:rPr>
            <w:b/>
            <w:i/>
            <w:color w:val="0000FF"/>
            <w:sz w:val="28"/>
            <w:u w:val="single"/>
          </w:rPr>
          <w:t>Choice</w:t>
        </w:r>
        <w:proofErr w:type="spellEnd"/>
        <w:r w:rsidR="00CA46B0">
          <w:rPr>
            <w:b/>
            <w:i/>
            <w:color w:val="0000FF"/>
            <w:sz w:val="28"/>
            <w:u w:val="single"/>
          </w:rPr>
          <w:t>: pentru avorturi sigure și accesibile</w:t>
        </w:r>
      </w:hyperlink>
    </w:p>
    <w:p w14:paraId="0C83709B" w14:textId="77777777" w:rsidR="00DA024B" w:rsidRPr="00DA024B" w:rsidRDefault="00DA024B" w:rsidP="00DA024B">
      <w:pPr>
        <w:tabs>
          <w:tab w:val="center" w:pos="284"/>
        </w:tabs>
        <w:overflowPunct w:val="0"/>
        <w:autoSpaceDE w:val="0"/>
        <w:autoSpaceDN w:val="0"/>
        <w:adjustRightInd w:val="0"/>
        <w:ind w:left="266" w:hanging="266"/>
        <w:textAlignment w:val="baseline"/>
        <w:rPr>
          <w:b/>
          <w:sz w:val="16"/>
          <w:szCs w:val="16"/>
          <w:lang w:val="en-GB"/>
        </w:rPr>
      </w:pPr>
    </w:p>
    <w:tbl>
      <w:tblPr>
        <w:tblStyle w:val="TableGrid2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DA024B" w:rsidRPr="00DA024B" w14:paraId="616A570F" w14:textId="77777777" w:rsidTr="00D27336">
        <w:tc>
          <w:tcPr>
            <w:tcW w:w="1701" w:type="dxa"/>
          </w:tcPr>
          <w:p w14:paraId="29839133" w14:textId="2E01E88B"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Raportor:</w:t>
            </w:r>
          </w:p>
        </w:tc>
        <w:tc>
          <w:tcPr>
            <w:tcW w:w="5387" w:type="dxa"/>
          </w:tcPr>
          <w:p w14:paraId="37660F6B" w14:textId="1A42D8F7" w:rsidR="00DA024B" w:rsidRPr="00DA024B" w:rsidRDefault="00DA024B" w:rsidP="00DA024B">
            <w:pPr>
              <w:tabs>
                <w:tab w:val="center" w:pos="284"/>
              </w:tabs>
              <w:overflowPunct w:val="0"/>
              <w:autoSpaceDE w:val="0"/>
              <w:autoSpaceDN w:val="0"/>
              <w:adjustRightInd w:val="0"/>
              <w:ind w:left="266" w:hanging="266"/>
              <w:textAlignment w:val="baseline"/>
            </w:pPr>
            <w:r>
              <w:t>José Antonio MORENO DÍAZ (Grupul „Lucrători” – ES)</w:t>
            </w:r>
          </w:p>
        </w:tc>
      </w:tr>
      <w:tr w:rsidR="00DA024B" w:rsidRPr="00DA024B" w14:paraId="1556A8CF" w14:textId="77777777" w:rsidTr="00D27336">
        <w:tc>
          <w:tcPr>
            <w:tcW w:w="7088" w:type="dxa"/>
            <w:gridSpan w:val="2"/>
          </w:tcPr>
          <w:p w14:paraId="479AB676" w14:textId="77777777" w:rsidR="00DA024B" w:rsidRPr="00DA024B" w:rsidRDefault="00DA024B" w:rsidP="00DA024B">
            <w:pPr>
              <w:tabs>
                <w:tab w:val="center" w:pos="284"/>
              </w:tabs>
              <w:overflowPunct w:val="0"/>
              <w:autoSpaceDE w:val="0"/>
              <w:autoSpaceDN w:val="0"/>
              <w:adjustRightInd w:val="0"/>
              <w:spacing w:line="160" w:lineRule="exact"/>
              <w:ind w:left="266" w:hanging="266"/>
              <w:textAlignment w:val="baseline"/>
              <w:rPr>
                <w:lang w:val="es-ES"/>
              </w:rPr>
            </w:pPr>
          </w:p>
        </w:tc>
      </w:tr>
      <w:tr w:rsidR="00DA024B" w:rsidRPr="00DA024B" w14:paraId="32A3AAD0" w14:textId="77777777" w:rsidTr="00D27336">
        <w:tc>
          <w:tcPr>
            <w:tcW w:w="1701" w:type="dxa"/>
            <w:vMerge w:val="restart"/>
          </w:tcPr>
          <w:p w14:paraId="3896BBCE" w14:textId="118A459D"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 xml:space="preserve">Referință: </w:t>
            </w:r>
          </w:p>
        </w:tc>
        <w:tc>
          <w:tcPr>
            <w:tcW w:w="5387" w:type="dxa"/>
          </w:tcPr>
          <w:p w14:paraId="09AFA6EE" w14:textId="009D4F43" w:rsidR="00DA024B" w:rsidRPr="00DA024B" w:rsidRDefault="00DA024B" w:rsidP="00DA024B">
            <w:pPr>
              <w:tabs>
                <w:tab w:val="center" w:pos="284"/>
              </w:tabs>
              <w:overflowPunct w:val="0"/>
              <w:autoSpaceDE w:val="0"/>
              <w:autoSpaceDN w:val="0"/>
              <w:adjustRightInd w:val="0"/>
              <w:ind w:left="266" w:hanging="266"/>
              <w:textAlignment w:val="baseline"/>
            </w:pPr>
            <w:r>
              <w:t>aviz din proprie inițiativă</w:t>
            </w:r>
          </w:p>
        </w:tc>
      </w:tr>
      <w:tr w:rsidR="00DA024B" w:rsidRPr="00DA024B" w14:paraId="770A643E" w14:textId="77777777" w:rsidTr="00D27336">
        <w:tc>
          <w:tcPr>
            <w:tcW w:w="1701" w:type="dxa"/>
            <w:vMerge/>
          </w:tcPr>
          <w:p w14:paraId="4BDCC9CD" w14:textId="77777777" w:rsidR="00DA024B" w:rsidRPr="00DA024B" w:rsidRDefault="00DA024B" w:rsidP="00DA024B">
            <w:pPr>
              <w:tabs>
                <w:tab w:val="center" w:pos="284"/>
              </w:tabs>
              <w:overflowPunct w:val="0"/>
              <w:autoSpaceDE w:val="0"/>
              <w:autoSpaceDN w:val="0"/>
              <w:adjustRightInd w:val="0"/>
              <w:ind w:left="266" w:hanging="266"/>
              <w:textAlignment w:val="baseline"/>
              <w:rPr>
                <w:b/>
                <w:lang w:val="en-GB"/>
              </w:rPr>
            </w:pPr>
          </w:p>
        </w:tc>
        <w:tc>
          <w:tcPr>
            <w:tcW w:w="5387" w:type="dxa"/>
          </w:tcPr>
          <w:p w14:paraId="24EE10E2" w14:textId="77777777" w:rsidR="00DA024B" w:rsidRDefault="00DA024B" w:rsidP="00DA024B">
            <w:pPr>
              <w:tabs>
                <w:tab w:val="center" w:pos="284"/>
              </w:tabs>
              <w:overflowPunct w:val="0"/>
              <w:autoSpaceDE w:val="0"/>
              <w:autoSpaceDN w:val="0"/>
              <w:adjustRightInd w:val="0"/>
              <w:ind w:left="266" w:hanging="266"/>
              <w:textAlignment w:val="baseline"/>
            </w:pPr>
            <w:r>
              <w:t>EESC-2025-03118-00-00-AC</w:t>
            </w:r>
          </w:p>
          <w:p w14:paraId="703687F3" w14:textId="77777777" w:rsidR="000C31E1" w:rsidRPr="00DA024B" w:rsidRDefault="000C31E1" w:rsidP="00DA024B">
            <w:pPr>
              <w:tabs>
                <w:tab w:val="center" w:pos="284"/>
              </w:tabs>
              <w:overflowPunct w:val="0"/>
              <w:autoSpaceDE w:val="0"/>
              <w:autoSpaceDN w:val="0"/>
              <w:adjustRightInd w:val="0"/>
              <w:ind w:left="266" w:hanging="266"/>
              <w:textAlignment w:val="baseline"/>
              <w:rPr>
                <w:lang w:val="en-GB"/>
              </w:rPr>
            </w:pPr>
          </w:p>
        </w:tc>
      </w:tr>
    </w:tbl>
    <w:p w14:paraId="64B49F2C" w14:textId="77777777" w:rsidR="00DA024B" w:rsidRPr="00DA024B" w:rsidRDefault="00DA024B" w:rsidP="00DA024B">
      <w:pPr>
        <w:keepNext/>
        <w:keepLines/>
        <w:tabs>
          <w:tab w:val="center" w:pos="284"/>
        </w:tabs>
        <w:overflowPunct w:val="0"/>
        <w:autoSpaceDE w:val="0"/>
        <w:autoSpaceDN w:val="0"/>
        <w:adjustRightInd w:val="0"/>
        <w:ind w:left="266" w:hanging="266"/>
        <w:textAlignment w:val="baseline"/>
        <w:rPr>
          <w:b/>
        </w:rPr>
      </w:pPr>
      <w:r>
        <w:rPr>
          <w:b/>
        </w:rPr>
        <w:t>Punctele principale:</w:t>
      </w:r>
    </w:p>
    <w:p w14:paraId="004B568C" w14:textId="77777777" w:rsidR="00DA024B" w:rsidRPr="00DA024B" w:rsidRDefault="00DA024B" w:rsidP="00DA024B">
      <w:pPr>
        <w:overflowPunct w:val="0"/>
        <w:autoSpaceDE w:val="0"/>
        <w:autoSpaceDN w:val="0"/>
        <w:adjustRightInd w:val="0"/>
        <w:textAlignment w:val="baseline"/>
        <w:rPr>
          <w:bCs/>
          <w:iCs/>
          <w:sz w:val="16"/>
          <w:szCs w:val="16"/>
          <w:lang w:val="en-GB"/>
        </w:rPr>
      </w:pPr>
    </w:p>
    <w:p w14:paraId="6543DA20" w14:textId="77777777" w:rsidR="00DA024B" w:rsidRDefault="00DA024B" w:rsidP="00DA024B">
      <w:pPr>
        <w:overflowPunct w:val="0"/>
        <w:autoSpaceDE w:val="0"/>
        <w:autoSpaceDN w:val="0"/>
        <w:adjustRightInd w:val="0"/>
        <w:textAlignment w:val="baseline"/>
        <w:rPr>
          <w:bCs/>
          <w:iCs/>
        </w:rPr>
      </w:pPr>
      <w:r>
        <w:t>CESE:</w:t>
      </w:r>
    </w:p>
    <w:p w14:paraId="73CD3525" w14:textId="77777777" w:rsidR="000C31E1" w:rsidRPr="00DA024B" w:rsidRDefault="000C31E1" w:rsidP="00DA024B">
      <w:pPr>
        <w:overflowPunct w:val="0"/>
        <w:autoSpaceDE w:val="0"/>
        <w:autoSpaceDN w:val="0"/>
        <w:adjustRightInd w:val="0"/>
        <w:textAlignment w:val="baseline"/>
        <w:rPr>
          <w:bCs/>
          <w:iCs/>
          <w:lang w:val="en-GB"/>
        </w:rPr>
      </w:pPr>
    </w:p>
    <w:p w14:paraId="7713F057"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evidențiază și își exprimă recunoștința pentru eforturile depuse în cadrul inițiativei cetățenești europene promovate de mișcarea </w:t>
      </w:r>
      <w:r>
        <w:rPr>
          <w:b/>
          <w:i/>
        </w:rPr>
        <w:t>„</w:t>
      </w:r>
      <w:proofErr w:type="spellStart"/>
      <w:r>
        <w:rPr>
          <w:b/>
          <w:i/>
        </w:rPr>
        <w:t>My</w:t>
      </w:r>
      <w:proofErr w:type="spellEnd"/>
      <w:r>
        <w:rPr>
          <w:b/>
          <w:i/>
        </w:rPr>
        <w:t xml:space="preserve"> </w:t>
      </w:r>
      <w:proofErr w:type="spellStart"/>
      <w:r>
        <w:rPr>
          <w:b/>
          <w:i/>
        </w:rPr>
        <w:t>Voice</w:t>
      </w:r>
      <w:proofErr w:type="spellEnd"/>
      <w:r>
        <w:rPr>
          <w:b/>
          <w:i/>
        </w:rPr>
        <w:t xml:space="preserve">, </w:t>
      </w:r>
      <w:proofErr w:type="spellStart"/>
      <w:r>
        <w:rPr>
          <w:b/>
          <w:i/>
        </w:rPr>
        <w:t>My</w:t>
      </w:r>
      <w:proofErr w:type="spellEnd"/>
      <w:r>
        <w:rPr>
          <w:b/>
          <w:i/>
        </w:rPr>
        <w:t xml:space="preserve"> </w:t>
      </w:r>
      <w:proofErr w:type="spellStart"/>
      <w:r>
        <w:rPr>
          <w:b/>
          <w:i/>
        </w:rPr>
        <w:t>Choice</w:t>
      </w:r>
      <w:proofErr w:type="spellEnd"/>
      <w:r>
        <w:rPr>
          <w:b/>
          <w:i/>
        </w:rPr>
        <w:t>”</w:t>
      </w:r>
      <w:r>
        <w:t xml:space="preserve"> („Vocea mea, alegerea mea”);</w:t>
      </w:r>
    </w:p>
    <w:p w14:paraId="52F8255A"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reiterează că </w:t>
      </w:r>
      <w:r>
        <w:rPr>
          <w:b/>
        </w:rPr>
        <w:t>avortul este și trebuie să fie un drept al omului</w:t>
      </w:r>
      <w:r>
        <w:t xml:space="preserve"> strâns legat de multe alte drepturi, nu numai de dreptul la sănătate;</w:t>
      </w:r>
    </w:p>
    <w:p w14:paraId="14BDCF54"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rPr>
          <w:b/>
        </w:rPr>
        <w:t>solicită Comisiei Europene să prezinte o propunere</w:t>
      </w:r>
      <w:r>
        <w:t xml:space="preserve"> de sprijin financiar pentru statele membre, astfel încât orice femeie din Europa care încă nu are acces la avort în condiții de siguranță și legalitate să poată întrerupe sarcina în siguranță, în conformitate cu dreptul intern;</w:t>
      </w:r>
    </w:p>
    <w:p w14:paraId="50C796FE"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subliniază că </w:t>
      </w:r>
      <w:r>
        <w:rPr>
          <w:b/>
        </w:rPr>
        <w:t>refuzul sau obstrucționarea serviciilor de avort constituie violență de gen instituțională</w:t>
      </w:r>
      <w:r>
        <w:t>;</w:t>
      </w:r>
    </w:p>
    <w:p w14:paraId="13F86112"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subliniază că accesul la avort în condiții de siguranță și legalitate face parte din obligația Uniunii de a apăra demnitatea, integritatea și egalitatea femeilor;</w:t>
      </w:r>
    </w:p>
    <w:p w14:paraId="3AB0BE5D"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declară că </w:t>
      </w:r>
      <w:r>
        <w:rPr>
          <w:b/>
        </w:rPr>
        <w:t>decizia de a întrerupe o sarcină trebuie să aparțină exclusiv femeii în cauză</w:t>
      </w:r>
      <w:r>
        <w:t>, care trebuie să decidă în mod independent și lipsit de constrângeri, dezinformare și stigmatizare;</w:t>
      </w:r>
    </w:p>
    <w:p w14:paraId="2983D2EC"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subliniază că accesul la avort în condiții de siguranță și legalitate trebuie să fie însoțit de politici și programe care să garanteze libertatea de a alege în cunoștință de cauză și o educație sexuală cuprinzătoare;</w:t>
      </w:r>
    </w:p>
    <w:p w14:paraId="413F791B"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reamintește că educația sexuală cuprinzătoare este esențială pentru prevenirea sarcinilor nedorite, promovarea egalității de gen și protecția împotriva violenței sexuale;</w:t>
      </w:r>
    </w:p>
    <w:p w14:paraId="3B15E4B0"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îndeamnă statele membre să integreze în programele din școli o educație sexuală cuprinzătoare, riguroasă din punct de vedere științific și adaptată vârstei și diferitelor capacități;</w:t>
      </w:r>
    </w:p>
    <w:p w14:paraId="51F312A5"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consideră că Comisia Europeană va trebui să clarifice modul în care vor fi structurate fondurile UE pentru a finanța exercitarea acestui drept;</w:t>
      </w:r>
    </w:p>
    <w:p w14:paraId="751F348E"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sugerează ca Institutul European pentru Egalitatea de Șanse între Femei și Bărbați (EIGE) și </w:t>
      </w:r>
      <w:proofErr w:type="spellStart"/>
      <w:r>
        <w:t>Eurostat</w:t>
      </w:r>
      <w:proofErr w:type="spellEnd"/>
      <w:r>
        <w:t xml:space="preserve"> să colecteze date defalcate privind sănătatea sexuală și reproductivă și drepturile aferente;</w:t>
      </w:r>
    </w:p>
    <w:p w14:paraId="49302C03" w14:textId="77777777" w:rsid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consideră că este nevoie ca aceste drepturi ale femeilor să fie consolidate în fața atacurilor extremei drepte și ale grupurilor fundamentaliste.</w:t>
      </w:r>
    </w:p>
    <w:p w14:paraId="2780B597" w14:textId="77777777" w:rsidR="00D27336" w:rsidRPr="00DA024B" w:rsidRDefault="00D27336" w:rsidP="00D27336">
      <w:pPr>
        <w:widowControl w:val="0"/>
        <w:overflowPunct w:val="0"/>
        <w:autoSpaceDE w:val="0"/>
        <w:autoSpaceDN w:val="0"/>
        <w:adjustRightInd w:val="0"/>
        <w:ind w:left="284"/>
        <w:textAlignment w:val="baseline"/>
        <w:rPr>
          <w:szCs w:val="20"/>
          <w:lang w:val="en-GB"/>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DA024B" w:rsidRPr="00DA024B" w14:paraId="5C43AAEF" w14:textId="77777777" w:rsidTr="00782E41">
        <w:tc>
          <w:tcPr>
            <w:tcW w:w="1701" w:type="dxa"/>
          </w:tcPr>
          <w:p w14:paraId="581555D1" w14:textId="77777777" w:rsidR="00DA024B" w:rsidRPr="00DA024B" w:rsidRDefault="00DA024B" w:rsidP="00DA024B">
            <w:pPr>
              <w:overflowPunct w:val="0"/>
              <w:autoSpaceDE w:val="0"/>
              <w:autoSpaceDN w:val="0"/>
              <w:adjustRightInd w:val="0"/>
              <w:spacing w:line="240" w:lineRule="auto"/>
              <w:textAlignment w:val="baseline"/>
              <w:rPr>
                <w:i/>
              </w:rPr>
            </w:pPr>
            <w:r>
              <w:rPr>
                <w:b/>
                <w:i/>
              </w:rPr>
              <w:t>Date de contact:</w:t>
            </w:r>
          </w:p>
        </w:tc>
        <w:tc>
          <w:tcPr>
            <w:tcW w:w="5387" w:type="dxa"/>
          </w:tcPr>
          <w:p w14:paraId="458A0DE4" w14:textId="77777777" w:rsidR="00DA024B" w:rsidRPr="00DA024B" w:rsidRDefault="00DA024B" w:rsidP="00DA024B">
            <w:pPr>
              <w:overflowPunct w:val="0"/>
              <w:autoSpaceDE w:val="0"/>
              <w:autoSpaceDN w:val="0"/>
              <w:adjustRightInd w:val="0"/>
              <w:spacing w:line="240" w:lineRule="auto"/>
              <w:textAlignment w:val="baseline"/>
              <w:rPr>
                <w:i/>
              </w:rPr>
            </w:pPr>
            <w:r>
              <w:rPr>
                <w:i/>
              </w:rPr>
              <w:t xml:space="preserve">Antoni </w:t>
            </w:r>
            <w:proofErr w:type="spellStart"/>
            <w:r>
              <w:rPr>
                <w:i/>
              </w:rPr>
              <w:t>Torras</w:t>
            </w:r>
            <w:proofErr w:type="spellEnd"/>
            <w:r>
              <w:rPr>
                <w:i/>
              </w:rPr>
              <w:t xml:space="preserve"> </w:t>
            </w:r>
            <w:proofErr w:type="spellStart"/>
            <w:r>
              <w:rPr>
                <w:i/>
              </w:rPr>
              <w:t>Estruch</w:t>
            </w:r>
            <w:proofErr w:type="spellEnd"/>
          </w:p>
        </w:tc>
      </w:tr>
      <w:tr w:rsidR="00DA024B" w:rsidRPr="00DA024B" w14:paraId="2F183540" w14:textId="77777777" w:rsidTr="00782E41">
        <w:tc>
          <w:tcPr>
            <w:tcW w:w="1701" w:type="dxa"/>
          </w:tcPr>
          <w:p w14:paraId="2B017B20" w14:textId="77777777" w:rsidR="00DA024B" w:rsidRPr="00DA024B" w:rsidRDefault="00DA024B" w:rsidP="00DA024B">
            <w:pPr>
              <w:overflowPunct w:val="0"/>
              <w:autoSpaceDE w:val="0"/>
              <w:autoSpaceDN w:val="0"/>
              <w:adjustRightInd w:val="0"/>
              <w:spacing w:line="240" w:lineRule="auto"/>
              <w:textAlignment w:val="baseline"/>
              <w:rPr>
                <w:i/>
              </w:rPr>
            </w:pPr>
            <w:r>
              <w:rPr>
                <w:i/>
              </w:rPr>
              <w:t>Tel.:</w:t>
            </w:r>
          </w:p>
        </w:tc>
        <w:tc>
          <w:tcPr>
            <w:tcW w:w="5387" w:type="dxa"/>
          </w:tcPr>
          <w:p w14:paraId="72DD4E78" w14:textId="77777777" w:rsidR="00DA024B" w:rsidRPr="00DA024B" w:rsidRDefault="00DA024B" w:rsidP="00DA024B">
            <w:pPr>
              <w:overflowPunct w:val="0"/>
              <w:autoSpaceDE w:val="0"/>
              <w:autoSpaceDN w:val="0"/>
              <w:adjustRightInd w:val="0"/>
              <w:spacing w:line="240" w:lineRule="auto"/>
              <w:textAlignment w:val="baseline"/>
              <w:rPr>
                <w:i/>
              </w:rPr>
            </w:pPr>
            <w:r>
              <w:rPr>
                <w:i/>
              </w:rPr>
              <w:t>+32 25468391</w:t>
            </w:r>
          </w:p>
        </w:tc>
      </w:tr>
      <w:tr w:rsidR="00DA024B" w:rsidRPr="00DA024B" w14:paraId="30ABAB1D" w14:textId="77777777" w:rsidTr="00782E41">
        <w:tc>
          <w:tcPr>
            <w:tcW w:w="1701" w:type="dxa"/>
          </w:tcPr>
          <w:p w14:paraId="4EBFA234" w14:textId="2DF66BCC" w:rsidR="00DA024B" w:rsidRPr="00DA024B" w:rsidRDefault="00B609BB" w:rsidP="00DA024B">
            <w:pPr>
              <w:overflowPunct w:val="0"/>
              <w:autoSpaceDE w:val="0"/>
              <w:autoSpaceDN w:val="0"/>
              <w:adjustRightInd w:val="0"/>
              <w:spacing w:line="240" w:lineRule="auto"/>
              <w:textAlignment w:val="baseline"/>
              <w:rPr>
                <w:i/>
              </w:rPr>
            </w:pPr>
            <w:r>
              <w:rPr>
                <w:i/>
              </w:rPr>
              <w:t>E-mail:</w:t>
            </w:r>
          </w:p>
        </w:tc>
        <w:tc>
          <w:tcPr>
            <w:tcW w:w="5387" w:type="dxa"/>
          </w:tcPr>
          <w:p w14:paraId="28BE8972" w14:textId="77777777" w:rsidR="00DA024B" w:rsidRPr="00CB6673" w:rsidRDefault="005A1446" w:rsidP="00DA024B">
            <w:pPr>
              <w:overflowPunct w:val="0"/>
              <w:autoSpaceDE w:val="0"/>
              <w:autoSpaceDN w:val="0"/>
              <w:adjustRightInd w:val="0"/>
              <w:spacing w:line="240" w:lineRule="auto"/>
              <w:textAlignment w:val="baseline"/>
              <w:rPr>
                <w:i/>
                <w:iCs/>
              </w:rPr>
            </w:pPr>
            <w:hyperlink r:id="rId26" w:history="1">
              <w:r w:rsidR="00CA46B0">
                <w:rPr>
                  <w:i/>
                  <w:color w:val="0000FF"/>
                  <w:u w:val="single"/>
                </w:rPr>
                <w:t>Antoni.TorrasEstruch@eesc.europa.eu</w:t>
              </w:r>
            </w:hyperlink>
            <w:r w:rsidR="00CA46B0">
              <w:rPr>
                <w:i/>
              </w:rPr>
              <w:t xml:space="preserve"> </w:t>
            </w:r>
          </w:p>
        </w:tc>
      </w:tr>
    </w:tbl>
    <w:p w14:paraId="4982DDC3" w14:textId="77777777" w:rsidR="004D7AC0" w:rsidRDefault="004D7AC0" w:rsidP="004D7AC0">
      <w:pPr>
        <w:pStyle w:val="ListParagraph"/>
        <w:ind w:left="0"/>
      </w:pPr>
    </w:p>
    <w:p w14:paraId="4982DDC4" w14:textId="04457CD2" w:rsidR="00FC1076" w:rsidRDefault="00FC1076">
      <w:pPr>
        <w:spacing w:after="160" w:line="259" w:lineRule="auto"/>
        <w:jc w:val="left"/>
      </w:pPr>
      <w:r>
        <w:br w:type="page"/>
      </w:r>
    </w:p>
    <w:p w14:paraId="26AB6808" w14:textId="61923C43" w:rsidR="00920DBD" w:rsidRPr="00920DBD" w:rsidRDefault="005A1446" w:rsidP="00920DBD">
      <w:pPr>
        <w:widowControl w:val="0"/>
        <w:numPr>
          <w:ilvl w:val="0"/>
          <w:numId w:val="14"/>
        </w:numPr>
        <w:overflowPunct w:val="0"/>
        <w:autoSpaceDE w:val="0"/>
        <w:autoSpaceDN w:val="0"/>
        <w:adjustRightInd w:val="0"/>
        <w:ind w:hanging="567"/>
        <w:textAlignment w:val="baseline"/>
        <w:rPr>
          <w:sz w:val="24"/>
          <w:szCs w:val="24"/>
        </w:rPr>
      </w:pPr>
      <w:hyperlink r:id="rId27" w:history="1">
        <w:r w:rsidR="00CA46B0">
          <w:rPr>
            <w:b/>
            <w:i/>
            <w:color w:val="0000FF"/>
            <w:sz w:val="28"/>
            <w:u w:val="single"/>
          </w:rPr>
          <w:t>Propunere de regulament privind Erasmus+ (2028-2034)</w:t>
        </w:r>
      </w:hyperlink>
    </w:p>
    <w:p w14:paraId="18C2D4F9" w14:textId="77777777" w:rsidR="00920DBD" w:rsidRPr="00920DBD" w:rsidRDefault="00920DBD" w:rsidP="00920DBD">
      <w:pPr>
        <w:tabs>
          <w:tab w:val="center" w:pos="284"/>
        </w:tabs>
        <w:overflowPunct w:val="0"/>
        <w:autoSpaceDE w:val="0"/>
        <w:autoSpaceDN w:val="0"/>
        <w:adjustRightInd w:val="0"/>
        <w:ind w:left="266" w:hanging="266"/>
        <w:textAlignment w:val="baseline"/>
        <w:rPr>
          <w:b/>
          <w:lang w:val="en-GB"/>
        </w:rPr>
      </w:pPr>
    </w:p>
    <w:tbl>
      <w:tblPr>
        <w:tblStyle w:val="TableGrid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gridCol w:w="6"/>
      </w:tblGrid>
      <w:tr w:rsidR="00A704FE" w:rsidRPr="00920DBD" w14:paraId="4688E589" w14:textId="77777777" w:rsidTr="001D0535">
        <w:tc>
          <w:tcPr>
            <w:tcW w:w="2552" w:type="dxa"/>
          </w:tcPr>
          <w:p w14:paraId="0ECE3D8F" w14:textId="421EC2CC"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Raportoare generală:</w:t>
            </w:r>
          </w:p>
          <w:p w14:paraId="191C5571" w14:textId="3123F636"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Coraportoare generală:</w:t>
            </w:r>
          </w:p>
        </w:tc>
        <w:tc>
          <w:tcPr>
            <w:tcW w:w="6237" w:type="dxa"/>
            <w:gridSpan w:val="2"/>
          </w:tcPr>
          <w:p w14:paraId="6F069642" w14:textId="4BA930E3"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Nicoletta</w:t>
            </w:r>
            <w:proofErr w:type="spellEnd"/>
            <w:r>
              <w:t xml:space="preserve"> MERLO (Grupul „Lucrători” – IT)</w:t>
            </w:r>
          </w:p>
          <w:p w14:paraId="6ABF4362" w14:textId="34C541F1"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Katrĩna</w:t>
            </w:r>
            <w:proofErr w:type="spellEnd"/>
            <w:r>
              <w:t xml:space="preserve"> LEITĀNE (Grupul „Organizații ale societății civile” – LV)</w:t>
            </w:r>
          </w:p>
        </w:tc>
      </w:tr>
      <w:tr w:rsidR="00A704FE" w:rsidRPr="00920DBD" w14:paraId="4F9A3398" w14:textId="77777777" w:rsidTr="001D0535">
        <w:tc>
          <w:tcPr>
            <w:tcW w:w="2552" w:type="dxa"/>
          </w:tcPr>
          <w:p w14:paraId="0CDA97EF" w14:textId="77777777" w:rsidR="00A704FE" w:rsidRPr="00920DBD" w:rsidRDefault="00A704FE" w:rsidP="001D0535">
            <w:pPr>
              <w:tabs>
                <w:tab w:val="center" w:pos="284"/>
              </w:tabs>
              <w:overflowPunct w:val="0"/>
              <w:autoSpaceDE w:val="0"/>
              <w:autoSpaceDN w:val="0"/>
              <w:adjustRightInd w:val="0"/>
              <w:ind w:left="266" w:hanging="266"/>
              <w:textAlignment w:val="baseline"/>
              <w:rPr>
                <w:b/>
              </w:rPr>
            </w:pPr>
          </w:p>
        </w:tc>
        <w:tc>
          <w:tcPr>
            <w:tcW w:w="6237" w:type="dxa"/>
            <w:gridSpan w:val="2"/>
          </w:tcPr>
          <w:p w14:paraId="3903532A" w14:textId="77777777" w:rsidR="00A704FE" w:rsidRPr="00920DBD" w:rsidRDefault="00A704FE" w:rsidP="001D0535">
            <w:pPr>
              <w:tabs>
                <w:tab w:val="center" w:pos="284"/>
              </w:tabs>
              <w:overflowPunct w:val="0"/>
              <w:autoSpaceDE w:val="0"/>
              <w:autoSpaceDN w:val="0"/>
              <w:adjustRightInd w:val="0"/>
              <w:ind w:left="266" w:hanging="266"/>
              <w:textAlignment w:val="baseline"/>
            </w:pPr>
          </w:p>
        </w:tc>
      </w:tr>
      <w:tr w:rsidR="00A704FE" w:rsidRPr="00920DBD" w14:paraId="27DE7F42" w14:textId="77777777" w:rsidTr="001D0535">
        <w:trPr>
          <w:gridAfter w:val="1"/>
          <w:wAfter w:w="6" w:type="dxa"/>
        </w:trPr>
        <w:tc>
          <w:tcPr>
            <w:tcW w:w="8783" w:type="dxa"/>
            <w:gridSpan w:val="2"/>
          </w:tcPr>
          <w:p w14:paraId="69BA370B" w14:textId="77777777" w:rsidR="00A704FE" w:rsidRPr="00920DBD" w:rsidRDefault="00A704FE" w:rsidP="001D0535">
            <w:pPr>
              <w:tabs>
                <w:tab w:val="center" w:pos="284"/>
              </w:tabs>
              <w:overflowPunct w:val="0"/>
              <w:autoSpaceDE w:val="0"/>
              <w:autoSpaceDN w:val="0"/>
              <w:adjustRightInd w:val="0"/>
              <w:spacing w:line="160" w:lineRule="exact"/>
              <w:ind w:left="266" w:hanging="266"/>
              <w:textAlignment w:val="baseline"/>
            </w:pPr>
          </w:p>
        </w:tc>
      </w:tr>
      <w:tr w:rsidR="00A704FE" w:rsidRPr="00920DBD" w14:paraId="76754DBD" w14:textId="77777777" w:rsidTr="001D0535">
        <w:tc>
          <w:tcPr>
            <w:tcW w:w="2552" w:type="dxa"/>
            <w:vMerge w:val="restart"/>
          </w:tcPr>
          <w:p w14:paraId="1DC4CDC9" w14:textId="0E7F8D5A"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 xml:space="preserve">Referințe: </w:t>
            </w:r>
          </w:p>
        </w:tc>
        <w:tc>
          <w:tcPr>
            <w:tcW w:w="6237" w:type="dxa"/>
            <w:gridSpan w:val="2"/>
          </w:tcPr>
          <w:p w14:paraId="6A5C9391" w14:textId="2E8ED659" w:rsidR="00C1318C" w:rsidRDefault="00C1318C" w:rsidP="001D0535">
            <w:pPr>
              <w:tabs>
                <w:tab w:val="center" w:pos="284"/>
              </w:tabs>
              <w:overflowPunct w:val="0"/>
              <w:autoSpaceDE w:val="0"/>
              <w:autoSpaceDN w:val="0"/>
              <w:adjustRightInd w:val="0"/>
              <w:ind w:left="266" w:hanging="266"/>
              <w:textAlignment w:val="baseline"/>
            </w:pPr>
            <w:r>
              <w:t>COM(2025) 395 final</w:t>
            </w:r>
          </w:p>
          <w:p w14:paraId="22176473" w14:textId="4E5E5E28" w:rsidR="00A704FE" w:rsidRPr="00920DBD" w:rsidRDefault="00A704FE" w:rsidP="001D0535">
            <w:pPr>
              <w:tabs>
                <w:tab w:val="center" w:pos="284"/>
              </w:tabs>
              <w:overflowPunct w:val="0"/>
              <w:autoSpaceDE w:val="0"/>
              <w:autoSpaceDN w:val="0"/>
              <w:adjustRightInd w:val="0"/>
              <w:ind w:left="266" w:hanging="266"/>
              <w:textAlignment w:val="baseline"/>
            </w:pPr>
            <w:r>
              <w:t>COM(2025) 549 final</w:t>
            </w:r>
          </w:p>
        </w:tc>
      </w:tr>
      <w:tr w:rsidR="00A704FE" w:rsidRPr="00920DBD" w14:paraId="0B56F000" w14:textId="77777777" w:rsidTr="001D0535">
        <w:tc>
          <w:tcPr>
            <w:tcW w:w="2552" w:type="dxa"/>
            <w:vMerge/>
          </w:tcPr>
          <w:p w14:paraId="0D34542F" w14:textId="77777777" w:rsidR="00A704FE" w:rsidRPr="00920DBD" w:rsidRDefault="00A704FE" w:rsidP="001D0535">
            <w:pPr>
              <w:tabs>
                <w:tab w:val="center" w:pos="284"/>
              </w:tabs>
              <w:overflowPunct w:val="0"/>
              <w:autoSpaceDE w:val="0"/>
              <w:autoSpaceDN w:val="0"/>
              <w:adjustRightInd w:val="0"/>
              <w:ind w:left="266" w:hanging="266"/>
              <w:textAlignment w:val="baseline"/>
              <w:rPr>
                <w:b/>
                <w:lang w:val="en-GB"/>
              </w:rPr>
            </w:pPr>
          </w:p>
        </w:tc>
        <w:tc>
          <w:tcPr>
            <w:tcW w:w="6237" w:type="dxa"/>
            <w:gridSpan w:val="2"/>
          </w:tcPr>
          <w:p w14:paraId="2B8E40C1" w14:textId="154F01AC" w:rsidR="00A704FE" w:rsidRPr="00920DBD" w:rsidRDefault="00A704FE" w:rsidP="001D0535">
            <w:pPr>
              <w:tabs>
                <w:tab w:val="center" w:pos="284"/>
              </w:tabs>
              <w:overflowPunct w:val="0"/>
              <w:autoSpaceDE w:val="0"/>
              <w:autoSpaceDN w:val="0"/>
              <w:adjustRightInd w:val="0"/>
              <w:ind w:left="266" w:hanging="266"/>
              <w:textAlignment w:val="baseline"/>
            </w:pPr>
            <w:r>
              <w:t>EESC-2025-02919-00-00-AC</w:t>
            </w:r>
          </w:p>
        </w:tc>
      </w:tr>
    </w:tbl>
    <w:p w14:paraId="2141F935" w14:textId="77777777" w:rsidR="00A704FE" w:rsidRPr="00920DBD" w:rsidRDefault="00A704FE" w:rsidP="00A704FE">
      <w:pPr>
        <w:tabs>
          <w:tab w:val="center" w:pos="284"/>
        </w:tabs>
        <w:overflowPunct w:val="0"/>
        <w:autoSpaceDE w:val="0"/>
        <w:autoSpaceDN w:val="0"/>
        <w:adjustRightInd w:val="0"/>
        <w:ind w:left="266" w:hanging="266"/>
        <w:textAlignment w:val="baseline"/>
        <w:rPr>
          <w:lang w:val="en-GB"/>
        </w:rPr>
      </w:pPr>
    </w:p>
    <w:p w14:paraId="7B022B7C"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rPr>
      </w:pPr>
      <w:r>
        <w:rPr>
          <w:b/>
        </w:rPr>
        <w:t>Punctele principale:</w:t>
      </w:r>
    </w:p>
    <w:p w14:paraId="1D4B2DF5"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lang w:val="en-GB"/>
        </w:rPr>
      </w:pPr>
    </w:p>
    <w:p w14:paraId="682ED7DC" w14:textId="77777777" w:rsidR="00A704FE" w:rsidRPr="00920DBD" w:rsidRDefault="00A704FE" w:rsidP="00A704FE">
      <w:pPr>
        <w:overflowPunct w:val="0"/>
        <w:autoSpaceDE w:val="0"/>
        <w:autoSpaceDN w:val="0"/>
        <w:adjustRightInd w:val="0"/>
        <w:textAlignment w:val="baseline"/>
        <w:rPr>
          <w:bCs/>
          <w:iCs/>
        </w:rPr>
      </w:pPr>
      <w:r>
        <w:t>CESE:</w:t>
      </w:r>
    </w:p>
    <w:p w14:paraId="681BF42D" w14:textId="77777777" w:rsidR="00A704FE" w:rsidRPr="00920DBD" w:rsidRDefault="00A704FE" w:rsidP="00A704FE">
      <w:pPr>
        <w:overflowPunct w:val="0"/>
        <w:autoSpaceDE w:val="0"/>
        <w:autoSpaceDN w:val="0"/>
        <w:adjustRightInd w:val="0"/>
        <w:textAlignment w:val="baseline"/>
        <w:rPr>
          <w:bCs/>
          <w:iCs/>
          <w:lang w:val="en-GB"/>
        </w:rPr>
      </w:pPr>
    </w:p>
    <w:p w14:paraId="137359B6"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rFonts w:asciiTheme="minorHAnsi" w:hAnsiTheme="minorHAnsi"/>
          <w:szCs w:val="20"/>
        </w:rPr>
      </w:pPr>
      <w:r>
        <w:t>subliniază nevoia de avea o structură clară a programului Erasmus+, asigurând o distincție clară în structura programului pentru tineret, pentru educație și formare și pentru sport, cu măsuri și definiții specifice;</w:t>
      </w:r>
    </w:p>
    <w:p w14:paraId="4B455C28" w14:textId="4E378918"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solicită ca minimum 15 % din bugetul total să fie alocat sectorului tineretului și cel puțin 26,2</w:t>
      </w:r>
      <w:r w:rsidR="00623D14">
        <w:t> </w:t>
      </w:r>
      <w:r>
        <w:t>% pentru educația și formarea profesională (EFP);</w:t>
      </w:r>
    </w:p>
    <w:p w14:paraId="3EED377C"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își exprimă îngrijorarea că restructurarea ar putea să reducă vizibilitatea acțiunilor-cheie și susține ideea ca „sprijinul pentru elaborarea de politici” să fie o componentă separată de „cooperare între organizații și instituții”, pentru a promova participarea tinerilor și implicarea democratică;</w:t>
      </w:r>
    </w:p>
    <w:p w14:paraId="2D76586E"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subliniază importanța monitorizării temeinice, guvernanței participative și a protejării identității Corpului european de solidaritate, menținând, în același timp, accesibilitatea acesteia pentru tinerii cu mai puține oportunități;</w:t>
      </w:r>
    </w:p>
    <w:p w14:paraId="302B3945"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solicită ca programul să fie accesibil în afara UE, să se asigure sprijin continuu pentru mobilitatea profesională și să se adreseze țintit grupurilor dezavantajate, în special a tinerilor care nu sunt încadrați profesional și nu urmează niciun program educațional sau de formare (NEET);</w:t>
      </w:r>
    </w:p>
    <w:p w14:paraId="0540E695"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 xml:space="preserve">accentuează necesitatea de a spori impactul socioeconomic al Erasmus+ prin </w:t>
      </w:r>
      <w:proofErr w:type="spellStart"/>
      <w:r>
        <w:t>prioritizarea</w:t>
      </w:r>
      <w:proofErr w:type="spellEnd"/>
      <w:r>
        <w:t xml:space="preserve"> mobilității în scopul învățării, consolidarea finanțării EFP și promovarea cooperării dintre furnizorii de educație și </w:t>
      </w:r>
    </w:p>
    <w:p w14:paraId="25DAA5CB" w14:textId="77777777" w:rsidR="00A704FE" w:rsidRPr="00B417D4" w:rsidRDefault="00A704FE" w:rsidP="002C2DFE">
      <w:pPr>
        <w:pStyle w:val="ListParagraph"/>
        <w:widowControl w:val="0"/>
        <w:numPr>
          <w:ilvl w:val="0"/>
          <w:numId w:val="38"/>
        </w:numPr>
        <w:overflowPunct w:val="0"/>
        <w:autoSpaceDE w:val="0"/>
        <w:autoSpaceDN w:val="0"/>
        <w:adjustRightInd w:val="0"/>
        <w:ind w:left="284" w:hanging="284"/>
        <w:textAlignment w:val="baseline"/>
        <w:rPr>
          <w:szCs w:val="20"/>
        </w:rPr>
      </w:pPr>
      <w:r>
        <w:t>piața forței de muncă pentru a stimula inovarea în furnizarea de competențe.</w:t>
      </w:r>
    </w:p>
    <w:p w14:paraId="1FF5CAF5"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A704FE" w:rsidRPr="00920DBD" w14:paraId="0F38BD4C" w14:textId="77777777" w:rsidTr="00782E41">
        <w:tc>
          <w:tcPr>
            <w:tcW w:w="1701" w:type="dxa"/>
          </w:tcPr>
          <w:p w14:paraId="3377EB6D" w14:textId="77777777" w:rsidR="00A704FE" w:rsidRPr="00920DBD" w:rsidRDefault="00A704FE" w:rsidP="001D0535">
            <w:pPr>
              <w:overflowPunct w:val="0"/>
              <w:autoSpaceDE w:val="0"/>
              <w:autoSpaceDN w:val="0"/>
              <w:adjustRightInd w:val="0"/>
              <w:spacing w:line="240" w:lineRule="auto"/>
              <w:textAlignment w:val="baseline"/>
              <w:rPr>
                <w:i/>
              </w:rPr>
            </w:pPr>
            <w:r>
              <w:rPr>
                <w:b/>
                <w:i/>
              </w:rPr>
              <w:t>Date de contact:</w:t>
            </w:r>
          </w:p>
        </w:tc>
        <w:tc>
          <w:tcPr>
            <w:tcW w:w="5387" w:type="dxa"/>
          </w:tcPr>
          <w:p w14:paraId="1A8F86F2" w14:textId="5FF93B99" w:rsidR="00A704FE" w:rsidRPr="00920DBD" w:rsidRDefault="00A704FE" w:rsidP="001D0535">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00A704FE" w:rsidRPr="00920DBD" w14:paraId="0102873D" w14:textId="77777777" w:rsidTr="00782E41">
        <w:tc>
          <w:tcPr>
            <w:tcW w:w="1701" w:type="dxa"/>
          </w:tcPr>
          <w:p w14:paraId="0EC2B5C0" w14:textId="77777777" w:rsidR="00A704FE" w:rsidRPr="00920DBD" w:rsidRDefault="00A704FE" w:rsidP="001D0535">
            <w:pPr>
              <w:overflowPunct w:val="0"/>
              <w:autoSpaceDE w:val="0"/>
              <w:autoSpaceDN w:val="0"/>
              <w:adjustRightInd w:val="0"/>
              <w:spacing w:line="240" w:lineRule="auto"/>
              <w:textAlignment w:val="baseline"/>
              <w:rPr>
                <w:i/>
              </w:rPr>
            </w:pPr>
            <w:r>
              <w:rPr>
                <w:i/>
              </w:rPr>
              <w:t>Tel.:</w:t>
            </w:r>
          </w:p>
        </w:tc>
        <w:tc>
          <w:tcPr>
            <w:tcW w:w="5387" w:type="dxa"/>
          </w:tcPr>
          <w:p w14:paraId="5EC32F82" w14:textId="77777777" w:rsidR="00A704FE" w:rsidRPr="00920DBD" w:rsidRDefault="00A704FE" w:rsidP="001D0535">
            <w:pPr>
              <w:overflowPunct w:val="0"/>
              <w:autoSpaceDE w:val="0"/>
              <w:autoSpaceDN w:val="0"/>
              <w:adjustRightInd w:val="0"/>
              <w:spacing w:line="240" w:lineRule="auto"/>
              <w:textAlignment w:val="baseline"/>
              <w:rPr>
                <w:i/>
              </w:rPr>
            </w:pPr>
            <w:r>
              <w:rPr>
                <w:i/>
              </w:rPr>
              <w:t>+32 25468774</w:t>
            </w:r>
          </w:p>
        </w:tc>
      </w:tr>
      <w:tr w:rsidR="00A704FE" w:rsidRPr="00920DBD" w14:paraId="2A8BEBC0" w14:textId="77777777" w:rsidTr="00782E41">
        <w:tc>
          <w:tcPr>
            <w:tcW w:w="1701" w:type="dxa"/>
          </w:tcPr>
          <w:p w14:paraId="590AF00C" w14:textId="12FFCE7F" w:rsidR="00A704FE" w:rsidRPr="00920DBD" w:rsidRDefault="00B417D4" w:rsidP="001D0535">
            <w:pPr>
              <w:overflowPunct w:val="0"/>
              <w:autoSpaceDE w:val="0"/>
              <w:autoSpaceDN w:val="0"/>
              <w:adjustRightInd w:val="0"/>
              <w:spacing w:line="240" w:lineRule="auto"/>
              <w:textAlignment w:val="baseline"/>
              <w:rPr>
                <w:i/>
              </w:rPr>
            </w:pPr>
            <w:r>
              <w:rPr>
                <w:i/>
              </w:rPr>
              <w:t>E-mail:</w:t>
            </w:r>
          </w:p>
        </w:tc>
        <w:tc>
          <w:tcPr>
            <w:tcW w:w="5387" w:type="dxa"/>
          </w:tcPr>
          <w:p w14:paraId="13A7E1BE" w14:textId="4E4B2FF3" w:rsidR="00A704FE" w:rsidRPr="00CB6673" w:rsidRDefault="005A1446" w:rsidP="001D0535">
            <w:pPr>
              <w:overflowPunct w:val="0"/>
              <w:autoSpaceDE w:val="0"/>
              <w:autoSpaceDN w:val="0"/>
              <w:adjustRightInd w:val="0"/>
              <w:spacing w:line="240" w:lineRule="auto"/>
              <w:textAlignment w:val="baseline"/>
              <w:rPr>
                <w:i/>
                <w:iCs/>
              </w:rPr>
            </w:pPr>
            <w:hyperlink r:id="rId28" w:history="1">
              <w:r w:rsidR="00CA46B0">
                <w:rPr>
                  <w:rStyle w:val="Hyperlink"/>
                  <w:i/>
                </w:rPr>
                <w:t>Valeria.Atzori@eesc.europa.eu</w:t>
              </w:r>
            </w:hyperlink>
          </w:p>
        </w:tc>
      </w:tr>
    </w:tbl>
    <w:p w14:paraId="78D22D46" w14:textId="324872EF" w:rsidR="00AC3091" w:rsidRDefault="00AC3091" w:rsidP="004D7AC0">
      <w:pPr>
        <w:pStyle w:val="ListParagraph"/>
        <w:ind w:left="0"/>
      </w:pPr>
    </w:p>
    <w:p w14:paraId="206E0E39" w14:textId="77777777" w:rsidR="00AC3091" w:rsidRDefault="00AC3091">
      <w:pPr>
        <w:spacing w:after="160" w:line="259" w:lineRule="auto"/>
        <w:jc w:val="left"/>
      </w:pPr>
      <w:r>
        <w:br w:type="page"/>
      </w:r>
    </w:p>
    <w:p w14:paraId="41EFFA0F" w14:textId="7AA19BA6" w:rsidR="00E630B2" w:rsidRPr="00E630B2" w:rsidRDefault="005A1446" w:rsidP="00A704FE">
      <w:pPr>
        <w:widowControl w:val="0"/>
        <w:numPr>
          <w:ilvl w:val="0"/>
          <w:numId w:val="14"/>
        </w:numPr>
        <w:overflowPunct w:val="0"/>
        <w:autoSpaceDE w:val="0"/>
        <w:autoSpaceDN w:val="0"/>
        <w:adjustRightInd w:val="0"/>
        <w:ind w:hanging="567"/>
        <w:textAlignment w:val="baseline"/>
        <w:rPr>
          <w:b/>
          <w:bCs/>
          <w:i/>
          <w:iCs/>
          <w:sz w:val="28"/>
          <w:szCs w:val="28"/>
        </w:rPr>
      </w:pPr>
      <w:hyperlink r:id="rId29" w:history="1">
        <w:r w:rsidR="00CA46B0">
          <w:rPr>
            <w:b/>
            <w:i/>
            <w:color w:val="0000FF"/>
            <w:sz w:val="28"/>
            <w:u w:val="single"/>
          </w:rPr>
          <w:t>Instituirea Fondului social european ca parte a planului de parteneriat național și regional</w:t>
        </w:r>
      </w:hyperlink>
    </w:p>
    <w:p w14:paraId="2E58FAA6" w14:textId="77777777" w:rsidR="00E630B2" w:rsidRPr="00E630B2" w:rsidRDefault="00E630B2" w:rsidP="00E630B2">
      <w:pPr>
        <w:tabs>
          <w:tab w:val="center" w:pos="284"/>
        </w:tabs>
        <w:overflowPunct w:val="0"/>
        <w:autoSpaceDE w:val="0"/>
        <w:autoSpaceDN w:val="0"/>
        <w:adjustRightInd w:val="0"/>
        <w:ind w:left="266" w:hanging="266"/>
        <w:textAlignment w:val="baseline"/>
        <w:rPr>
          <w:b/>
          <w:lang w:val="en-GB"/>
        </w:rPr>
      </w:pPr>
    </w:p>
    <w:tbl>
      <w:tblPr>
        <w:tblStyle w:val="TableGrid6"/>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E630B2" w:rsidRPr="00E630B2" w14:paraId="3FD5DD9D" w14:textId="77777777" w:rsidTr="00E630B2">
        <w:tc>
          <w:tcPr>
            <w:tcW w:w="1321" w:type="pct"/>
          </w:tcPr>
          <w:p w14:paraId="26948D0B" w14:textId="77777777" w:rsidR="00E630B2" w:rsidRPr="00E630B2" w:rsidRDefault="00E630B2" w:rsidP="00E630B2">
            <w:pPr>
              <w:overflowPunct w:val="0"/>
              <w:autoSpaceDE w:val="0"/>
              <w:autoSpaceDN w:val="0"/>
              <w:adjustRightInd w:val="0"/>
              <w:ind w:left="-113"/>
              <w:textAlignment w:val="baseline"/>
              <w:rPr>
                <w:b/>
              </w:rPr>
            </w:pPr>
            <w:r>
              <w:rPr>
                <w:b/>
              </w:rPr>
              <w:t xml:space="preserve">Raportoare: </w:t>
            </w:r>
          </w:p>
        </w:tc>
        <w:tc>
          <w:tcPr>
            <w:tcW w:w="3679" w:type="pct"/>
          </w:tcPr>
          <w:p w14:paraId="2BF3B790" w14:textId="552F377E" w:rsidR="00E630B2" w:rsidRPr="00E630B2" w:rsidRDefault="00E630B2" w:rsidP="00E630B2">
            <w:pPr>
              <w:overflowPunct w:val="0"/>
              <w:autoSpaceDE w:val="0"/>
              <w:autoSpaceDN w:val="0"/>
              <w:adjustRightInd w:val="0"/>
              <w:ind w:left="-113"/>
              <w:textAlignment w:val="baseline"/>
            </w:pPr>
            <w:proofErr w:type="spellStart"/>
            <w:r>
              <w:t>Nicoletta</w:t>
            </w:r>
            <w:proofErr w:type="spellEnd"/>
            <w:r>
              <w:t xml:space="preserve"> MERLO (Grupul „Lucrători” – IT)</w:t>
            </w:r>
          </w:p>
        </w:tc>
      </w:tr>
      <w:tr w:rsidR="00E630B2" w:rsidRPr="00E630B2" w14:paraId="42A7B455" w14:textId="77777777" w:rsidTr="00E630B2">
        <w:tc>
          <w:tcPr>
            <w:tcW w:w="5000" w:type="pct"/>
            <w:gridSpan w:val="2"/>
          </w:tcPr>
          <w:p w14:paraId="0AA3A2C2" w14:textId="77777777" w:rsidR="00E630B2" w:rsidRPr="00E630B2" w:rsidRDefault="00E630B2" w:rsidP="00E630B2">
            <w:pPr>
              <w:overflowPunct w:val="0"/>
              <w:autoSpaceDE w:val="0"/>
              <w:autoSpaceDN w:val="0"/>
              <w:adjustRightInd w:val="0"/>
              <w:spacing w:line="160" w:lineRule="exact"/>
              <w:ind w:left="-113"/>
              <w:textAlignment w:val="baseline"/>
            </w:pPr>
          </w:p>
        </w:tc>
      </w:tr>
      <w:tr w:rsidR="00E630B2" w:rsidRPr="00E630B2" w14:paraId="5F9B3284" w14:textId="77777777" w:rsidTr="00E630B2">
        <w:tc>
          <w:tcPr>
            <w:tcW w:w="1321" w:type="pct"/>
            <w:vMerge w:val="restart"/>
          </w:tcPr>
          <w:p w14:paraId="36BE0223" w14:textId="77777777" w:rsidR="00E630B2" w:rsidRPr="00E630B2" w:rsidRDefault="00E630B2" w:rsidP="00E630B2">
            <w:pPr>
              <w:overflowPunct w:val="0"/>
              <w:autoSpaceDE w:val="0"/>
              <w:autoSpaceDN w:val="0"/>
              <w:adjustRightInd w:val="0"/>
              <w:ind w:left="-113"/>
              <w:textAlignment w:val="baseline"/>
              <w:rPr>
                <w:b/>
              </w:rPr>
            </w:pPr>
            <w:r>
              <w:rPr>
                <w:b/>
              </w:rPr>
              <w:t>Referințe:</w:t>
            </w:r>
          </w:p>
        </w:tc>
        <w:tc>
          <w:tcPr>
            <w:tcW w:w="3679" w:type="pct"/>
          </w:tcPr>
          <w:p w14:paraId="79EA1053" w14:textId="3EA6A6A6" w:rsidR="00E60037" w:rsidRDefault="0075452F" w:rsidP="00E630B2">
            <w:pPr>
              <w:overflowPunct w:val="0"/>
              <w:autoSpaceDE w:val="0"/>
              <w:autoSpaceDN w:val="0"/>
              <w:adjustRightInd w:val="0"/>
              <w:ind w:left="-113"/>
              <w:textAlignment w:val="baseline"/>
            </w:pPr>
            <w:r>
              <w:t>COM(2025) 558 final</w:t>
            </w:r>
          </w:p>
          <w:p w14:paraId="3264C9B7" w14:textId="0F70B6D7" w:rsidR="00E630B2" w:rsidRPr="00E630B2" w:rsidRDefault="00E630B2" w:rsidP="00E630B2">
            <w:pPr>
              <w:overflowPunct w:val="0"/>
              <w:autoSpaceDE w:val="0"/>
              <w:autoSpaceDN w:val="0"/>
              <w:adjustRightInd w:val="0"/>
              <w:ind w:left="-113"/>
              <w:textAlignment w:val="baseline"/>
            </w:pPr>
            <w:r>
              <w:t>EESC-2025-03058-00-00-AC</w:t>
            </w:r>
          </w:p>
        </w:tc>
      </w:tr>
      <w:tr w:rsidR="00E630B2" w:rsidRPr="00E630B2" w14:paraId="2FF81116" w14:textId="77777777" w:rsidTr="00E630B2">
        <w:tc>
          <w:tcPr>
            <w:tcW w:w="1321" w:type="pct"/>
            <w:vMerge/>
          </w:tcPr>
          <w:p w14:paraId="5FEDE544" w14:textId="77777777" w:rsidR="00E630B2" w:rsidRPr="00E630B2" w:rsidRDefault="00E630B2" w:rsidP="00E630B2">
            <w:pPr>
              <w:tabs>
                <w:tab w:val="center" w:pos="284"/>
              </w:tabs>
              <w:overflowPunct w:val="0"/>
              <w:autoSpaceDE w:val="0"/>
              <w:autoSpaceDN w:val="0"/>
              <w:adjustRightInd w:val="0"/>
              <w:ind w:left="266" w:hanging="266"/>
              <w:textAlignment w:val="baseline"/>
              <w:rPr>
                <w:b/>
              </w:rPr>
            </w:pPr>
          </w:p>
        </w:tc>
        <w:tc>
          <w:tcPr>
            <w:tcW w:w="3679" w:type="pct"/>
          </w:tcPr>
          <w:p w14:paraId="44815072" w14:textId="77777777" w:rsidR="00E630B2" w:rsidRPr="00E630B2" w:rsidRDefault="00E630B2" w:rsidP="00E630B2">
            <w:pPr>
              <w:tabs>
                <w:tab w:val="center" w:pos="284"/>
              </w:tabs>
              <w:overflowPunct w:val="0"/>
              <w:autoSpaceDE w:val="0"/>
              <w:autoSpaceDN w:val="0"/>
              <w:adjustRightInd w:val="0"/>
              <w:ind w:left="266" w:hanging="266"/>
              <w:textAlignment w:val="baseline"/>
            </w:pPr>
          </w:p>
        </w:tc>
      </w:tr>
    </w:tbl>
    <w:p w14:paraId="5AB45381"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rPr>
      </w:pPr>
      <w:r>
        <w:rPr>
          <w:b/>
        </w:rPr>
        <w:t>Punctele principale:</w:t>
      </w:r>
    </w:p>
    <w:p w14:paraId="52F465E3"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sz w:val="16"/>
          <w:szCs w:val="16"/>
          <w:lang w:val="en-GB"/>
        </w:rPr>
      </w:pPr>
    </w:p>
    <w:p w14:paraId="04F59022" w14:textId="77777777" w:rsidR="00E630B2" w:rsidRPr="00E630B2" w:rsidRDefault="00E630B2" w:rsidP="00E630B2">
      <w:pPr>
        <w:overflowPunct w:val="0"/>
        <w:autoSpaceDE w:val="0"/>
        <w:autoSpaceDN w:val="0"/>
        <w:adjustRightInd w:val="0"/>
        <w:textAlignment w:val="baseline"/>
        <w:rPr>
          <w:bCs/>
          <w:iCs/>
        </w:rPr>
      </w:pPr>
      <w:r>
        <w:t>CESE:</w:t>
      </w:r>
    </w:p>
    <w:p w14:paraId="5BA71395" w14:textId="77777777" w:rsidR="00E630B2" w:rsidRPr="00E630B2" w:rsidRDefault="00E630B2" w:rsidP="00E630B2">
      <w:pPr>
        <w:overflowPunct w:val="0"/>
        <w:autoSpaceDE w:val="0"/>
        <w:autoSpaceDN w:val="0"/>
        <w:adjustRightInd w:val="0"/>
        <w:textAlignment w:val="baseline"/>
        <w:rPr>
          <w:bCs/>
          <w:iCs/>
        </w:rPr>
      </w:pPr>
    </w:p>
    <w:p w14:paraId="33A733EA"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solicită majorarea cheltuielilor sociale în cadrul planurilor de parteneriat național și regional (PPNR) de la 14 % la 20 %, alocând Fondului social european (FSE) cel puțin 14 %, pentru a consolida dimensiunea socială a UE;</w:t>
      </w:r>
    </w:p>
    <w:p w14:paraId="307F6A5B"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insistă asupra menținerii structurii distincte a FSE prin programe naționale și regionale obligatorii, pentru a proteja valoarea sa adăugată;</w:t>
      </w:r>
    </w:p>
    <w:p w14:paraId="231FF070"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îndeamnă la simplificarea substanțială a procedurilor FSE și la consolidarea capacității administrative pentru a îmbunătăți accesibilitatea și punerea în aplicare a fondurilor;</w:t>
      </w:r>
    </w:p>
    <w:p w14:paraId="1B57C830" w14:textId="77777777" w:rsidR="00E630B2" w:rsidRPr="00E630B2" w:rsidRDefault="00E630B2" w:rsidP="00782E41">
      <w:pPr>
        <w:numPr>
          <w:ilvl w:val="0"/>
          <w:numId w:val="39"/>
        </w:numPr>
        <w:overflowPunct w:val="0"/>
        <w:autoSpaceDE w:val="0"/>
        <w:autoSpaceDN w:val="0"/>
        <w:adjustRightInd w:val="0"/>
        <w:spacing w:after="200" w:line="276" w:lineRule="auto"/>
        <w:ind w:left="284" w:hanging="284"/>
        <w:contextualSpacing/>
        <w:textAlignment w:val="baseline"/>
      </w:pPr>
      <w:r>
        <w:t>solicită alocarea a cel puțin 1 % din resursele FSE pentru consolidarea capacităților partenerilor sociali și ale organizațiilor societății civile, atât la nivel regional, cât și la nivel național;</w:t>
      </w:r>
    </w:p>
    <w:p w14:paraId="11A7A891"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solicită implicarea semnificativă și continuă a partenerilor sociali și a societății civile, inclusiv drepturi depline de vot în comitetele de monitorizare;</w:t>
      </w:r>
    </w:p>
    <w:p w14:paraId="67FA6EF5"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reafirmă importanța guvernanței pe mai multe niveluri și a angajamentului regional direct cu Comisia pentru a menține o dimensiune teritorială puternică a FSE;</w:t>
      </w:r>
    </w:p>
    <w:p w14:paraId="0D7F9442"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sprijină complementarități mai mari între fondurile UE, în special prin abordări solide bazate pe fonduri multiple între FSE și Fondul european de dezvoltare regională (FEDR);</w:t>
      </w:r>
    </w:p>
    <w:p w14:paraId="726766FD"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solicită investiții majore în educație, formare și învățare pe tot parcursul vieții, cu un accent puternic pe STIM (știință, tehnologie, inginerie și matematică), pe competențele verzi și digitale;</w:t>
      </w:r>
    </w:p>
    <w:p w14:paraId="03E6EEE6"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solicită alocarea unei cote de cel puțin 20 % din resursele FSE pentru a finanța punerea în aplicare a Garanției pentru tineret consolidate și pentru a sprijini ocuparea forței de muncă de calitate în rândul tinerilor;</w:t>
      </w:r>
    </w:p>
    <w:p w14:paraId="4D67B21D"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solicită majorarea de la 25 % la 30 % a investițiilor în incluziunea socială, reducerea sărăciei și serviciile sociale de înaltă calitate, inclusiv în îngrijirea în comunitate și în locuințele la prețuri accesibile;</w:t>
      </w:r>
    </w:p>
    <w:p w14:paraId="1E28E418"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insistă asupra unei comunicări și a unei informări mai clare și mai accesibile cu privire la FSE, pentru a garanta că cetățenii și părțile interesate înțeleg oportunitățile de care dispun.</w:t>
      </w:r>
    </w:p>
    <w:p w14:paraId="21C3333A" w14:textId="77777777" w:rsidR="00E630B2" w:rsidRPr="00E630B2" w:rsidRDefault="00E630B2" w:rsidP="00E630B2">
      <w:pPr>
        <w:spacing w:after="200" w:line="276" w:lineRule="auto"/>
        <w:ind w:left="720"/>
        <w:contextualSpacing/>
        <w:rPr>
          <w:lang w:val="en-GB" w:eastAsia="zh-CN"/>
        </w:rPr>
      </w:pPr>
    </w:p>
    <w:tbl>
      <w:tblPr>
        <w:tblStyle w:val="TableGrid6"/>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E630B2" w:rsidRPr="00E630B2" w14:paraId="17118015" w14:textId="77777777" w:rsidTr="00E630B2">
        <w:tc>
          <w:tcPr>
            <w:tcW w:w="1556" w:type="pct"/>
          </w:tcPr>
          <w:p w14:paraId="58910EFC" w14:textId="77777777" w:rsidR="00E630B2" w:rsidRPr="00E630B2" w:rsidRDefault="00E630B2" w:rsidP="00E630B2">
            <w:pPr>
              <w:overflowPunct w:val="0"/>
              <w:autoSpaceDE w:val="0"/>
              <w:autoSpaceDN w:val="0"/>
              <w:adjustRightInd w:val="0"/>
              <w:spacing w:line="240" w:lineRule="auto"/>
              <w:textAlignment w:val="baseline"/>
              <w:rPr>
                <w:i/>
              </w:rPr>
            </w:pPr>
            <w:r>
              <w:rPr>
                <w:b/>
                <w:i/>
              </w:rPr>
              <w:t>Date de contact:</w:t>
            </w:r>
          </w:p>
        </w:tc>
        <w:tc>
          <w:tcPr>
            <w:tcW w:w="3444" w:type="pct"/>
          </w:tcPr>
          <w:p w14:paraId="4FF8CE5C" w14:textId="20F5701F" w:rsidR="00E630B2" w:rsidRPr="00E630B2" w:rsidRDefault="00E630B2" w:rsidP="00E630B2">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00E630B2" w:rsidRPr="00E630B2" w14:paraId="329A745D" w14:textId="77777777" w:rsidTr="00E630B2">
        <w:tc>
          <w:tcPr>
            <w:tcW w:w="1556" w:type="pct"/>
          </w:tcPr>
          <w:p w14:paraId="156B653F" w14:textId="77777777" w:rsidR="00E630B2" w:rsidRPr="00E630B2" w:rsidRDefault="00E630B2" w:rsidP="00E630B2">
            <w:pPr>
              <w:overflowPunct w:val="0"/>
              <w:autoSpaceDE w:val="0"/>
              <w:autoSpaceDN w:val="0"/>
              <w:adjustRightInd w:val="0"/>
              <w:spacing w:line="240" w:lineRule="auto"/>
              <w:textAlignment w:val="baseline"/>
              <w:rPr>
                <w:i/>
              </w:rPr>
            </w:pPr>
            <w:r>
              <w:rPr>
                <w:i/>
              </w:rPr>
              <w:t>Tel.:</w:t>
            </w:r>
          </w:p>
        </w:tc>
        <w:tc>
          <w:tcPr>
            <w:tcW w:w="3444" w:type="pct"/>
          </w:tcPr>
          <w:p w14:paraId="5417DD87" w14:textId="72231651" w:rsidR="00E630B2" w:rsidRPr="00E630B2" w:rsidRDefault="00E630B2" w:rsidP="00E630B2">
            <w:pPr>
              <w:overflowPunct w:val="0"/>
              <w:autoSpaceDE w:val="0"/>
              <w:autoSpaceDN w:val="0"/>
              <w:adjustRightInd w:val="0"/>
              <w:spacing w:line="240" w:lineRule="auto"/>
              <w:textAlignment w:val="baseline"/>
              <w:rPr>
                <w:i/>
              </w:rPr>
            </w:pPr>
            <w:r>
              <w:rPr>
                <w:i/>
              </w:rPr>
              <w:t>+32 25469229</w:t>
            </w:r>
          </w:p>
        </w:tc>
      </w:tr>
      <w:tr w:rsidR="00E630B2" w:rsidRPr="00E630B2" w14:paraId="433D9DD8" w14:textId="77777777" w:rsidTr="00E630B2">
        <w:tc>
          <w:tcPr>
            <w:tcW w:w="1556" w:type="pct"/>
          </w:tcPr>
          <w:p w14:paraId="6A6ED1F9" w14:textId="471C14D1" w:rsidR="00E630B2" w:rsidRPr="00E630B2" w:rsidRDefault="00B22D81" w:rsidP="00E630B2">
            <w:pPr>
              <w:overflowPunct w:val="0"/>
              <w:autoSpaceDE w:val="0"/>
              <w:autoSpaceDN w:val="0"/>
              <w:adjustRightInd w:val="0"/>
              <w:spacing w:line="240" w:lineRule="auto"/>
              <w:textAlignment w:val="baseline"/>
              <w:rPr>
                <w:i/>
              </w:rPr>
            </w:pPr>
            <w:r>
              <w:rPr>
                <w:i/>
              </w:rPr>
              <w:t>E-mail:</w:t>
            </w:r>
          </w:p>
        </w:tc>
        <w:tc>
          <w:tcPr>
            <w:tcW w:w="3444" w:type="pct"/>
          </w:tcPr>
          <w:p w14:paraId="387A3485" w14:textId="77777777" w:rsidR="00E630B2" w:rsidRPr="00E630B2" w:rsidRDefault="005A1446" w:rsidP="00E630B2">
            <w:pPr>
              <w:overflowPunct w:val="0"/>
              <w:autoSpaceDE w:val="0"/>
              <w:autoSpaceDN w:val="0"/>
              <w:adjustRightInd w:val="0"/>
              <w:spacing w:line="240" w:lineRule="auto"/>
              <w:textAlignment w:val="baseline"/>
              <w:rPr>
                <w:i/>
              </w:rPr>
            </w:pPr>
            <w:hyperlink r:id="rId30" w:history="1">
              <w:r w:rsidR="00CA46B0">
                <w:rPr>
                  <w:i/>
                  <w:color w:val="0000FF"/>
                  <w:u w:val="single"/>
                </w:rPr>
                <w:t>Bartek.Bednarowicz@eesc.europa.eu</w:t>
              </w:r>
            </w:hyperlink>
          </w:p>
        </w:tc>
      </w:tr>
    </w:tbl>
    <w:p w14:paraId="2E0FE171" w14:textId="77777777" w:rsidR="004D7AC0" w:rsidRPr="00803CA6" w:rsidRDefault="004D7AC0" w:rsidP="004D7AC0">
      <w:pPr>
        <w:pStyle w:val="ListParagraph"/>
        <w:ind w:left="0"/>
      </w:pPr>
    </w:p>
    <w:p w14:paraId="4982DDC5" w14:textId="77777777" w:rsidR="004D7AC0" w:rsidRDefault="004D7AC0" w:rsidP="004D7AC0">
      <w:pPr>
        <w:spacing w:after="160" w:line="259" w:lineRule="auto"/>
        <w:jc w:val="left"/>
      </w:pPr>
      <w:r>
        <w:br w:type="page"/>
      </w:r>
    </w:p>
    <w:p w14:paraId="4982DDC6" w14:textId="77777777" w:rsidR="004D7AC0" w:rsidRDefault="004D7AC0" w:rsidP="004D7AC0">
      <w:pPr>
        <w:pStyle w:val="Heading1"/>
        <w:rPr>
          <w:b/>
        </w:rPr>
      </w:pPr>
      <w:bookmarkStart w:id="39" w:name="_Toc24617160"/>
      <w:bookmarkStart w:id="40" w:name="_Toc75527082"/>
      <w:bookmarkStart w:id="41" w:name="_Toc221268013"/>
      <w:r>
        <w:rPr>
          <w:b/>
        </w:rPr>
        <w:lastRenderedPageBreak/>
        <w:t>SECȚIUNEA PENTRU TRANSPORTURI, ENERGIE, INFRASTRUCTURĂ ȘI SOCIETATEA INFORMAȚIONALĂ</w:t>
      </w:r>
      <w:bookmarkEnd w:id="39"/>
      <w:bookmarkEnd w:id="40"/>
      <w:bookmarkEnd w:id="41"/>
    </w:p>
    <w:p w14:paraId="4982DDC7" w14:textId="77777777" w:rsidR="004D7AC0" w:rsidRDefault="004D7AC0" w:rsidP="004D7AC0"/>
    <w:p w14:paraId="518A782B" w14:textId="1B576547" w:rsidR="00643832" w:rsidRPr="00643832" w:rsidRDefault="005A1446" w:rsidP="00A704FE">
      <w:pPr>
        <w:widowControl w:val="0"/>
        <w:numPr>
          <w:ilvl w:val="0"/>
          <w:numId w:val="14"/>
        </w:numPr>
        <w:overflowPunct w:val="0"/>
        <w:autoSpaceDE w:val="0"/>
        <w:autoSpaceDN w:val="0"/>
        <w:adjustRightInd w:val="0"/>
        <w:ind w:hanging="567"/>
        <w:textAlignment w:val="baseline"/>
        <w:rPr>
          <w:sz w:val="20"/>
          <w:szCs w:val="20"/>
        </w:rPr>
      </w:pPr>
      <w:hyperlink r:id="rId31" w:history="1">
        <w:r w:rsidR="00CA46B0">
          <w:rPr>
            <w:b/>
            <w:i/>
            <w:color w:val="0000FF"/>
            <w:sz w:val="28"/>
            <w:u w:val="single"/>
          </w:rPr>
          <w:t>Acordul bilateral privind transportul rutier încheiat între Austria și Elveția</w:t>
        </w:r>
      </w:hyperlink>
    </w:p>
    <w:p w14:paraId="020BB0CF" w14:textId="77777777" w:rsidR="006F3BD2" w:rsidRPr="00643832" w:rsidRDefault="006F3BD2" w:rsidP="00643832">
      <w:pPr>
        <w:widowControl w:val="0"/>
        <w:overflowPunct w:val="0"/>
        <w:autoSpaceDE w:val="0"/>
        <w:autoSpaceDN w:val="0"/>
        <w:adjustRightInd w:val="0"/>
        <w:ind w:left="567"/>
        <w:textAlignment w:val="baseline"/>
        <w:rPr>
          <w:sz w:val="20"/>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43832" w:rsidRPr="00643832" w14:paraId="4797925C" w14:textId="77777777" w:rsidTr="0022396F">
        <w:tc>
          <w:tcPr>
            <w:tcW w:w="1701" w:type="dxa"/>
          </w:tcPr>
          <w:p w14:paraId="15FD7E44" w14:textId="77777777" w:rsidR="00643832" w:rsidRPr="00643832" w:rsidRDefault="00643832" w:rsidP="00643832">
            <w:pPr>
              <w:tabs>
                <w:tab w:val="center" w:pos="284"/>
              </w:tabs>
              <w:overflowPunct w:val="0"/>
              <w:autoSpaceDE w:val="0"/>
              <w:autoSpaceDN w:val="0"/>
              <w:adjustRightInd w:val="0"/>
              <w:ind w:left="596" w:hanging="709"/>
              <w:textAlignment w:val="baseline"/>
              <w:rPr>
                <w:b/>
              </w:rPr>
            </w:pPr>
            <w:r>
              <w:rPr>
                <w:b/>
              </w:rPr>
              <w:t>Referințe:</w:t>
            </w:r>
          </w:p>
        </w:tc>
        <w:tc>
          <w:tcPr>
            <w:tcW w:w="7621" w:type="dxa"/>
          </w:tcPr>
          <w:p w14:paraId="38E1C035" w14:textId="77777777" w:rsidR="00643832" w:rsidRPr="00643832" w:rsidRDefault="00643832" w:rsidP="00643832">
            <w:pPr>
              <w:tabs>
                <w:tab w:val="center" w:pos="284"/>
              </w:tabs>
              <w:overflowPunct w:val="0"/>
              <w:autoSpaceDE w:val="0"/>
              <w:autoSpaceDN w:val="0"/>
              <w:adjustRightInd w:val="0"/>
              <w:ind w:left="720" w:hanging="720"/>
              <w:textAlignment w:val="baseline"/>
              <w:rPr>
                <w:bCs/>
              </w:rPr>
            </w:pPr>
            <w:r>
              <w:t>aviz de categoria C</w:t>
            </w:r>
          </w:p>
        </w:tc>
      </w:tr>
      <w:tr w:rsidR="00643832" w:rsidRPr="00643832" w14:paraId="3DF52029" w14:textId="77777777" w:rsidTr="0022396F">
        <w:tc>
          <w:tcPr>
            <w:tcW w:w="1701" w:type="dxa"/>
          </w:tcPr>
          <w:p w14:paraId="1CD6BCD9" w14:textId="77777777" w:rsidR="00643832" w:rsidRPr="00643832" w:rsidRDefault="00643832" w:rsidP="00643832">
            <w:pPr>
              <w:tabs>
                <w:tab w:val="center" w:pos="284"/>
              </w:tabs>
              <w:overflowPunct w:val="0"/>
              <w:autoSpaceDE w:val="0"/>
              <w:autoSpaceDN w:val="0"/>
              <w:adjustRightInd w:val="0"/>
              <w:ind w:left="596" w:hanging="709"/>
              <w:textAlignment w:val="baseline"/>
              <w:rPr>
                <w:b/>
                <w:lang w:val="en-GB"/>
              </w:rPr>
            </w:pPr>
          </w:p>
        </w:tc>
        <w:tc>
          <w:tcPr>
            <w:tcW w:w="7621" w:type="dxa"/>
          </w:tcPr>
          <w:p w14:paraId="75179A1C" w14:textId="02D515FC" w:rsidR="00643832" w:rsidRPr="00643832" w:rsidRDefault="00643832" w:rsidP="00643832">
            <w:pPr>
              <w:tabs>
                <w:tab w:val="center" w:pos="284"/>
              </w:tabs>
              <w:overflowPunct w:val="0"/>
              <w:autoSpaceDE w:val="0"/>
              <w:autoSpaceDN w:val="0"/>
              <w:adjustRightInd w:val="0"/>
              <w:ind w:left="720" w:hanging="720"/>
              <w:textAlignment w:val="baseline"/>
              <w:rPr>
                <w:bCs/>
              </w:rPr>
            </w:pPr>
            <w:r>
              <w:t>COM(2025) 773 final</w:t>
            </w:r>
          </w:p>
          <w:p w14:paraId="258016BD" w14:textId="43B91912" w:rsidR="00643832" w:rsidRPr="00643832" w:rsidRDefault="00643832" w:rsidP="00643832">
            <w:pPr>
              <w:tabs>
                <w:tab w:val="center" w:pos="284"/>
              </w:tabs>
              <w:overflowPunct w:val="0"/>
              <w:autoSpaceDE w:val="0"/>
              <w:autoSpaceDN w:val="0"/>
              <w:adjustRightInd w:val="0"/>
              <w:ind w:left="720" w:hanging="720"/>
              <w:textAlignment w:val="baseline"/>
            </w:pPr>
            <w:r>
              <w:t>EESC-2026-00125-00-00-AC</w:t>
            </w:r>
          </w:p>
        </w:tc>
      </w:tr>
    </w:tbl>
    <w:p w14:paraId="5587D431" w14:textId="77777777" w:rsidR="00643832" w:rsidRPr="00643832" w:rsidRDefault="00643832" w:rsidP="002C2DFE">
      <w:pPr>
        <w:keepNext/>
        <w:keepLines/>
        <w:tabs>
          <w:tab w:val="center" w:pos="284"/>
        </w:tabs>
        <w:overflowPunct w:val="0"/>
        <w:autoSpaceDE w:val="0"/>
        <w:autoSpaceDN w:val="0"/>
        <w:adjustRightInd w:val="0"/>
        <w:ind w:left="720" w:hanging="720"/>
        <w:textAlignment w:val="baseline"/>
        <w:rPr>
          <w:szCs w:val="20"/>
          <w:lang w:val="en-GB"/>
        </w:rPr>
      </w:pPr>
    </w:p>
    <w:p w14:paraId="56E44825" w14:textId="3B38B90F" w:rsidR="00643832" w:rsidRPr="00CB6673" w:rsidRDefault="00643832" w:rsidP="002C2DFE">
      <w:pPr>
        <w:numPr>
          <w:ilvl w:val="0"/>
          <w:numId w:val="40"/>
        </w:numPr>
        <w:overflowPunct w:val="0"/>
        <w:autoSpaceDE w:val="0"/>
        <w:autoSpaceDN w:val="0"/>
        <w:adjustRightInd w:val="0"/>
        <w:ind w:left="284" w:hanging="284"/>
        <w:contextualSpacing/>
        <w:textAlignment w:val="baseline"/>
        <w:rPr>
          <w:szCs w:val="20"/>
        </w:rPr>
      </w:pPr>
      <w:r>
        <w:t>Întrucât, în opinia sa, conținutul propunerii este satisfăcător, iar acesta a făcut deja obiectul avizului său „Acorduri bilaterale privind transportul rutier între Elveția și Germania și între Elveția și Italia” (</w:t>
      </w:r>
      <w:hyperlink r:id="rId32" w:history="1">
        <w:r>
          <w:rPr>
            <w:color w:val="0000FF"/>
            <w:u w:val="single"/>
          </w:rPr>
          <w:t>JO C 14, 15.1.2020, p. 118</w:t>
        </w:r>
      </w:hyperlink>
      <w:r>
        <w:t>), adoptat la 25 septembrie 2019, Comitetul a hotărât să emită un aviz favorabil cu privire la textul propus și să facă trimitere la poziția pe care a susținut-o în documentul menționat anterior.</w:t>
      </w:r>
    </w:p>
    <w:p w14:paraId="0EB0A64F" w14:textId="77777777" w:rsidR="00643832" w:rsidRPr="00643832" w:rsidRDefault="00643832" w:rsidP="00643832">
      <w:pPr>
        <w:widowControl w:val="0"/>
        <w:overflowPunct w:val="0"/>
        <w:autoSpaceDE w:val="0"/>
        <w:autoSpaceDN w:val="0"/>
        <w:adjustRightInd w:val="0"/>
        <w:ind w:left="720" w:hanging="720"/>
        <w:textAlignment w:val="baseline"/>
        <w:rPr>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7719"/>
      </w:tblGrid>
      <w:tr w:rsidR="00643832" w:rsidRPr="00643832" w14:paraId="2DE8E1BB" w14:textId="77777777" w:rsidTr="0022396F">
        <w:tc>
          <w:tcPr>
            <w:tcW w:w="1418" w:type="dxa"/>
          </w:tcPr>
          <w:p w14:paraId="29E8E9A3" w14:textId="77777777" w:rsidR="00643832" w:rsidRPr="00643832" w:rsidRDefault="00643832" w:rsidP="00643832">
            <w:pPr>
              <w:overflowPunct w:val="0"/>
              <w:autoSpaceDE w:val="0"/>
              <w:autoSpaceDN w:val="0"/>
              <w:adjustRightInd w:val="0"/>
              <w:ind w:left="720" w:hanging="720"/>
              <w:textAlignment w:val="baseline"/>
              <w:rPr>
                <w:i/>
              </w:rPr>
            </w:pPr>
            <w:r>
              <w:rPr>
                <w:b/>
                <w:i/>
              </w:rPr>
              <w:t>Date de contact:</w:t>
            </w:r>
          </w:p>
        </w:tc>
        <w:tc>
          <w:tcPr>
            <w:tcW w:w="7904" w:type="dxa"/>
          </w:tcPr>
          <w:p w14:paraId="6757C9E2" w14:textId="2EA26CCE" w:rsidR="00643832" w:rsidRPr="00643832" w:rsidRDefault="00643832" w:rsidP="00643832">
            <w:pPr>
              <w:overflowPunct w:val="0"/>
              <w:autoSpaceDE w:val="0"/>
              <w:autoSpaceDN w:val="0"/>
              <w:adjustRightInd w:val="0"/>
              <w:ind w:left="720" w:hanging="720"/>
              <w:textAlignment w:val="baseline"/>
              <w:rPr>
                <w:i/>
              </w:rPr>
            </w:pPr>
            <w:proofErr w:type="spellStart"/>
            <w:r>
              <w:rPr>
                <w:i/>
              </w:rPr>
              <w:t>Aleksandra</w:t>
            </w:r>
            <w:proofErr w:type="spellEnd"/>
            <w:r>
              <w:rPr>
                <w:i/>
              </w:rPr>
              <w:t xml:space="preserve"> </w:t>
            </w:r>
            <w:proofErr w:type="spellStart"/>
            <w:r>
              <w:rPr>
                <w:i/>
              </w:rPr>
              <w:t>Šarman</w:t>
            </w:r>
            <w:proofErr w:type="spellEnd"/>
            <w:r>
              <w:rPr>
                <w:i/>
              </w:rPr>
              <w:t xml:space="preserve"> </w:t>
            </w:r>
            <w:proofErr w:type="spellStart"/>
            <w:r>
              <w:rPr>
                <w:i/>
              </w:rPr>
              <w:t>Grilc</w:t>
            </w:r>
            <w:proofErr w:type="spellEnd"/>
          </w:p>
        </w:tc>
      </w:tr>
      <w:tr w:rsidR="00643832" w:rsidRPr="00643832" w14:paraId="695607DD" w14:textId="77777777" w:rsidTr="0022396F">
        <w:tc>
          <w:tcPr>
            <w:tcW w:w="1418" w:type="dxa"/>
          </w:tcPr>
          <w:p w14:paraId="5A289BB9" w14:textId="77777777" w:rsidR="00643832" w:rsidRPr="00643832" w:rsidRDefault="00643832" w:rsidP="00643832">
            <w:pPr>
              <w:overflowPunct w:val="0"/>
              <w:autoSpaceDE w:val="0"/>
              <w:autoSpaceDN w:val="0"/>
              <w:adjustRightInd w:val="0"/>
              <w:ind w:left="720" w:hanging="720"/>
              <w:textAlignment w:val="baseline"/>
              <w:rPr>
                <w:i/>
              </w:rPr>
            </w:pPr>
            <w:r>
              <w:rPr>
                <w:i/>
              </w:rPr>
              <w:t>Tel.:</w:t>
            </w:r>
          </w:p>
        </w:tc>
        <w:tc>
          <w:tcPr>
            <w:tcW w:w="7904" w:type="dxa"/>
          </w:tcPr>
          <w:p w14:paraId="62EAEB69" w14:textId="77777777" w:rsidR="00643832" w:rsidRPr="00643832" w:rsidRDefault="00643832" w:rsidP="00643832">
            <w:pPr>
              <w:overflowPunct w:val="0"/>
              <w:autoSpaceDE w:val="0"/>
              <w:autoSpaceDN w:val="0"/>
              <w:adjustRightInd w:val="0"/>
              <w:ind w:left="720" w:hanging="720"/>
              <w:textAlignment w:val="baseline"/>
              <w:rPr>
                <w:i/>
              </w:rPr>
            </w:pPr>
            <w:r>
              <w:rPr>
                <w:i/>
              </w:rPr>
              <w:t>+32 25468333</w:t>
            </w:r>
          </w:p>
        </w:tc>
      </w:tr>
      <w:tr w:rsidR="00643832" w:rsidRPr="00643832" w14:paraId="0712D79F" w14:textId="77777777" w:rsidTr="0022396F">
        <w:tc>
          <w:tcPr>
            <w:tcW w:w="1418" w:type="dxa"/>
          </w:tcPr>
          <w:p w14:paraId="247898A1" w14:textId="77777777" w:rsidR="00643832" w:rsidRPr="00643832" w:rsidRDefault="00643832" w:rsidP="00643832">
            <w:pPr>
              <w:overflowPunct w:val="0"/>
              <w:autoSpaceDE w:val="0"/>
              <w:autoSpaceDN w:val="0"/>
              <w:adjustRightInd w:val="0"/>
              <w:ind w:left="720" w:hanging="720"/>
              <w:textAlignment w:val="baseline"/>
              <w:rPr>
                <w:i/>
              </w:rPr>
            </w:pPr>
            <w:r>
              <w:rPr>
                <w:i/>
              </w:rPr>
              <w:t>E-mail:</w:t>
            </w:r>
          </w:p>
        </w:tc>
        <w:tc>
          <w:tcPr>
            <w:tcW w:w="7904" w:type="dxa"/>
          </w:tcPr>
          <w:p w14:paraId="41842F2E" w14:textId="77777777" w:rsidR="00643832" w:rsidRPr="00643832" w:rsidRDefault="005A1446" w:rsidP="00643832">
            <w:pPr>
              <w:overflowPunct w:val="0"/>
              <w:autoSpaceDE w:val="0"/>
              <w:autoSpaceDN w:val="0"/>
              <w:adjustRightInd w:val="0"/>
              <w:ind w:left="720" w:hanging="720"/>
              <w:textAlignment w:val="baseline"/>
              <w:rPr>
                <w:i/>
                <w:iCs/>
              </w:rPr>
            </w:pPr>
            <w:hyperlink r:id="rId33" w:history="1">
              <w:r w:rsidR="00CA46B0">
                <w:rPr>
                  <w:i/>
                  <w:color w:val="0000FF"/>
                  <w:u w:val="single"/>
                </w:rPr>
                <w:t>Aleksandra.SarmanGrilc@eesc.europa.eu</w:t>
              </w:r>
            </w:hyperlink>
            <w:r w:rsidR="00CA46B0">
              <w:rPr>
                <w:i/>
              </w:rPr>
              <w:t xml:space="preserve"> </w:t>
            </w:r>
          </w:p>
        </w:tc>
      </w:tr>
    </w:tbl>
    <w:p w14:paraId="4982DDEF" w14:textId="77777777" w:rsidR="004D7AC0" w:rsidRDefault="004D7AC0" w:rsidP="004D7AC0">
      <w:pPr>
        <w:pStyle w:val="ListParagraph"/>
        <w:ind w:left="0"/>
      </w:pPr>
    </w:p>
    <w:p w14:paraId="4982DDF0" w14:textId="3EE664B6" w:rsidR="009B30A2" w:rsidRDefault="009B30A2">
      <w:pPr>
        <w:spacing w:after="160" w:line="259" w:lineRule="auto"/>
        <w:jc w:val="left"/>
      </w:pPr>
      <w:r>
        <w:br w:type="page"/>
      </w:r>
    </w:p>
    <w:p w14:paraId="22B25845" w14:textId="0A203EDB" w:rsidR="003C404F" w:rsidRPr="003C404F" w:rsidRDefault="005A1446" w:rsidP="00A704FE">
      <w:pPr>
        <w:widowControl w:val="0"/>
        <w:numPr>
          <w:ilvl w:val="0"/>
          <w:numId w:val="14"/>
        </w:numPr>
        <w:overflowPunct w:val="0"/>
        <w:autoSpaceDE w:val="0"/>
        <w:autoSpaceDN w:val="0"/>
        <w:adjustRightInd w:val="0"/>
        <w:ind w:hanging="567"/>
        <w:textAlignment w:val="baseline"/>
        <w:rPr>
          <w:sz w:val="20"/>
          <w:szCs w:val="20"/>
        </w:rPr>
      </w:pPr>
      <w:hyperlink r:id="rId34" w:history="1">
        <w:r w:rsidR="00CA46B0">
          <w:rPr>
            <w:b/>
            <w:i/>
            <w:color w:val="0000FF"/>
            <w:sz w:val="28"/>
            <w:u w:val="single"/>
          </w:rPr>
          <w:t>Mecanismul pentru interconectarea Europei – 2028-2034</w:t>
        </w:r>
      </w:hyperlink>
    </w:p>
    <w:p w14:paraId="2EF12024"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3C404F" w:rsidRPr="003C404F" w14:paraId="3E2FA068" w14:textId="77777777" w:rsidTr="002A7012">
        <w:tc>
          <w:tcPr>
            <w:tcW w:w="1701" w:type="dxa"/>
          </w:tcPr>
          <w:p w14:paraId="736ACD15"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Raportor:</w:t>
            </w:r>
          </w:p>
        </w:tc>
        <w:tc>
          <w:tcPr>
            <w:tcW w:w="5387" w:type="dxa"/>
          </w:tcPr>
          <w:p w14:paraId="634A8DD2" w14:textId="12181933" w:rsidR="003C404F" w:rsidRPr="003C404F" w:rsidRDefault="003C404F" w:rsidP="003C404F">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(Grupul „Lucrători” – PL)</w:t>
            </w:r>
          </w:p>
        </w:tc>
      </w:tr>
      <w:tr w:rsidR="003C404F" w:rsidRPr="003C404F" w14:paraId="12A8B4D5" w14:textId="77777777" w:rsidTr="002A7012">
        <w:tc>
          <w:tcPr>
            <w:tcW w:w="1701" w:type="dxa"/>
          </w:tcPr>
          <w:p w14:paraId="44299DEF"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Coraportor:</w:t>
            </w:r>
          </w:p>
        </w:tc>
        <w:tc>
          <w:tcPr>
            <w:tcW w:w="5387" w:type="dxa"/>
          </w:tcPr>
          <w:p w14:paraId="0B9C9FBC" w14:textId="418B7180" w:rsidR="003C404F" w:rsidRPr="003C404F" w:rsidRDefault="003C404F" w:rsidP="003C404F">
            <w:pPr>
              <w:tabs>
                <w:tab w:val="center" w:pos="284"/>
              </w:tabs>
              <w:overflowPunct w:val="0"/>
              <w:autoSpaceDE w:val="0"/>
              <w:autoSpaceDN w:val="0"/>
              <w:adjustRightInd w:val="0"/>
              <w:ind w:left="266" w:hanging="266"/>
              <w:textAlignment w:val="baseline"/>
            </w:pPr>
            <w:r>
              <w:t>Tomas ARVIDSSON (Grupul „Angajatori” – SE)</w:t>
            </w:r>
          </w:p>
        </w:tc>
      </w:tr>
      <w:tr w:rsidR="003C404F" w:rsidRPr="003C404F" w14:paraId="1C6C37FD" w14:textId="77777777" w:rsidTr="002A7012">
        <w:tc>
          <w:tcPr>
            <w:tcW w:w="7088" w:type="dxa"/>
            <w:gridSpan w:val="2"/>
          </w:tcPr>
          <w:p w14:paraId="6D2E186E" w14:textId="77777777" w:rsidR="003C404F" w:rsidRPr="003C404F" w:rsidRDefault="003C404F" w:rsidP="003C404F">
            <w:pPr>
              <w:tabs>
                <w:tab w:val="center" w:pos="284"/>
              </w:tabs>
              <w:overflowPunct w:val="0"/>
              <w:autoSpaceDE w:val="0"/>
              <w:autoSpaceDN w:val="0"/>
              <w:adjustRightInd w:val="0"/>
              <w:spacing w:line="160" w:lineRule="exact"/>
              <w:ind w:left="266" w:hanging="266"/>
              <w:textAlignment w:val="baseline"/>
            </w:pPr>
          </w:p>
        </w:tc>
      </w:tr>
      <w:tr w:rsidR="003C404F" w:rsidRPr="003C404F" w14:paraId="409112F4" w14:textId="77777777" w:rsidTr="002A7012">
        <w:tc>
          <w:tcPr>
            <w:tcW w:w="1701" w:type="dxa"/>
            <w:vMerge w:val="restart"/>
          </w:tcPr>
          <w:p w14:paraId="7EAC9A7B"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Referințe:</w:t>
            </w:r>
          </w:p>
        </w:tc>
        <w:tc>
          <w:tcPr>
            <w:tcW w:w="5387" w:type="dxa"/>
          </w:tcPr>
          <w:p w14:paraId="6869DEB1" w14:textId="002EA6F5" w:rsidR="003C404F" w:rsidRPr="003C404F" w:rsidRDefault="003C404F" w:rsidP="00AC791D">
            <w:pPr>
              <w:tabs>
                <w:tab w:val="center" w:pos="284"/>
              </w:tabs>
              <w:overflowPunct w:val="0"/>
              <w:autoSpaceDE w:val="0"/>
              <w:autoSpaceDN w:val="0"/>
              <w:adjustRightInd w:val="0"/>
              <w:ind w:left="266" w:hanging="266"/>
              <w:textAlignment w:val="baseline"/>
            </w:pPr>
            <w:r>
              <w:t>COM(2025) 547 final</w:t>
            </w:r>
          </w:p>
        </w:tc>
      </w:tr>
      <w:tr w:rsidR="003C404F" w:rsidRPr="003C404F" w14:paraId="59740CFA" w14:textId="77777777" w:rsidTr="002A7012">
        <w:tc>
          <w:tcPr>
            <w:tcW w:w="1701" w:type="dxa"/>
            <w:vMerge/>
          </w:tcPr>
          <w:p w14:paraId="1890EEA3"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pt-PT"/>
              </w:rPr>
            </w:pPr>
          </w:p>
        </w:tc>
        <w:tc>
          <w:tcPr>
            <w:tcW w:w="5387" w:type="dxa"/>
          </w:tcPr>
          <w:p w14:paraId="0B1FAE72" w14:textId="018FAEB9" w:rsidR="003C404F" w:rsidRPr="003C404F" w:rsidRDefault="00AC791D" w:rsidP="003C404F">
            <w:pPr>
              <w:tabs>
                <w:tab w:val="center" w:pos="284"/>
              </w:tabs>
              <w:overflowPunct w:val="0"/>
              <w:autoSpaceDE w:val="0"/>
              <w:autoSpaceDN w:val="0"/>
              <w:adjustRightInd w:val="0"/>
              <w:ind w:left="266" w:hanging="266"/>
              <w:textAlignment w:val="baseline"/>
              <w:rPr>
                <w:lang w:val="pt-PT"/>
              </w:rPr>
            </w:pPr>
            <w:r>
              <w:t>EESC-2025-03183-00-00-AC</w:t>
            </w:r>
          </w:p>
        </w:tc>
      </w:tr>
    </w:tbl>
    <w:p w14:paraId="5422AA30"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p w14:paraId="50E7C555"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rPr>
      </w:pPr>
      <w:r>
        <w:rPr>
          <w:b/>
        </w:rPr>
        <w:t>Punctele principale:</w:t>
      </w:r>
    </w:p>
    <w:p w14:paraId="668A3C2C"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lang w:val="en-GB"/>
        </w:rPr>
      </w:pPr>
    </w:p>
    <w:p w14:paraId="60334C35" w14:textId="77777777" w:rsidR="003C404F" w:rsidRPr="003C404F" w:rsidRDefault="003C404F" w:rsidP="003C404F">
      <w:pPr>
        <w:overflowPunct w:val="0"/>
        <w:autoSpaceDE w:val="0"/>
        <w:autoSpaceDN w:val="0"/>
        <w:adjustRightInd w:val="0"/>
        <w:textAlignment w:val="baseline"/>
        <w:rPr>
          <w:bCs/>
          <w:iCs/>
        </w:rPr>
      </w:pPr>
      <w:r>
        <w:t>CESE:</w:t>
      </w:r>
    </w:p>
    <w:p w14:paraId="2AFF807F" w14:textId="77777777" w:rsidR="003C404F" w:rsidRPr="003C404F" w:rsidRDefault="003C404F" w:rsidP="003C404F">
      <w:pPr>
        <w:widowControl w:val="0"/>
        <w:overflowPunct w:val="0"/>
        <w:autoSpaceDE w:val="0"/>
        <w:autoSpaceDN w:val="0"/>
        <w:adjustRightInd w:val="0"/>
        <w:ind w:left="709"/>
        <w:textAlignment w:val="baseline"/>
        <w:rPr>
          <w:bCs/>
          <w:iCs/>
          <w:lang w:val="en-GB"/>
        </w:rPr>
      </w:pPr>
    </w:p>
    <w:p w14:paraId="26F1498D" w14:textId="6E188CCC"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salută recunoașterea nevoii de investiții și – mai ales – a urgenței de a consolida reziliența UE și de a îmbunătăți securitatea. </w:t>
      </w:r>
      <w:r>
        <w:rPr>
          <w:b/>
        </w:rPr>
        <w:t>Comitetul solicită majorarea finanțării MIE III la cel puțin 100</w:t>
      </w:r>
      <w:r w:rsidR="00936EDA">
        <w:rPr>
          <w:b/>
        </w:rPr>
        <w:t> </w:t>
      </w:r>
      <w:r>
        <w:rPr>
          <w:b/>
        </w:rPr>
        <w:t>de</w:t>
      </w:r>
      <w:r w:rsidR="00936EDA">
        <w:rPr>
          <w:b/>
        </w:rPr>
        <w:t> </w:t>
      </w:r>
      <w:r>
        <w:rPr>
          <w:b/>
        </w:rPr>
        <w:t>miliarde EUR</w:t>
      </w:r>
      <w:r>
        <w:t xml:space="preserve">; </w:t>
      </w:r>
    </w:p>
    <w:p w14:paraId="119F6FA8"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consideră că este oportun ca, în următoarea perioadă de programare, să fie incluse </w:t>
      </w:r>
      <w:r>
        <w:rPr>
          <w:b/>
        </w:rPr>
        <w:t>investiții care să acopere regiuni aflate dincolo de granițele UE</w:t>
      </w:r>
      <w:r>
        <w:t>, prin extinderea coridoarelor TEN-T la țările candidate;</w:t>
      </w:r>
    </w:p>
    <w:p w14:paraId="2C8B33CF"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subliniază că, pentru a asigura </w:t>
      </w:r>
      <w:r>
        <w:rPr>
          <w:b/>
        </w:rPr>
        <w:t>coeziunea teritorială</w:t>
      </w:r>
      <w:r>
        <w:t xml:space="preserve"> și utilizarea deplină a pieței unice, programul ar trebui să acorde prioritate </w:t>
      </w:r>
      <w:r>
        <w:rPr>
          <w:b/>
        </w:rPr>
        <w:t>investițiilor în regiunile cu lacune semnificative în materie de infrastructură</w:t>
      </w:r>
      <w:r>
        <w:t xml:space="preserve">, să sprijine proiectele care vizează </w:t>
      </w:r>
      <w:r>
        <w:rPr>
          <w:b/>
        </w:rPr>
        <w:t>securizarea infrastructurii critice și a blocajelor</w:t>
      </w:r>
      <w:r>
        <w:t xml:space="preserve">, în special în </w:t>
      </w:r>
      <w:r>
        <w:rPr>
          <w:b/>
        </w:rPr>
        <w:t>țările beneficiare ale fondurilor de coeziune și în regiunile care se învecinează cu Rusia și Belarus</w:t>
      </w:r>
      <w:r>
        <w:t>, care sunt în mod fățiș ostile față de țările UE;</w:t>
      </w:r>
    </w:p>
    <w:p w14:paraId="734F5361"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consideră că investițiile implementate într-un singur stat membru nu ar trebui excluse în totalitate, dacă astfel de investiții răspund nevoilor și obiectivelor MIE și sunt semnificative pentru TEN-T și TEN-E;</w:t>
      </w:r>
    </w:p>
    <w:p w14:paraId="453E9F82"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rPr>
          <w:szCs w:val="20"/>
        </w:rPr>
      </w:pPr>
      <w:r>
        <w:t xml:space="preserve">propune alocarea de fonduri pentru a permite finalizarea proiectului MIE început și </w:t>
      </w:r>
      <w:r>
        <w:rPr>
          <w:b/>
        </w:rPr>
        <w:t>specificarea proiectelor cărora li se va acorda prioritate. Criteriile de finanțare ar trebui să fie legate de criterii sociale și de mediu și să asigure o valoare adăugată europeană</w:t>
      </w:r>
      <w:r>
        <w:t>;</w:t>
      </w:r>
    </w:p>
    <w:p w14:paraId="0E7A0E07" w14:textId="3DF57B92"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solicită </w:t>
      </w:r>
      <w:r>
        <w:rPr>
          <w:b/>
        </w:rPr>
        <w:t>introducerea unor proceduri pentru evaluarea intermediară și ex-post</w:t>
      </w:r>
      <w:r>
        <w:t xml:space="preserve"> a cheltuielilor efectuate prin intermediul MIE, precum și a unor </w:t>
      </w:r>
      <w:r>
        <w:rPr>
          <w:b/>
        </w:rPr>
        <w:t>norme de monitorizare</w:t>
      </w:r>
      <w:r>
        <w:t xml:space="preserve"> pentru MIE. </w:t>
      </w:r>
      <w:r>
        <w:rPr>
          <w:b/>
        </w:rPr>
        <w:t>Sunt</w:t>
      </w:r>
      <w:r w:rsidR="009D4EF7">
        <w:rPr>
          <w:b/>
        </w:rPr>
        <w:t> </w:t>
      </w:r>
      <w:r>
        <w:rPr>
          <w:b/>
        </w:rPr>
        <w:t>necesare simplificarea procesului de depunere a candidaturilor și accelerarea alocării</w:t>
      </w:r>
      <w:r>
        <w:t xml:space="preserve"> fondurilor în vederea accelerării punerii în aplicare a investițiilor.</w:t>
      </w:r>
    </w:p>
    <w:p w14:paraId="684991DF" w14:textId="77777777" w:rsidR="003C404F" w:rsidRPr="003C404F" w:rsidRDefault="003C404F" w:rsidP="003C404F">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3C404F" w:rsidRPr="003C404F" w14:paraId="235E1D2C" w14:textId="77777777" w:rsidTr="00936EDA">
        <w:tc>
          <w:tcPr>
            <w:tcW w:w="1701" w:type="dxa"/>
          </w:tcPr>
          <w:p w14:paraId="696E00D6" w14:textId="77777777" w:rsidR="003C404F" w:rsidRPr="003C404F" w:rsidRDefault="003C404F" w:rsidP="003C404F">
            <w:pPr>
              <w:overflowPunct w:val="0"/>
              <w:autoSpaceDE w:val="0"/>
              <w:autoSpaceDN w:val="0"/>
              <w:adjustRightInd w:val="0"/>
              <w:spacing w:line="240" w:lineRule="auto"/>
              <w:textAlignment w:val="baseline"/>
              <w:rPr>
                <w:i/>
              </w:rPr>
            </w:pPr>
            <w:r>
              <w:rPr>
                <w:b/>
                <w:i/>
              </w:rPr>
              <w:t>Date de contact:</w:t>
            </w:r>
          </w:p>
        </w:tc>
        <w:tc>
          <w:tcPr>
            <w:tcW w:w="5387" w:type="dxa"/>
          </w:tcPr>
          <w:p w14:paraId="3C22F001" w14:textId="77777777" w:rsidR="003C404F" w:rsidRPr="003C404F" w:rsidRDefault="003C404F" w:rsidP="003C404F">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003C404F" w:rsidRPr="003C404F" w14:paraId="01D13931" w14:textId="77777777" w:rsidTr="00936EDA">
        <w:tc>
          <w:tcPr>
            <w:tcW w:w="1701" w:type="dxa"/>
          </w:tcPr>
          <w:p w14:paraId="6C91ED69" w14:textId="77777777" w:rsidR="003C404F" w:rsidRPr="003C404F" w:rsidRDefault="003C404F" w:rsidP="003C404F">
            <w:pPr>
              <w:overflowPunct w:val="0"/>
              <w:autoSpaceDE w:val="0"/>
              <w:autoSpaceDN w:val="0"/>
              <w:adjustRightInd w:val="0"/>
              <w:spacing w:line="240" w:lineRule="auto"/>
              <w:textAlignment w:val="baseline"/>
              <w:rPr>
                <w:i/>
              </w:rPr>
            </w:pPr>
            <w:r>
              <w:rPr>
                <w:i/>
              </w:rPr>
              <w:t>Tel.:</w:t>
            </w:r>
          </w:p>
        </w:tc>
        <w:tc>
          <w:tcPr>
            <w:tcW w:w="5387" w:type="dxa"/>
          </w:tcPr>
          <w:p w14:paraId="354DB979" w14:textId="77777777" w:rsidR="003C404F" w:rsidRPr="003C404F" w:rsidRDefault="003C404F" w:rsidP="003C404F">
            <w:pPr>
              <w:overflowPunct w:val="0"/>
              <w:autoSpaceDE w:val="0"/>
              <w:autoSpaceDN w:val="0"/>
              <w:adjustRightInd w:val="0"/>
              <w:spacing w:line="240" w:lineRule="auto"/>
              <w:textAlignment w:val="baseline"/>
              <w:rPr>
                <w:i/>
              </w:rPr>
            </w:pPr>
            <w:r>
              <w:rPr>
                <w:i/>
              </w:rPr>
              <w:t>+32 25468535</w:t>
            </w:r>
          </w:p>
        </w:tc>
      </w:tr>
      <w:tr w:rsidR="003C404F" w:rsidRPr="003C404F" w14:paraId="06E9BD4D" w14:textId="77777777" w:rsidTr="00936EDA">
        <w:tc>
          <w:tcPr>
            <w:tcW w:w="1701" w:type="dxa"/>
          </w:tcPr>
          <w:p w14:paraId="528BC54C" w14:textId="46AB0F20" w:rsidR="003C404F" w:rsidRPr="003C404F" w:rsidRDefault="00373DC9" w:rsidP="003C404F">
            <w:pPr>
              <w:overflowPunct w:val="0"/>
              <w:autoSpaceDE w:val="0"/>
              <w:autoSpaceDN w:val="0"/>
              <w:adjustRightInd w:val="0"/>
              <w:spacing w:line="240" w:lineRule="auto"/>
              <w:textAlignment w:val="baseline"/>
              <w:rPr>
                <w:i/>
              </w:rPr>
            </w:pPr>
            <w:r>
              <w:rPr>
                <w:i/>
              </w:rPr>
              <w:t>E-mail:</w:t>
            </w:r>
          </w:p>
        </w:tc>
        <w:tc>
          <w:tcPr>
            <w:tcW w:w="5387" w:type="dxa"/>
          </w:tcPr>
          <w:p w14:paraId="571CCCCD" w14:textId="77777777" w:rsidR="003C404F" w:rsidRPr="003C404F" w:rsidRDefault="005A1446" w:rsidP="003C404F">
            <w:pPr>
              <w:overflowPunct w:val="0"/>
              <w:autoSpaceDE w:val="0"/>
              <w:autoSpaceDN w:val="0"/>
              <w:adjustRightInd w:val="0"/>
              <w:spacing w:line="240" w:lineRule="auto"/>
              <w:textAlignment w:val="baseline"/>
              <w:rPr>
                <w:i/>
              </w:rPr>
            </w:pPr>
            <w:hyperlink r:id="rId35" w:history="1">
              <w:r w:rsidR="00CA46B0">
                <w:rPr>
                  <w:i/>
                  <w:color w:val="0000FF"/>
                  <w:u w:val="single"/>
                </w:rPr>
                <w:t>GiorgiaAndrea.Bordignon@eesc.europa.eu</w:t>
              </w:r>
            </w:hyperlink>
          </w:p>
        </w:tc>
      </w:tr>
    </w:tbl>
    <w:p w14:paraId="27B27827" w14:textId="77777777" w:rsidR="004D7AC0" w:rsidRDefault="004D7AC0" w:rsidP="004D7AC0">
      <w:pPr>
        <w:pStyle w:val="ListParagraph"/>
        <w:ind w:left="0"/>
      </w:pPr>
    </w:p>
    <w:p w14:paraId="4982DDF1" w14:textId="77777777" w:rsidR="004D7AC0" w:rsidRDefault="004D7AC0" w:rsidP="004D7AC0">
      <w:pPr>
        <w:pStyle w:val="ListParagraph"/>
        <w:ind w:left="0"/>
      </w:pPr>
    </w:p>
    <w:p w14:paraId="4982DDF2" w14:textId="77777777" w:rsidR="004D7AC0" w:rsidRDefault="004D7AC0" w:rsidP="004D7AC0">
      <w:pPr>
        <w:spacing w:after="160" w:line="259" w:lineRule="auto"/>
        <w:jc w:val="left"/>
      </w:pPr>
      <w:r>
        <w:br w:type="page"/>
      </w:r>
    </w:p>
    <w:p w14:paraId="4982DDF3" w14:textId="77777777" w:rsidR="004D7AC0" w:rsidRDefault="004D7AC0" w:rsidP="004D7AC0">
      <w:pPr>
        <w:pStyle w:val="Heading1"/>
        <w:rPr>
          <w:b/>
        </w:rPr>
      </w:pPr>
      <w:bookmarkStart w:id="42" w:name="_Toc75527083"/>
      <w:bookmarkStart w:id="43" w:name="_Toc221268014"/>
      <w:r>
        <w:rPr>
          <w:b/>
        </w:rPr>
        <w:lastRenderedPageBreak/>
        <w:t>SECȚIUNEA PENTRU PIAȚA UNICĂ, PRODUCȚIE ȘI CONSUM</w:t>
      </w:r>
      <w:bookmarkEnd w:id="42"/>
      <w:bookmarkEnd w:id="43"/>
    </w:p>
    <w:p w14:paraId="4982DDF4" w14:textId="77777777" w:rsidR="004D7AC0" w:rsidRDefault="004D7AC0" w:rsidP="004D7AC0"/>
    <w:p w14:paraId="5FEA40B5" w14:textId="2B7014DC" w:rsidR="00A73D45" w:rsidRPr="00A73D45" w:rsidRDefault="005A1446" w:rsidP="00A704FE">
      <w:pPr>
        <w:widowControl w:val="0"/>
        <w:numPr>
          <w:ilvl w:val="0"/>
          <w:numId w:val="14"/>
        </w:numPr>
        <w:ind w:hanging="567"/>
        <w:rPr>
          <w:b/>
        </w:rPr>
      </w:pPr>
      <w:hyperlink r:id="rId36" w:tgtFrame="_blank" w:history="1">
        <w:r w:rsidR="00CA46B0">
          <w:rPr>
            <w:b/>
            <w:i/>
            <w:color w:val="0000FF"/>
            <w:sz w:val="28"/>
            <w:u w:val="single"/>
          </w:rPr>
          <w:t>Prelungirea normelor provizorii/Abuzul sexual online asupra copiilor</w:t>
        </w:r>
      </w:hyperlink>
    </w:p>
    <w:p w14:paraId="38C14283" w14:textId="77777777" w:rsidR="00A73D45" w:rsidRPr="00A73D45" w:rsidRDefault="00A73D45" w:rsidP="00A73D45">
      <w:pPr>
        <w:tabs>
          <w:tab w:val="center" w:pos="284"/>
        </w:tabs>
        <w:ind w:left="266" w:hanging="266"/>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A73D45" w:rsidRPr="00A73D45" w14:paraId="781A7A77" w14:textId="77777777" w:rsidTr="00A73D45">
        <w:tc>
          <w:tcPr>
            <w:tcW w:w="2235" w:type="dxa"/>
            <w:vMerge w:val="restart"/>
          </w:tcPr>
          <w:p w14:paraId="080498B5" w14:textId="77777777" w:rsidR="00A73D45" w:rsidRPr="00A73D45" w:rsidRDefault="00A73D45" w:rsidP="00A73D45">
            <w:pPr>
              <w:tabs>
                <w:tab w:val="center" w:pos="284"/>
              </w:tabs>
              <w:ind w:left="266" w:hanging="266"/>
              <w:rPr>
                <w:b/>
              </w:rPr>
            </w:pPr>
            <w:r>
              <w:rPr>
                <w:b/>
              </w:rPr>
              <w:t>Referințe:</w:t>
            </w:r>
          </w:p>
        </w:tc>
        <w:tc>
          <w:tcPr>
            <w:tcW w:w="6804" w:type="dxa"/>
          </w:tcPr>
          <w:p w14:paraId="524B8382" w14:textId="278BBA2F" w:rsidR="00D56FF8" w:rsidRDefault="00D56FF8" w:rsidP="00A73D45">
            <w:pPr>
              <w:tabs>
                <w:tab w:val="center" w:pos="284"/>
              </w:tabs>
              <w:ind w:left="266" w:hanging="266"/>
            </w:pPr>
            <w:r>
              <w:t>aviz de categoria C</w:t>
            </w:r>
          </w:p>
          <w:p w14:paraId="33630097" w14:textId="0BB2E15F" w:rsidR="00A73D45" w:rsidRPr="00A73D45" w:rsidRDefault="00A73D45" w:rsidP="00A73D45">
            <w:pPr>
              <w:tabs>
                <w:tab w:val="center" w:pos="284"/>
              </w:tabs>
              <w:ind w:left="266" w:hanging="266"/>
            </w:pPr>
            <w:r>
              <w:t xml:space="preserve">COM(2025) 797 final </w:t>
            </w:r>
          </w:p>
        </w:tc>
      </w:tr>
      <w:tr w:rsidR="00A73D45" w:rsidRPr="00A73D45" w14:paraId="4D60A057" w14:textId="77777777" w:rsidTr="00A73D45">
        <w:tc>
          <w:tcPr>
            <w:tcW w:w="2235" w:type="dxa"/>
            <w:vMerge/>
          </w:tcPr>
          <w:p w14:paraId="2AD930BA" w14:textId="77777777" w:rsidR="00A73D45" w:rsidRPr="00A73D45" w:rsidRDefault="00A73D45" w:rsidP="00A73D45">
            <w:pPr>
              <w:tabs>
                <w:tab w:val="center" w:pos="284"/>
              </w:tabs>
              <w:ind w:left="266" w:hanging="266"/>
              <w:rPr>
                <w:b/>
              </w:rPr>
            </w:pPr>
          </w:p>
        </w:tc>
        <w:tc>
          <w:tcPr>
            <w:tcW w:w="6804" w:type="dxa"/>
          </w:tcPr>
          <w:p w14:paraId="692F0F08" w14:textId="687CB275" w:rsidR="00A73D45" w:rsidRPr="00A73D45" w:rsidRDefault="00A73D45" w:rsidP="00A73D45">
            <w:pPr>
              <w:tabs>
                <w:tab w:val="center" w:pos="284"/>
              </w:tabs>
              <w:ind w:left="266" w:hanging="266"/>
            </w:pPr>
            <w:r>
              <w:t>EESC-2026-00083-00-00-AC</w:t>
            </w:r>
          </w:p>
        </w:tc>
      </w:tr>
    </w:tbl>
    <w:p w14:paraId="15F63A89" w14:textId="77777777" w:rsidR="00A73D45" w:rsidRPr="00A73D45" w:rsidRDefault="00A73D45" w:rsidP="00A73D45">
      <w:pPr>
        <w:keepNext/>
        <w:keepLines/>
        <w:tabs>
          <w:tab w:val="center" w:pos="284"/>
        </w:tabs>
        <w:ind w:left="266" w:hanging="266"/>
        <w:rPr>
          <w:b/>
        </w:rPr>
      </w:pPr>
    </w:p>
    <w:p w14:paraId="22306826" w14:textId="77777777" w:rsidR="00A73D45" w:rsidRPr="00A73D45" w:rsidRDefault="00A73D45" w:rsidP="00A73D45">
      <w:pPr>
        <w:rPr>
          <w:bCs/>
          <w:iCs/>
        </w:rPr>
      </w:pPr>
      <w:r>
        <w:t>CESE hotărăște să emită un aviz favorabil cu privire la textul propus.</w:t>
      </w:r>
    </w:p>
    <w:p w14:paraId="36182D22" w14:textId="77777777" w:rsidR="00A73D45" w:rsidRPr="00A73D45" w:rsidRDefault="00A73D45" w:rsidP="00A73D45">
      <w:pPr>
        <w:rPr>
          <w:bCs/>
          <w:iCs/>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38"/>
      </w:tblGrid>
      <w:tr w:rsidR="00A73D45" w:rsidRPr="00A73D45" w14:paraId="73C5BD99" w14:textId="77777777" w:rsidTr="00836760">
        <w:tc>
          <w:tcPr>
            <w:tcW w:w="1701" w:type="dxa"/>
          </w:tcPr>
          <w:p w14:paraId="58883516" w14:textId="77777777" w:rsidR="00A73D45" w:rsidRPr="00A73D45" w:rsidRDefault="00A73D45" w:rsidP="002C2DFE">
            <w:pPr>
              <w:spacing w:line="240" w:lineRule="auto"/>
              <w:ind w:hanging="110"/>
              <w:rPr>
                <w:i/>
              </w:rPr>
            </w:pPr>
            <w:r>
              <w:rPr>
                <w:b/>
                <w:i/>
              </w:rPr>
              <w:t>Date de contact:</w:t>
            </w:r>
          </w:p>
        </w:tc>
        <w:tc>
          <w:tcPr>
            <w:tcW w:w="7338" w:type="dxa"/>
          </w:tcPr>
          <w:p w14:paraId="7C696E9F" w14:textId="77777777" w:rsidR="00A73D45" w:rsidRPr="00A73D45" w:rsidRDefault="00A73D45" w:rsidP="002C2DFE">
            <w:pPr>
              <w:spacing w:line="240" w:lineRule="auto"/>
              <w:ind w:hanging="110"/>
              <w:rPr>
                <w:i/>
              </w:rPr>
            </w:pPr>
            <w:r>
              <w:rPr>
                <w:i/>
              </w:rPr>
              <w:t xml:space="preserve">Alice </w:t>
            </w:r>
            <w:proofErr w:type="spellStart"/>
            <w:r>
              <w:rPr>
                <w:i/>
              </w:rPr>
              <w:t>Tétu</w:t>
            </w:r>
            <w:proofErr w:type="spellEnd"/>
          </w:p>
        </w:tc>
      </w:tr>
      <w:tr w:rsidR="00A73D45" w:rsidRPr="00A73D45" w14:paraId="65C8279E" w14:textId="77777777" w:rsidTr="00836760">
        <w:tc>
          <w:tcPr>
            <w:tcW w:w="1701" w:type="dxa"/>
          </w:tcPr>
          <w:p w14:paraId="04078FE5" w14:textId="77777777" w:rsidR="00A73D45" w:rsidRPr="00A73D45" w:rsidRDefault="00A73D45" w:rsidP="002C2DFE">
            <w:pPr>
              <w:spacing w:line="240" w:lineRule="auto"/>
              <w:ind w:hanging="110"/>
              <w:rPr>
                <w:i/>
              </w:rPr>
            </w:pPr>
            <w:r>
              <w:rPr>
                <w:i/>
              </w:rPr>
              <w:t>Tel.:</w:t>
            </w:r>
          </w:p>
        </w:tc>
        <w:tc>
          <w:tcPr>
            <w:tcW w:w="7338" w:type="dxa"/>
          </w:tcPr>
          <w:p w14:paraId="3127FAAA" w14:textId="77777777" w:rsidR="00A73D45" w:rsidRPr="00A73D45" w:rsidRDefault="00A73D45" w:rsidP="002C2DFE">
            <w:pPr>
              <w:spacing w:line="240" w:lineRule="auto"/>
              <w:ind w:hanging="110"/>
              <w:rPr>
                <w:i/>
              </w:rPr>
            </w:pPr>
            <w:r>
              <w:rPr>
                <w:i/>
              </w:rPr>
              <w:t>+32 254 68286</w:t>
            </w:r>
          </w:p>
        </w:tc>
      </w:tr>
      <w:tr w:rsidR="00A73D45" w:rsidRPr="00A73D45" w14:paraId="329CF510" w14:textId="77777777" w:rsidTr="00836760">
        <w:tc>
          <w:tcPr>
            <w:tcW w:w="1701" w:type="dxa"/>
          </w:tcPr>
          <w:p w14:paraId="4AA4CCC3" w14:textId="77777777" w:rsidR="00A73D45" w:rsidRPr="00A73D45" w:rsidRDefault="00A73D45" w:rsidP="002C2DFE">
            <w:pPr>
              <w:spacing w:line="240" w:lineRule="auto"/>
              <w:ind w:hanging="110"/>
              <w:rPr>
                <w:i/>
              </w:rPr>
            </w:pPr>
            <w:r>
              <w:rPr>
                <w:i/>
              </w:rPr>
              <w:t>E-mail:</w:t>
            </w:r>
          </w:p>
        </w:tc>
        <w:tc>
          <w:tcPr>
            <w:tcW w:w="7338" w:type="dxa"/>
          </w:tcPr>
          <w:p w14:paraId="2F50320D" w14:textId="77777777" w:rsidR="00A73D45" w:rsidRPr="00A73D45" w:rsidRDefault="005A1446" w:rsidP="002C2DFE">
            <w:pPr>
              <w:spacing w:line="240" w:lineRule="auto"/>
              <w:ind w:hanging="110"/>
              <w:rPr>
                <w:i/>
              </w:rPr>
            </w:pPr>
            <w:hyperlink r:id="rId37" w:history="1">
              <w:r w:rsidR="00CA46B0">
                <w:rPr>
                  <w:i/>
                  <w:color w:val="0000FF"/>
                  <w:u w:val="single"/>
                </w:rPr>
                <w:t>Alice.Tetu@eesc.europa.eu</w:t>
              </w:r>
            </w:hyperlink>
          </w:p>
        </w:tc>
      </w:tr>
    </w:tbl>
    <w:p w14:paraId="4982DE1C" w14:textId="77777777" w:rsidR="004D7AC0" w:rsidRDefault="004D7AC0" w:rsidP="004D7AC0">
      <w:pPr>
        <w:pStyle w:val="ListParagraph"/>
        <w:ind w:left="0"/>
      </w:pPr>
    </w:p>
    <w:p w14:paraId="4982DE1D" w14:textId="18F60CA3" w:rsidR="005547CA" w:rsidRDefault="005547CA">
      <w:pPr>
        <w:spacing w:after="160" w:line="259" w:lineRule="auto"/>
        <w:jc w:val="left"/>
      </w:pPr>
      <w:r>
        <w:br w:type="page"/>
      </w:r>
    </w:p>
    <w:p w14:paraId="1B2C0697" w14:textId="290C2358" w:rsidR="000C49B7" w:rsidRPr="000C49B7" w:rsidRDefault="005A1446" w:rsidP="00A704FE">
      <w:pPr>
        <w:widowControl w:val="0"/>
        <w:numPr>
          <w:ilvl w:val="0"/>
          <w:numId w:val="14"/>
        </w:numPr>
        <w:overflowPunct w:val="0"/>
        <w:autoSpaceDE w:val="0"/>
        <w:autoSpaceDN w:val="0"/>
        <w:adjustRightInd w:val="0"/>
        <w:ind w:hanging="567"/>
        <w:textAlignment w:val="baseline"/>
        <w:rPr>
          <w:i/>
          <w:iCs/>
          <w:sz w:val="28"/>
          <w:szCs w:val="28"/>
        </w:rPr>
      </w:pPr>
      <w:hyperlink r:id="rId38" w:history="1">
        <w:r w:rsidR="00CA46B0">
          <w:rPr>
            <w:b/>
            <w:i/>
            <w:color w:val="0000FF"/>
            <w:sz w:val="28"/>
            <w:u w:val="single"/>
          </w:rPr>
          <w:t>Programul privind piața unică și domeniul vamal 2028-2034</w:t>
        </w:r>
      </w:hyperlink>
    </w:p>
    <w:p w14:paraId="03059CDC"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p>
    <w:tbl>
      <w:tblPr>
        <w:tblStyle w:val="TableGrid10"/>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0C49B7" w:rsidRPr="000C49B7" w14:paraId="2AB12E09" w14:textId="77777777" w:rsidTr="00260F68">
        <w:trPr>
          <w:trHeight w:val="406"/>
        </w:trPr>
        <w:tc>
          <w:tcPr>
            <w:tcW w:w="1229" w:type="pct"/>
          </w:tcPr>
          <w:p w14:paraId="095F5AC6"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Raportor:</w:t>
            </w:r>
          </w:p>
        </w:tc>
        <w:tc>
          <w:tcPr>
            <w:tcW w:w="3771" w:type="pct"/>
          </w:tcPr>
          <w:p w14:paraId="2A2A0FE9" w14:textId="51B4BE2F" w:rsidR="000C49B7" w:rsidRPr="000C49B7" w:rsidRDefault="000C49B7" w:rsidP="000C49B7">
            <w:pPr>
              <w:tabs>
                <w:tab w:val="center" w:pos="0"/>
              </w:tabs>
              <w:overflowPunct w:val="0"/>
              <w:autoSpaceDE w:val="0"/>
              <w:autoSpaceDN w:val="0"/>
              <w:adjustRightInd w:val="0"/>
              <w:ind w:left="266" w:hanging="266"/>
              <w:textAlignment w:val="baseline"/>
            </w:pPr>
            <w:r>
              <w:t>Vasco DE MELLO (Grupul „Angajatori”- PT)</w:t>
            </w:r>
          </w:p>
        </w:tc>
      </w:tr>
      <w:tr w:rsidR="000C49B7" w:rsidRPr="000C49B7" w14:paraId="423F7D9C" w14:textId="77777777" w:rsidTr="00260F68">
        <w:tc>
          <w:tcPr>
            <w:tcW w:w="1229" w:type="pct"/>
          </w:tcPr>
          <w:p w14:paraId="6A3FD609"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Referințe:</w:t>
            </w:r>
          </w:p>
        </w:tc>
        <w:tc>
          <w:tcPr>
            <w:tcW w:w="3771" w:type="pct"/>
          </w:tcPr>
          <w:p w14:paraId="2E0319C2" w14:textId="1DF0FB66" w:rsidR="000C49B7" w:rsidRPr="000C49B7" w:rsidRDefault="000C49B7" w:rsidP="000C49B7">
            <w:pPr>
              <w:overflowPunct w:val="0"/>
              <w:autoSpaceDE w:val="0"/>
              <w:autoSpaceDN w:val="0"/>
              <w:adjustRightInd w:val="0"/>
              <w:textAlignment w:val="baseline"/>
            </w:pPr>
            <w:r>
              <w:t xml:space="preserve">COM(2025) 590 final </w:t>
            </w:r>
          </w:p>
          <w:p w14:paraId="47FFFAA6" w14:textId="77777777" w:rsidR="000C49B7" w:rsidRPr="000C49B7" w:rsidRDefault="000C49B7" w:rsidP="000C49B7">
            <w:pPr>
              <w:overflowPunct w:val="0"/>
              <w:autoSpaceDE w:val="0"/>
              <w:autoSpaceDN w:val="0"/>
              <w:adjustRightInd w:val="0"/>
              <w:textAlignment w:val="baseline"/>
            </w:pPr>
            <w:r>
              <w:t>EESC-2025-03307-00-00-AC</w:t>
            </w:r>
          </w:p>
        </w:tc>
      </w:tr>
    </w:tbl>
    <w:p w14:paraId="18C29235"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lang w:val="pt-PT"/>
        </w:rPr>
      </w:pPr>
    </w:p>
    <w:p w14:paraId="7B6FA822"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rPr>
      </w:pPr>
      <w:r>
        <w:rPr>
          <w:b/>
        </w:rPr>
        <w:t>Punctele principale:</w:t>
      </w:r>
    </w:p>
    <w:p w14:paraId="059218FD"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Cs/>
          <w:lang w:val="en-GB"/>
        </w:rPr>
      </w:pPr>
    </w:p>
    <w:p w14:paraId="50D56678" w14:textId="77777777" w:rsidR="000C49B7" w:rsidRPr="000C49B7" w:rsidRDefault="000C49B7" w:rsidP="000C49B7">
      <w:pPr>
        <w:overflowPunct w:val="0"/>
        <w:autoSpaceDE w:val="0"/>
        <w:autoSpaceDN w:val="0"/>
        <w:adjustRightInd w:val="0"/>
        <w:textAlignment w:val="baseline"/>
        <w:rPr>
          <w:bCs/>
          <w:iCs/>
        </w:rPr>
      </w:pPr>
      <w:r>
        <w:t>CESE:</w:t>
      </w:r>
    </w:p>
    <w:p w14:paraId="25C8EB27" w14:textId="77777777" w:rsidR="000C49B7" w:rsidRPr="000C49B7" w:rsidRDefault="000C49B7" w:rsidP="000C49B7">
      <w:pPr>
        <w:overflowPunct w:val="0"/>
        <w:autoSpaceDE w:val="0"/>
        <w:autoSpaceDN w:val="0"/>
        <w:adjustRightInd w:val="0"/>
        <w:textAlignment w:val="baseline"/>
        <w:rPr>
          <w:bCs/>
          <w:iCs/>
          <w:lang w:val="en-GB"/>
        </w:rPr>
      </w:pPr>
    </w:p>
    <w:p w14:paraId="27F1FDAD" w14:textId="77777777" w:rsidR="000C49B7" w:rsidRPr="000C49B7" w:rsidRDefault="000C49B7" w:rsidP="002C2DFE">
      <w:pPr>
        <w:numPr>
          <w:ilvl w:val="0"/>
          <w:numId w:val="42"/>
        </w:numPr>
        <w:overflowPunct w:val="0"/>
        <w:autoSpaceDE w:val="0"/>
        <w:autoSpaceDN w:val="0"/>
        <w:adjustRightInd w:val="0"/>
        <w:ind w:left="284" w:hanging="284"/>
        <w:textAlignment w:val="baseline"/>
      </w:pPr>
      <w:r>
        <w:t xml:space="preserve">consideră că programul supus examinării </w:t>
      </w:r>
      <w:r>
        <w:rPr>
          <w:b/>
        </w:rPr>
        <w:t>urmărește strategia adecvată prin elaborarea de măsuri și sprijin</w:t>
      </w:r>
      <w:r>
        <w:t xml:space="preserve"> menite să intensifice și să îmbunătățească cooperarea dintre Comisie și statele membre, precum și dintre statele membre, în chestiuni legate de piața unică, uniunea vamală, fiscalitate și eforturile de combatere a fraudei;</w:t>
      </w:r>
    </w:p>
    <w:p w14:paraId="099DACC5" w14:textId="77777777" w:rsidR="000C49B7" w:rsidRPr="000C49B7" w:rsidRDefault="000C49B7" w:rsidP="002C2DFE">
      <w:pPr>
        <w:numPr>
          <w:ilvl w:val="0"/>
          <w:numId w:val="42"/>
        </w:numPr>
        <w:overflowPunct w:val="0"/>
        <w:autoSpaceDE w:val="0"/>
        <w:autoSpaceDN w:val="0"/>
        <w:adjustRightInd w:val="0"/>
        <w:ind w:left="284" w:hanging="284"/>
        <w:textAlignment w:val="baseline"/>
      </w:pPr>
      <w:r>
        <w:t xml:space="preserve">solicită Comisiei Europene să încurajeze statele membre </w:t>
      </w:r>
      <w:r>
        <w:rPr>
          <w:b/>
        </w:rPr>
        <w:t>să consolideze resursele umane atât la nivelul serviciilor vamale, cât și la nivelul serviciilor fiscale care colectează taxele vamale și impozitele</w:t>
      </w:r>
      <w:r>
        <w:t>, mai ales în statele membre care primesc cele mai multe bunuri din Asia, precum și în ce privește coletele trimise prin intermediul platformelor digitale situate în continentul asiatic;</w:t>
      </w:r>
    </w:p>
    <w:p w14:paraId="00F9A9A8" w14:textId="77777777" w:rsidR="000C49B7" w:rsidRPr="000C49B7" w:rsidRDefault="000C49B7" w:rsidP="002C2DFE">
      <w:pPr>
        <w:numPr>
          <w:ilvl w:val="0"/>
          <w:numId w:val="42"/>
        </w:numPr>
        <w:overflowPunct w:val="0"/>
        <w:autoSpaceDE w:val="0"/>
        <w:autoSpaceDN w:val="0"/>
        <w:adjustRightInd w:val="0"/>
        <w:ind w:left="284" w:hanging="284"/>
        <w:textAlignment w:val="baseline"/>
      </w:pPr>
      <w:r>
        <w:rPr>
          <w:b/>
        </w:rPr>
        <w:t>solicită ca simplificarea reglementărilor Uniunii Europene</w:t>
      </w:r>
      <w:r>
        <w:t xml:space="preserve"> să fie însoțită de un demers similar care să vizeze legislațiile din fiecare stat membru, astfel încât acestea din urmă să nu îngreuneze aplicarea normelor, nici pentru cetățeni, nici pentru întreprinderi;</w:t>
      </w:r>
    </w:p>
    <w:p w14:paraId="04EE4C54" w14:textId="77777777" w:rsidR="000C49B7" w:rsidRPr="000C49B7" w:rsidRDefault="000C49B7" w:rsidP="002C2DFE">
      <w:pPr>
        <w:numPr>
          <w:ilvl w:val="0"/>
          <w:numId w:val="42"/>
        </w:numPr>
        <w:overflowPunct w:val="0"/>
        <w:autoSpaceDE w:val="0"/>
        <w:autoSpaceDN w:val="0"/>
        <w:adjustRightInd w:val="0"/>
        <w:ind w:left="284" w:hanging="284"/>
        <w:textAlignment w:val="baseline"/>
      </w:pPr>
      <w:r>
        <w:rPr>
          <w:b/>
        </w:rPr>
        <w:t>recomandă ca digitalizarea procedurilor</w:t>
      </w:r>
      <w:r>
        <w:t xml:space="preserve"> care trebuie urmate de cetățeni și întreprinderi să fie concepută astfel încât să nu genereze obligații de raportare sau de altă natură din ce în ce mai numeroase și mai complexe;</w:t>
      </w:r>
    </w:p>
    <w:p w14:paraId="44F2F222" w14:textId="77777777" w:rsidR="000C49B7" w:rsidRPr="000C49B7" w:rsidRDefault="000C49B7" w:rsidP="002C2DFE">
      <w:pPr>
        <w:numPr>
          <w:ilvl w:val="0"/>
          <w:numId w:val="42"/>
        </w:numPr>
        <w:overflowPunct w:val="0"/>
        <w:autoSpaceDE w:val="0"/>
        <w:autoSpaceDN w:val="0"/>
        <w:adjustRightInd w:val="0"/>
        <w:ind w:left="284" w:hanging="284"/>
        <w:textAlignment w:val="baseline"/>
        <w:rPr>
          <w:bCs/>
          <w:iCs/>
          <w:sz w:val="24"/>
          <w:szCs w:val="24"/>
        </w:rPr>
      </w:pPr>
      <w:r>
        <w:rPr>
          <w:b/>
        </w:rPr>
        <w:t>consideră că este important ca asociațiile de consumatori să fie sprijinite</w:t>
      </w:r>
      <w:r>
        <w:t>, dat fiind rolul lor esențial, atât prin intermediul structurilor de soluționare a litigiilor în materie de consum, cât și prin monitorizarea conformității produselor aflate în circulație pe piața unică, precum și în ce privește consolidarea educației financiare.</w:t>
      </w:r>
    </w:p>
    <w:p w14:paraId="2521B7C6" w14:textId="77777777" w:rsidR="000C49B7" w:rsidRPr="000C49B7" w:rsidRDefault="000C49B7" w:rsidP="000C49B7">
      <w:pPr>
        <w:overflowPunct w:val="0"/>
        <w:autoSpaceDE w:val="0"/>
        <w:autoSpaceDN w:val="0"/>
        <w:adjustRightInd w:val="0"/>
        <w:textAlignment w:val="baseline"/>
        <w:rPr>
          <w:bCs/>
          <w:iCs/>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4819"/>
      </w:tblGrid>
      <w:tr w:rsidR="000C49B7" w:rsidRPr="000C49B7" w14:paraId="068AAEBE" w14:textId="77777777" w:rsidTr="00C25130">
        <w:tc>
          <w:tcPr>
            <w:tcW w:w="1223" w:type="pct"/>
          </w:tcPr>
          <w:p w14:paraId="1993E7F8" w14:textId="77777777" w:rsidR="000C49B7" w:rsidRPr="000C49B7" w:rsidRDefault="000C49B7" w:rsidP="000C49B7">
            <w:pPr>
              <w:overflowPunct w:val="0"/>
              <w:autoSpaceDE w:val="0"/>
              <w:autoSpaceDN w:val="0"/>
              <w:adjustRightInd w:val="0"/>
              <w:textAlignment w:val="baseline"/>
              <w:rPr>
                <w:i/>
              </w:rPr>
            </w:pPr>
            <w:r>
              <w:rPr>
                <w:b/>
                <w:i/>
              </w:rPr>
              <w:t>Date de contact:</w:t>
            </w:r>
          </w:p>
        </w:tc>
        <w:tc>
          <w:tcPr>
            <w:tcW w:w="3777" w:type="pct"/>
          </w:tcPr>
          <w:p w14:paraId="5A36E20B" w14:textId="74B2C149" w:rsidR="000C49B7" w:rsidRPr="000C49B7" w:rsidRDefault="000C49B7" w:rsidP="000C49B7">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000C49B7" w:rsidRPr="000C49B7" w14:paraId="2A9ED55A" w14:textId="77777777" w:rsidTr="00C25130">
        <w:tc>
          <w:tcPr>
            <w:tcW w:w="1223" w:type="pct"/>
          </w:tcPr>
          <w:p w14:paraId="115E7456" w14:textId="77777777" w:rsidR="000C49B7" w:rsidRPr="000C49B7" w:rsidRDefault="000C49B7" w:rsidP="000C49B7">
            <w:pPr>
              <w:overflowPunct w:val="0"/>
              <w:autoSpaceDE w:val="0"/>
              <w:autoSpaceDN w:val="0"/>
              <w:adjustRightInd w:val="0"/>
              <w:textAlignment w:val="baseline"/>
              <w:rPr>
                <w:i/>
              </w:rPr>
            </w:pPr>
            <w:r>
              <w:rPr>
                <w:i/>
              </w:rPr>
              <w:t>Tel.:</w:t>
            </w:r>
          </w:p>
        </w:tc>
        <w:tc>
          <w:tcPr>
            <w:tcW w:w="3777" w:type="pct"/>
          </w:tcPr>
          <w:p w14:paraId="6FA1BB64" w14:textId="77777777" w:rsidR="000C49B7" w:rsidRPr="000C49B7" w:rsidRDefault="000C49B7" w:rsidP="000C49B7">
            <w:pPr>
              <w:overflowPunct w:val="0"/>
              <w:autoSpaceDE w:val="0"/>
              <w:autoSpaceDN w:val="0"/>
              <w:adjustRightInd w:val="0"/>
              <w:textAlignment w:val="baseline"/>
              <w:rPr>
                <w:i/>
              </w:rPr>
            </w:pPr>
            <w:r>
              <w:rPr>
                <w:i/>
              </w:rPr>
              <w:t>+ 32 25469140</w:t>
            </w:r>
          </w:p>
        </w:tc>
      </w:tr>
      <w:tr w:rsidR="000C49B7" w:rsidRPr="000C49B7" w14:paraId="726BC320" w14:textId="77777777" w:rsidTr="00C25130">
        <w:tc>
          <w:tcPr>
            <w:tcW w:w="1223" w:type="pct"/>
          </w:tcPr>
          <w:p w14:paraId="2A6BB86F" w14:textId="77777777" w:rsidR="000C49B7" w:rsidRPr="000C49B7" w:rsidRDefault="000C49B7" w:rsidP="000C49B7">
            <w:pPr>
              <w:overflowPunct w:val="0"/>
              <w:autoSpaceDE w:val="0"/>
              <w:autoSpaceDN w:val="0"/>
              <w:adjustRightInd w:val="0"/>
              <w:textAlignment w:val="baseline"/>
              <w:rPr>
                <w:i/>
              </w:rPr>
            </w:pPr>
            <w:r>
              <w:rPr>
                <w:i/>
              </w:rPr>
              <w:t>E-mail:</w:t>
            </w:r>
          </w:p>
        </w:tc>
        <w:tc>
          <w:tcPr>
            <w:tcW w:w="3777" w:type="pct"/>
          </w:tcPr>
          <w:p w14:paraId="018F52E5" w14:textId="77777777" w:rsidR="000C49B7" w:rsidRPr="000C49B7" w:rsidRDefault="005A1446" w:rsidP="000C49B7">
            <w:pPr>
              <w:overflowPunct w:val="0"/>
              <w:autoSpaceDE w:val="0"/>
              <w:autoSpaceDN w:val="0"/>
              <w:adjustRightInd w:val="0"/>
              <w:textAlignment w:val="baseline"/>
              <w:rPr>
                <w:i/>
                <w:iCs/>
              </w:rPr>
            </w:pPr>
            <w:hyperlink r:id="rId39" w:history="1">
              <w:r w:rsidR="00CA46B0">
                <w:rPr>
                  <w:i/>
                  <w:color w:val="0000FF"/>
                  <w:u w:val="single"/>
                </w:rPr>
                <w:t>Marco.Manfroni@eesc.europa.eu</w:t>
              </w:r>
            </w:hyperlink>
          </w:p>
        </w:tc>
      </w:tr>
    </w:tbl>
    <w:p w14:paraId="324F7D37" w14:textId="36ED278C" w:rsidR="00D032F4" w:rsidRDefault="00D032F4" w:rsidP="004D7AC0">
      <w:pPr>
        <w:pStyle w:val="ListParagraph"/>
        <w:ind w:left="0"/>
      </w:pPr>
    </w:p>
    <w:p w14:paraId="4312F881" w14:textId="77777777" w:rsidR="00D032F4" w:rsidRDefault="00D032F4">
      <w:pPr>
        <w:spacing w:after="160" w:line="259" w:lineRule="auto"/>
        <w:jc w:val="left"/>
      </w:pPr>
      <w:r>
        <w:br w:type="page"/>
      </w:r>
    </w:p>
    <w:p w14:paraId="33905C83" w14:textId="750152EA" w:rsidR="0012298C" w:rsidRPr="0012298C" w:rsidRDefault="005A1446" w:rsidP="002C2DFE">
      <w:pPr>
        <w:widowControl w:val="0"/>
        <w:numPr>
          <w:ilvl w:val="0"/>
          <w:numId w:val="14"/>
        </w:numPr>
        <w:overflowPunct w:val="0"/>
        <w:autoSpaceDE w:val="0"/>
        <w:autoSpaceDN w:val="0"/>
        <w:adjustRightInd w:val="0"/>
        <w:ind w:hanging="567"/>
        <w:textAlignment w:val="baseline"/>
        <w:rPr>
          <w:b/>
        </w:rPr>
      </w:pPr>
      <w:hyperlink r:id="rId40" w:tgtFrame="_blank" w:history="1">
        <w:r w:rsidR="00CA46B0">
          <w:rPr>
            <w:b/>
            <w:i/>
            <w:color w:val="0000FF"/>
            <w:sz w:val="28"/>
            <w:u w:val="single"/>
          </w:rPr>
          <w:t>Strategia cuantică</w:t>
        </w:r>
      </w:hyperlink>
    </w:p>
    <w:p w14:paraId="4439EB66" w14:textId="77777777" w:rsidR="0012298C" w:rsidRPr="0012298C" w:rsidRDefault="0012298C" w:rsidP="0012298C">
      <w:pPr>
        <w:widowControl w:val="0"/>
        <w:overflowPunct w:val="0"/>
        <w:autoSpaceDE w:val="0"/>
        <w:autoSpaceDN w:val="0"/>
        <w:adjustRightInd w:val="0"/>
        <w:ind w:left="266"/>
        <w:textAlignment w:val="baseline"/>
        <w:rPr>
          <w:b/>
          <w:lang w:val="en-GB"/>
        </w:rPr>
      </w:pPr>
    </w:p>
    <w:tbl>
      <w:tblPr>
        <w:tblStyle w:val="TableGrid1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2298C" w:rsidRPr="0012298C" w14:paraId="73C9D7CC" w14:textId="77777777" w:rsidTr="0012298C">
        <w:tc>
          <w:tcPr>
            <w:tcW w:w="1148" w:type="pct"/>
          </w:tcPr>
          <w:p w14:paraId="7D0891C6"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Raportor:</w:t>
            </w:r>
          </w:p>
        </w:tc>
        <w:tc>
          <w:tcPr>
            <w:tcW w:w="3852" w:type="pct"/>
          </w:tcPr>
          <w:p w14:paraId="7E934BA4" w14:textId="03905BA9" w:rsidR="0012298C" w:rsidRPr="0012298C" w:rsidRDefault="0012298C" w:rsidP="00C25130">
            <w:pPr>
              <w:tabs>
                <w:tab w:val="center" w:pos="284"/>
              </w:tabs>
              <w:overflowPunct w:val="0"/>
              <w:autoSpaceDE w:val="0"/>
              <w:autoSpaceDN w:val="0"/>
              <w:adjustRightInd w:val="0"/>
              <w:ind w:left="266" w:hanging="266"/>
              <w:textAlignment w:val="baseline"/>
            </w:pPr>
            <w:r>
              <w:t>Maurizio MENSI (Grupul „Organizații ale societății civile” – IT)</w:t>
            </w:r>
          </w:p>
        </w:tc>
      </w:tr>
      <w:tr w:rsidR="0012298C" w:rsidRPr="0012298C" w14:paraId="1A2B4ABF" w14:textId="77777777" w:rsidTr="0012298C">
        <w:tc>
          <w:tcPr>
            <w:tcW w:w="1148" w:type="pct"/>
            <w:vMerge w:val="restart"/>
          </w:tcPr>
          <w:p w14:paraId="2168ABD1"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Referințe:</w:t>
            </w:r>
          </w:p>
        </w:tc>
        <w:tc>
          <w:tcPr>
            <w:tcW w:w="3852" w:type="pct"/>
          </w:tcPr>
          <w:p w14:paraId="47942A65" w14:textId="209F3B3B" w:rsidR="0012298C" w:rsidRPr="0012298C" w:rsidRDefault="0012298C" w:rsidP="0012298C">
            <w:pPr>
              <w:tabs>
                <w:tab w:val="center" w:pos="284"/>
              </w:tabs>
              <w:overflowPunct w:val="0"/>
              <w:autoSpaceDE w:val="0"/>
              <w:autoSpaceDN w:val="0"/>
              <w:adjustRightInd w:val="0"/>
              <w:ind w:left="266" w:hanging="266"/>
              <w:textAlignment w:val="baseline"/>
            </w:pPr>
            <w:r>
              <w:t>COM (2025) 363 final</w:t>
            </w:r>
          </w:p>
        </w:tc>
      </w:tr>
      <w:tr w:rsidR="0012298C" w:rsidRPr="0012298C" w14:paraId="258EC54F" w14:textId="77777777" w:rsidTr="0012298C">
        <w:tc>
          <w:tcPr>
            <w:tcW w:w="1148" w:type="pct"/>
            <w:vMerge/>
          </w:tcPr>
          <w:p w14:paraId="09DF4400" w14:textId="77777777" w:rsidR="0012298C" w:rsidRPr="0012298C" w:rsidRDefault="0012298C" w:rsidP="0012298C">
            <w:pPr>
              <w:tabs>
                <w:tab w:val="center" w:pos="284"/>
              </w:tabs>
              <w:overflowPunct w:val="0"/>
              <w:autoSpaceDE w:val="0"/>
              <w:autoSpaceDN w:val="0"/>
              <w:adjustRightInd w:val="0"/>
              <w:ind w:left="266" w:hanging="266"/>
              <w:textAlignment w:val="baseline"/>
              <w:rPr>
                <w:b/>
              </w:rPr>
            </w:pPr>
          </w:p>
        </w:tc>
        <w:tc>
          <w:tcPr>
            <w:tcW w:w="3852" w:type="pct"/>
          </w:tcPr>
          <w:p w14:paraId="554079D5" w14:textId="77777777" w:rsidR="0012298C" w:rsidRPr="0012298C" w:rsidRDefault="0012298C" w:rsidP="0012298C">
            <w:pPr>
              <w:tabs>
                <w:tab w:val="center" w:pos="284"/>
              </w:tabs>
              <w:overflowPunct w:val="0"/>
              <w:autoSpaceDE w:val="0"/>
              <w:autoSpaceDN w:val="0"/>
              <w:adjustRightInd w:val="0"/>
              <w:ind w:left="266" w:hanging="266"/>
              <w:textAlignment w:val="baseline"/>
            </w:pPr>
            <w:r>
              <w:t>EESC-2025-02334-00-00-AC</w:t>
            </w:r>
          </w:p>
        </w:tc>
      </w:tr>
    </w:tbl>
    <w:p w14:paraId="713434DF" w14:textId="77777777" w:rsidR="0012298C" w:rsidRPr="0012298C" w:rsidRDefault="0012298C" w:rsidP="0012298C">
      <w:pPr>
        <w:tabs>
          <w:tab w:val="center" w:pos="284"/>
        </w:tabs>
        <w:overflowPunct w:val="0"/>
        <w:autoSpaceDE w:val="0"/>
        <w:autoSpaceDN w:val="0"/>
        <w:adjustRightInd w:val="0"/>
        <w:ind w:left="266" w:hanging="266"/>
        <w:textAlignment w:val="baseline"/>
        <w:rPr>
          <w:lang w:val="en-GB"/>
        </w:rPr>
      </w:pPr>
    </w:p>
    <w:p w14:paraId="7ADD52A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rPr>
      </w:pPr>
      <w:r>
        <w:rPr>
          <w:b/>
        </w:rPr>
        <w:t>Punctele principale:</w:t>
      </w:r>
    </w:p>
    <w:p w14:paraId="17B8FCC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lang w:val="en-GB"/>
        </w:rPr>
      </w:pPr>
    </w:p>
    <w:p w14:paraId="2EC640FA" w14:textId="77777777" w:rsidR="0012298C" w:rsidRPr="0012298C" w:rsidRDefault="0012298C" w:rsidP="0012298C">
      <w:pPr>
        <w:overflowPunct w:val="0"/>
        <w:autoSpaceDE w:val="0"/>
        <w:autoSpaceDN w:val="0"/>
        <w:adjustRightInd w:val="0"/>
        <w:textAlignment w:val="baseline"/>
        <w:rPr>
          <w:bCs/>
          <w:iCs/>
        </w:rPr>
      </w:pPr>
      <w:r>
        <w:t>CESE:</w:t>
      </w:r>
    </w:p>
    <w:p w14:paraId="06B772C4" w14:textId="77777777" w:rsidR="0012298C" w:rsidRPr="0012298C" w:rsidRDefault="0012298C" w:rsidP="0012298C">
      <w:pPr>
        <w:overflowPunct w:val="0"/>
        <w:autoSpaceDE w:val="0"/>
        <w:autoSpaceDN w:val="0"/>
        <w:adjustRightInd w:val="0"/>
        <w:textAlignment w:val="baseline"/>
        <w:rPr>
          <w:bCs/>
          <w:iCs/>
          <w:lang w:val="en-GB"/>
        </w:rPr>
      </w:pPr>
    </w:p>
    <w:p w14:paraId="46BA88AB"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subliniază </w:t>
      </w:r>
      <w:r>
        <w:rPr>
          <w:b/>
        </w:rPr>
        <w:t>finanțarea specifică, accesul la capitalul de creștere</w:t>
      </w:r>
      <w:r>
        <w:t xml:space="preserve"> și </w:t>
      </w:r>
      <w:r>
        <w:rPr>
          <w:b/>
        </w:rPr>
        <w:t>sprijinul din partea întreprinderilor mari</w:t>
      </w:r>
      <w:r>
        <w:t xml:space="preserve"> pentru a asigura un ecosistem cuantic european competitiv și integrat;</w:t>
      </w:r>
    </w:p>
    <w:p w14:paraId="7D19DC30"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solicită </w:t>
      </w:r>
      <w:r>
        <w:rPr>
          <w:b/>
        </w:rPr>
        <w:t>extinderea infrastructurilor cuantice publice</w:t>
      </w:r>
      <w:r>
        <w:t xml:space="preserve"> și crearea de bancuri de testare cu acces liber pentru a permite experimentarea, transferul de tehnologie și participarea largă, inclusiv a IMM-urilor și a institutelor de cercetare;</w:t>
      </w:r>
    </w:p>
    <w:p w14:paraId="642115FF"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subliniază </w:t>
      </w:r>
      <w:r>
        <w:rPr>
          <w:b/>
        </w:rPr>
        <w:t>aplicațiile strategice</w:t>
      </w:r>
      <w:r>
        <w:t xml:space="preserve"> ale tehnologiilor cuantice, care pot transforma sectoare precum </w:t>
      </w:r>
      <w:r>
        <w:rPr>
          <w:b/>
        </w:rPr>
        <w:t>apărarea, securitatea, spațiul, sănătatea, științele vieții</w:t>
      </w:r>
      <w:r>
        <w:t xml:space="preserve"> și </w:t>
      </w:r>
      <w:r>
        <w:rPr>
          <w:b/>
        </w:rPr>
        <w:t>industria autovehiculelor</w:t>
      </w:r>
      <w:r>
        <w:t>, și subliniază importanța unor cadre solide privind proprietatea intelectuală pentru a proteja inovațiile în UE;</w:t>
      </w:r>
    </w:p>
    <w:p w14:paraId="6455BB84"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îndeamnă la </w:t>
      </w:r>
      <w:r>
        <w:rPr>
          <w:b/>
        </w:rPr>
        <w:t>investiții în dezvoltarea competențelor și a talentelor</w:t>
      </w:r>
      <w:r>
        <w:t>, inclusiv în Academia europeană de competențe cuantice și în bursele pentru doctoranzi, pentru a păstra profesioniștii cu înaltă calificare și a accelera aplicarea practică a cercetării;</w:t>
      </w:r>
    </w:p>
    <w:p w14:paraId="480795AA"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subliniază necesitatea unor </w:t>
      </w:r>
      <w:r>
        <w:rPr>
          <w:b/>
        </w:rPr>
        <w:t>instrumente de monitorizare eficace, a unor indicatori-cheie de performanță clari</w:t>
      </w:r>
      <w:r>
        <w:t xml:space="preserve"> și </w:t>
      </w:r>
      <w:r>
        <w:rPr>
          <w:b/>
        </w:rPr>
        <w:t>a unei guvernanțe incluzive a UE</w:t>
      </w:r>
      <w:r>
        <w:t xml:space="preserve"> pentru a asigura urmărirea progreselor, maximizarea rezultatelor și armonizarea investițiilor în toate statele membre;</w:t>
      </w:r>
    </w:p>
    <w:p w14:paraId="66056502" w14:textId="77777777" w:rsidR="0012298C" w:rsidRPr="0012298C" w:rsidRDefault="0012298C" w:rsidP="002C2DFE">
      <w:pPr>
        <w:numPr>
          <w:ilvl w:val="0"/>
          <w:numId w:val="43"/>
        </w:numPr>
        <w:overflowPunct w:val="0"/>
        <w:autoSpaceDE w:val="0"/>
        <w:autoSpaceDN w:val="0"/>
        <w:adjustRightInd w:val="0"/>
        <w:ind w:left="284" w:hanging="284"/>
        <w:textAlignment w:val="baseline"/>
        <w:rPr>
          <w:rFonts w:ascii="Calibri" w:hAnsi="Calibri"/>
        </w:rPr>
      </w:pPr>
      <w:r>
        <w:t xml:space="preserve">solicită </w:t>
      </w:r>
      <w:r>
        <w:rPr>
          <w:b/>
        </w:rPr>
        <w:t>promovarea unui ecosistem cuantic european coordonat și integrat</w:t>
      </w:r>
      <w:r>
        <w:t>, care să combine cercetarea, inovarea, infrastructura, talentele și guvernanța, pentru a consolida suveranitatea tehnologică și competitivitatea industrială a Europei.</w:t>
      </w:r>
    </w:p>
    <w:p w14:paraId="7800FE27" w14:textId="77777777" w:rsidR="0012298C" w:rsidRPr="0012298C" w:rsidRDefault="0012298C" w:rsidP="0012298C">
      <w:pPr>
        <w:jc w:val="left"/>
        <w:rPr>
          <w:sz w:val="24"/>
          <w:szCs w:val="24"/>
          <w:lang w:val="en-GB"/>
        </w:rPr>
      </w:pPr>
    </w:p>
    <w:tbl>
      <w:tblPr>
        <w:tblStyle w:val="TableGrid11"/>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2298C" w:rsidRPr="0012298C" w14:paraId="3EC52C31" w14:textId="77777777" w:rsidTr="0012298C">
        <w:tc>
          <w:tcPr>
            <w:tcW w:w="1556" w:type="pct"/>
          </w:tcPr>
          <w:p w14:paraId="06375001" w14:textId="77777777" w:rsidR="0012298C" w:rsidRPr="0012298C" w:rsidRDefault="0012298C" w:rsidP="0012298C">
            <w:pPr>
              <w:overflowPunct w:val="0"/>
              <w:autoSpaceDE w:val="0"/>
              <w:autoSpaceDN w:val="0"/>
              <w:adjustRightInd w:val="0"/>
              <w:textAlignment w:val="baseline"/>
              <w:rPr>
                <w:i/>
              </w:rPr>
            </w:pPr>
            <w:r>
              <w:rPr>
                <w:b/>
                <w:i/>
              </w:rPr>
              <w:t>Date de contact:</w:t>
            </w:r>
          </w:p>
        </w:tc>
        <w:tc>
          <w:tcPr>
            <w:tcW w:w="3444" w:type="pct"/>
          </w:tcPr>
          <w:p w14:paraId="1304EB57" w14:textId="77777777" w:rsidR="0012298C" w:rsidRPr="0012298C" w:rsidRDefault="0012298C" w:rsidP="0012298C">
            <w:pPr>
              <w:overflowPunct w:val="0"/>
              <w:autoSpaceDE w:val="0"/>
              <w:autoSpaceDN w:val="0"/>
              <w:adjustRightInd w:val="0"/>
              <w:textAlignment w:val="baseline"/>
              <w:rPr>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0012298C" w:rsidRPr="0012298C" w14:paraId="745D8B9A" w14:textId="77777777" w:rsidTr="0012298C">
        <w:tc>
          <w:tcPr>
            <w:tcW w:w="1556" w:type="pct"/>
          </w:tcPr>
          <w:p w14:paraId="2D3D277F" w14:textId="77777777" w:rsidR="0012298C" w:rsidRPr="0012298C" w:rsidRDefault="0012298C" w:rsidP="0012298C">
            <w:pPr>
              <w:overflowPunct w:val="0"/>
              <w:autoSpaceDE w:val="0"/>
              <w:autoSpaceDN w:val="0"/>
              <w:adjustRightInd w:val="0"/>
              <w:textAlignment w:val="baseline"/>
              <w:rPr>
                <w:i/>
              </w:rPr>
            </w:pPr>
            <w:r>
              <w:rPr>
                <w:i/>
              </w:rPr>
              <w:t>Tel.:</w:t>
            </w:r>
          </w:p>
        </w:tc>
        <w:tc>
          <w:tcPr>
            <w:tcW w:w="3444" w:type="pct"/>
          </w:tcPr>
          <w:p w14:paraId="1E2108DB" w14:textId="77777777" w:rsidR="0012298C" w:rsidRPr="0012298C" w:rsidRDefault="0012298C" w:rsidP="0012298C">
            <w:pPr>
              <w:overflowPunct w:val="0"/>
              <w:autoSpaceDE w:val="0"/>
              <w:autoSpaceDN w:val="0"/>
              <w:adjustRightInd w:val="0"/>
              <w:textAlignment w:val="baseline"/>
              <w:rPr>
                <w:i/>
              </w:rPr>
            </w:pPr>
            <w:r>
              <w:rPr>
                <w:i/>
              </w:rPr>
              <w:t>+32 25468485</w:t>
            </w:r>
          </w:p>
        </w:tc>
      </w:tr>
      <w:tr w:rsidR="0012298C" w:rsidRPr="0012298C" w14:paraId="253FF73F" w14:textId="77777777" w:rsidTr="0012298C">
        <w:tc>
          <w:tcPr>
            <w:tcW w:w="1556" w:type="pct"/>
          </w:tcPr>
          <w:p w14:paraId="43C18F2D" w14:textId="568040E4" w:rsidR="0012298C" w:rsidRPr="0012298C" w:rsidRDefault="008B365F" w:rsidP="0012298C">
            <w:pPr>
              <w:overflowPunct w:val="0"/>
              <w:autoSpaceDE w:val="0"/>
              <w:autoSpaceDN w:val="0"/>
              <w:adjustRightInd w:val="0"/>
              <w:textAlignment w:val="baseline"/>
              <w:rPr>
                <w:i/>
              </w:rPr>
            </w:pPr>
            <w:r>
              <w:rPr>
                <w:i/>
              </w:rPr>
              <w:t>E-mail:</w:t>
            </w:r>
          </w:p>
        </w:tc>
        <w:tc>
          <w:tcPr>
            <w:tcW w:w="3444" w:type="pct"/>
          </w:tcPr>
          <w:p w14:paraId="739E917A" w14:textId="77777777" w:rsidR="0012298C" w:rsidRPr="0012298C" w:rsidRDefault="005A1446" w:rsidP="0012298C">
            <w:pPr>
              <w:overflowPunct w:val="0"/>
              <w:autoSpaceDE w:val="0"/>
              <w:autoSpaceDN w:val="0"/>
              <w:adjustRightInd w:val="0"/>
              <w:textAlignment w:val="baseline"/>
              <w:rPr>
                <w:i/>
                <w:iCs/>
              </w:rPr>
            </w:pPr>
            <w:hyperlink r:id="rId41" w:history="1">
              <w:r w:rsidR="00CA46B0">
                <w:rPr>
                  <w:i/>
                  <w:color w:val="0000FF"/>
                  <w:u w:val="single"/>
                </w:rPr>
                <w:t>Yousra.AsbouniElOuahabi@eesc.europa.eu</w:t>
              </w:r>
            </w:hyperlink>
          </w:p>
        </w:tc>
      </w:tr>
    </w:tbl>
    <w:p w14:paraId="14F5DB5C" w14:textId="7BC7EAD2" w:rsidR="00050772" w:rsidRDefault="00050772" w:rsidP="004D7AC0">
      <w:pPr>
        <w:pStyle w:val="ListParagraph"/>
        <w:ind w:left="0"/>
      </w:pPr>
    </w:p>
    <w:p w14:paraId="3F88728D" w14:textId="77777777" w:rsidR="00050772" w:rsidRDefault="00050772">
      <w:pPr>
        <w:spacing w:after="160" w:line="259" w:lineRule="auto"/>
        <w:jc w:val="left"/>
      </w:pPr>
      <w:r>
        <w:br w:type="page"/>
      </w:r>
    </w:p>
    <w:p w14:paraId="62DF5DFC" w14:textId="51C1EEE7" w:rsidR="0007736E" w:rsidRPr="0007736E" w:rsidRDefault="005A1446" w:rsidP="00A704FE">
      <w:pPr>
        <w:widowControl w:val="0"/>
        <w:numPr>
          <w:ilvl w:val="0"/>
          <w:numId w:val="14"/>
        </w:numPr>
        <w:overflowPunct w:val="0"/>
        <w:autoSpaceDE w:val="0"/>
        <w:autoSpaceDN w:val="0"/>
        <w:adjustRightInd w:val="0"/>
        <w:ind w:hanging="567"/>
        <w:textAlignment w:val="baseline"/>
        <w:rPr>
          <w:sz w:val="20"/>
          <w:szCs w:val="20"/>
        </w:rPr>
      </w:pPr>
      <w:hyperlink r:id="rId42" w:tgtFrame="_blank" w:history="1">
        <w:r w:rsidR="00CA46B0">
          <w:rPr>
            <w:b/>
            <w:i/>
            <w:color w:val="0000FF"/>
            <w:sz w:val="28"/>
            <w:u w:val="single"/>
          </w:rPr>
          <w:t>Strategia privind aplicarea IA – consolidarea continentului IA</w:t>
        </w:r>
      </w:hyperlink>
    </w:p>
    <w:p w14:paraId="2E25827C" w14:textId="77777777" w:rsidR="0007736E" w:rsidRPr="0007736E" w:rsidRDefault="0007736E" w:rsidP="0007736E">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07736E" w:rsidRPr="0007736E" w14:paraId="548A35E5" w14:textId="77777777" w:rsidTr="00051934">
        <w:tc>
          <w:tcPr>
            <w:tcW w:w="1701" w:type="dxa"/>
          </w:tcPr>
          <w:p w14:paraId="700BA523"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Raportor:</w:t>
            </w:r>
          </w:p>
        </w:tc>
        <w:tc>
          <w:tcPr>
            <w:tcW w:w="7088" w:type="dxa"/>
          </w:tcPr>
          <w:p w14:paraId="09CB249B" w14:textId="17F6ECC9" w:rsidR="0007736E" w:rsidRPr="0007736E" w:rsidRDefault="0007736E" w:rsidP="0007736E">
            <w:pPr>
              <w:tabs>
                <w:tab w:val="center" w:pos="284"/>
              </w:tabs>
              <w:overflowPunct w:val="0"/>
              <w:autoSpaceDE w:val="0"/>
              <w:autoSpaceDN w:val="0"/>
              <w:adjustRightInd w:val="0"/>
              <w:ind w:left="266" w:hanging="266"/>
              <w:textAlignment w:val="baseline"/>
            </w:pPr>
            <w:r>
              <w:t>Rudolf KOLBE (Grupul „Organizații ale societății civile” – AT)</w:t>
            </w:r>
          </w:p>
          <w:p w14:paraId="51480F92" w14:textId="76E69ED4" w:rsidR="0007736E" w:rsidRPr="0007736E" w:rsidRDefault="0007736E" w:rsidP="0007736E">
            <w:pPr>
              <w:tabs>
                <w:tab w:val="center" w:pos="284"/>
              </w:tabs>
              <w:overflowPunct w:val="0"/>
              <w:autoSpaceDE w:val="0"/>
              <w:autoSpaceDN w:val="0"/>
              <w:adjustRightInd w:val="0"/>
              <w:ind w:left="266" w:hanging="266"/>
              <w:textAlignment w:val="baseline"/>
            </w:pPr>
            <w:r>
              <w:t>Miroslav HAJNOŠ (Grupul „Lucrători” – SK)</w:t>
            </w:r>
          </w:p>
        </w:tc>
      </w:tr>
      <w:tr w:rsidR="0007736E" w:rsidRPr="0007736E" w14:paraId="717EF1D5" w14:textId="77777777" w:rsidTr="00051934">
        <w:tc>
          <w:tcPr>
            <w:tcW w:w="8789" w:type="dxa"/>
            <w:gridSpan w:val="2"/>
          </w:tcPr>
          <w:p w14:paraId="55427492" w14:textId="77777777" w:rsidR="0007736E" w:rsidRPr="0007736E" w:rsidRDefault="0007736E" w:rsidP="0007736E">
            <w:pPr>
              <w:tabs>
                <w:tab w:val="center" w:pos="284"/>
              </w:tabs>
              <w:overflowPunct w:val="0"/>
              <w:autoSpaceDE w:val="0"/>
              <w:autoSpaceDN w:val="0"/>
              <w:adjustRightInd w:val="0"/>
              <w:spacing w:line="160" w:lineRule="exact"/>
              <w:ind w:left="266" w:hanging="266"/>
              <w:textAlignment w:val="baseline"/>
            </w:pPr>
          </w:p>
        </w:tc>
      </w:tr>
      <w:tr w:rsidR="0007736E" w:rsidRPr="0007736E" w14:paraId="34700DA3" w14:textId="77777777" w:rsidTr="00051934">
        <w:tc>
          <w:tcPr>
            <w:tcW w:w="1701" w:type="dxa"/>
            <w:vMerge w:val="restart"/>
          </w:tcPr>
          <w:p w14:paraId="2E106EB1"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Referințe:</w:t>
            </w:r>
          </w:p>
        </w:tc>
        <w:tc>
          <w:tcPr>
            <w:tcW w:w="7088" w:type="dxa"/>
          </w:tcPr>
          <w:p w14:paraId="2DA8812B" w14:textId="106A72A5" w:rsidR="0007736E" w:rsidRPr="0007736E" w:rsidRDefault="0007736E" w:rsidP="0007736E">
            <w:pPr>
              <w:tabs>
                <w:tab w:val="center" w:pos="284"/>
              </w:tabs>
              <w:overflowPunct w:val="0"/>
              <w:autoSpaceDE w:val="0"/>
              <w:autoSpaceDN w:val="0"/>
              <w:adjustRightInd w:val="0"/>
              <w:ind w:left="266" w:hanging="266"/>
              <w:textAlignment w:val="baseline"/>
            </w:pPr>
            <w:r>
              <w:t>COM(2025) 723 final</w:t>
            </w:r>
          </w:p>
        </w:tc>
      </w:tr>
      <w:tr w:rsidR="0007736E" w:rsidRPr="0007736E" w14:paraId="40840D51" w14:textId="77777777" w:rsidTr="00051934">
        <w:tc>
          <w:tcPr>
            <w:tcW w:w="1701" w:type="dxa"/>
            <w:vMerge/>
          </w:tcPr>
          <w:p w14:paraId="49C7F6D6"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p>
        </w:tc>
        <w:tc>
          <w:tcPr>
            <w:tcW w:w="7088" w:type="dxa"/>
          </w:tcPr>
          <w:p w14:paraId="17555AAB" w14:textId="5EBCDAB6" w:rsidR="0007736E" w:rsidRPr="0007736E" w:rsidRDefault="00C25130" w:rsidP="0007736E">
            <w:pPr>
              <w:tabs>
                <w:tab w:val="center" w:pos="284"/>
              </w:tabs>
              <w:overflowPunct w:val="0"/>
              <w:autoSpaceDE w:val="0"/>
              <w:autoSpaceDN w:val="0"/>
              <w:adjustRightInd w:val="0"/>
              <w:ind w:left="266" w:hanging="266"/>
              <w:textAlignment w:val="baseline"/>
            </w:pPr>
            <w:r>
              <w:t>EESC-2025-03470-00-00-AC</w:t>
            </w:r>
          </w:p>
        </w:tc>
      </w:tr>
    </w:tbl>
    <w:p w14:paraId="24FFA2EF" w14:textId="77777777" w:rsidR="0007736E" w:rsidRPr="0007736E" w:rsidRDefault="0007736E" w:rsidP="0007736E">
      <w:pPr>
        <w:tabs>
          <w:tab w:val="center" w:pos="284"/>
        </w:tabs>
        <w:overflowPunct w:val="0"/>
        <w:autoSpaceDE w:val="0"/>
        <w:autoSpaceDN w:val="0"/>
        <w:adjustRightInd w:val="0"/>
        <w:ind w:left="266" w:hanging="266"/>
        <w:textAlignment w:val="baseline"/>
        <w:rPr>
          <w:lang w:val="en-GB"/>
        </w:rPr>
      </w:pPr>
    </w:p>
    <w:p w14:paraId="7E1A81BD"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rPr>
      </w:pPr>
      <w:r>
        <w:rPr>
          <w:b/>
        </w:rPr>
        <w:t>Punctele principale:</w:t>
      </w:r>
    </w:p>
    <w:p w14:paraId="59F02479"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lang w:val="en-GB"/>
        </w:rPr>
      </w:pPr>
    </w:p>
    <w:p w14:paraId="6CB416B0" w14:textId="77777777" w:rsidR="0007736E" w:rsidRPr="0007736E" w:rsidRDefault="0007736E" w:rsidP="0007736E">
      <w:pPr>
        <w:overflowPunct w:val="0"/>
        <w:autoSpaceDE w:val="0"/>
        <w:autoSpaceDN w:val="0"/>
        <w:adjustRightInd w:val="0"/>
        <w:textAlignment w:val="baseline"/>
        <w:rPr>
          <w:bCs/>
          <w:iCs/>
        </w:rPr>
      </w:pPr>
      <w:r>
        <w:t>CESE:</w:t>
      </w:r>
    </w:p>
    <w:p w14:paraId="53D74AE2" w14:textId="77777777" w:rsidR="0007736E" w:rsidRPr="0007736E" w:rsidRDefault="0007736E" w:rsidP="0007736E">
      <w:pPr>
        <w:overflowPunct w:val="0"/>
        <w:autoSpaceDE w:val="0"/>
        <w:autoSpaceDN w:val="0"/>
        <w:adjustRightInd w:val="0"/>
        <w:textAlignment w:val="baseline"/>
        <w:rPr>
          <w:bCs/>
          <w:iCs/>
          <w:lang w:val="en-GB"/>
        </w:rPr>
      </w:pPr>
    </w:p>
    <w:p w14:paraId="05609E24"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solicită măsuri concrete și care pot fi implementate rapid pentru a accelera </w:t>
      </w:r>
      <w:r>
        <w:rPr>
          <w:b/>
        </w:rPr>
        <w:t>comercializarea IA</w:t>
      </w:r>
      <w:r>
        <w:t>, în special pentru IMM-uri și întreprinderile în curs de extindere, prin simplificarea accesului la finanțare, reducerea sarcinii administrative, norme mai clare privind proprietatea intelectuală și sprijin pentru extinderea transfrontalieră pe piața unică;</w:t>
      </w:r>
    </w:p>
    <w:p w14:paraId="0F8A81FA"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subliniază importanța </w:t>
      </w:r>
      <w:r>
        <w:rPr>
          <w:b/>
        </w:rPr>
        <w:t>clusterelor regionale de competențe</w:t>
      </w:r>
      <w:r>
        <w:t>, a valorificării centrelor europene de inovare digitală și a includerii sectoarelor subreprezentate, cum ar fi finanțele, turismul și comerțul electronic, pentru a asigura o abordare holistică și incluzivă a IA;</w:t>
      </w:r>
    </w:p>
    <w:p w14:paraId="23F1101E"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îndeamnă la investiții în </w:t>
      </w:r>
      <w:r>
        <w:rPr>
          <w:b/>
        </w:rPr>
        <w:t>competențele și alfabetizarea în domeniul IA</w:t>
      </w:r>
      <w:r>
        <w:t>, inclusiv definiții clare pentru perfecționare și calificare încrucișată, pentru a sprijini integrarea sigură și eficace a IA în sectoare-cheie precum asistența medicală, apărarea și securitatea și sectorul public;</w:t>
      </w:r>
    </w:p>
    <w:p w14:paraId="2214E96F"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subliniază necesitatea </w:t>
      </w:r>
      <w:r>
        <w:rPr>
          <w:b/>
        </w:rPr>
        <w:t>clarității și proporționalității în materie de reglementare</w:t>
      </w:r>
      <w:r>
        <w:t>, a unor cadre consolidate privind schimbul de date și proprietatea intelectuală și a unei guvernanțe favorabile incluziunii, cu o reprezentare echilibrată a părților interesate, asigurându-se că obligațiile sunt adecvate pentru IMM-uri și întreprinderile nou-înființate inovatoare;</w:t>
      </w:r>
    </w:p>
    <w:p w14:paraId="59CD118A"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solicită </w:t>
      </w:r>
      <w:r>
        <w:rPr>
          <w:b/>
        </w:rPr>
        <w:t>finanțare pe termen lung și achiziții publice strategice</w:t>
      </w:r>
      <w:r>
        <w:t>, inclusiv sprijin previzibil în temeiul cadrului financiar multianual 2028-2034, pentru a consolida ecosistemul de IA, suveranitatea digitală și baza industrială a Europei, asigurând în același timp transparența și concurența loială.</w:t>
      </w:r>
    </w:p>
    <w:p w14:paraId="2B26BBDE" w14:textId="77777777" w:rsidR="0007736E" w:rsidRPr="0007736E" w:rsidRDefault="0007736E" w:rsidP="0007736E">
      <w:pPr>
        <w:widowControl w:val="0"/>
        <w:overflowPunct w:val="0"/>
        <w:autoSpaceDE w:val="0"/>
        <w:autoSpaceDN w:val="0"/>
        <w:adjustRightInd w:val="0"/>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tblGrid>
      <w:tr w:rsidR="0007736E" w:rsidRPr="0007736E" w14:paraId="432BA2EE" w14:textId="77777777" w:rsidTr="00C25130">
        <w:tc>
          <w:tcPr>
            <w:tcW w:w="1560" w:type="dxa"/>
          </w:tcPr>
          <w:p w14:paraId="4EE98751" w14:textId="77777777" w:rsidR="0007736E" w:rsidRPr="0007736E" w:rsidRDefault="0007736E" w:rsidP="0007736E">
            <w:pPr>
              <w:overflowPunct w:val="0"/>
              <w:autoSpaceDE w:val="0"/>
              <w:autoSpaceDN w:val="0"/>
              <w:adjustRightInd w:val="0"/>
              <w:spacing w:line="240" w:lineRule="auto"/>
              <w:textAlignment w:val="baseline"/>
              <w:rPr>
                <w:i/>
              </w:rPr>
            </w:pPr>
            <w:r>
              <w:rPr>
                <w:b/>
                <w:i/>
              </w:rPr>
              <w:t>Date de contact:</w:t>
            </w:r>
          </w:p>
        </w:tc>
        <w:tc>
          <w:tcPr>
            <w:tcW w:w="5528" w:type="dxa"/>
          </w:tcPr>
          <w:p w14:paraId="6FF91F1E" w14:textId="77777777" w:rsidR="0007736E" w:rsidRPr="0007736E" w:rsidRDefault="0007736E" w:rsidP="0007736E">
            <w:pPr>
              <w:overflowPunct w:val="0"/>
              <w:autoSpaceDE w:val="0"/>
              <w:autoSpaceDN w:val="0"/>
              <w:adjustRightInd w:val="0"/>
              <w:spacing w:line="240" w:lineRule="auto"/>
              <w:textAlignment w:val="baseline"/>
              <w:rPr>
                <w:i/>
              </w:rPr>
            </w:pPr>
            <w:proofErr w:type="spellStart"/>
            <w:r>
              <w:rPr>
                <w:i/>
              </w:rPr>
              <w:t>Asbouni</w:t>
            </w:r>
            <w:proofErr w:type="spellEnd"/>
            <w:r>
              <w:rPr>
                <w:i/>
              </w:rPr>
              <w:t xml:space="preserve"> El </w:t>
            </w:r>
            <w:proofErr w:type="spellStart"/>
            <w:r>
              <w:rPr>
                <w:i/>
              </w:rPr>
              <w:t>Ouahabi</w:t>
            </w:r>
            <w:proofErr w:type="spellEnd"/>
            <w:r>
              <w:rPr>
                <w:i/>
              </w:rPr>
              <w:t xml:space="preserve"> </w:t>
            </w:r>
            <w:proofErr w:type="spellStart"/>
            <w:r>
              <w:rPr>
                <w:i/>
              </w:rPr>
              <w:t>Yousra</w:t>
            </w:r>
            <w:proofErr w:type="spellEnd"/>
          </w:p>
        </w:tc>
      </w:tr>
      <w:tr w:rsidR="0007736E" w:rsidRPr="0007736E" w14:paraId="1B5E6BCD" w14:textId="77777777" w:rsidTr="00C25130">
        <w:tc>
          <w:tcPr>
            <w:tcW w:w="1560" w:type="dxa"/>
          </w:tcPr>
          <w:p w14:paraId="7C1666FD" w14:textId="77777777" w:rsidR="0007736E" w:rsidRPr="0007736E" w:rsidRDefault="0007736E" w:rsidP="0007736E">
            <w:pPr>
              <w:overflowPunct w:val="0"/>
              <w:autoSpaceDE w:val="0"/>
              <w:autoSpaceDN w:val="0"/>
              <w:adjustRightInd w:val="0"/>
              <w:spacing w:line="240" w:lineRule="auto"/>
              <w:textAlignment w:val="baseline"/>
              <w:rPr>
                <w:i/>
              </w:rPr>
            </w:pPr>
            <w:r>
              <w:rPr>
                <w:i/>
              </w:rPr>
              <w:t>Tel.:</w:t>
            </w:r>
          </w:p>
        </w:tc>
        <w:tc>
          <w:tcPr>
            <w:tcW w:w="5528" w:type="dxa"/>
          </w:tcPr>
          <w:p w14:paraId="0279F2A6" w14:textId="77777777" w:rsidR="0007736E" w:rsidRPr="0007736E" w:rsidRDefault="0007736E" w:rsidP="0007736E">
            <w:pPr>
              <w:overflowPunct w:val="0"/>
              <w:autoSpaceDE w:val="0"/>
              <w:autoSpaceDN w:val="0"/>
              <w:adjustRightInd w:val="0"/>
              <w:spacing w:line="240" w:lineRule="auto"/>
              <w:textAlignment w:val="baseline"/>
              <w:rPr>
                <w:i/>
              </w:rPr>
            </w:pPr>
            <w:r>
              <w:rPr>
                <w:i/>
              </w:rPr>
              <w:t>+ 32 25468485</w:t>
            </w:r>
          </w:p>
        </w:tc>
      </w:tr>
      <w:tr w:rsidR="0007736E" w:rsidRPr="0007736E" w14:paraId="61BB8AED" w14:textId="77777777" w:rsidTr="00C25130">
        <w:tc>
          <w:tcPr>
            <w:tcW w:w="1560" w:type="dxa"/>
          </w:tcPr>
          <w:p w14:paraId="105A525F" w14:textId="77777777" w:rsidR="0007736E" w:rsidRPr="0007736E" w:rsidRDefault="0007736E" w:rsidP="0007736E">
            <w:pPr>
              <w:overflowPunct w:val="0"/>
              <w:autoSpaceDE w:val="0"/>
              <w:autoSpaceDN w:val="0"/>
              <w:adjustRightInd w:val="0"/>
              <w:spacing w:line="240" w:lineRule="auto"/>
              <w:textAlignment w:val="baseline"/>
              <w:rPr>
                <w:i/>
              </w:rPr>
            </w:pPr>
            <w:r>
              <w:rPr>
                <w:i/>
              </w:rPr>
              <w:t>E-mail:</w:t>
            </w:r>
          </w:p>
        </w:tc>
        <w:tc>
          <w:tcPr>
            <w:tcW w:w="5528" w:type="dxa"/>
          </w:tcPr>
          <w:p w14:paraId="29093824" w14:textId="6B15B9D8" w:rsidR="0007736E" w:rsidRPr="0007736E" w:rsidRDefault="005A1446" w:rsidP="0007736E">
            <w:pPr>
              <w:overflowPunct w:val="0"/>
              <w:autoSpaceDE w:val="0"/>
              <w:autoSpaceDN w:val="0"/>
              <w:adjustRightInd w:val="0"/>
              <w:spacing w:line="240" w:lineRule="auto"/>
              <w:textAlignment w:val="baseline"/>
              <w:rPr>
                <w:i/>
              </w:rPr>
            </w:pPr>
            <w:hyperlink r:id="rId43" w:history="1">
              <w:r w:rsidR="00CA46B0">
                <w:rPr>
                  <w:i/>
                  <w:color w:val="0000FF"/>
                  <w:u w:val="single"/>
                </w:rPr>
                <w:t>Yousra.AsbouniElOuahabi@eesc.europa.eu</w:t>
              </w:r>
            </w:hyperlink>
          </w:p>
        </w:tc>
      </w:tr>
    </w:tbl>
    <w:p w14:paraId="1BAA9FFA" w14:textId="38F75C39" w:rsidR="00E720D2" w:rsidRDefault="00E720D2" w:rsidP="004D7AC0">
      <w:pPr>
        <w:pStyle w:val="ListParagraph"/>
        <w:ind w:left="0"/>
      </w:pPr>
    </w:p>
    <w:p w14:paraId="0499C490" w14:textId="77777777" w:rsidR="00E720D2" w:rsidRDefault="00E720D2">
      <w:pPr>
        <w:spacing w:after="160" w:line="259" w:lineRule="auto"/>
        <w:jc w:val="left"/>
      </w:pPr>
      <w:r>
        <w:br w:type="page"/>
      </w:r>
    </w:p>
    <w:p w14:paraId="05DA9C0F" w14:textId="0868139F" w:rsidR="00DD5495" w:rsidRPr="00DD5495" w:rsidRDefault="005A1446" w:rsidP="0009204A">
      <w:pPr>
        <w:widowControl w:val="0"/>
        <w:numPr>
          <w:ilvl w:val="0"/>
          <w:numId w:val="20"/>
        </w:numPr>
        <w:overflowPunct w:val="0"/>
        <w:autoSpaceDE w:val="0"/>
        <w:autoSpaceDN w:val="0"/>
        <w:adjustRightInd w:val="0"/>
        <w:ind w:left="567" w:hanging="567"/>
        <w:textAlignment w:val="baseline"/>
        <w:rPr>
          <w:sz w:val="20"/>
          <w:szCs w:val="20"/>
        </w:rPr>
      </w:pPr>
      <w:hyperlink r:id="rId44" w:history="1">
        <w:r w:rsidR="00CA46B0">
          <w:rPr>
            <w:b/>
            <w:i/>
            <w:color w:val="0000FF"/>
            <w:sz w:val="28"/>
            <w:u w:val="single"/>
          </w:rPr>
          <w:t>Orizont Europa</w:t>
        </w:r>
      </w:hyperlink>
    </w:p>
    <w:p w14:paraId="2EA1B15C" w14:textId="77777777" w:rsidR="00DD5495" w:rsidRPr="00DD5495" w:rsidRDefault="00DD5495" w:rsidP="00DD5495">
      <w:pPr>
        <w:tabs>
          <w:tab w:val="center" w:pos="284"/>
        </w:tabs>
        <w:overflowPunct w:val="0"/>
        <w:autoSpaceDE w:val="0"/>
        <w:autoSpaceDN w:val="0"/>
        <w:adjustRightInd w:val="0"/>
        <w:ind w:left="266" w:hanging="266"/>
        <w:textAlignment w:val="baseline"/>
        <w:rPr>
          <w:lang w:val="en-GB"/>
        </w:rPr>
      </w:pPr>
    </w:p>
    <w:tbl>
      <w:tblPr>
        <w:tblStyle w:val="TableGrid1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04"/>
      </w:tblGrid>
      <w:tr w:rsidR="00DD5495" w:rsidRPr="00DD5495" w14:paraId="482A901C" w14:textId="77777777" w:rsidTr="00051934">
        <w:tc>
          <w:tcPr>
            <w:tcW w:w="2127" w:type="dxa"/>
          </w:tcPr>
          <w:p w14:paraId="0C1DDBF5"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Raportor:</w:t>
            </w:r>
          </w:p>
        </w:tc>
        <w:tc>
          <w:tcPr>
            <w:tcW w:w="6804" w:type="dxa"/>
          </w:tcPr>
          <w:p w14:paraId="708C0F0E" w14:textId="1BC55DC1" w:rsidR="00DD5495" w:rsidRPr="00DD5495" w:rsidRDefault="00DD5495" w:rsidP="00DD5495">
            <w:pPr>
              <w:tabs>
                <w:tab w:val="center" w:pos="284"/>
              </w:tabs>
              <w:overflowPunct w:val="0"/>
              <w:autoSpaceDE w:val="0"/>
              <w:autoSpaceDN w:val="0"/>
              <w:adjustRightInd w:val="0"/>
              <w:ind w:left="266" w:hanging="266"/>
              <w:textAlignment w:val="baseline"/>
            </w:pPr>
            <w:proofErr w:type="spellStart"/>
            <w:r>
              <w:t>Christophe</w:t>
            </w:r>
            <w:proofErr w:type="spellEnd"/>
            <w:r>
              <w:t xml:space="preserve"> LEFÈVRE (Grupul „Lucrători” – FR)</w:t>
            </w:r>
          </w:p>
        </w:tc>
      </w:tr>
      <w:tr w:rsidR="00DD5495" w:rsidRPr="00DD5495" w14:paraId="7E122D23" w14:textId="77777777" w:rsidTr="00051934">
        <w:tc>
          <w:tcPr>
            <w:tcW w:w="8931" w:type="dxa"/>
            <w:gridSpan w:val="2"/>
          </w:tcPr>
          <w:p w14:paraId="23E75E1C" w14:textId="77777777" w:rsidR="00DD5495" w:rsidRPr="00DD5495" w:rsidRDefault="00DD5495" w:rsidP="00DD5495">
            <w:pPr>
              <w:tabs>
                <w:tab w:val="center" w:pos="284"/>
              </w:tabs>
              <w:overflowPunct w:val="0"/>
              <w:autoSpaceDE w:val="0"/>
              <w:autoSpaceDN w:val="0"/>
              <w:adjustRightInd w:val="0"/>
              <w:spacing w:line="160" w:lineRule="exact"/>
              <w:ind w:left="266" w:hanging="266"/>
              <w:textAlignment w:val="baseline"/>
            </w:pPr>
          </w:p>
        </w:tc>
      </w:tr>
      <w:tr w:rsidR="00DD5495" w:rsidRPr="00DD5495" w14:paraId="09B6105A" w14:textId="77777777" w:rsidTr="00051934">
        <w:tc>
          <w:tcPr>
            <w:tcW w:w="2127" w:type="dxa"/>
            <w:vMerge w:val="restart"/>
          </w:tcPr>
          <w:p w14:paraId="1A5A972C"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Referințe:</w:t>
            </w:r>
          </w:p>
        </w:tc>
        <w:tc>
          <w:tcPr>
            <w:tcW w:w="6804" w:type="dxa"/>
          </w:tcPr>
          <w:p w14:paraId="67555729" w14:textId="01DA1E43" w:rsidR="00DD5495" w:rsidRDefault="00DD5495" w:rsidP="00DD5495">
            <w:pPr>
              <w:tabs>
                <w:tab w:val="center" w:pos="284"/>
              </w:tabs>
              <w:overflowPunct w:val="0"/>
              <w:autoSpaceDE w:val="0"/>
              <w:autoSpaceDN w:val="0"/>
              <w:adjustRightInd w:val="0"/>
              <w:ind w:left="266" w:hanging="266"/>
              <w:textAlignment w:val="baseline"/>
            </w:pPr>
            <w:r>
              <w:t xml:space="preserve">COM(2025) 543 final </w:t>
            </w:r>
          </w:p>
          <w:p w14:paraId="2066256A" w14:textId="17E2EC0F" w:rsidR="00560FCF" w:rsidRPr="00DD5495" w:rsidRDefault="00560FCF" w:rsidP="00DD5495">
            <w:pPr>
              <w:tabs>
                <w:tab w:val="center" w:pos="284"/>
              </w:tabs>
              <w:overflowPunct w:val="0"/>
              <w:autoSpaceDE w:val="0"/>
              <w:autoSpaceDN w:val="0"/>
              <w:adjustRightInd w:val="0"/>
              <w:ind w:left="266" w:hanging="266"/>
              <w:textAlignment w:val="baseline"/>
            </w:pPr>
            <w:r>
              <w:t>COM(2025) 544 final</w:t>
            </w:r>
          </w:p>
        </w:tc>
      </w:tr>
      <w:tr w:rsidR="00DD5495" w:rsidRPr="00DD5495" w14:paraId="6A2767DE" w14:textId="77777777" w:rsidTr="00051934">
        <w:tc>
          <w:tcPr>
            <w:tcW w:w="2127" w:type="dxa"/>
            <w:vMerge/>
          </w:tcPr>
          <w:p w14:paraId="289E130E"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p>
        </w:tc>
        <w:tc>
          <w:tcPr>
            <w:tcW w:w="6804" w:type="dxa"/>
          </w:tcPr>
          <w:p w14:paraId="534DC911" w14:textId="77777777" w:rsidR="00DD5495" w:rsidRPr="00DD5495" w:rsidRDefault="00DD5495" w:rsidP="00DD5495">
            <w:pPr>
              <w:tabs>
                <w:tab w:val="center" w:pos="284"/>
              </w:tabs>
              <w:overflowPunct w:val="0"/>
              <w:autoSpaceDE w:val="0"/>
              <w:autoSpaceDN w:val="0"/>
              <w:adjustRightInd w:val="0"/>
              <w:ind w:left="266" w:hanging="266"/>
              <w:textAlignment w:val="baseline"/>
            </w:pPr>
            <w:r>
              <w:t>EESC-2025-02760-00-00-AC</w:t>
            </w:r>
          </w:p>
        </w:tc>
      </w:tr>
    </w:tbl>
    <w:p w14:paraId="04C88F90"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b/>
        </w:rPr>
      </w:pPr>
      <w:r>
        <w:rPr>
          <w:b/>
        </w:rPr>
        <w:t>Punctele principale:</w:t>
      </w:r>
    </w:p>
    <w:p w14:paraId="1D38279C"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lang w:val="en-GB"/>
        </w:rPr>
      </w:pPr>
    </w:p>
    <w:p w14:paraId="0E544A2A" w14:textId="77777777" w:rsidR="00DD5495" w:rsidRDefault="00DD5495" w:rsidP="00DD5495">
      <w:pPr>
        <w:overflowPunct w:val="0"/>
        <w:autoSpaceDE w:val="0"/>
        <w:autoSpaceDN w:val="0"/>
        <w:adjustRightInd w:val="0"/>
        <w:textAlignment w:val="baseline"/>
        <w:rPr>
          <w:szCs w:val="20"/>
        </w:rPr>
      </w:pPr>
      <w:r>
        <w:t>CESE:</w:t>
      </w:r>
    </w:p>
    <w:p w14:paraId="445B15CB" w14:textId="77777777" w:rsidR="0076170A" w:rsidRPr="00DD5495" w:rsidRDefault="0076170A" w:rsidP="00DD5495">
      <w:pPr>
        <w:overflowPunct w:val="0"/>
        <w:autoSpaceDE w:val="0"/>
        <w:autoSpaceDN w:val="0"/>
        <w:adjustRightInd w:val="0"/>
        <w:textAlignment w:val="baseline"/>
        <w:rPr>
          <w:bCs/>
          <w:iCs/>
          <w:lang w:val="en-GB"/>
        </w:rPr>
      </w:pPr>
    </w:p>
    <w:p w14:paraId="52ADF377" w14:textId="77777777" w:rsidR="00DD5495" w:rsidRPr="00DD5495" w:rsidRDefault="00DD5495" w:rsidP="002C2DFE">
      <w:pPr>
        <w:numPr>
          <w:ilvl w:val="0"/>
          <w:numId w:val="45"/>
        </w:numPr>
        <w:overflowPunct w:val="0"/>
        <w:autoSpaceDE w:val="0"/>
        <w:autoSpaceDN w:val="0"/>
        <w:adjustRightInd w:val="0"/>
        <w:spacing w:line="276" w:lineRule="auto"/>
        <w:ind w:left="284" w:hanging="284"/>
        <w:contextualSpacing/>
        <w:textAlignment w:val="baseline"/>
      </w:pPr>
      <w:r>
        <w:t xml:space="preserve">consideră că </w:t>
      </w:r>
      <w:r>
        <w:rPr>
          <w:b/>
        </w:rPr>
        <w:t>bugetul orientativ de 175 002 000 000 EUR propus pentru perioada 2028-2034 este încurajator</w:t>
      </w:r>
      <w:r>
        <w:t xml:space="preserve"> și reprezintă un semnal puternic în favoarea excelenței științifice și a obiectivului de a investi în cercetare și inovare și în tehnologiile disruptive. CESE recomandă totuși ca acesta să reprezinte doar un </w:t>
      </w:r>
      <w:r>
        <w:rPr>
          <w:b/>
        </w:rPr>
        <w:t>nivel minim de referință pentru discuțiile</w:t>
      </w:r>
      <w:r>
        <w:t xml:space="preserve"> dintre Consiliu și Parlamentul European;</w:t>
      </w:r>
    </w:p>
    <w:p w14:paraId="7661FDA2"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consideră că este imperativ </w:t>
      </w:r>
      <w:r>
        <w:rPr>
          <w:b/>
        </w:rPr>
        <w:t>să se îmbunătățească monitorizarea utilizării fondurilor</w:t>
      </w:r>
      <w:r>
        <w:t xml:space="preserve"> și să se identifice obstacolele în calea utilizării acestora sau factorii care determină subutilizarea fondurilor în unele țări;</w:t>
      </w:r>
    </w:p>
    <w:p w14:paraId="284C3527" w14:textId="7C64D268"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recomandă </w:t>
      </w:r>
      <w:r>
        <w:rPr>
          <w:b/>
        </w:rPr>
        <w:t>menținerea și punerea în aplicare corespunzătoare a alinierii planificate între Orizont Europa și Fondul european pentru competitivitate</w:t>
      </w:r>
      <w:r>
        <w:t>, în special între cele patru componente de politică ale fondului și activitățile corespunzătoare din cadrul pilonului</w:t>
      </w:r>
      <w:r w:rsidR="00C3495F">
        <w:t> </w:t>
      </w:r>
      <w:r>
        <w:t>II, „Competitivitate”, al programului Orizont Europa;</w:t>
      </w:r>
    </w:p>
    <w:p w14:paraId="0E9FD20B"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recomandă ca, pentru a sprijini întregul ciclu al inovării, de la cercetarea fundamentală până la introducerea pe piață, </w:t>
      </w:r>
      <w:r>
        <w:rPr>
          <w:b/>
        </w:rPr>
        <w:t>evaluarea și selecția proiectelor să nu se realizeze doar pe baza excelenței științifice, ci și pe baza unor criterii de evaluare suplimentare</w:t>
      </w:r>
      <w:r>
        <w:t xml:space="preserve"> care să permită </w:t>
      </w:r>
      <w:r>
        <w:rPr>
          <w:b/>
        </w:rPr>
        <w:t>să se aprecieze mai bine relevanța comercială, impactul industrial și contribuția la autonomia strategică europeană</w:t>
      </w:r>
      <w:r>
        <w:t xml:space="preserve"> și la competitivitatea industriei europene;</w:t>
      </w:r>
    </w:p>
    <w:p w14:paraId="24499E4E"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recomandă </w:t>
      </w:r>
      <w:r>
        <w:rPr>
          <w:b/>
        </w:rPr>
        <w:t>menținerea unui mandat de patru ani</w:t>
      </w:r>
      <w:r>
        <w:t>, care poate fi reînnoit o singură dată, pentru președintele Consiliului European pentru Cercetare (</w:t>
      </w:r>
      <w:r>
        <w:rPr>
          <w:b/>
        </w:rPr>
        <w:t>CEC</w:t>
      </w:r>
      <w:r>
        <w:t>), în loc să fie redus la doi ani;</w:t>
      </w:r>
    </w:p>
    <w:p w14:paraId="374AD38E" w14:textId="3BE52B2E"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pPr>
      <w:r>
        <w:t xml:space="preserve">consideră că pilonul I, dedicat cercetării și excelenței științifice în cadrul acțiunilor </w:t>
      </w:r>
      <w:proofErr w:type="spellStart"/>
      <w:r>
        <w:t>Marie</w:t>
      </w:r>
      <w:proofErr w:type="spellEnd"/>
      <w:r w:rsidR="00607243">
        <w:t> </w:t>
      </w:r>
      <w:proofErr w:type="spellStart"/>
      <w:r>
        <w:t>Skłodowska</w:t>
      </w:r>
      <w:proofErr w:type="spellEnd"/>
      <w:r>
        <w:t xml:space="preserve">-Curie, prevăzut la articolul 9 din propunerea de decizie a Consiliului privind Orizont Europa și la articolul 13 din propunerea de regulament de instituire a programului-cadru Orizont Europa, nu ar trebui să fie supus niciunei orientări politice și recomandă ca </w:t>
      </w:r>
      <w:r>
        <w:rPr>
          <w:b/>
        </w:rPr>
        <w:t>accentul să fie pus în continuare pe abordarea ascendentă („</w:t>
      </w:r>
      <w:proofErr w:type="spellStart"/>
      <w:r>
        <w:rPr>
          <w:b/>
        </w:rPr>
        <w:t>direcționalitate</w:t>
      </w:r>
      <w:proofErr w:type="spellEnd"/>
      <w:r>
        <w:rPr>
          <w:b/>
        </w:rPr>
        <w:t>”)</w:t>
      </w:r>
      <w:r>
        <w:t xml:space="preserve"> în locul celei descendente propuse de Comisie;</w:t>
      </w:r>
    </w:p>
    <w:p w14:paraId="4CA2B16C" w14:textId="77777777" w:rsidR="00DD5495" w:rsidRPr="00DD5495" w:rsidRDefault="00DD5495" w:rsidP="002C2DFE">
      <w:pPr>
        <w:keepNext/>
        <w:keepLines/>
        <w:widowControl w:val="0"/>
        <w:numPr>
          <w:ilvl w:val="0"/>
          <w:numId w:val="45"/>
        </w:numPr>
        <w:overflowPunct w:val="0"/>
        <w:autoSpaceDE w:val="0"/>
        <w:autoSpaceDN w:val="0"/>
        <w:adjustRightInd w:val="0"/>
        <w:spacing w:line="276" w:lineRule="auto"/>
        <w:ind w:left="284" w:hanging="284"/>
        <w:textAlignment w:val="baseline"/>
        <w:rPr>
          <w:szCs w:val="20"/>
        </w:rPr>
      </w:pPr>
      <w:r>
        <w:t xml:space="preserve">recomandă cea mai mare </w:t>
      </w:r>
      <w:r>
        <w:rPr>
          <w:b/>
        </w:rPr>
        <w:t>prudență în privința condiționalității de 3 % din PIB, prevăzută în pilonul IV „Spațiul european de cercetare”</w:t>
      </w:r>
      <w:r>
        <w:t xml:space="preserve"> din propunerea de regulament, pentru finanțarea măsurilor de consolidare a capacităților începând cu 2030, deoarece aceasta riscă să afecteze beneficiarii din țările cu capacități de cercetare și inovare mai scăzute.</w:t>
      </w:r>
    </w:p>
    <w:p w14:paraId="1B7E6706" w14:textId="77777777" w:rsidR="00DD5495" w:rsidRPr="00DD5495" w:rsidRDefault="00DD5495" w:rsidP="00DD5495">
      <w:pPr>
        <w:widowControl w:val="0"/>
        <w:overflowPunct w:val="0"/>
        <w:autoSpaceDE w:val="0"/>
        <w:autoSpaceDN w:val="0"/>
        <w:adjustRightInd w:val="0"/>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DD5495" w:rsidRPr="00DD5495" w14:paraId="6FB351A3" w14:textId="77777777" w:rsidTr="005E65F1">
        <w:tc>
          <w:tcPr>
            <w:tcW w:w="2127" w:type="dxa"/>
          </w:tcPr>
          <w:p w14:paraId="5B431F7A" w14:textId="77777777" w:rsidR="00DD5495" w:rsidRPr="00DD5495" w:rsidRDefault="00DD5495" w:rsidP="00DD5495">
            <w:pPr>
              <w:overflowPunct w:val="0"/>
              <w:autoSpaceDE w:val="0"/>
              <w:autoSpaceDN w:val="0"/>
              <w:adjustRightInd w:val="0"/>
              <w:spacing w:line="240" w:lineRule="auto"/>
              <w:textAlignment w:val="baseline"/>
              <w:rPr>
                <w:i/>
              </w:rPr>
            </w:pPr>
            <w:r>
              <w:rPr>
                <w:b/>
                <w:i/>
              </w:rPr>
              <w:t>Date de contact:</w:t>
            </w:r>
          </w:p>
        </w:tc>
        <w:tc>
          <w:tcPr>
            <w:tcW w:w="4252" w:type="dxa"/>
          </w:tcPr>
          <w:p w14:paraId="391B8468" w14:textId="39C660C9" w:rsidR="00DD5495" w:rsidRPr="00DD5495" w:rsidRDefault="00DD5495" w:rsidP="00DD5495">
            <w:pPr>
              <w:overflowPunct w:val="0"/>
              <w:autoSpaceDE w:val="0"/>
              <w:autoSpaceDN w:val="0"/>
              <w:adjustRightInd w:val="0"/>
              <w:spacing w:line="240" w:lineRule="auto"/>
              <w:textAlignment w:val="baseline"/>
              <w:rPr>
                <w:i/>
              </w:rPr>
            </w:pPr>
            <w:r>
              <w:rPr>
                <w:i/>
              </w:rPr>
              <w:t xml:space="preserve">Jana </w:t>
            </w:r>
            <w:proofErr w:type="spellStart"/>
            <w:r>
              <w:rPr>
                <w:i/>
              </w:rPr>
              <w:t>Valant</w:t>
            </w:r>
            <w:proofErr w:type="spellEnd"/>
          </w:p>
        </w:tc>
      </w:tr>
      <w:tr w:rsidR="00DD5495" w:rsidRPr="00DD5495" w14:paraId="2309F4C9" w14:textId="77777777" w:rsidTr="005E65F1">
        <w:tc>
          <w:tcPr>
            <w:tcW w:w="2127" w:type="dxa"/>
          </w:tcPr>
          <w:p w14:paraId="4D4FBB79" w14:textId="77777777" w:rsidR="00DD5495" w:rsidRPr="00DD5495" w:rsidRDefault="00DD5495" w:rsidP="00DD5495">
            <w:pPr>
              <w:overflowPunct w:val="0"/>
              <w:autoSpaceDE w:val="0"/>
              <w:autoSpaceDN w:val="0"/>
              <w:adjustRightInd w:val="0"/>
              <w:spacing w:line="240" w:lineRule="auto"/>
              <w:textAlignment w:val="baseline"/>
              <w:rPr>
                <w:i/>
              </w:rPr>
            </w:pPr>
            <w:r>
              <w:rPr>
                <w:i/>
              </w:rPr>
              <w:t>Tel.:</w:t>
            </w:r>
          </w:p>
        </w:tc>
        <w:tc>
          <w:tcPr>
            <w:tcW w:w="4252" w:type="dxa"/>
          </w:tcPr>
          <w:p w14:paraId="06D7E21C" w14:textId="27C7A431" w:rsidR="00DD5495" w:rsidRPr="00DD5495" w:rsidRDefault="00DD5495" w:rsidP="00DD5495">
            <w:pPr>
              <w:overflowPunct w:val="0"/>
              <w:autoSpaceDE w:val="0"/>
              <w:autoSpaceDN w:val="0"/>
              <w:adjustRightInd w:val="0"/>
              <w:spacing w:line="240" w:lineRule="auto"/>
              <w:textAlignment w:val="baseline"/>
              <w:rPr>
                <w:i/>
              </w:rPr>
            </w:pPr>
            <w:r>
              <w:rPr>
                <w:i/>
              </w:rPr>
              <w:t>+32 2546 8924</w:t>
            </w:r>
          </w:p>
        </w:tc>
      </w:tr>
      <w:tr w:rsidR="00DD5495" w:rsidRPr="00DD5495" w14:paraId="74B17C70" w14:textId="77777777" w:rsidTr="005E65F1">
        <w:tc>
          <w:tcPr>
            <w:tcW w:w="2127" w:type="dxa"/>
          </w:tcPr>
          <w:p w14:paraId="500087BA" w14:textId="77777777" w:rsidR="00DD5495" w:rsidRPr="00DD5495" w:rsidRDefault="00DD5495" w:rsidP="00DD5495">
            <w:pPr>
              <w:overflowPunct w:val="0"/>
              <w:autoSpaceDE w:val="0"/>
              <w:autoSpaceDN w:val="0"/>
              <w:adjustRightInd w:val="0"/>
              <w:spacing w:line="240" w:lineRule="auto"/>
              <w:textAlignment w:val="baseline"/>
              <w:rPr>
                <w:i/>
              </w:rPr>
            </w:pPr>
            <w:r>
              <w:rPr>
                <w:i/>
              </w:rPr>
              <w:t>E-mail:</w:t>
            </w:r>
          </w:p>
        </w:tc>
        <w:tc>
          <w:tcPr>
            <w:tcW w:w="4252" w:type="dxa"/>
          </w:tcPr>
          <w:p w14:paraId="3F63DA10" w14:textId="77777777" w:rsidR="00DD5495" w:rsidRPr="00DD5495" w:rsidRDefault="005A1446" w:rsidP="00DD5495">
            <w:pPr>
              <w:overflowPunct w:val="0"/>
              <w:autoSpaceDE w:val="0"/>
              <w:autoSpaceDN w:val="0"/>
              <w:adjustRightInd w:val="0"/>
              <w:spacing w:line="240" w:lineRule="auto"/>
              <w:textAlignment w:val="baseline"/>
              <w:rPr>
                <w:i/>
              </w:rPr>
            </w:pPr>
            <w:hyperlink r:id="rId45" w:history="1">
              <w:r w:rsidR="00CA46B0">
                <w:rPr>
                  <w:i/>
                  <w:color w:val="0000FF"/>
                  <w:u w:val="single"/>
                </w:rPr>
                <w:t>Jana.Valant@eesc.europa.eu</w:t>
              </w:r>
            </w:hyperlink>
          </w:p>
        </w:tc>
      </w:tr>
    </w:tbl>
    <w:p w14:paraId="57FFD2B7" w14:textId="77777777" w:rsidR="00DD5495" w:rsidRPr="00DD5495" w:rsidRDefault="00DD5495" w:rsidP="00DD5495">
      <w:pPr>
        <w:overflowPunct w:val="0"/>
        <w:autoSpaceDE w:val="0"/>
        <w:autoSpaceDN w:val="0"/>
        <w:adjustRightInd w:val="0"/>
        <w:jc w:val="center"/>
        <w:textAlignment w:val="baseline"/>
        <w:rPr>
          <w:szCs w:val="20"/>
          <w:lang w:val="en-GB"/>
        </w:rPr>
      </w:pPr>
    </w:p>
    <w:p w14:paraId="4982DE1E" w14:textId="77777777" w:rsidR="004D7AC0" w:rsidRDefault="004D7AC0" w:rsidP="004D7AC0">
      <w:pPr>
        <w:spacing w:after="160" w:line="259" w:lineRule="auto"/>
        <w:jc w:val="left"/>
      </w:pPr>
      <w:r>
        <w:br w:type="page"/>
      </w:r>
    </w:p>
    <w:p w14:paraId="4982DE1F" w14:textId="77777777" w:rsidR="004D7AC0" w:rsidRDefault="004D7AC0" w:rsidP="004D7AC0">
      <w:pPr>
        <w:pStyle w:val="Heading1"/>
        <w:rPr>
          <w:b/>
        </w:rPr>
      </w:pPr>
      <w:bookmarkStart w:id="44" w:name="_Toc70322234"/>
      <w:bookmarkStart w:id="45" w:name="_Toc75527084"/>
      <w:bookmarkStart w:id="46" w:name="_Toc221268015"/>
      <w:r>
        <w:rPr>
          <w:b/>
        </w:rPr>
        <w:lastRenderedPageBreak/>
        <w:t>SECȚIUNEA PENTRU AGRICULTURĂ, DEZVOLTARE RURALĂ ȘI PROTECȚIA MEDIULUI</w:t>
      </w:r>
      <w:bookmarkEnd w:id="44"/>
      <w:bookmarkEnd w:id="45"/>
      <w:bookmarkEnd w:id="46"/>
    </w:p>
    <w:p w14:paraId="4982DE20" w14:textId="77777777" w:rsidR="004D7AC0" w:rsidRDefault="004D7AC0" w:rsidP="004D7AC0"/>
    <w:p w14:paraId="70B5B9EE" w14:textId="7A41BFFD" w:rsidR="00020D21" w:rsidRPr="00020D21" w:rsidRDefault="005A1446" w:rsidP="00A704FE">
      <w:pPr>
        <w:widowControl w:val="0"/>
        <w:numPr>
          <w:ilvl w:val="0"/>
          <w:numId w:val="14"/>
        </w:numPr>
        <w:overflowPunct w:val="0"/>
        <w:autoSpaceDE w:val="0"/>
        <w:autoSpaceDN w:val="0"/>
        <w:adjustRightInd w:val="0"/>
        <w:ind w:hanging="567"/>
        <w:textAlignment w:val="baseline"/>
        <w:rPr>
          <w:b/>
        </w:rPr>
      </w:pPr>
      <w:hyperlink r:id="rId46" w:history="1">
        <w:r w:rsidR="00CA46B0">
          <w:rPr>
            <w:b/>
            <w:i/>
            <w:color w:val="0000FF"/>
            <w:sz w:val="28"/>
            <w:u w:val="single"/>
          </w:rPr>
          <w:t>Franța – Convenția interamericană pentru protecția și conservarea țestoaselor marine</w:t>
        </w:r>
      </w:hyperlink>
    </w:p>
    <w:p w14:paraId="06AAC9DD" w14:textId="77777777" w:rsidR="00020D21" w:rsidRPr="00020D21" w:rsidRDefault="00020D21" w:rsidP="00020D21">
      <w:pPr>
        <w:widowControl w:val="0"/>
        <w:overflowPunct w:val="0"/>
        <w:autoSpaceDE w:val="0"/>
        <w:autoSpaceDN w:val="0"/>
        <w:adjustRightInd w:val="0"/>
        <w:ind w:left="266"/>
        <w:textAlignment w:val="baseline"/>
        <w:rPr>
          <w:b/>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20D21" w:rsidRPr="00020D21" w14:paraId="5DFAF213" w14:textId="77777777" w:rsidTr="007A1ECF">
        <w:tc>
          <w:tcPr>
            <w:tcW w:w="1077" w:type="pct"/>
            <w:vMerge w:val="restart"/>
          </w:tcPr>
          <w:p w14:paraId="610EDF9A"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r>
              <w:rPr>
                <w:b/>
              </w:rPr>
              <w:t>Referințe:</w:t>
            </w:r>
          </w:p>
        </w:tc>
        <w:tc>
          <w:tcPr>
            <w:tcW w:w="3923" w:type="pct"/>
          </w:tcPr>
          <w:p w14:paraId="5C878522" w14:textId="44D76CC7" w:rsidR="00673030" w:rsidRDefault="00673030" w:rsidP="00020D21">
            <w:pPr>
              <w:tabs>
                <w:tab w:val="center" w:pos="284"/>
              </w:tabs>
              <w:overflowPunct w:val="0"/>
              <w:autoSpaceDE w:val="0"/>
              <w:autoSpaceDN w:val="0"/>
              <w:adjustRightInd w:val="0"/>
              <w:ind w:left="266" w:right="-3091" w:hanging="266"/>
              <w:textAlignment w:val="baseline"/>
            </w:pPr>
            <w:r>
              <w:t>aviz de categoria C</w:t>
            </w:r>
          </w:p>
          <w:p w14:paraId="12A4F941" w14:textId="35C83434" w:rsidR="00020D21" w:rsidRPr="00020D21" w:rsidRDefault="00020D21" w:rsidP="00020D21">
            <w:pPr>
              <w:tabs>
                <w:tab w:val="center" w:pos="284"/>
              </w:tabs>
              <w:overflowPunct w:val="0"/>
              <w:autoSpaceDE w:val="0"/>
              <w:autoSpaceDN w:val="0"/>
              <w:adjustRightInd w:val="0"/>
              <w:ind w:left="266" w:right="-3091" w:hanging="266"/>
              <w:textAlignment w:val="baseline"/>
            </w:pPr>
            <w:r>
              <w:t>COM(2025) 689 final</w:t>
            </w:r>
          </w:p>
        </w:tc>
      </w:tr>
      <w:tr w:rsidR="00020D21" w:rsidRPr="00020D21" w14:paraId="787CD290" w14:textId="77777777" w:rsidTr="007A1ECF">
        <w:tc>
          <w:tcPr>
            <w:tcW w:w="1077" w:type="pct"/>
            <w:vMerge/>
          </w:tcPr>
          <w:p w14:paraId="7F25BD55"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p>
        </w:tc>
        <w:tc>
          <w:tcPr>
            <w:tcW w:w="3923" w:type="pct"/>
          </w:tcPr>
          <w:p w14:paraId="65DD5E70" w14:textId="476F549B" w:rsidR="00020D21" w:rsidRPr="00020D21" w:rsidRDefault="00020D21" w:rsidP="00020D21">
            <w:pPr>
              <w:tabs>
                <w:tab w:val="center" w:pos="284"/>
              </w:tabs>
              <w:overflowPunct w:val="0"/>
              <w:autoSpaceDE w:val="0"/>
              <w:autoSpaceDN w:val="0"/>
              <w:adjustRightInd w:val="0"/>
              <w:ind w:left="266" w:right="-3091" w:hanging="266"/>
              <w:textAlignment w:val="baseline"/>
            </w:pPr>
            <w:r>
              <w:t>EESC-2025-03864-00-00-AC</w:t>
            </w:r>
          </w:p>
        </w:tc>
      </w:tr>
    </w:tbl>
    <w:p w14:paraId="027D9969" w14:textId="77777777" w:rsidR="00020D21" w:rsidRPr="00020D21" w:rsidRDefault="00020D21" w:rsidP="00020D21">
      <w:pPr>
        <w:keepNext/>
        <w:keepLines/>
        <w:tabs>
          <w:tab w:val="center" w:pos="284"/>
        </w:tabs>
        <w:overflowPunct w:val="0"/>
        <w:autoSpaceDE w:val="0"/>
        <w:autoSpaceDN w:val="0"/>
        <w:adjustRightInd w:val="0"/>
        <w:ind w:left="266" w:hanging="266"/>
        <w:textAlignment w:val="baseline"/>
        <w:rPr>
          <w:b/>
          <w:lang w:val="en-GB"/>
        </w:rPr>
      </w:pPr>
    </w:p>
    <w:p w14:paraId="046DC374" w14:textId="3E795F7A" w:rsidR="00020D21" w:rsidRPr="00020D21" w:rsidRDefault="009C4B2A" w:rsidP="002C2DFE">
      <w:pPr>
        <w:overflowPunct w:val="0"/>
        <w:autoSpaceDE w:val="0"/>
        <w:autoSpaceDN w:val="0"/>
        <w:adjustRightInd w:val="0"/>
        <w:textAlignment w:val="baseline"/>
        <w:rPr>
          <w:szCs w:val="20"/>
        </w:rPr>
      </w:pPr>
      <w:r>
        <w:t>Întrucât, în opinia sa, conținutul propunerii formulate este pe deplin satisfăcător și nu face obiectul niciunei observații din partea sa, CESE a hotărât să emită un aviz favorabil cu privire la textul propus.</w:t>
      </w:r>
    </w:p>
    <w:p w14:paraId="01EFF922" w14:textId="77777777" w:rsidR="00020D21" w:rsidRPr="00020D21" w:rsidRDefault="00020D21" w:rsidP="00020D21">
      <w:pPr>
        <w:widowControl w:val="0"/>
        <w:overflowPunct w:val="0"/>
        <w:autoSpaceDE w:val="0"/>
        <w:autoSpaceDN w:val="0"/>
        <w:adjustRightInd w:val="0"/>
        <w:ind w:left="709"/>
        <w:textAlignment w:val="baseline"/>
        <w:rPr>
          <w:szCs w:val="20"/>
          <w:lang w:val="en-GB"/>
        </w:rPr>
      </w:pPr>
    </w:p>
    <w:tbl>
      <w:tblPr>
        <w:tblStyle w:val="TableGrid1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020D21" w:rsidRPr="00020D21" w14:paraId="65BAB3A0" w14:textId="77777777" w:rsidTr="007A1ECF">
        <w:tc>
          <w:tcPr>
            <w:tcW w:w="1078" w:type="pct"/>
          </w:tcPr>
          <w:p w14:paraId="6E354578" w14:textId="77777777" w:rsidR="00020D21" w:rsidRPr="00020D21" w:rsidRDefault="00020D21" w:rsidP="00020D21">
            <w:pPr>
              <w:overflowPunct w:val="0"/>
              <w:autoSpaceDE w:val="0"/>
              <w:autoSpaceDN w:val="0"/>
              <w:adjustRightInd w:val="0"/>
              <w:textAlignment w:val="baseline"/>
              <w:rPr>
                <w:i/>
              </w:rPr>
            </w:pPr>
            <w:r>
              <w:rPr>
                <w:b/>
                <w:i/>
              </w:rPr>
              <w:t>Date de contact:</w:t>
            </w:r>
          </w:p>
        </w:tc>
        <w:tc>
          <w:tcPr>
            <w:tcW w:w="3922" w:type="pct"/>
          </w:tcPr>
          <w:p w14:paraId="0CB70EAD" w14:textId="40A74F29" w:rsidR="00020D21" w:rsidRPr="00020D21" w:rsidRDefault="00020D21" w:rsidP="00020D21">
            <w:pPr>
              <w:overflowPunct w:val="0"/>
              <w:autoSpaceDE w:val="0"/>
              <w:autoSpaceDN w:val="0"/>
              <w:adjustRightInd w:val="0"/>
              <w:textAlignment w:val="baseline"/>
              <w:rPr>
                <w:i/>
              </w:rPr>
            </w:pPr>
            <w:r>
              <w:rPr>
                <w:i/>
              </w:rPr>
              <w:t xml:space="preserve">Arturo </w:t>
            </w:r>
            <w:proofErr w:type="spellStart"/>
            <w:r>
              <w:rPr>
                <w:i/>
              </w:rPr>
              <w:t>Iniguez</w:t>
            </w:r>
            <w:proofErr w:type="spellEnd"/>
            <w:r>
              <w:rPr>
                <w:i/>
              </w:rPr>
              <w:t xml:space="preserve"> </w:t>
            </w:r>
            <w:proofErr w:type="spellStart"/>
            <w:r>
              <w:rPr>
                <w:i/>
              </w:rPr>
              <w:t>Yuste</w:t>
            </w:r>
            <w:proofErr w:type="spellEnd"/>
          </w:p>
        </w:tc>
      </w:tr>
      <w:tr w:rsidR="00020D21" w:rsidRPr="00020D21" w14:paraId="64F15BEB" w14:textId="77777777" w:rsidTr="007A1ECF">
        <w:tc>
          <w:tcPr>
            <w:tcW w:w="1078" w:type="pct"/>
          </w:tcPr>
          <w:p w14:paraId="4689E47B" w14:textId="77777777" w:rsidR="00020D21" w:rsidRPr="00020D21" w:rsidRDefault="00020D21" w:rsidP="00020D21">
            <w:pPr>
              <w:overflowPunct w:val="0"/>
              <w:autoSpaceDE w:val="0"/>
              <w:autoSpaceDN w:val="0"/>
              <w:adjustRightInd w:val="0"/>
              <w:textAlignment w:val="baseline"/>
              <w:rPr>
                <w:i/>
              </w:rPr>
            </w:pPr>
            <w:r>
              <w:rPr>
                <w:i/>
              </w:rPr>
              <w:t>Tel.:</w:t>
            </w:r>
          </w:p>
        </w:tc>
        <w:tc>
          <w:tcPr>
            <w:tcW w:w="3922" w:type="pct"/>
          </w:tcPr>
          <w:p w14:paraId="330F16FB" w14:textId="1CEB726F" w:rsidR="00020D21" w:rsidRPr="00020D21" w:rsidRDefault="00020D21" w:rsidP="00020D21">
            <w:pPr>
              <w:overflowPunct w:val="0"/>
              <w:autoSpaceDE w:val="0"/>
              <w:autoSpaceDN w:val="0"/>
              <w:adjustRightInd w:val="0"/>
              <w:textAlignment w:val="baseline"/>
              <w:rPr>
                <w:i/>
              </w:rPr>
            </w:pPr>
            <w:r>
              <w:rPr>
                <w:i/>
              </w:rPr>
              <w:t>+32 25468768</w:t>
            </w:r>
          </w:p>
        </w:tc>
      </w:tr>
      <w:tr w:rsidR="00020D21" w:rsidRPr="00020D21" w14:paraId="5D6640CA" w14:textId="77777777" w:rsidTr="007A1ECF">
        <w:tc>
          <w:tcPr>
            <w:tcW w:w="1078" w:type="pct"/>
          </w:tcPr>
          <w:p w14:paraId="1A60442E" w14:textId="77777777" w:rsidR="00020D21" w:rsidRPr="00020D21" w:rsidRDefault="00020D21" w:rsidP="00020D21">
            <w:pPr>
              <w:overflowPunct w:val="0"/>
              <w:autoSpaceDE w:val="0"/>
              <w:autoSpaceDN w:val="0"/>
              <w:adjustRightInd w:val="0"/>
              <w:textAlignment w:val="baseline"/>
              <w:rPr>
                <w:i/>
              </w:rPr>
            </w:pPr>
            <w:r>
              <w:rPr>
                <w:i/>
              </w:rPr>
              <w:t>E-mail:</w:t>
            </w:r>
          </w:p>
        </w:tc>
        <w:tc>
          <w:tcPr>
            <w:tcW w:w="3922" w:type="pct"/>
          </w:tcPr>
          <w:p w14:paraId="7A244B36" w14:textId="77777777" w:rsidR="00020D21" w:rsidRPr="00020D21" w:rsidRDefault="005A1446" w:rsidP="00020D21">
            <w:pPr>
              <w:overflowPunct w:val="0"/>
              <w:autoSpaceDE w:val="0"/>
              <w:autoSpaceDN w:val="0"/>
              <w:adjustRightInd w:val="0"/>
              <w:textAlignment w:val="baseline"/>
              <w:rPr>
                <w:i/>
                <w:iCs/>
              </w:rPr>
            </w:pPr>
            <w:hyperlink r:id="rId47" w:history="1">
              <w:r w:rsidR="00CA46B0">
                <w:rPr>
                  <w:i/>
                  <w:color w:val="0000FF"/>
                  <w:u w:val="single"/>
                </w:rPr>
                <w:t>Arturo.Iniguez@eesc.europa.eu</w:t>
              </w:r>
            </w:hyperlink>
          </w:p>
        </w:tc>
      </w:tr>
    </w:tbl>
    <w:p w14:paraId="4982DE45" w14:textId="7C5306C5" w:rsidR="007C5067" w:rsidRDefault="007C5067">
      <w:pPr>
        <w:spacing w:after="160" w:line="259" w:lineRule="auto"/>
        <w:jc w:val="left"/>
      </w:pPr>
    </w:p>
    <w:p w14:paraId="1837AA2E" w14:textId="77777777" w:rsidR="007C5067" w:rsidRDefault="007C5067">
      <w:pPr>
        <w:spacing w:after="160" w:line="259" w:lineRule="auto"/>
        <w:jc w:val="left"/>
      </w:pPr>
      <w:r>
        <w:br w:type="page"/>
      </w:r>
    </w:p>
    <w:p w14:paraId="6F8A5A81" w14:textId="65892C5E" w:rsidR="00EE45AC" w:rsidRPr="00EE45AC" w:rsidRDefault="005A1446" w:rsidP="00A704FE">
      <w:pPr>
        <w:widowControl w:val="0"/>
        <w:numPr>
          <w:ilvl w:val="0"/>
          <w:numId w:val="14"/>
        </w:numPr>
        <w:overflowPunct w:val="0"/>
        <w:autoSpaceDE w:val="0"/>
        <w:autoSpaceDN w:val="0"/>
        <w:adjustRightInd w:val="0"/>
        <w:ind w:hanging="567"/>
        <w:textAlignment w:val="baseline"/>
        <w:rPr>
          <w:b/>
        </w:rPr>
      </w:pPr>
      <w:hyperlink r:id="rId48" w:history="1">
        <w:r w:rsidR="00CA46B0">
          <w:rPr>
            <w:b/>
            <w:i/>
            <w:color w:val="0000FF"/>
            <w:sz w:val="28"/>
            <w:u w:val="single"/>
          </w:rPr>
          <w:t>Modificarea rezervei pentru stabilitatea pieței în sectorul clădirilor, al transportului rutier și în alte sectoare</w:t>
        </w:r>
      </w:hyperlink>
    </w:p>
    <w:p w14:paraId="29BF07D1" w14:textId="77777777" w:rsidR="00EE45AC" w:rsidRPr="00EE45AC" w:rsidRDefault="00EE45AC" w:rsidP="00EE45AC">
      <w:pPr>
        <w:widowControl w:val="0"/>
        <w:overflowPunct w:val="0"/>
        <w:autoSpaceDE w:val="0"/>
        <w:autoSpaceDN w:val="0"/>
        <w:adjustRightInd w:val="0"/>
        <w:ind w:left="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E45AC" w:rsidRPr="00EE45AC" w14:paraId="12B232DB" w14:textId="77777777" w:rsidTr="00EE45AC">
        <w:tc>
          <w:tcPr>
            <w:tcW w:w="1077" w:type="pct"/>
            <w:vMerge w:val="restart"/>
          </w:tcPr>
          <w:p w14:paraId="209BA7A2"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r>
              <w:rPr>
                <w:b/>
              </w:rPr>
              <w:t>Referințe:</w:t>
            </w:r>
          </w:p>
        </w:tc>
        <w:tc>
          <w:tcPr>
            <w:tcW w:w="3923" w:type="pct"/>
          </w:tcPr>
          <w:p w14:paraId="75A76B5B" w14:textId="2BB0246E" w:rsidR="00D44E5F" w:rsidRDefault="00D44E5F" w:rsidP="00EE45AC">
            <w:pPr>
              <w:tabs>
                <w:tab w:val="center" w:pos="284"/>
              </w:tabs>
              <w:overflowPunct w:val="0"/>
              <w:autoSpaceDE w:val="0"/>
              <w:autoSpaceDN w:val="0"/>
              <w:adjustRightInd w:val="0"/>
              <w:ind w:left="266" w:right="-3091" w:hanging="266"/>
              <w:textAlignment w:val="baseline"/>
            </w:pPr>
            <w:r>
              <w:t>aviz de categoria C</w:t>
            </w:r>
          </w:p>
          <w:p w14:paraId="0E7AA901" w14:textId="5A77F92C" w:rsidR="00EE45AC" w:rsidRPr="00EE45AC" w:rsidRDefault="00EE45AC" w:rsidP="00EE45AC">
            <w:pPr>
              <w:tabs>
                <w:tab w:val="center" w:pos="284"/>
              </w:tabs>
              <w:overflowPunct w:val="0"/>
              <w:autoSpaceDE w:val="0"/>
              <w:autoSpaceDN w:val="0"/>
              <w:adjustRightInd w:val="0"/>
              <w:ind w:left="266" w:right="-3091" w:hanging="266"/>
              <w:textAlignment w:val="baseline"/>
            </w:pPr>
            <w:r>
              <w:t xml:space="preserve">COM(2025) 738 final </w:t>
            </w:r>
          </w:p>
        </w:tc>
      </w:tr>
      <w:tr w:rsidR="00EE45AC" w:rsidRPr="00EE45AC" w14:paraId="44434D5B" w14:textId="77777777" w:rsidTr="00EE45AC">
        <w:tc>
          <w:tcPr>
            <w:tcW w:w="1077" w:type="pct"/>
            <w:vMerge/>
          </w:tcPr>
          <w:p w14:paraId="5955A478"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p>
        </w:tc>
        <w:tc>
          <w:tcPr>
            <w:tcW w:w="3923" w:type="pct"/>
          </w:tcPr>
          <w:p w14:paraId="4593702D" w14:textId="479F03D2" w:rsidR="00EE45AC" w:rsidRPr="00EE45AC" w:rsidRDefault="00EE45AC" w:rsidP="00EE45AC">
            <w:pPr>
              <w:tabs>
                <w:tab w:val="center" w:pos="284"/>
              </w:tabs>
              <w:overflowPunct w:val="0"/>
              <w:autoSpaceDE w:val="0"/>
              <w:autoSpaceDN w:val="0"/>
              <w:adjustRightInd w:val="0"/>
              <w:ind w:left="266" w:right="-3091" w:hanging="266"/>
              <w:textAlignment w:val="baseline"/>
            </w:pPr>
            <w:r>
              <w:t>EESC-2026-00103-00-00-AC</w:t>
            </w:r>
          </w:p>
        </w:tc>
      </w:tr>
    </w:tbl>
    <w:p w14:paraId="5F04C287" w14:textId="77777777" w:rsidR="00EE45AC" w:rsidRPr="00EE45AC" w:rsidRDefault="00EE45AC" w:rsidP="00EE45AC">
      <w:pPr>
        <w:keepNext/>
        <w:keepLines/>
        <w:tabs>
          <w:tab w:val="center" w:pos="284"/>
        </w:tabs>
        <w:overflowPunct w:val="0"/>
        <w:autoSpaceDE w:val="0"/>
        <w:autoSpaceDN w:val="0"/>
        <w:adjustRightInd w:val="0"/>
        <w:ind w:left="266" w:hanging="266"/>
        <w:textAlignment w:val="baseline"/>
        <w:rPr>
          <w:b/>
          <w:lang w:val="en-GB"/>
        </w:rPr>
      </w:pPr>
    </w:p>
    <w:p w14:paraId="6E93DF97" w14:textId="45FE9F02" w:rsidR="00EE45AC" w:rsidRPr="00EE45AC" w:rsidRDefault="00BF4B8A" w:rsidP="00051934">
      <w:pPr>
        <w:overflowPunct w:val="0"/>
        <w:autoSpaceDE w:val="0"/>
        <w:autoSpaceDN w:val="0"/>
        <w:adjustRightInd w:val="0"/>
        <w:spacing w:after="200" w:line="276" w:lineRule="auto"/>
        <w:contextualSpacing/>
        <w:textAlignment w:val="baseline"/>
      </w:pPr>
      <w:r>
        <w:t>Întrucât, în opinia sa, conținutul propunerii formulate este pe deplin satisfăcător și nu face obiectul niciunei observații din partea sa, CESE a hotărât să emită un aviz favorabil cu privire la textul propus.</w:t>
      </w:r>
    </w:p>
    <w:p w14:paraId="39F5850A" w14:textId="77777777" w:rsidR="00EE45AC" w:rsidRPr="00EE45AC" w:rsidRDefault="00EE45AC" w:rsidP="00EE45AC">
      <w:pPr>
        <w:widowControl w:val="0"/>
        <w:overflowPunct w:val="0"/>
        <w:autoSpaceDE w:val="0"/>
        <w:autoSpaceDN w:val="0"/>
        <w:adjustRightInd w:val="0"/>
        <w:ind w:left="567"/>
        <w:textAlignment w:val="baseline"/>
        <w:rPr>
          <w:rFonts w:asciiTheme="minorHAnsi" w:hAnsiTheme="minorHAnsi"/>
          <w:szCs w:val="20"/>
          <w:lang w:val="en-GB"/>
        </w:rPr>
      </w:pPr>
    </w:p>
    <w:tbl>
      <w:tblPr>
        <w:tblStyle w:val="TableGrid15"/>
        <w:tblW w:w="49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118"/>
      </w:tblGrid>
      <w:tr w:rsidR="00EE45AC" w:rsidRPr="00EE45AC" w14:paraId="03714D63" w14:textId="77777777" w:rsidTr="002C2DFE">
        <w:tc>
          <w:tcPr>
            <w:tcW w:w="1028" w:type="pct"/>
          </w:tcPr>
          <w:p w14:paraId="0E2610CA" w14:textId="77777777" w:rsidR="00EE45AC" w:rsidRPr="00EE45AC" w:rsidRDefault="00EE45AC" w:rsidP="005E1B10">
            <w:pPr>
              <w:overflowPunct w:val="0"/>
              <w:autoSpaceDE w:val="0"/>
              <w:autoSpaceDN w:val="0"/>
              <w:adjustRightInd w:val="0"/>
              <w:ind w:hanging="110"/>
              <w:textAlignment w:val="baseline"/>
              <w:rPr>
                <w:i/>
              </w:rPr>
            </w:pPr>
            <w:r>
              <w:rPr>
                <w:b/>
                <w:i/>
              </w:rPr>
              <w:t>Date de contact:</w:t>
            </w:r>
          </w:p>
        </w:tc>
        <w:tc>
          <w:tcPr>
            <w:tcW w:w="3972" w:type="pct"/>
          </w:tcPr>
          <w:p w14:paraId="655EDDD6" w14:textId="421EB465" w:rsidR="00EE45AC" w:rsidRPr="00EE45AC" w:rsidRDefault="00EE45AC" w:rsidP="00EE45AC">
            <w:pPr>
              <w:overflowPunct w:val="0"/>
              <w:autoSpaceDE w:val="0"/>
              <w:autoSpaceDN w:val="0"/>
              <w:adjustRightInd w:val="0"/>
              <w:textAlignment w:val="baseline"/>
              <w:rPr>
                <w:i/>
              </w:rPr>
            </w:pPr>
            <w:proofErr w:type="spellStart"/>
            <w:r>
              <w:rPr>
                <w:i/>
              </w:rPr>
              <w:t>Gaizka</w:t>
            </w:r>
            <w:proofErr w:type="spellEnd"/>
            <w:r>
              <w:rPr>
                <w:i/>
              </w:rPr>
              <w:t xml:space="preserve"> </w:t>
            </w:r>
            <w:proofErr w:type="spellStart"/>
            <w:r>
              <w:rPr>
                <w:i/>
              </w:rPr>
              <w:t>Malo</w:t>
            </w:r>
            <w:proofErr w:type="spellEnd"/>
            <w:r>
              <w:rPr>
                <w:i/>
              </w:rPr>
              <w:t xml:space="preserve"> </w:t>
            </w:r>
            <w:proofErr w:type="spellStart"/>
            <w:r>
              <w:rPr>
                <w:i/>
              </w:rPr>
              <w:t>Elcoro-Iribe</w:t>
            </w:r>
            <w:proofErr w:type="spellEnd"/>
            <w:r>
              <w:rPr>
                <w:i/>
              </w:rPr>
              <w:t xml:space="preserve"> </w:t>
            </w:r>
          </w:p>
        </w:tc>
      </w:tr>
      <w:tr w:rsidR="00EE45AC" w:rsidRPr="00EE45AC" w14:paraId="6EF25DA0" w14:textId="77777777" w:rsidTr="002C2DFE">
        <w:tc>
          <w:tcPr>
            <w:tcW w:w="1028" w:type="pct"/>
          </w:tcPr>
          <w:p w14:paraId="2CB27EFF" w14:textId="77777777" w:rsidR="00EE45AC" w:rsidRPr="00EE45AC" w:rsidRDefault="00EE45AC" w:rsidP="005E1B10">
            <w:pPr>
              <w:overflowPunct w:val="0"/>
              <w:autoSpaceDE w:val="0"/>
              <w:autoSpaceDN w:val="0"/>
              <w:adjustRightInd w:val="0"/>
              <w:ind w:left="-110"/>
              <w:textAlignment w:val="baseline"/>
              <w:rPr>
                <w:i/>
              </w:rPr>
            </w:pPr>
            <w:r>
              <w:rPr>
                <w:i/>
              </w:rPr>
              <w:t>Tel.:</w:t>
            </w:r>
          </w:p>
        </w:tc>
        <w:tc>
          <w:tcPr>
            <w:tcW w:w="3972" w:type="pct"/>
          </w:tcPr>
          <w:p w14:paraId="56BEC0AC" w14:textId="77777777" w:rsidR="00EE45AC" w:rsidRPr="00EE45AC" w:rsidRDefault="00EE45AC" w:rsidP="00EE45AC">
            <w:pPr>
              <w:overflowPunct w:val="0"/>
              <w:autoSpaceDE w:val="0"/>
              <w:autoSpaceDN w:val="0"/>
              <w:adjustRightInd w:val="0"/>
              <w:textAlignment w:val="baseline"/>
              <w:rPr>
                <w:i/>
              </w:rPr>
            </w:pPr>
            <w:r>
              <w:rPr>
                <w:i/>
              </w:rPr>
              <w:t>+32 25468526</w:t>
            </w:r>
          </w:p>
        </w:tc>
      </w:tr>
      <w:tr w:rsidR="00EE45AC" w:rsidRPr="00EE45AC" w14:paraId="2DDD6DAA" w14:textId="77777777" w:rsidTr="002C2DFE">
        <w:tc>
          <w:tcPr>
            <w:tcW w:w="1028" w:type="pct"/>
          </w:tcPr>
          <w:p w14:paraId="62FEA67A" w14:textId="77777777" w:rsidR="00EE45AC" w:rsidRPr="00EE45AC" w:rsidRDefault="00EE45AC" w:rsidP="005E1B10">
            <w:pPr>
              <w:overflowPunct w:val="0"/>
              <w:autoSpaceDE w:val="0"/>
              <w:autoSpaceDN w:val="0"/>
              <w:adjustRightInd w:val="0"/>
              <w:ind w:left="-110"/>
              <w:textAlignment w:val="baseline"/>
              <w:rPr>
                <w:i/>
              </w:rPr>
            </w:pPr>
            <w:r>
              <w:rPr>
                <w:i/>
              </w:rPr>
              <w:t>E-mail:</w:t>
            </w:r>
          </w:p>
        </w:tc>
        <w:tc>
          <w:tcPr>
            <w:tcW w:w="3972" w:type="pct"/>
          </w:tcPr>
          <w:p w14:paraId="5E459120" w14:textId="77777777" w:rsidR="00EE45AC" w:rsidRPr="00EE45AC" w:rsidRDefault="005A1446" w:rsidP="00EE45AC">
            <w:pPr>
              <w:overflowPunct w:val="0"/>
              <w:autoSpaceDE w:val="0"/>
              <w:autoSpaceDN w:val="0"/>
              <w:adjustRightInd w:val="0"/>
              <w:textAlignment w:val="baseline"/>
              <w:rPr>
                <w:i/>
                <w:iCs/>
              </w:rPr>
            </w:pPr>
            <w:hyperlink r:id="rId49" w:history="1">
              <w:r w:rsidR="00CA46B0">
                <w:rPr>
                  <w:i/>
                  <w:color w:val="0000FF"/>
                  <w:u w:val="single"/>
                </w:rPr>
                <w:t>Gaizka.MaloElcoro-Iribe@eesc.europa.eu</w:t>
              </w:r>
            </w:hyperlink>
            <w:r w:rsidR="00CA46B0">
              <w:rPr>
                <w:i/>
              </w:rPr>
              <w:t xml:space="preserve"> </w:t>
            </w:r>
          </w:p>
        </w:tc>
      </w:tr>
    </w:tbl>
    <w:p w14:paraId="0BE571FF" w14:textId="3F48FB41" w:rsidR="004F4B0E" w:rsidRDefault="004F4B0E">
      <w:pPr>
        <w:spacing w:after="160" w:line="259" w:lineRule="auto"/>
        <w:jc w:val="left"/>
      </w:pPr>
    </w:p>
    <w:p w14:paraId="6DDBD3DD" w14:textId="77777777" w:rsidR="004F4B0E" w:rsidRDefault="004F4B0E">
      <w:pPr>
        <w:spacing w:after="160" w:line="259" w:lineRule="auto"/>
        <w:jc w:val="left"/>
      </w:pPr>
      <w:r>
        <w:br w:type="page"/>
      </w:r>
    </w:p>
    <w:p w14:paraId="2652CAEE" w14:textId="756C2F57" w:rsidR="00A71787" w:rsidRPr="00A71787" w:rsidRDefault="005A1446" w:rsidP="00A704FE">
      <w:pPr>
        <w:widowControl w:val="0"/>
        <w:numPr>
          <w:ilvl w:val="0"/>
          <w:numId w:val="14"/>
        </w:numPr>
        <w:overflowPunct w:val="0"/>
        <w:autoSpaceDE w:val="0"/>
        <w:autoSpaceDN w:val="0"/>
        <w:adjustRightInd w:val="0"/>
        <w:ind w:hanging="567"/>
        <w:textAlignment w:val="baseline"/>
        <w:rPr>
          <w:b/>
        </w:rPr>
      </w:pPr>
      <w:hyperlink r:id="rId50" w:history="1">
        <w:r w:rsidR="00CA46B0">
          <w:rPr>
            <w:b/>
            <w:i/>
            <w:color w:val="0000FF"/>
            <w:sz w:val="28"/>
            <w:u w:val="single"/>
          </w:rPr>
          <w:t xml:space="preserve">Modificarea perioadelor de protecție a datelor pentru produsele </w:t>
        </w:r>
        <w:proofErr w:type="spellStart"/>
        <w:r w:rsidR="00CA46B0">
          <w:rPr>
            <w:b/>
            <w:i/>
            <w:color w:val="0000FF"/>
            <w:sz w:val="28"/>
            <w:u w:val="single"/>
          </w:rPr>
          <w:t>biocide</w:t>
        </w:r>
        <w:proofErr w:type="spellEnd"/>
      </w:hyperlink>
    </w:p>
    <w:p w14:paraId="513FCEEC" w14:textId="77777777" w:rsidR="00A71787" w:rsidRPr="00A71787" w:rsidRDefault="00A71787" w:rsidP="00A71787">
      <w:pPr>
        <w:widowControl w:val="0"/>
        <w:overflowPunct w:val="0"/>
        <w:autoSpaceDE w:val="0"/>
        <w:autoSpaceDN w:val="0"/>
        <w:adjustRightInd w:val="0"/>
        <w:ind w:left="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71787" w:rsidRPr="00A71787" w14:paraId="40CE23D7" w14:textId="77777777" w:rsidTr="00A71787">
        <w:tc>
          <w:tcPr>
            <w:tcW w:w="1077" w:type="pct"/>
            <w:vMerge w:val="restart"/>
          </w:tcPr>
          <w:p w14:paraId="17F211F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r>
              <w:rPr>
                <w:b/>
              </w:rPr>
              <w:t>Referințe:</w:t>
            </w:r>
          </w:p>
        </w:tc>
        <w:tc>
          <w:tcPr>
            <w:tcW w:w="3923" w:type="pct"/>
          </w:tcPr>
          <w:p w14:paraId="447AC604" w14:textId="6476D059" w:rsidR="00D72442" w:rsidRDefault="00D72442" w:rsidP="00A71787">
            <w:pPr>
              <w:tabs>
                <w:tab w:val="center" w:pos="284"/>
              </w:tabs>
              <w:overflowPunct w:val="0"/>
              <w:autoSpaceDE w:val="0"/>
              <w:autoSpaceDN w:val="0"/>
              <w:adjustRightInd w:val="0"/>
              <w:ind w:left="266" w:right="-3091" w:hanging="266"/>
              <w:textAlignment w:val="baseline"/>
            </w:pPr>
            <w:r>
              <w:t>aviz de categoria C</w:t>
            </w:r>
          </w:p>
          <w:p w14:paraId="3CA92A72" w14:textId="52612067" w:rsidR="00A71787" w:rsidRPr="00A71787" w:rsidRDefault="00A71787" w:rsidP="00A71787">
            <w:pPr>
              <w:tabs>
                <w:tab w:val="center" w:pos="284"/>
              </w:tabs>
              <w:overflowPunct w:val="0"/>
              <w:autoSpaceDE w:val="0"/>
              <w:autoSpaceDN w:val="0"/>
              <w:adjustRightInd w:val="0"/>
              <w:ind w:left="266" w:right="-3091" w:hanging="266"/>
              <w:textAlignment w:val="baseline"/>
            </w:pPr>
            <w:r>
              <w:t xml:space="preserve">COM(2025) 1020 final </w:t>
            </w:r>
          </w:p>
        </w:tc>
      </w:tr>
      <w:tr w:rsidR="00A71787" w:rsidRPr="00A71787" w14:paraId="06E5E594" w14:textId="77777777" w:rsidTr="00A71787">
        <w:tc>
          <w:tcPr>
            <w:tcW w:w="1077" w:type="pct"/>
            <w:vMerge/>
          </w:tcPr>
          <w:p w14:paraId="3F41D36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p>
        </w:tc>
        <w:tc>
          <w:tcPr>
            <w:tcW w:w="3923" w:type="pct"/>
          </w:tcPr>
          <w:p w14:paraId="5B592B7B" w14:textId="7324FCBC" w:rsidR="00A71787" w:rsidRPr="00A71787" w:rsidRDefault="00A71787" w:rsidP="00A71787">
            <w:pPr>
              <w:tabs>
                <w:tab w:val="center" w:pos="284"/>
              </w:tabs>
              <w:overflowPunct w:val="0"/>
              <w:autoSpaceDE w:val="0"/>
              <w:autoSpaceDN w:val="0"/>
              <w:adjustRightInd w:val="0"/>
              <w:ind w:left="266" w:right="-3091" w:hanging="266"/>
              <w:textAlignment w:val="baseline"/>
            </w:pPr>
            <w:r>
              <w:t>EESC-2026-00101-00-00-AC</w:t>
            </w:r>
          </w:p>
        </w:tc>
      </w:tr>
    </w:tbl>
    <w:p w14:paraId="3CA514B7" w14:textId="77777777" w:rsidR="00A71787" w:rsidRPr="00A71787" w:rsidRDefault="00A71787" w:rsidP="00A71787">
      <w:pPr>
        <w:tabs>
          <w:tab w:val="center" w:pos="284"/>
        </w:tabs>
        <w:overflowPunct w:val="0"/>
        <w:autoSpaceDE w:val="0"/>
        <w:autoSpaceDN w:val="0"/>
        <w:adjustRightInd w:val="0"/>
        <w:ind w:left="266" w:hanging="266"/>
        <w:textAlignment w:val="baseline"/>
        <w:rPr>
          <w:b/>
          <w:lang w:val="en-GB"/>
        </w:rPr>
      </w:pPr>
    </w:p>
    <w:p w14:paraId="34E60051" w14:textId="5B6B5D13" w:rsidR="00A71787" w:rsidRPr="00A71787" w:rsidRDefault="00576A37" w:rsidP="00051934">
      <w:pPr>
        <w:overflowPunct w:val="0"/>
        <w:autoSpaceDE w:val="0"/>
        <w:autoSpaceDN w:val="0"/>
        <w:adjustRightInd w:val="0"/>
        <w:spacing w:after="200" w:line="276" w:lineRule="auto"/>
        <w:contextualSpacing/>
        <w:textAlignment w:val="baseline"/>
      </w:pPr>
      <w:r>
        <w:t>Întrucât, în opinia sa, conținutul propunerii formulate este pe deplin satisfăcător și nu face obiectul niciunei observații din partea sa, CESE a hotărât să emită un aviz favorabil cu privire la textul propus.</w:t>
      </w:r>
    </w:p>
    <w:p w14:paraId="76A6F565" w14:textId="77777777" w:rsidR="00A71787" w:rsidRPr="00A71787" w:rsidRDefault="00A71787" w:rsidP="00A71787">
      <w:pPr>
        <w:widowControl w:val="0"/>
        <w:overflowPunct w:val="0"/>
        <w:autoSpaceDE w:val="0"/>
        <w:autoSpaceDN w:val="0"/>
        <w:adjustRightInd w:val="0"/>
        <w:ind w:left="567"/>
        <w:textAlignment w:val="baseline"/>
        <w:rPr>
          <w:rFonts w:asciiTheme="minorHAnsi" w:hAnsiTheme="minorHAnsi"/>
          <w:szCs w:val="20"/>
          <w:lang w:val="en-GB"/>
        </w:rPr>
      </w:pPr>
    </w:p>
    <w:tbl>
      <w:tblPr>
        <w:tblStyle w:val="TableGrid16"/>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71787" w:rsidRPr="00A71787" w14:paraId="0F60633C" w14:textId="77777777" w:rsidTr="00A71787">
        <w:tc>
          <w:tcPr>
            <w:tcW w:w="1078" w:type="pct"/>
          </w:tcPr>
          <w:p w14:paraId="56C72CD2" w14:textId="77777777" w:rsidR="00A71787" w:rsidRPr="00A71787" w:rsidRDefault="00A71787" w:rsidP="00A71787">
            <w:pPr>
              <w:overflowPunct w:val="0"/>
              <w:autoSpaceDE w:val="0"/>
              <w:autoSpaceDN w:val="0"/>
              <w:adjustRightInd w:val="0"/>
              <w:textAlignment w:val="baseline"/>
              <w:rPr>
                <w:i/>
              </w:rPr>
            </w:pPr>
            <w:r>
              <w:rPr>
                <w:b/>
                <w:i/>
              </w:rPr>
              <w:t>Date de contact:</w:t>
            </w:r>
          </w:p>
        </w:tc>
        <w:tc>
          <w:tcPr>
            <w:tcW w:w="3922" w:type="pct"/>
          </w:tcPr>
          <w:p w14:paraId="320F4896" w14:textId="4C28CFC1" w:rsidR="00A71787" w:rsidRPr="00A71787" w:rsidRDefault="00A71787" w:rsidP="00A71787">
            <w:pPr>
              <w:overflowPunct w:val="0"/>
              <w:autoSpaceDE w:val="0"/>
              <w:autoSpaceDN w:val="0"/>
              <w:adjustRightInd w:val="0"/>
              <w:textAlignment w:val="baseline"/>
              <w:rPr>
                <w:i/>
              </w:rPr>
            </w:pPr>
            <w:proofErr w:type="spellStart"/>
            <w:r>
              <w:rPr>
                <w:i/>
              </w:rPr>
              <w:t>Martine</w:t>
            </w:r>
            <w:proofErr w:type="spellEnd"/>
            <w:r>
              <w:rPr>
                <w:i/>
              </w:rPr>
              <w:t xml:space="preserve"> </w:t>
            </w:r>
            <w:proofErr w:type="spellStart"/>
            <w:r>
              <w:rPr>
                <w:i/>
              </w:rPr>
              <w:t>Delanoy</w:t>
            </w:r>
            <w:proofErr w:type="spellEnd"/>
            <w:r>
              <w:rPr>
                <w:i/>
              </w:rPr>
              <w:t xml:space="preserve"> </w:t>
            </w:r>
          </w:p>
        </w:tc>
      </w:tr>
      <w:tr w:rsidR="00A71787" w:rsidRPr="00A71787" w14:paraId="29641D7C" w14:textId="77777777" w:rsidTr="00A71787">
        <w:tc>
          <w:tcPr>
            <w:tcW w:w="1078" w:type="pct"/>
          </w:tcPr>
          <w:p w14:paraId="7FCBA5DF" w14:textId="77777777" w:rsidR="00A71787" w:rsidRPr="00A71787" w:rsidRDefault="00A71787" w:rsidP="00A71787">
            <w:pPr>
              <w:overflowPunct w:val="0"/>
              <w:autoSpaceDE w:val="0"/>
              <w:autoSpaceDN w:val="0"/>
              <w:adjustRightInd w:val="0"/>
              <w:textAlignment w:val="baseline"/>
              <w:rPr>
                <w:i/>
              </w:rPr>
            </w:pPr>
            <w:r>
              <w:rPr>
                <w:i/>
              </w:rPr>
              <w:t>Tel.:</w:t>
            </w:r>
          </w:p>
        </w:tc>
        <w:tc>
          <w:tcPr>
            <w:tcW w:w="3922" w:type="pct"/>
          </w:tcPr>
          <w:p w14:paraId="42A75B3D" w14:textId="77777777" w:rsidR="00A71787" w:rsidRPr="00A71787" w:rsidRDefault="00A71787" w:rsidP="00A71787">
            <w:pPr>
              <w:overflowPunct w:val="0"/>
              <w:autoSpaceDE w:val="0"/>
              <w:autoSpaceDN w:val="0"/>
              <w:adjustRightInd w:val="0"/>
              <w:textAlignment w:val="baseline"/>
              <w:rPr>
                <w:i/>
              </w:rPr>
            </w:pPr>
            <w:r>
              <w:rPr>
                <w:i/>
              </w:rPr>
              <w:t>+32 25469802</w:t>
            </w:r>
          </w:p>
        </w:tc>
      </w:tr>
      <w:tr w:rsidR="00A71787" w:rsidRPr="00A71787" w14:paraId="5BDE6935" w14:textId="77777777" w:rsidTr="00A71787">
        <w:tc>
          <w:tcPr>
            <w:tcW w:w="1078" w:type="pct"/>
          </w:tcPr>
          <w:p w14:paraId="00CBEE39" w14:textId="77777777" w:rsidR="00A71787" w:rsidRPr="00A71787" w:rsidRDefault="00A71787" w:rsidP="00A71787">
            <w:pPr>
              <w:overflowPunct w:val="0"/>
              <w:autoSpaceDE w:val="0"/>
              <w:autoSpaceDN w:val="0"/>
              <w:adjustRightInd w:val="0"/>
              <w:textAlignment w:val="baseline"/>
              <w:rPr>
                <w:i/>
              </w:rPr>
            </w:pPr>
            <w:r>
              <w:rPr>
                <w:i/>
              </w:rPr>
              <w:t>E-mail:</w:t>
            </w:r>
          </w:p>
        </w:tc>
        <w:tc>
          <w:tcPr>
            <w:tcW w:w="3922" w:type="pct"/>
          </w:tcPr>
          <w:p w14:paraId="2A7EC1D2" w14:textId="77777777" w:rsidR="00A71787" w:rsidRPr="00A71787" w:rsidRDefault="005A1446" w:rsidP="00A71787">
            <w:pPr>
              <w:overflowPunct w:val="0"/>
              <w:autoSpaceDE w:val="0"/>
              <w:autoSpaceDN w:val="0"/>
              <w:adjustRightInd w:val="0"/>
              <w:textAlignment w:val="baseline"/>
              <w:rPr>
                <w:i/>
                <w:iCs/>
              </w:rPr>
            </w:pPr>
            <w:hyperlink r:id="rId51" w:history="1">
              <w:r w:rsidR="00CA46B0">
                <w:rPr>
                  <w:i/>
                  <w:color w:val="0000FF"/>
                  <w:u w:val="single"/>
                </w:rPr>
                <w:t>Martine.Delanoy@eesc.europa.eu</w:t>
              </w:r>
            </w:hyperlink>
          </w:p>
        </w:tc>
      </w:tr>
    </w:tbl>
    <w:p w14:paraId="61BD894B" w14:textId="68FD59F8" w:rsidR="00793264" w:rsidRDefault="00793264">
      <w:pPr>
        <w:spacing w:after="160" w:line="259" w:lineRule="auto"/>
        <w:jc w:val="left"/>
      </w:pPr>
    </w:p>
    <w:p w14:paraId="5A7163DF" w14:textId="77777777" w:rsidR="00793264" w:rsidRDefault="00793264">
      <w:pPr>
        <w:spacing w:after="160" w:line="259" w:lineRule="auto"/>
        <w:jc w:val="left"/>
      </w:pPr>
      <w:r>
        <w:br w:type="page"/>
      </w:r>
    </w:p>
    <w:p w14:paraId="0381724B" w14:textId="364BAB02" w:rsidR="00FA584E" w:rsidRPr="00FA584E" w:rsidRDefault="005A1446" w:rsidP="00FA584E">
      <w:pPr>
        <w:widowControl w:val="0"/>
        <w:numPr>
          <w:ilvl w:val="0"/>
          <w:numId w:val="24"/>
        </w:numPr>
        <w:overflowPunct w:val="0"/>
        <w:autoSpaceDE w:val="0"/>
        <w:autoSpaceDN w:val="0"/>
        <w:adjustRightInd w:val="0"/>
        <w:ind w:left="567" w:hanging="567"/>
        <w:textAlignment w:val="baseline"/>
        <w:rPr>
          <w:b/>
          <w:bCs/>
          <w:i/>
          <w:iCs/>
          <w:sz w:val="28"/>
          <w:szCs w:val="28"/>
        </w:rPr>
      </w:pPr>
      <w:hyperlink r:id="rId52" w:history="1">
        <w:r w:rsidR="00CA46B0">
          <w:rPr>
            <w:b/>
            <w:i/>
            <w:color w:val="0000FF"/>
            <w:sz w:val="28"/>
            <w:u w:val="single"/>
          </w:rPr>
          <w:t>Revizuirea Regulamentului privind organizarea comună a piețelor (OCP)</w:t>
        </w:r>
      </w:hyperlink>
    </w:p>
    <w:p w14:paraId="180A4E10" w14:textId="77777777" w:rsidR="00FA584E" w:rsidRPr="00FA584E" w:rsidRDefault="00FA584E" w:rsidP="00FA584E">
      <w:pPr>
        <w:tabs>
          <w:tab w:val="center" w:pos="284"/>
        </w:tabs>
        <w:overflowPunct w:val="0"/>
        <w:autoSpaceDE w:val="0"/>
        <w:autoSpaceDN w:val="0"/>
        <w:adjustRightInd w:val="0"/>
        <w:ind w:left="266" w:hanging="266"/>
        <w:textAlignment w:val="baseline"/>
        <w:rPr>
          <w:b/>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2A5B96F3" w14:textId="77777777" w:rsidTr="0017523E">
        <w:tc>
          <w:tcPr>
            <w:tcW w:w="1077" w:type="pct"/>
          </w:tcPr>
          <w:p w14:paraId="5E6172BC"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Raportor:</w:t>
            </w:r>
          </w:p>
        </w:tc>
        <w:tc>
          <w:tcPr>
            <w:tcW w:w="3923" w:type="pct"/>
          </w:tcPr>
          <w:p w14:paraId="23E364B2" w14:textId="0FEC4D96" w:rsidR="00FA584E" w:rsidRDefault="00FA584E" w:rsidP="00FA584E">
            <w:pPr>
              <w:tabs>
                <w:tab w:val="center" w:pos="284"/>
              </w:tabs>
              <w:overflowPunct w:val="0"/>
              <w:autoSpaceDE w:val="0"/>
              <w:autoSpaceDN w:val="0"/>
              <w:adjustRightInd w:val="0"/>
              <w:ind w:left="266" w:right="-3091" w:hanging="266"/>
              <w:textAlignment w:val="baseline"/>
            </w:pPr>
            <w:r>
              <w:t>Felipe MEDINA (Grupul „Angajatori” – ES)</w:t>
            </w:r>
          </w:p>
          <w:p w14:paraId="5B7B759B" w14:textId="65EF1497" w:rsidR="00EC725B" w:rsidRPr="00FA584E" w:rsidRDefault="00EC725B" w:rsidP="00FA584E">
            <w:pPr>
              <w:tabs>
                <w:tab w:val="center" w:pos="284"/>
              </w:tabs>
              <w:overflowPunct w:val="0"/>
              <w:autoSpaceDE w:val="0"/>
              <w:autoSpaceDN w:val="0"/>
              <w:adjustRightInd w:val="0"/>
              <w:ind w:left="266" w:right="-3091" w:hanging="266"/>
              <w:textAlignment w:val="baseline"/>
            </w:pPr>
          </w:p>
        </w:tc>
      </w:tr>
      <w:tr w:rsidR="00FA584E" w:rsidRPr="00FA584E" w14:paraId="3BF65A36" w14:textId="77777777" w:rsidTr="0017523E">
        <w:tc>
          <w:tcPr>
            <w:tcW w:w="1077" w:type="pct"/>
          </w:tcPr>
          <w:p w14:paraId="16BAA160"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Referințe:</w:t>
            </w:r>
          </w:p>
        </w:tc>
        <w:tc>
          <w:tcPr>
            <w:tcW w:w="3923" w:type="pct"/>
          </w:tcPr>
          <w:p w14:paraId="641E34E3" w14:textId="4B3B4CDB" w:rsidR="00A14EE2" w:rsidRDefault="00A14EE2" w:rsidP="00FA584E">
            <w:pPr>
              <w:tabs>
                <w:tab w:val="center" w:pos="284"/>
              </w:tabs>
              <w:overflowPunct w:val="0"/>
              <w:autoSpaceDE w:val="0"/>
              <w:autoSpaceDN w:val="0"/>
              <w:adjustRightInd w:val="0"/>
              <w:ind w:left="266" w:right="-3091" w:hanging="266"/>
              <w:textAlignment w:val="baseline"/>
            </w:pPr>
            <w:r>
              <w:t>COM(2025) 553 final</w:t>
            </w:r>
          </w:p>
          <w:p w14:paraId="10CDA317" w14:textId="711F982F" w:rsidR="00FA584E" w:rsidRPr="00FA584E" w:rsidRDefault="00FA584E" w:rsidP="00FA584E">
            <w:pPr>
              <w:tabs>
                <w:tab w:val="center" w:pos="284"/>
              </w:tabs>
              <w:overflowPunct w:val="0"/>
              <w:autoSpaceDE w:val="0"/>
              <w:autoSpaceDN w:val="0"/>
              <w:adjustRightInd w:val="0"/>
              <w:ind w:left="266" w:right="-3091" w:hanging="266"/>
              <w:textAlignment w:val="baseline"/>
            </w:pPr>
            <w:r>
              <w:t>EESC-2025-03145-00-00-AC</w:t>
            </w:r>
          </w:p>
        </w:tc>
      </w:tr>
    </w:tbl>
    <w:p w14:paraId="74EF8D93" w14:textId="77777777" w:rsidR="00FA584E" w:rsidRPr="00FA584E" w:rsidRDefault="00FA584E" w:rsidP="00FA584E">
      <w:pPr>
        <w:tabs>
          <w:tab w:val="center" w:pos="284"/>
        </w:tabs>
        <w:overflowPunct w:val="0"/>
        <w:autoSpaceDE w:val="0"/>
        <w:autoSpaceDN w:val="0"/>
        <w:adjustRightInd w:val="0"/>
        <w:ind w:left="266" w:hanging="266"/>
        <w:textAlignment w:val="baseline"/>
        <w:rPr>
          <w:b/>
          <w:lang w:val="en-GB"/>
        </w:rPr>
      </w:pPr>
    </w:p>
    <w:p w14:paraId="251736F1" w14:textId="77777777" w:rsidR="00FA584E" w:rsidRPr="00FA584E" w:rsidRDefault="00FA584E" w:rsidP="00FA584E">
      <w:pPr>
        <w:keepNext/>
        <w:keepLines/>
        <w:tabs>
          <w:tab w:val="center" w:pos="284"/>
        </w:tabs>
        <w:overflowPunct w:val="0"/>
        <w:autoSpaceDE w:val="0"/>
        <w:autoSpaceDN w:val="0"/>
        <w:adjustRightInd w:val="0"/>
        <w:ind w:left="266" w:hanging="266"/>
        <w:textAlignment w:val="baseline"/>
        <w:rPr>
          <w:b/>
        </w:rPr>
      </w:pPr>
      <w:r>
        <w:rPr>
          <w:b/>
        </w:rPr>
        <w:t>Punctele principale:</w:t>
      </w:r>
    </w:p>
    <w:p w14:paraId="06A37CD1" w14:textId="77777777" w:rsidR="00FA584E" w:rsidRPr="00FA584E" w:rsidRDefault="00FA584E" w:rsidP="00051934">
      <w:pPr>
        <w:keepNext/>
        <w:keepLines/>
        <w:tabs>
          <w:tab w:val="center" w:pos="284"/>
        </w:tabs>
        <w:overflowPunct w:val="0"/>
        <w:autoSpaceDE w:val="0"/>
        <w:autoSpaceDN w:val="0"/>
        <w:adjustRightInd w:val="0"/>
        <w:spacing w:line="240" w:lineRule="auto"/>
        <w:ind w:left="266" w:hanging="266"/>
        <w:textAlignment w:val="baseline"/>
        <w:rPr>
          <w:b/>
          <w:lang w:val="en-GB"/>
        </w:rPr>
      </w:pPr>
    </w:p>
    <w:p w14:paraId="48F8196B" w14:textId="77777777" w:rsidR="00FA584E" w:rsidRDefault="00FA584E" w:rsidP="00FA584E">
      <w:pPr>
        <w:overflowPunct w:val="0"/>
        <w:autoSpaceDE w:val="0"/>
        <w:autoSpaceDN w:val="0"/>
        <w:adjustRightInd w:val="0"/>
        <w:textAlignment w:val="baseline"/>
        <w:rPr>
          <w:szCs w:val="20"/>
        </w:rPr>
      </w:pPr>
      <w:r>
        <w:t>CESE:</w:t>
      </w:r>
    </w:p>
    <w:p w14:paraId="196A3E11" w14:textId="77777777" w:rsidR="00067C7B" w:rsidRPr="00051934" w:rsidRDefault="00067C7B" w:rsidP="00051934">
      <w:pPr>
        <w:overflowPunct w:val="0"/>
        <w:autoSpaceDE w:val="0"/>
        <w:autoSpaceDN w:val="0"/>
        <w:adjustRightInd w:val="0"/>
        <w:spacing w:line="240" w:lineRule="auto"/>
        <w:textAlignment w:val="baseline"/>
        <w:rPr>
          <w:sz w:val="16"/>
          <w:szCs w:val="16"/>
          <w:lang w:val="en-GB"/>
        </w:rPr>
      </w:pPr>
    </w:p>
    <w:p w14:paraId="70F40040"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salută modificările propuse de Comisia Europeană în cadrul propunerii COM(2025) 553 final de revizuire a organizării comune a piețelor (OCP);</w:t>
      </w:r>
    </w:p>
    <w:p w14:paraId="5BBA840B"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subliniază că există o </w:t>
      </w:r>
      <w:r>
        <w:rPr>
          <w:b/>
        </w:rPr>
        <w:t>neconcordanță între ambiția</w:t>
      </w:r>
      <w:r>
        <w:t xml:space="preserve"> reflectată în propuneri – care oferă statelor membre posibilitatea de a adăuga noi intervenții sectoriale – </w:t>
      </w:r>
      <w:r>
        <w:rPr>
          <w:b/>
        </w:rPr>
        <w:t>și faptul că bugetul propus dedicat PAC este mai mic decât bugetul actual</w:t>
      </w:r>
      <w:r>
        <w:t xml:space="preserve"> și că statele membre sunt invitate să cofinanțeze intervențiile, ceea ce nu este cazul în prezent pentru fructe și legume. Acest lucru poate, de asemenea, să pună în pericol funcționarea pieței interne;</w:t>
      </w:r>
    </w:p>
    <w:p w14:paraId="1D68904F"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recunoaște eforturile depuse de CE pentru a </w:t>
      </w:r>
      <w:r>
        <w:rPr>
          <w:b/>
        </w:rPr>
        <w:t>simplifica Regulamentul privind OCP</w:t>
      </w:r>
      <w:r>
        <w:t xml:space="preserve"> sub diferite aspecte. Comisia urmărește să faciliteze înțelegerea acestuia, să promoveze dezvoltarea și punerea lui în aplicare și să îmbunătățească astfel funcționarea diferitelor măsuri, cu scopul de a îmbunătăți situația fermierilor și a altor operatori de-a lungul lanțului agroalimentar. Intervențiile sectoriale actuale se vor desfășura după sfârșitul actualei perioade bugetare și că, prin urmare, sunt necesare dispoziții tranzitorii;</w:t>
      </w:r>
    </w:p>
    <w:p w14:paraId="4F74F945"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subliniază că este necesară recunoașterea clară a </w:t>
      </w:r>
      <w:r>
        <w:rPr>
          <w:b/>
        </w:rPr>
        <w:t>caracterului esențial și strategic al sectorului agroalimentar</w:t>
      </w:r>
      <w:r>
        <w:t>. Protocoalele de contingență pentru crize și situații excepționale, care trebuie elaborate de către statele membre, ar trebui să includă acest principiu, garantând că autoritățile publice au obligația de a facilita activitățile tuturor operatorilor din acest sector în timpul crizelor. Acest lucru este esențial pentru a garanta aprovizionarea cu alimente în orice moment și pentru a contribui la liniștirea cetățenilor Uniunii, prevenind astfel constituirea inutilă de stocuri de alimente și problemele de siguranță conexe;</w:t>
      </w:r>
    </w:p>
    <w:p w14:paraId="558BAC59"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rPr>
          <w:spacing w:val="-4"/>
        </w:rPr>
      </w:pPr>
      <w:r>
        <w:t xml:space="preserve">reiterează </w:t>
      </w:r>
      <w:r>
        <w:rPr>
          <w:b/>
        </w:rPr>
        <w:t>nevoia de transparență</w:t>
      </w:r>
      <w:r>
        <w:t xml:space="preserve"> cu privire la compoziția produselor alimentare și necesitatea ca aceste informații să fie ușor accesibile consumatorilor. În plus, CESE recunoaște eforturile depuse de Comisia Europeană cu privire la denumirile produselor din carne, însă avertizează asupra riscului că anumite măsuri menite să protejeze anumite sectoare de producție ar putea avea efecte negative asupra altor sectoare la fel de importante.</w:t>
      </w:r>
    </w:p>
    <w:p w14:paraId="6A5FBBD4" w14:textId="2BC9B4B9"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solicită CE să </w:t>
      </w:r>
      <w:r>
        <w:rPr>
          <w:b/>
        </w:rPr>
        <w:t>permită utilizarea întregii plante de cânepă</w:t>
      </w:r>
      <w:r>
        <w:t>, inclusiv a florilor, și să simplifice controalele acordând prioritate controalelor administrative și reducând inspecțiile la fața locului. În</w:t>
      </w:r>
      <w:r w:rsidR="00051934">
        <w:t> </w:t>
      </w:r>
      <w:r>
        <w:t>conformitate cu sprijinul CESE pentru o reglementare eficace, proporțională și bazată pe dovezi, Comisia este invitată să reexamineze aceste amendamente și să adopte o abordare bazată pe risc, care să permită utilizarea frunzelor și a paielor de cânepă ca materii prime furajere, cu condiția ca acestea să fie derivate din soiuri conforme cu PAC (&lt; 0,3 % THC).</w:t>
      </w:r>
    </w:p>
    <w:p w14:paraId="75B5AAA0" w14:textId="77777777" w:rsidR="00FA584E" w:rsidRPr="00FA584E" w:rsidRDefault="00FA584E" w:rsidP="00FA584E">
      <w:pPr>
        <w:widowControl w:val="0"/>
        <w:overflowPunct w:val="0"/>
        <w:autoSpaceDE w:val="0"/>
        <w:autoSpaceDN w:val="0"/>
        <w:adjustRightInd w:val="0"/>
        <w:textAlignment w:val="baseline"/>
        <w:rPr>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1B8B267C" w14:textId="77777777" w:rsidTr="0017523E">
        <w:tc>
          <w:tcPr>
            <w:tcW w:w="1077" w:type="pct"/>
          </w:tcPr>
          <w:p w14:paraId="555FAA91" w14:textId="77777777" w:rsidR="00FA584E" w:rsidRPr="00FA584E" w:rsidRDefault="00FA584E" w:rsidP="00FA584E">
            <w:pPr>
              <w:overflowPunct w:val="0"/>
              <w:autoSpaceDE w:val="0"/>
              <w:autoSpaceDN w:val="0"/>
              <w:adjustRightInd w:val="0"/>
              <w:textAlignment w:val="baseline"/>
              <w:rPr>
                <w:i/>
                <w:iCs/>
              </w:rPr>
            </w:pPr>
            <w:r>
              <w:rPr>
                <w:b/>
                <w:i/>
              </w:rPr>
              <w:t>Date de contact:</w:t>
            </w:r>
          </w:p>
        </w:tc>
        <w:tc>
          <w:tcPr>
            <w:tcW w:w="3923" w:type="pct"/>
          </w:tcPr>
          <w:p w14:paraId="521F72FD" w14:textId="77777777" w:rsidR="00FA584E" w:rsidRPr="00FA584E" w:rsidRDefault="00FA584E" w:rsidP="00FA584E">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p>
        </w:tc>
      </w:tr>
      <w:tr w:rsidR="00FA584E" w:rsidRPr="00FA584E" w14:paraId="10F8BCAF" w14:textId="77777777" w:rsidTr="0017523E">
        <w:tc>
          <w:tcPr>
            <w:tcW w:w="1077" w:type="pct"/>
          </w:tcPr>
          <w:p w14:paraId="44501CF7" w14:textId="77777777" w:rsidR="00FA584E" w:rsidRPr="00FA584E" w:rsidRDefault="00FA584E" w:rsidP="00FA584E">
            <w:pPr>
              <w:overflowPunct w:val="0"/>
              <w:autoSpaceDE w:val="0"/>
              <w:autoSpaceDN w:val="0"/>
              <w:adjustRightInd w:val="0"/>
              <w:textAlignment w:val="baseline"/>
              <w:rPr>
                <w:i/>
              </w:rPr>
            </w:pPr>
            <w:r>
              <w:rPr>
                <w:i/>
              </w:rPr>
              <w:t>Tel.:</w:t>
            </w:r>
          </w:p>
        </w:tc>
        <w:tc>
          <w:tcPr>
            <w:tcW w:w="3923" w:type="pct"/>
          </w:tcPr>
          <w:p w14:paraId="5074193B" w14:textId="77777777" w:rsidR="00FA584E" w:rsidRPr="00FA584E" w:rsidRDefault="00FA584E" w:rsidP="00FA584E">
            <w:pPr>
              <w:overflowPunct w:val="0"/>
              <w:autoSpaceDE w:val="0"/>
              <w:autoSpaceDN w:val="0"/>
              <w:adjustRightInd w:val="0"/>
              <w:textAlignment w:val="baseline"/>
              <w:rPr>
                <w:i/>
              </w:rPr>
            </w:pPr>
            <w:r>
              <w:rPr>
                <w:i/>
              </w:rPr>
              <w:t>+32 25468718</w:t>
            </w:r>
          </w:p>
        </w:tc>
      </w:tr>
      <w:tr w:rsidR="00FA584E" w:rsidRPr="00FA584E" w14:paraId="1379B104" w14:textId="77777777" w:rsidTr="0017523E">
        <w:tc>
          <w:tcPr>
            <w:tcW w:w="1077" w:type="pct"/>
          </w:tcPr>
          <w:p w14:paraId="316B4DA8" w14:textId="77777777" w:rsidR="00FA584E" w:rsidRPr="00FA584E" w:rsidRDefault="00FA584E" w:rsidP="00FA584E">
            <w:pPr>
              <w:overflowPunct w:val="0"/>
              <w:autoSpaceDE w:val="0"/>
              <w:autoSpaceDN w:val="0"/>
              <w:adjustRightInd w:val="0"/>
              <w:textAlignment w:val="baseline"/>
              <w:rPr>
                <w:i/>
              </w:rPr>
            </w:pPr>
            <w:r>
              <w:rPr>
                <w:i/>
              </w:rPr>
              <w:t>E-mail:</w:t>
            </w:r>
          </w:p>
        </w:tc>
        <w:tc>
          <w:tcPr>
            <w:tcW w:w="3923" w:type="pct"/>
          </w:tcPr>
          <w:p w14:paraId="7C8EF5D4" w14:textId="77777777" w:rsidR="00FA584E" w:rsidRPr="00FA584E" w:rsidRDefault="005A1446" w:rsidP="00FA584E">
            <w:pPr>
              <w:overflowPunct w:val="0"/>
              <w:autoSpaceDE w:val="0"/>
              <w:autoSpaceDN w:val="0"/>
              <w:adjustRightInd w:val="0"/>
              <w:textAlignment w:val="baseline"/>
              <w:rPr>
                <w:i/>
                <w:iCs/>
              </w:rPr>
            </w:pPr>
            <w:hyperlink r:id="rId53" w:history="1">
              <w:r w:rsidR="00CA46B0">
                <w:rPr>
                  <w:i/>
                  <w:color w:val="0000FF"/>
                  <w:u w:val="single"/>
                </w:rPr>
                <w:t>Myrto.Kolyva@eesc.europa.eu</w:t>
              </w:r>
            </w:hyperlink>
          </w:p>
        </w:tc>
      </w:tr>
    </w:tbl>
    <w:p w14:paraId="776C5E28" w14:textId="77777777" w:rsidR="00FD7E5A" w:rsidRDefault="00FD7E5A">
      <w:pPr>
        <w:spacing w:after="160" w:line="259" w:lineRule="auto"/>
        <w:jc w:val="left"/>
      </w:pPr>
      <w:r>
        <w:br w:type="page"/>
      </w:r>
    </w:p>
    <w:p w14:paraId="241048C3" w14:textId="77692F82" w:rsidR="00293E88" w:rsidRPr="00293E88" w:rsidRDefault="005A1446" w:rsidP="00293E88">
      <w:pPr>
        <w:numPr>
          <w:ilvl w:val="0"/>
          <w:numId w:val="26"/>
        </w:numPr>
        <w:overflowPunct w:val="0"/>
        <w:autoSpaceDE w:val="0"/>
        <w:autoSpaceDN w:val="0"/>
        <w:adjustRightInd w:val="0"/>
        <w:spacing w:line="276" w:lineRule="auto"/>
        <w:ind w:left="567" w:hanging="567"/>
        <w:contextualSpacing/>
        <w:textAlignment w:val="baseline"/>
        <w:rPr>
          <w:i/>
          <w:iCs/>
        </w:rPr>
      </w:pPr>
      <w:hyperlink r:id="rId54" w:history="1">
        <w:r w:rsidR="00CA46B0">
          <w:rPr>
            <w:b/>
            <w:i/>
            <w:color w:val="0000FF"/>
            <w:sz w:val="28"/>
            <w:u w:val="single"/>
          </w:rPr>
          <w:t>Revizuirea politicii comune în domeniul pescuitului</w:t>
        </w:r>
      </w:hyperlink>
    </w:p>
    <w:p w14:paraId="1FC432BE" w14:textId="77777777" w:rsidR="00293E88" w:rsidRPr="00293E88" w:rsidRDefault="00293E88" w:rsidP="00293E88">
      <w:pPr>
        <w:widowControl w:val="0"/>
        <w:overflowPunct w:val="0"/>
        <w:autoSpaceDE w:val="0"/>
        <w:autoSpaceDN w:val="0"/>
        <w:adjustRightInd w:val="0"/>
        <w:ind w:left="567"/>
        <w:textAlignment w:val="baseline"/>
        <w:rPr>
          <w:bCs/>
          <w:sz w:val="16"/>
          <w:szCs w:val="16"/>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293E88" w:rsidRPr="00293E88" w14:paraId="291C17F1" w14:textId="77777777" w:rsidTr="00F94D46">
        <w:tc>
          <w:tcPr>
            <w:tcW w:w="1701" w:type="dxa"/>
          </w:tcPr>
          <w:p w14:paraId="44DB5B98"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rPr>
              <w:t>Raportor:</w:t>
            </w:r>
          </w:p>
        </w:tc>
        <w:tc>
          <w:tcPr>
            <w:tcW w:w="6096" w:type="dxa"/>
          </w:tcPr>
          <w:p w14:paraId="2E55B561" w14:textId="77777777" w:rsidR="00293E88" w:rsidRPr="002C2DFE" w:rsidRDefault="00293E88" w:rsidP="002C2DFE">
            <w:r>
              <w:t>Javier GARAT PÉREZ (Grupul „Organizații ale societății civile” – ES)</w:t>
            </w:r>
          </w:p>
        </w:tc>
      </w:tr>
      <w:tr w:rsidR="00293E88" w:rsidRPr="00293E88" w14:paraId="69ECA24A" w14:textId="77777777" w:rsidTr="00F94D46">
        <w:tc>
          <w:tcPr>
            <w:tcW w:w="7797" w:type="dxa"/>
            <w:gridSpan w:val="2"/>
          </w:tcPr>
          <w:p w14:paraId="35CF39E4" w14:textId="77777777" w:rsidR="00293E88" w:rsidRPr="00293E88" w:rsidRDefault="00293E88" w:rsidP="00293E88">
            <w:pPr>
              <w:tabs>
                <w:tab w:val="left" w:pos="2690"/>
              </w:tabs>
              <w:overflowPunct w:val="0"/>
              <w:autoSpaceDE w:val="0"/>
              <w:autoSpaceDN w:val="0"/>
              <w:adjustRightInd w:val="0"/>
              <w:spacing w:line="160" w:lineRule="exact"/>
              <w:ind w:left="266" w:hanging="266"/>
              <w:textAlignment w:val="baseline"/>
              <w:rPr>
                <w:sz w:val="10"/>
                <w:szCs w:val="10"/>
                <w:lang w:val="fr-BE"/>
              </w:rPr>
            </w:pPr>
          </w:p>
        </w:tc>
      </w:tr>
      <w:tr w:rsidR="00293E88" w:rsidRPr="00293E88" w14:paraId="5FC9B4AD" w14:textId="77777777" w:rsidTr="00F94D46">
        <w:tc>
          <w:tcPr>
            <w:tcW w:w="1701" w:type="dxa"/>
          </w:tcPr>
          <w:p w14:paraId="361ACF25"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rPr>
              <w:t>Referințe:</w:t>
            </w:r>
          </w:p>
        </w:tc>
        <w:tc>
          <w:tcPr>
            <w:tcW w:w="6096" w:type="dxa"/>
          </w:tcPr>
          <w:p w14:paraId="44EE16D0" w14:textId="00B49DFC" w:rsidR="00E5346F" w:rsidRDefault="00E5346F" w:rsidP="00293E88">
            <w:pPr>
              <w:tabs>
                <w:tab w:val="center" w:pos="284"/>
              </w:tabs>
              <w:overflowPunct w:val="0"/>
              <w:autoSpaceDE w:val="0"/>
              <w:autoSpaceDN w:val="0"/>
              <w:adjustRightInd w:val="0"/>
              <w:ind w:left="266" w:hanging="266"/>
              <w:textAlignment w:val="baseline"/>
            </w:pPr>
            <w:r>
              <w:t>COM(2025) 559 final</w:t>
            </w:r>
          </w:p>
          <w:p w14:paraId="3D898540" w14:textId="568F5A96" w:rsidR="00293E88" w:rsidRPr="00293E88" w:rsidRDefault="00293E88" w:rsidP="00293E88">
            <w:pPr>
              <w:tabs>
                <w:tab w:val="center" w:pos="284"/>
              </w:tabs>
              <w:overflowPunct w:val="0"/>
              <w:autoSpaceDE w:val="0"/>
              <w:autoSpaceDN w:val="0"/>
              <w:adjustRightInd w:val="0"/>
              <w:ind w:left="266" w:hanging="266"/>
              <w:textAlignment w:val="baseline"/>
            </w:pPr>
            <w:r>
              <w:t>EESC-2025-03072-00-00-AC</w:t>
            </w:r>
          </w:p>
        </w:tc>
      </w:tr>
    </w:tbl>
    <w:p w14:paraId="5825352D" w14:textId="77777777" w:rsidR="00293E88" w:rsidRPr="00293E88" w:rsidRDefault="00293E88" w:rsidP="00293E88">
      <w:pPr>
        <w:keepNext/>
        <w:keepLines/>
        <w:tabs>
          <w:tab w:val="center" w:pos="284"/>
        </w:tabs>
        <w:overflowPunct w:val="0"/>
        <w:autoSpaceDE w:val="0"/>
        <w:autoSpaceDN w:val="0"/>
        <w:adjustRightInd w:val="0"/>
        <w:ind w:left="266" w:hanging="266"/>
        <w:textAlignment w:val="baseline"/>
        <w:rPr>
          <w:bCs/>
          <w:sz w:val="16"/>
          <w:szCs w:val="16"/>
          <w:lang w:val="en-GB"/>
        </w:rPr>
      </w:pPr>
    </w:p>
    <w:p w14:paraId="2675E181"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
        </w:rPr>
      </w:pPr>
      <w:r>
        <w:rPr>
          <w:b/>
        </w:rPr>
        <w:t>Punctele principale:</w:t>
      </w:r>
    </w:p>
    <w:p w14:paraId="1358E9C2"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14:paraId="550C6D6D" w14:textId="77777777" w:rsidR="00293E88" w:rsidRDefault="00293E88" w:rsidP="00293E88">
      <w:pPr>
        <w:overflowPunct w:val="0"/>
        <w:autoSpaceDE w:val="0"/>
        <w:autoSpaceDN w:val="0"/>
        <w:adjustRightInd w:val="0"/>
        <w:spacing w:line="240" w:lineRule="auto"/>
        <w:textAlignment w:val="baseline"/>
        <w:rPr>
          <w:bCs/>
          <w:iCs/>
        </w:rPr>
      </w:pPr>
      <w:r>
        <w:t>CESE:</w:t>
      </w:r>
    </w:p>
    <w:p w14:paraId="6B7E7A26" w14:textId="77777777" w:rsidR="008A001E" w:rsidRPr="00293E88" w:rsidRDefault="008A001E" w:rsidP="00293E88">
      <w:pPr>
        <w:overflowPunct w:val="0"/>
        <w:autoSpaceDE w:val="0"/>
        <w:autoSpaceDN w:val="0"/>
        <w:adjustRightInd w:val="0"/>
        <w:spacing w:line="240" w:lineRule="auto"/>
        <w:textAlignment w:val="baseline"/>
        <w:rPr>
          <w:bCs/>
          <w:iCs/>
          <w:lang w:val="en-GB"/>
        </w:rPr>
      </w:pPr>
    </w:p>
    <w:p w14:paraId="58CEC00B"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47" w:name="_Toc221268016"/>
      <w:r>
        <w:t xml:space="preserve">solicită </w:t>
      </w:r>
      <w:r>
        <w:rPr>
          <w:b/>
        </w:rPr>
        <w:t>alocarea obligatorie și garantată a 6,1 miliarde EUR pentru punerea în aplicare a politicii comune în domeniul pescuitului</w:t>
      </w:r>
      <w:r>
        <w:t xml:space="preserve"> (PCP), în conformitate cu actualul buget 2021-2027, pentru a menține una dintre puținele competențe exclusive ale UE și a evita concurența cu alte sectoare. Pescuitul ar trebui abordat într-</w:t>
      </w:r>
      <w:r>
        <w:rPr>
          <w:b/>
        </w:rPr>
        <w:t>un capitol specific</w:t>
      </w:r>
      <w:r>
        <w:t>, care să garanteze investiții publice adecvate și să ofere securitate juridică operatorilor;</w:t>
      </w:r>
      <w:bookmarkEnd w:id="47"/>
    </w:p>
    <w:p w14:paraId="0EAA50D9"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48" w:name="_Toc221268017"/>
      <w:r>
        <w:t xml:space="preserve">este preocupat de aparenta prioritate acordată realizării obiectivelor Pactului european privind oceanele, care nu are caracter obligatoriu, în loc să se acorde prioritate contribuției la realizarea </w:t>
      </w:r>
      <w:r>
        <w:rPr>
          <w:b/>
        </w:rPr>
        <w:t>obiectivelor PCP</w:t>
      </w:r>
      <w:r>
        <w:t xml:space="preserve"> (dat fiind că este scopul </w:t>
      </w:r>
      <w:r>
        <w:rPr>
          <w:b/>
        </w:rPr>
        <w:t>stabilit în Tratatul privind funcționarea UE și în Regulamentul privind PCP</w:t>
      </w:r>
      <w:r>
        <w:t>);</w:t>
      </w:r>
      <w:bookmarkEnd w:id="48"/>
    </w:p>
    <w:p w14:paraId="36EC490F"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49" w:name="_Toc221268018"/>
      <w:r>
        <w:t xml:space="preserve">salută propunerea de </w:t>
      </w:r>
      <w:r>
        <w:rPr>
          <w:b/>
        </w:rPr>
        <w:t xml:space="preserve">a consolida coerența și </w:t>
      </w:r>
      <w:proofErr w:type="spellStart"/>
      <w:r>
        <w:rPr>
          <w:b/>
        </w:rPr>
        <w:t>sinergiile</w:t>
      </w:r>
      <w:proofErr w:type="spellEnd"/>
      <w:r>
        <w:rPr>
          <w:b/>
        </w:rPr>
        <w:t xml:space="preserve"> cu inițiativele și fondurile conexe</w:t>
      </w:r>
      <w:r>
        <w:t>, pentru a evita suprapunerea eforturilor și a maximiza impactul investițiilor publice. Cu toate acestea, îndeamnă CE să se asigure că guvernele realizează investițiile necesare pentru a îndeplini obiectivele PCP;</w:t>
      </w:r>
      <w:bookmarkEnd w:id="49"/>
    </w:p>
    <w:p w14:paraId="21BB8F14"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50" w:name="_Toc221268019"/>
      <w:r>
        <w:t>subliniază necesitatea de a flexibiliza definiția pescuitului costier la scară mică, pe baza criteriilor stabilite de FAO și de organizațiile regionale de gestionare a pescuitului (ORGP);</w:t>
      </w:r>
      <w:bookmarkEnd w:id="50"/>
    </w:p>
    <w:p w14:paraId="336CC8CF"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51" w:name="_Toc221268020"/>
      <w:r>
        <w:t xml:space="preserve">subliniază că este imperativ ca statele membre să elaboreze planuri și măsuri pentru </w:t>
      </w:r>
      <w:r>
        <w:rPr>
          <w:b/>
        </w:rPr>
        <w:t>modernizarea și reînnoirea navelor</w:t>
      </w:r>
      <w:r>
        <w:t>, menite să îmbunătățească eficiența energetică, siguranța la bord și condițiile de muncă, fără a crește capacitatea de pescuit;</w:t>
      </w:r>
      <w:bookmarkEnd w:id="51"/>
    </w:p>
    <w:p w14:paraId="6F607F2B"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52" w:name="_Toc221268021"/>
      <w:r>
        <w:t xml:space="preserve">salută intenția Comisiei Europene de a </w:t>
      </w:r>
      <w:r>
        <w:rPr>
          <w:b/>
        </w:rPr>
        <w:t>stabili o arhitectură simplă</w:t>
      </w:r>
      <w:r>
        <w:t xml:space="preserve">, fără a defini în prealabil măsuri detaliate și norme de eligibilitate la nivelul UE într-un mod prea prescriptiv. Comitetul îndeamnă statele membre să mențină acest spirit de flexibilitate și simplificare în elaborarea planurilor lor de parteneriat național și regional (PPNR). Solicită, de asemenea, stabilirea unor </w:t>
      </w:r>
      <w:r>
        <w:rPr>
          <w:b/>
        </w:rPr>
        <w:t>orientări privind principiul de „a nu aduce prejudicii semnificative”</w:t>
      </w:r>
      <w:r>
        <w:t>, care să fie aplicabile în toate sectoarele,</w:t>
      </w:r>
      <w:bookmarkEnd w:id="52"/>
      <w:r>
        <w:t xml:space="preserve"> </w:t>
      </w:r>
    </w:p>
    <w:p w14:paraId="63FB89E2"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53" w:name="_Toc221268022"/>
      <w:r>
        <w:t>Este de acord cu necesitatea de a menține un anumit grad de flexibilitate în stabilirea ratelor intensității ajutorului, pentru a permite statelor membre să își adapteze parteneriatele naționale și regionale (planul PNR) la caracteristicile specifice ale sectoarelor și regiunilor lor;</w:t>
      </w:r>
      <w:bookmarkEnd w:id="53"/>
    </w:p>
    <w:p w14:paraId="43E58748"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54" w:name="_Toc221268023"/>
      <w:r>
        <w:t xml:space="preserve">salută noua simplificare și formulare referitoare la operațiunile eligibile pentru </w:t>
      </w:r>
      <w:r>
        <w:rPr>
          <w:b/>
        </w:rPr>
        <w:t>ajutoare de stat</w:t>
      </w:r>
      <w:r>
        <w:t>.</w:t>
      </w:r>
      <w:bookmarkEnd w:id="54"/>
    </w:p>
    <w:p w14:paraId="5783A960" w14:textId="77777777" w:rsidR="00293E88" w:rsidRPr="00293E88" w:rsidRDefault="00293E88" w:rsidP="00293E88">
      <w:pPr>
        <w:overflowPunct w:val="0"/>
        <w:autoSpaceDE w:val="0"/>
        <w:autoSpaceDN w:val="0"/>
        <w:adjustRightInd w:val="0"/>
        <w:spacing w:line="240" w:lineRule="auto"/>
        <w:textAlignment w:val="baseline"/>
        <w:rPr>
          <w:lang w:val="en-GB"/>
        </w:rPr>
      </w:pPr>
    </w:p>
    <w:tbl>
      <w:tblPr>
        <w:tblStyle w:val="TableGrid18"/>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549"/>
      </w:tblGrid>
      <w:tr w:rsidR="00293E88" w:rsidRPr="00293E88" w14:paraId="25485F86" w14:textId="77777777" w:rsidTr="00F94D46">
        <w:trPr>
          <w:trHeight w:val="300"/>
        </w:trPr>
        <w:tc>
          <w:tcPr>
            <w:tcW w:w="1755" w:type="dxa"/>
          </w:tcPr>
          <w:p w14:paraId="7105A801"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b/>
                <w:i/>
              </w:rPr>
              <w:t>Date de contact:</w:t>
            </w:r>
          </w:p>
        </w:tc>
        <w:tc>
          <w:tcPr>
            <w:tcW w:w="5549" w:type="dxa"/>
          </w:tcPr>
          <w:p w14:paraId="010B304B" w14:textId="2F2A72BA" w:rsidR="00293E88" w:rsidRPr="00293E88" w:rsidRDefault="00293E88" w:rsidP="002C2DFE">
            <w:pPr>
              <w:overflowPunct w:val="0"/>
              <w:autoSpaceDE w:val="0"/>
              <w:autoSpaceDN w:val="0"/>
              <w:adjustRightInd w:val="0"/>
              <w:spacing w:line="240" w:lineRule="auto"/>
              <w:ind w:left="32" w:hanging="32"/>
              <w:textAlignment w:val="baseline"/>
              <w:rPr>
                <w:i/>
              </w:rPr>
            </w:pPr>
            <w:r>
              <w:t xml:space="preserve">Arturo </w:t>
            </w:r>
            <w:proofErr w:type="spellStart"/>
            <w:r>
              <w:t>Iñiguez</w:t>
            </w:r>
            <w:proofErr w:type="spellEnd"/>
          </w:p>
        </w:tc>
      </w:tr>
      <w:tr w:rsidR="00293E88" w:rsidRPr="00293E88" w14:paraId="4D96E028" w14:textId="77777777" w:rsidTr="00F94D46">
        <w:trPr>
          <w:trHeight w:val="300"/>
        </w:trPr>
        <w:tc>
          <w:tcPr>
            <w:tcW w:w="1755" w:type="dxa"/>
          </w:tcPr>
          <w:p w14:paraId="64856CF3"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Tel.:</w:t>
            </w:r>
          </w:p>
        </w:tc>
        <w:tc>
          <w:tcPr>
            <w:tcW w:w="5549" w:type="dxa"/>
          </w:tcPr>
          <w:p w14:paraId="6DB18060"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i/>
              </w:rPr>
              <w:t>+32 25468768</w:t>
            </w:r>
          </w:p>
        </w:tc>
      </w:tr>
      <w:tr w:rsidR="00293E88" w:rsidRPr="00293E88" w14:paraId="54631315" w14:textId="77777777" w:rsidTr="00F94D46">
        <w:trPr>
          <w:trHeight w:val="300"/>
        </w:trPr>
        <w:tc>
          <w:tcPr>
            <w:tcW w:w="1755" w:type="dxa"/>
          </w:tcPr>
          <w:p w14:paraId="30222CFC"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E-mail:</w:t>
            </w:r>
          </w:p>
        </w:tc>
        <w:tc>
          <w:tcPr>
            <w:tcW w:w="5549" w:type="dxa"/>
          </w:tcPr>
          <w:p w14:paraId="2A2479D8" w14:textId="77777777" w:rsidR="00293E88" w:rsidRPr="00293E88" w:rsidRDefault="005A1446" w:rsidP="002C2DFE">
            <w:pPr>
              <w:overflowPunct w:val="0"/>
              <w:autoSpaceDE w:val="0"/>
              <w:autoSpaceDN w:val="0"/>
              <w:adjustRightInd w:val="0"/>
              <w:spacing w:line="240" w:lineRule="auto"/>
              <w:ind w:left="32" w:hanging="32"/>
              <w:textAlignment w:val="baseline"/>
              <w:rPr>
                <w:i/>
                <w:iCs/>
                <w:color w:val="0000FF"/>
                <w:u w:val="single"/>
              </w:rPr>
            </w:pPr>
            <w:hyperlink r:id="rId55" w:history="1">
              <w:r w:rsidR="00CA46B0">
                <w:rPr>
                  <w:i/>
                  <w:color w:val="0000FF"/>
                  <w:u w:val="single"/>
                </w:rPr>
                <w:t>Arturo.Iniguez@eesc.europa.eu</w:t>
              </w:r>
            </w:hyperlink>
          </w:p>
        </w:tc>
      </w:tr>
    </w:tbl>
    <w:p w14:paraId="088C5D6C" w14:textId="1B80E9D2" w:rsidR="00DF1CA2" w:rsidRDefault="00DF1CA2">
      <w:pPr>
        <w:spacing w:after="160" w:line="259" w:lineRule="auto"/>
        <w:jc w:val="left"/>
      </w:pPr>
    </w:p>
    <w:p w14:paraId="3B96DB68" w14:textId="77777777" w:rsidR="00DF1CA2" w:rsidRDefault="00DF1CA2">
      <w:pPr>
        <w:spacing w:after="160" w:line="259" w:lineRule="auto"/>
        <w:jc w:val="left"/>
      </w:pPr>
      <w:r>
        <w:br w:type="page"/>
      </w:r>
    </w:p>
    <w:p w14:paraId="0C75BB64" w14:textId="65C60E09" w:rsidR="00E44B28" w:rsidRPr="00E44B28" w:rsidRDefault="005A1446" w:rsidP="00A704FE">
      <w:pPr>
        <w:widowControl w:val="0"/>
        <w:numPr>
          <w:ilvl w:val="0"/>
          <w:numId w:val="14"/>
        </w:numPr>
        <w:overflowPunct w:val="0"/>
        <w:autoSpaceDE w:val="0"/>
        <w:autoSpaceDN w:val="0"/>
        <w:adjustRightInd w:val="0"/>
        <w:ind w:hanging="567"/>
        <w:textAlignment w:val="baseline"/>
        <w:rPr>
          <w:sz w:val="20"/>
          <w:szCs w:val="20"/>
        </w:rPr>
      </w:pPr>
      <w:hyperlink r:id="rId56" w:history="1">
        <w:r w:rsidR="00CA46B0">
          <w:rPr>
            <w:b/>
            <w:i/>
            <w:color w:val="0000FF"/>
            <w:sz w:val="28"/>
            <w:u w:val="single"/>
          </w:rPr>
          <w:t>Politica agricolă comună (PAC) după 2027</w:t>
        </w:r>
      </w:hyperlink>
    </w:p>
    <w:p w14:paraId="77D09BD6"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69985C55" w14:textId="77777777" w:rsidTr="003C4E9F">
        <w:tc>
          <w:tcPr>
            <w:tcW w:w="1077" w:type="pct"/>
          </w:tcPr>
          <w:p w14:paraId="49F50806"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Raportor:</w:t>
            </w:r>
          </w:p>
        </w:tc>
        <w:tc>
          <w:tcPr>
            <w:tcW w:w="3923" w:type="pct"/>
          </w:tcPr>
          <w:p w14:paraId="5841A65E" w14:textId="7A156714" w:rsidR="00E44B28" w:rsidRPr="00E44B28" w:rsidRDefault="00E44B28" w:rsidP="00E44B28">
            <w:pPr>
              <w:tabs>
                <w:tab w:val="center" w:pos="284"/>
              </w:tabs>
              <w:overflowPunct w:val="0"/>
              <w:autoSpaceDE w:val="0"/>
              <w:autoSpaceDN w:val="0"/>
              <w:adjustRightInd w:val="0"/>
              <w:ind w:left="266" w:right="-3091" w:hanging="266"/>
              <w:textAlignment w:val="baseline"/>
            </w:pPr>
            <w:r>
              <w:t>Joe HEALY (Grupul „Organizații ale societății civile” – IE)</w:t>
            </w:r>
          </w:p>
        </w:tc>
      </w:tr>
      <w:tr w:rsidR="00E44B28" w:rsidRPr="00E44B28" w14:paraId="01D5FBAB" w14:textId="77777777" w:rsidTr="003C4E9F">
        <w:tc>
          <w:tcPr>
            <w:tcW w:w="1077" w:type="pct"/>
          </w:tcPr>
          <w:p w14:paraId="151B1035"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Coraportor:</w:t>
            </w:r>
          </w:p>
        </w:tc>
        <w:tc>
          <w:tcPr>
            <w:tcW w:w="3923" w:type="pct"/>
          </w:tcPr>
          <w:p w14:paraId="0F4780AB" w14:textId="2220551E" w:rsidR="00E44B28" w:rsidRDefault="00E44B28" w:rsidP="00E44B28">
            <w:pPr>
              <w:tabs>
                <w:tab w:val="center" w:pos="284"/>
              </w:tabs>
              <w:overflowPunct w:val="0"/>
              <w:autoSpaceDE w:val="0"/>
              <w:autoSpaceDN w:val="0"/>
              <w:adjustRightInd w:val="0"/>
              <w:ind w:left="266" w:right="-3091" w:hanging="266"/>
              <w:textAlignment w:val="baseline"/>
            </w:pPr>
            <w:r>
              <w:t xml:space="preserve">Arnold PUECH </w:t>
            </w:r>
            <w:proofErr w:type="spellStart"/>
            <w:r>
              <w:t>d'ALISSAC</w:t>
            </w:r>
            <w:proofErr w:type="spellEnd"/>
            <w:r>
              <w:t xml:space="preserve"> (Grupul „Angajatori” – FR)</w:t>
            </w:r>
          </w:p>
          <w:p w14:paraId="4A49873D" w14:textId="04A31EF9" w:rsidR="00DB7317" w:rsidRPr="00E44B28" w:rsidRDefault="00DB7317" w:rsidP="00E44B28">
            <w:pPr>
              <w:tabs>
                <w:tab w:val="center" w:pos="284"/>
              </w:tabs>
              <w:overflowPunct w:val="0"/>
              <w:autoSpaceDE w:val="0"/>
              <w:autoSpaceDN w:val="0"/>
              <w:adjustRightInd w:val="0"/>
              <w:ind w:left="266" w:right="-3091" w:hanging="266"/>
              <w:textAlignment w:val="baseline"/>
            </w:pPr>
          </w:p>
        </w:tc>
      </w:tr>
      <w:tr w:rsidR="00E44B28" w:rsidRPr="00E44B28" w14:paraId="3653BB81" w14:textId="77777777" w:rsidTr="003C4E9F">
        <w:tc>
          <w:tcPr>
            <w:tcW w:w="1077" w:type="pct"/>
          </w:tcPr>
          <w:p w14:paraId="09246DB2"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Referințe:</w:t>
            </w:r>
          </w:p>
        </w:tc>
        <w:tc>
          <w:tcPr>
            <w:tcW w:w="3923" w:type="pct"/>
          </w:tcPr>
          <w:p w14:paraId="4E4C81C6" w14:textId="3D906DAF" w:rsidR="00DB7317" w:rsidRDefault="00DB7317" w:rsidP="00E44B28">
            <w:pPr>
              <w:tabs>
                <w:tab w:val="center" w:pos="284"/>
              </w:tabs>
              <w:overflowPunct w:val="0"/>
              <w:autoSpaceDE w:val="0"/>
              <w:autoSpaceDN w:val="0"/>
              <w:adjustRightInd w:val="0"/>
              <w:ind w:left="266" w:right="-3091" w:hanging="266"/>
              <w:textAlignment w:val="baseline"/>
            </w:pPr>
            <w:r>
              <w:t>COM(2025) 560 final</w:t>
            </w:r>
          </w:p>
          <w:p w14:paraId="5590FD56" w14:textId="4D6E1446" w:rsidR="00E44B28" w:rsidRPr="00E44B28" w:rsidRDefault="00E44B28" w:rsidP="00E44B28">
            <w:pPr>
              <w:tabs>
                <w:tab w:val="center" w:pos="284"/>
              </w:tabs>
              <w:overflowPunct w:val="0"/>
              <w:autoSpaceDE w:val="0"/>
              <w:autoSpaceDN w:val="0"/>
              <w:adjustRightInd w:val="0"/>
              <w:ind w:left="266" w:right="-3091" w:hanging="266"/>
              <w:textAlignment w:val="baseline"/>
            </w:pPr>
            <w:r>
              <w:t>EESC-2025-02581-00-00-AC</w:t>
            </w:r>
          </w:p>
        </w:tc>
      </w:tr>
    </w:tbl>
    <w:p w14:paraId="454D044D"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p w14:paraId="36AADFE8" w14:textId="77777777" w:rsidR="00E44B28" w:rsidRDefault="00E44B28" w:rsidP="00E44B28">
      <w:pPr>
        <w:keepNext/>
        <w:keepLines/>
        <w:tabs>
          <w:tab w:val="center" w:pos="284"/>
        </w:tabs>
        <w:overflowPunct w:val="0"/>
        <w:autoSpaceDE w:val="0"/>
        <w:autoSpaceDN w:val="0"/>
        <w:adjustRightInd w:val="0"/>
        <w:ind w:left="266" w:hanging="266"/>
        <w:textAlignment w:val="baseline"/>
        <w:rPr>
          <w:b/>
          <w:bCs/>
          <w:szCs w:val="20"/>
        </w:rPr>
      </w:pPr>
      <w:r>
        <w:rPr>
          <w:b/>
        </w:rPr>
        <w:t>Punctele principale:</w:t>
      </w:r>
    </w:p>
    <w:p w14:paraId="71E69B34" w14:textId="77777777" w:rsidR="00170C1F" w:rsidRPr="00E44B28" w:rsidRDefault="00170C1F" w:rsidP="00E44B28">
      <w:pPr>
        <w:keepNext/>
        <w:keepLines/>
        <w:tabs>
          <w:tab w:val="center" w:pos="284"/>
        </w:tabs>
        <w:overflowPunct w:val="0"/>
        <w:autoSpaceDE w:val="0"/>
        <w:autoSpaceDN w:val="0"/>
        <w:adjustRightInd w:val="0"/>
        <w:ind w:left="266" w:hanging="266"/>
        <w:textAlignment w:val="baseline"/>
        <w:rPr>
          <w:b/>
          <w:lang w:val="en-GB"/>
        </w:rPr>
      </w:pPr>
    </w:p>
    <w:p w14:paraId="545C8A44" w14:textId="77777777" w:rsidR="00E44B28" w:rsidRDefault="00E44B28" w:rsidP="002C2DFE">
      <w:pPr>
        <w:overflowPunct w:val="0"/>
        <w:autoSpaceDE w:val="0"/>
        <w:autoSpaceDN w:val="0"/>
        <w:adjustRightInd w:val="0"/>
        <w:spacing w:line="276" w:lineRule="auto"/>
        <w:textAlignment w:val="baseline"/>
        <w:rPr>
          <w:szCs w:val="20"/>
        </w:rPr>
      </w:pPr>
      <w:r>
        <w:t>Comitetul Economic și Social European (CESE):</w:t>
      </w:r>
    </w:p>
    <w:p w14:paraId="70851B32" w14:textId="77777777" w:rsidR="00170C1F" w:rsidRPr="00E44B28" w:rsidRDefault="00170C1F" w:rsidP="002C2DFE">
      <w:pPr>
        <w:overflowPunct w:val="0"/>
        <w:autoSpaceDE w:val="0"/>
        <w:autoSpaceDN w:val="0"/>
        <w:adjustRightInd w:val="0"/>
        <w:spacing w:line="276" w:lineRule="auto"/>
        <w:textAlignment w:val="baseline"/>
        <w:rPr>
          <w:color w:val="000000" w:themeColor="text1"/>
          <w:lang w:val="en-GB"/>
        </w:rPr>
      </w:pPr>
    </w:p>
    <w:p w14:paraId="7D313B60"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respinge propunerea Comisiei. Aceasta nu are un scop precis, obiective clare sau o viziune pe termen lung pentru agricultura UE, în afară de impunerea unei reduceri majore a bugetului PAC; </w:t>
      </w:r>
    </w:p>
    <w:p w14:paraId="64BFC88F"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subliniază riscurile asociate faptului că, în noua construcție bugetară, fondurile agricole și de coeziune trebuie să concureze pentru proiecte; </w:t>
      </w:r>
    </w:p>
    <w:p w14:paraId="2C7E0B5D" w14:textId="130C99FF"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solicită un buget PAC majorat, de sine stătător și specific, ajustat în mod corespunzător la inflație și restabilit la un nivel de 0,5 % din PIB-ul UE. Acesta ar trebui să includă o alocare predefinită și mai ambițioasă pentru zonele rurale, și o alocare bugetară solidă pentru strategiile de reînnoire a generațiilor și măsuri de sprijin specifice pentru noii tineri fermieri și pentru femeile fermier;</w:t>
      </w:r>
    </w:p>
    <w:p w14:paraId="7A86BA76" w14:textId="77777777" w:rsidR="00E44B28" w:rsidRPr="002C2DFE"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consideră că plățile directe ar trebui plafonate la un nivel echitabil și rezonabil pentru fermierii activi individuali, sprijinind plafonul obligatoriu de 100 000 EUR propus de Comisia Europeană, și că, la alocarea plăților directe, Comisia nu ar trebui să discrimineze fermierii cu adevărat activi pe baza vârstei înaintate sau a statutului în materie de pensie, ci ar trebui mai degrabă să stimuleze sisteme financiare specifice pentru a facilita transferul drepturilor de proprietate asupra fermelor de la fermierii mai în vârstă și fermierii pensionați către tinerii fermieri.</w:t>
      </w:r>
    </w:p>
    <w:p w14:paraId="1DAC2C3E"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 xml:space="preserve">subliniază necesitatea ca PAC să completeze principiul echivalenței standardelor, recunoscând că agricultorii europeni aderă la standarde de mediu, sociale și de sănătate mult mai ridicate decât cele aplicate în alte țări; </w:t>
      </w:r>
    </w:p>
    <w:p w14:paraId="712A053C"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 xml:space="preserve">încurajează practicile de protecție a climei și mediului bazate pe date științifice și sistemele de producție sustenabile și cuprinzătoare, cum ar fi agricultura ecologică și regenerativă și alte sisteme agroecologice, prin măsuri de inițiativă voluntare, care beneficiază de o finanțare adecvată; </w:t>
      </w:r>
    </w:p>
    <w:p w14:paraId="7417D045"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 xml:space="preserve">sprijină consolidarea lanțului de aprovizionare cu alimente al UE în sensul reechilibrării puterii între diferitele sale verigi, interzicerea vânzărilor la prețuri inferioare costurilor, protecția împotriva crizelor prin intermediul unor instrumente îmbunătățite și suplimentare de gestionare a crizelor și a unor sisteme de asigurare împotriva dezastrelor naturale; </w:t>
      </w:r>
    </w:p>
    <w:p w14:paraId="509DE279" w14:textId="77777777" w:rsidR="00E44B28" w:rsidRPr="00E44B28" w:rsidRDefault="00E44B28" w:rsidP="002C2DFE">
      <w:pPr>
        <w:numPr>
          <w:ilvl w:val="0"/>
          <w:numId w:val="51"/>
        </w:numPr>
        <w:overflowPunct w:val="0"/>
        <w:autoSpaceDE w:val="0"/>
        <w:autoSpaceDN w:val="0"/>
        <w:adjustRightInd w:val="0"/>
        <w:spacing w:line="276" w:lineRule="auto"/>
        <w:ind w:left="284" w:hanging="284"/>
        <w:contextualSpacing/>
        <w:textAlignment w:val="baseline"/>
      </w:pPr>
      <w:r>
        <w:t>recunoaște importanța consolidării condiționalității sociale și a asigurării unei legături clare cu propunerile PAC; Nicio exploatație agricolă nu poate fi exceptată de la controale și sancțiuni legate de condiționalitatea socială, iar integritatea sa nu poate fi compromisă prin impunerea de amenzi administrative în temeiul dreptului intern.</w:t>
      </w:r>
    </w:p>
    <w:p w14:paraId="54061C17" w14:textId="77777777" w:rsidR="00E44B28" w:rsidRPr="00E44B28" w:rsidRDefault="00E44B28" w:rsidP="00E44B28">
      <w:pPr>
        <w:widowControl w:val="0"/>
        <w:overflowPunct w:val="0"/>
        <w:autoSpaceDE w:val="0"/>
        <w:autoSpaceDN w:val="0"/>
        <w:adjustRightInd w:val="0"/>
        <w:ind w:left="709"/>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5781599E" w14:textId="77777777" w:rsidTr="003C4E9F">
        <w:tc>
          <w:tcPr>
            <w:tcW w:w="1077" w:type="pct"/>
          </w:tcPr>
          <w:p w14:paraId="097079EC" w14:textId="77777777" w:rsidR="00E44B28" w:rsidRPr="00E44B28" w:rsidRDefault="00E44B28" w:rsidP="00E44B28">
            <w:pPr>
              <w:overflowPunct w:val="0"/>
              <w:autoSpaceDE w:val="0"/>
              <w:autoSpaceDN w:val="0"/>
              <w:adjustRightInd w:val="0"/>
              <w:textAlignment w:val="baseline"/>
              <w:rPr>
                <w:i/>
              </w:rPr>
            </w:pPr>
            <w:r>
              <w:rPr>
                <w:b/>
                <w:i/>
              </w:rPr>
              <w:t>Date de contact:</w:t>
            </w:r>
          </w:p>
        </w:tc>
        <w:tc>
          <w:tcPr>
            <w:tcW w:w="3923" w:type="pct"/>
          </w:tcPr>
          <w:p w14:paraId="3B0204DD" w14:textId="6B37500A" w:rsidR="00E44B28" w:rsidRPr="00E44B28" w:rsidRDefault="00E44B28" w:rsidP="00E44B28">
            <w:pPr>
              <w:overflowPunct w:val="0"/>
              <w:autoSpaceDE w:val="0"/>
              <w:autoSpaceDN w:val="0"/>
              <w:adjustRightInd w:val="0"/>
              <w:textAlignment w:val="baseline"/>
              <w:rPr>
                <w:i/>
              </w:rPr>
            </w:pPr>
            <w:r>
              <w:rPr>
                <w:i/>
              </w:rPr>
              <w:t xml:space="preserve">Arturo </w:t>
            </w:r>
            <w:proofErr w:type="spellStart"/>
            <w:r>
              <w:rPr>
                <w:i/>
              </w:rPr>
              <w:t>Iniguez</w:t>
            </w:r>
            <w:proofErr w:type="spellEnd"/>
            <w:r>
              <w:rPr>
                <w:i/>
              </w:rPr>
              <w:t xml:space="preserve">, </w:t>
            </w:r>
            <w:proofErr w:type="spellStart"/>
            <w:r>
              <w:rPr>
                <w:i/>
              </w:rPr>
              <w:t>Martine</w:t>
            </w:r>
            <w:proofErr w:type="spellEnd"/>
            <w:r>
              <w:rPr>
                <w:i/>
              </w:rPr>
              <w:t xml:space="preserve"> </w:t>
            </w:r>
            <w:proofErr w:type="spellStart"/>
            <w:r>
              <w:rPr>
                <w:i/>
              </w:rPr>
              <w:t>Delanoy</w:t>
            </w:r>
            <w:proofErr w:type="spellEnd"/>
          </w:p>
        </w:tc>
      </w:tr>
      <w:tr w:rsidR="00E44B28" w:rsidRPr="00E44B28" w14:paraId="17EBF625" w14:textId="77777777" w:rsidTr="003C4E9F">
        <w:tc>
          <w:tcPr>
            <w:tcW w:w="1077" w:type="pct"/>
          </w:tcPr>
          <w:p w14:paraId="1857D93E" w14:textId="77777777" w:rsidR="00E44B28" w:rsidRPr="00E44B28" w:rsidRDefault="00E44B28" w:rsidP="00E44B28">
            <w:pPr>
              <w:overflowPunct w:val="0"/>
              <w:autoSpaceDE w:val="0"/>
              <w:autoSpaceDN w:val="0"/>
              <w:adjustRightInd w:val="0"/>
              <w:textAlignment w:val="baseline"/>
              <w:rPr>
                <w:i/>
              </w:rPr>
            </w:pPr>
            <w:r>
              <w:rPr>
                <w:i/>
              </w:rPr>
              <w:t>Tel.:</w:t>
            </w:r>
          </w:p>
        </w:tc>
        <w:tc>
          <w:tcPr>
            <w:tcW w:w="3923" w:type="pct"/>
          </w:tcPr>
          <w:p w14:paraId="7D35E700" w14:textId="7FA9EC48" w:rsidR="00E44B28" w:rsidRPr="00E44B28" w:rsidRDefault="00E44B28" w:rsidP="00E44B28">
            <w:pPr>
              <w:overflowPunct w:val="0"/>
              <w:autoSpaceDE w:val="0"/>
              <w:autoSpaceDN w:val="0"/>
              <w:adjustRightInd w:val="0"/>
              <w:textAlignment w:val="baseline"/>
              <w:rPr>
                <w:i/>
              </w:rPr>
            </w:pPr>
            <w:r>
              <w:rPr>
                <w:i/>
              </w:rPr>
              <w:t>+32 25468768, +32 25469802</w:t>
            </w:r>
          </w:p>
        </w:tc>
      </w:tr>
      <w:tr w:rsidR="00E44B28" w:rsidRPr="00E44B28" w14:paraId="39319B1C" w14:textId="77777777" w:rsidTr="003C4E9F">
        <w:tc>
          <w:tcPr>
            <w:tcW w:w="1077" w:type="pct"/>
          </w:tcPr>
          <w:p w14:paraId="524EA8C1" w14:textId="77777777" w:rsidR="00E44B28" w:rsidRPr="00E44B28" w:rsidRDefault="00E44B28" w:rsidP="00E44B28">
            <w:pPr>
              <w:overflowPunct w:val="0"/>
              <w:autoSpaceDE w:val="0"/>
              <w:autoSpaceDN w:val="0"/>
              <w:adjustRightInd w:val="0"/>
              <w:textAlignment w:val="baseline"/>
              <w:rPr>
                <w:i/>
              </w:rPr>
            </w:pPr>
            <w:r>
              <w:rPr>
                <w:i/>
              </w:rPr>
              <w:t>E-mail:</w:t>
            </w:r>
          </w:p>
        </w:tc>
        <w:tc>
          <w:tcPr>
            <w:tcW w:w="3923" w:type="pct"/>
          </w:tcPr>
          <w:p w14:paraId="2EACE09C" w14:textId="77777777" w:rsidR="00E44B28" w:rsidRPr="00E44B28" w:rsidRDefault="005A1446" w:rsidP="00E44B28">
            <w:pPr>
              <w:overflowPunct w:val="0"/>
              <w:autoSpaceDE w:val="0"/>
              <w:autoSpaceDN w:val="0"/>
              <w:adjustRightInd w:val="0"/>
              <w:textAlignment w:val="baseline"/>
              <w:rPr>
                <w:i/>
              </w:rPr>
            </w:pPr>
            <w:hyperlink r:id="rId57" w:history="1">
              <w:r w:rsidR="00CA46B0">
                <w:rPr>
                  <w:i/>
                  <w:color w:val="0000FF"/>
                  <w:u w:val="single"/>
                </w:rPr>
                <w:t>Arturo.Iniguez@eesc.europa.eu</w:t>
              </w:r>
            </w:hyperlink>
            <w:r w:rsidR="00CA46B0">
              <w:rPr>
                <w:i/>
              </w:rPr>
              <w:t xml:space="preserve">, </w:t>
            </w:r>
            <w:hyperlink r:id="rId58" w:history="1">
              <w:r w:rsidR="00CA46B0">
                <w:rPr>
                  <w:i/>
                  <w:color w:val="0000FF"/>
                  <w:u w:val="single"/>
                </w:rPr>
                <w:t>Martine.Delanoy@eesc.europa.eu</w:t>
              </w:r>
            </w:hyperlink>
          </w:p>
        </w:tc>
      </w:tr>
    </w:tbl>
    <w:p w14:paraId="33B75692" w14:textId="77777777" w:rsidR="007F5784" w:rsidRDefault="007F5784">
      <w:pPr>
        <w:spacing w:after="160" w:line="259" w:lineRule="auto"/>
        <w:jc w:val="left"/>
      </w:pPr>
    </w:p>
    <w:p w14:paraId="715DB2BD" w14:textId="77777777" w:rsidR="007F5784" w:rsidRDefault="007F5784">
      <w:pPr>
        <w:spacing w:after="160" w:line="259" w:lineRule="auto"/>
        <w:jc w:val="left"/>
      </w:pPr>
      <w:r>
        <w:br w:type="page"/>
      </w:r>
    </w:p>
    <w:p w14:paraId="528C73AA" w14:textId="46DE726B" w:rsidR="006D2C8A" w:rsidRPr="006D2C8A" w:rsidRDefault="006D2C8A" w:rsidP="006D2C8A">
      <w:pPr>
        <w:pStyle w:val="Heading1"/>
        <w:rPr>
          <w:b/>
        </w:rPr>
      </w:pPr>
      <w:bookmarkStart w:id="55" w:name="_Toc221268024"/>
      <w:r>
        <w:rPr>
          <w:b/>
          <w:color w:val="222A35" w:themeColor="text2" w:themeShade="80"/>
        </w:rPr>
        <w:lastRenderedPageBreak/>
        <w:t>COMISIA CONSULTATIVĂ PENTRU MUTAȚII INDUSTRIALE</w:t>
      </w:r>
      <w:bookmarkEnd w:id="55"/>
    </w:p>
    <w:p w14:paraId="713E272F" w14:textId="106975A8" w:rsidR="006D2C8A" w:rsidRDefault="006D2C8A" w:rsidP="006D2C8A"/>
    <w:p w14:paraId="72EA6D5A" w14:textId="6CF97CBB" w:rsidR="00071681" w:rsidRPr="00071681" w:rsidRDefault="005A1446" w:rsidP="002C2DFE">
      <w:pPr>
        <w:pStyle w:val="ListParagraph"/>
        <w:numPr>
          <w:ilvl w:val="0"/>
          <w:numId w:val="55"/>
        </w:numPr>
        <w:ind w:left="567" w:hanging="567"/>
      </w:pPr>
      <w:hyperlink r:id="rId59" w:history="1">
        <w:r w:rsidR="00CA46B0">
          <w:rPr>
            <w:rStyle w:val="Hyperlink"/>
            <w:b/>
            <w:sz w:val="28"/>
          </w:rPr>
          <w:t>Strategiile UE privind contramăsurile medicale și constituirea de stocuri</w:t>
        </w:r>
      </w:hyperlink>
    </w:p>
    <w:p w14:paraId="2671F814" w14:textId="77777777" w:rsidR="00071681" w:rsidRPr="00071681" w:rsidRDefault="00071681" w:rsidP="00071681">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071681" w:rsidRPr="00071681" w14:paraId="59B71248" w14:textId="77777777" w:rsidTr="00071681">
        <w:tc>
          <w:tcPr>
            <w:tcW w:w="1701" w:type="dxa"/>
          </w:tcPr>
          <w:p w14:paraId="7D46DDC5"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Raportor:</w:t>
            </w:r>
          </w:p>
        </w:tc>
        <w:tc>
          <w:tcPr>
            <w:tcW w:w="5670" w:type="dxa"/>
          </w:tcPr>
          <w:p w14:paraId="22B6CBD9" w14:textId="5499370B" w:rsidR="00071681" w:rsidRPr="00071681" w:rsidRDefault="006A1964" w:rsidP="00071681">
            <w:pPr>
              <w:tabs>
                <w:tab w:val="center" w:pos="284"/>
              </w:tabs>
              <w:overflowPunct w:val="0"/>
              <w:autoSpaceDE w:val="0"/>
              <w:autoSpaceDN w:val="0"/>
              <w:adjustRightInd w:val="0"/>
              <w:ind w:left="266" w:hanging="266"/>
              <w:textAlignment w:val="baseline"/>
            </w:pPr>
            <w:proofErr w:type="spellStart"/>
            <w:r>
              <w:t>Paulo</w:t>
            </w:r>
            <w:proofErr w:type="spellEnd"/>
            <w:r>
              <w:t xml:space="preserve"> BARROS VALE (Grupul „Angajatori”- PT)</w:t>
            </w:r>
          </w:p>
        </w:tc>
      </w:tr>
      <w:tr w:rsidR="00071681" w:rsidRPr="00071681" w14:paraId="35639124" w14:textId="77777777" w:rsidTr="00071681">
        <w:tc>
          <w:tcPr>
            <w:tcW w:w="1701" w:type="dxa"/>
          </w:tcPr>
          <w:p w14:paraId="5F4534D0"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Coraportor:</w:t>
            </w:r>
          </w:p>
        </w:tc>
        <w:tc>
          <w:tcPr>
            <w:tcW w:w="5670" w:type="dxa"/>
          </w:tcPr>
          <w:p w14:paraId="7D07F589" w14:textId="2BCA378B" w:rsidR="00071681" w:rsidRPr="00071681" w:rsidRDefault="006A1964" w:rsidP="00071681">
            <w:pPr>
              <w:tabs>
                <w:tab w:val="center" w:pos="284"/>
              </w:tabs>
              <w:overflowPunct w:val="0"/>
              <w:autoSpaceDE w:val="0"/>
              <w:autoSpaceDN w:val="0"/>
              <w:adjustRightInd w:val="0"/>
              <w:ind w:left="266" w:hanging="266"/>
              <w:textAlignment w:val="baseline"/>
            </w:pPr>
            <w:proofErr w:type="spellStart"/>
            <w:r>
              <w:t>Nicos</w:t>
            </w:r>
            <w:proofErr w:type="spellEnd"/>
            <w:r>
              <w:t xml:space="preserve"> EPISTITHIOU (Cat. 2 - AT)</w:t>
            </w:r>
          </w:p>
        </w:tc>
      </w:tr>
      <w:tr w:rsidR="00071681" w:rsidRPr="00071681" w14:paraId="3FDD0376" w14:textId="77777777" w:rsidTr="00071681">
        <w:tc>
          <w:tcPr>
            <w:tcW w:w="7371" w:type="dxa"/>
            <w:gridSpan w:val="2"/>
          </w:tcPr>
          <w:p w14:paraId="47C3DC08" w14:textId="77777777" w:rsidR="00071681" w:rsidRPr="00071681" w:rsidRDefault="00071681" w:rsidP="00071681">
            <w:pPr>
              <w:tabs>
                <w:tab w:val="center" w:pos="284"/>
              </w:tabs>
              <w:overflowPunct w:val="0"/>
              <w:autoSpaceDE w:val="0"/>
              <w:autoSpaceDN w:val="0"/>
              <w:adjustRightInd w:val="0"/>
              <w:spacing w:line="160" w:lineRule="exact"/>
              <w:ind w:left="266" w:hanging="266"/>
              <w:textAlignment w:val="baseline"/>
            </w:pPr>
          </w:p>
        </w:tc>
      </w:tr>
      <w:tr w:rsidR="00071681" w:rsidRPr="00071681" w14:paraId="08E11C54" w14:textId="77777777" w:rsidTr="00071681">
        <w:tc>
          <w:tcPr>
            <w:tcW w:w="1701" w:type="dxa"/>
            <w:vMerge w:val="restart"/>
          </w:tcPr>
          <w:p w14:paraId="1CDA9691"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Referințe:</w:t>
            </w:r>
          </w:p>
        </w:tc>
        <w:tc>
          <w:tcPr>
            <w:tcW w:w="5670" w:type="dxa"/>
          </w:tcPr>
          <w:p w14:paraId="2CE511E3" w14:textId="68EA828B" w:rsidR="00A07FDA" w:rsidRDefault="00A07FDA" w:rsidP="00071681">
            <w:pPr>
              <w:tabs>
                <w:tab w:val="center" w:pos="284"/>
              </w:tabs>
              <w:overflowPunct w:val="0"/>
              <w:autoSpaceDE w:val="0"/>
              <w:autoSpaceDN w:val="0"/>
              <w:adjustRightInd w:val="0"/>
              <w:ind w:left="266" w:hanging="266"/>
              <w:textAlignment w:val="baseline"/>
            </w:pPr>
            <w:r>
              <w:t>COM(2025) 529 final</w:t>
            </w:r>
          </w:p>
          <w:p w14:paraId="08CF0435" w14:textId="07C189A5" w:rsidR="00071681" w:rsidRPr="00071681" w:rsidRDefault="00071681" w:rsidP="00071681">
            <w:pPr>
              <w:tabs>
                <w:tab w:val="center" w:pos="284"/>
              </w:tabs>
              <w:overflowPunct w:val="0"/>
              <w:autoSpaceDE w:val="0"/>
              <w:autoSpaceDN w:val="0"/>
              <w:adjustRightInd w:val="0"/>
              <w:ind w:left="266" w:hanging="266"/>
              <w:textAlignment w:val="baseline"/>
            </w:pPr>
            <w:r>
              <w:t>EESC-2025-02727-00-00-AC</w:t>
            </w:r>
          </w:p>
        </w:tc>
      </w:tr>
      <w:tr w:rsidR="00071681" w:rsidRPr="00071681" w14:paraId="2254D8FD" w14:textId="77777777" w:rsidTr="00071681">
        <w:tc>
          <w:tcPr>
            <w:tcW w:w="1701" w:type="dxa"/>
            <w:vMerge/>
          </w:tcPr>
          <w:p w14:paraId="3F088966"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p>
        </w:tc>
        <w:tc>
          <w:tcPr>
            <w:tcW w:w="5670" w:type="dxa"/>
          </w:tcPr>
          <w:p w14:paraId="458BE173" w14:textId="77777777" w:rsidR="00071681" w:rsidRPr="00071681" w:rsidRDefault="00071681" w:rsidP="00071681">
            <w:pPr>
              <w:tabs>
                <w:tab w:val="center" w:pos="284"/>
              </w:tabs>
              <w:overflowPunct w:val="0"/>
              <w:autoSpaceDE w:val="0"/>
              <w:autoSpaceDN w:val="0"/>
              <w:adjustRightInd w:val="0"/>
              <w:ind w:left="266" w:hanging="266"/>
              <w:textAlignment w:val="baseline"/>
            </w:pPr>
          </w:p>
        </w:tc>
      </w:tr>
    </w:tbl>
    <w:p w14:paraId="2C151E14"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
        </w:rPr>
      </w:pPr>
      <w:r>
        <w:rPr>
          <w:b/>
        </w:rPr>
        <w:t>Punctele principale</w:t>
      </w:r>
    </w:p>
    <w:p w14:paraId="412FB9A3" w14:textId="77777777" w:rsidR="00071681" w:rsidRPr="00071681" w:rsidRDefault="00071681" w:rsidP="00071681">
      <w:pPr>
        <w:tabs>
          <w:tab w:val="center" w:pos="284"/>
        </w:tabs>
        <w:overflowPunct w:val="0"/>
        <w:autoSpaceDE w:val="0"/>
        <w:autoSpaceDN w:val="0"/>
        <w:adjustRightInd w:val="0"/>
        <w:ind w:left="266" w:hanging="266"/>
        <w:textAlignment w:val="baseline"/>
        <w:rPr>
          <w:b/>
          <w:lang w:val="en-GB"/>
        </w:rPr>
      </w:pPr>
    </w:p>
    <w:p w14:paraId="5EF169EB"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Cs/>
        </w:rPr>
      </w:pPr>
      <w:r>
        <w:t>CESE:</w:t>
      </w:r>
    </w:p>
    <w:p w14:paraId="6E79560D" w14:textId="77777777" w:rsidR="00071681" w:rsidRPr="00071681" w:rsidRDefault="00071681" w:rsidP="00071681">
      <w:pPr>
        <w:tabs>
          <w:tab w:val="center" w:pos="284"/>
        </w:tabs>
        <w:overflowPunct w:val="0"/>
        <w:autoSpaceDE w:val="0"/>
        <w:autoSpaceDN w:val="0"/>
        <w:adjustRightInd w:val="0"/>
        <w:ind w:left="266" w:hanging="266"/>
        <w:textAlignment w:val="baseline"/>
        <w:rPr>
          <w:bCs/>
          <w:lang w:val="en-GB"/>
        </w:rPr>
      </w:pPr>
    </w:p>
    <w:p w14:paraId="3FE73053"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 w:val="24"/>
          <w:szCs w:val="20"/>
        </w:rPr>
      </w:pPr>
      <w:r>
        <w:t>salută eforturile Comisiei de a consolida pregătirea și reziliența UE prin contramăsuri medicale și strategii de constituire de stocuri și recomandă gestionarea și mobilizarea transparentă a acestora, cu o coordonare continuă între statele membre, industrie și societatea civilă;</w:t>
      </w:r>
    </w:p>
    <w:p w14:paraId="2335C6E2"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solicită resurse adecvate în cadrul financiar multianual (CFM) pentru a sprijini contramăsurile medicale și constituirea de stocuri strategice, încurajând parteneriatele public-privat și evitând, în același timp, suprapunerile între statele membre;</w:t>
      </w:r>
    </w:p>
    <w:p w14:paraId="611B80B3"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îndeamnă la crearea unor condiții economice, juridice și de forță de muncă stabile pentru a atrage producția farmaceutică în Europa, inclusiv a unui fond farmaceutic specific al UE pentru a sprijini instalațiile, cercetarea și dezvoltarea, costurile de reglementare și investițiile în substanțele farmaceutice active și în producția de medicamente;</w:t>
      </w:r>
    </w:p>
    <w:p w14:paraId="7725407F"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 xml:space="preserve">sprijină crearea unei entități europene de inovare în domeniul sănătății (după modelul CERN) pentru a stimula cercetarea, </w:t>
      </w:r>
      <w:proofErr w:type="spellStart"/>
      <w:r>
        <w:t>antreprenoriatul</w:t>
      </w:r>
      <w:proofErr w:type="spellEnd"/>
      <w:r>
        <w:t xml:space="preserve"> și colaborarea cu HERA și cu alte agenții ale UE;</w:t>
      </w:r>
    </w:p>
    <w:p w14:paraId="6B28306F"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solicită un plan operațional concret pentru constituirea de stocuri la nivelul UE, cu finanțare clară, responsabilități transparente la nivelul UE/la nivel național, o formare solidă a forței de muncă, monitorizare și stimulente echitabile pentru industrie, inclusiv pentru IMM-uri;</w:t>
      </w:r>
    </w:p>
    <w:p w14:paraId="7FD70C87"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subliniază necesitatea unui cadru economic transparent, a unei logistici coordonate, a unor norme de transport flexibile și a unei partajări echitabile a costurilor pentru implementarea rapidă a bunurilor critice;</w:t>
      </w:r>
    </w:p>
    <w:p w14:paraId="7808A122"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subliniază implicarea partenerilor sociali, a societății civile și a contractanților specializați pentru a asigura transparența și expertiza tehnică, acordând prioritate stocurilor de siguranță deținute de UE și sprijinului pentru depozitare, lanțul frigorific și infrastructura cu dublă utilizare;</w:t>
      </w:r>
    </w:p>
    <w:p w14:paraId="7E1A8C8F"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 xml:space="preserve">subliniază investițiile în competențele forței de muncă prin învățarea pe tot parcursul vieții, programe de învățământ armonizate, simulări periodice și recunoașterea sănătății publice ca profesie, asigurând gestionarea </w:t>
      </w:r>
      <w:proofErr w:type="spellStart"/>
      <w:r>
        <w:t>rezilientă</w:t>
      </w:r>
      <w:proofErr w:type="spellEnd"/>
      <w:r>
        <w:t xml:space="preserve"> a rezervelor și răspunsul în situații de criză;</w:t>
      </w:r>
    </w:p>
    <w:p w14:paraId="5B8F49DA"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pledează pentru constituirea de stocuri sustenabile, bazate pe cerere, sprijinite de urmărirea digitală în timp real, de praguri bazate pe produse și de prețuri abordabile, pentru a asigura o pregătire echitabilă, transparentă și accesibilă.</w:t>
      </w:r>
    </w:p>
    <w:p w14:paraId="65224F71" w14:textId="77777777" w:rsidR="00071681" w:rsidRPr="00071681" w:rsidRDefault="00071681" w:rsidP="00071681">
      <w:pPr>
        <w:overflowPunct w:val="0"/>
        <w:autoSpaceDE w:val="0"/>
        <w:autoSpaceDN w:val="0"/>
        <w:adjustRightInd w:val="0"/>
        <w:textAlignment w:val="baseline"/>
        <w:rPr>
          <w:szCs w:val="20"/>
          <w:lang w:val="en-GB"/>
        </w:rPr>
      </w:pPr>
    </w:p>
    <w:tbl>
      <w:tblPr>
        <w:tblStyle w:val="TableGrid2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071681" w:rsidRPr="00071681" w14:paraId="7F67386A" w14:textId="77777777" w:rsidTr="00071681">
        <w:tc>
          <w:tcPr>
            <w:tcW w:w="1556" w:type="pct"/>
          </w:tcPr>
          <w:p w14:paraId="704E7C43" w14:textId="77777777" w:rsidR="00071681" w:rsidRPr="00071681" w:rsidRDefault="00071681" w:rsidP="00071681">
            <w:pPr>
              <w:overflowPunct w:val="0"/>
              <w:autoSpaceDE w:val="0"/>
              <w:autoSpaceDN w:val="0"/>
              <w:adjustRightInd w:val="0"/>
              <w:spacing w:line="240" w:lineRule="auto"/>
              <w:textAlignment w:val="baseline"/>
              <w:rPr>
                <w:i/>
              </w:rPr>
            </w:pPr>
            <w:r>
              <w:rPr>
                <w:b/>
                <w:i/>
              </w:rPr>
              <w:t>Date de contact:</w:t>
            </w:r>
          </w:p>
        </w:tc>
        <w:tc>
          <w:tcPr>
            <w:tcW w:w="3444" w:type="pct"/>
          </w:tcPr>
          <w:p w14:paraId="0E020ADB" w14:textId="77777777" w:rsidR="00071681" w:rsidRPr="002C2DFE" w:rsidRDefault="00071681" w:rsidP="00071681">
            <w:pPr>
              <w:overflowPunct w:val="0"/>
              <w:autoSpaceDE w:val="0"/>
              <w:autoSpaceDN w:val="0"/>
              <w:adjustRightInd w:val="0"/>
              <w:spacing w:line="240" w:lineRule="auto"/>
              <w:textAlignment w:val="baseline"/>
              <w:rPr>
                <w:i/>
              </w:rPr>
            </w:pPr>
            <w:r>
              <w:rPr>
                <w:i/>
              </w:rPr>
              <w:t xml:space="preserve">Tomas </w:t>
            </w:r>
            <w:proofErr w:type="spellStart"/>
            <w:r>
              <w:rPr>
                <w:i/>
              </w:rPr>
              <w:t>Vinardell</w:t>
            </w:r>
            <w:proofErr w:type="spellEnd"/>
            <w:r>
              <w:rPr>
                <w:i/>
              </w:rPr>
              <w:t xml:space="preserve"> Laia</w:t>
            </w:r>
          </w:p>
        </w:tc>
      </w:tr>
      <w:tr w:rsidR="00071681" w:rsidRPr="00071681" w14:paraId="7F49758E" w14:textId="77777777" w:rsidTr="00071681">
        <w:tc>
          <w:tcPr>
            <w:tcW w:w="1556" w:type="pct"/>
          </w:tcPr>
          <w:p w14:paraId="35EC37F0" w14:textId="77777777" w:rsidR="00071681" w:rsidRPr="00071681" w:rsidRDefault="00071681" w:rsidP="00071681">
            <w:pPr>
              <w:overflowPunct w:val="0"/>
              <w:autoSpaceDE w:val="0"/>
              <w:autoSpaceDN w:val="0"/>
              <w:adjustRightInd w:val="0"/>
              <w:spacing w:line="240" w:lineRule="auto"/>
              <w:textAlignment w:val="baseline"/>
              <w:rPr>
                <w:i/>
              </w:rPr>
            </w:pPr>
            <w:r>
              <w:rPr>
                <w:i/>
              </w:rPr>
              <w:t>Tel.:</w:t>
            </w:r>
          </w:p>
        </w:tc>
        <w:tc>
          <w:tcPr>
            <w:tcW w:w="3444" w:type="pct"/>
          </w:tcPr>
          <w:p w14:paraId="422ACEB9" w14:textId="77777777" w:rsidR="00071681" w:rsidRPr="00071681" w:rsidRDefault="00071681" w:rsidP="00071681">
            <w:pPr>
              <w:overflowPunct w:val="0"/>
              <w:autoSpaceDE w:val="0"/>
              <w:autoSpaceDN w:val="0"/>
              <w:adjustRightInd w:val="0"/>
              <w:spacing w:line="240" w:lineRule="auto"/>
              <w:textAlignment w:val="baseline"/>
              <w:rPr>
                <w:i/>
              </w:rPr>
            </w:pPr>
            <w:r>
              <w:rPr>
                <w:i/>
              </w:rPr>
              <w:t>+32 25469149</w:t>
            </w:r>
          </w:p>
        </w:tc>
      </w:tr>
      <w:tr w:rsidR="00071681" w:rsidRPr="00071681" w14:paraId="785CDA90" w14:textId="77777777" w:rsidTr="00071681">
        <w:tc>
          <w:tcPr>
            <w:tcW w:w="1556" w:type="pct"/>
          </w:tcPr>
          <w:p w14:paraId="402FCD6F" w14:textId="77777777" w:rsidR="00071681" w:rsidRPr="00071681" w:rsidRDefault="00071681" w:rsidP="00071681">
            <w:pPr>
              <w:overflowPunct w:val="0"/>
              <w:autoSpaceDE w:val="0"/>
              <w:autoSpaceDN w:val="0"/>
              <w:adjustRightInd w:val="0"/>
              <w:spacing w:line="240" w:lineRule="auto"/>
              <w:textAlignment w:val="baseline"/>
              <w:rPr>
                <w:i/>
              </w:rPr>
            </w:pPr>
            <w:r>
              <w:rPr>
                <w:i/>
              </w:rPr>
              <w:t>E-mail:</w:t>
            </w:r>
          </w:p>
        </w:tc>
        <w:tc>
          <w:tcPr>
            <w:tcW w:w="3444" w:type="pct"/>
          </w:tcPr>
          <w:p w14:paraId="04E8F71E" w14:textId="77777777" w:rsidR="00071681" w:rsidRPr="00071681" w:rsidRDefault="005A1446" w:rsidP="00071681">
            <w:pPr>
              <w:overflowPunct w:val="0"/>
              <w:autoSpaceDE w:val="0"/>
              <w:autoSpaceDN w:val="0"/>
              <w:adjustRightInd w:val="0"/>
              <w:spacing w:line="240" w:lineRule="auto"/>
              <w:textAlignment w:val="baseline"/>
              <w:rPr>
                <w:i/>
              </w:rPr>
            </w:pPr>
            <w:hyperlink r:id="rId60" w:history="1">
              <w:r w:rsidR="00CA46B0">
                <w:rPr>
                  <w:i/>
                  <w:color w:val="0000FF"/>
                  <w:u w:val="single"/>
                </w:rPr>
                <w:t>Laia.TomasVinardell@eesc.europa.eu</w:t>
              </w:r>
            </w:hyperlink>
            <w:r w:rsidR="00CA46B0">
              <w:rPr>
                <w:i/>
              </w:rPr>
              <w:t xml:space="preserve"> </w:t>
            </w:r>
          </w:p>
        </w:tc>
      </w:tr>
    </w:tbl>
    <w:p w14:paraId="276A8E9E" w14:textId="77777777" w:rsidR="003B6E5F" w:rsidRDefault="003B6E5F" w:rsidP="006D2C8A"/>
    <w:p w14:paraId="65773254" w14:textId="2ADB1591" w:rsidR="003C3D98" w:rsidRDefault="00693AFD" w:rsidP="00051934">
      <w:pPr>
        <w:overflowPunct w:val="0"/>
        <w:autoSpaceDE w:val="0"/>
        <w:autoSpaceDN w:val="0"/>
        <w:adjustRightInd w:val="0"/>
        <w:jc w:val="center"/>
        <w:textAlignment w:val="baseline"/>
      </w:pPr>
      <w:r>
        <w:t>_____________</w:t>
      </w:r>
    </w:p>
    <w:sectPr w:rsidR="003C3D98" w:rsidSect="00300BD1">
      <w:headerReference w:type="even" r:id="rId61"/>
      <w:headerReference w:type="default" r:id="rId62"/>
      <w:footerReference w:type="even" r:id="rId63"/>
      <w:footerReference w:type="default" r:id="rId64"/>
      <w:headerReference w:type="first" r:id="rId65"/>
      <w:footerReference w:type="first" r:id="rId66"/>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590E" w14:textId="77777777" w:rsidR="00FB583C" w:rsidRDefault="00FB583C" w:rsidP="00B518C9">
      <w:pPr>
        <w:spacing w:line="240" w:lineRule="auto"/>
      </w:pPr>
      <w:r>
        <w:separator/>
      </w:r>
    </w:p>
  </w:endnote>
  <w:endnote w:type="continuationSeparator" w:id="0">
    <w:p w14:paraId="75F08002" w14:textId="77777777" w:rsidR="00FB583C" w:rsidRDefault="00FB583C"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B8E6B8A" w:rsidR="00B518C9"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rsidR="00D66704">
      <w:t>1</w:t>
    </w:r>
    <w:r>
      <w:fldChar w:fldCharType="end"/>
    </w:r>
    <w:r>
      <w:t>/</w:t>
    </w:r>
    <w:fldSimple w:instr=" NUMPAGES ">
      <w:r w:rsidR="00D66704">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300BD1" w:rsidRDefault="00CB6673" w:rsidP="00300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3CD2EE33" w:rsidR="00CB6673"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t>2</w:t>
    </w:r>
    <w:r>
      <w:fldChar w:fldCharType="end"/>
    </w:r>
    <w:r>
      <w:t>/</w:t>
    </w:r>
    <w:fldSimple w:instr=" NUMPAGES ">
      <w:r>
        <w:t>25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300BD1" w:rsidRDefault="00CB6673" w:rsidP="0030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CE36" w14:textId="77777777" w:rsidR="00FB583C" w:rsidRDefault="00FB583C" w:rsidP="00B518C9">
      <w:pPr>
        <w:spacing w:line="240" w:lineRule="auto"/>
      </w:pPr>
      <w:r>
        <w:separator/>
      </w:r>
    </w:p>
  </w:footnote>
  <w:footnote w:type="continuationSeparator" w:id="0">
    <w:p w14:paraId="6B50597A" w14:textId="77777777" w:rsidR="00FB583C" w:rsidRDefault="00FB583C"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300BD1" w:rsidRDefault="00CB6673" w:rsidP="0030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1F1E1FCB" w:rsidR="00CB6673" w:rsidRPr="00300BD1" w:rsidRDefault="00CB6673" w:rsidP="00300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300BD1" w:rsidRDefault="00CB6673" w:rsidP="0030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62F56C1"/>
    <w:multiLevelType w:val="hybridMultilevel"/>
    <w:tmpl w:val="EFB492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261A3"/>
    <w:multiLevelType w:val="hybridMultilevel"/>
    <w:tmpl w:val="D44E2B04"/>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35483"/>
    <w:multiLevelType w:val="hybridMultilevel"/>
    <w:tmpl w:val="E9E6A6B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D807B0"/>
    <w:multiLevelType w:val="hybridMultilevel"/>
    <w:tmpl w:val="593EF1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9786E"/>
    <w:multiLevelType w:val="hybridMultilevel"/>
    <w:tmpl w:val="06DA1EAA"/>
    <w:lvl w:ilvl="0" w:tplc="B05E914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785153"/>
    <w:multiLevelType w:val="hybridMultilevel"/>
    <w:tmpl w:val="277E813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EF67A8A"/>
    <w:multiLevelType w:val="hybridMultilevel"/>
    <w:tmpl w:val="BE66D0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FAE0A9A"/>
    <w:multiLevelType w:val="hybridMultilevel"/>
    <w:tmpl w:val="AE06B6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1FE123AA"/>
    <w:multiLevelType w:val="hybridMultilevel"/>
    <w:tmpl w:val="481E28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0372686"/>
    <w:multiLevelType w:val="hybridMultilevel"/>
    <w:tmpl w:val="13945E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4A75804"/>
    <w:multiLevelType w:val="hybridMultilevel"/>
    <w:tmpl w:val="CD503300"/>
    <w:lvl w:ilvl="0" w:tplc="8E864B0C">
      <w:start w:val="1"/>
      <w:numFmt w:val="bullet"/>
      <w:lvlText w:val=""/>
      <w:lvlJc w:val="left"/>
      <w:pPr>
        <w:ind w:left="502" w:hanging="360"/>
      </w:pPr>
      <w:rPr>
        <w:rFonts w:ascii="Symbol" w:hAnsi="Symbol" w:hint="default"/>
        <w:color w:val="auto"/>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3" w15:restartNumberingAfterBreak="0">
    <w:nsid w:val="272977C7"/>
    <w:multiLevelType w:val="hybridMultilevel"/>
    <w:tmpl w:val="99F2611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4C41EA"/>
    <w:multiLevelType w:val="hybridMultilevel"/>
    <w:tmpl w:val="C5B2C04A"/>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113483"/>
    <w:multiLevelType w:val="multilevel"/>
    <w:tmpl w:val="10584C10"/>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 w15:restartNumberingAfterBreak="0">
    <w:nsid w:val="2B521F38"/>
    <w:multiLevelType w:val="hybridMultilevel"/>
    <w:tmpl w:val="B3F07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5BE76D4"/>
    <w:multiLevelType w:val="hybridMultilevel"/>
    <w:tmpl w:val="F4809A12"/>
    <w:lvl w:ilvl="0" w:tplc="DDE088C8">
      <w:start w:val="1"/>
      <w:numFmt w:val="bullet"/>
      <w:lvlText w:val=""/>
      <w:lvlJc w:val="left"/>
      <w:pPr>
        <w:ind w:left="720" w:hanging="360"/>
      </w:pPr>
      <w:rPr>
        <w:rFonts w:ascii="Symbol" w:hAnsi="Symbol" w:hint="default"/>
        <w:color w:val="auto"/>
      </w:rPr>
    </w:lvl>
    <w:lvl w:ilvl="1" w:tplc="DDE088C8">
      <w:start w:val="1"/>
      <w:numFmt w:val="bullet"/>
      <w:lvlText w:val=""/>
      <w:lvlJc w:val="left"/>
      <w:pPr>
        <w:ind w:left="72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9" w15:restartNumberingAfterBreak="0">
    <w:nsid w:val="3A8D7F54"/>
    <w:multiLevelType w:val="singleLevel"/>
    <w:tmpl w:val="DDE088C8"/>
    <w:lvl w:ilvl="0">
      <w:numFmt w:val="decimal"/>
      <w:lvlText w:val="*"/>
      <w:lvlJc w:val="left"/>
    </w:lvl>
  </w:abstractNum>
  <w:abstractNum w:abstractNumId="20" w15:restartNumberingAfterBreak="0">
    <w:nsid w:val="3B58F902"/>
    <w:multiLevelType w:val="hybridMultilevel"/>
    <w:tmpl w:val="B816A70C"/>
    <w:lvl w:ilvl="0" w:tplc="F2822204">
      <w:start w:val="1"/>
      <w:numFmt w:val="bullet"/>
      <w:lvlText w:val=""/>
      <w:lvlJc w:val="left"/>
      <w:pPr>
        <w:ind w:left="720" w:hanging="360"/>
      </w:pPr>
      <w:rPr>
        <w:rFonts w:ascii="Symbol" w:hAnsi="Symbol" w:hint="default"/>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21" w15:restartNumberingAfterBreak="0">
    <w:nsid w:val="3F6677B3"/>
    <w:multiLevelType w:val="hybridMultilevel"/>
    <w:tmpl w:val="AF9A16E4"/>
    <w:lvl w:ilvl="0" w:tplc="20000001">
      <w:start w:val="1"/>
      <w:numFmt w:val="bullet"/>
      <w:lvlText w:val=""/>
      <w:lvlJc w:val="left"/>
      <w:pPr>
        <w:ind w:left="459" w:hanging="360"/>
      </w:pPr>
      <w:rPr>
        <w:rFonts w:ascii="Symbol" w:hAnsi="Symbol" w:hint="default"/>
      </w:rPr>
    </w:lvl>
    <w:lvl w:ilvl="1" w:tplc="20000003" w:tentative="1">
      <w:start w:val="1"/>
      <w:numFmt w:val="bullet"/>
      <w:lvlText w:val="o"/>
      <w:lvlJc w:val="left"/>
      <w:pPr>
        <w:ind w:left="1179" w:hanging="360"/>
      </w:pPr>
      <w:rPr>
        <w:rFonts w:ascii="Courier New" w:hAnsi="Courier New" w:cs="Courier New" w:hint="default"/>
      </w:rPr>
    </w:lvl>
    <w:lvl w:ilvl="2" w:tplc="20000005" w:tentative="1">
      <w:start w:val="1"/>
      <w:numFmt w:val="bullet"/>
      <w:lvlText w:val=""/>
      <w:lvlJc w:val="left"/>
      <w:pPr>
        <w:ind w:left="1899" w:hanging="360"/>
      </w:pPr>
      <w:rPr>
        <w:rFonts w:ascii="Wingdings" w:hAnsi="Wingdings" w:hint="default"/>
      </w:rPr>
    </w:lvl>
    <w:lvl w:ilvl="3" w:tplc="20000001" w:tentative="1">
      <w:start w:val="1"/>
      <w:numFmt w:val="bullet"/>
      <w:lvlText w:val=""/>
      <w:lvlJc w:val="left"/>
      <w:pPr>
        <w:ind w:left="2619" w:hanging="360"/>
      </w:pPr>
      <w:rPr>
        <w:rFonts w:ascii="Symbol" w:hAnsi="Symbol" w:hint="default"/>
      </w:rPr>
    </w:lvl>
    <w:lvl w:ilvl="4" w:tplc="20000003" w:tentative="1">
      <w:start w:val="1"/>
      <w:numFmt w:val="bullet"/>
      <w:lvlText w:val="o"/>
      <w:lvlJc w:val="left"/>
      <w:pPr>
        <w:ind w:left="3339" w:hanging="360"/>
      </w:pPr>
      <w:rPr>
        <w:rFonts w:ascii="Courier New" w:hAnsi="Courier New" w:cs="Courier New" w:hint="default"/>
      </w:rPr>
    </w:lvl>
    <w:lvl w:ilvl="5" w:tplc="20000005" w:tentative="1">
      <w:start w:val="1"/>
      <w:numFmt w:val="bullet"/>
      <w:lvlText w:val=""/>
      <w:lvlJc w:val="left"/>
      <w:pPr>
        <w:ind w:left="4059" w:hanging="360"/>
      </w:pPr>
      <w:rPr>
        <w:rFonts w:ascii="Wingdings" w:hAnsi="Wingdings" w:hint="default"/>
      </w:rPr>
    </w:lvl>
    <w:lvl w:ilvl="6" w:tplc="20000001" w:tentative="1">
      <w:start w:val="1"/>
      <w:numFmt w:val="bullet"/>
      <w:lvlText w:val=""/>
      <w:lvlJc w:val="left"/>
      <w:pPr>
        <w:ind w:left="4779" w:hanging="360"/>
      </w:pPr>
      <w:rPr>
        <w:rFonts w:ascii="Symbol" w:hAnsi="Symbol" w:hint="default"/>
      </w:rPr>
    </w:lvl>
    <w:lvl w:ilvl="7" w:tplc="20000003" w:tentative="1">
      <w:start w:val="1"/>
      <w:numFmt w:val="bullet"/>
      <w:lvlText w:val="o"/>
      <w:lvlJc w:val="left"/>
      <w:pPr>
        <w:ind w:left="5499" w:hanging="360"/>
      </w:pPr>
      <w:rPr>
        <w:rFonts w:ascii="Courier New" w:hAnsi="Courier New" w:cs="Courier New" w:hint="default"/>
      </w:rPr>
    </w:lvl>
    <w:lvl w:ilvl="8" w:tplc="20000005" w:tentative="1">
      <w:start w:val="1"/>
      <w:numFmt w:val="bullet"/>
      <w:lvlText w:val=""/>
      <w:lvlJc w:val="left"/>
      <w:pPr>
        <w:ind w:left="6219" w:hanging="360"/>
      </w:pPr>
      <w:rPr>
        <w:rFonts w:ascii="Wingdings" w:hAnsi="Wingdings" w:hint="default"/>
      </w:rPr>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0676A2D"/>
    <w:multiLevelType w:val="hybridMultilevel"/>
    <w:tmpl w:val="3B9AD1E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BC4010"/>
    <w:multiLevelType w:val="hybridMultilevel"/>
    <w:tmpl w:val="ED103908"/>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22E2A91"/>
    <w:multiLevelType w:val="hybridMultilevel"/>
    <w:tmpl w:val="720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9783D"/>
    <w:multiLevelType w:val="hybridMultilevel"/>
    <w:tmpl w:val="5908F1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B1532D"/>
    <w:multiLevelType w:val="hybridMultilevel"/>
    <w:tmpl w:val="7A769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7DF7292"/>
    <w:multiLevelType w:val="hybridMultilevel"/>
    <w:tmpl w:val="32C8935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2A4302"/>
    <w:multiLevelType w:val="hybridMultilevel"/>
    <w:tmpl w:val="C574AFB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4CAD52EC"/>
    <w:multiLevelType w:val="hybridMultilevel"/>
    <w:tmpl w:val="B22E0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DEA42FE"/>
    <w:multiLevelType w:val="hybridMultilevel"/>
    <w:tmpl w:val="9B7E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0523186"/>
    <w:multiLevelType w:val="hybridMultilevel"/>
    <w:tmpl w:val="4894B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4A2039B"/>
    <w:multiLevelType w:val="hybridMultilevel"/>
    <w:tmpl w:val="D0DC36F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13D2082"/>
    <w:multiLevelType w:val="hybridMultilevel"/>
    <w:tmpl w:val="A39E618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29F4733"/>
    <w:multiLevelType w:val="hybridMultilevel"/>
    <w:tmpl w:val="80AA6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3B56246"/>
    <w:multiLevelType w:val="hybridMultilevel"/>
    <w:tmpl w:val="17E4D85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DF0C42"/>
    <w:multiLevelType w:val="hybridMultilevel"/>
    <w:tmpl w:val="E2FC81E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1" w15:restartNumberingAfterBreak="0">
    <w:nsid w:val="6B3767B2"/>
    <w:multiLevelType w:val="hybridMultilevel"/>
    <w:tmpl w:val="CF9ADD54"/>
    <w:lvl w:ilvl="0" w:tplc="20000001">
      <w:start w:val="1"/>
      <w:numFmt w:val="bullet"/>
      <w:lvlText w:val=""/>
      <w:lvlJc w:val="left"/>
      <w:pPr>
        <w:ind w:left="99" w:hanging="360"/>
      </w:pPr>
      <w:rPr>
        <w:rFonts w:ascii="Symbol" w:hAnsi="Symbol" w:hint="default"/>
      </w:rPr>
    </w:lvl>
    <w:lvl w:ilvl="1" w:tplc="20000003">
      <w:start w:val="1"/>
      <w:numFmt w:val="bullet"/>
      <w:lvlText w:val="o"/>
      <w:lvlJc w:val="left"/>
      <w:pPr>
        <w:ind w:left="819" w:hanging="360"/>
      </w:pPr>
      <w:rPr>
        <w:rFonts w:ascii="Courier New" w:hAnsi="Courier New" w:cs="Courier New" w:hint="default"/>
      </w:rPr>
    </w:lvl>
    <w:lvl w:ilvl="2" w:tplc="20000005" w:tentative="1">
      <w:start w:val="1"/>
      <w:numFmt w:val="bullet"/>
      <w:lvlText w:val=""/>
      <w:lvlJc w:val="left"/>
      <w:pPr>
        <w:ind w:left="1539" w:hanging="360"/>
      </w:pPr>
      <w:rPr>
        <w:rFonts w:ascii="Wingdings" w:hAnsi="Wingdings" w:hint="default"/>
      </w:rPr>
    </w:lvl>
    <w:lvl w:ilvl="3" w:tplc="20000001" w:tentative="1">
      <w:start w:val="1"/>
      <w:numFmt w:val="bullet"/>
      <w:lvlText w:val=""/>
      <w:lvlJc w:val="left"/>
      <w:pPr>
        <w:ind w:left="2259" w:hanging="360"/>
      </w:pPr>
      <w:rPr>
        <w:rFonts w:ascii="Symbol" w:hAnsi="Symbol" w:hint="default"/>
      </w:rPr>
    </w:lvl>
    <w:lvl w:ilvl="4" w:tplc="20000003" w:tentative="1">
      <w:start w:val="1"/>
      <w:numFmt w:val="bullet"/>
      <w:lvlText w:val="o"/>
      <w:lvlJc w:val="left"/>
      <w:pPr>
        <w:ind w:left="2979" w:hanging="360"/>
      </w:pPr>
      <w:rPr>
        <w:rFonts w:ascii="Courier New" w:hAnsi="Courier New" w:cs="Courier New" w:hint="default"/>
      </w:rPr>
    </w:lvl>
    <w:lvl w:ilvl="5" w:tplc="20000005" w:tentative="1">
      <w:start w:val="1"/>
      <w:numFmt w:val="bullet"/>
      <w:lvlText w:val=""/>
      <w:lvlJc w:val="left"/>
      <w:pPr>
        <w:ind w:left="3699" w:hanging="360"/>
      </w:pPr>
      <w:rPr>
        <w:rFonts w:ascii="Wingdings" w:hAnsi="Wingdings" w:hint="default"/>
      </w:rPr>
    </w:lvl>
    <w:lvl w:ilvl="6" w:tplc="20000001" w:tentative="1">
      <w:start w:val="1"/>
      <w:numFmt w:val="bullet"/>
      <w:lvlText w:val=""/>
      <w:lvlJc w:val="left"/>
      <w:pPr>
        <w:ind w:left="4419" w:hanging="360"/>
      </w:pPr>
      <w:rPr>
        <w:rFonts w:ascii="Symbol" w:hAnsi="Symbol" w:hint="default"/>
      </w:rPr>
    </w:lvl>
    <w:lvl w:ilvl="7" w:tplc="20000003" w:tentative="1">
      <w:start w:val="1"/>
      <w:numFmt w:val="bullet"/>
      <w:lvlText w:val="o"/>
      <w:lvlJc w:val="left"/>
      <w:pPr>
        <w:ind w:left="5139" w:hanging="360"/>
      </w:pPr>
      <w:rPr>
        <w:rFonts w:ascii="Courier New" w:hAnsi="Courier New" w:cs="Courier New" w:hint="default"/>
      </w:rPr>
    </w:lvl>
    <w:lvl w:ilvl="8" w:tplc="20000005" w:tentative="1">
      <w:start w:val="1"/>
      <w:numFmt w:val="bullet"/>
      <w:lvlText w:val=""/>
      <w:lvlJc w:val="left"/>
      <w:pPr>
        <w:ind w:left="5859" w:hanging="360"/>
      </w:pPr>
      <w:rPr>
        <w:rFonts w:ascii="Wingdings" w:hAnsi="Wingdings" w:hint="default"/>
      </w:rPr>
    </w:lvl>
  </w:abstractNum>
  <w:abstractNum w:abstractNumId="42" w15:restartNumberingAfterBreak="0">
    <w:nsid w:val="6BEF7014"/>
    <w:multiLevelType w:val="hybridMultilevel"/>
    <w:tmpl w:val="096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4261D87"/>
    <w:multiLevelType w:val="hybridMultilevel"/>
    <w:tmpl w:val="86BC52C0"/>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54D5194"/>
    <w:multiLevelType w:val="hybridMultilevel"/>
    <w:tmpl w:val="B92A04B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60444CF"/>
    <w:multiLevelType w:val="hybridMultilevel"/>
    <w:tmpl w:val="253253B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D7AB8"/>
    <w:multiLevelType w:val="hybridMultilevel"/>
    <w:tmpl w:val="6346F1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B623E7D"/>
    <w:multiLevelType w:val="hybridMultilevel"/>
    <w:tmpl w:val="EF785CA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7FE95083"/>
    <w:multiLevelType w:val="hybridMultilevel"/>
    <w:tmpl w:val="D1FC34B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40"/>
  </w:num>
  <w:num w:numId="3">
    <w:abstractNumId w:val="4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16"/>
  </w:num>
  <w:num w:numId="6">
    <w:abstractNumId w:val="33"/>
  </w:num>
  <w:num w:numId="7">
    <w:abstractNumId w:val="48"/>
  </w:num>
  <w:num w:numId="8">
    <w:abstractNumId w:val="17"/>
  </w:num>
  <w:num w:numId="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0">
    <w:abstractNumId w:val="41"/>
  </w:num>
  <w:num w:numId="11">
    <w:abstractNumId w:val="11"/>
  </w:num>
  <w:num w:numId="12">
    <w:abstractNumId w:val="21"/>
  </w:num>
  <w:num w:numId="13">
    <w:abstractNumId w:val="32"/>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5">
    <w:abstractNumId w:val="39"/>
  </w:num>
  <w:num w:numId="16">
    <w:abstractNumId w:val="30"/>
  </w:num>
  <w:num w:numId="17">
    <w:abstractNumId w:val="43"/>
  </w:num>
  <w:num w:numId="18">
    <w:abstractNumId w:val="27"/>
  </w:num>
  <w:num w:numId="19">
    <w:abstractNumId w:val="36"/>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8"/>
  </w:num>
  <w:num w:numId="22">
    <w:abstractNumId w:val="31"/>
  </w:num>
  <w:num w:numId="23">
    <w:abstractNumId w:val="25"/>
  </w:num>
  <w:num w:numId="24">
    <w:abstractNumId w:val="18"/>
  </w:num>
  <w:num w:numId="25">
    <w:abstractNumId w:val="50"/>
  </w:num>
  <w:num w:numId="26">
    <w:abstractNumId w:val="22"/>
  </w:num>
  <w:num w:numId="27">
    <w:abstractNumId w:val="20"/>
  </w:num>
  <w:num w:numId="28">
    <w:abstractNumId w:val="6"/>
  </w:num>
  <w:num w:numId="29">
    <w:abstractNumId w:val="9"/>
  </w:num>
  <w:num w:numId="30">
    <w:abstractNumId w:val="19"/>
  </w:num>
  <w:num w:numId="31">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2">
    <w:abstractNumId w:val="29"/>
  </w:num>
  <w:num w:numId="33">
    <w:abstractNumId w:val="7"/>
  </w:num>
  <w:num w:numId="34">
    <w:abstractNumId w:val="37"/>
  </w:num>
  <w:num w:numId="35">
    <w:abstractNumId w:val="13"/>
  </w:num>
  <w:num w:numId="36">
    <w:abstractNumId w:val="10"/>
  </w:num>
  <w:num w:numId="37">
    <w:abstractNumId w:val="35"/>
  </w:num>
  <w:num w:numId="38">
    <w:abstractNumId w:val="14"/>
  </w:num>
  <w:num w:numId="39">
    <w:abstractNumId w:val="23"/>
  </w:num>
  <w:num w:numId="40">
    <w:abstractNumId w:val="28"/>
  </w:num>
  <w:num w:numId="41">
    <w:abstractNumId w:val="49"/>
  </w:num>
  <w:num w:numId="42">
    <w:abstractNumId w:val="5"/>
  </w:num>
  <w:num w:numId="43">
    <w:abstractNumId w:val="4"/>
  </w:num>
  <w:num w:numId="44">
    <w:abstractNumId w:val="26"/>
  </w:num>
  <w:num w:numId="45">
    <w:abstractNumId w:val="38"/>
  </w:num>
  <w:num w:numId="46">
    <w:abstractNumId w:val="12"/>
  </w:num>
  <w:num w:numId="47">
    <w:abstractNumId w:val="46"/>
  </w:num>
  <w:num w:numId="48">
    <w:abstractNumId w:val="2"/>
  </w:num>
  <w:num w:numId="49">
    <w:abstractNumId w:val="44"/>
  </w:num>
  <w:num w:numId="50">
    <w:abstractNumId w:val="15"/>
  </w:num>
  <w:num w:numId="51">
    <w:abstractNumId w:val="34"/>
  </w:num>
  <w:num w:numId="52">
    <w:abstractNumId w:val="3"/>
  </w:num>
  <w:num w:numId="53">
    <w:abstractNumId w:val="24"/>
  </w:num>
  <w:num w:numId="54">
    <w:abstractNumId w:val="45"/>
  </w:num>
  <w:num w:numId="5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E64"/>
    <w:rsid w:val="00017D54"/>
    <w:rsid w:val="00020D21"/>
    <w:rsid w:val="00050772"/>
    <w:rsid w:val="00051934"/>
    <w:rsid w:val="000521F5"/>
    <w:rsid w:val="00063DFF"/>
    <w:rsid w:val="00067C7B"/>
    <w:rsid w:val="00071681"/>
    <w:rsid w:val="0007736E"/>
    <w:rsid w:val="0008407D"/>
    <w:rsid w:val="00085BCB"/>
    <w:rsid w:val="00086EA4"/>
    <w:rsid w:val="0009204A"/>
    <w:rsid w:val="0009375F"/>
    <w:rsid w:val="000A01ED"/>
    <w:rsid w:val="000A0991"/>
    <w:rsid w:val="000A6FBB"/>
    <w:rsid w:val="000B153B"/>
    <w:rsid w:val="000B2C0F"/>
    <w:rsid w:val="000B5048"/>
    <w:rsid w:val="000C31E1"/>
    <w:rsid w:val="000C49B7"/>
    <w:rsid w:val="000D394D"/>
    <w:rsid w:val="000E2545"/>
    <w:rsid w:val="00110DDD"/>
    <w:rsid w:val="00121797"/>
    <w:rsid w:val="0012298C"/>
    <w:rsid w:val="00143563"/>
    <w:rsid w:val="001452AB"/>
    <w:rsid w:val="00145E70"/>
    <w:rsid w:val="00153657"/>
    <w:rsid w:val="00157438"/>
    <w:rsid w:val="00160F71"/>
    <w:rsid w:val="00164573"/>
    <w:rsid w:val="00170C1F"/>
    <w:rsid w:val="00174CDF"/>
    <w:rsid w:val="0017523E"/>
    <w:rsid w:val="0018211C"/>
    <w:rsid w:val="0018785B"/>
    <w:rsid w:val="001979DF"/>
    <w:rsid w:val="001A7210"/>
    <w:rsid w:val="001B22C0"/>
    <w:rsid w:val="001B4437"/>
    <w:rsid w:val="001C1A5A"/>
    <w:rsid w:val="001E391D"/>
    <w:rsid w:val="001E4AD9"/>
    <w:rsid w:val="001F7A4C"/>
    <w:rsid w:val="0020048F"/>
    <w:rsid w:val="002059F6"/>
    <w:rsid w:val="00206A70"/>
    <w:rsid w:val="00207785"/>
    <w:rsid w:val="00207931"/>
    <w:rsid w:val="00207CB5"/>
    <w:rsid w:val="0022396F"/>
    <w:rsid w:val="00225236"/>
    <w:rsid w:val="00260F68"/>
    <w:rsid w:val="00274F3B"/>
    <w:rsid w:val="00286E07"/>
    <w:rsid w:val="00290C09"/>
    <w:rsid w:val="002914C0"/>
    <w:rsid w:val="002928E5"/>
    <w:rsid w:val="00293E88"/>
    <w:rsid w:val="00295E78"/>
    <w:rsid w:val="002A5636"/>
    <w:rsid w:val="002A7012"/>
    <w:rsid w:val="002B7981"/>
    <w:rsid w:val="002C2DFE"/>
    <w:rsid w:val="002C3E2F"/>
    <w:rsid w:val="002F5945"/>
    <w:rsid w:val="002F6197"/>
    <w:rsid w:val="00300BD1"/>
    <w:rsid w:val="00304B0D"/>
    <w:rsid w:val="003066BE"/>
    <w:rsid w:val="00307F78"/>
    <w:rsid w:val="00311E5B"/>
    <w:rsid w:val="003227CC"/>
    <w:rsid w:val="00350062"/>
    <w:rsid w:val="00350F7B"/>
    <w:rsid w:val="00373DC9"/>
    <w:rsid w:val="003822FE"/>
    <w:rsid w:val="00383886"/>
    <w:rsid w:val="00395F2C"/>
    <w:rsid w:val="003A0D87"/>
    <w:rsid w:val="003A638A"/>
    <w:rsid w:val="003B1BF5"/>
    <w:rsid w:val="003B20A0"/>
    <w:rsid w:val="003B5A27"/>
    <w:rsid w:val="003B6E5F"/>
    <w:rsid w:val="003C14DE"/>
    <w:rsid w:val="003C3D98"/>
    <w:rsid w:val="003C404F"/>
    <w:rsid w:val="003C4E9F"/>
    <w:rsid w:val="003F326D"/>
    <w:rsid w:val="003F4FAE"/>
    <w:rsid w:val="003F560D"/>
    <w:rsid w:val="003F79EF"/>
    <w:rsid w:val="0040484B"/>
    <w:rsid w:val="004136CF"/>
    <w:rsid w:val="0043191A"/>
    <w:rsid w:val="00434EA7"/>
    <w:rsid w:val="0043723D"/>
    <w:rsid w:val="00437387"/>
    <w:rsid w:val="00487166"/>
    <w:rsid w:val="004A5CD7"/>
    <w:rsid w:val="004A631F"/>
    <w:rsid w:val="004C4048"/>
    <w:rsid w:val="004D7AC0"/>
    <w:rsid w:val="004E2C88"/>
    <w:rsid w:val="004E70CF"/>
    <w:rsid w:val="004F4B0E"/>
    <w:rsid w:val="00517783"/>
    <w:rsid w:val="00520600"/>
    <w:rsid w:val="00527073"/>
    <w:rsid w:val="00532089"/>
    <w:rsid w:val="005547CA"/>
    <w:rsid w:val="005559ED"/>
    <w:rsid w:val="005565A0"/>
    <w:rsid w:val="00560FCF"/>
    <w:rsid w:val="00560FD9"/>
    <w:rsid w:val="00566EF0"/>
    <w:rsid w:val="00574AE9"/>
    <w:rsid w:val="00576A37"/>
    <w:rsid w:val="00586B4B"/>
    <w:rsid w:val="005A0BDA"/>
    <w:rsid w:val="005A13AE"/>
    <w:rsid w:val="005A1446"/>
    <w:rsid w:val="005B3E63"/>
    <w:rsid w:val="005C3B4E"/>
    <w:rsid w:val="005D3B72"/>
    <w:rsid w:val="005E1B10"/>
    <w:rsid w:val="005E65F1"/>
    <w:rsid w:val="005E7651"/>
    <w:rsid w:val="006036EC"/>
    <w:rsid w:val="006048C3"/>
    <w:rsid w:val="00607243"/>
    <w:rsid w:val="00607388"/>
    <w:rsid w:val="00621588"/>
    <w:rsid w:val="00623D14"/>
    <w:rsid w:val="00625CA3"/>
    <w:rsid w:val="0063270F"/>
    <w:rsid w:val="0063478E"/>
    <w:rsid w:val="006347E9"/>
    <w:rsid w:val="00641262"/>
    <w:rsid w:val="00643832"/>
    <w:rsid w:val="0066204A"/>
    <w:rsid w:val="00663B69"/>
    <w:rsid w:val="00663D1D"/>
    <w:rsid w:val="006665CE"/>
    <w:rsid w:val="00673030"/>
    <w:rsid w:val="00674DC9"/>
    <w:rsid w:val="00685669"/>
    <w:rsid w:val="00686452"/>
    <w:rsid w:val="00693AFD"/>
    <w:rsid w:val="006A1852"/>
    <w:rsid w:val="006A1964"/>
    <w:rsid w:val="006A30A7"/>
    <w:rsid w:val="006A607A"/>
    <w:rsid w:val="006C3BF1"/>
    <w:rsid w:val="006D00D2"/>
    <w:rsid w:val="006D0FA5"/>
    <w:rsid w:val="006D2C8A"/>
    <w:rsid w:val="006D2D64"/>
    <w:rsid w:val="006E058A"/>
    <w:rsid w:val="006E42C3"/>
    <w:rsid w:val="006E6BA2"/>
    <w:rsid w:val="006F198A"/>
    <w:rsid w:val="006F3BD2"/>
    <w:rsid w:val="0070112B"/>
    <w:rsid w:val="0071703D"/>
    <w:rsid w:val="0072001A"/>
    <w:rsid w:val="00722D37"/>
    <w:rsid w:val="00732FD3"/>
    <w:rsid w:val="00735536"/>
    <w:rsid w:val="00747082"/>
    <w:rsid w:val="00754027"/>
    <w:rsid w:val="0075452F"/>
    <w:rsid w:val="0076170A"/>
    <w:rsid w:val="00761E3F"/>
    <w:rsid w:val="00766B1A"/>
    <w:rsid w:val="007757F6"/>
    <w:rsid w:val="007772BB"/>
    <w:rsid w:val="00782E41"/>
    <w:rsid w:val="00787993"/>
    <w:rsid w:val="00790212"/>
    <w:rsid w:val="00793264"/>
    <w:rsid w:val="007977EB"/>
    <w:rsid w:val="007A1ECF"/>
    <w:rsid w:val="007A23FD"/>
    <w:rsid w:val="007A4448"/>
    <w:rsid w:val="007A4A04"/>
    <w:rsid w:val="007A5C3E"/>
    <w:rsid w:val="007A62E8"/>
    <w:rsid w:val="007B2A4C"/>
    <w:rsid w:val="007C5067"/>
    <w:rsid w:val="007C5687"/>
    <w:rsid w:val="007D38CF"/>
    <w:rsid w:val="007D4BC5"/>
    <w:rsid w:val="007D4F80"/>
    <w:rsid w:val="007E5208"/>
    <w:rsid w:val="007F5784"/>
    <w:rsid w:val="007F59F8"/>
    <w:rsid w:val="00800D55"/>
    <w:rsid w:val="0080305A"/>
    <w:rsid w:val="00811AE6"/>
    <w:rsid w:val="008140AB"/>
    <w:rsid w:val="00836760"/>
    <w:rsid w:val="00845F24"/>
    <w:rsid w:val="0084634B"/>
    <w:rsid w:val="00850BA4"/>
    <w:rsid w:val="00852896"/>
    <w:rsid w:val="00873941"/>
    <w:rsid w:val="00874920"/>
    <w:rsid w:val="008776D6"/>
    <w:rsid w:val="0088219D"/>
    <w:rsid w:val="00887AAF"/>
    <w:rsid w:val="00887D9C"/>
    <w:rsid w:val="008923EE"/>
    <w:rsid w:val="008A001E"/>
    <w:rsid w:val="008A069D"/>
    <w:rsid w:val="008A129B"/>
    <w:rsid w:val="008B10AA"/>
    <w:rsid w:val="008B1374"/>
    <w:rsid w:val="008B365F"/>
    <w:rsid w:val="008B7128"/>
    <w:rsid w:val="008C1E36"/>
    <w:rsid w:val="008D3BC2"/>
    <w:rsid w:val="008F0A57"/>
    <w:rsid w:val="008F2ED1"/>
    <w:rsid w:val="008F720A"/>
    <w:rsid w:val="00903E48"/>
    <w:rsid w:val="0090676E"/>
    <w:rsid w:val="00920DBD"/>
    <w:rsid w:val="0093269E"/>
    <w:rsid w:val="00933DDE"/>
    <w:rsid w:val="00936EDA"/>
    <w:rsid w:val="00954942"/>
    <w:rsid w:val="00960878"/>
    <w:rsid w:val="00961E7E"/>
    <w:rsid w:val="0096376B"/>
    <w:rsid w:val="00971406"/>
    <w:rsid w:val="009757DF"/>
    <w:rsid w:val="009A26EA"/>
    <w:rsid w:val="009B2765"/>
    <w:rsid w:val="009B30A2"/>
    <w:rsid w:val="009C4B2A"/>
    <w:rsid w:val="009C5987"/>
    <w:rsid w:val="009D4EF7"/>
    <w:rsid w:val="009E37FC"/>
    <w:rsid w:val="009F0424"/>
    <w:rsid w:val="00A0115F"/>
    <w:rsid w:val="00A01B98"/>
    <w:rsid w:val="00A01E18"/>
    <w:rsid w:val="00A07FDA"/>
    <w:rsid w:val="00A137BD"/>
    <w:rsid w:val="00A14EE2"/>
    <w:rsid w:val="00A20E9D"/>
    <w:rsid w:val="00A22B61"/>
    <w:rsid w:val="00A272B2"/>
    <w:rsid w:val="00A31FBE"/>
    <w:rsid w:val="00A44552"/>
    <w:rsid w:val="00A50553"/>
    <w:rsid w:val="00A671D1"/>
    <w:rsid w:val="00A704FE"/>
    <w:rsid w:val="00A71787"/>
    <w:rsid w:val="00A73D45"/>
    <w:rsid w:val="00A819B2"/>
    <w:rsid w:val="00A84144"/>
    <w:rsid w:val="00A94759"/>
    <w:rsid w:val="00AA0B9B"/>
    <w:rsid w:val="00AA49D0"/>
    <w:rsid w:val="00AB27C4"/>
    <w:rsid w:val="00AB5F92"/>
    <w:rsid w:val="00AC3091"/>
    <w:rsid w:val="00AC4073"/>
    <w:rsid w:val="00AC791D"/>
    <w:rsid w:val="00AD2B01"/>
    <w:rsid w:val="00AD3765"/>
    <w:rsid w:val="00AE1443"/>
    <w:rsid w:val="00AF66DD"/>
    <w:rsid w:val="00B12AD6"/>
    <w:rsid w:val="00B16290"/>
    <w:rsid w:val="00B17AA2"/>
    <w:rsid w:val="00B203DA"/>
    <w:rsid w:val="00B22D81"/>
    <w:rsid w:val="00B31D9D"/>
    <w:rsid w:val="00B35D40"/>
    <w:rsid w:val="00B417D4"/>
    <w:rsid w:val="00B5012B"/>
    <w:rsid w:val="00B518C9"/>
    <w:rsid w:val="00B56DC5"/>
    <w:rsid w:val="00B609BB"/>
    <w:rsid w:val="00B6140C"/>
    <w:rsid w:val="00B62C90"/>
    <w:rsid w:val="00B74D18"/>
    <w:rsid w:val="00B76E22"/>
    <w:rsid w:val="00B84F37"/>
    <w:rsid w:val="00B90BB4"/>
    <w:rsid w:val="00B92236"/>
    <w:rsid w:val="00B9454C"/>
    <w:rsid w:val="00B97735"/>
    <w:rsid w:val="00BA33D2"/>
    <w:rsid w:val="00BA4FAE"/>
    <w:rsid w:val="00BA7DA9"/>
    <w:rsid w:val="00BC3DCE"/>
    <w:rsid w:val="00BD0A76"/>
    <w:rsid w:val="00BD13B3"/>
    <w:rsid w:val="00BD6D59"/>
    <w:rsid w:val="00BE54B3"/>
    <w:rsid w:val="00BF4B8A"/>
    <w:rsid w:val="00C008B4"/>
    <w:rsid w:val="00C03B57"/>
    <w:rsid w:val="00C0422F"/>
    <w:rsid w:val="00C1318C"/>
    <w:rsid w:val="00C178B4"/>
    <w:rsid w:val="00C17ABD"/>
    <w:rsid w:val="00C25130"/>
    <w:rsid w:val="00C26C67"/>
    <w:rsid w:val="00C3495F"/>
    <w:rsid w:val="00C351BC"/>
    <w:rsid w:val="00C54777"/>
    <w:rsid w:val="00C6005D"/>
    <w:rsid w:val="00C6788D"/>
    <w:rsid w:val="00C73CDB"/>
    <w:rsid w:val="00C821A5"/>
    <w:rsid w:val="00CA46B0"/>
    <w:rsid w:val="00CB1912"/>
    <w:rsid w:val="00CB6673"/>
    <w:rsid w:val="00CD57F4"/>
    <w:rsid w:val="00CF07CC"/>
    <w:rsid w:val="00D032F4"/>
    <w:rsid w:val="00D121CF"/>
    <w:rsid w:val="00D27336"/>
    <w:rsid w:val="00D43613"/>
    <w:rsid w:val="00D44E5F"/>
    <w:rsid w:val="00D508F7"/>
    <w:rsid w:val="00D56FF8"/>
    <w:rsid w:val="00D60502"/>
    <w:rsid w:val="00D6433F"/>
    <w:rsid w:val="00D664E2"/>
    <w:rsid w:val="00D66704"/>
    <w:rsid w:val="00D7076A"/>
    <w:rsid w:val="00D72442"/>
    <w:rsid w:val="00D7556E"/>
    <w:rsid w:val="00D81A9E"/>
    <w:rsid w:val="00D81D76"/>
    <w:rsid w:val="00D81F5E"/>
    <w:rsid w:val="00D92269"/>
    <w:rsid w:val="00D933A9"/>
    <w:rsid w:val="00DA024B"/>
    <w:rsid w:val="00DA19ED"/>
    <w:rsid w:val="00DA78A0"/>
    <w:rsid w:val="00DB4519"/>
    <w:rsid w:val="00DB7317"/>
    <w:rsid w:val="00DC6E9C"/>
    <w:rsid w:val="00DC7468"/>
    <w:rsid w:val="00DD5495"/>
    <w:rsid w:val="00DE176A"/>
    <w:rsid w:val="00DF1CA2"/>
    <w:rsid w:val="00E00A6B"/>
    <w:rsid w:val="00E05F14"/>
    <w:rsid w:val="00E11D35"/>
    <w:rsid w:val="00E13D82"/>
    <w:rsid w:val="00E252C6"/>
    <w:rsid w:val="00E25FBD"/>
    <w:rsid w:val="00E3707D"/>
    <w:rsid w:val="00E44B28"/>
    <w:rsid w:val="00E47697"/>
    <w:rsid w:val="00E5346F"/>
    <w:rsid w:val="00E60037"/>
    <w:rsid w:val="00E62AC9"/>
    <w:rsid w:val="00E630B2"/>
    <w:rsid w:val="00E6376A"/>
    <w:rsid w:val="00E720D2"/>
    <w:rsid w:val="00E77899"/>
    <w:rsid w:val="00E77A18"/>
    <w:rsid w:val="00EA1872"/>
    <w:rsid w:val="00EA21B5"/>
    <w:rsid w:val="00EA487B"/>
    <w:rsid w:val="00EA5D3A"/>
    <w:rsid w:val="00EA637B"/>
    <w:rsid w:val="00EC6483"/>
    <w:rsid w:val="00EC725B"/>
    <w:rsid w:val="00EE45AC"/>
    <w:rsid w:val="00EF1F75"/>
    <w:rsid w:val="00F14ED2"/>
    <w:rsid w:val="00F23BF2"/>
    <w:rsid w:val="00F27BB3"/>
    <w:rsid w:val="00F47E37"/>
    <w:rsid w:val="00F53C93"/>
    <w:rsid w:val="00F57E76"/>
    <w:rsid w:val="00F83C17"/>
    <w:rsid w:val="00F923F1"/>
    <w:rsid w:val="00F94D46"/>
    <w:rsid w:val="00F96D7F"/>
    <w:rsid w:val="00FA584E"/>
    <w:rsid w:val="00FA6D2E"/>
    <w:rsid w:val="00FB2DAD"/>
    <w:rsid w:val="00FB583C"/>
    <w:rsid w:val="00FB69EB"/>
    <w:rsid w:val="00FC1076"/>
    <w:rsid w:val="00FC456F"/>
    <w:rsid w:val="00FD7E5A"/>
    <w:rsid w:val="00FE076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toni.TorrasEstruch@eesc.europa.eu" TargetMode="External"/><Relationship Id="rId21" Type="http://schemas.openxmlformats.org/officeDocument/2006/relationships/hyperlink" Target="https://www.eesc.europa.eu/ro/our-work/opinions-information-reports/opinions/eu-fund-cohesion-agriculture-and-rural-fisheries-and-maritime-prosperity-and-security" TargetMode="External"/><Relationship Id="rId42" Type="http://schemas.openxmlformats.org/officeDocument/2006/relationships/hyperlink" Target="https://www.eesc.europa.eu/ro/our-work/opinions-information-reports/opinions/apply-ai-strategy-strengthening-ai-continent" TargetMode="External"/><Relationship Id="rId47" Type="http://schemas.openxmlformats.org/officeDocument/2006/relationships/hyperlink" Target="mailto:Arturo.Iniguez@eesc.europa.eu" TargetMode="External"/><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toni.TorrasEstruch@eesc.europa.eu" TargetMode="External"/><Relationship Id="rId29" Type="http://schemas.openxmlformats.org/officeDocument/2006/relationships/hyperlink" Target="https://www.eesc.europa.eu/ro/our-work/opinions-information-reports/opinions/establishing-european-social-fund-part-national-and-regional-partnership-plan" TargetMode="External"/><Relationship Id="rId11" Type="http://schemas.openxmlformats.org/officeDocument/2006/relationships/image" Target="media/image1.jpeg"/><Relationship Id="rId24" Type="http://schemas.openxmlformats.org/officeDocument/2006/relationships/hyperlink" Target="mailto:Gerald.Klec@eesc.europa.eu" TargetMode="External"/><Relationship Id="rId32" Type="http://schemas.openxmlformats.org/officeDocument/2006/relationships/hyperlink" Target="https://eur-lex.europa.eu/legal-content/RO/TXT/?uri=CELEX%3A52019AE3047&amp;qid=1768437686704"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ro/our-work/opinions-information-reports/opinions/quantum-strategy" TargetMode="External"/><Relationship Id="rId45" Type="http://schemas.openxmlformats.org/officeDocument/2006/relationships/hyperlink" Target="mailto:Jana.Valant@eesc.europa.eu" TargetMode="External"/><Relationship Id="rId53" Type="http://schemas.openxmlformats.org/officeDocument/2006/relationships/hyperlink" Target="mailto:Myrto.Kolyva@eesc.europa.eu" TargetMode="External"/><Relationship Id="rId58" Type="http://schemas.openxmlformats.org/officeDocument/2006/relationships/hyperlink" Target="mailto:Martine.Delanoy@eesc.europa.eu" TargetMode="External"/><Relationship Id="rId66"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eesc.europa.eu/ro/our-work/opinions-information-reports/opinions/multiannual-financial-framework-2028-2034" TargetMode="External"/><Relationship Id="rId14" Type="http://schemas.openxmlformats.org/officeDocument/2006/relationships/footer" Target="footer1.xml"/><Relationship Id="rId22" Type="http://schemas.openxmlformats.org/officeDocument/2006/relationships/hyperlink" Target="mailto:Georgios.Meleas@eesc.europa.eu" TargetMode="External"/><Relationship Id="rId27" Type="http://schemas.openxmlformats.org/officeDocument/2006/relationships/hyperlink" Target="https://www.eesc.europa.eu/ro/our-work/opinions-information-reports/opinions/proposal-regulation-erasmus" TargetMode="External"/><Relationship Id="rId30" Type="http://schemas.openxmlformats.org/officeDocument/2006/relationships/hyperlink" Target="mailto:Bartek.Bednarowicz@eesc.europa.eu" TargetMode="External"/><Relationship Id="rId35" Type="http://schemas.openxmlformats.org/officeDocument/2006/relationships/hyperlink" Target="mailto:GiorgiaAndrea.Bordignon@eesc.europa.eu" TargetMode="External"/><Relationship Id="rId43" Type="http://schemas.openxmlformats.org/officeDocument/2006/relationships/hyperlink" Target="mailto:Yousra.AsbouniElOuahabi@eesc.europa.eu" TargetMode="External"/><Relationship Id="rId48" Type="http://schemas.openxmlformats.org/officeDocument/2006/relationships/hyperlink" Target="https://www.eesc.europa.eu/ro/our-work/opinions-information-reports/opinions/amendment-market-stability-reserve-buildings-road-transport-and-additional-sectors" TargetMode="External"/><Relationship Id="rId56" Type="http://schemas.openxmlformats.org/officeDocument/2006/relationships/hyperlink" Target="https://www.eesc.europa.eu/ro/our-work/opinions-information-reports/opinions/common-agricultural-policy-cap-post-2027" TargetMode="External"/><Relationship Id="rId64" Type="http://schemas.openxmlformats.org/officeDocument/2006/relationships/footer" Target="footer3.xml"/><Relationship Id="rId69" Type="http://schemas.openxmlformats.org/officeDocument/2006/relationships/customXml" Target="../customXml/item5.xml"/><Relationship Id="rId8" Type="http://schemas.openxmlformats.org/officeDocument/2006/relationships/webSettings" Target="webSettings.xml"/><Relationship Id="rId51" Type="http://schemas.openxmlformats.org/officeDocument/2006/relationships/hyperlink" Target="mailto:Martine.Delanoy@eesc.europa.eu" TargetMode="External"/><Relationship Id="rId3" Type="http://schemas.openxmlformats.org/officeDocument/2006/relationships/customXml" Target="../customXml/item3.xm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hyperlink" Target="https://www.eesc.europa.eu/ro/our-work/opinions-information-reports/opinions/euro-area-economic-policy-2026" TargetMode="External"/><Relationship Id="rId25" Type="http://schemas.openxmlformats.org/officeDocument/2006/relationships/hyperlink" Target="https://www.eesc.europa.eu/ro/our-work/opinions-information-reports/opinions/my-voice-my-choice-safe-and-accessible-abortion" TargetMode="External"/><Relationship Id="rId33" Type="http://schemas.openxmlformats.org/officeDocument/2006/relationships/hyperlink" Target="mailto:Aleksandra.SarmanGrilc@eesc.europa.eu" TargetMode="External"/><Relationship Id="rId38" Type="http://schemas.openxmlformats.org/officeDocument/2006/relationships/hyperlink" Target="https://www.eesc.europa.eu/ro/our-work/opinions-information-reports/opinions/single-market-and-customs-programme-2028-2034" TargetMode="External"/><Relationship Id="rId46" Type="http://schemas.openxmlformats.org/officeDocument/2006/relationships/hyperlink" Target="https://www.eesc.europa.eu/ro/our-work/opinions-information-reports/opinions/france-inter-american-convention-protection-and-conservation-sea-turtles" TargetMode="External"/><Relationship Id="rId59" Type="http://schemas.openxmlformats.org/officeDocument/2006/relationships/hyperlink" Target="https://www.eesc.europa.eu/ro/our-work/opinions-information-reports/opinions/eu-medical-countermeasures-and-stockpiling-strategies" TargetMode="External"/><Relationship Id="rId67" Type="http://schemas.openxmlformats.org/officeDocument/2006/relationships/fontTable" Target="fontTable.xml"/><Relationship Id="rId20" Type="http://schemas.openxmlformats.org/officeDocument/2006/relationships/hyperlink" Target="mailto:Gerald.Klec@eesc.europa.eu" TargetMode="External"/><Relationship Id="rId41" Type="http://schemas.openxmlformats.org/officeDocument/2006/relationships/hyperlink" Target="mailto:Yousra.AsbouniElOuahabi@eesc.europa.eu" TargetMode="External"/><Relationship Id="rId54" Type="http://schemas.openxmlformats.org/officeDocument/2006/relationships/hyperlink" Target="https://www.eesc.europa.eu/ro/our-work/opinions-information-reports/opinions/revision-common-fisheries-policy"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esc.europa.eu/ro/our-work/opinions-information-reports/opinions/eesc-contribution-eus-priorities-uncsw70" TargetMode="External"/><Relationship Id="rId23" Type="http://schemas.openxmlformats.org/officeDocument/2006/relationships/hyperlink" Target="https://www.eesc.europa.eu/ro/our-work/opinions-information-reports/opinions/own-resources-2025-proposal" TargetMode="External"/><Relationship Id="rId28" Type="http://schemas.openxmlformats.org/officeDocument/2006/relationships/hyperlink" Target="mailto:Valeria.Atzori@eesc.europa.eu" TargetMode="External"/><Relationship Id="rId36" Type="http://schemas.openxmlformats.org/officeDocument/2006/relationships/hyperlink" Target="https://www.eesc.europa.eu/ro/our-work/opinions-information-reports/opinions/extension-interim-rules-online-child-sexual-abuse" TargetMode="External"/><Relationship Id="rId49" Type="http://schemas.openxmlformats.org/officeDocument/2006/relationships/hyperlink" Target="mailto:Gaizka.MaloElcoro-Iribe@eesc.europa.eu" TargetMode="External"/><Relationship Id="rId57" Type="http://schemas.openxmlformats.org/officeDocument/2006/relationships/hyperlink" Target="mailto:Arturo.Iniguez@eesc.europa.eu" TargetMode="External"/><Relationship Id="rId10" Type="http://schemas.openxmlformats.org/officeDocument/2006/relationships/endnotes" Target="endnotes.xml"/><Relationship Id="rId31" Type="http://schemas.openxmlformats.org/officeDocument/2006/relationships/hyperlink" Target="https://www.eesc.europa.eu/ro/our-work/opinions-information-reports/opinions/bilateral-road-transport-agreement-between-austria-and-switzerland" TargetMode="External"/><Relationship Id="rId44" Type="http://schemas.openxmlformats.org/officeDocument/2006/relationships/hyperlink" Target="https://www.eesc.europa.eu/ro/our-work/opinions-information-reports/opinions/horizon-europe-0" TargetMode="External"/><Relationship Id="rId52" Type="http://schemas.openxmlformats.org/officeDocument/2006/relationships/hyperlink" Target="https://www.eesc.europa.eu/ro/our-work/opinions-information-reports/opinions/revision-common-market-organisation-cmo-regulation" TargetMode="External"/><Relationship Id="rId60" Type="http://schemas.openxmlformats.org/officeDocument/2006/relationships/hyperlink" Target="mailto:Laia.TomasVinardell@eesc.europa.eu"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mailto:Krisztina.PerlakyToth@eesc.europa.eu" TargetMode="External"/><Relationship Id="rId39" Type="http://schemas.openxmlformats.org/officeDocument/2006/relationships/hyperlink" Target="mailto:Marco.Manfroni@eesc.europa.eu" TargetMode="External"/><Relationship Id="rId34" Type="http://schemas.openxmlformats.org/officeDocument/2006/relationships/hyperlink" Target="https://www.eesc.europa.eu/ro/our-work/opinions-information-reports/opinions/connecting-europe-facility-2028-2034" TargetMode="External"/><Relationship Id="rId50" Type="http://schemas.openxmlformats.org/officeDocument/2006/relationships/hyperlink" Target="https://www.eesc.europa.eu/ro/our-work/opinions-information-reports/opinions/amendment-data-protection-biocidal-products" TargetMode="External"/><Relationship Id="rId55" Type="http://schemas.openxmlformats.org/officeDocument/2006/relationships/hyperlink" Target="mailto:Arturo.Inigue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A6WAAD5KZT2Q-1415362569-3074</_dlc_DocId>
    <_dlc_DocIdUrl xmlns="1a33af13-4045-4f88-9d7b-618e30f79918">
      <Url>http://dm/eesc/2025/_layouts/15/DocIdRedir.aspx?ID=A6WAAD5KZT2Q-1415362569-3074</Url>
      <Description>A6WAAD5KZT2Q-1415362569-3074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2026-02-06T12:00:00+00:00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Greff Daniela</DisplayName>
        <AccountId>1474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2DCFD2-B6C9-4B84-883E-D601E5E47949}">
  <ds:schemaRefs>
    <ds:schemaRef ds:uri="http://schemas.openxmlformats.org/officeDocument/2006/bibliography"/>
  </ds:schemaRefs>
</ds:datastoreItem>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DF66A240-C33C-4CB8-B50A-EC675ACD3725}"/>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5.xml><?xml version="1.0" encoding="utf-8"?>
<ds:datastoreItem xmlns:ds="http://schemas.openxmlformats.org/officeDocument/2006/customXml" ds:itemID="{F4E718AC-C8B9-41A6-A179-5A39519ECDB0}"/>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8067</Words>
  <Characters>45984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adoptate la a 602-a sesiune plenară din ianuarie 2026</dc:title>
  <dc:subject>ADMIN</dc:subject>
  <dc:creator/>
  <cp:keywords>COR-EESC-2022-02583-00-00-ADMIN-TRA-EN</cp:keywords>
  <dc:description>Rapporteur:  - Original language: EN - Date of document: 20/05/2022 - Date of meeting:  - External documents:  - Administrator:  SUCIU Serban</dc:description>
  <cp:lastModifiedBy/>
  <cp:revision>27</cp:revision>
  <dcterms:created xsi:type="dcterms:W3CDTF">2026-02-05T16:35:00Z</dcterms:created>
  <dcterms:modified xsi:type="dcterms:W3CDTF">2026-02-06T10:20:00Z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421ad13d-add0-4c20-860a-b40f6d58f8a0</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67;#SPL-CES|32d8cb1f-c9ec-4365-95c7-8385a18618ac;#29;#CS|72f9705b-0217-4fd3-bea2-cbc7ed80e26e;#27;#NL|55c6556c-b4f4-441d-9acf-c498d4f838bd;#24;#PL|1e03da61-4678-4e07-b136-b5024ca9197b;#23;#DE|f6b31e5a-26fa-4935-b661-318e46daf27e;#50;#HR|2f555653-ed1a-4fe6-8362-9082d95989e5;#19;#TCD|cd9d6eb6-3f4f-424a-b2d1-57c9d450eaaf;#15;#Unrestricted|826e22d7-d029-4ec0-a450-0c28ff673572;#13;#TRA|150d2a88-1431-44e6-a8ca-0bb753ab8672;#12;#FR|d2afafd3-4c81-4f60-8f52-ee33f2f54ff3;#47;#BG|1a1b3951-7821-4e6a-85f5-5673fc08bd2c;#46;#SK|46d9fce0-ef79-4f71-b89b-cd6aa82426b8;#8;#Final|ea5e6674-7b27-4bac-b091-73adbb394efe;#30;#LT|a7ff5ce7-6123-4f68-865a-a57c31810414;#5;#EN|f2175f21-25d7-44a3-96da-d6a61b075e1b;#41;#ET|ff6c3f4c-b02c-4c3c-ab07-2c37995a7a0a;#40;#DA|5d49c027-8956-412b-aa16-e85a0f96ad0e;#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36;#RO|feb747a2-64cd-4299-af12-4833ddc30497</vt:lpwstr>
  </property>
  <property fmtid="{D5CDD505-2E9C-101B-9397-08002B2CF9AE}" pid="33" name="AvailableTranslations_0">
    <vt:lpwstr>SL|98a412ae-eb01-49e9-ae3d-585a81724cfc;DE|f6b31e5a-26fa-4935-b661-318e46daf27e;NL|55c6556c-b4f4-441d-9acf-c498d4f838bd;IT|0774613c-01ed-4e5d-a25d-11d2388de825;FR|d2afafd3-4c81-4f60-8f52-ee33f2f54ff3;HU|6b229040-c589-4408-b4c1-4285663d20a8;EN|f2175f21-25d7-44a3-96da-d6a61b075e1b;ET|ff6c3f4c-b02c-4c3c-ab07-2c37995a7a0a;FI|87606a43-d45f-42d6-b8c9-e1a3457db5b7;BG|1a1b3951-7821-4e6a-85f5-5673fc08bd2c;PT|50ccc04a-eadd-42ae-a0cb-acaf45f812ba;CS|72f9705b-0217-4fd3-bea2-cbc7ed80e26e;LT|a7ff5ce7-6123-4f68-865a-a57c31810414;SK|46d9fce0-ef79-4f71-b89b-cd6aa82426b8;PL|1e03da61-4678-4e07-b136-b5024ca9197b;EL|6d4f4d51-af9b-4650-94b4-4276bee85c91;HR|2f555653-ed1a-4fe6-8362-9082d95989e5;DA|5d49c027-8956-412b-aa16-e85a0f96ad0e</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