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B5E3" w14:textId="77777777" w:rsidR="00B83BDF" w:rsidRDefault="00B83BDF" w:rsidP="00B83BDF">
      <w:pPr>
        <w:jc w:val="center"/>
      </w:pPr>
      <w:r>
        <w:rPr>
          <w:noProof/>
        </w:rPr>
        <w:drawing>
          <wp:inline distT="0" distB="0" distL="0" distR="0" wp14:anchorId="59B005E9" wp14:editId="50DFAA3D">
            <wp:extent cx="1792605" cy="1239520"/>
            <wp:effectExtent l="0" t="0" r="0" b="0"/>
            <wp:docPr id="1" name="Picture 1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92C3E6" wp14:editId="2C720AF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B503B" w14:textId="77777777" w:rsidR="00B83BDF" w:rsidRPr="00260E65" w:rsidRDefault="00B83BDF" w:rsidP="00B83B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2C3E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55B503B" w14:textId="77777777" w:rsidR="00B83BDF" w:rsidRPr="00260E65" w:rsidRDefault="00B83BDF" w:rsidP="00B83BD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4B7FC3" w14:textId="77777777" w:rsidR="00B83BDF" w:rsidRDefault="00B83BDF" w:rsidP="00B83BDF"/>
    <w:p w14:paraId="16711B75" w14:textId="77777777" w:rsidR="00B83BDF" w:rsidRDefault="00B83BDF" w:rsidP="00B83BDF">
      <w:pPr>
        <w:jc w:val="right"/>
      </w:pPr>
      <w:r>
        <w:t>Bruxelas, 6 de fevereiro de 2026</w:t>
      </w:r>
    </w:p>
    <w:p w14:paraId="0C371326" w14:textId="77777777" w:rsidR="00B83BDF" w:rsidRDefault="00B83BDF" w:rsidP="00B83BDF"/>
    <w:p w14:paraId="37E662C2" w14:textId="77777777" w:rsidR="00B83BDF" w:rsidRDefault="00B83BDF" w:rsidP="00B83BDF"/>
    <w:p w14:paraId="1C679108" w14:textId="77777777" w:rsidR="00B83BDF" w:rsidRDefault="00B83BDF" w:rsidP="00B83BDF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B83BDF" w14:paraId="336F1955" w14:textId="77777777" w:rsidTr="00F21158">
        <w:tc>
          <w:tcPr>
            <w:tcW w:w="9289" w:type="dxa"/>
            <w:tcBorders>
              <w:bottom w:val="double" w:sz="4" w:space="0" w:color="auto"/>
            </w:tcBorders>
          </w:tcPr>
          <w:p w14:paraId="4C33B09B" w14:textId="77777777" w:rsidR="00B83BDF" w:rsidRDefault="00B83BDF" w:rsidP="00F2115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602.ª REUNIÃO PLENÁRIA</w:t>
            </w:r>
          </w:p>
          <w:p w14:paraId="760AF5D5" w14:textId="77777777" w:rsidR="00B83BDF" w:rsidRDefault="00B83BDF" w:rsidP="00F2115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1D85F02E" w14:textId="77777777" w:rsidR="00B83BDF" w:rsidRDefault="00B83BDF" w:rsidP="00F2115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21 e 22 de janeiro de 2026</w:t>
            </w:r>
          </w:p>
          <w:p w14:paraId="365BDBAB" w14:textId="77777777" w:rsidR="00B83BDF" w:rsidRDefault="00B83BDF" w:rsidP="00F2115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7D07097B" w14:textId="77777777" w:rsidR="00B83BDF" w:rsidRPr="0081153B" w:rsidRDefault="00B83BDF" w:rsidP="00F21158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SÍNTESE DOS PARECERES, RESOLUÇÕES E RELATÓRIOS DE INFORMAÇÃO E AVALIAÇÃO ADOTADOS</w:t>
            </w:r>
          </w:p>
          <w:p w14:paraId="1203B623" w14:textId="77777777" w:rsidR="00B83BDF" w:rsidRDefault="00B83BDF" w:rsidP="00F21158">
            <w:pPr>
              <w:snapToGrid w:val="0"/>
            </w:pPr>
          </w:p>
        </w:tc>
      </w:tr>
      <w:tr w:rsidR="00B83BDF" w14:paraId="0C2BFFE1" w14:textId="77777777" w:rsidTr="00F21158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BA9B2" w14:textId="77777777" w:rsidR="00B83BDF" w:rsidRPr="0081153B" w:rsidRDefault="00B83BDF" w:rsidP="00F21158">
            <w:pPr>
              <w:snapToGrid w:val="0"/>
              <w:jc w:val="center"/>
            </w:pPr>
            <w:r>
              <w:t>O presente documento pode ser consultado nas línguas oficiais da União Europeia no sítio Web do CESE, no seguinte endereço:</w:t>
            </w:r>
            <w:r>
              <w:br/>
            </w:r>
            <w:r>
              <w:br/>
            </w:r>
            <w:hyperlink r:id="rId12" w:history="1">
              <w:r>
                <w:rPr>
                  <w:rStyle w:val="Hyperlink"/>
                </w:rPr>
                <w:t>https://www.eesc.europa.eu/pt/our-work/opinions-information-reports/plenary-session-summaries</w:t>
              </w:r>
            </w:hyperlink>
          </w:p>
          <w:p w14:paraId="4E19E702" w14:textId="77777777" w:rsidR="00B83BDF" w:rsidRPr="0081153B" w:rsidRDefault="00B83BDF" w:rsidP="00F21158">
            <w:pPr>
              <w:snapToGrid w:val="0"/>
              <w:jc w:val="center"/>
            </w:pPr>
          </w:p>
          <w:p w14:paraId="52C00D4B" w14:textId="77777777" w:rsidR="00B83BDF" w:rsidRPr="0081153B" w:rsidRDefault="00B83BDF" w:rsidP="00F21158">
            <w:pPr>
              <w:snapToGrid w:val="0"/>
              <w:jc w:val="center"/>
              <w:rPr>
                <w:rFonts w:eastAsia="SimSun"/>
              </w:rPr>
            </w:pPr>
          </w:p>
          <w:p w14:paraId="2CCAE0B8" w14:textId="77777777" w:rsidR="00B83BDF" w:rsidRPr="00044561" w:rsidRDefault="00B83BDF" w:rsidP="00F21158">
            <w:pPr>
              <w:snapToGrid w:val="0"/>
              <w:jc w:val="center"/>
            </w:pPr>
            <w:r>
              <w:t xml:space="preserve">Os pareceres mencionados podem ser consultados em linha através do motor de busca do CESE: 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7E1BD0F3" w14:textId="77777777" w:rsidR="00B83BDF" w:rsidRPr="00044561" w:rsidRDefault="00B83BDF" w:rsidP="00F21158">
            <w:pPr>
              <w:snapToGrid w:val="0"/>
              <w:jc w:val="center"/>
            </w:pPr>
          </w:p>
        </w:tc>
      </w:tr>
    </w:tbl>
    <w:p w14:paraId="0F04091F" w14:textId="77777777" w:rsidR="00B83BDF" w:rsidRDefault="00B83BDF" w:rsidP="00B83BDF"/>
    <w:p w14:paraId="28DEAE73" w14:textId="77777777" w:rsidR="00B83BDF" w:rsidRDefault="00B83BDF" w:rsidP="00B83BDF"/>
    <w:p w14:paraId="01D7307F" w14:textId="77777777" w:rsidR="00B83BDF" w:rsidRDefault="00B83BDF" w:rsidP="00B83BDF">
      <w:pPr>
        <w:sectPr w:rsidR="00B83BDF" w:rsidSect="00CB6673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376C2CE3" w14:textId="77777777" w:rsidR="00B83BDF" w:rsidRPr="00A81AFE" w:rsidRDefault="00B83BDF" w:rsidP="00B83BDF">
      <w:pPr>
        <w:rPr>
          <w:b/>
        </w:rPr>
      </w:pPr>
      <w:r>
        <w:rPr>
          <w:b/>
        </w:rPr>
        <w:lastRenderedPageBreak/>
        <w:t>Índice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02D583" w14:textId="77777777" w:rsidR="00B83BDF" w:rsidRPr="00A81AFE" w:rsidRDefault="00B83BDF" w:rsidP="00B83BDF">
          <w:pPr>
            <w:pStyle w:val="TOCHeading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23C5D34A" w14:textId="36C3930E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182567" w:history="1">
            <w:r w:rsidRPr="00DA4F05">
              <w:rPr>
                <w:rStyle w:val="Hyperlink"/>
                <w:b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RESOLUÇÃO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78968" w14:textId="374F4565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hyperlink w:anchor="_Toc221182568" w:history="1">
            <w:r w:rsidRPr="00DA4F05">
              <w:rPr>
                <w:rStyle w:val="Hyperlink"/>
                <w:b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UNIÃO ECONÓMICA E MONETÁRIA E COESÃO ECONÓMICA E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F5E95" w14:textId="08805BFD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hyperlink w:anchor="_Toc221182602" w:history="1">
            <w:r w:rsidRPr="00DA4F05">
              <w:rPr>
                <w:rStyle w:val="Hyperlink"/>
                <w:b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EMPREGO, ASSUNTOS SOCIAIS E CIDADANIA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C4116" w14:textId="55EE1630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hyperlink w:anchor="_Toc221182603" w:history="1">
            <w:r w:rsidRPr="00DA4F05">
              <w:rPr>
                <w:rStyle w:val="Hyperlink"/>
                <w:b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TRANSPORTES, ENERGIA, INFRAESTRUTURAS E SOCIEDADE DA INFORMAÇÃO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9C35B" w14:textId="122086A0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hyperlink w:anchor="_Toc221182604" w:history="1">
            <w:r w:rsidRPr="00DA4F05">
              <w:rPr>
                <w:rStyle w:val="Hyperlink"/>
                <w:b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MERCADO ÚNICO, PRODUÇÃO E CONSUMO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85624" w14:textId="221A6EEE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hyperlink w:anchor="_Toc221182605" w:history="1">
            <w:r w:rsidRPr="00DA4F05">
              <w:rPr>
                <w:rStyle w:val="Hyperlink"/>
                <w:b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AGRICULTURA, DESENVOLVIMENTO RURAL E AMBIENTE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DAC58" w14:textId="07081E89" w:rsidR="00B83BDF" w:rsidRDefault="00B83BDF" w:rsidP="00B83BDF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szCs w:val="20"/>
              <w:lang w:eastAsia="pt-PT" w:bidi="hi-x-bh-SDL"/>
            </w:rPr>
          </w:pPr>
          <w:hyperlink w:anchor="_Toc221182614" w:history="1">
            <w:r w:rsidRPr="00DA4F05">
              <w:rPr>
                <w:rStyle w:val="Hyperlink"/>
                <w:b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0"/>
                <w:lang w:eastAsia="pt-PT" w:bidi="hi-x-bh-SDL"/>
              </w:rPr>
              <w:tab/>
            </w:r>
            <w:r w:rsidRPr="00DA4F05">
              <w:rPr>
                <w:rStyle w:val="Hyperlink"/>
                <w:b/>
                <w:noProof/>
              </w:rPr>
              <w:t>COMISSÃO CONSULTIVA DAS MUTAÇÕES INDUSTRIAIS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_Toc221182614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26B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9A32D" w14:textId="77777777" w:rsidR="00B83BDF" w:rsidRDefault="00B83BDF" w:rsidP="00B83BDF">
          <w:r>
            <w:rPr>
              <w:b/>
            </w:rPr>
            <w:fldChar w:fldCharType="end"/>
          </w:r>
        </w:p>
      </w:sdtContent>
    </w:sdt>
    <w:p w14:paraId="7FD5F53F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4E2E747C" w14:textId="77777777" w:rsidR="00B83BDF" w:rsidRDefault="00B83BDF" w:rsidP="00B83BDF">
      <w:pPr>
        <w:pStyle w:val="Heading1"/>
        <w:rPr>
          <w:b/>
        </w:rPr>
      </w:pPr>
      <w:bookmarkStart w:id="0" w:name="_Toc221182567"/>
      <w:r>
        <w:rPr>
          <w:b/>
        </w:rPr>
        <w:lastRenderedPageBreak/>
        <w:t>RESOLUÇÃO</w:t>
      </w:r>
      <w:bookmarkEnd w:id="0"/>
    </w:p>
    <w:p w14:paraId="6737A9F6" w14:textId="77777777" w:rsidR="00B83BDF" w:rsidRPr="00A86575" w:rsidRDefault="00B83BDF" w:rsidP="00B83BDF">
      <w:pPr>
        <w:rPr>
          <w:sz w:val="28"/>
          <w:szCs w:val="28"/>
        </w:rPr>
      </w:pPr>
    </w:p>
    <w:p w14:paraId="5D80384E" w14:textId="77777777" w:rsidR="00B83BDF" w:rsidRPr="00443C1D" w:rsidRDefault="00B83BDF" w:rsidP="00B83BDF">
      <w:pPr>
        <w:pStyle w:val="ListParagraph"/>
        <w:numPr>
          <w:ilvl w:val="0"/>
          <w:numId w:val="54"/>
        </w:numPr>
        <w:ind w:left="567" w:hanging="567"/>
        <w:rPr>
          <w:sz w:val="28"/>
          <w:szCs w:val="28"/>
        </w:rPr>
      </w:pPr>
      <w:hyperlink r:id="rId15" w:history="1">
        <w:r w:rsidRPr="00443C1D">
          <w:rPr>
            <w:rStyle w:val="Hyperlink"/>
            <w:b/>
            <w:i/>
            <w:sz w:val="28"/>
            <w:szCs w:val="28"/>
          </w:rPr>
          <w:t>Contributo do CESE para as prioridades da UE na 70.ª sessão da Comissão das Nações Unidas sobre o Estatuto da Mulher</w:t>
        </w:r>
      </w:hyperlink>
    </w:p>
    <w:p w14:paraId="1AFCDE6E" w14:textId="77777777" w:rsidR="00B83BDF" w:rsidRPr="00B76E22" w:rsidRDefault="00B83BDF" w:rsidP="00B83BDF">
      <w:pPr>
        <w:pStyle w:val="ListParagraph"/>
        <w:ind w:left="426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B83BDF" w:rsidRPr="009F0424" w14:paraId="0175BD3D" w14:textId="77777777" w:rsidTr="00F21158">
        <w:tc>
          <w:tcPr>
            <w:tcW w:w="1701" w:type="dxa"/>
          </w:tcPr>
          <w:p w14:paraId="71EDF07C" w14:textId="77777777" w:rsidR="00B83BDF" w:rsidRPr="004D4457" w:rsidRDefault="00B83BDF" w:rsidP="00F21158">
            <w:pPr>
              <w:rPr>
                <w:b/>
                <w:bCs/>
              </w:rPr>
            </w:pPr>
            <w:r>
              <w:rPr>
                <w:b/>
              </w:rPr>
              <w:t>Relatoras</w:t>
            </w:r>
          </w:p>
        </w:tc>
        <w:tc>
          <w:tcPr>
            <w:tcW w:w="6663" w:type="dxa"/>
          </w:tcPr>
          <w:p w14:paraId="502FACAC" w14:textId="77777777" w:rsidR="00B83BDF" w:rsidRPr="00BC3DCE" w:rsidRDefault="00B83BDF" w:rsidP="00F21158">
            <w:r>
              <w:t>Christa Schweng (AT-Grupo dos Empregadores)</w:t>
            </w:r>
          </w:p>
          <w:p w14:paraId="5000246A" w14:textId="77777777" w:rsidR="00B83BDF" w:rsidRPr="00BC3DCE" w:rsidRDefault="00B83BDF" w:rsidP="00F21158">
            <w:r>
              <w:t>Giulia Barbucci (IT-Grupo dos Trabalhadores)</w:t>
            </w:r>
          </w:p>
          <w:p w14:paraId="3081DFDC" w14:textId="77777777" w:rsidR="00B83BDF" w:rsidRPr="00BC3DCE" w:rsidRDefault="00B83BDF" w:rsidP="00F21158">
            <w:proofErr w:type="spellStart"/>
            <w:r>
              <w:t>Juliane</w:t>
            </w:r>
            <w:proofErr w:type="spellEnd"/>
            <w:r>
              <w:t xml:space="preserve"> Marie Neiiendam (DK-Grupo das Organizações da Sociedade Civil)</w:t>
            </w:r>
          </w:p>
        </w:tc>
      </w:tr>
      <w:tr w:rsidR="00B83BDF" w:rsidRPr="009F0424" w14:paraId="438BAF50" w14:textId="77777777" w:rsidTr="00F21158">
        <w:tc>
          <w:tcPr>
            <w:tcW w:w="8364" w:type="dxa"/>
            <w:gridSpan w:val="2"/>
          </w:tcPr>
          <w:p w14:paraId="1CE9771F" w14:textId="77777777" w:rsidR="00B83BDF" w:rsidRPr="004D4457" w:rsidRDefault="00B83BDF" w:rsidP="00F21158">
            <w:pPr>
              <w:rPr>
                <w:b/>
                <w:bCs/>
              </w:rPr>
            </w:pPr>
          </w:p>
        </w:tc>
      </w:tr>
      <w:tr w:rsidR="00B83BDF" w:rsidRPr="009F0424" w14:paraId="31041F31" w14:textId="77777777" w:rsidTr="00F21158">
        <w:tc>
          <w:tcPr>
            <w:tcW w:w="1701" w:type="dxa"/>
            <w:vMerge w:val="restart"/>
          </w:tcPr>
          <w:p w14:paraId="60D1673D" w14:textId="77777777" w:rsidR="00B83BDF" w:rsidRPr="004D4457" w:rsidRDefault="00B83BDF" w:rsidP="00F21158">
            <w:pPr>
              <w:rPr>
                <w:b/>
                <w:bCs/>
              </w:rPr>
            </w:pPr>
            <w:r>
              <w:rPr>
                <w:b/>
              </w:rPr>
              <w:t xml:space="preserve">Referência </w:t>
            </w:r>
          </w:p>
        </w:tc>
        <w:tc>
          <w:tcPr>
            <w:tcW w:w="6663" w:type="dxa"/>
          </w:tcPr>
          <w:p w14:paraId="5C728924" w14:textId="77777777" w:rsidR="00B83BDF" w:rsidRPr="004D4457" w:rsidRDefault="00B83BDF" w:rsidP="00F21158">
            <w:r>
              <w:t>Resolução</w:t>
            </w:r>
          </w:p>
        </w:tc>
      </w:tr>
      <w:tr w:rsidR="00B83BDF" w:rsidRPr="009F0424" w14:paraId="5D83F0FF" w14:textId="77777777" w:rsidTr="00F21158">
        <w:tc>
          <w:tcPr>
            <w:tcW w:w="1701" w:type="dxa"/>
            <w:vMerge/>
          </w:tcPr>
          <w:p w14:paraId="062D70F9" w14:textId="77777777" w:rsidR="00B83BDF" w:rsidRPr="004D4457" w:rsidRDefault="00B83BDF" w:rsidP="00F21158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14:paraId="1853AF97" w14:textId="77777777" w:rsidR="00B83BDF" w:rsidRPr="004D4457" w:rsidRDefault="00B83BDF" w:rsidP="00F21158">
            <w:r>
              <w:t>EESC-2025-04173-00-00-RES</w:t>
            </w:r>
          </w:p>
        </w:tc>
      </w:tr>
    </w:tbl>
    <w:p w14:paraId="29C148DF" w14:textId="77777777" w:rsidR="00B83BDF" w:rsidRDefault="00B83BDF" w:rsidP="00B83BDF">
      <w:pPr>
        <w:rPr>
          <w:b/>
        </w:rPr>
      </w:pPr>
    </w:p>
    <w:p w14:paraId="77154B81" w14:textId="77777777" w:rsidR="00B83BDF" w:rsidRDefault="00B83BDF" w:rsidP="00B83BDF">
      <w:pPr>
        <w:rPr>
          <w:b/>
        </w:rPr>
      </w:pPr>
      <w:r>
        <w:rPr>
          <w:b/>
        </w:rPr>
        <w:t>Pontos principais</w:t>
      </w:r>
    </w:p>
    <w:p w14:paraId="06FE926C" w14:textId="77777777" w:rsidR="00B83BDF" w:rsidRPr="009F0424" w:rsidRDefault="00B83BDF" w:rsidP="00B83BDF">
      <w:pPr>
        <w:rPr>
          <w:b/>
          <w:lang w:val="en-GB"/>
        </w:rPr>
      </w:pPr>
    </w:p>
    <w:p w14:paraId="6F43E4C4" w14:textId="77777777" w:rsidR="00B83BDF" w:rsidRDefault="00B83BDF" w:rsidP="00B83BDF">
      <w:pPr>
        <w:rPr>
          <w:bCs/>
          <w:iCs/>
        </w:rPr>
      </w:pPr>
      <w:r>
        <w:t>O Comité Económico e Social Europeu:</w:t>
      </w:r>
    </w:p>
    <w:p w14:paraId="1AAC2180" w14:textId="77777777" w:rsidR="00B83BDF" w:rsidRPr="009F0424" w:rsidRDefault="00B83BDF" w:rsidP="00B83BDF">
      <w:pPr>
        <w:rPr>
          <w:bCs/>
          <w:iCs/>
          <w:lang w:val="en-GB"/>
        </w:rPr>
      </w:pPr>
    </w:p>
    <w:p w14:paraId="588DED5C" w14:textId="77777777" w:rsidR="00B83BDF" w:rsidRPr="009F0424" w:rsidRDefault="00B83BDF" w:rsidP="00B83BDF">
      <w:pPr>
        <w:numPr>
          <w:ilvl w:val="0"/>
          <w:numId w:val="32"/>
        </w:numPr>
        <w:spacing w:line="276" w:lineRule="auto"/>
        <w:ind w:left="284" w:hanging="284"/>
      </w:pPr>
      <w:r>
        <w:t>reafirma o seu empenho de longa data em prol da igualdade de género, dos direitos das mulheres e do Estado de direito, enquanto pilares fundamentais da democracia, da justiça social e do crescimento inclusivo, bem como em prol da eliminação de todas as formas de violência contra as mulheres e as raparigas e da participação plena e efetiva das mulheres na vida económica, política e social;</w:t>
      </w:r>
    </w:p>
    <w:p w14:paraId="57D7D5A9" w14:textId="77777777" w:rsidR="00B83BDF" w:rsidRPr="009F0424" w:rsidRDefault="00B83BDF" w:rsidP="00B83BDF">
      <w:pPr>
        <w:numPr>
          <w:ilvl w:val="0"/>
          <w:numId w:val="32"/>
        </w:numPr>
        <w:spacing w:line="276" w:lineRule="auto"/>
        <w:ind w:left="284" w:hanging="284"/>
      </w:pPr>
      <w:r>
        <w:t xml:space="preserve">salienta que o </w:t>
      </w:r>
      <w:r>
        <w:rPr>
          <w:b/>
        </w:rPr>
        <w:t>acesso à justiça</w:t>
      </w:r>
      <w:r>
        <w:t xml:space="preserve"> constitui simultaneamente um direito humano fundamental por si só e uma condição indispensável para a aplicação de outros direitos humanos, como a igualdade de género. Para garantir o acesso à justiça é necessário: </w:t>
      </w:r>
      <w:r>
        <w:rPr>
          <w:b/>
        </w:rPr>
        <w:t>eliminar as leis, políticas e práticas discriminatórias</w:t>
      </w:r>
      <w:r>
        <w:t xml:space="preserve">, </w:t>
      </w:r>
      <w:r>
        <w:rPr>
          <w:b/>
        </w:rPr>
        <w:t>tornar os sistemas judiciais mais responsivos às questões de género</w:t>
      </w:r>
      <w:r>
        <w:t xml:space="preserve">, assegurar a disponibilidade de </w:t>
      </w:r>
      <w:r>
        <w:rPr>
          <w:b/>
        </w:rPr>
        <w:t>assistência e representação jurídicas acessíveis, a preços comportáveis e de qualidade</w:t>
      </w:r>
      <w:r>
        <w:t xml:space="preserve">, garantir às sobreviventes de violência </w:t>
      </w:r>
      <w:r>
        <w:rPr>
          <w:b/>
        </w:rPr>
        <w:t>proteção, segurança e confidencialidade</w:t>
      </w:r>
      <w:r>
        <w:t xml:space="preserve">, assegurar o </w:t>
      </w:r>
      <w:r>
        <w:rPr>
          <w:b/>
        </w:rPr>
        <w:t>acesso digital à legislação</w:t>
      </w:r>
      <w:r>
        <w:t xml:space="preserve">, </w:t>
      </w:r>
      <w:r>
        <w:rPr>
          <w:b/>
        </w:rPr>
        <w:t>eliminar os obstáculos socioeconómicos</w:t>
      </w:r>
      <w:r>
        <w:t xml:space="preserve"> e financiar adequadamente planos de ação nacionais em matéria de acesso à justiça que integrem a igualdade de género;</w:t>
      </w:r>
    </w:p>
    <w:p w14:paraId="0E2C9C2C" w14:textId="77777777" w:rsidR="00B83BDF" w:rsidRPr="009F0424" w:rsidRDefault="00B83BDF" w:rsidP="00B83BDF">
      <w:pPr>
        <w:numPr>
          <w:ilvl w:val="0"/>
          <w:numId w:val="32"/>
        </w:numPr>
        <w:spacing w:line="276" w:lineRule="auto"/>
        <w:ind w:left="284" w:hanging="284"/>
      </w:pPr>
      <w:r>
        <w:t>no que diz respeito à</w:t>
      </w:r>
      <w:r>
        <w:rPr>
          <w:b/>
        </w:rPr>
        <w:t xml:space="preserve"> participação na esfera pública e eliminação da violência</w:t>
      </w:r>
      <w:r>
        <w:t xml:space="preserve">, reitera a necessidade de: assegurar a </w:t>
      </w:r>
      <w:r>
        <w:rPr>
          <w:b/>
        </w:rPr>
        <w:t>representação equitativa das mulheres</w:t>
      </w:r>
      <w:r>
        <w:t xml:space="preserve"> na tomada de decisões políticas, económicas e públicas, garantir a </w:t>
      </w:r>
      <w:r>
        <w:rPr>
          <w:b/>
        </w:rPr>
        <w:t>tolerância zero em relação à violência de género</w:t>
      </w:r>
      <w:r>
        <w:t xml:space="preserve">, </w:t>
      </w:r>
      <w:r>
        <w:rPr>
          <w:b/>
        </w:rPr>
        <w:t>apoiar e proteger as pessoas e organizações da sociedade civil que defendem os direitos humanos das mulheres</w:t>
      </w:r>
      <w:r>
        <w:t xml:space="preserve">, promover </w:t>
      </w:r>
      <w:r>
        <w:rPr>
          <w:b/>
        </w:rPr>
        <w:t>espaços cívicos seguros, inclusivos e democráticos</w:t>
      </w:r>
      <w:r>
        <w:t xml:space="preserve">, e apoiar </w:t>
      </w:r>
      <w:r>
        <w:rPr>
          <w:b/>
        </w:rPr>
        <w:t>abordagens interseccionais</w:t>
      </w:r>
      <w:r>
        <w:t xml:space="preserve">, </w:t>
      </w:r>
      <w:r>
        <w:rPr>
          <w:b/>
        </w:rPr>
        <w:t>combater os estereótipos e a desinformação</w:t>
      </w:r>
      <w:r>
        <w:t>;</w:t>
      </w:r>
    </w:p>
    <w:p w14:paraId="60700D6A" w14:textId="77777777" w:rsidR="00B83BDF" w:rsidRPr="009F0424" w:rsidRDefault="00B83BDF" w:rsidP="00B83BDF">
      <w:pPr>
        <w:numPr>
          <w:ilvl w:val="0"/>
          <w:numId w:val="32"/>
        </w:numPr>
        <w:spacing w:line="276" w:lineRule="auto"/>
        <w:ind w:left="284" w:hanging="284"/>
      </w:pPr>
      <w:r>
        <w:t xml:space="preserve">compromete-se a contribuir para a aplicação dos objetivos da 70.ª reunião da Comissão sobre o Estatuto da Mulher através das seguintes medidas: </w:t>
      </w:r>
      <w:r>
        <w:rPr>
          <w:b/>
        </w:rPr>
        <w:t>promoção de um diálogo social e civil estruturado</w:t>
      </w:r>
      <w:r>
        <w:t xml:space="preserve"> para apoiar reformas da justiça responsivas às questões de género, </w:t>
      </w:r>
      <w:r>
        <w:rPr>
          <w:b/>
        </w:rPr>
        <w:t>defesa da integração da perspetiva de género e da orçamentação sensível ao género</w:t>
      </w:r>
      <w:r>
        <w:t xml:space="preserve">, </w:t>
      </w:r>
      <w:r>
        <w:rPr>
          <w:b/>
        </w:rPr>
        <w:t>apoio a medidas de sensibilização, educação e prevenção</w:t>
      </w:r>
      <w:r>
        <w:t xml:space="preserve">, nomeadamente em matéria de direitos legais, segurança digital e eliminação de estereótipos, e </w:t>
      </w:r>
      <w:r>
        <w:rPr>
          <w:b/>
        </w:rPr>
        <w:t>incentivo à cooperação entre as instituições da UE, os Estados-Membros, os parceiros sociais e a sociedade civil</w:t>
      </w:r>
      <w:r>
        <w:t>, a fim de assegurar abordagens coordenadas e que envolvam toda a sociedade.</w:t>
      </w:r>
    </w:p>
    <w:p w14:paraId="45BF75A6" w14:textId="7D9241B8" w:rsidR="00B83BDF" w:rsidRDefault="00B83BDF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="00B83BDF" w:rsidRPr="009F0424" w14:paraId="38244F26" w14:textId="77777777" w:rsidTr="00F21158">
        <w:tc>
          <w:tcPr>
            <w:tcW w:w="2093" w:type="dxa"/>
          </w:tcPr>
          <w:p w14:paraId="5D11287C" w14:textId="77777777" w:rsidR="00B83BDF" w:rsidRPr="00361A63" w:rsidRDefault="00B83BDF" w:rsidP="00F21158">
            <w:pPr>
              <w:rPr>
                <w:i/>
              </w:rPr>
            </w:pPr>
            <w:r w:rsidRPr="00361A63">
              <w:rPr>
                <w:b/>
                <w:i/>
              </w:rPr>
              <w:t>Contacto</w:t>
            </w:r>
          </w:p>
        </w:tc>
        <w:tc>
          <w:tcPr>
            <w:tcW w:w="4995" w:type="dxa"/>
          </w:tcPr>
          <w:p w14:paraId="764B0C50" w14:textId="77777777" w:rsidR="00B83BDF" w:rsidRPr="00361A63" w:rsidRDefault="00B83BDF" w:rsidP="00F21158">
            <w:pPr>
              <w:rPr>
                <w:i/>
              </w:rPr>
            </w:pPr>
            <w:r w:rsidRPr="00361A63">
              <w:rPr>
                <w:i/>
              </w:rPr>
              <w:t>Antoni Torras Estruch</w:t>
            </w:r>
          </w:p>
        </w:tc>
      </w:tr>
      <w:tr w:rsidR="00B83BDF" w:rsidRPr="009F0424" w14:paraId="5A6DCE8E" w14:textId="77777777" w:rsidTr="00F21158">
        <w:tc>
          <w:tcPr>
            <w:tcW w:w="2093" w:type="dxa"/>
          </w:tcPr>
          <w:p w14:paraId="63FD48D5" w14:textId="77777777" w:rsidR="00B83BDF" w:rsidRPr="00361A63" w:rsidRDefault="00B83BDF" w:rsidP="00F21158">
            <w:pPr>
              <w:rPr>
                <w:i/>
              </w:rPr>
            </w:pPr>
            <w:r w:rsidRPr="00361A63">
              <w:rPr>
                <w:i/>
              </w:rPr>
              <w:lastRenderedPageBreak/>
              <w:t>Tel.:</w:t>
            </w:r>
          </w:p>
        </w:tc>
        <w:tc>
          <w:tcPr>
            <w:tcW w:w="4995" w:type="dxa"/>
          </w:tcPr>
          <w:p w14:paraId="06E00007" w14:textId="77777777" w:rsidR="00B83BDF" w:rsidRPr="00361A63" w:rsidRDefault="00B83BDF" w:rsidP="00F21158">
            <w:pPr>
              <w:rPr>
                <w:i/>
              </w:rPr>
            </w:pPr>
            <w:r w:rsidRPr="00361A63">
              <w:rPr>
                <w:i/>
              </w:rPr>
              <w:t>+32 2 546 83 91</w:t>
            </w:r>
          </w:p>
        </w:tc>
      </w:tr>
      <w:tr w:rsidR="00B83BDF" w:rsidRPr="009F0424" w14:paraId="5849AB09" w14:textId="77777777" w:rsidTr="00F21158">
        <w:tc>
          <w:tcPr>
            <w:tcW w:w="2093" w:type="dxa"/>
          </w:tcPr>
          <w:p w14:paraId="4199F866" w14:textId="77777777" w:rsidR="00B83BDF" w:rsidRPr="00361A63" w:rsidRDefault="00B83BDF" w:rsidP="00F21158">
            <w:pPr>
              <w:rPr>
                <w:i/>
              </w:rPr>
            </w:pPr>
            <w:r w:rsidRPr="00361A63">
              <w:rPr>
                <w:i/>
              </w:rPr>
              <w:t>Endereço eletrónico</w:t>
            </w:r>
          </w:p>
        </w:tc>
        <w:tc>
          <w:tcPr>
            <w:tcW w:w="4995" w:type="dxa"/>
          </w:tcPr>
          <w:p w14:paraId="4ADB4097" w14:textId="77777777" w:rsidR="00B83BDF" w:rsidRPr="00361A63" w:rsidRDefault="00B83BDF" w:rsidP="00F21158">
            <w:pPr>
              <w:rPr>
                <w:i/>
                <w:iCs/>
                <w:u w:val="single"/>
              </w:rPr>
            </w:pPr>
            <w:hyperlink r:id="rId16" w:history="1">
              <w:r w:rsidRPr="00361A63">
                <w:rPr>
                  <w:rStyle w:val="Hyperlink"/>
                  <w:i/>
                </w:rPr>
                <w:t>Antoni.TorrasEstruch@eesc.europa.eu</w:t>
              </w:r>
            </w:hyperlink>
          </w:p>
        </w:tc>
      </w:tr>
    </w:tbl>
    <w:p w14:paraId="1D334B5E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53DF197B" w14:textId="77777777" w:rsidR="00B83BDF" w:rsidRDefault="00B83BDF" w:rsidP="00B83BDF">
      <w:pPr>
        <w:pStyle w:val="Heading1"/>
        <w:rPr>
          <w:b/>
        </w:rPr>
      </w:pPr>
      <w:bookmarkStart w:id="1" w:name="_Toc221182568"/>
      <w:r>
        <w:rPr>
          <w:b/>
        </w:rPr>
        <w:lastRenderedPageBreak/>
        <w:t>UNIÃO ECONÓMICA E MONETÁRIA E COESÃO ECONÓMICA E SOCIAL</w:t>
      </w:r>
      <w:bookmarkEnd w:id="1"/>
    </w:p>
    <w:p w14:paraId="30E176B3" w14:textId="77777777" w:rsidR="00B83BDF" w:rsidRPr="004D4457" w:rsidRDefault="00B83BDF" w:rsidP="00B83BDF">
      <w:pPr>
        <w:rPr>
          <w:sz w:val="18"/>
          <w:szCs w:val="18"/>
        </w:rPr>
      </w:pPr>
    </w:p>
    <w:p w14:paraId="549383E6" w14:textId="77777777" w:rsidR="00B83BDF" w:rsidRPr="00443C1D" w:rsidRDefault="00B83BDF" w:rsidP="00B83BDF">
      <w:pPr>
        <w:numPr>
          <w:ilvl w:val="0"/>
          <w:numId w:val="5"/>
        </w:numPr>
        <w:ind w:left="567" w:hanging="567"/>
        <w:contextualSpacing/>
        <w:jc w:val="left"/>
        <w:rPr>
          <w:sz w:val="28"/>
          <w:szCs w:val="28"/>
        </w:rPr>
      </w:pPr>
      <w:hyperlink r:id="rId17" w:history="1">
        <w:r w:rsidRPr="00443C1D">
          <w:rPr>
            <w:b/>
            <w:i/>
            <w:color w:val="0000FF"/>
            <w:sz w:val="28"/>
            <w:szCs w:val="28"/>
            <w:u w:val="single"/>
          </w:rPr>
          <w:t>Política económica da área do euro para 2026</w:t>
        </w:r>
      </w:hyperlink>
    </w:p>
    <w:p w14:paraId="3A37E459" w14:textId="77777777" w:rsidR="00B83BDF" w:rsidRPr="004D4457" w:rsidRDefault="00B83BDF" w:rsidP="00B83BDF">
      <w:pPr>
        <w:jc w:val="left"/>
        <w:rPr>
          <w:sz w:val="18"/>
          <w:szCs w:val="18"/>
          <w:lang w:val="it-IT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B83BDF" w:rsidRPr="00443C1D" w14:paraId="77AC3E60" w14:textId="77777777" w:rsidTr="00F21158">
        <w:tc>
          <w:tcPr>
            <w:tcW w:w="1701" w:type="dxa"/>
          </w:tcPr>
          <w:p w14:paraId="0D40035A" w14:textId="77777777" w:rsidR="00B83BDF" w:rsidRPr="00443C1D" w:rsidRDefault="00B83BDF" w:rsidP="00F21158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</w:rPr>
            </w:pPr>
            <w:r w:rsidRPr="00443C1D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7621" w:type="dxa"/>
          </w:tcPr>
          <w:p w14:paraId="6BCD3F14" w14:textId="77777777" w:rsidR="00B83BDF" w:rsidRPr="00443C1D" w:rsidRDefault="00B83BDF" w:rsidP="00F21158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443C1D">
              <w:rPr>
                <w:sz w:val="22"/>
                <w:szCs w:val="22"/>
              </w:rPr>
              <w:t>Javier Doz Orrit (ES-Grupo dos Trabalhadores)</w:t>
            </w:r>
          </w:p>
          <w:p w14:paraId="3BF9C2A0" w14:textId="77777777" w:rsidR="00B83BDF" w:rsidRPr="00443C1D" w:rsidRDefault="00B83BDF" w:rsidP="00F21158">
            <w:pPr>
              <w:tabs>
                <w:tab w:val="center" w:pos="284"/>
              </w:tabs>
              <w:ind w:left="266" w:hanging="266"/>
              <w:rPr>
                <w:bCs/>
                <w:sz w:val="22"/>
                <w:szCs w:val="22"/>
              </w:rPr>
            </w:pPr>
          </w:p>
        </w:tc>
      </w:tr>
      <w:tr w:rsidR="00B83BDF" w:rsidRPr="00443C1D" w14:paraId="039C2D62" w14:textId="77777777" w:rsidTr="00F21158">
        <w:tc>
          <w:tcPr>
            <w:tcW w:w="1701" w:type="dxa"/>
          </w:tcPr>
          <w:p w14:paraId="25E1E94E" w14:textId="77777777" w:rsidR="00B83BDF" w:rsidRPr="00443C1D" w:rsidRDefault="00B83BDF" w:rsidP="00F21158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</w:rPr>
            </w:pPr>
            <w:r w:rsidRPr="00443C1D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7621" w:type="dxa"/>
          </w:tcPr>
          <w:p w14:paraId="66C015B3" w14:textId="77777777" w:rsidR="00B83BDF" w:rsidRPr="00443C1D" w:rsidRDefault="00B83BDF" w:rsidP="00F21158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443C1D">
              <w:rPr>
                <w:sz w:val="22"/>
                <w:szCs w:val="22"/>
              </w:rPr>
              <w:t>COM(2025) 957 final</w:t>
            </w:r>
          </w:p>
          <w:p w14:paraId="720D4EFD" w14:textId="77777777" w:rsidR="00B83BDF" w:rsidRPr="00443C1D" w:rsidRDefault="00B83BDF" w:rsidP="00F21158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443C1D">
              <w:rPr>
                <w:sz w:val="22"/>
                <w:szCs w:val="22"/>
              </w:rPr>
              <w:t>EESC-2025-03708-00-00-AC</w:t>
            </w:r>
          </w:p>
        </w:tc>
      </w:tr>
    </w:tbl>
    <w:p w14:paraId="1985CA9E" w14:textId="77777777" w:rsidR="00B83BDF" w:rsidRPr="00443C1D" w:rsidRDefault="00B83BDF" w:rsidP="00B83BDF">
      <w:pPr>
        <w:jc w:val="left"/>
      </w:pPr>
    </w:p>
    <w:p w14:paraId="3CBAC3D9" w14:textId="77777777" w:rsidR="00B83BDF" w:rsidRPr="00443C1D" w:rsidRDefault="00B83BDF" w:rsidP="00B83BDF">
      <w:pPr>
        <w:jc w:val="left"/>
        <w:rPr>
          <w:b/>
          <w:bCs/>
        </w:rPr>
      </w:pPr>
      <w:r w:rsidRPr="00443C1D">
        <w:rPr>
          <w:b/>
        </w:rPr>
        <w:t>Pontos principais</w:t>
      </w:r>
    </w:p>
    <w:p w14:paraId="63F83B5D" w14:textId="77777777" w:rsidR="00B83BDF" w:rsidRPr="00443C1D" w:rsidRDefault="00B83BDF" w:rsidP="00B83BDF">
      <w:pPr>
        <w:jc w:val="left"/>
        <w:rPr>
          <w:b/>
          <w:bCs/>
          <w:lang w:val="en-GB"/>
        </w:rPr>
      </w:pPr>
    </w:p>
    <w:p w14:paraId="450A4F54" w14:textId="77777777" w:rsidR="00B83BDF" w:rsidRPr="00443C1D" w:rsidRDefault="00B83BDF" w:rsidP="00B83BDF">
      <w:pPr>
        <w:jc w:val="left"/>
      </w:pPr>
      <w:r w:rsidRPr="00443C1D">
        <w:t>O Comité Económico e Social Europeu:</w:t>
      </w:r>
    </w:p>
    <w:p w14:paraId="37921C9D" w14:textId="77777777" w:rsidR="00B83BDF" w:rsidRPr="00443C1D" w:rsidRDefault="00B83BDF" w:rsidP="00B83BDF">
      <w:pPr>
        <w:jc w:val="left"/>
        <w:rPr>
          <w:lang w:val="en-GB"/>
        </w:rPr>
      </w:pPr>
    </w:p>
    <w:p w14:paraId="7B60775E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considera que o reforço da união política da Europa e da sua capacidade de ação através de uma autonomia estratégica, em domínios como as políticas externa, de segurança e de defesa, comercial, industrial e de desenvolvimento tecnológico, também impulsionará o crescimento;</w:t>
      </w:r>
    </w:p>
    <w:p w14:paraId="3ED0442A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manifesta a sua preocupação quanto à questão de saber se a UE e os Estados-Membros disporão de instrumentos suficientes, nomeadamente orçamentais, para aplicar as recomendações da Comissão, e reitera a necessidade de mobilizar todos os instrumentos de financiamento, tanto públicos como privados;</w:t>
      </w:r>
    </w:p>
    <w:p w14:paraId="56D3D234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manifesta a sua preocupação pelo facto de se estar a privilegiar a defesa em detrimento do financiamento de objetivos ambientais e sociais prioritários ou mesmo de infraestruturas energéticas ou digitais essenciais;</w:t>
      </w:r>
    </w:p>
    <w:p w14:paraId="1733F1A8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defende a plena utilização dos fundos do Mecanismo de Recuperação e Resiliência para os objetivos iniciais, os objetivos revistos e, em última análise, para novos investimentos em bens comuns europeus;</w:t>
      </w:r>
    </w:p>
    <w:p w14:paraId="3ECA6890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concorda com a Comissão quanto à necessidade de dar prioridade à eliminação dos obstáculos remanescentes no mercado único, mas sublinha também a necessidade de reduzir o défice de investimento: criando um fundo para investimentos estratégicos destinado aos bens comuns europeus; incentivando o investimento privado mediante a renovação do InvestEU e a conclusão da União da Poupança e dos Investimentos sem mais delongas; reduzindo o preço da eletricidade, através da interligação das redes e da União da Energia, bem como da expansão das energias limpas e renováveis; reforçando os programas europeus de investigação, desenvolvimento e inovação; e melhorando a educação e a formação de capital humano;</w:t>
      </w:r>
    </w:p>
    <w:p w14:paraId="761A2E6E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considera que a «simplificação» deve respeitar sempre os direitos laborais e dos consumidores e os objetivos das transições ecológica e digital justas. Considera igualmente que é essencial defender a autonomia regulamentar da UE contra as pressões externas que procuram alterar a boa regulamentação, como a dos mercados digitais e da inteligência artificial;</w:t>
      </w:r>
    </w:p>
    <w:p w14:paraId="65743529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 xml:space="preserve">considera que o acesso a uma habitação digna é um direito fundamental de todos os cidadãos europeus e que o Plano Europeu de Habitação a Preços Acessíveis deve abranger todas as medidas de apoio que a UE pode proporcionar aos Estados-Membros para a construção de habitação social, desde logo apoio financeiro; </w:t>
      </w:r>
    </w:p>
    <w:p w14:paraId="362841D5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t>concorda com a recomendação de promover o papel internacional do euro e criar o euro digital para ajudar a alcançar este objetivo, acrescentando que a conclusão da União dos Mercados de Capitais e a gestão de um volume de dívida comum suficiente e sustentável também contribuiriam para tal;</w:t>
      </w:r>
    </w:p>
    <w:p w14:paraId="41725D59" w14:textId="77777777" w:rsidR="00B83BDF" w:rsidRPr="00443C1D" w:rsidRDefault="00B83BDF" w:rsidP="00B83BDF">
      <w:pPr>
        <w:numPr>
          <w:ilvl w:val="0"/>
          <w:numId w:val="33"/>
        </w:numPr>
        <w:spacing w:line="276" w:lineRule="auto"/>
        <w:ind w:left="284" w:hanging="284"/>
      </w:pPr>
      <w:r w:rsidRPr="00443C1D">
        <w:lastRenderedPageBreak/>
        <w:t>reitera o seu apelo para que se regule a participação da sociedade civil organizada na governação económica europeia através do Semestre Europeu e lamenta que a recomendação não aborde esta questão.</w:t>
      </w:r>
    </w:p>
    <w:p w14:paraId="5B73F86C" w14:textId="77777777" w:rsidR="00B83BDF" w:rsidRPr="00443C1D" w:rsidRDefault="00B83BDF" w:rsidP="00B83BDF">
      <w:pPr>
        <w:spacing w:line="276" w:lineRule="auto"/>
        <w:ind w:left="284"/>
        <w:rPr>
          <w:lang w:val="en-GB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B83BDF" w:rsidRPr="00443C1D" w14:paraId="08645770" w14:textId="77777777" w:rsidTr="00F21158">
        <w:tc>
          <w:tcPr>
            <w:tcW w:w="2093" w:type="dxa"/>
          </w:tcPr>
          <w:p w14:paraId="0B0E1FF4" w14:textId="77777777" w:rsidR="00B83BDF" w:rsidRPr="00443C1D" w:rsidRDefault="00B83BDF" w:rsidP="00F21158">
            <w:pPr>
              <w:spacing w:line="276" w:lineRule="auto"/>
              <w:rPr>
                <w:i/>
                <w:sz w:val="22"/>
                <w:szCs w:val="22"/>
              </w:rPr>
            </w:pPr>
            <w:r w:rsidRPr="00443C1D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7229" w:type="dxa"/>
          </w:tcPr>
          <w:p w14:paraId="37EC8984" w14:textId="77777777" w:rsidR="00B83BDF" w:rsidRPr="00443C1D" w:rsidRDefault="00B83BDF" w:rsidP="00F21158">
            <w:pPr>
              <w:spacing w:line="276" w:lineRule="auto"/>
              <w:rPr>
                <w:i/>
                <w:sz w:val="22"/>
                <w:szCs w:val="22"/>
              </w:rPr>
            </w:pPr>
            <w:r w:rsidRPr="00443C1D">
              <w:rPr>
                <w:i/>
                <w:sz w:val="22"/>
                <w:szCs w:val="22"/>
              </w:rPr>
              <w:t>Krisztina Perlaky-Toth</w:t>
            </w:r>
          </w:p>
        </w:tc>
      </w:tr>
      <w:tr w:rsidR="00B83BDF" w:rsidRPr="00443C1D" w14:paraId="09A69C00" w14:textId="77777777" w:rsidTr="00F21158">
        <w:tc>
          <w:tcPr>
            <w:tcW w:w="2093" w:type="dxa"/>
          </w:tcPr>
          <w:p w14:paraId="0C7B05EF" w14:textId="77777777" w:rsidR="00B83BDF" w:rsidRPr="00443C1D" w:rsidRDefault="00B83BDF" w:rsidP="00F21158">
            <w:pPr>
              <w:spacing w:line="276" w:lineRule="auto"/>
              <w:rPr>
                <w:i/>
                <w:sz w:val="22"/>
                <w:szCs w:val="22"/>
              </w:rPr>
            </w:pPr>
            <w:r w:rsidRPr="00443C1D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7229" w:type="dxa"/>
          </w:tcPr>
          <w:p w14:paraId="669F55AC" w14:textId="77777777" w:rsidR="00B83BDF" w:rsidRPr="00443C1D" w:rsidRDefault="00B83BDF" w:rsidP="00F21158">
            <w:pPr>
              <w:spacing w:line="276" w:lineRule="auto"/>
              <w:rPr>
                <w:i/>
                <w:sz w:val="22"/>
                <w:szCs w:val="22"/>
              </w:rPr>
            </w:pPr>
            <w:r w:rsidRPr="00443C1D">
              <w:rPr>
                <w:i/>
                <w:sz w:val="22"/>
                <w:szCs w:val="22"/>
              </w:rPr>
              <w:t>+32 2 546 97 40</w:t>
            </w:r>
          </w:p>
        </w:tc>
      </w:tr>
      <w:tr w:rsidR="00B83BDF" w:rsidRPr="00443C1D" w14:paraId="2CFF2268" w14:textId="77777777" w:rsidTr="00F21158">
        <w:tc>
          <w:tcPr>
            <w:tcW w:w="2093" w:type="dxa"/>
          </w:tcPr>
          <w:p w14:paraId="57BB70C8" w14:textId="77777777" w:rsidR="00B83BDF" w:rsidRPr="00443C1D" w:rsidRDefault="00B83BDF" w:rsidP="00F21158">
            <w:pPr>
              <w:spacing w:line="276" w:lineRule="auto"/>
              <w:rPr>
                <w:i/>
                <w:sz w:val="22"/>
                <w:szCs w:val="22"/>
              </w:rPr>
            </w:pPr>
            <w:r w:rsidRPr="00443C1D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7229" w:type="dxa"/>
          </w:tcPr>
          <w:p w14:paraId="4CE29F1E" w14:textId="77777777" w:rsidR="00B83BDF" w:rsidRPr="00443C1D" w:rsidRDefault="00B83BDF" w:rsidP="00F21158">
            <w:pPr>
              <w:spacing w:line="276" w:lineRule="auto"/>
              <w:rPr>
                <w:i/>
                <w:sz w:val="22"/>
                <w:szCs w:val="22"/>
              </w:rPr>
            </w:pPr>
            <w:hyperlink r:id="rId18" w:history="1">
              <w:r w:rsidRPr="00443C1D">
                <w:rPr>
                  <w:i/>
                  <w:color w:val="0000FF"/>
                  <w:sz w:val="22"/>
                  <w:szCs w:val="22"/>
                  <w:u w:val="single"/>
                </w:rPr>
                <w:t>Krisztina.PerlakyToth@eesc.europa.eu</w:t>
              </w:r>
            </w:hyperlink>
          </w:p>
        </w:tc>
      </w:tr>
    </w:tbl>
    <w:p w14:paraId="52D7C7D2" w14:textId="77777777" w:rsidR="00B83BDF" w:rsidRDefault="00B83BDF" w:rsidP="00B83BDF">
      <w:pPr>
        <w:spacing w:after="160" w:line="259" w:lineRule="auto"/>
        <w:jc w:val="left"/>
        <w:rPr>
          <w:sz w:val="18"/>
          <w:szCs w:val="18"/>
        </w:rPr>
      </w:pPr>
      <w:r>
        <w:br w:type="page"/>
      </w:r>
    </w:p>
    <w:p w14:paraId="3B19AD8A" w14:textId="77777777" w:rsidR="00B83BDF" w:rsidRPr="00443C1D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19" w:history="1">
        <w:r w:rsidRPr="00443C1D">
          <w:rPr>
            <w:b/>
            <w:i/>
            <w:color w:val="0000FF"/>
            <w:sz w:val="28"/>
            <w:szCs w:val="28"/>
            <w:u w:val="single"/>
          </w:rPr>
          <w:t>Quadro Financeiro Plurianual 2028-2034</w:t>
        </w:r>
      </w:hyperlink>
    </w:p>
    <w:p w14:paraId="63235056" w14:textId="77777777" w:rsidR="00B83BDF" w:rsidRPr="00DA78A0" w:rsidRDefault="00B83BDF" w:rsidP="00B83BDF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B83BDF" w:rsidRPr="00B83BDF" w14:paraId="2A702E47" w14:textId="77777777" w:rsidTr="00F21158">
        <w:tc>
          <w:tcPr>
            <w:tcW w:w="1701" w:type="dxa"/>
          </w:tcPr>
          <w:p w14:paraId="5CCDDED6" w14:textId="77777777" w:rsidR="00B83BDF" w:rsidRPr="00B83BDF" w:rsidRDefault="00B83BDF" w:rsidP="00F21158">
            <w:pPr>
              <w:rPr>
                <w:b/>
                <w:bCs/>
                <w:sz w:val="22"/>
                <w:szCs w:val="22"/>
              </w:rPr>
            </w:pPr>
            <w:r w:rsidRPr="00B83BDF">
              <w:rPr>
                <w:b/>
                <w:sz w:val="22"/>
                <w:szCs w:val="22"/>
              </w:rPr>
              <w:t>Relatores</w:t>
            </w:r>
          </w:p>
        </w:tc>
        <w:tc>
          <w:tcPr>
            <w:tcW w:w="7621" w:type="dxa"/>
          </w:tcPr>
          <w:p w14:paraId="60EAB1A6" w14:textId="77777777" w:rsidR="00B83BDF" w:rsidRPr="00B83BDF" w:rsidRDefault="00B83BDF" w:rsidP="00F21158">
            <w:pPr>
              <w:rPr>
                <w:sz w:val="22"/>
                <w:szCs w:val="22"/>
              </w:rPr>
            </w:pPr>
            <w:r w:rsidRPr="00B83BDF">
              <w:rPr>
                <w:sz w:val="22"/>
                <w:szCs w:val="22"/>
              </w:rPr>
              <w:t>Dominika Biegon (DE-Grupo dos Trabalhadores)</w:t>
            </w:r>
          </w:p>
          <w:p w14:paraId="26AE1B73" w14:textId="77777777" w:rsidR="00B83BDF" w:rsidRPr="00B83BDF" w:rsidRDefault="00B83BDF" w:rsidP="00F21158">
            <w:pPr>
              <w:rPr>
                <w:sz w:val="22"/>
                <w:szCs w:val="22"/>
              </w:rPr>
            </w:pPr>
            <w:r w:rsidRPr="00B83BDF">
              <w:rPr>
                <w:sz w:val="22"/>
                <w:szCs w:val="22"/>
              </w:rPr>
              <w:t>Konstantinos Diamantouros (EL-Grupo dos Empregadores)</w:t>
            </w:r>
          </w:p>
          <w:p w14:paraId="005FE512" w14:textId="77777777" w:rsidR="00B83BDF" w:rsidRPr="00B83BDF" w:rsidRDefault="00B83BDF" w:rsidP="00F21158">
            <w:pPr>
              <w:rPr>
                <w:sz w:val="22"/>
                <w:szCs w:val="22"/>
              </w:rPr>
            </w:pPr>
            <w:r w:rsidRPr="00B83BDF">
              <w:rPr>
                <w:sz w:val="22"/>
                <w:szCs w:val="22"/>
              </w:rPr>
              <w:t>Luca Jahier (IT-Grupo das Organizações da Sociedade Civil)</w:t>
            </w:r>
          </w:p>
          <w:p w14:paraId="79E3924B" w14:textId="77777777" w:rsidR="00B83BDF" w:rsidRPr="00B83BDF" w:rsidRDefault="00B83BDF" w:rsidP="00F21158">
            <w:pPr>
              <w:rPr>
                <w:sz w:val="22"/>
                <w:szCs w:val="22"/>
              </w:rPr>
            </w:pPr>
          </w:p>
        </w:tc>
      </w:tr>
      <w:tr w:rsidR="00B83BDF" w:rsidRPr="00B83BDF" w14:paraId="2C0BB3BD" w14:textId="77777777" w:rsidTr="00F21158">
        <w:tc>
          <w:tcPr>
            <w:tcW w:w="1701" w:type="dxa"/>
          </w:tcPr>
          <w:p w14:paraId="2CAC125E" w14:textId="77777777" w:rsidR="00B83BDF" w:rsidRPr="00B83BDF" w:rsidRDefault="00B83BDF" w:rsidP="00F21158">
            <w:pPr>
              <w:rPr>
                <w:b/>
                <w:bCs/>
                <w:sz w:val="22"/>
                <w:szCs w:val="22"/>
              </w:rPr>
            </w:pPr>
            <w:r w:rsidRPr="00B83BDF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7621" w:type="dxa"/>
          </w:tcPr>
          <w:p w14:paraId="604958F1" w14:textId="77777777" w:rsidR="00B83BDF" w:rsidRPr="00B83BDF" w:rsidRDefault="00B83BDF" w:rsidP="00F21158">
            <w:pPr>
              <w:rPr>
                <w:sz w:val="22"/>
                <w:szCs w:val="22"/>
              </w:rPr>
            </w:pPr>
            <w:r w:rsidRPr="00B83BDF">
              <w:rPr>
                <w:sz w:val="22"/>
                <w:szCs w:val="22"/>
              </w:rPr>
              <w:t>COM(2025) 570 final</w:t>
            </w:r>
          </w:p>
          <w:p w14:paraId="78E6099D" w14:textId="77777777" w:rsidR="00B83BDF" w:rsidRPr="00B83BDF" w:rsidRDefault="00B83BDF" w:rsidP="00F21158">
            <w:pPr>
              <w:rPr>
                <w:sz w:val="22"/>
                <w:szCs w:val="22"/>
              </w:rPr>
            </w:pPr>
            <w:r w:rsidRPr="00B83BDF">
              <w:rPr>
                <w:sz w:val="22"/>
                <w:szCs w:val="22"/>
              </w:rPr>
              <w:t>EESC-2025-02245-00-00-AC</w:t>
            </w:r>
          </w:p>
        </w:tc>
      </w:tr>
    </w:tbl>
    <w:p w14:paraId="57FB1C1F" w14:textId="77777777" w:rsidR="00B83BDF" w:rsidRPr="00B83BDF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14:paraId="5772AF85" w14:textId="77777777" w:rsidR="00B83BDF" w:rsidRPr="00B83BDF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B83BDF">
        <w:rPr>
          <w:b/>
        </w:rPr>
        <w:t>Pontos principais</w:t>
      </w:r>
    </w:p>
    <w:p w14:paraId="65C46E7C" w14:textId="77777777" w:rsidR="00B83BDF" w:rsidRPr="00B83BDF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BCF7DD6" w14:textId="77777777" w:rsidR="00B83BDF" w:rsidRPr="00B83BDF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83BDF">
        <w:t>O Comité Económico e Social Europeu:</w:t>
      </w:r>
    </w:p>
    <w:p w14:paraId="221B5F13" w14:textId="77777777" w:rsidR="00B83BDF" w:rsidRPr="00B83BDF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F1B17B3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2" w:name="_Toc221109384"/>
      <w:bookmarkStart w:id="3" w:name="_Toc221182569"/>
      <w:r w:rsidRPr="00B83BDF">
        <w:t>alerta para o facto de o aumento marginal proposto pela Comissão para o volume do quadro financeiro plurianual (QFP) ser insuficiente e insiste na necessidade de um aumento substancial dos recursos reais;</w:t>
      </w:r>
      <w:bookmarkEnd w:id="2"/>
      <w:bookmarkEnd w:id="3"/>
    </w:p>
    <w:p w14:paraId="1D68DF8F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4" w:name="_Toc221109385"/>
      <w:bookmarkStart w:id="5" w:name="_Toc221182570"/>
      <w:r w:rsidRPr="00B83BDF">
        <w:t>congratula-se com a proposta da Comissão relativa a novos recursos próprios da UE, mas defende uma maior ambição para assegurar um orçamento mais eficaz, salientando que as receitas devem estar associadas às políticas da UE;</w:t>
      </w:r>
      <w:bookmarkEnd w:id="4"/>
      <w:bookmarkEnd w:id="5"/>
    </w:p>
    <w:p w14:paraId="5B5526E5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6" w:name="_Toc221109386"/>
      <w:bookmarkStart w:id="7" w:name="_Toc221182571"/>
      <w:r w:rsidRPr="00B83BDF">
        <w:t>rejeita firmemente a proposta de redução do financiamento da política de coesão e da PAC no próximo QFP;</w:t>
      </w:r>
      <w:bookmarkEnd w:id="6"/>
      <w:bookmarkEnd w:id="7"/>
    </w:p>
    <w:p w14:paraId="6CC21700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8" w:name="_Toc221109387"/>
      <w:bookmarkStart w:id="9" w:name="_Toc221182572"/>
      <w:r w:rsidRPr="00B83BDF">
        <w:t>opõe-se igualmente ao plano de fundir os recursos destinados à política de coesão, ao FSE+, à PAC, às pescas, à migração e à segurança num único fundo;</w:t>
      </w:r>
      <w:bookmarkEnd w:id="8"/>
      <w:bookmarkEnd w:id="9"/>
    </w:p>
    <w:p w14:paraId="6CF945D8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10" w:name="_Toc221109388"/>
      <w:bookmarkStart w:id="11" w:name="_Toc221182573"/>
      <w:r w:rsidRPr="00B83BDF">
        <w:t>salienta que todas as partes interessadas devem participar efetivamente em todos os níveis na tomada de decisões sobre a afetação dos recursos, as prioridades estratégicas, os programas, os indicadores e a avaliação. Nos casos em que os governos não associem eficazmente as partes interessadas, devem ser aplicadas salvaguardas e condicionalidades adequadas para melhorar a participação;</w:t>
      </w:r>
      <w:bookmarkEnd w:id="10"/>
      <w:bookmarkEnd w:id="11"/>
    </w:p>
    <w:p w14:paraId="31F97092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12" w:name="_Toc221109389"/>
      <w:bookmarkStart w:id="13" w:name="_Toc221182574"/>
      <w:r w:rsidRPr="00B83BDF">
        <w:t>opõe-se a qualquer forma de condicionalidade macroeconómica no âmbito dos PPNR. O desembolso dos fundos da UE não pode estar associado a propostas de reformas estruturais não relacionadas com esses fundos;</w:t>
      </w:r>
      <w:bookmarkEnd w:id="12"/>
      <w:bookmarkEnd w:id="13"/>
    </w:p>
    <w:p w14:paraId="496069AE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14" w:name="_Toc221109390"/>
      <w:bookmarkStart w:id="15" w:name="_Toc221182575"/>
      <w:r w:rsidRPr="00B83BDF">
        <w:t>salienta que o FSE+ e o Fundo para uma Transição Justa devem continuar a ser instrumentos autónomos no próximo QFP com um aumento do financiamento;</w:t>
      </w:r>
      <w:bookmarkEnd w:id="14"/>
      <w:bookmarkEnd w:id="15"/>
    </w:p>
    <w:p w14:paraId="12C30D7B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16" w:name="_Toc221109391"/>
      <w:bookmarkStart w:id="17" w:name="_Toc221182576"/>
      <w:r w:rsidRPr="00B83BDF">
        <w:rPr>
          <w:color w:val="222222"/>
          <w:shd w:val="clear" w:color="auto" w:fill="FFFFFF"/>
        </w:rPr>
        <w:t>salienta que um financiamento adequado dos programas em prol da sociedade civil e dos meios de comunicação social (Programa AgoraEU, Programa Cidadãos, Igualdade, Direitos e Valores) constitui uma infraestrutura democrática essencial e não uma despesa facultativa;</w:t>
      </w:r>
      <w:bookmarkEnd w:id="16"/>
      <w:bookmarkEnd w:id="17"/>
    </w:p>
    <w:p w14:paraId="5FE8F648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18" w:name="_Toc221109392"/>
      <w:bookmarkStart w:id="19" w:name="_Toc221182577"/>
      <w:r w:rsidRPr="00B83BDF">
        <w:t>congratula-se com a forte dimensão da competitividade do próximo QFP, salientando o papel central da investigação e da inovação para o crescimento interno sustentável, a autonomia estratégica, a resiliência hídrica e as transições ecológica e digital; apoia, por conseguinte, a criação de um Fundo Europeu de Competitividade (FEC) e o reforço do Horizonte Europa com dotações mais elevadas;</w:t>
      </w:r>
      <w:bookmarkEnd w:id="18"/>
      <w:bookmarkEnd w:id="19"/>
    </w:p>
    <w:p w14:paraId="073D16C1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20" w:name="_Toc221109393"/>
      <w:bookmarkStart w:id="21" w:name="_Toc221182578"/>
      <w:r w:rsidRPr="00B83BDF">
        <w:t>preconiza que o financiamento da UE ao abrigo do regulamento relativo ao «fundo polivalente» esteja subordinado a critérios sociais, a definir em conjunto com os parceiros sociais nacionais. Relativamente ao FEC, o CESE propõe mais incentivos para que as empresas invistam na qualificação e formação da sua mão de obra ou em regiões com uma elevada taxa de desemprego ou em transição industrial;</w:t>
      </w:r>
      <w:bookmarkEnd w:id="20"/>
      <w:bookmarkEnd w:id="21"/>
    </w:p>
    <w:p w14:paraId="4D9EA17C" w14:textId="77777777" w:rsidR="00B83BDF" w:rsidRPr="00B83BDF" w:rsidRDefault="00B83BDF" w:rsidP="00B83BDF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22" w:name="_Toc221109394"/>
      <w:bookmarkStart w:id="23" w:name="_Toc221182579"/>
      <w:r w:rsidRPr="00B83BDF">
        <w:t>congratula-se com o aumento do orçamento para o Europa Global, que é crucial para reforçar o enorme potencial da ação externa da UE.</w:t>
      </w:r>
      <w:bookmarkEnd w:id="22"/>
      <w:bookmarkEnd w:id="23"/>
    </w:p>
    <w:tbl>
      <w:tblPr>
        <w:tblStyle w:val="TableGrid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="00B83BDF" w:rsidRPr="00B83BDF" w14:paraId="4F46772A" w14:textId="77777777" w:rsidTr="00F21158">
        <w:tc>
          <w:tcPr>
            <w:tcW w:w="2093" w:type="dxa"/>
          </w:tcPr>
          <w:p w14:paraId="4EAD45BF" w14:textId="77777777" w:rsidR="00B83BDF" w:rsidRPr="00B83BDF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83BDF">
              <w:rPr>
                <w:b/>
                <w:i/>
                <w:sz w:val="22"/>
                <w:szCs w:val="22"/>
              </w:rPr>
              <w:lastRenderedPageBreak/>
              <w:t>Contacto</w:t>
            </w:r>
          </w:p>
        </w:tc>
        <w:tc>
          <w:tcPr>
            <w:tcW w:w="4995" w:type="dxa"/>
          </w:tcPr>
          <w:p w14:paraId="68599217" w14:textId="77777777" w:rsidR="00B83BDF" w:rsidRPr="00B83BDF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83BDF">
              <w:rPr>
                <w:i/>
                <w:sz w:val="22"/>
                <w:szCs w:val="22"/>
              </w:rPr>
              <w:t>Gerald Klec</w:t>
            </w:r>
          </w:p>
        </w:tc>
      </w:tr>
      <w:tr w:rsidR="00B83BDF" w:rsidRPr="00B83BDF" w14:paraId="6443D3CB" w14:textId="77777777" w:rsidTr="00F21158">
        <w:tc>
          <w:tcPr>
            <w:tcW w:w="2093" w:type="dxa"/>
          </w:tcPr>
          <w:p w14:paraId="5D5654EE" w14:textId="77777777" w:rsidR="00B83BDF" w:rsidRPr="00B83BDF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83BD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14:paraId="54052406" w14:textId="77777777" w:rsidR="00B83BDF" w:rsidRPr="00B83BDF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83BDF">
              <w:rPr>
                <w:i/>
                <w:sz w:val="22"/>
                <w:szCs w:val="22"/>
              </w:rPr>
              <w:t>+32 2 546 99 09</w:t>
            </w:r>
          </w:p>
        </w:tc>
      </w:tr>
      <w:tr w:rsidR="00B83BDF" w:rsidRPr="00B83BDF" w14:paraId="3B5E5717" w14:textId="77777777" w:rsidTr="00F21158">
        <w:tc>
          <w:tcPr>
            <w:tcW w:w="2093" w:type="dxa"/>
          </w:tcPr>
          <w:p w14:paraId="1920F5E1" w14:textId="77777777" w:rsidR="00B83BDF" w:rsidRPr="00B83BDF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83BDF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14:paraId="20857821" w14:textId="77777777" w:rsidR="00B83BDF" w:rsidRPr="00B83BDF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20" w:history="1">
              <w:r w:rsidRPr="00B83BDF">
                <w:rPr>
                  <w:i/>
                  <w:color w:val="0000FF"/>
                  <w:sz w:val="22"/>
                  <w:szCs w:val="22"/>
                  <w:u w:val="single"/>
                </w:rPr>
                <w:t>Gerald.Klec@eesc.europa.eu</w:t>
              </w:r>
            </w:hyperlink>
          </w:p>
        </w:tc>
      </w:tr>
    </w:tbl>
    <w:p w14:paraId="2D3FE3AD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070E20EB" w14:textId="77777777" w:rsidR="00B83BDF" w:rsidRPr="00F12BC6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  <w:rPr>
          <w:b/>
          <w:i/>
          <w:iCs/>
          <w:sz w:val="28"/>
          <w:szCs w:val="28"/>
        </w:rPr>
      </w:pPr>
      <w:hyperlink r:id="rId21" w:history="1">
        <w:r w:rsidRPr="00F12BC6">
          <w:rPr>
            <w:b/>
            <w:i/>
            <w:color w:val="0000FF"/>
            <w:sz w:val="28"/>
            <w:szCs w:val="28"/>
            <w:u w:val="single"/>
          </w:rPr>
          <w:t>Fundo da UE para a coesão, a agricultura e as zonas rurais, as pescas e o setor marítimo, a prosperidade e a segurança</w:t>
        </w:r>
      </w:hyperlink>
    </w:p>
    <w:p w14:paraId="44118C45" w14:textId="77777777" w:rsidR="00B83BDF" w:rsidRPr="00F12BC6" w:rsidRDefault="00B83BDF" w:rsidP="00B83BDF">
      <w:pPr>
        <w:widowControl w:val="0"/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b/>
          <w:i/>
          <w:iCs/>
          <w:lang w:val="en-GB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B83BDF" w:rsidRPr="00F12BC6" w14:paraId="43A12A5F" w14:textId="77777777" w:rsidTr="00F21158">
        <w:tc>
          <w:tcPr>
            <w:tcW w:w="1701" w:type="dxa"/>
          </w:tcPr>
          <w:p w14:paraId="703F160B" w14:textId="77777777" w:rsidR="00B83BDF" w:rsidRPr="00F12BC6" w:rsidRDefault="00B83BDF" w:rsidP="00F21158">
            <w:pPr>
              <w:rPr>
                <w:b/>
                <w:bCs/>
                <w:sz w:val="22"/>
                <w:szCs w:val="22"/>
              </w:rPr>
            </w:pPr>
            <w:r w:rsidRPr="00F12BC6">
              <w:rPr>
                <w:b/>
                <w:sz w:val="22"/>
                <w:szCs w:val="22"/>
              </w:rPr>
              <w:t>Relator</w:t>
            </w:r>
          </w:p>
          <w:p w14:paraId="3F3DA22D" w14:textId="77777777" w:rsidR="00B83BDF" w:rsidRPr="00F12BC6" w:rsidRDefault="00B83BDF" w:rsidP="00F21158">
            <w:pPr>
              <w:rPr>
                <w:b/>
                <w:bCs/>
                <w:sz w:val="22"/>
                <w:szCs w:val="22"/>
              </w:rPr>
            </w:pPr>
            <w:r w:rsidRPr="00F12BC6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7621" w:type="dxa"/>
          </w:tcPr>
          <w:p w14:paraId="3A836DB1" w14:textId="77777777" w:rsidR="00B83BDF" w:rsidRPr="00F12BC6" w:rsidRDefault="00B83BDF" w:rsidP="00F21158">
            <w:pPr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>Florian Marin (RO-Grupo dos Trabalhadores)</w:t>
            </w:r>
          </w:p>
          <w:p w14:paraId="5F13F4DE" w14:textId="77777777" w:rsidR="00B83BDF" w:rsidRPr="00F12BC6" w:rsidRDefault="00B83BDF" w:rsidP="00F21158">
            <w:pPr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>David Sventek (CZ</w:t>
            </w:r>
            <w:r>
              <w:rPr>
                <w:sz w:val="22"/>
                <w:szCs w:val="22"/>
              </w:rPr>
              <w:t>-</w:t>
            </w:r>
            <w:r w:rsidRPr="00F12BC6">
              <w:rPr>
                <w:sz w:val="22"/>
                <w:szCs w:val="22"/>
              </w:rPr>
              <w:t>Grupo dos Empregadores)</w:t>
            </w:r>
          </w:p>
          <w:p w14:paraId="1BA5D320" w14:textId="77777777" w:rsidR="00B83BDF" w:rsidRPr="00F12BC6" w:rsidRDefault="00B83BDF" w:rsidP="00F21158">
            <w:pPr>
              <w:rPr>
                <w:sz w:val="22"/>
                <w:szCs w:val="22"/>
              </w:rPr>
            </w:pPr>
          </w:p>
        </w:tc>
      </w:tr>
      <w:tr w:rsidR="00B83BDF" w:rsidRPr="00F12BC6" w14:paraId="6748D3F4" w14:textId="77777777" w:rsidTr="00F21158">
        <w:tc>
          <w:tcPr>
            <w:tcW w:w="1701" w:type="dxa"/>
          </w:tcPr>
          <w:p w14:paraId="18E35DC0" w14:textId="77777777" w:rsidR="00B83BDF" w:rsidRPr="00F12BC6" w:rsidRDefault="00B83BDF" w:rsidP="00F21158">
            <w:pPr>
              <w:rPr>
                <w:b/>
                <w:bCs/>
                <w:sz w:val="22"/>
                <w:szCs w:val="22"/>
              </w:rPr>
            </w:pPr>
            <w:r w:rsidRPr="00F12BC6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7621" w:type="dxa"/>
          </w:tcPr>
          <w:p w14:paraId="65903D0E" w14:textId="77777777" w:rsidR="00B83BDF" w:rsidRPr="00F12BC6" w:rsidRDefault="00B83BDF" w:rsidP="00F21158">
            <w:pPr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 xml:space="preserve">COM(2025) 565 final </w:t>
            </w:r>
          </w:p>
          <w:p w14:paraId="698325AA" w14:textId="77777777" w:rsidR="00B83BDF" w:rsidRPr="00F12BC6" w:rsidRDefault="00B83BDF" w:rsidP="00F21158">
            <w:pPr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>EESC-2025-02552-00-00-AC</w:t>
            </w:r>
          </w:p>
        </w:tc>
      </w:tr>
    </w:tbl>
    <w:p w14:paraId="6FF838BD" w14:textId="77777777" w:rsidR="00B83BDF" w:rsidRPr="00F12BC6" w:rsidRDefault="00B83BDF" w:rsidP="00B83BDF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</w:p>
    <w:p w14:paraId="20A5A997" w14:textId="77777777" w:rsidR="00B83BDF" w:rsidRPr="00F12BC6" w:rsidRDefault="00B83BDF" w:rsidP="00B83BDF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 w:rsidRPr="00F12BC6">
        <w:rPr>
          <w:b/>
        </w:rPr>
        <w:t>Pontos principais</w:t>
      </w:r>
    </w:p>
    <w:p w14:paraId="0E67D44F" w14:textId="77777777" w:rsidR="00B83BDF" w:rsidRPr="00F12BC6" w:rsidRDefault="00B83BDF" w:rsidP="00B83BDF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  <w:lang w:val="en-GB"/>
        </w:rPr>
      </w:pPr>
    </w:p>
    <w:p w14:paraId="404894FE" w14:textId="77777777" w:rsidR="00B83BDF" w:rsidRPr="00F12BC6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F12BC6">
        <w:t>O Comité Económico e Social Europeu:</w:t>
      </w:r>
    </w:p>
    <w:p w14:paraId="3B88BA40" w14:textId="77777777" w:rsidR="00B83BDF" w:rsidRPr="00F12BC6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75E0B43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bCs/>
          <w:iCs/>
        </w:rPr>
      </w:pPr>
      <w:r w:rsidRPr="00F12BC6">
        <w:t>congratula-se com a ambição da Comissão de simplificar e assegurar maior flexibilidade, mas considera que a simplificação prevista exige garantias concretas para ser eficaz. A fim de salvaguardar a identidade distinta e a missão fundamental das principais políticas da União Europeia (UE), cumpre preservar a identidade, a visibilidade, a previsibilidade e os objetivos a longo prazo dessas políticas, assegurando que a flexibilidade não prejudica as regiões, as comunidades, os setores e os grupos mais vulneráveis;</w:t>
      </w:r>
    </w:p>
    <w:p w14:paraId="3DE2ACEE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24" w:name="_Toc220082114"/>
      <w:bookmarkStart w:id="25" w:name="_Toc220082162"/>
      <w:bookmarkStart w:id="26" w:name="_Toc221109395"/>
      <w:bookmarkStart w:id="27" w:name="_Toc221182580"/>
      <w:r w:rsidRPr="00F12BC6">
        <w:t>manifesta preocupação pelo facto de se estar a agrupar um conjunto diversificado de necessidades de investimento – como a agricultura, as pescas, a coesão e a segurança – sob uma única estrutura, o que pode gerar concorrência entre prioridades e enfraquecer as garantias a longo prazo; opõe-se veementemente a esta abordagem, pois corre o risco de diluir recursos e comprometer os esforços de consecução das transições climática e digital;</w:t>
      </w:r>
      <w:bookmarkEnd w:id="24"/>
      <w:bookmarkEnd w:id="25"/>
      <w:bookmarkEnd w:id="26"/>
      <w:bookmarkEnd w:id="27"/>
    </w:p>
    <w:p w14:paraId="3C110B04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28" w:name="_Toc220082115"/>
      <w:bookmarkStart w:id="29" w:name="_Toc220082163"/>
      <w:bookmarkStart w:id="30" w:name="_Toc221109396"/>
      <w:bookmarkStart w:id="31" w:name="_Toc221182581"/>
      <w:r w:rsidRPr="00F12BC6">
        <w:t>alerta expressamente para o facto de a arquitetura multifundos poder alimentar conflitos distributivos. Tanto no início como ao longo do futuro período de financiamento, existe um risco de concorrência estrutural entre a dimensão social, o desenvolvimento regional e rural e a política de segurança e de migração;</w:t>
      </w:r>
      <w:bookmarkEnd w:id="28"/>
      <w:bookmarkEnd w:id="29"/>
      <w:bookmarkEnd w:id="30"/>
      <w:bookmarkEnd w:id="31"/>
    </w:p>
    <w:p w14:paraId="74E06926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32" w:name="_Toc220082116"/>
      <w:bookmarkStart w:id="33" w:name="_Toc220082164"/>
      <w:bookmarkStart w:id="34" w:name="_Toc221109397"/>
      <w:bookmarkStart w:id="35" w:name="_Toc221182582"/>
      <w:r w:rsidRPr="00F12BC6">
        <w:t>opõe-se à transferência de responsabilidades do nível regional para o nível nacional, pois tal compromete o princípio da subsidiariedade, da territorialidade e da governação a vários níveis, bem como a confiança na UE;</w:t>
      </w:r>
      <w:bookmarkEnd w:id="32"/>
      <w:bookmarkEnd w:id="33"/>
      <w:bookmarkEnd w:id="34"/>
      <w:bookmarkEnd w:id="35"/>
    </w:p>
    <w:p w14:paraId="602EC8B2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36" w:name="_Toc220082117"/>
      <w:bookmarkStart w:id="37" w:name="_Toc220082165"/>
      <w:bookmarkStart w:id="38" w:name="_Toc221109398"/>
      <w:bookmarkStart w:id="39" w:name="_Toc221182583"/>
      <w:r w:rsidRPr="00F12BC6">
        <w:t>salienta que o funcionamento eficaz dos planos de parceria nacional e regional (PPNR) exigirá a participação forte e efetiva dos parceiros locais e regionais, dos parceiros sociais e das organizações da sociedade civil, bem como dos representantes dos setores e das indústrias, tanto na fase de programação como em matéria de execução, gestão, acompanhamento, avaliação e controlo;</w:t>
      </w:r>
      <w:bookmarkEnd w:id="36"/>
      <w:bookmarkEnd w:id="37"/>
      <w:bookmarkEnd w:id="38"/>
      <w:bookmarkEnd w:id="39"/>
      <w:r w:rsidRPr="00F12BC6">
        <w:t xml:space="preserve"> </w:t>
      </w:r>
    </w:p>
    <w:p w14:paraId="7DD63219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40" w:name="_Toc220082118"/>
      <w:bookmarkStart w:id="41" w:name="_Toc220082166"/>
      <w:bookmarkStart w:id="42" w:name="_Toc221109399"/>
      <w:bookmarkStart w:id="43" w:name="_Toc221182584"/>
      <w:r w:rsidRPr="00F12BC6">
        <w:t>propõe a realização de uma verificação pelos parceiros sociais e pelas organizações da sociedade civil, juntamente com uma verificação regional;</w:t>
      </w:r>
      <w:bookmarkEnd w:id="40"/>
      <w:bookmarkEnd w:id="41"/>
      <w:bookmarkEnd w:id="42"/>
      <w:bookmarkEnd w:id="43"/>
    </w:p>
    <w:p w14:paraId="1D4CD654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44" w:name="_Toc220082119"/>
      <w:bookmarkStart w:id="45" w:name="_Toc220082167"/>
      <w:bookmarkStart w:id="46" w:name="_Toc221109400"/>
      <w:bookmarkStart w:id="47" w:name="_Toc221182585"/>
      <w:r w:rsidRPr="00F12BC6">
        <w:t>salienta que a parceria deve estar refletida em cada capítulo dos PPNR e salienta a necessidade de uma representação equilibrada dos parceiros pertinentes nos comités de acompanhamento;</w:t>
      </w:r>
      <w:bookmarkEnd w:id="44"/>
      <w:bookmarkEnd w:id="45"/>
      <w:bookmarkEnd w:id="46"/>
      <w:bookmarkEnd w:id="47"/>
      <w:r w:rsidRPr="00F12BC6">
        <w:t xml:space="preserve"> </w:t>
      </w:r>
    </w:p>
    <w:p w14:paraId="27C72810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48" w:name="_Toc220082120"/>
      <w:bookmarkStart w:id="49" w:name="_Toc220082168"/>
      <w:bookmarkStart w:id="50" w:name="_Toc221109401"/>
      <w:bookmarkStart w:id="51" w:name="_Toc221182586"/>
      <w:r w:rsidRPr="00F12BC6">
        <w:t>insta a Comissão Europeia a proceder, sem demora, à revisão do Código de Conduta Europeu sobre Parcerias;</w:t>
      </w:r>
      <w:bookmarkEnd w:id="48"/>
      <w:bookmarkEnd w:id="49"/>
      <w:bookmarkEnd w:id="50"/>
      <w:bookmarkEnd w:id="51"/>
    </w:p>
    <w:p w14:paraId="1E58B599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52" w:name="_Toc220082121"/>
      <w:bookmarkStart w:id="53" w:name="_Toc220082169"/>
      <w:bookmarkStart w:id="54" w:name="_Toc221109402"/>
      <w:bookmarkStart w:id="55" w:name="_Toc221182587"/>
      <w:r w:rsidRPr="00F12BC6">
        <w:t>propõe a introdução de um sistema de sanções em caso de falta de participação efetiva, significativa e transversal dos parceiros sociais e das organizações da sociedade civil;</w:t>
      </w:r>
      <w:bookmarkEnd w:id="52"/>
      <w:bookmarkEnd w:id="53"/>
      <w:bookmarkEnd w:id="54"/>
      <w:bookmarkEnd w:id="55"/>
    </w:p>
    <w:p w14:paraId="4C3B6282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56" w:name="_Toc220082122"/>
      <w:bookmarkStart w:id="57" w:name="_Toc220082170"/>
      <w:bookmarkStart w:id="58" w:name="_Toc221109403"/>
      <w:bookmarkStart w:id="59" w:name="_Toc221182588"/>
      <w:r w:rsidRPr="00F12BC6">
        <w:lastRenderedPageBreak/>
        <w:t>entende que a política de coesão deve ser objeto de maior consolidação, uma vez que a proposta a enfraquece; solicita garantias para proteger as regiões e os municípios, especialmente nos casos em que os Estados-Membros possam excluí-los;</w:t>
      </w:r>
      <w:bookmarkEnd w:id="56"/>
      <w:bookmarkEnd w:id="57"/>
      <w:bookmarkEnd w:id="58"/>
      <w:bookmarkEnd w:id="59"/>
    </w:p>
    <w:p w14:paraId="1D3EEA59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60" w:name="_Toc220082123"/>
      <w:bookmarkStart w:id="61" w:name="_Toc220082171"/>
      <w:bookmarkStart w:id="62" w:name="_Toc221109404"/>
      <w:bookmarkStart w:id="63" w:name="_Toc221182589"/>
      <w:r w:rsidRPr="00F12BC6">
        <w:rPr>
          <w:color w:val="000000"/>
        </w:rPr>
        <w:t>salienta que são necessárias regras mais vinculativas para garantir a participação dos intervenientes locais e dos municípios e que os interesses infranacionais não devem ser penalizados;</w:t>
      </w:r>
      <w:bookmarkEnd w:id="60"/>
      <w:bookmarkEnd w:id="61"/>
      <w:bookmarkEnd w:id="62"/>
      <w:bookmarkEnd w:id="63"/>
    </w:p>
    <w:p w14:paraId="11B11900" w14:textId="77777777" w:rsidR="00B83BDF" w:rsidRPr="00F12BC6" w:rsidRDefault="00B83BDF" w:rsidP="00B83BD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</w:pPr>
      <w:bookmarkStart w:id="64" w:name="_Toc220082124"/>
      <w:bookmarkStart w:id="65" w:name="_Toc220082172"/>
      <w:bookmarkStart w:id="66" w:name="_Toc221109405"/>
      <w:bookmarkStart w:id="67" w:name="_Toc221182590"/>
      <w:r w:rsidRPr="00F12BC6">
        <w:rPr>
          <w:color w:val="000000"/>
        </w:rPr>
        <w:t>preconiza concentrações temáticas específicas em matéria de segurança alimentar, desigualdades, envelhecimento com dignidade e participação cívica, com apoio aos grupos vulneráveis, aos voluntários e aos intervenientes da economia social;</w:t>
      </w:r>
      <w:bookmarkEnd w:id="64"/>
      <w:bookmarkEnd w:id="65"/>
      <w:bookmarkEnd w:id="66"/>
      <w:bookmarkEnd w:id="67"/>
    </w:p>
    <w:p w14:paraId="5218BF1C" w14:textId="77777777" w:rsidR="00B83BDF" w:rsidRPr="00F12BC6" w:rsidRDefault="00B83BDF" w:rsidP="00B83BDF">
      <w:pPr>
        <w:keepNext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outlineLvl w:val="1"/>
      </w:pPr>
      <w:bookmarkStart w:id="68" w:name="_Toc220082125"/>
      <w:bookmarkStart w:id="69" w:name="_Toc220082173"/>
      <w:bookmarkStart w:id="70" w:name="_Toc221109406"/>
      <w:bookmarkStart w:id="71" w:name="_Toc221182591"/>
      <w:r w:rsidRPr="00F12BC6">
        <w:rPr>
          <w:color w:val="000000"/>
        </w:rPr>
        <w:t>alerta para a necessidade de definir claramente os objetivos sociais e salienta que a meta de despesa social de 14% deve visar exclusivamente os objetivos do Fundo Social Europeu, como as qualificações e a formação, bem como o apoio aos grupos vulneráveis e desfavorecidos;</w:t>
      </w:r>
      <w:bookmarkEnd w:id="68"/>
      <w:bookmarkEnd w:id="69"/>
      <w:bookmarkEnd w:id="70"/>
      <w:bookmarkEnd w:id="71"/>
    </w:p>
    <w:p w14:paraId="1A687229" w14:textId="77777777" w:rsidR="00B83BDF" w:rsidRPr="00F12BC6" w:rsidRDefault="00B83BDF" w:rsidP="00B83BDF">
      <w:pPr>
        <w:keepNext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outlineLvl w:val="1"/>
      </w:pPr>
      <w:bookmarkStart w:id="72" w:name="_Toc220082126"/>
      <w:bookmarkStart w:id="73" w:name="_Toc220082174"/>
      <w:bookmarkStart w:id="74" w:name="_Toc221109407"/>
      <w:bookmarkStart w:id="75" w:name="_Toc221182592"/>
      <w:r w:rsidRPr="00F12BC6">
        <w:t>critica veementemente a ausência de um Fundo para uma Transição Justa específico e adverte para que não se amalgame a transição justa com a transição ecológica.</w:t>
      </w:r>
      <w:bookmarkEnd w:id="72"/>
      <w:bookmarkEnd w:id="73"/>
      <w:bookmarkEnd w:id="74"/>
      <w:bookmarkEnd w:id="75"/>
      <w:r w:rsidRPr="00F12BC6">
        <w:t xml:space="preserve"> </w:t>
      </w:r>
    </w:p>
    <w:p w14:paraId="33F05255" w14:textId="77777777" w:rsidR="00B83BDF" w:rsidRPr="00F12BC6" w:rsidRDefault="00B83BDF" w:rsidP="00B83BDF">
      <w:pPr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bCs/>
          <w:iCs/>
          <w:lang w:val="en-GB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B83BDF" w:rsidRPr="00F12BC6" w14:paraId="74847AA4" w14:textId="77777777" w:rsidTr="00F21158">
        <w:tc>
          <w:tcPr>
            <w:tcW w:w="2093" w:type="dxa"/>
          </w:tcPr>
          <w:p w14:paraId="25934CA4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7229" w:type="dxa"/>
          </w:tcPr>
          <w:p w14:paraId="1EEFE72D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Georgios Meleas</w:t>
            </w:r>
          </w:p>
        </w:tc>
      </w:tr>
      <w:tr w:rsidR="00B83BDF" w:rsidRPr="00F12BC6" w14:paraId="0BD5946D" w14:textId="77777777" w:rsidTr="00F21158">
        <w:tc>
          <w:tcPr>
            <w:tcW w:w="2093" w:type="dxa"/>
          </w:tcPr>
          <w:p w14:paraId="1961E8DB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7229" w:type="dxa"/>
          </w:tcPr>
          <w:p w14:paraId="5C2ED606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+32 2 546 97 95</w:t>
            </w:r>
          </w:p>
        </w:tc>
      </w:tr>
      <w:tr w:rsidR="00B83BDF" w:rsidRPr="00F12BC6" w14:paraId="500D4653" w14:textId="77777777" w:rsidTr="00F21158">
        <w:tc>
          <w:tcPr>
            <w:tcW w:w="2093" w:type="dxa"/>
          </w:tcPr>
          <w:p w14:paraId="1BABD0D3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7229" w:type="dxa"/>
          </w:tcPr>
          <w:p w14:paraId="2976DD1C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22" w:history="1">
              <w:r w:rsidRPr="00F12BC6">
                <w:rPr>
                  <w:i/>
                  <w:color w:val="0000FF"/>
                  <w:sz w:val="22"/>
                  <w:szCs w:val="22"/>
                  <w:u w:val="single"/>
                </w:rPr>
                <w:t>Georgios.Meleas@eesc.europa.eu</w:t>
              </w:r>
            </w:hyperlink>
          </w:p>
        </w:tc>
      </w:tr>
    </w:tbl>
    <w:p w14:paraId="284FBF1C" w14:textId="77777777" w:rsidR="00B83BDF" w:rsidRDefault="00B83BDF" w:rsidP="00B83BDF">
      <w:pPr>
        <w:pStyle w:val="ListParagraph"/>
        <w:ind w:left="0"/>
      </w:pPr>
    </w:p>
    <w:p w14:paraId="166370AA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FE5D4EA" w14:textId="77777777" w:rsidR="00B83BDF" w:rsidRPr="00F12BC6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3" w:history="1">
        <w:r w:rsidRPr="00F12BC6">
          <w:rPr>
            <w:b/>
            <w:i/>
            <w:color w:val="0000FF"/>
            <w:sz w:val="28"/>
            <w:szCs w:val="28"/>
            <w:u w:val="single"/>
          </w:rPr>
          <w:t>Recursos próprios – proposta de 2025</w:t>
        </w:r>
      </w:hyperlink>
    </w:p>
    <w:p w14:paraId="2F2606D3" w14:textId="77777777" w:rsidR="00B83BDF" w:rsidRPr="00E3707D" w:rsidRDefault="00B83BDF" w:rsidP="00B83BDF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7379"/>
      </w:tblGrid>
      <w:tr w:rsidR="00B83BDF" w:rsidRPr="00F12BC6" w14:paraId="3DAB1FC5" w14:textId="77777777" w:rsidTr="00F21158">
        <w:tc>
          <w:tcPr>
            <w:tcW w:w="1701" w:type="dxa"/>
          </w:tcPr>
          <w:p w14:paraId="60E0A331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F12BC6">
              <w:rPr>
                <w:b/>
                <w:sz w:val="22"/>
                <w:szCs w:val="22"/>
              </w:rPr>
              <w:t>Relatora</w:t>
            </w:r>
          </w:p>
          <w:p w14:paraId="24E18723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F12BC6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7479" w:type="dxa"/>
          </w:tcPr>
          <w:p w14:paraId="7B0A189C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>Katrīna Zariņa (LV</w:t>
            </w:r>
            <w:r>
              <w:rPr>
                <w:sz w:val="22"/>
                <w:szCs w:val="22"/>
              </w:rPr>
              <w:t>-</w:t>
            </w:r>
            <w:r w:rsidRPr="00F12BC6">
              <w:rPr>
                <w:sz w:val="22"/>
                <w:szCs w:val="22"/>
              </w:rPr>
              <w:t>Grupo dos Empregadores)</w:t>
            </w:r>
          </w:p>
          <w:p w14:paraId="4D5F2324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>Petru Sorin Dandea (RO</w:t>
            </w:r>
            <w:r>
              <w:rPr>
                <w:sz w:val="22"/>
                <w:szCs w:val="22"/>
              </w:rPr>
              <w:t>-</w:t>
            </w:r>
            <w:r w:rsidRPr="00F12BC6">
              <w:rPr>
                <w:sz w:val="22"/>
                <w:szCs w:val="22"/>
              </w:rPr>
              <w:t>Grupo dos Trabalhadores)</w:t>
            </w:r>
          </w:p>
          <w:p w14:paraId="55D3E954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83BDF" w:rsidRPr="00F12BC6" w14:paraId="48CD4B48" w14:textId="77777777" w:rsidTr="00F21158">
        <w:tc>
          <w:tcPr>
            <w:tcW w:w="1701" w:type="dxa"/>
          </w:tcPr>
          <w:p w14:paraId="68EEA3C1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F12BC6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7479" w:type="dxa"/>
          </w:tcPr>
          <w:p w14:paraId="260CFF21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 xml:space="preserve">COM(2025) 574 final </w:t>
            </w:r>
          </w:p>
          <w:p w14:paraId="5BA44A90" w14:textId="77777777" w:rsidR="00B83BDF" w:rsidRPr="00F12BC6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F12BC6">
              <w:rPr>
                <w:sz w:val="22"/>
                <w:szCs w:val="22"/>
              </w:rPr>
              <w:t>EESC-2025-02595-00-00-AC</w:t>
            </w:r>
          </w:p>
        </w:tc>
      </w:tr>
    </w:tbl>
    <w:p w14:paraId="06CDE240" w14:textId="77777777" w:rsidR="00B83BDF" w:rsidRPr="00F12BC6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14:paraId="236D639B" w14:textId="77777777" w:rsidR="00B83BDF" w:rsidRPr="00F12BC6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F12BC6">
        <w:rPr>
          <w:b/>
        </w:rPr>
        <w:t>Pontos principais</w:t>
      </w:r>
    </w:p>
    <w:p w14:paraId="3692E72F" w14:textId="77777777" w:rsidR="00B83BDF" w:rsidRPr="00F12BC6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CBBC08E" w14:textId="77777777" w:rsidR="00B83BDF" w:rsidRPr="00F12BC6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F12BC6">
        <w:t>O Comité Económico e Social Europeu:</w:t>
      </w:r>
    </w:p>
    <w:p w14:paraId="09D6D032" w14:textId="77777777" w:rsidR="00B83BDF" w:rsidRPr="00F12BC6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10FDC205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76" w:name="_Toc220082127"/>
      <w:bookmarkStart w:id="77" w:name="_Toc220082175"/>
      <w:bookmarkStart w:id="78" w:name="_Toc221109408"/>
      <w:bookmarkStart w:id="79" w:name="_Toc221182593"/>
      <w:r w:rsidRPr="00F12BC6">
        <w:t>sublinha que o debate sobre os novos recursos próprios deve evoluir para além dos ajustamentos técnicos e tornar-se uma reflexão estratégica sobre a forma de reforçar a autonomia financeira, a coesão e a competitividade da União Europeia (UE);</w:t>
      </w:r>
      <w:bookmarkEnd w:id="76"/>
      <w:bookmarkEnd w:id="77"/>
      <w:bookmarkEnd w:id="78"/>
      <w:bookmarkEnd w:id="79"/>
    </w:p>
    <w:p w14:paraId="7208E19A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80" w:name="_Toc220082128"/>
      <w:bookmarkStart w:id="81" w:name="_Toc220082176"/>
      <w:bookmarkStart w:id="82" w:name="_Toc221109409"/>
      <w:bookmarkStart w:id="83" w:name="_Toc221182594"/>
      <w:r w:rsidRPr="00F12BC6">
        <w:t>incentiva a Comissão Europeia a aperfeiçoar a conceção global do pacote de recursos próprios proposto, a fim de o tornar ambicioso, equilibrado e orientado para o futuro. A Comissão deve: a) estabelecer um roteiro claro para a redução gradual da dependência das contribuições baseadas no rendimento nacional bruto (RNB); b) conceber medidas e promover a coesão e a equidade, assegurando que todos os Estados-Membros contribuam proporcionalmente para a sua solidez económica;</w:t>
      </w:r>
      <w:bookmarkEnd w:id="80"/>
      <w:bookmarkEnd w:id="81"/>
      <w:bookmarkEnd w:id="82"/>
      <w:bookmarkEnd w:id="83"/>
    </w:p>
    <w:p w14:paraId="59C3BC17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84" w:name="_Toc220082129"/>
      <w:bookmarkStart w:id="85" w:name="_Toc220082177"/>
      <w:bookmarkStart w:id="86" w:name="_Toc221109410"/>
      <w:bookmarkStart w:id="87" w:name="_Toc221182595"/>
      <w:r w:rsidRPr="00F12BC6">
        <w:t>c) integrar uma perspetiva de impacto sobre a competitividade e as pequenas e médias empresas (PME) em todas as novas propostas de recursos próprios; d) manter um certo grau de flexibilidade nos mecanismos de resposta a situações de crise;</w:t>
      </w:r>
      <w:bookmarkEnd w:id="84"/>
      <w:bookmarkEnd w:id="85"/>
      <w:bookmarkEnd w:id="86"/>
      <w:bookmarkEnd w:id="87"/>
    </w:p>
    <w:p w14:paraId="4513B4F8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88" w:name="_Toc220082130"/>
      <w:bookmarkStart w:id="89" w:name="_Toc220082178"/>
      <w:bookmarkStart w:id="90" w:name="_Toc221109411"/>
      <w:bookmarkStart w:id="91" w:name="_Toc221182596"/>
      <w:r w:rsidRPr="00F12BC6">
        <w:t>convida o Conselho e o Parlamento Europeu a criarem um consenso amplo e duradouro através de uma abordagem pragmática, faseada e baseada em dados concretos. As instituições devem: a) apresentar as propostas que estão prontas para serem executadas em primeiro lugar – como o recurso baseado no Mecanismo de Ajustamento Carbónico Fronteiriço (CBAM), a contribuição relativa aos plásticos atualizada e a reforma da retenção dos direitos aduaneiros –, concedendo simultaneamente mais tempo para o debate e a análise de instrumentos complexos; b) chegar a acordo sobre uma cláusula de revisão interinstitucional conjunta, de modo que todos os novos recursos próprios sejam avaliados no prazo de dois anos a contar da data de entrada em vigor; c) assegurar que os mecanismos destinados a prevenir a regressividade e compensar os Estados</w:t>
      </w:r>
      <w:r>
        <w:noBreakHyphen/>
      </w:r>
      <w:r w:rsidRPr="00F12BC6">
        <w:t>Membros nas fronteiras externas da UE sejam integrados no pacote final;</w:t>
      </w:r>
      <w:bookmarkEnd w:id="88"/>
      <w:bookmarkEnd w:id="89"/>
      <w:bookmarkEnd w:id="90"/>
      <w:bookmarkEnd w:id="91"/>
    </w:p>
    <w:p w14:paraId="2012562D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92" w:name="_Toc220082131"/>
      <w:bookmarkStart w:id="93" w:name="_Toc220082179"/>
      <w:bookmarkStart w:id="94" w:name="_Toc221109412"/>
      <w:bookmarkStart w:id="95" w:name="_Toc221182597"/>
      <w:r w:rsidRPr="00F12BC6">
        <w:t>considera que a proposta relativa ao recurso para a Europa proveniente das sociedades (REUS) carece de clareza quanto ao seu funcionamento prático, pelo que manifesta algumas reservas quanto à proposta no seu conjunto;</w:t>
      </w:r>
      <w:bookmarkEnd w:id="92"/>
      <w:bookmarkEnd w:id="93"/>
      <w:bookmarkEnd w:id="94"/>
      <w:bookmarkEnd w:id="95"/>
    </w:p>
    <w:p w14:paraId="7A80CC25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96" w:name="_Toc220082132"/>
      <w:bookmarkStart w:id="97" w:name="_Toc220082180"/>
      <w:bookmarkStart w:id="98" w:name="_Toc221109413"/>
      <w:bookmarkStart w:id="99" w:name="_Toc221182598"/>
      <w:r w:rsidRPr="00F12BC6">
        <w:t>saúda o contributo positivo que tanto o CBAM como o mecanismo relativo aos resíduos eletrónicos podem dar à sustentabilidade e à circularidade;</w:t>
      </w:r>
      <w:bookmarkEnd w:id="96"/>
      <w:bookmarkEnd w:id="97"/>
      <w:bookmarkEnd w:id="98"/>
      <w:bookmarkEnd w:id="99"/>
    </w:p>
    <w:p w14:paraId="3A249271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00" w:name="_Toc220082133"/>
      <w:bookmarkStart w:id="101" w:name="_Toc220082181"/>
      <w:bookmarkStart w:id="102" w:name="_Toc221109414"/>
      <w:bookmarkStart w:id="103" w:name="_Toc221182599"/>
      <w:r w:rsidRPr="00F12BC6">
        <w:t>observa que a proposta relativa ao recurso próprio baseado no imposto especial sobre o consumo de tabaco deve ser cuidadosamente concebida para evitar efeitos negativos nas regiões fronteiriças ou incentivos ao comércio ilícito;</w:t>
      </w:r>
      <w:bookmarkEnd w:id="100"/>
      <w:bookmarkEnd w:id="101"/>
      <w:bookmarkEnd w:id="102"/>
      <w:bookmarkEnd w:id="103"/>
    </w:p>
    <w:p w14:paraId="2812BB37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04" w:name="_Toc220082134"/>
      <w:bookmarkStart w:id="105" w:name="_Toc220082182"/>
      <w:bookmarkStart w:id="106" w:name="_Toc221109415"/>
      <w:bookmarkStart w:id="107" w:name="_Toc221182600"/>
      <w:r w:rsidRPr="00F12BC6">
        <w:t>apoia a redução para 10% dos direitos aduaneiros retidos para cobrir as despesas de cobrança, como passo no sentido de uma maior coerência financeira da UE, desde que sejam criados mecanismos de compensação adequados;</w:t>
      </w:r>
      <w:bookmarkEnd w:id="104"/>
      <w:bookmarkEnd w:id="105"/>
      <w:bookmarkEnd w:id="106"/>
      <w:bookmarkEnd w:id="107"/>
    </w:p>
    <w:p w14:paraId="71A4EF5D" w14:textId="77777777" w:rsidR="00B83BDF" w:rsidRPr="00F12BC6" w:rsidRDefault="00B83BDF" w:rsidP="00B83BD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08" w:name="_Toc220082135"/>
      <w:bookmarkStart w:id="109" w:name="_Toc220082183"/>
      <w:bookmarkStart w:id="110" w:name="_Toc221109416"/>
      <w:bookmarkStart w:id="111" w:name="_Toc221182601"/>
      <w:r w:rsidRPr="00F12BC6">
        <w:t xml:space="preserve">congratula-se com a supressão do limiar </w:t>
      </w:r>
      <w:r w:rsidRPr="00F12BC6">
        <w:rPr>
          <w:i/>
        </w:rPr>
        <w:t>de minimis</w:t>
      </w:r>
      <w:r w:rsidRPr="00F12BC6">
        <w:t xml:space="preserve"> de 150 euros para as encomendas enviadas para a UE a partir de países terceiros e com a introdução de uma taxa de tratamento do comércio </w:t>
      </w:r>
      <w:r w:rsidRPr="00F12BC6">
        <w:lastRenderedPageBreak/>
        <w:t>eletrónico a partir de novembro de 2026, possivelmente tornando-se um novo recurso próprio do orçamento da UE.</w:t>
      </w:r>
      <w:bookmarkEnd w:id="108"/>
      <w:bookmarkEnd w:id="109"/>
      <w:bookmarkEnd w:id="110"/>
      <w:bookmarkEnd w:id="111"/>
    </w:p>
    <w:p w14:paraId="5F7FC070" w14:textId="77777777" w:rsidR="00B83BDF" w:rsidRPr="00F12BC6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B83BDF" w:rsidRPr="00F12BC6" w14:paraId="14AC758B" w14:textId="77777777" w:rsidTr="00F21158">
        <w:tc>
          <w:tcPr>
            <w:tcW w:w="2093" w:type="dxa"/>
          </w:tcPr>
          <w:p w14:paraId="43067A0E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7229" w:type="dxa"/>
          </w:tcPr>
          <w:p w14:paraId="6A853E1B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Gerald Klec</w:t>
            </w:r>
          </w:p>
        </w:tc>
      </w:tr>
      <w:tr w:rsidR="00B83BDF" w:rsidRPr="00F12BC6" w14:paraId="26D0609C" w14:textId="77777777" w:rsidTr="00F21158">
        <w:tc>
          <w:tcPr>
            <w:tcW w:w="2093" w:type="dxa"/>
          </w:tcPr>
          <w:p w14:paraId="3725FFE8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7229" w:type="dxa"/>
          </w:tcPr>
          <w:p w14:paraId="47D739C7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+32 2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12BC6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12BC6">
              <w:rPr>
                <w:i/>
                <w:sz w:val="22"/>
                <w:szCs w:val="22"/>
              </w:rPr>
              <w:t>99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12BC6">
              <w:rPr>
                <w:i/>
                <w:sz w:val="22"/>
                <w:szCs w:val="22"/>
              </w:rPr>
              <w:t>09</w:t>
            </w:r>
          </w:p>
        </w:tc>
      </w:tr>
      <w:tr w:rsidR="00B83BDF" w:rsidRPr="00F12BC6" w14:paraId="74117FD8" w14:textId="77777777" w:rsidTr="00F21158">
        <w:tc>
          <w:tcPr>
            <w:tcW w:w="2093" w:type="dxa"/>
          </w:tcPr>
          <w:p w14:paraId="231707EE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12BC6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7229" w:type="dxa"/>
          </w:tcPr>
          <w:p w14:paraId="45980556" w14:textId="77777777" w:rsidR="00B83BDF" w:rsidRPr="00F12BC6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24" w:history="1">
              <w:r w:rsidRPr="00F12BC6">
                <w:rPr>
                  <w:i/>
                  <w:color w:val="0000FF"/>
                  <w:sz w:val="22"/>
                  <w:szCs w:val="22"/>
                  <w:u w:val="single"/>
                </w:rPr>
                <w:t>Gerald.Klec@eesc.europa.eu</w:t>
              </w:r>
            </w:hyperlink>
          </w:p>
        </w:tc>
      </w:tr>
    </w:tbl>
    <w:p w14:paraId="5E6265DF" w14:textId="77777777" w:rsidR="00B83BDF" w:rsidRDefault="00B83BDF" w:rsidP="00B83BDF">
      <w:pPr>
        <w:pStyle w:val="ListParagraph"/>
        <w:ind w:left="0"/>
      </w:pPr>
    </w:p>
    <w:p w14:paraId="7FEB0522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630E37B" w14:textId="77777777" w:rsidR="00B83BDF" w:rsidRDefault="00B83BDF" w:rsidP="00B83BDF">
      <w:pPr>
        <w:pStyle w:val="Heading1"/>
        <w:rPr>
          <w:b/>
        </w:rPr>
      </w:pPr>
      <w:bookmarkStart w:id="112" w:name="_Toc75527081"/>
      <w:bookmarkStart w:id="113" w:name="_Toc221182602"/>
      <w:r>
        <w:rPr>
          <w:b/>
        </w:rPr>
        <w:lastRenderedPageBreak/>
        <w:t>EMPREGO, ASSUNTOS SOCIAIS E CIDADANIA</w:t>
      </w:r>
      <w:bookmarkEnd w:id="112"/>
      <w:bookmarkEnd w:id="113"/>
    </w:p>
    <w:p w14:paraId="4C93E8E2" w14:textId="77777777" w:rsidR="00B83BDF" w:rsidRDefault="00B83BDF" w:rsidP="00B83BDF"/>
    <w:p w14:paraId="615A0209" w14:textId="77777777" w:rsidR="00B83BDF" w:rsidRPr="00602E5F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r:id="rId25" w:history="1">
        <w:r w:rsidRPr="00602E5F">
          <w:rPr>
            <w:b/>
            <w:i/>
            <w:color w:val="0000FF"/>
            <w:sz w:val="28"/>
            <w:szCs w:val="28"/>
            <w:u w:val="single"/>
          </w:rPr>
          <w:t>A minha voz, a minha escolha: pelo aborto seguro e acessível</w:t>
        </w:r>
      </w:hyperlink>
    </w:p>
    <w:p w14:paraId="550D0E9A" w14:textId="77777777" w:rsidR="00B83BDF" w:rsidRPr="00DA024B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tbl>
      <w:tblPr>
        <w:tblStyle w:val="TableGrid2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783"/>
      </w:tblGrid>
      <w:tr w:rsidR="00B83BDF" w:rsidRPr="00602E5F" w14:paraId="18FFC7C9" w14:textId="77777777" w:rsidTr="00F21158">
        <w:tc>
          <w:tcPr>
            <w:tcW w:w="1701" w:type="dxa"/>
          </w:tcPr>
          <w:p w14:paraId="70F60308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02E5F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5783" w:type="dxa"/>
          </w:tcPr>
          <w:p w14:paraId="28DF48FD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  <w:rPr>
                <w:sz w:val="22"/>
                <w:szCs w:val="22"/>
              </w:rPr>
            </w:pPr>
            <w:r w:rsidRPr="00602E5F">
              <w:rPr>
                <w:sz w:val="22"/>
                <w:szCs w:val="22"/>
              </w:rPr>
              <w:t>José Antonio Moreno Díaz (ES</w:t>
            </w:r>
            <w:r>
              <w:rPr>
                <w:sz w:val="22"/>
                <w:szCs w:val="22"/>
              </w:rPr>
              <w:t>-</w:t>
            </w:r>
            <w:r w:rsidRPr="00602E5F">
              <w:rPr>
                <w:sz w:val="22"/>
                <w:szCs w:val="22"/>
              </w:rPr>
              <w:t>Grupo dos Trabalhadores)</w:t>
            </w:r>
          </w:p>
        </w:tc>
      </w:tr>
      <w:tr w:rsidR="00B83BDF" w:rsidRPr="00602E5F" w14:paraId="480ADB1B" w14:textId="77777777" w:rsidTr="00F21158">
        <w:tc>
          <w:tcPr>
            <w:tcW w:w="7484" w:type="dxa"/>
            <w:gridSpan w:val="2"/>
          </w:tcPr>
          <w:p w14:paraId="27A03480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  <w:lang w:val="es-ES"/>
              </w:rPr>
            </w:pPr>
          </w:p>
        </w:tc>
      </w:tr>
      <w:tr w:rsidR="00B83BDF" w:rsidRPr="00602E5F" w14:paraId="302CC2AA" w14:textId="77777777" w:rsidTr="00F21158">
        <w:tc>
          <w:tcPr>
            <w:tcW w:w="1701" w:type="dxa"/>
            <w:vMerge w:val="restart"/>
          </w:tcPr>
          <w:p w14:paraId="63847505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02E5F">
              <w:rPr>
                <w:b/>
                <w:sz w:val="22"/>
                <w:szCs w:val="22"/>
              </w:rPr>
              <w:t xml:space="preserve">Referência </w:t>
            </w:r>
          </w:p>
        </w:tc>
        <w:tc>
          <w:tcPr>
            <w:tcW w:w="5783" w:type="dxa"/>
          </w:tcPr>
          <w:p w14:paraId="6B8A3554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02E5F">
              <w:rPr>
                <w:sz w:val="22"/>
                <w:szCs w:val="22"/>
              </w:rPr>
              <w:t>Parecer de iniciativa</w:t>
            </w:r>
          </w:p>
        </w:tc>
      </w:tr>
      <w:tr w:rsidR="00B83BDF" w:rsidRPr="00602E5F" w14:paraId="52C7ADA2" w14:textId="77777777" w:rsidTr="00F21158">
        <w:tc>
          <w:tcPr>
            <w:tcW w:w="1701" w:type="dxa"/>
            <w:vMerge/>
          </w:tcPr>
          <w:p w14:paraId="4034C402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783" w:type="dxa"/>
          </w:tcPr>
          <w:p w14:paraId="435048CF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02E5F">
              <w:rPr>
                <w:sz w:val="22"/>
                <w:szCs w:val="22"/>
              </w:rPr>
              <w:t>EESC-2025-03118-00-00-AC</w:t>
            </w:r>
          </w:p>
          <w:p w14:paraId="7A05FCFF" w14:textId="77777777" w:rsidR="00B83BDF" w:rsidRPr="00602E5F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</w:tbl>
    <w:p w14:paraId="515D0860" w14:textId="77777777" w:rsidR="00B83BDF" w:rsidRPr="00602E5F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602E5F">
        <w:rPr>
          <w:b/>
        </w:rPr>
        <w:t>Pontos principais</w:t>
      </w:r>
    </w:p>
    <w:p w14:paraId="7917339F" w14:textId="77777777" w:rsidR="00B83BDF" w:rsidRPr="00602E5F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A24586C" w14:textId="77777777" w:rsidR="00B83BDF" w:rsidRPr="00602E5F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602E5F">
        <w:t>O Comité Económico e Social Europeu:</w:t>
      </w:r>
    </w:p>
    <w:p w14:paraId="2F60CBE0" w14:textId="77777777" w:rsidR="00B83BDF" w:rsidRPr="00602E5F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2F7A2366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destaca e saúda o esforço da iniciativa de cidadania europeia promovida pelo movimento «</w:t>
      </w:r>
      <w:r w:rsidRPr="00602E5F">
        <w:rPr>
          <w:b/>
          <w:i/>
        </w:rPr>
        <w:t>A minha voz, a minha escolha»</w:t>
      </w:r>
      <w:r w:rsidRPr="00602E5F">
        <w:t>;</w:t>
      </w:r>
    </w:p>
    <w:p w14:paraId="7BACBD6B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 xml:space="preserve">reitera que </w:t>
      </w:r>
      <w:r w:rsidRPr="00602E5F">
        <w:rPr>
          <w:b/>
        </w:rPr>
        <w:t>o aborto é e deve ser um direito humano</w:t>
      </w:r>
      <w:r w:rsidRPr="00602E5F">
        <w:t xml:space="preserve"> que se articula com muitos outros direitos, não apenas o direito à saúde;</w:t>
      </w:r>
    </w:p>
    <w:p w14:paraId="2CEBA902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rPr>
          <w:b/>
        </w:rPr>
        <w:t>insta a Comissão Europeia a apresentar uma proposta</w:t>
      </w:r>
      <w:r w:rsidRPr="00602E5F">
        <w:t xml:space="preserve"> de apoio financeiro aos Estados</w:t>
      </w:r>
      <w:r>
        <w:noBreakHyphen/>
      </w:r>
      <w:r w:rsidRPr="00602E5F">
        <w:t>Membros para que qualquer mulher na Europa que ainda não tenha acesso ao aborto seguro e legal possa interromper a gravidez em segurança, em conformidade com o ordenamento jurídico nacional;</w:t>
      </w:r>
    </w:p>
    <w:p w14:paraId="67BF845F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 xml:space="preserve">salienta que </w:t>
      </w:r>
      <w:r w:rsidRPr="00602E5F">
        <w:rPr>
          <w:b/>
        </w:rPr>
        <w:t>a recusa ou a obstrução da prestação de cuidados de saúde relacionados com o aborto constituem violência de género institucional</w:t>
      </w:r>
      <w:r w:rsidRPr="00602E5F">
        <w:t>;</w:t>
      </w:r>
    </w:p>
    <w:p w14:paraId="394617C3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sublinha que o acesso ao aborto seguro e legal faz parte do dever da UE de defender a dignidade, a integridade e a igualdade das mulheres;</w:t>
      </w:r>
    </w:p>
    <w:p w14:paraId="510A7938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 xml:space="preserve">realça que </w:t>
      </w:r>
      <w:r w:rsidRPr="00602E5F">
        <w:rPr>
          <w:b/>
        </w:rPr>
        <w:t>a decisão de interromper a gravidez deve caber exclusivamente à mulher em causa</w:t>
      </w:r>
      <w:r w:rsidRPr="00602E5F">
        <w:t>, que deve decidir de forma independente e sem ser alvo de coerção, desinformação e estigma;</w:t>
      </w:r>
    </w:p>
    <w:p w14:paraId="19D929F8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salienta que o acesso ao aborto seguro e legal deve ser acompanhado de políticas e programas que garantam a liberdade de escolha com conhecimento de causa e uma educação sexual abrangente;</w:t>
      </w:r>
    </w:p>
    <w:p w14:paraId="3B2BD3A7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recorda que uma educação sexual abrangente é essencial para prevenir gravidezes indesejadas, promover a igualdade de género e proteger contra a violência sexual;</w:t>
      </w:r>
    </w:p>
    <w:p w14:paraId="1B638F3A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insta os Estados-Membros a integrarem nos currículos escolares uma educação sexual abrangente, cientificamente rigorosa e adequada à idade e às diferentes capacidades;</w:t>
      </w:r>
    </w:p>
    <w:p w14:paraId="557A6A94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entende que a Comissão Europeia terá de clarificar a forma como os fundos da UE serão estruturados para financiar o exercício deste direito;</w:t>
      </w:r>
    </w:p>
    <w:p w14:paraId="545786AE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propõe que o Instituto Europeu para a Igualdade de Género (EIGE) e o Eurostat recolham dados desagregados em matéria de saúde e direitos sexuais e reprodutivos;</w:t>
      </w:r>
    </w:p>
    <w:p w14:paraId="3CD6B606" w14:textId="77777777" w:rsidR="00B83BDF" w:rsidRPr="00602E5F" w:rsidRDefault="00B83BDF" w:rsidP="00B83BDF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602E5F">
        <w:t>considera que cabe reforçar os direitos das mulheres face aos ataques de grupos fundamentalistas e de extrema-direita.</w:t>
      </w:r>
    </w:p>
    <w:p w14:paraId="1411E4D7" w14:textId="77777777" w:rsidR="00B83BDF" w:rsidRPr="00602E5F" w:rsidRDefault="00B83BDF" w:rsidP="00B83BDF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lang w:val="en-GB"/>
        </w:rPr>
      </w:pPr>
    </w:p>
    <w:tbl>
      <w:tblPr>
        <w:tblStyle w:val="TableGrid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="00B83BDF" w:rsidRPr="00602E5F" w14:paraId="1639FC27" w14:textId="77777777" w:rsidTr="00F21158">
        <w:tc>
          <w:tcPr>
            <w:tcW w:w="2093" w:type="dxa"/>
          </w:tcPr>
          <w:p w14:paraId="0D84CBB9" w14:textId="77777777" w:rsidR="00B83BDF" w:rsidRPr="00602E5F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602E5F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14:paraId="3A8833DA" w14:textId="77777777" w:rsidR="00B83BDF" w:rsidRPr="00602E5F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602E5F">
              <w:rPr>
                <w:i/>
                <w:sz w:val="22"/>
                <w:szCs w:val="22"/>
              </w:rPr>
              <w:t>Antoni Torras Estruch</w:t>
            </w:r>
          </w:p>
        </w:tc>
      </w:tr>
      <w:tr w:rsidR="00B83BDF" w:rsidRPr="00602E5F" w14:paraId="3AEF14CA" w14:textId="77777777" w:rsidTr="00F21158">
        <w:tc>
          <w:tcPr>
            <w:tcW w:w="2093" w:type="dxa"/>
          </w:tcPr>
          <w:p w14:paraId="498B225C" w14:textId="77777777" w:rsidR="00B83BDF" w:rsidRPr="00602E5F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602E5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14:paraId="79B1F41E" w14:textId="77777777" w:rsidR="00B83BDF" w:rsidRPr="00602E5F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602E5F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02E5F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02E5F">
              <w:rPr>
                <w:i/>
                <w:sz w:val="22"/>
                <w:szCs w:val="22"/>
              </w:rPr>
              <w:t>83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02E5F">
              <w:rPr>
                <w:i/>
                <w:sz w:val="22"/>
                <w:szCs w:val="22"/>
              </w:rPr>
              <w:t>91</w:t>
            </w:r>
          </w:p>
        </w:tc>
      </w:tr>
      <w:tr w:rsidR="00B83BDF" w:rsidRPr="00602E5F" w14:paraId="00C36463" w14:textId="77777777" w:rsidTr="00F21158">
        <w:tc>
          <w:tcPr>
            <w:tcW w:w="2093" w:type="dxa"/>
          </w:tcPr>
          <w:p w14:paraId="00FD66D3" w14:textId="77777777" w:rsidR="00B83BDF" w:rsidRPr="00602E5F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602E5F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14:paraId="145E4D2D" w14:textId="77777777" w:rsidR="00B83BDF" w:rsidRPr="00602E5F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r:id="rId26" w:history="1">
              <w:r w:rsidRPr="00602E5F">
                <w:rPr>
                  <w:i/>
                  <w:color w:val="0000FF"/>
                  <w:sz w:val="22"/>
                  <w:szCs w:val="22"/>
                  <w:u w:val="single"/>
                </w:rPr>
                <w:t>Antoni.TorrasEstruch@eesc.europa.eu</w:t>
              </w:r>
            </w:hyperlink>
            <w:r w:rsidRPr="00602E5F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62EEC8F2" w14:textId="77777777" w:rsidR="00B83BDF" w:rsidRDefault="00B83BDF" w:rsidP="00B83BDF">
      <w:pPr>
        <w:pStyle w:val="ListParagraph"/>
        <w:ind w:left="0"/>
      </w:pPr>
    </w:p>
    <w:p w14:paraId="7D9FDD17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8F1C200" w14:textId="77777777" w:rsidR="00B83BDF" w:rsidRPr="00E718B8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r:id="rId27" w:history="1">
        <w:r w:rsidRPr="00E718B8">
          <w:rPr>
            <w:b/>
            <w:i/>
            <w:color w:val="0000FF"/>
            <w:sz w:val="28"/>
            <w:szCs w:val="28"/>
            <w:u w:val="single"/>
          </w:rPr>
          <w:t>Proposta de regulamento sobre o Erasmus+ (2028-2034)</w:t>
        </w:r>
      </w:hyperlink>
    </w:p>
    <w:p w14:paraId="6DAC6392" w14:textId="77777777" w:rsidR="00B83BDF" w:rsidRPr="00920DBD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31"/>
        <w:gridCol w:w="6"/>
      </w:tblGrid>
      <w:tr w:rsidR="00B83BDF" w:rsidRPr="00E718B8" w14:paraId="7469810B" w14:textId="77777777" w:rsidTr="00F21158">
        <w:tc>
          <w:tcPr>
            <w:tcW w:w="2552" w:type="dxa"/>
          </w:tcPr>
          <w:p w14:paraId="0974D5B3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718B8">
              <w:rPr>
                <w:b/>
                <w:sz w:val="22"/>
                <w:szCs w:val="22"/>
              </w:rPr>
              <w:t>Relatora-geral</w:t>
            </w:r>
          </w:p>
          <w:p w14:paraId="6236D8AA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718B8">
              <w:rPr>
                <w:b/>
                <w:sz w:val="22"/>
                <w:szCs w:val="22"/>
              </w:rPr>
              <w:t>Correlatora-geral</w:t>
            </w:r>
          </w:p>
        </w:tc>
        <w:tc>
          <w:tcPr>
            <w:tcW w:w="6237" w:type="dxa"/>
            <w:gridSpan w:val="2"/>
          </w:tcPr>
          <w:p w14:paraId="6D22EB24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718B8">
              <w:rPr>
                <w:sz w:val="22"/>
                <w:szCs w:val="22"/>
              </w:rPr>
              <w:t>Nicoletta Merlo (IT</w:t>
            </w:r>
            <w:r>
              <w:rPr>
                <w:sz w:val="22"/>
                <w:szCs w:val="22"/>
              </w:rPr>
              <w:t>-</w:t>
            </w:r>
            <w:r w:rsidRPr="00E718B8">
              <w:rPr>
                <w:sz w:val="22"/>
                <w:szCs w:val="22"/>
              </w:rPr>
              <w:t>Grupo dos Trabalhadores)</w:t>
            </w:r>
          </w:p>
          <w:p w14:paraId="6FA3A7CE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718B8">
              <w:rPr>
                <w:sz w:val="22"/>
                <w:szCs w:val="22"/>
              </w:rPr>
              <w:t>Katrīna Leitāne (LV</w:t>
            </w:r>
            <w:r>
              <w:rPr>
                <w:sz w:val="22"/>
                <w:szCs w:val="22"/>
              </w:rPr>
              <w:t>-</w:t>
            </w:r>
            <w:r w:rsidRPr="00E718B8">
              <w:rPr>
                <w:sz w:val="22"/>
                <w:szCs w:val="22"/>
              </w:rPr>
              <w:t>Grupo das Organizações da Sociedade Civil)</w:t>
            </w:r>
          </w:p>
        </w:tc>
      </w:tr>
      <w:tr w:rsidR="00B83BDF" w:rsidRPr="00E718B8" w14:paraId="26128DCB" w14:textId="77777777" w:rsidTr="00F21158">
        <w:trPr>
          <w:gridAfter w:val="1"/>
          <w:wAfter w:w="6" w:type="dxa"/>
        </w:trPr>
        <w:tc>
          <w:tcPr>
            <w:tcW w:w="8783" w:type="dxa"/>
            <w:gridSpan w:val="2"/>
          </w:tcPr>
          <w:p w14:paraId="0E8882E7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E718B8" w14:paraId="16C8AAF7" w14:textId="77777777" w:rsidTr="00F21158">
        <w:tc>
          <w:tcPr>
            <w:tcW w:w="2552" w:type="dxa"/>
            <w:vMerge w:val="restart"/>
          </w:tcPr>
          <w:p w14:paraId="30D66F3A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718B8">
              <w:rPr>
                <w:b/>
                <w:sz w:val="22"/>
                <w:szCs w:val="22"/>
              </w:rPr>
              <w:t>Referência</w:t>
            </w:r>
            <w:r>
              <w:rPr>
                <w:b/>
                <w:sz w:val="22"/>
                <w:szCs w:val="22"/>
              </w:rPr>
              <w:t>s</w:t>
            </w:r>
            <w:r w:rsidRPr="00E718B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2D75CCAD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718B8">
              <w:rPr>
                <w:sz w:val="22"/>
                <w:szCs w:val="22"/>
              </w:rPr>
              <w:t>COM(2025) 395 final</w:t>
            </w:r>
          </w:p>
          <w:p w14:paraId="1B39E310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718B8">
              <w:rPr>
                <w:sz w:val="22"/>
                <w:szCs w:val="22"/>
              </w:rPr>
              <w:t>COM(2025) 549 final</w:t>
            </w:r>
          </w:p>
        </w:tc>
      </w:tr>
      <w:tr w:rsidR="00B83BDF" w:rsidRPr="00E718B8" w14:paraId="73EF653A" w14:textId="77777777" w:rsidTr="00F21158">
        <w:tc>
          <w:tcPr>
            <w:tcW w:w="2552" w:type="dxa"/>
            <w:vMerge/>
          </w:tcPr>
          <w:p w14:paraId="2B538A84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3EF5BA0D" w14:textId="77777777" w:rsidR="00B83BDF" w:rsidRPr="00E718B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718B8">
              <w:rPr>
                <w:sz w:val="22"/>
                <w:szCs w:val="22"/>
              </w:rPr>
              <w:t>EESC-2025-02919-00-00-AC</w:t>
            </w:r>
          </w:p>
        </w:tc>
      </w:tr>
    </w:tbl>
    <w:p w14:paraId="420B6079" w14:textId="77777777" w:rsidR="00B83BDF" w:rsidRPr="00E718B8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4980EC48" w14:textId="77777777" w:rsidR="00B83BDF" w:rsidRPr="00E718B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E718B8">
        <w:rPr>
          <w:b/>
        </w:rPr>
        <w:t>Pontos principais</w:t>
      </w:r>
    </w:p>
    <w:p w14:paraId="71F55654" w14:textId="77777777" w:rsidR="00B83BDF" w:rsidRPr="00E718B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BFDBBFD" w14:textId="77777777" w:rsidR="00B83BDF" w:rsidRPr="00E718B8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E718B8">
        <w:t>O Comité Económico e Social Europeu:</w:t>
      </w:r>
    </w:p>
    <w:p w14:paraId="0021D346" w14:textId="77777777" w:rsidR="00B83BDF" w:rsidRPr="00E718B8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2CB2C95F" w14:textId="77777777" w:rsidR="00B83BDF" w:rsidRPr="00E718B8" w:rsidRDefault="00B83BDF" w:rsidP="00B83BDF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</w:rPr>
      </w:pPr>
      <w:r w:rsidRPr="00E718B8">
        <w:t>salienta a necessidade de uma estrutura clara do programa Erasmus+ que assegure o reconhecimento dos diferentes domínios da juventude, da educação, da formação e do desporto, especificando as medidas e as definições referentes a cada um;</w:t>
      </w:r>
    </w:p>
    <w:p w14:paraId="61E40A0B" w14:textId="77777777" w:rsidR="00B83BDF" w:rsidRPr="00E718B8" w:rsidRDefault="00B83BDF" w:rsidP="00B83BDF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E718B8">
        <w:t>solicita que pelo menos 15% do orçamento total seja afetado ao domínio da juventude e que pelo menos 26,2% seja afetado ao ensino e formação profissionais (EFP);</w:t>
      </w:r>
    </w:p>
    <w:p w14:paraId="046229A2" w14:textId="77777777" w:rsidR="00B83BDF" w:rsidRPr="00E718B8" w:rsidRDefault="00B83BDF" w:rsidP="00B83BDF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E718B8">
        <w:t>adverte contra uma restruturação que possa diminuir a visibilidade das ações-chave e preconiza uma ação de «apoio à elaboração de políticas» como componente separada da «cooperação entre organizações e instituições», a fim de promover a participação dos jovens e a participação democrática;</w:t>
      </w:r>
    </w:p>
    <w:p w14:paraId="44E3D2F7" w14:textId="77777777" w:rsidR="00B83BDF" w:rsidRPr="00E718B8" w:rsidRDefault="00B83BDF" w:rsidP="00B83BDF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E718B8">
        <w:t>sublinha a importância de um acompanhamento sólido e da governação participativa, bem como a pertinência de salvaguardar a identidade única do Corpo Europeu de Solidariedade, mantendo simultaneamente a sua acessibilidade para os jovens com menos oportunidades;</w:t>
      </w:r>
    </w:p>
    <w:p w14:paraId="73212086" w14:textId="77777777" w:rsidR="00B83BDF" w:rsidRPr="00E718B8" w:rsidRDefault="00B83BDF" w:rsidP="00B83BDF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E718B8">
        <w:t>apela para a inclusividade além da UE, apoio sustentado à mobilidade profissional e sensibilização orientada para os grupos desfavorecidos, em particular os jovens que não trabalham, não estudam nem seguem qualquer formação;</w:t>
      </w:r>
    </w:p>
    <w:p w14:paraId="58E9A9DE" w14:textId="77777777" w:rsidR="00B83BDF" w:rsidRPr="00E718B8" w:rsidRDefault="00B83BDF" w:rsidP="00B83BDF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E718B8">
        <w:t xml:space="preserve">destaca a necessidade de reforçar o impacto socioeconómico do Eramus+, dando prioridade à mobilidade para fins de aprendizagem, aumentando o financiamento para EFP e promovendo a cooperação entre os prestadores de ensino e </w:t>
      </w:r>
    </w:p>
    <w:p w14:paraId="172686CA" w14:textId="77777777" w:rsidR="00B83BDF" w:rsidRPr="00E718B8" w:rsidRDefault="00B83BDF" w:rsidP="00B83BD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E718B8">
        <w:t>o mercado de trabalho para fomentar a inovação no desenvolvimento de competências.</w:t>
      </w:r>
    </w:p>
    <w:p w14:paraId="3C0D9E64" w14:textId="77777777" w:rsidR="00B83BDF" w:rsidRPr="00E718B8" w:rsidRDefault="00B83BDF" w:rsidP="00B83BDF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lang w:val="en-GB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="00B83BDF" w:rsidRPr="00E718B8" w14:paraId="0F71F6FD" w14:textId="77777777" w:rsidTr="00F21158">
        <w:tc>
          <w:tcPr>
            <w:tcW w:w="2093" w:type="dxa"/>
          </w:tcPr>
          <w:p w14:paraId="71824634" w14:textId="77777777" w:rsidR="00B83BDF" w:rsidRPr="00E718B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718B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14:paraId="2DCC3DF7" w14:textId="77777777" w:rsidR="00B83BDF" w:rsidRPr="00E718B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718B8">
              <w:rPr>
                <w:i/>
                <w:sz w:val="22"/>
                <w:szCs w:val="22"/>
              </w:rPr>
              <w:t>Valeria Atzori</w:t>
            </w:r>
          </w:p>
        </w:tc>
      </w:tr>
      <w:tr w:rsidR="00B83BDF" w:rsidRPr="00E718B8" w14:paraId="4CDE4247" w14:textId="77777777" w:rsidTr="00F21158">
        <w:tc>
          <w:tcPr>
            <w:tcW w:w="2093" w:type="dxa"/>
          </w:tcPr>
          <w:p w14:paraId="221CFB9D" w14:textId="77777777" w:rsidR="00B83BDF" w:rsidRPr="00E718B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718B8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4995" w:type="dxa"/>
          </w:tcPr>
          <w:p w14:paraId="4CED7640" w14:textId="77777777" w:rsidR="00B83BDF" w:rsidRPr="00E718B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718B8">
              <w:rPr>
                <w:i/>
                <w:sz w:val="22"/>
                <w:szCs w:val="22"/>
              </w:rPr>
              <w:t>+32 2 546 87 74</w:t>
            </w:r>
          </w:p>
        </w:tc>
      </w:tr>
      <w:tr w:rsidR="00B83BDF" w:rsidRPr="00E718B8" w14:paraId="144A2C61" w14:textId="77777777" w:rsidTr="00F21158">
        <w:tc>
          <w:tcPr>
            <w:tcW w:w="2093" w:type="dxa"/>
          </w:tcPr>
          <w:p w14:paraId="05A16D25" w14:textId="77777777" w:rsidR="00B83BDF" w:rsidRPr="00E718B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718B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14:paraId="1CE4E5A2" w14:textId="77777777" w:rsidR="00B83BDF" w:rsidRPr="00E718B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r:id="rId28" w:history="1">
              <w:r w:rsidRPr="00E718B8">
                <w:rPr>
                  <w:rStyle w:val="Hyperlink"/>
                  <w:i/>
                  <w:sz w:val="22"/>
                  <w:szCs w:val="22"/>
                </w:rPr>
                <w:t>Valeria.Atzori@eesc.europa.eu</w:t>
              </w:r>
            </w:hyperlink>
          </w:p>
        </w:tc>
      </w:tr>
    </w:tbl>
    <w:p w14:paraId="7C954560" w14:textId="77777777" w:rsidR="00B83BDF" w:rsidRDefault="00B83BDF" w:rsidP="00B83BDF">
      <w:pPr>
        <w:pStyle w:val="ListParagraph"/>
        <w:ind w:left="0"/>
      </w:pPr>
    </w:p>
    <w:p w14:paraId="0593604D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01E21729" w14:textId="77777777" w:rsidR="00B83BDF" w:rsidRPr="00A33F3A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r:id="rId29" w:history="1">
        <w:r w:rsidRPr="00A33F3A">
          <w:rPr>
            <w:b/>
            <w:i/>
            <w:color w:val="0000FF"/>
            <w:sz w:val="28"/>
            <w:szCs w:val="28"/>
            <w:u w:val="single"/>
          </w:rPr>
          <w:t>Criação do Fundo Social Europeu enquanto elemento do plano de parceria nacional e regional</w:t>
        </w:r>
      </w:hyperlink>
    </w:p>
    <w:p w14:paraId="599F2150" w14:textId="77777777" w:rsidR="00B83BDF" w:rsidRPr="00E630B2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6"/>
        <w:tblW w:w="41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529"/>
      </w:tblGrid>
      <w:tr w:rsidR="00B83BDF" w:rsidRPr="00A33F3A" w14:paraId="2A536BE3" w14:textId="77777777" w:rsidTr="00F21158">
        <w:tc>
          <w:tcPr>
            <w:tcW w:w="1321" w:type="pct"/>
          </w:tcPr>
          <w:p w14:paraId="48CDD45A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  <w:sz w:val="22"/>
                <w:szCs w:val="22"/>
              </w:rPr>
            </w:pPr>
            <w:r w:rsidRPr="00A33F3A">
              <w:rPr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3679" w:type="pct"/>
          </w:tcPr>
          <w:p w14:paraId="1B586CD2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Nicoletta Merlo (IT-Grupo dos Trabalhadores)</w:t>
            </w:r>
          </w:p>
        </w:tc>
      </w:tr>
      <w:tr w:rsidR="00B83BDF" w:rsidRPr="00A33F3A" w14:paraId="154979C1" w14:textId="77777777" w:rsidTr="00F21158">
        <w:tc>
          <w:tcPr>
            <w:tcW w:w="5000" w:type="pct"/>
            <w:gridSpan w:val="2"/>
          </w:tcPr>
          <w:p w14:paraId="5D5EB4C3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16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A33F3A" w14:paraId="1C90B2E2" w14:textId="77777777" w:rsidTr="00F21158">
        <w:tc>
          <w:tcPr>
            <w:tcW w:w="1321" w:type="pct"/>
            <w:vMerge w:val="restart"/>
          </w:tcPr>
          <w:p w14:paraId="3ED09D95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  <w:sz w:val="22"/>
                <w:szCs w:val="22"/>
              </w:rPr>
            </w:pPr>
            <w:r w:rsidRPr="00A33F3A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679" w:type="pct"/>
          </w:tcPr>
          <w:p w14:paraId="643A2702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COM(2025) 558 final</w:t>
            </w:r>
          </w:p>
          <w:p w14:paraId="25F75550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EESC-2025-03058-00-00-AC</w:t>
            </w:r>
          </w:p>
        </w:tc>
      </w:tr>
      <w:tr w:rsidR="00B83BDF" w:rsidRPr="00A33F3A" w14:paraId="7F194DAC" w14:textId="77777777" w:rsidTr="00F21158">
        <w:tc>
          <w:tcPr>
            <w:tcW w:w="1321" w:type="pct"/>
            <w:vMerge/>
          </w:tcPr>
          <w:p w14:paraId="762B5340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679" w:type="pct"/>
          </w:tcPr>
          <w:p w14:paraId="7725C591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</w:tbl>
    <w:p w14:paraId="08C5C563" w14:textId="77777777" w:rsidR="00B83BDF" w:rsidRPr="00A33F3A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A33F3A">
        <w:rPr>
          <w:b/>
        </w:rPr>
        <w:t>Pontos principais</w:t>
      </w:r>
    </w:p>
    <w:p w14:paraId="26320ADB" w14:textId="77777777" w:rsidR="00B83BDF" w:rsidRPr="00A33F3A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8D74D9F" w14:textId="77777777" w:rsidR="00B83BDF" w:rsidRPr="00A33F3A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A33F3A">
        <w:t>O Comité Económico e Social Europeu:</w:t>
      </w:r>
    </w:p>
    <w:p w14:paraId="26C9B357" w14:textId="77777777" w:rsidR="00B83BDF" w:rsidRPr="00A33F3A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14:paraId="22F1DDA2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defende um aumento das despesas sociais nos planos de parceria nacional e regional de 14% para 20% e a necessidade de se reservar, pelo menos, 14% ao Fundo Social Europeu (FSE) para o reforço da dimensão social da União Europeia (UE);</w:t>
      </w:r>
    </w:p>
    <w:p w14:paraId="33D05F34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insiste na necessidade de preservar a estrutura específica do FSE assente em programas nacionais e regionais obrigatórios, a fim de salvaguardar o seu valor acrescentado;</w:t>
      </w:r>
    </w:p>
    <w:p w14:paraId="5BE10F14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solicita uma simplificação substancial dos procedimentos do FSE e o reforço da capacidade administrativa para melhorar a acessibilidade e a execução dos fundos;</w:t>
      </w:r>
    </w:p>
    <w:p w14:paraId="640C4D27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left"/>
        <w:textAlignment w:val="baseline"/>
      </w:pPr>
      <w:r w:rsidRPr="00A33F3A">
        <w:t>solicita que se afetem pelo menos 1% dos recursos do FSE ao reforço das capacidades dos parceiros sociais e das organizações da sociedade civil, tanto a nível regional como nacional;</w:t>
      </w:r>
    </w:p>
    <w:p w14:paraId="46F8B7AB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reclama uma participação significativa e contínua dos parceiros sociais e da sociedade civil, o que inclui o pleno direito de voto nos comités de acompanhamento;</w:t>
      </w:r>
    </w:p>
    <w:p w14:paraId="4EAB078B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reafirma a importância da governação a vários níveis e de uma ligação direta entre o nível regional e a Comissão, de modo a manter a dimensão territorial vincada do FSE;</w:t>
      </w:r>
    </w:p>
    <w:p w14:paraId="124D32F8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defende um maior complementaridade entre os fundos da UE, nomeadamente através de abordagens multifundos sólidas entre o FSE e o Fundo Europeu de Desenvolvimento Regional (FEDER);</w:t>
      </w:r>
    </w:p>
    <w:p w14:paraId="36A914E8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solicita um investimento avultado na educação, na formação e na aprendizagem ao longo da vida, com particular ênfase nas CTEM (ciência, tecnologia, engenharia e matemática) e nas competências ecológicas e digitais;</w:t>
      </w:r>
    </w:p>
    <w:p w14:paraId="0F93E6B2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insta a que, pelo menos, 20% dos recursos do FSE sejam destinados a financiar a execução da Garantia para a Juventude reforçada e a apoiar o emprego de qualidade para os jovens;</w:t>
      </w:r>
    </w:p>
    <w:p w14:paraId="3805E90C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solicita que a percentagem de investimento destinada à inclusão social, à redução da pobreza e aos serviços sociais de elevada qualidade, incluindo os cuidados de proximidade e habitação a preços acessíveis, seja aumentada de 25% para 30%;</w:t>
      </w:r>
    </w:p>
    <w:p w14:paraId="55CA358B" w14:textId="77777777" w:rsidR="00B83BDF" w:rsidRPr="00A33F3A" w:rsidRDefault="00B83BDF" w:rsidP="00B83BD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33F3A">
        <w:t>insiste na necessidade de uma comunicação e divulgação do FSE mais claras e acessíveis, a fim de assegurar que os cidadãos e as partes interessadas estão cientes das oportunidades que têm à sua disposição.</w:t>
      </w:r>
    </w:p>
    <w:p w14:paraId="4974FA93" w14:textId="77777777" w:rsidR="00B83BDF" w:rsidRPr="00A33F3A" w:rsidRDefault="00B83BDF" w:rsidP="00B83BDF">
      <w:pPr>
        <w:spacing w:after="200" w:line="276" w:lineRule="auto"/>
        <w:ind w:left="720"/>
        <w:contextualSpacing/>
        <w:rPr>
          <w:lang w:val="en-GB" w:eastAsia="zh-CN"/>
        </w:rPr>
      </w:pPr>
    </w:p>
    <w:tbl>
      <w:tblPr>
        <w:tblStyle w:val="TableGrid6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3"/>
      </w:tblGrid>
      <w:tr w:rsidR="00B83BDF" w:rsidRPr="00A33F3A" w14:paraId="5B0A16B2" w14:textId="77777777" w:rsidTr="00B83BDF">
        <w:tc>
          <w:tcPr>
            <w:tcW w:w="1667" w:type="pct"/>
          </w:tcPr>
          <w:p w14:paraId="27BDB484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333" w:type="pct"/>
          </w:tcPr>
          <w:p w14:paraId="33C300FF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Bartek Bednarowicz</w:t>
            </w:r>
          </w:p>
        </w:tc>
      </w:tr>
      <w:tr w:rsidR="00B83BDF" w:rsidRPr="00A33F3A" w14:paraId="588ADED0" w14:textId="77777777" w:rsidTr="00B83BDF">
        <w:tc>
          <w:tcPr>
            <w:tcW w:w="1667" w:type="pct"/>
          </w:tcPr>
          <w:p w14:paraId="2D157F42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333" w:type="pct"/>
          </w:tcPr>
          <w:p w14:paraId="2CBFE397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92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29</w:t>
            </w:r>
          </w:p>
        </w:tc>
      </w:tr>
      <w:tr w:rsidR="00B83BDF" w:rsidRPr="00A33F3A" w14:paraId="6C4E10FA" w14:textId="77777777" w:rsidTr="00B83BDF">
        <w:tc>
          <w:tcPr>
            <w:tcW w:w="1667" w:type="pct"/>
          </w:tcPr>
          <w:p w14:paraId="6292ABED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333" w:type="pct"/>
          </w:tcPr>
          <w:p w14:paraId="2FDA7F30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r:id="rId30" w:history="1">
              <w:r w:rsidRPr="00A33F3A">
                <w:rPr>
                  <w:i/>
                  <w:color w:val="0000FF"/>
                  <w:sz w:val="22"/>
                  <w:szCs w:val="22"/>
                  <w:u w:val="single"/>
                </w:rPr>
                <w:t>Bartek.Bednarowicz@eesc.europa.eu</w:t>
              </w:r>
            </w:hyperlink>
          </w:p>
        </w:tc>
      </w:tr>
    </w:tbl>
    <w:p w14:paraId="09EE3E09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13CE9273" w14:textId="77777777" w:rsidR="00B83BDF" w:rsidRDefault="00B83BDF" w:rsidP="00B83BDF">
      <w:pPr>
        <w:pStyle w:val="Heading1"/>
        <w:rPr>
          <w:b/>
        </w:rPr>
      </w:pPr>
      <w:bookmarkStart w:id="114" w:name="_Toc24617160"/>
      <w:bookmarkStart w:id="115" w:name="_Toc75527082"/>
      <w:bookmarkStart w:id="116" w:name="_Toc221182603"/>
      <w:r>
        <w:rPr>
          <w:b/>
        </w:rPr>
        <w:lastRenderedPageBreak/>
        <w:t>TRANSPORTES, ENERGIA, INFRAESTRUTURAS E SOCIEDADE DA INFORMAÇÃO</w:t>
      </w:r>
      <w:bookmarkEnd w:id="114"/>
      <w:bookmarkEnd w:id="115"/>
      <w:bookmarkEnd w:id="116"/>
    </w:p>
    <w:p w14:paraId="76D4FB93" w14:textId="77777777" w:rsidR="00B83BDF" w:rsidRDefault="00B83BDF" w:rsidP="00B83BDF"/>
    <w:p w14:paraId="63C42046" w14:textId="77777777" w:rsidR="00B83BDF" w:rsidRPr="00A33F3A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r:id="rId31" w:history="1">
        <w:r w:rsidRPr="00A33F3A">
          <w:rPr>
            <w:b/>
            <w:i/>
            <w:color w:val="0000FF"/>
            <w:sz w:val="28"/>
            <w:szCs w:val="28"/>
            <w:u w:val="single"/>
          </w:rPr>
          <w:t>Acordo bilateral de transporte rodoviário entre a Áustria e a Suíça</w:t>
        </w:r>
      </w:hyperlink>
    </w:p>
    <w:p w14:paraId="76171097" w14:textId="77777777" w:rsidR="00B83BDF" w:rsidRPr="00643832" w:rsidRDefault="00B83BDF" w:rsidP="00B83BDF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 w:val="20"/>
          <w:szCs w:val="20"/>
          <w:lang w:val="en-GB"/>
        </w:rPr>
      </w:pPr>
    </w:p>
    <w:tbl>
      <w:tblPr>
        <w:tblStyle w:val="TableGrid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B83BDF" w:rsidRPr="00A33F3A" w14:paraId="7A6EDC8E" w14:textId="77777777" w:rsidTr="00F21158">
        <w:tc>
          <w:tcPr>
            <w:tcW w:w="1701" w:type="dxa"/>
          </w:tcPr>
          <w:p w14:paraId="6DE47806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96" w:hanging="709"/>
              <w:textAlignment w:val="baseline"/>
              <w:rPr>
                <w:b/>
                <w:sz w:val="22"/>
                <w:szCs w:val="22"/>
              </w:rPr>
            </w:pPr>
            <w:r w:rsidRPr="00A33F3A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7621" w:type="dxa"/>
          </w:tcPr>
          <w:p w14:paraId="70DD7217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Cs/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Parecer da categoria C</w:t>
            </w:r>
          </w:p>
        </w:tc>
      </w:tr>
      <w:tr w:rsidR="00B83BDF" w:rsidRPr="00A33F3A" w14:paraId="6286A289" w14:textId="77777777" w:rsidTr="00F21158">
        <w:tc>
          <w:tcPr>
            <w:tcW w:w="1701" w:type="dxa"/>
          </w:tcPr>
          <w:p w14:paraId="0A102BB3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96" w:hanging="709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621" w:type="dxa"/>
          </w:tcPr>
          <w:p w14:paraId="29692C19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Cs/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COM(2025) 773 final</w:t>
            </w:r>
          </w:p>
          <w:p w14:paraId="42CD8C28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EESC-2026-00125-00-00-AC</w:t>
            </w:r>
          </w:p>
        </w:tc>
      </w:tr>
    </w:tbl>
    <w:p w14:paraId="621650F6" w14:textId="77777777" w:rsidR="00B83BDF" w:rsidRPr="00A33F3A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GB"/>
        </w:rPr>
      </w:pPr>
    </w:p>
    <w:p w14:paraId="0D2CDC7D" w14:textId="77777777" w:rsidR="00B83BDF" w:rsidRPr="00A33F3A" w:rsidRDefault="00B83BDF" w:rsidP="00B83BDF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 w:rsidRPr="00A33F3A">
        <w:t>Considerando que o conteúdo da proposta é satisfatório e, de resto, havia sido já objeto do Parecer TEN/698 – Acordos bilaterais de transporte rodoviário entre a Suíça e a Alemanha e entre a Suíça e Itália [</w:t>
      </w:r>
      <w:hyperlink r:id="rId32" w:history="1">
        <w:r w:rsidRPr="00A33F3A">
          <w:rPr>
            <w:color w:val="0000FF"/>
            <w:u w:val="single"/>
          </w:rPr>
          <w:t>JO C 14, 15.1.2020, p. 118</w:t>
        </w:r>
      </w:hyperlink>
      <w:r w:rsidRPr="00A33F3A">
        <w:t>], adotado em 25 de setembro de 2019, o Comité decidiu emitir parecer favorável ao texto proposto, remetendo para a posição defendida no documento mencionado.</w:t>
      </w:r>
    </w:p>
    <w:p w14:paraId="0D136933" w14:textId="77777777" w:rsidR="00B83BDF" w:rsidRPr="00A33F3A" w:rsidRDefault="00B83BDF" w:rsidP="00B83BDF">
      <w:pPr>
        <w:widowControl w:val="0"/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GB"/>
        </w:rPr>
      </w:pPr>
    </w:p>
    <w:tbl>
      <w:tblPr>
        <w:tblStyle w:val="TableGrid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B83BDF" w:rsidRPr="00A33F3A" w14:paraId="399830C3" w14:textId="77777777" w:rsidTr="00F21158">
        <w:tc>
          <w:tcPr>
            <w:tcW w:w="2093" w:type="dxa"/>
          </w:tcPr>
          <w:p w14:paraId="3CB78F70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7229" w:type="dxa"/>
          </w:tcPr>
          <w:p w14:paraId="69068138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Aleksandra Šarman Grilc</w:t>
            </w:r>
          </w:p>
        </w:tc>
      </w:tr>
      <w:tr w:rsidR="00B83BDF" w:rsidRPr="00A33F3A" w14:paraId="1CF9B5EB" w14:textId="77777777" w:rsidTr="00F21158">
        <w:tc>
          <w:tcPr>
            <w:tcW w:w="2093" w:type="dxa"/>
          </w:tcPr>
          <w:p w14:paraId="1E938681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7229" w:type="dxa"/>
          </w:tcPr>
          <w:p w14:paraId="1C9BB84A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83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33</w:t>
            </w:r>
          </w:p>
        </w:tc>
      </w:tr>
      <w:tr w:rsidR="00B83BDF" w:rsidRPr="00A33F3A" w14:paraId="6C870C51" w14:textId="77777777" w:rsidTr="00F21158">
        <w:tc>
          <w:tcPr>
            <w:tcW w:w="2093" w:type="dxa"/>
          </w:tcPr>
          <w:p w14:paraId="32C4B357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7229" w:type="dxa"/>
          </w:tcPr>
          <w:p w14:paraId="3F20E892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iCs/>
                <w:sz w:val="22"/>
                <w:szCs w:val="22"/>
              </w:rPr>
            </w:pPr>
            <w:hyperlink r:id="rId33" w:history="1">
              <w:r w:rsidRPr="00A33F3A">
                <w:rPr>
                  <w:i/>
                  <w:color w:val="0000FF"/>
                  <w:sz w:val="22"/>
                  <w:szCs w:val="22"/>
                  <w:u w:val="single"/>
                </w:rPr>
                <w:t>Aleksandra.SarmanGrilc@eesc.europa.eu</w:t>
              </w:r>
            </w:hyperlink>
            <w:r w:rsidRPr="00A33F3A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13F0731E" w14:textId="77777777" w:rsidR="00B83BDF" w:rsidRDefault="00B83BDF" w:rsidP="00B83BDF">
      <w:pPr>
        <w:pStyle w:val="ListParagraph"/>
        <w:ind w:left="0"/>
      </w:pPr>
    </w:p>
    <w:p w14:paraId="0A7D0AC3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A128B8A" w14:textId="77777777" w:rsidR="00B83BDF" w:rsidRPr="00A33F3A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r:id="rId34" w:history="1">
        <w:r w:rsidRPr="00A33F3A">
          <w:rPr>
            <w:b/>
            <w:i/>
            <w:color w:val="0000FF"/>
            <w:sz w:val="28"/>
            <w:szCs w:val="28"/>
            <w:u w:val="single"/>
          </w:rPr>
          <w:t>Mecanismo Interligar a Europa (2028-2034)</w:t>
        </w:r>
      </w:hyperlink>
    </w:p>
    <w:p w14:paraId="34802FE2" w14:textId="77777777" w:rsidR="00B83BDF" w:rsidRPr="003C404F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062"/>
      </w:tblGrid>
      <w:tr w:rsidR="00B83BDF" w:rsidRPr="00A33F3A" w14:paraId="44645F11" w14:textId="77777777" w:rsidTr="00F21158">
        <w:tc>
          <w:tcPr>
            <w:tcW w:w="1701" w:type="dxa"/>
          </w:tcPr>
          <w:p w14:paraId="34B9C998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33F3A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6062" w:type="dxa"/>
          </w:tcPr>
          <w:p w14:paraId="5677938D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Mateusz Szymański (PL</w:t>
            </w:r>
            <w:r>
              <w:rPr>
                <w:sz w:val="22"/>
                <w:szCs w:val="22"/>
              </w:rPr>
              <w:t>-</w:t>
            </w:r>
            <w:r w:rsidRPr="00A33F3A">
              <w:rPr>
                <w:sz w:val="22"/>
                <w:szCs w:val="22"/>
              </w:rPr>
              <w:t>Grupo dos Trabalhadores)</w:t>
            </w:r>
          </w:p>
        </w:tc>
      </w:tr>
      <w:tr w:rsidR="00B83BDF" w:rsidRPr="00A33F3A" w14:paraId="28031DCE" w14:textId="77777777" w:rsidTr="00F21158">
        <w:tc>
          <w:tcPr>
            <w:tcW w:w="1701" w:type="dxa"/>
          </w:tcPr>
          <w:p w14:paraId="599FD6A8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33F3A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6062" w:type="dxa"/>
          </w:tcPr>
          <w:p w14:paraId="63FACFCF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Tomas Arne Krister Arvidsson (SE</w:t>
            </w:r>
            <w:r>
              <w:rPr>
                <w:sz w:val="22"/>
                <w:szCs w:val="22"/>
              </w:rPr>
              <w:t>-</w:t>
            </w:r>
            <w:r w:rsidRPr="00A33F3A">
              <w:rPr>
                <w:sz w:val="22"/>
                <w:szCs w:val="22"/>
              </w:rPr>
              <w:t>Grupo dos Empregadores)</w:t>
            </w:r>
          </w:p>
        </w:tc>
      </w:tr>
      <w:tr w:rsidR="00B83BDF" w:rsidRPr="00A33F3A" w14:paraId="4D34098F" w14:textId="77777777" w:rsidTr="00F21158">
        <w:tc>
          <w:tcPr>
            <w:tcW w:w="7763" w:type="dxa"/>
            <w:gridSpan w:val="2"/>
          </w:tcPr>
          <w:p w14:paraId="1A9B2701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A33F3A" w14:paraId="65B3C378" w14:textId="77777777" w:rsidTr="00F21158">
        <w:tc>
          <w:tcPr>
            <w:tcW w:w="1701" w:type="dxa"/>
          </w:tcPr>
          <w:p w14:paraId="605F95A1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33F3A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6062" w:type="dxa"/>
          </w:tcPr>
          <w:p w14:paraId="4DFC23CB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COM(2025) 547 final</w:t>
            </w:r>
          </w:p>
          <w:p w14:paraId="5CF60892" w14:textId="77777777" w:rsidR="00B83BDF" w:rsidRPr="00A33F3A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33F3A">
              <w:rPr>
                <w:sz w:val="22"/>
                <w:szCs w:val="22"/>
              </w:rPr>
              <w:t>EESC-2025-03183-00-00-AC</w:t>
            </w:r>
          </w:p>
        </w:tc>
      </w:tr>
    </w:tbl>
    <w:p w14:paraId="3C5ECB27" w14:textId="77777777" w:rsidR="00B83BDF" w:rsidRPr="00A33F3A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1BA47AFA" w14:textId="77777777" w:rsidR="00B83BDF" w:rsidRPr="00A33F3A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bookmarkStart w:id="117" w:name="_Hlk215320928"/>
      <w:r w:rsidRPr="00A33F3A">
        <w:rPr>
          <w:b/>
        </w:rPr>
        <w:t>Pontos principais</w:t>
      </w:r>
    </w:p>
    <w:p w14:paraId="100E7A34" w14:textId="77777777" w:rsidR="00B83BDF" w:rsidRPr="00A33F3A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672C4E8" w14:textId="77777777" w:rsidR="00B83BDF" w:rsidRPr="00A33F3A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A33F3A">
        <w:t>O Comité Económico e Social Europeu:</w:t>
      </w:r>
    </w:p>
    <w:p w14:paraId="4BF8AB9B" w14:textId="77777777" w:rsidR="00B83BDF" w:rsidRPr="00A33F3A" w:rsidRDefault="00B83BDF" w:rsidP="00B83BDF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bCs/>
          <w:iCs/>
          <w:lang w:val="en-GB"/>
        </w:rPr>
      </w:pPr>
    </w:p>
    <w:p w14:paraId="1DDC4369" w14:textId="77777777" w:rsidR="00B83BDF" w:rsidRPr="00A33F3A" w:rsidRDefault="00B83BDF" w:rsidP="00B83BD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A33F3A">
        <w:t xml:space="preserve">congratula-se com o facto de se reconhecer a necessidade de investimento e, em particular, a urgência de reforçar a resiliência da UE e melhorar a segurança. </w:t>
      </w:r>
      <w:r w:rsidRPr="00A33F3A">
        <w:rPr>
          <w:b/>
        </w:rPr>
        <w:t>Solicita um aumento do financiamento do Mecanismo Interligar a Europa (MIE) 3 para, pelo menos, 100 mil milhões de euros</w:t>
      </w:r>
      <w:r w:rsidRPr="00A33F3A">
        <w:t xml:space="preserve">; </w:t>
      </w:r>
    </w:p>
    <w:p w14:paraId="2612CE6A" w14:textId="77777777" w:rsidR="00B83BDF" w:rsidRPr="00A33F3A" w:rsidRDefault="00B83BDF" w:rsidP="00B83BD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A33F3A">
        <w:t xml:space="preserve">considera adequado incluir, no próximo período de programação, </w:t>
      </w:r>
      <w:r w:rsidRPr="00A33F3A">
        <w:rPr>
          <w:b/>
        </w:rPr>
        <w:t>investimentos que se estendam para além da UE</w:t>
      </w:r>
      <w:r w:rsidRPr="00A33F3A">
        <w:t>, através da expansão dos corredores da rede transeuropeia de transportes (RTE</w:t>
      </w:r>
      <w:r>
        <w:noBreakHyphen/>
      </w:r>
      <w:r w:rsidRPr="00A33F3A">
        <w:t>T) aos países candidatos;</w:t>
      </w:r>
    </w:p>
    <w:p w14:paraId="3A8585FC" w14:textId="77777777" w:rsidR="00B83BDF" w:rsidRPr="00A33F3A" w:rsidRDefault="00B83BDF" w:rsidP="00B83BD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A33F3A">
        <w:t xml:space="preserve">salienta que, a fim de assegurar a </w:t>
      </w:r>
      <w:r w:rsidRPr="00A33F3A">
        <w:rPr>
          <w:b/>
          <w:bCs/>
        </w:rPr>
        <w:t>coesão territorial</w:t>
      </w:r>
      <w:r w:rsidRPr="00A33F3A">
        <w:t xml:space="preserve"> e a plena utilização do mercado único, o programa deve dar prioridade aos </w:t>
      </w:r>
      <w:r w:rsidRPr="00A33F3A">
        <w:rPr>
          <w:b/>
          <w:bCs/>
        </w:rPr>
        <w:t>investimentos em regiões com lacunas significativas em matéria de infraestruturas</w:t>
      </w:r>
      <w:r w:rsidRPr="00A33F3A">
        <w:t xml:space="preserve"> e apoiar projetos destinados a </w:t>
      </w:r>
      <w:r w:rsidRPr="00A33F3A">
        <w:rPr>
          <w:b/>
          <w:bCs/>
        </w:rPr>
        <w:t>garantir infraestruturas críticas e eliminar estrangulamentos</w:t>
      </w:r>
      <w:r w:rsidRPr="00A33F3A">
        <w:t xml:space="preserve">, em particular nos </w:t>
      </w:r>
      <w:r w:rsidRPr="00A33F3A">
        <w:rPr>
          <w:b/>
          <w:bCs/>
        </w:rPr>
        <w:t>países beneficiários de fundos da política de coesão e nas regiões limítrofes da Rússia e da Bielorrússia</w:t>
      </w:r>
      <w:r w:rsidRPr="00A33F3A">
        <w:t>, Estados que são abertamente hostis aos países da UE;</w:t>
      </w:r>
    </w:p>
    <w:p w14:paraId="2F71E758" w14:textId="77777777" w:rsidR="00B83BDF" w:rsidRPr="00A33F3A" w:rsidRDefault="00B83BDF" w:rsidP="00B83BD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A33F3A">
        <w:t>considera que os investimentos realizados num único Estado-Membro não devem ser totalmente excluídos, contanto que satisfaçam as necessidades e os objetivos do MIE e sejam importantes para a RTE-T e a rede transeuropeia de energia (RTE-E);</w:t>
      </w:r>
    </w:p>
    <w:p w14:paraId="3FC4E9CB" w14:textId="77777777" w:rsidR="00B83BDF" w:rsidRPr="00A33F3A" w:rsidRDefault="00B83BDF" w:rsidP="00B83BD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A33F3A">
        <w:t xml:space="preserve">propõe a afetação de uma reserva de fundos que permita a conclusão dos projetos do MIE iniciados, </w:t>
      </w:r>
      <w:r w:rsidRPr="00A33F3A">
        <w:rPr>
          <w:b/>
          <w:bCs/>
        </w:rPr>
        <w:t>especificando quais os projetos prioritários. Os critérios de financiamento devem estar ligados a critérios sociais e ambientais e assegurar o valor acrescentado europeu</w:t>
      </w:r>
      <w:r w:rsidRPr="00A33F3A">
        <w:t>;</w:t>
      </w:r>
      <w:r w:rsidRPr="00A33F3A">
        <w:rPr>
          <w:b/>
        </w:rPr>
        <w:t xml:space="preserve"> Os critérios de financiamento devem estar ligados a critérios sociais e ambientais e assegurar o valor acrescentado europeu</w:t>
      </w:r>
      <w:r w:rsidRPr="00A33F3A">
        <w:t>;</w:t>
      </w:r>
    </w:p>
    <w:p w14:paraId="0049EDE3" w14:textId="77777777" w:rsidR="00B83BDF" w:rsidRPr="00A33F3A" w:rsidRDefault="00B83BDF" w:rsidP="00B83BD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A33F3A">
        <w:t xml:space="preserve">solicita a </w:t>
      </w:r>
      <w:r w:rsidRPr="00A33F3A">
        <w:rPr>
          <w:b/>
        </w:rPr>
        <w:t>introdução de procedimentos para a avaliação intercalar e</w:t>
      </w:r>
      <w:r w:rsidRPr="00A33F3A">
        <w:rPr>
          <w:b/>
          <w:i/>
        </w:rPr>
        <w:t xml:space="preserve"> ex post</w:t>
      </w:r>
      <w:r w:rsidRPr="00A33F3A">
        <w:t xml:space="preserve"> das despesas executadas através do MIE, bem como das </w:t>
      </w:r>
      <w:r w:rsidRPr="00A33F3A">
        <w:rPr>
          <w:b/>
        </w:rPr>
        <w:t>regras de acompanhamento</w:t>
      </w:r>
      <w:r w:rsidRPr="00A33F3A">
        <w:t xml:space="preserve"> do MIE. Importa </w:t>
      </w:r>
      <w:r w:rsidRPr="00A33F3A">
        <w:rPr>
          <w:b/>
        </w:rPr>
        <w:t>simplificar o processo de candidatura e acelerar o desembolso dos fundos</w:t>
      </w:r>
      <w:r w:rsidRPr="00A33F3A">
        <w:t>, a fim de acelerar a execução dos investimentos.</w:t>
      </w:r>
    </w:p>
    <w:bookmarkEnd w:id="117"/>
    <w:p w14:paraId="2F37C87A" w14:textId="77777777" w:rsidR="00B83BDF" w:rsidRPr="00A33F3A" w:rsidRDefault="00B83BDF" w:rsidP="00B83BDF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lang w:val="en-GB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="00B83BDF" w:rsidRPr="00A33F3A" w14:paraId="6D9C1890" w14:textId="77777777" w:rsidTr="00F21158">
        <w:tc>
          <w:tcPr>
            <w:tcW w:w="2093" w:type="dxa"/>
          </w:tcPr>
          <w:p w14:paraId="0A12ADD7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14:paraId="09A3D7D7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Giorgia Bordignon</w:t>
            </w:r>
          </w:p>
        </w:tc>
      </w:tr>
      <w:tr w:rsidR="00B83BDF" w:rsidRPr="00A33F3A" w14:paraId="5FBDB4EA" w14:textId="77777777" w:rsidTr="00F21158">
        <w:tc>
          <w:tcPr>
            <w:tcW w:w="2093" w:type="dxa"/>
          </w:tcPr>
          <w:p w14:paraId="186734C4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14:paraId="4A5FFEC5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85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33F3A">
              <w:rPr>
                <w:i/>
                <w:sz w:val="22"/>
                <w:szCs w:val="22"/>
              </w:rPr>
              <w:t>35</w:t>
            </w:r>
          </w:p>
        </w:tc>
      </w:tr>
      <w:tr w:rsidR="00B83BDF" w:rsidRPr="00A33F3A" w14:paraId="3D87909B" w14:textId="77777777" w:rsidTr="00F21158">
        <w:tc>
          <w:tcPr>
            <w:tcW w:w="2093" w:type="dxa"/>
          </w:tcPr>
          <w:p w14:paraId="0BD25DB0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33F3A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14:paraId="2060D2E6" w14:textId="77777777" w:rsidR="00B83BDF" w:rsidRPr="00A33F3A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r:id="rId35" w:history="1">
              <w:r w:rsidRPr="00A33F3A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</w:p>
        </w:tc>
      </w:tr>
    </w:tbl>
    <w:p w14:paraId="14C355FD" w14:textId="77777777" w:rsidR="00B83BDF" w:rsidRDefault="00B83BDF" w:rsidP="00B83BDF">
      <w:pPr>
        <w:pStyle w:val="ListParagraph"/>
        <w:ind w:left="0"/>
      </w:pPr>
    </w:p>
    <w:p w14:paraId="24C68FEC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08C0F5F" w14:textId="77777777" w:rsidR="00B83BDF" w:rsidRDefault="00B83BDF" w:rsidP="00B83BDF">
      <w:pPr>
        <w:pStyle w:val="Heading1"/>
        <w:rPr>
          <w:b/>
        </w:rPr>
      </w:pPr>
      <w:bookmarkStart w:id="118" w:name="_Toc75527083"/>
      <w:bookmarkStart w:id="119" w:name="_Toc221182604"/>
      <w:r>
        <w:rPr>
          <w:b/>
        </w:rPr>
        <w:lastRenderedPageBreak/>
        <w:t>MERCADO ÚNICO, PRODUÇÃO E CONSUMO</w:t>
      </w:r>
      <w:bookmarkEnd w:id="118"/>
      <w:bookmarkEnd w:id="119"/>
    </w:p>
    <w:p w14:paraId="4836AA05" w14:textId="77777777" w:rsidR="00B83BDF" w:rsidRDefault="00B83BDF" w:rsidP="00B83BDF"/>
    <w:p w14:paraId="74255B0E" w14:textId="77777777" w:rsidR="00B83BDF" w:rsidRPr="00A73D45" w:rsidRDefault="00B83BDF" w:rsidP="00B83BDF">
      <w:pPr>
        <w:widowControl w:val="0"/>
        <w:numPr>
          <w:ilvl w:val="0"/>
          <w:numId w:val="4"/>
        </w:numPr>
        <w:ind w:hanging="567"/>
        <w:rPr>
          <w:b/>
        </w:rPr>
      </w:pPr>
      <w:hyperlink r:id="rId36" w:tgtFrame="_blank" w:history="1">
        <w:r>
          <w:rPr>
            <w:b/>
            <w:i/>
            <w:color w:val="0000FF"/>
            <w:sz w:val="28"/>
            <w:u w:val="single"/>
          </w:rPr>
          <w:t>Prorrogação das regras temporárias / Abuso sexual de crianças em linha</w:t>
        </w:r>
      </w:hyperlink>
    </w:p>
    <w:p w14:paraId="58230EBD" w14:textId="77777777" w:rsidR="00B83BDF" w:rsidRPr="00A73D45" w:rsidRDefault="00B83BDF" w:rsidP="00B83BDF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B83BDF" w:rsidRPr="000B4CCD" w14:paraId="0AD7B8B2" w14:textId="77777777" w:rsidTr="00F21158">
        <w:tc>
          <w:tcPr>
            <w:tcW w:w="2235" w:type="dxa"/>
            <w:vMerge w:val="restart"/>
          </w:tcPr>
          <w:p w14:paraId="53F93CCE" w14:textId="77777777" w:rsidR="00B83BDF" w:rsidRPr="000B4CCD" w:rsidRDefault="00B83BDF" w:rsidP="00F21158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</w:rPr>
            </w:pPr>
            <w:r w:rsidRPr="000B4CCD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6804" w:type="dxa"/>
          </w:tcPr>
          <w:p w14:paraId="1B9E8401" w14:textId="77777777" w:rsidR="00B83BDF" w:rsidRPr="000B4CCD" w:rsidRDefault="00B83BDF" w:rsidP="00F21158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0B4CCD">
              <w:rPr>
                <w:sz w:val="22"/>
                <w:szCs w:val="22"/>
              </w:rPr>
              <w:t>Parecer da categoria C</w:t>
            </w:r>
          </w:p>
          <w:p w14:paraId="2B3AD3AF" w14:textId="77777777" w:rsidR="00B83BDF" w:rsidRPr="000B4CCD" w:rsidRDefault="00B83BDF" w:rsidP="00F21158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0B4CCD">
              <w:rPr>
                <w:sz w:val="22"/>
                <w:szCs w:val="22"/>
              </w:rPr>
              <w:t xml:space="preserve">COM(2025) 797 final </w:t>
            </w:r>
          </w:p>
        </w:tc>
      </w:tr>
      <w:tr w:rsidR="00B83BDF" w:rsidRPr="000B4CCD" w14:paraId="67897B01" w14:textId="77777777" w:rsidTr="00F21158">
        <w:tc>
          <w:tcPr>
            <w:tcW w:w="2235" w:type="dxa"/>
            <w:vMerge/>
          </w:tcPr>
          <w:p w14:paraId="10D52928" w14:textId="77777777" w:rsidR="00B83BDF" w:rsidRPr="000B4CCD" w:rsidRDefault="00B83BDF" w:rsidP="00F21158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5C98A89D" w14:textId="77777777" w:rsidR="00B83BDF" w:rsidRPr="000B4CCD" w:rsidRDefault="00B83BDF" w:rsidP="00F21158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0B4CCD">
              <w:rPr>
                <w:sz w:val="22"/>
                <w:szCs w:val="22"/>
              </w:rPr>
              <w:t>EESC-2026-00083-00-00-AC</w:t>
            </w:r>
          </w:p>
        </w:tc>
      </w:tr>
    </w:tbl>
    <w:p w14:paraId="2040CBC1" w14:textId="77777777" w:rsidR="00B83BDF" w:rsidRPr="000B4CCD" w:rsidRDefault="00B83BDF" w:rsidP="00B83BDF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0D55E49" w14:textId="77777777" w:rsidR="00B83BDF" w:rsidRPr="000B4CCD" w:rsidRDefault="00B83BDF" w:rsidP="00B83BDF">
      <w:pPr>
        <w:rPr>
          <w:bCs/>
          <w:iCs/>
        </w:rPr>
      </w:pPr>
      <w:r w:rsidRPr="000B4CCD">
        <w:t>O Comité Económico e Social Europeu decidiu emitir parecer favorável ao texto proposto.</w:t>
      </w:r>
    </w:p>
    <w:p w14:paraId="448F190B" w14:textId="77777777" w:rsidR="00B83BDF" w:rsidRPr="000B4CCD" w:rsidRDefault="00B83BDF" w:rsidP="00B83BDF">
      <w:pPr>
        <w:rPr>
          <w:bCs/>
          <w:iCs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B83BDF" w:rsidRPr="000B4CCD" w14:paraId="1FFEBF48" w14:textId="77777777" w:rsidTr="00F21158">
        <w:tc>
          <w:tcPr>
            <w:tcW w:w="2093" w:type="dxa"/>
          </w:tcPr>
          <w:p w14:paraId="40C0A505" w14:textId="77777777" w:rsidR="00B83BDF" w:rsidRPr="000B4CCD" w:rsidRDefault="00B83BDF" w:rsidP="00F21158">
            <w:pPr>
              <w:spacing w:line="240" w:lineRule="auto"/>
              <w:ind w:hanging="110"/>
              <w:rPr>
                <w:i/>
                <w:sz w:val="22"/>
                <w:szCs w:val="22"/>
              </w:rPr>
            </w:pPr>
            <w:r w:rsidRPr="000B4CCD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6946" w:type="dxa"/>
          </w:tcPr>
          <w:p w14:paraId="39878B7B" w14:textId="77777777" w:rsidR="00B83BDF" w:rsidRPr="000B4CCD" w:rsidRDefault="00B83BDF" w:rsidP="00F21158">
            <w:pPr>
              <w:spacing w:line="240" w:lineRule="auto"/>
              <w:ind w:hanging="110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Alice Tétu</w:t>
            </w:r>
          </w:p>
        </w:tc>
      </w:tr>
      <w:tr w:rsidR="00B83BDF" w:rsidRPr="000B4CCD" w14:paraId="52AF5AEA" w14:textId="77777777" w:rsidTr="00F21158">
        <w:tc>
          <w:tcPr>
            <w:tcW w:w="2093" w:type="dxa"/>
          </w:tcPr>
          <w:p w14:paraId="0AFCFF95" w14:textId="77777777" w:rsidR="00B83BDF" w:rsidRPr="000B4CCD" w:rsidRDefault="00B83BDF" w:rsidP="00F21158">
            <w:pPr>
              <w:spacing w:line="240" w:lineRule="auto"/>
              <w:ind w:hanging="110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6946" w:type="dxa"/>
          </w:tcPr>
          <w:p w14:paraId="26E5A31D" w14:textId="77777777" w:rsidR="00B83BDF" w:rsidRPr="000B4CCD" w:rsidRDefault="00B83BDF" w:rsidP="00F21158">
            <w:pPr>
              <w:spacing w:line="240" w:lineRule="auto"/>
              <w:ind w:hanging="110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+32 2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B4CCD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B4CCD">
              <w:rPr>
                <w:i/>
                <w:sz w:val="22"/>
                <w:szCs w:val="22"/>
              </w:rPr>
              <w:t>82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B4CCD">
              <w:rPr>
                <w:i/>
                <w:sz w:val="22"/>
                <w:szCs w:val="22"/>
              </w:rPr>
              <w:t>86</w:t>
            </w:r>
          </w:p>
        </w:tc>
      </w:tr>
      <w:tr w:rsidR="00B83BDF" w:rsidRPr="000B4CCD" w14:paraId="5B84D357" w14:textId="77777777" w:rsidTr="00F21158">
        <w:tc>
          <w:tcPr>
            <w:tcW w:w="2093" w:type="dxa"/>
          </w:tcPr>
          <w:p w14:paraId="2C3F9282" w14:textId="77777777" w:rsidR="00B83BDF" w:rsidRPr="000B4CCD" w:rsidRDefault="00B83BDF" w:rsidP="00F21158">
            <w:pPr>
              <w:spacing w:line="240" w:lineRule="auto"/>
              <w:ind w:hanging="110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6946" w:type="dxa"/>
          </w:tcPr>
          <w:p w14:paraId="1DE4545A" w14:textId="77777777" w:rsidR="00B83BDF" w:rsidRPr="000B4CCD" w:rsidRDefault="00B83BDF" w:rsidP="00F21158">
            <w:pPr>
              <w:spacing w:line="240" w:lineRule="auto"/>
              <w:ind w:hanging="110"/>
              <w:rPr>
                <w:i/>
                <w:sz w:val="22"/>
                <w:szCs w:val="22"/>
              </w:rPr>
            </w:pPr>
            <w:hyperlink r:id="rId37" w:history="1">
              <w:r w:rsidRPr="000B4CCD">
                <w:rPr>
                  <w:i/>
                  <w:color w:val="0000FF"/>
                  <w:sz w:val="22"/>
                  <w:szCs w:val="22"/>
                  <w:u w:val="single"/>
                </w:rPr>
                <w:t>Alice.Tetu@eesc.europa.eu</w:t>
              </w:r>
            </w:hyperlink>
          </w:p>
        </w:tc>
      </w:tr>
    </w:tbl>
    <w:p w14:paraId="11AC97DC" w14:textId="77777777" w:rsidR="00B83BDF" w:rsidRPr="000B4CCD" w:rsidRDefault="00B83BDF" w:rsidP="00B83BDF">
      <w:pPr>
        <w:pStyle w:val="ListParagraph"/>
        <w:ind w:left="0"/>
      </w:pPr>
    </w:p>
    <w:p w14:paraId="254A91F0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38CD74D0" w14:textId="77777777" w:rsidR="00B83BDF" w:rsidRPr="000B4CCD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r:id="rId38" w:history="1">
        <w:r w:rsidRPr="000B4CCD">
          <w:rPr>
            <w:b/>
            <w:i/>
            <w:color w:val="0000FF"/>
            <w:sz w:val="28"/>
            <w:szCs w:val="28"/>
            <w:u w:val="single"/>
          </w:rPr>
          <w:t>Programa Mercado Único e Alfândega 2028-2034</w:t>
        </w:r>
      </w:hyperlink>
    </w:p>
    <w:p w14:paraId="3D07141F" w14:textId="77777777" w:rsidR="00B83BDF" w:rsidRPr="000C49B7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"/>
        <w:tblW w:w="48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842"/>
      </w:tblGrid>
      <w:tr w:rsidR="00B83BDF" w:rsidRPr="000B4CCD" w14:paraId="6AE58906" w14:textId="77777777" w:rsidTr="00F21158">
        <w:trPr>
          <w:trHeight w:val="406"/>
        </w:trPr>
        <w:tc>
          <w:tcPr>
            <w:tcW w:w="1125" w:type="pct"/>
          </w:tcPr>
          <w:p w14:paraId="539BCAD1" w14:textId="77777777" w:rsidR="00B83BDF" w:rsidRPr="000B4CCD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0B4CCD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875" w:type="pct"/>
          </w:tcPr>
          <w:p w14:paraId="1AC0A0CD" w14:textId="77777777" w:rsidR="00B83BDF" w:rsidRPr="000B4CCD" w:rsidRDefault="00B83BDF" w:rsidP="00F21158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  <w:rPr>
                <w:sz w:val="22"/>
                <w:szCs w:val="22"/>
              </w:rPr>
            </w:pPr>
            <w:r w:rsidRPr="000B4CCD">
              <w:rPr>
                <w:sz w:val="22"/>
                <w:szCs w:val="22"/>
              </w:rPr>
              <w:t>Vasco Linhares de Lima Álvares de Mello (PT</w:t>
            </w:r>
            <w:r>
              <w:rPr>
                <w:sz w:val="22"/>
                <w:szCs w:val="22"/>
              </w:rPr>
              <w:t>-</w:t>
            </w:r>
            <w:r w:rsidRPr="000B4CCD">
              <w:rPr>
                <w:sz w:val="22"/>
                <w:szCs w:val="22"/>
              </w:rPr>
              <w:t>Grupo dos Empregadores)</w:t>
            </w:r>
          </w:p>
        </w:tc>
      </w:tr>
      <w:tr w:rsidR="00B83BDF" w:rsidRPr="000B4CCD" w14:paraId="6CB00696" w14:textId="77777777" w:rsidTr="00F21158">
        <w:tc>
          <w:tcPr>
            <w:tcW w:w="1125" w:type="pct"/>
          </w:tcPr>
          <w:p w14:paraId="02C69FFF" w14:textId="77777777" w:rsidR="00B83BDF" w:rsidRPr="000B4CCD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0B4CCD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875" w:type="pct"/>
          </w:tcPr>
          <w:p w14:paraId="18F4B402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4CCD">
              <w:rPr>
                <w:sz w:val="22"/>
                <w:szCs w:val="22"/>
              </w:rPr>
              <w:t xml:space="preserve">COM(2025) 590 final </w:t>
            </w:r>
          </w:p>
          <w:p w14:paraId="7EAA774F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4CCD">
              <w:rPr>
                <w:sz w:val="22"/>
                <w:szCs w:val="22"/>
              </w:rPr>
              <w:t>EESC-2025-03307-00-00-AC</w:t>
            </w:r>
          </w:p>
        </w:tc>
      </w:tr>
    </w:tbl>
    <w:p w14:paraId="37F9901E" w14:textId="77777777" w:rsidR="00B83BDF" w:rsidRPr="000B4CCD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14:paraId="7C1AB0D4" w14:textId="77777777" w:rsidR="00B83BDF" w:rsidRPr="000B4CCD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0B4CCD">
        <w:rPr>
          <w:b/>
        </w:rPr>
        <w:t>Pontos principais</w:t>
      </w:r>
    </w:p>
    <w:p w14:paraId="26FE9E5E" w14:textId="77777777" w:rsidR="00B83BDF" w:rsidRPr="000B4CCD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110E3E9D" w14:textId="77777777" w:rsidR="00B83BDF" w:rsidRPr="000B4CCD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0B4CCD">
        <w:t>O Comité Económico e Social Europeu:</w:t>
      </w:r>
    </w:p>
    <w:p w14:paraId="6A84C4EE" w14:textId="77777777" w:rsidR="00B83BDF" w:rsidRPr="000B4CCD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283CBA3" w14:textId="77777777" w:rsidR="00B83BDF" w:rsidRPr="000B4CCD" w:rsidRDefault="00B83BDF" w:rsidP="00B83BDF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0B4CCD">
        <w:t xml:space="preserve">considera que o programa em apreço </w:t>
      </w:r>
      <w:r w:rsidRPr="000B4CCD">
        <w:rPr>
          <w:b/>
        </w:rPr>
        <w:t>prossegue uma estratégia correta ao delinear ações e apoios</w:t>
      </w:r>
      <w:r w:rsidRPr="000B4CCD">
        <w:t xml:space="preserve"> que visam o incremento e a melhoria da cooperação entre a Comissão e os Estados Membros e entre os Estados-Membros entre si, quer na área do mercado único, quer na da União Aduaneira, quer na área fiscal e de combate à fraude;</w:t>
      </w:r>
    </w:p>
    <w:p w14:paraId="1527D248" w14:textId="77777777" w:rsidR="00B83BDF" w:rsidRPr="000B4CCD" w:rsidRDefault="00B83BDF" w:rsidP="00B83BDF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0B4CCD">
        <w:t xml:space="preserve">insta a que a Comissão Europeia incentive os Estados-Membros a </w:t>
      </w:r>
      <w:r w:rsidRPr="000B4CCD">
        <w:rPr>
          <w:b/>
        </w:rPr>
        <w:t>reforçar os meios humanos quer ao nível das alfândegas, quer ao nível dos serviços fiscais que cobram os direitos aduaneiros e impostos</w:t>
      </w:r>
      <w:r w:rsidRPr="000B4CCD">
        <w:t>, em especial, nos Estados-Membros que recebem mais mercadorias provenientes da Ásia, em particular, e no que concerne a envios de encomendas efetuadas através de plataformas digitais aí situadas;</w:t>
      </w:r>
    </w:p>
    <w:p w14:paraId="33BAD220" w14:textId="77777777" w:rsidR="00B83BDF" w:rsidRPr="000B4CCD" w:rsidRDefault="00B83BDF" w:rsidP="00B83BDF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0B4CCD">
        <w:rPr>
          <w:b/>
        </w:rPr>
        <w:t>insta a que a simplificação da regulamentação da União Europeia</w:t>
      </w:r>
      <w:r w:rsidRPr="000B4CCD">
        <w:t xml:space="preserve"> seja acompanhada de igual modo pelas legislações de cada Estado-Membro, de modo que estes últimos não tornem difícil a aplicação das normas, quer para os cidadãos quer para as empresas;</w:t>
      </w:r>
    </w:p>
    <w:p w14:paraId="211BE86C" w14:textId="77777777" w:rsidR="00B83BDF" w:rsidRPr="000B4CCD" w:rsidRDefault="00B83BDF" w:rsidP="00B83BDF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0B4CCD">
        <w:rPr>
          <w:b/>
        </w:rPr>
        <w:t>aconselha que a digitalização dos procedimentos</w:t>
      </w:r>
      <w:r w:rsidRPr="000B4CCD">
        <w:t xml:space="preserve"> a realizar por cidadãos e empresas não seja acompanhada de uma complexificação e de um aumento das obrigações declarativas ou de outra espécie para os cidadãos ou as empresas;</w:t>
      </w:r>
    </w:p>
    <w:p w14:paraId="46B0460F" w14:textId="77777777" w:rsidR="00B83BDF" w:rsidRPr="000B4CCD" w:rsidRDefault="00B83BDF" w:rsidP="00B83BDF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0B4CCD">
        <w:rPr>
          <w:b/>
        </w:rPr>
        <w:t>considera importante o apoio às estruturas associativas de consumidores</w:t>
      </w:r>
      <w:r w:rsidRPr="000B4CCD">
        <w:t>, tendo em vista o papel fundamental que as mesmas têm quer através das estruturas de resolução de conflitos de consumo, quer na vigilância à conformidade dos produtos em circulação no mercado único, bem como na questão do incremento da literacia financeira.</w:t>
      </w:r>
    </w:p>
    <w:p w14:paraId="737C8A95" w14:textId="77777777" w:rsidR="00B83BDF" w:rsidRPr="000B4CCD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Style w:val="TableGrid10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4336"/>
      </w:tblGrid>
      <w:tr w:rsidR="00B83BDF" w:rsidRPr="000B4CCD" w14:paraId="6C6F38B5" w14:textId="77777777" w:rsidTr="00F21158">
        <w:tc>
          <w:tcPr>
            <w:tcW w:w="1602" w:type="pct"/>
          </w:tcPr>
          <w:p w14:paraId="0BDD6DDE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0B4CCD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398" w:type="pct"/>
          </w:tcPr>
          <w:p w14:paraId="48CC9B50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Marco Manfroni</w:t>
            </w:r>
          </w:p>
        </w:tc>
      </w:tr>
      <w:tr w:rsidR="00B83BDF" w:rsidRPr="000B4CCD" w14:paraId="172FF3E2" w14:textId="77777777" w:rsidTr="00F21158">
        <w:tc>
          <w:tcPr>
            <w:tcW w:w="1602" w:type="pct"/>
          </w:tcPr>
          <w:p w14:paraId="01DF6022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398" w:type="pct"/>
          </w:tcPr>
          <w:p w14:paraId="7177ACE0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+ 32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B4CCD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B4CCD">
              <w:rPr>
                <w:i/>
                <w:sz w:val="22"/>
                <w:szCs w:val="22"/>
              </w:rPr>
              <w:t>91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B4CCD">
              <w:rPr>
                <w:i/>
                <w:sz w:val="22"/>
                <w:szCs w:val="22"/>
              </w:rPr>
              <w:t>40</w:t>
            </w:r>
          </w:p>
        </w:tc>
      </w:tr>
      <w:tr w:rsidR="00B83BDF" w:rsidRPr="000B4CCD" w14:paraId="372D1044" w14:textId="77777777" w:rsidTr="00F21158">
        <w:tc>
          <w:tcPr>
            <w:tcW w:w="1602" w:type="pct"/>
          </w:tcPr>
          <w:p w14:paraId="25ABDBE0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0B4CCD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398" w:type="pct"/>
          </w:tcPr>
          <w:p w14:paraId="4D1EF1BF" w14:textId="77777777" w:rsidR="00B83BDF" w:rsidRPr="000B4CCD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39" w:history="1">
              <w:r w:rsidRPr="000B4CCD">
                <w:rPr>
                  <w:i/>
                  <w:color w:val="0000FF"/>
                  <w:sz w:val="22"/>
                  <w:szCs w:val="22"/>
                  <w:u w:val="single"/>
                </w:rPr>
                <w:t>Marco.Manfroni@eesc.europa.eu</w:t>
              </w:r>
            </w:hyperlink>
          </w:p>
        </w:tc>
      </w:tr>
    </w:tbl>
    <w:p w14:paraId="56D5DF69" w14:textId="77777777" w:rsidR="00B83BDF" w:rsidRDefault="00B83BDF" w:rsidP="00B83BDF">
      <w:pPr>
        <w:pStyle w:val="ListParagraph"/>
        <w:ind w:left="0"/>
      </w:pPr>
    </w:p>
    <w:p w14:paraId="65E8AFC2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2AABA5E8" w14:textId="77777777" w:rsidR="00B83BDF" w:rsidRPr="00456680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sz w:val="28"/>
          <w:szCs w:val="28"/>
        </w:rPr>
      </w:pPr>
      <w:hyperlink r:id="rId40" w:tgtFrame="_blank" w:history="1">
        <w:r w:rsidRPr="00456680">
          <w:rPr>
            <w:b/>
            <w:i/>
            <w:color w:val="0000FF"/>
            <w:sz w:val="28"/>
            <w:szCs w:val="28"/>
            <w:u w:val="single"/>
          </w:rPr>
          <w:t>Estratégia Quântica da UE</w:t>
        </w:r>
      </w:hyperlink>
    </w:p>
    <w:p w14:paraId="1608757F" w14:textId="77777777" w:rsidR="00B83BDF" w:rsidRPr="0012298C" w:rsidRDefault="00B83BDF" w:rsidP="00B83BDF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1"/>
        <w:tblW w:w="47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662"/>
      </w:tblGrid>
      <w:tr w:rsidR="00B83BDF" w:rsidRPr="00456680" w14:paraId="0F66E7D0" w14:textId="77777777" w:rsidTr="00F21158">
        <w:tc>
          <w:tcPr>
            <w:tcW w:w="1148" w:type="pct"/>
          </w:tcPr>
          <w:p w14:paraId="5D905629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852" w:type="pct"/>
          </w:tcPr>
          <w:p w14:paraId="0546589C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Maurizio Mensi (IT</w:t>
            </w:r>
            <w:r>
              <w:rPr>
                <w:sz w:val="22"/>
                <w:szCs w:val="22"/>
              </w:rPr>
              <w:t>-</w:t>
            </w:r>
            <w:r w:rsidRPr="00456680">
              <w:rPr>
                <w:sz w:val="22"/>
                <w:szCs w:val="22"/>
              </w:rPr>
              <w:t>Grupo das Organizações da Sociedade Civil)</w:t>
            </w:r>
          </w:p>
          <w:p w14:paraId="76C219DB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456680" w14:paraId="7AA3E223" w14:textId="77777777" w:rsidTr="00F21158">
        <w:tc>
          <w:tcPr>
            <w:tcW w:w="1148" w:type="pct"/>
            <w:vMerge w:val="restart"/>
          </w:tcPr>
          <w:p w14:paraId="79D7D6C6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852" w:type="pct"/>
          </w:tcPr>
          <w:p w14:paraId="68575D51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COM (2025) 363 final</w:t>
            </w:r>
          </w:p>
        </w:tc>
      </w:tr>
      <w:tr w:rsidR="00B83BDF" w:rsidRPr="00456680" w14:paraId="133B862D" w14:textId="77777777" w:rsidTr="00F21158">
        <w:tc>
          <w:tcPr>
            <w:tcW w:w="1148" w:type="pct"/>
            <w:vMerge/>
          </w:tcPr>
          <w:p w14:paraId="7C274043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52" w:type="pct"/>
          </w:tcPr>
          <w:p w14:paraId="08D94BBF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EESC-2025-02334-00-00-AC</w:t>
            </w:r>
          </w:p>
        </w:tc>
      </w:tr>
    </w:tbl>
    <w:p w14:paraId="6D973121" w14:textId="77777777" w:rsidR="00B83BDF" w:rsidRPr="00456680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5C44B573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456680">
        <w:rPr>
          <w:b/>
        </w:rPr>
        <w:t>Pontos principais</w:t>
      </w:r>
    </w:p>
    <w:p w14:paraId="52F1DD5C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23C5F16F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456680">
        <w:t>O Comité Económico e Social Europeu:</w:t>
      </w:r>
    </w:p>
    <w:p w14:paraId="7BCBEF16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9A00EEF" w14:textId="77777777" w:rsidR="00B83BDF" w:rsidRPr="00456680" w:rsidRDefault="00B83BDF" w:rsidP="00B83BDF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456680">
        <w:t xml:space="preserve">salienta a importância do </w:t>
      </w:r>
      <w:r w:rsidRPr="00456680">
        <w:rPr>
          <w:b/>
        </w:rPr>
        <w:t>financiamento específico</w:t>
      </w:r>
      <w:r w:rsidRPr="00456680">
        <w:t xml:space="preserve">, do </w:t>
      </w:r>
      <w:r w:rsidRPr="00456680">
        <w:rPr>
          <w:b/>
        </w:rPr>
        <w:t xml:space="preserve">acesso ao capital de crescimento </w:t>
      </w:r>
      <w:r w:rsidRPr="00456680">
        <w:t xml:space="preserve">e do </w:t>
      </w:r>
      <w:r w:rsidRPr="00456680">
        <w:rPr>
          <w:b/>
        </w:rPr>
        <w:t>apoio das grandes empresas</w:t>
      </w:r>
      <w:r w:rsidRPr="00456680">
        <w:t xml:space="preserve"> para assegurar um ecossistema quântico europeu competitivo e integrado;</w:t>
      </w:r>
    </w:p>
    <w:p w14:paraId="6C69CF0C" w14:textId="77777777" w:rsidR="00B83BDF" w:rsidRPr="00456680" w:rsidRDefault="00B83BDF" w:rsidP="00B83BDF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456680">
        <w:t xml:space="preserve">defende a </w:t>
      </w:r>
      <w:r w:rsidRPr="00456680">
        <w:rPr>
          <w:b/>
        </w:rPr>
        <w:t>expansão das infraestruturas quânticas públicas</w:t>
      </w:r>
      <w:r w:rsidRPr="00456680">
        <w:t xml:space="preserve"> e a criação de bancos de ensaio de livre acesso, a fim de permitir a experimentação, a absorção de tecnologia e uma ampla participação, nomeadamente por parte das pequenas e médias empresas (PME) e dos institutos de investigação;</w:t>
      </w:r>
    </w:p>
    <w:p w14:paraId="3238F29A" w14:textId="77777777" w:rsidR="00B83BDF" w:rsidRPr="00456680" w:rsidRDefault="00B83BDF" w:rsidP="00B83BDF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456680">
        <w:t xml:space="preserve">destaca as </w:t>
      </w:r>
      <w:r w:rsidRPr="00456680">
        <w:rPr>
          <w:b/>
        </w:rPr>
        <w:t>aplicações estratégicas</w:t>
      </w:r>
      <w:r w:rsidRPr="00456680">
        <w:t xml:space="preserve"> das tecnologias quânticas, que podem transformar setores como a </w:t>
      </w:r>
      <w:r w:rsidRPr="00456680">
        <w:rPr>
          <w:b/>
        </w:rPr>
        <w:t>defesa</w:t>
      </w:r>
      <w:r w:rsidRPr="00456680">
        <w:t xml:space="preserve">, a </w:t>
      </w:r>
      <w:r w:rsidRPr="00456680">
        <w:rPr>
          <w:b/>
        </w:rPr>
        <w:t>segurança</w:t>
      </w:r>
      <w:r w:rsidRPr="00456680">
        <w:t xml:space="preserve">, o </w:t>
      </w:r>
      <w:r w:rsidRPr="00456680">
        <w:rPr>
          <w:b/>
        </w:rPr>
        <w:t>espaço</w:t>
      </w:r>
      <w:r w:rsidRPr="00456680">
        <w:t xml:space="preserve">, a </w:t>
      </w:r>
      <w:r w:rsidRPr="00456680">
        <w:rPr>
          <w:b/>
        </w:rPr>
        <w:t>saúde</w:t>
      </w:r>
      <w:r w:rsidRPr="00456680">
        <w:t xml:space="preserve">, as </w:t>
      </w:r>
      <w:r w:rsidRPr="00456680">
        <w:rPr>
          <w:b/>
        </w:rPr>
        <w:t xml:space="preserve">ciências da vida </w:t>
      </w:r>
      <w:r w:rsidRPr="00456680">
        <w:t xml:space="preserve">e a </w:t>
      </w:r>
      <w:r w:rsidRPr="00456680">
        <w:rPr>
          <w:b/>
        </w:rPr>
        <w:t>indústria automóvel</w:t>
      </w:r>
      <w:r w:rsidRPr="00456680">
        <w:t>, e sublinha a importância de dispor de quadros sólidos em matéria de propriedade intelectual para salvaguardar as inovações da UE;</w:t>
      </w:r>
    </w:p>
    <w:p w14:paraId="4DBFBF82" w14:textId="77777777" w:rsidR="00B83BDF" w:rsidRPr="00456680" w:rsidRDefault="00B83BDF" w:rsidP="00B83BDF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456680">
        <w:t xml:space="preserve">insta ao </w:t>
      </w:r>
      <w:r w:rsidRPr="00456680">
        <w:rPr>
          <w:b/>
        </w:rPr>
        <w:t>investimento no desenvolvimento de competências e talentos</w:t>
      </w:r>
      <w:r w:rsidRPr="00456680">
        <w:t>, nomeadamente através da Academia Europeia de Competências Quânticas e da atribuição de bolsas de estudo para doutorandos, a fim de reter profissionais altamente qualificados e acelerar a aplicação prática da investigação;</w:t>
      </w:r>
    </w:p>
    <w:p w14:paraId="5022B598" w14:textId="77777777" w:rsidR="00B83BDF" w:rsidRPr="00456680" w:rsidRDefault="00B83BDF" w:rsidP="00B83BDF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456680">
        <w:t>salienta a necessidade de adotar</w:t>
      </w:r>
      <w:r w:rsidRPr="00456680">
        <w:rPr>
          <w:b/>
        </w:rPr>
        <w:t xml:space="preserve"> instrumentos de acompanhamento eficazes</w:t>
      </w:r>
      <w:r w:rsidRPr="00456680">
        <w:t xml:space="preserve">, dispor de </w:t>
      </w:r>
      <w:r w:rsidRPr="00456680">
        <w:rPr>
          <w:b/>
        </w:rPr>
        <w:t>indicadores-chave de desempenho claros</w:t>
      </w:r>
      <w:r w:rsidRPr="00456680">
        <w:t xml:space="preserve"> e de prosseguir uma </w:t>
      </w:r>
      <w:r w:rsidRPr="00456680">
        <w:rPr>
          <w:b/>
        </w:rPr>
        <w:t>governação inclusiva a nível da UE</w:t>
      </w:r>
      <w:r w:rsidRPr="00456680">
        <w:t>, a fim de assegurar o acompanhamento dos progressos, a maximização dos resultados e a harmonização dos investimentos em todos os Estados-Membros;</w:t>
      </w:r>
    </w:p>
    <w:p w14:paraId="5E9D5A1D" w14:textId="77777777" w:rsidR="00B83BDF" w:rsidRPr="00456680" w:rsidRDefault="00B83BDF" w:rsidP="00B83BDF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Calibri" w:hAnsi="Calibri"/>
        </w:rPr>
      </w:pPr>
      <w:r w:rsidRPr="00456680">
        <w:t xml:space="preserve">defende a promoção de um </w:t>
      </w:r>
      <w:r w:rsidRPr="00456680">
        <w:rPr>
          <w:b/>
        </w:rPr>
        <w:t>ecossistema quântico europeu coordenado e integrado</w:t>
      </w:r>
      <w:r w:rsidRPr="00456680">
        <w:t xml:space="preserve"> que combine investigação, inovação, infraestruturas, talentos e governação para reforçar a soberania tecnológica e a competitividade industrial da Europa.</w:t>
      </w:r>
    </w:p>
    <w:p w14:paraId="5596F8D4" w14:textId="77777777" w:rsidR="00B83BDF" w:rsidRPr="00456680" w:rsidRDefault="00B83BDF" w:rsidP="00B83BDF">
      <w:pPr>
        <w:jc w:val="left"/>
        <w:rPr>
          <w:lang w:val="en-GB"/>
        </w:rPr>
      </w:pPr>
    </w:p>
    <w:tbl>
      <w:tblPr>
        <w:tblStyle w:val="TableGrid11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3"/>
      </w:tblGrid>
      <w:tr w:rsidR="00B83BDF" w:rsidRPr="00456680" w14:paraId="240C38D5" w14:textId="77777777" w:rsidTr="00B83BDF">
        <w:tc>
          <w:tcPr>
            <w:tcW w:w="1667" w:type="pct"/>
          </w:tcPr>
          <w:p w14:paraId="1BD4C53E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333" w:type="pct"/>
          </w:tcPr>
          <w:p w14:paraId="4C9FA866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Yousra Asbouni El Ouahabi</w:t>
            </w:r>
          </w:p>
        </w:tc>
      </w:tr>
      <w:tr w:rsidR="00B83BDF" w:rsidRPr="00456680" w14:paraId="081E3FCB" w14:textId="77777777" w:rsidTr="00B83BDF">
        <w:tc>
          <w:tcPr>
            <w:tcW w:w="1667" w:type="pct"/>
          </w:tcPr>
          <w:p w14:paraId="03ED0CD0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333" w:type="pct"/>
          </w:tcPr>
          <w:p w14:paraId="38113B57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84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85</w:t>
            </w:r>
          </w:p>
        </w:tc>
      </w:tr>
      <w:tr w:rsidR="00B83BDF" w:rsidRPr="00456680" w14:paraId="45E9E556" w14:textId="77777777" w:rsidTr="00B83BDF">
        <w:tc>
          <w:tcPr>
            <w:tcW w:w="1667" w:type="pct"/>
          </w:tcPr>
          <w:p w14:paraId="0B81F14B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333" w:type="pct"/>
          </w:tcPr>
          <w:p w14:paraId="1312739C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41" w:history="1">
              <w:r w:rsidRPr="00456680">
                <w:rPr>
                  <w:i/>
                  <w:color w:val="0000FF"/>
                  <w:sz w:val="22"/>
                  <w:szCs w:val="22"/>
                  <w:u w:val="single"/>
                </w:rPr>
                <w:t>Yousra.AsbouniElOuahabi@eesc.europa.eu</w:t>
              </w:r>
            </w:hyperlink>
          </w:p>
        </w:tc>
      </w:tr>
    </w:tbl>
    <w:p w14:paraId="391000E4" w14:textId="77777777" w:rsidR="00B83BDF" w:rsidRDefault="00B83BDF" w:rsidP="00B83BDF">
      <w:pPr>
        <w:pStyle w:val="ListParagraph"/>
        <w:ind w:left="0"/>
      </w:pPr>
    </w:p>
    <w:p w14:paraId="35FEECD7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0FD0CEEC" w14:textId="77777777" w:rsidR="00B83BDF" w:rsidRPr="0007736E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42" w:tgtFrame="_blank" w:history="1">
        <w:r>
          <w:rPr>
            <w:b/>
            <w:i/>
            <w:color w:val="0000FF"/>
            <w:sz w:val="28"/>
            <w:u w:val="single"/>
          </w:rPr>
          <w:t>Estratégia de Aplicação da IA</w:t>
        </w:r>
      </w:hyperlink>
    </w:p>
    <w:p w14:paraId="589EECE7" w14:textId="77777777" w:rsidR="00B83BDF" w:rsidRPr="0007736E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45"/>
      </w:tblGrid>
      <w:tr w:rsidR="00B83BDF" w:rsidRPr="00456680" w14:paraId="7295BBD3" w14:textId="77777777" w:rsidTr="00F21158">
        <w:tc>
          <w:tcPr>
            <w:tcW w:w="1701" w:type="dxa"/>
          </w:tcPr>
          <w:p w14:paraId="63F34A75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Relatores</w:t>
            </w:r>
          </w:p>
        </w:tc>
        <w:tc>
          <w:tcPr>
            <w:tcW w:w="6345" w:type="dxa"/>
          </w:tcPr>
          <w:p w14:paraId="077C63F7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Rudolf Kolbe (AT</w:t>
            </w:r>
            <w:r>
              <w:rPr>
                <w:sz w:val="22"/>
                <w:szCs w:val="22"/>
              </w:rPr>
              <w:t>-</w:t>
            </w:r>
            <w:r w:rsidRPr="00456680">
              <w:rPr>
                <w:sz w:val="22"/>
                <w:szCs w:val="22"/>
              </w:rPr>
              <w:t>Grupo das Organizações da Sociedade Civil)</w:t>
            </w:r>
          </w:p>
          <w:p w14:paraId="4A13BF11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Miroslav Hajnoš (SK</w:t>
            </w:r>
            <w:r>
              <w:rPr>
                <w:sz w:val="22"/>
                <w:szCs w:val="22"/>
              </w:rPr>
              <w:t>-</w:t>
            </w:r>
            <w:r w:rsidRPr="00456680">
              <w:rPr>
                <w:sz w:val="22"/>
                <w:szCs w:val="22"/>
              </w:rPr>
              <w:t>Grupo dos Trabalhadores)</w:t>
            </w:r>
          </w:p>
        </w:tc>
      </w:tr>
      <w:tr w:rsidR="00B83BDF" w:rsidRPr="00456680" w14:paraId="206A8869" w14:textId="77777777" w:rsidTr="00F21158">
        <w:tc>
          <w:tcPr>
            <w:tcW w:w="8046" w:type="dxa"/>
            <w:gridSpan w:val="2"/>
          </w:tcPr>
          <w:p w14:paraId="755386E2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456680" w14:paraId="2124CD65" w14:textId="77777777" w:rsidTr="00F21158">
        <w:tc>
          <w:tcPr>
            <w:tcW w:w="1701" w:type="dxa"/>
          </w:tcPr>
          <w:p w14:paraId="31FFE4CF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6345" w:type="dxa"/>
          </w:tcPr>
          <w:p w14:paraId="40F9A9AC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COM(2025) 723 final</w:t>
            </w:r>
          </w:p>
          <w:p w14:paraId="44EF0878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EESC-2025-03470-00-00-AC</w:t>
            </w:r>
          </w:p>
        </w:tc>
      </w:tr>
    </w:tbl>
    <w:p w14:paraId="1BE86174" w14:textId="77777777" w:rsidR="00B83BDF" w:rsidRPr="00456680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3CEF56BD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456680">
        <w:rPr>
          <w:b/>
        </w:rPr>
        <w:t>Pontos principais</w:t>
      </w:r>
    </w:p>
    <w:p w14:paraId="44DF61F5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8BDD0EA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456680">
        <w:t>O Comité Económico e Social Europeu:</w:t>
      </w:r>
    </w:p>
    <w:p w14:paraId="350483D7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94298FD" w14:textId="77777777" w:rsidR="00B83BDF" w:rsidRPr="00456680" w:rsidRDefault="00B83BDF" w:rsidP="00B83BD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456680">
        <w:t xml:space="preserve">solicita a adoção de medidas concretas e rapidamente implantáveis para acelerar a </w:t>
      </w:r>
      <w:r w:rsidRPr="00456680">
        <w:rPr>
          <w:b/>
        </w:rPr>
        <w:t>comercialização da IA</w:t>
      </w:r>
      <w:r w:rsidRPr="00456680">
        <w:t>, especialmente para as pequenas e médias empresas (PME) e as empresas em fase de expansão, graças a um acesso mais simplificado ao financiamento, encargos administrativos reduzidos, regras mais claras em matéria de propriedade intelectual e apoio à expansão transfronteiriça no mercado único;</w:t>
      </w:r>
    </w:p>
    <w:p w14:paraId="5AF3D922" w14:textId="77777777" w:rsidR="00B83BDF" w:rsidRPr="00456680" w:rsidRDefault="00B83BDF" w:rsidP="00B83BD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456680">
        <w:t xml:space="preserve">salienta a importância dos </w:t>
      </w:r>
      <w:r w:rsidRPr="00456680">
        <w:rPr>
          <w:b/>
        </w:rPr>
        <w:t>polos regionais de competências</w:t>
      </w:r>
      <w:r w:rsidRPr="00456680">
        <w:t>, potenciando os polos europeus de inovação digital, e da inclusão de setores sub-representados, como o setor financeiro, o turismo e o comércio eletrónico, para assegurar uma abordagem holística e inclusiva da IA;</w:t>
      </w:r>
    </w:p>
    <w:p w14:paraId="57DDC22B" w14:textId="77777777" w:rsidR="00B83BDF" w:rsidRPr="00456680" w:rsidRDefault="00B83BDF" w:rsidP="00B83BD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456680">
        <w:t xml:space="preserve">insta ao investimento em </w:t>
      </w:r>
      <w:r w:rsidRPr="00456680">
        <w:rPr>
          <w:b/>
        </w:rPr>
        <w:t>competências e literacia no domínio da IA</w:t>
      </w:r>
      <w:r w:rsidRPr="00456680">
        <w:t>, incluindo definições claras para a melhoria de competências e a aquisição de competências transversais, a fim de apoiar a integração segura e eficaz da IA em setores-chave como os cuidados de saúde, a defesa e a segurança e o setor público;</w:t>
      </w:r>
    </w:p>
    <w:p w14:paraId="716EDD22" w14:textId="77777777" w:rsidR="00B83BDF" w:rsidRPr="00456680" w:rsidRDefault="00B83BDF" w:rsidP="00B83BD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456680">
        <w:t xml:space="preserve">salienta a necessidade de </w:t>
      </w:r>
      <w:r w:rsidRPr="00456680">
        <w:rPr>
          <w:b/>
        </w:rPr>
        <w:t>clareza e proporcionalidade regulamentares</w:t>
      </w:r>
      <w:r w:rsidRPr="00456680">
        <w:t>, de quadros reforçados para a partilha de dados e a propriedade intelectual e de uma governação inclusiva com uma representação equilibrada das partes interessadas, assegurando que as obrigações são adequadas para as PME e as empresas inovadoras em fase de arranque;</w:t>
      </w:r>
    </w:p>
    <w:p w14:paraId="452668AC" w14:textId="77777777" w:rsidR="00B83BDF" w:rsidRDefault="00B83BDF" w:rsidP="00B83BD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456680">
        <w:t xml:space="preserve">apela para </w:t>
      </w:r>
      <w:r w:rsidRPr="00456680">
        <w:rPr>
          <w:b/>
        </w:rPr>
        <w:t>o financiamento a longo prazo e a contratação pública estratégica</w:t>
      </w:r>
      <w:r w:rsidRPr="00456680">
        <w:t>, nomeadamente através de um apoio previsível no âmbito do Quadro Financeiro Plurianual 2028-2034, a fim de reforçar o ecossistema de IA, a soberania digital e a base industrial da Europa, assegurando simultaneamente a transparência e a concorrência leal.</w:t>
      </w:r>
    </w:p>
    <w:p w14:paraId="6D8A6A1F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spacing w:after="200" w:line="276" w:lineRule="auto"/>
        <w:ind w:left="284"/>
        <w:contextualSpacing/>
        <w:textAlignment w:val="baseline"/>
      </w:pP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="00B83BDF" w:rsidRPr="00456680" w14:paraId="4AF861E7" w14:textId="77777777" w:rsidTr="00F21158">
        <w:tc>
          <w:tcPr>
            <w:tcW w:w="2093" w:type="dxa"/>
          </w:tcPr>
          <w:p w14:paraId="721606B8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14:paraId="520CAA91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Yousra Asbouni El Ouahabi</w:t>
            </w:r>
          </w:p>
        </w:tc>
      </w:tr>
      <w:tr w:rsidR="00B83BDF" w:rsidRPr="00456680" w14:paraId="44B9AB00" w14:textId="77777777" w:rsidTr="00F21158">
        <w:tc>
          <w:tcPr>
            <w:tcW w:w="2093" w:type="dxa"/>
          </w:tcPr>
          <w:p w14:paraId="35D0C3F8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14:paraId="24FACDE6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+ 32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84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85</w:t>
            </w:r>
          </w:p>
        </w:tc>
      </w:tr>
      <w:tr w:rsidR="00B83BDF" w:rsidRPr="00456680" w14:paraId="1A50AEA0" w14:textId="77777777" w:rsidTr="00F21158">
        <w:tc>
          <w:tcPr>
            <w:tcW w:w="2093" w:type="dxa"/>
          </w:tcPr>
          <w:p w14:paraId="21E1EC8E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14:paraId="733CB6FC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r:id="rId43" w:history="1">
              <w:r w:rsidRPr="00456680">
                <w:rPr>
                  <w:i/>
                  <w:color w:val="0000FF"/>
                  <w:sz w:val="22"/>
                  <w:szCs w:val="22"/>
                  <w:u w:val="single"/>
                </w:rPr>
                <w:t>Yousra.AsbouniElOuahabi@eesc.europa.eu</w:t>
              </w:r>
            </w:hyperlink>
          </w:p>
          <w:p w14:paraId="7B44D29C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</w:p>
        </w:tc>
      </w:tr>
    </w:tbl>
    <w:p w14:paraId="2447DEA8" w14:textId="77777777" w:rsidR="00B83BDF" w:rsidRDefault="00B83BDF" w:rsidP="00B83BDF">
      <w:pPr>
        <w:pStyle w:val="ListParagraph"/>
        <w:ind w:left="0"/>
      </w:pPr>
    </w:p>
    <w:p w14:paraId="7435A526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490DA601" w14:textId="77777777" w:rsidR="00B83BDF" w:rsidRPr="00456680" w:rsidRDefault="00B83BDF" w:rsidP="00B83BD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8"/>
          <w:szCs w:val="28"/>
        </w:rPr>
      </w:pPr>
      <w:hyperlink r:id="rId44" w:history="1">
        <w:r w:rsidRPr="00456680">
          <w:rPr>
            <w:b/>
            <w:i/>
            <w:color w:val="0000FF"/>
            <w:sz w:val="28"/>
            <w:szCs w:val="28"/>
            <w:u w:val="single"/>
          </w:rPr>
          <w:t>Horizonte Europa</w:t>
        </w:r>
      </w:hyperlink>
    </w:p>
    <w:p w14:paraId="2BA6504D" w14:textId="77777777" w:rsidR="00B83BDF" w:rsidRPr="00DD5495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tbl>
      <w:tblPr>
        <w:tblStyle w:val="TableGrid13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</w:tblGrid>
      <w:tr w:rsidR="00B83BDF" w:rsidRPr="00456680" w14:paraId="5EBA284B" w14:textId="77777777" w:rsidTr="00F21158">
        <w:tc>
          <w:tcPr>
            <w:tcW w:w="2127" w:type="dxa"/>
          </w:tcPr>
          <w:p w14:paraId="26636EF1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4961" w:type="dxa"/>
          </w:tcPr>
          <w:p w14:paraId="4FA3ECA4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Christophe Lefèvre (FR</w:t>
            </w:r>
            <w:r>
              <w:rPr>
                <w:sz w:val="22"/>
                <w:szCs w:val="22"/>
              </w:rPr>
              <w:t>-</w:t>
            </w:r>
            <w:r w:rsidRPr="00456680">
              <w:rPr>
                <w:sz w:val="22"/>
                <w:szCs w:val="22"/>
              </w:rPr>
              <w:t>Grupo dos Trabalhadores)</w:t>
            </w:r>
          </w:p>
        </w:tc>
      </w:tr>
      <w:tr w:rsidR="00B83BDF" w:rsidRPr="00456680" w14:paraId="2E47DC87" w14:textId="77777777" w:rsidTr="00F21158">
        <w:tc>
          <w:tcPr>
            <w:tcW w:w="7088" w:type="dxa"/>
            <w:gridSpan w:val="2"/>
          </w:tcPr>
          <w:p w14:paraId="26A8A17C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456680" w14:paraId="4007C161" w14:textId="77777777" w:rsidTr="00F21158">
        <w:tc>
          <w:tcPr>
            <w:tcW w:w="2127" w:type="dxa"/>
            <w:vMerge w:val="restart"/>
          </w:tcPr>
          <w:p w14:paraId="15E3EFA7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4961" w:type="dxa"/>
          </w:tcPr>
          <w:p w14:paraId="646D8D84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 xml:space="preserve">COM(2025) 543 final </w:t>
            </w:r>
          </w:p>
          <w:p w14:paraId="59DAF577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COM(2025) 544 final</w:t>
            </w:r>
          </w:p>
        </w:tc>
      </w:tr>
      <w:tr w:rsidR="00B83BDF" w:rsidRPr="00456680" w14:paraId="08941ACB" w14:textId="77777777" w:rsidTr="00F21158">
        <w:tc>
          <w:tcPr>
            <w:tcW w:w="2127" w:type="dxa"/>
            <w:vMerge/>
          </w:tcPr>
          <w:p w14:paraId="04927657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01D2A1C1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EESC-2025-02760-00-00-AC</w:t>
            </w:r>
          </w:p>
        </w:tc>
      </w:tr>
    </w:tbl>
    <w:p w14:paraId="34D4A1A2" w14:textId="77777777" w:rsidR="00B83BDF" w:rsidRDefault="00B83BDF" w:rsidP="00B83BDF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14:paraId="5C49A40C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456680">
        <w:rPr>
          <w:b/>
        </w:rPr>
        <w:t>Pontos principais</w:t>
      </w:r>
    </w:p>
    <w:p w14:paraId="10275A02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50B4C143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textAlignment w:val="baseline"/>
      </w:pPr>
      <w:r w:rsidRPr="00456680">
        <w:t>O Comité Económico e Social Europeu:</w:t>
      </w:r>
    </w:p>
    <w:p w14:paraId="41670C91" w14:textId="77777777" w:rsidR="00B83BDF" w:rsidRPr="00456680" w:rsidRDefault="00B83BDF" w:rsidP="00B83BDF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2959FFBA" w14:textId="77777777" w:rsidR="00B83BDF" w:rsidRPr="00456680" w:rsidRDefault="00B83BDF" w:rsidP="00B83BDF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 w:rsidRPr="00456680">
        <w:t xml:space="preserve">considera que </w:t>
      </w:r>
      <w:r w:rsidRPr="00456680">
        <w:rPr>
          <w:b/>
          <w:bCs/>
        </w:rPr>
        <w:t>o orçamento indicativo de 175 002 000 000 euros proposto para o período 2028</w:t>
      </w:r>
      <w:r>
        <w:rPr>
          <w:b/>
          <w:bCs/>
        </w:rPr>
        <w:noBreakHyphen/>
      </w:r>
      <w:r w:rsidRPr="00456680">
        <w:rPr>
          <w:b/>
          <w:bCs/>
        </w:rPr>
        <w:t>2034 é encorajador</w:t>
      </w:r>
      <w:r w:rsidRPr="00456680">
        <w:t xml:space="preserve"> e constitui um sinal forte a favor da excelência científica e do objetivo de investir na investigação e inovação (I&amp;I) e nas tecnologias disruptivas. No entanto, o CESE recomenda que este orçamento sirva apenas como </w:t>
      </w:r>
      <w:r w:rsidRPr="00456680">
        <w:rPr>
          <w:b/>
          <w:bCs/>
        </w:rPr>
        <w:t>linha de base para os debates</w:t>
      </w:r>
      <w:r w:rsidRPr="00456680">
        <w:t xml:space="preserve"> entre o Conselho e o Parlamento Europeu; considera imperativo assegurar </w:t>
      </w:r>
      <w:r w:rsidRPr="00456680">
        <w:rPr>
          <w:b/>
          <w:bCs/>
        </w:rPr>
        <w:t>o reforço do controlo da utilização dos fundos</w:t>
      </w:r>
      <w:r w:rsidRPr="00456680">
        <w:t xml:space="preserve"> e identificar os obstáculos à utilização de fundos ou os fatores de subutilização em determinados países;</w:t>
      </w:r>
    </w:p>
    <w:p w14:paraId="7CB44F5E" w14:textId="77777777" w:rsidR="00B83BDF" w:rsidRPr="00456680" w:rsidRDefault="00B83BDF" w:rsidP="00B83BDF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 w:rsidRPr="00456680">
        <w:t xml:space="preserve">recomenda </w:t>
      </w:r>
      <w:r w:rsidRPr="00456680">
        <w:rPr>
          <w:b/>
          <w:bCs/>
        </w:rPr>
        <w:t>a manutenção e a execução adequada do alinhamento previsto entre o Horizonte Europa e o Fundo Europeu de Competitividade</w:t>
      </w:r>
      <w:r w:rsidRPr="00456680">
        <w:t>, em particular entre as quatro vertentes estratégicas do fundo e as atividades correspondentes pertinentes do pilar II, «Competitividade», do Horizonte Europa;</w:t>
      </w:r>
    </w:p>
    <w:p w14:paraId="2C55D052" w14:textId="77777777" w:rsidR="00B83BDF" w:rsidRPr="00456680" w:rsidRDefault="00B83BDF" w:rsidP="00B83BDF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 w:rsidRPr="00456680">
        <w:t xml:space="preserve">recomenda </w:t>
      </w:r>
      <w:r w:rsidRPr="00456680">
        <w:rPr>
          <w:b/>
        </w:rPr>
        <w:t>a manutenção e a execução adequada do alinhamento previsto entre o Horizonte Europa e o Fundo Europeu de Competitividade</w:t>
      </w:r>
      <w:r w:rsidRPr="00456680">
        <w:t>, em particular entre as quatro vertentes estratégicas do fundo e as atividades correspondentes pertinentes do pilar II, «Competitividade», do Horizonte Europa;</w:t>
      </w:r>
    </w:p>
    <w:p w14:paraId="7325A756" w14:textId="77777777" w:rsidR="00B83BDF" w:rsidRPr="00456680" w:rsidRDefault="00B83BDF" w:rsidP="00B83BDF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 w:rsidRPr="00456680">
        <w:t xml:space="preserve">preconiza que, a fim de apoiar todo o ciclo de inovação – desde a investigação fundamental à comercialização –, </w:t>
      </w:r>
      <w:r w:rsidRPr="00456680">
        <w:rPr>
          <w:b/>
          <w:bCs/>
        </w:rPr>
        <w:t>os procedimentos de avaliação e seleção dos projetos assentem não só na excelência científica, mas também em critérios de avaliação</w:t>
      </w:r>
      <w:r w:rsidRPr="00456680">
        <w:t xml:space="preserve"> adicionais concebidos </w:t>
      </w:r>
      <w:r w:rsidRPr="00456680">
        <w:rPr>
          <w:b/>
          <w:bCs/>
        </w:rPr>
        <w:t>para captar melhor a relevância comercial, o impacto industrial, bem como o contributo para a autonomia estratégica europeia</w:t>
      </w:r>
      <w:r w:rsidRPr="00456680">
        <w:t xml:space="preserve"> e a competitividade da indústria europeia;</w:t>
      </w:r>
    </w:p>
    <w:p w14:paraId="06918E60" w14:textId="77777777" w:rsidR="00B83BDF" w:rsidRPr="00456680" w:rsidRDefault="00B83BDF" w:rsidP="00B83BDF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 w:rsidRPr="00456680">
        <w:t xml:space="preserve">preconiza </w:t>
      </w:r>
      <w:r w:rsidRPr="00456680">
        <w:rPr>
          <w:b/>
          <w:bCs/>
        </w:rPr>
        <w:t>a manutenção de um mandato de quatro anos</w:t>
      </w:r>
      <w:r w:rsidRPr="00456680">
        <w:t>, renovável uma vez, para o cargo de presidente do Conselho Europeu de Investigação, em vez de o reduzir para dois anos;</w:t>
      </w:r>
    </w:p>
    <w:p w14:paraId="190F9D5E" w14:textId="77777777" w:rsidR="00B83BDF" w:rsidRPr="00456680" w:rsidRDefault="00B83BDF" w:rsidP="00B83BDF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456680">
        <w:t xml:space="preserve">considera que o pilar I, dedicado à investigação e à excelência científica nas ações Marie Skłodowska-Curie (MSCA), nos termos do artigo 9.º da proposta de decisão do Conselho sobre o Horizonte Europa e do artigo 13.º da proposta de regulamento que estabelece o programa-quadro Horizonte Europa, não deve estar sujeito a qualquer orientação política e recomenda </w:t>
      </w:r>
      <w:r w:rsidRPr="00456680">
        <w:rPr>
          <w:b/>
          <w:bCs/>
        </w:rPr>
        <w:t>a manutenção de uma abordagem ascendente («direcionalidade»),</w:t>
      </w:r>
      <w:r w:rsidRPr="00456680">
        <w:t xml:space="preserve"> em vez da abordagem descendente proposta pela Comissão;</w:t>
      </w:r>
    </w:p>
    <w:p w14:paraId="0714E43C" w14:textId="77777777" w:rsidR="00B83BDF" w:rsidRPr="00456680" w:rsidRDefault="00B83BDF" w:rsidP="00B83BDF">
      <w:pPr>
        <w:keepNext/>
        <w:keepLines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456680">
        <w:t xml:space="preserve">recomenda a maior </w:t>
      </w:r>
      <w:r w:rsidRPr="00456680">
        <w:rPr>
          <w:b/>
          <w:bCs/>
        </w:rPr>
        <w:t>prudência no que diz respeito à condicionalidade de 3% do produto interno bruto prevista no pilar IV, «Espaço Europeu da Investigação»</w:t>
      </w:r>
      <w:r w:rsidRPr="00456680">
        <w:t>, nos termos da proposta de regulamento, para o financiamento de medidas de reforço das capacidades a partir de 2030, uma vez que essa condicionalidade pode afetar os beneficiários dos países com menores capacidades de I&amp;I.</w:t>
      </w:r>
    </w:p>
    <w:p w14:paraId="47849768" w14:textId="77777777" w:rsidR="00B83BDF" w:rsidRDefault="00B83BDF" w:rsidP="00B83BDF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="00B83BDF" w:rsidRPr="00456680" w14:paraId="02B8570A" w14:textId="77777777" w:rsidTr="00F21158">
        <w:tc>
          <w:tcPr>
            <w:tcW w:w="2127" w:type="dxa"/>
          </w:tcPr>
          <w:p w14:paraId="44B140CE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b/>
                <w:i/>
                <w:sz w:val="22"/>
                <w:szCs w:val="22"/>
              </w:rPr>
              <w:lastRenderedPageBreak/>
              <w:t>Contacto</w:t>
            </w:r>
          </w:p>
        </w:tc>
        <w:tc>
          <w:tcPr>
            <w:tcW w:w="4252" w:type="dxa"/>
          </w:tcPr>
          <w:p w14:paraId="5F0FF860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Jana Valant</w:t>
            </w:r>
          </w:p>
        </w:tc>
      </w:tr>
      <w:tr w:rsidR="00B83BDF" w:rsidRPr="00456680" w14:paraId="3308A88A" w14:textId="77777777" w:rsidTr="00F21158">
        <w:tc>
          <w:tcPr>
            <w:tcW w:w="2127" w:type="dxa"/>
          </w:tcPr>
          <w:p w14:paraId="74EFDE24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252" w:type="dxa"/>
          </w:tcPr>
          <w:p w14:paraId="3129FE2C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546 89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56680">
              <w:rPr>
                <w:i/>
                <w:sz w:val="22"/>
                <w:szCs w:val="22"/>
              </w:rPr>
              <w:t>24</w:t>
            </w:r>
          </w:p>
        </w:tc>
      </w:tr>
      <w:tr w:rsidR="00B83BDF" w:rsidRPr="00456680" w14:paraId="6B0EC16E" w14:textId="77777777" w:rsidTr="00F21158">
        <w:tc>
          <w:tcPr>
            <w:tcW w:w="2127" w:type="dxa"/>
          </w:tcPr>
          <w:p w14:paraId="6E3685B4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252" w:type="dxa"/>
          </w:tcPr>
          <w:p w14:paraId="3CB446D9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r:id="rId45" w:history="1">
              <w:r w:rsidRPr="00456680">
                <w:rPr>
                  <w:i/>
                  <w:color w:val="0000FF"/>
                  <w:sz w:val="22"/>
                  <w:szCs w:val="22"/>
                  <w:u w:val="single"/>
                </w:rPr>
                <w:t>Jana.Valant@eesc.europa.eu</w:t>
              </w:r>
            </w:hyperlink>
          </w:p>
        </w:tc>
      </w:tr>
    </w:tbl>
    <w:p w14:paraId="301F878E" w14:textId="77777777" w:rsidR="00B83BDF" w:rsidRPr="00DD5495" w:rsidRDefault="00B83BDF" w:rsidP="00B83BDF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en-GB"/>
        </w:rPr>
      </w:pPr>
    </w:p>
    <w:p w14:paraId="44A03052" w14:textId="77777777" w:rsidR="00B83BDF" w:rsidRDefault="00B83BDF" w:rsidP="00B83BDF">
      <w:pPr>
        <w:pStyle w:val="ListParagraph"/>
        <w:ind w:left="0"/>
      </w:pPr>
    </w:p>
    <w:p w14:paraId="506A9C8B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250469C6" w14:textId="77777777" w:rsidR="00B83BDF" w:rsidRDefault="00B83BDF" w:rsidP="00B83BDF">
      <w:pPr>
        <w:pStyle w:val="Heading1"/>
        <w:rPr>
          <w:b/>
        </w:rPr>
      </w:pPr>
      <w:bookmarkStart w:id="120" w:name="_Toc70322234"/>
      <w:bookmarkStart w:id="121" w:name="_Toc75527084"/>
      <w:bookmarkStart w:id="122" w:name="_Toc221182605"/>
      <w:r>
        <w:rPr>
          <w:b/>
        </w:rPr>
        <w:lastRenderedPageBreak/>
        <w:t>AGRICULTURA, DESENVOLVIMENTO RURAL E AMBIENTE</w:t>
      </w:r>
      <w:bookmarkEnd w:id="120"/>
      <w:bookmarkEnd w:id="121"/>
      <w:bookmarkEnd w:id="122"/>
    </w:p>
    <w:p w14:paraId="355A8C46" w14:textId="77777777" w:rsidR="00B83BDF" w:rsidRDefault="00B83BDF" w:rsidP="00B83BDF"/>
    <w:p w14:paraId="6DC42DDF" w14:textId="77777777" w:rsidR="00B83BDF" w:rsidRPr="00456680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sz w:val="28"/>
          <w:szCs w:val="28"/>
        </w:rPr>
      </w:pPr>
      <w:hyperlink r:id="rId46" w:history="1">
        <w:r w:rsidRPr="00456680">
          <w:rPr>
            <w:b/>
            <w:i/>
            <w:color w:val="0000FF"/>
            <w:sz w:val="28"/>
            <w:szCs w:val="28"/>
            <w:u w:val="single"/>
          </w:rPr>
          <w:t>Convenção sobre as tartarugas marinhas</w:t>
        </w:r>
      </w:hyperlink>
    </w:p>
    <w:p w14:paraId="1A20B90D" w14:textId="77777777" w:rsidR="00B83BDF" w:rsidRPr="00020D21" w:rsidRDefault="00B83BDF" w:rsidP="00B83BDF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83BDF" w:rsidRPr="00456680" w14:paraId="1967A6C5" w14:textId="77777777" w:rsidTr="00F21158">
        <w:tc>
          <w:tcPr>
            <w:tcW w:w="1077" w:type="pct"/>
            <w:vMerge w:val="restart"/>
          </w:tcPr>
          <w:p w14:paraId="7467F712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56680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923" w:type="pct"/>
          </w:tcPr>
          <w:p w14:paraId="537E5517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Parecer da categoria C</w:t>
            </w:r>
          </w:p>
          <w:p w14:paraId="30932E65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COM(2025) 689 final</w:t>
            </w:r>
          </w:p>
        </w:tc>
      </w:tr>
      <w:tr w:rsidR="00B83BDF" w:rsidRPr="00456680" w14:paraId="58F8C86C" w14:textId="77777777" w:rsidTr="00F21158">
        <w:tc>
          <w:tcPr>
            <w:tcW w:w="1077" w:type="pct"/>
            <w:vMerge/>
          </w:tcPr>
          <w:p w14:paraId="38759162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115730D3" w14:textId="77777777" w:rsidR="00B83BDF" w:rsidRPr="00456680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456680">
              <w:rPr>
                <w:sz w:val="22"/>
                <w:szCs w:val="22"/>
              </w:rPr>
              <w:t>EESC-2025-03864-00-00-AC</w:t>
            </w:r>
          </w:p>
        </w:tc>
      </w:tr>
    </w:tbl>
    <w:p w14:paraId="5B2DB2CC" w14:textId="77777777" w:rsidR="00B83BDF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</w:p>
    <w:p w14:paraId="0331149B" w14:textId="77777777" w:rsidR="00B83BDF" w:rsidRPr="00A6689B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  <w:r>
        <w:rPr>
          <w:b/>
        </w:rPr>
        <w:t>Pontos principais</w:t>
      </w:r>
    </w:p>
    <w:p w14:paraId="0CF01F48" w14:textId="77777777" w:rsidR="00B83BDF" w:rsidRPr="00A6689B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</w:p>
    <w:p w14:paraId="72ECBDA2" w14:textId="77777777" w:rsidR="00B83BDF" w:rsidRDefault="00B83BDF" w:rsidP="00B83BDF">
      <w:pPr>
        <w:widowControl w:val="0"/>
      </w:pPr>
      <w:r>
        <w:t>O Comité Económico e Social Europeu:</w:t>
      </w:r>
    </w:p>
    <w:p w14:paraId="7F33F4B0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73EF6CE" w14:textId="77777777" w:rsidR="00B83BDF" w:rsidRDefault="00B83BDF" w:rsidP="00B83BDF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</w:pPr>
      <w:r w:rsidRPr="00456680">
        <w:t>considera que o conteúdo da proposta é inteiramente satisfatório e não suscita quaisquer observações, pelo que decidiu emitir parecer favorável ao texto proposto.</w:t>
      </w:r>
    </w:p>
    <w:p w14:paraId="158F01D9" w14:textId="77777777" w:rsidR="00B83BDF" w:rsidRPr="00456680" w:rsidRDefault="00B83BDF" w:rsidP="00B83BDF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lang w:val="en-GB"/>
        </w:rPr>
      </w:pPr>
    </w:p>
    <w:tbl>
      <w:tblPr>
        <w:tblStyle w:val="TableGrid14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6892"/>
      </w:tblGrid>
      <w:tr w:rsidR="00B83BDF" w:rsidRPr="00456680" w14:paraId="4367BC9C" w14:textId="77777777" w:rsidTr="00F21158">
        <w:tc>
          <w:tcPr>
            <w:tcW w:w="1203" w:type="pct"/>
          </w:tcPr>
          <w:p w14:paraId="2A46A079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797" w:type="pct"/>
          </w:tcPr>
          <w:p w14:paraId="72871619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Arturo Iniguez Yuste</w:t>
            </w:r>
          </w:p>
        </w:tc>
      </w:tr>
      <w:tr w:rsidR="00B83BDF" w:rsidRPr="00456680" w14:paraId="611DF821" w14:textId="77777777" w:rsidTr="00F21158">
        <w:tc>
          <w:tcPr>
            <w:tcW w:w="1203" w:type="pct"/>
          </w:tcPr>
          <w:p w14:paraId="7DBB8C80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797" w:type="pct"/>
          </w:tcPr>
          <w:p w14:paraId="1F0A16EB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+32 2 546 87 68</w:t>
            </w:r>
          </w:p>
        </w:tc>
      </w:tr>
      <w:tr w:rsidR="00B83BDF" w:rsidRPr="00456680" w14:paraId="51573934" w14:textId="77777777" w:rsidTr="00F21158">
        <w:tc>
          <w:tcPr>
            <w:tcW w:w="1203" w:type="pct"/>
          </w:tcPr>
          <w:p w14:paraId="55C5041F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456680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797" w:type="pct"/>
          </w:tcPr>
          <w:p w14:paraId="023BF5F4" w14:textId="77777777" w:rsidR="00B83BDF" w:rsidRPr="00456680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47" w:history="1">
              <w:r w:rsidRPr="00456680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14:paraId="1A3A5623" w14:textId="77777777" w:rsidR="00B83BDF" w:rsidRDefault="00B83BDF" w:rsidP="00B83BDF">
      <w:pPr>
        <w:spacing w:after="160" w:line="259" w:lineRule="auto"/>
        <w:jc w:val="left"/>
      </w:pPr>
    </w:p>
    <w:p w14:paraId="4B0749D1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1A7AD3E" w14:textId="77777777" w:rsidR="00B83BDF" w:rsidRPr="00AC2308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sz w:val="28"/>
          <w:szCs w:val="28"/>
        </w:rPr>
      </w:pPr>
      <w:hyperlink r:id="rId48" w:history="1">
        <w:r w:rsidRPr="00AC2308">
          <w:rPr>
            <w:b/>
            <w:i/>
            <w:color w:val="0000FF"/>
            <w:sz w:val="28"/>
            <w:szCs w:val="28"/>
            <w:u w:val="single"/>
          </w:rPr>
          <w:t>Alteração da reserva de estabilização do mercado para os setores dos edifícios, transporte rodoviário e outros setores</w:t>
        </w:r>
      </w:hyperlink>
    </w:p>
    <w:p w14:paraId="48AE06F4" w14:textId="77777777" w:rsidR="00B83BDF" w:rsidRPr="00EE45AC" w:rsidRDefault="00B83BDF" w:rsidP="00B83BDF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83BDF" w:rsidRPr="00AC2308" w14:paraId="5D28920E" w14:textId="77777777" w:rsidTr="00F21158">
        <w:tc>
          <w:tcPr>
            <w:tcW w:w="1077" w:type="pct"/>
            <w:vMerge w:val="restart"/>
          </w:tcPr>
          <w:p w14:paraId="574D99FA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923" w:type="pct"/>
          </w:tcPr>
          <w:p w14:paraId="5718F5C5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Parecer da categoria C</w:t>
            </w:r>
          </w:p>
          <w:p w14:paraId="73995A42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 xml:space="preserve">COM(2025) 738 final </w:t>
            </w:r>
          </w:p>
        </w:tc>
      </w:tr>
      <w:tr w:rsidR="00B83BDF" w:rsidRPr="00AC2308" w14:paraId="17D0DF80" w14:textId="77777777" w:rsidTr="00F21158">
        <w:tc>
          <w:tcPr>
            <w:tcW w:w="1077" w:type="pct"/>
            <w:vMerge/>
          </w:tcPr>
          <w:p w14:paraId="78781B7E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32C3AD01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EESC-2026-00103-00-00-AC</w:t>
            </w:r>
          </w:p>
        </w:tc>
      </w:tr>
    </w:tbl>
    <w:p w14:paraId="431AE6B3" w14:textId="77777777" w:rsidR="00B83BDF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</w:p>
    <w:p w14:paraId="7A113984" w14:textId="77777777" w:rsidR="00B83BDF" w:rsidRPr="00A6689B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  <w:r>
        <w:rPr>
          <w:b/>
        </w:rPr>
        <w:t>Pontos principais</w:t>
      </w:r>
    </w:p>
    <w:p w14:paraId="01D86AA7" w14:textId="77777777" w:rsidR="00B83BDF" w:rsidRPr="00A6689B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</w:p>
    <w:p w14:paraId="66803925" w14:textId="77777777" w:rsidR="00B83BDF" w:rsidRDefault="00B83BDF" w:rsidP="00B83BDF">
      <w:pPr>
        <w:widowControl w:val="0"/>
      </w:pPr>
      <w:r>
        <w:t>O Comité Económico e Social Europeu:</w:t>
      </w:r>
    </w:p>
    <w:p w14:paraId="601D2E49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5A85A24D" w14:textId="77777777" w:rsidR="00B83BDF" w:rsidRPr="00AC2308" w:rsidRDefault="00B83BDF" w:rsidP="00B83BDF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</w:pPr>
      <w:r w:rsidRPr="00AC2308">
        <w:t>considerando que o conteúdo da proposta é inteiramente satisfatório e não suscita quaisquer observações, decidiu emitir parecer favorável ao texto proposto.</w:t>
      </w:r>
    </w:p>
    <w:tbl>
      <w:tblPr>
        <w:tblStyle w:val="TableGrid15"/>
        <w:tblW w:w="4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6915"/>
      </w:tblGrid>
      <w:tr w:rsidR="00B83BDF" w:rsidRPr="00AC2308" w14:paraId="58EE8940" w14:textId="77777777" w:rsidTr="00F21158">
        <w:tc>
          <w:tcPr>
            <w:tcW w:w="1141" w:type="pct"/>
          </w:tcPr>
          <w:p w14:paraId="53B04082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859" w:type="pct"/>
          </w:tcPr>
          <w:p w14:paraId="2BA7A195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 xml:space="preserve">Gaizka Malo Elcoro-Iribe </w:t>
            </w:r>
          </w:p>
        </w:tc>
      </w:tr>
      <w:tr w:rsidR="00B83BDF" w:rsidRPr="00AC2308" w14:paraId="46AB5733" w14:textId="77777777" w:rsidTr="00F21158">
        <w:tc>
          <w:tcPr>
            <w:tcW w:w="1141" w:type="pct"/>
          </w:tcPr>
          <w:p w14:paraId="521437F6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859" w:type="pct"/>
          </w:tcPr>
          <w:p w14:paraId="6CB3BECB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85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26</w:t>
            </w:r>
          </w:p>
        </w:tc>
      </w:tr>
      <w:tr w:rsidR="00B83BDF" w:rsidRPr="00AC2308" w14:paraId="3AF648BE" w14:textId="77777777" w:rsidTr="00F21158">
        <w:tc>
          <w:tcPr>
            <w:tcW w:w="1141" w:type="pct"/>
          </w:tcPr>
          <w:p w14:paraId="363D1745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859" w:type="pct"/>
          </w:tcPr>
          <w:p w14:paraId="60B28071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49" w:history="1">
              <w:r w:rsidRPr="00AC2308">
                <w:rPr>
                  <w:i/>
                  <w:color w:val="0000FF"/>
                  <w:sz w:val="22"/>
                  <w:szCs w:val="22"/>
                  <w:u w:val="single"/>
                </w:rPr>
                <w:t>Gaizka.MaloElcoro-Iribe@eesc.europa.eu</w:t>
              </w:r>
            </w:hyperlink>
            <w:r w:rsidRPr="00AC2308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155164C3" w14:textId="77777777" w:rsidR="00B83BDF" w:rsidRPr="00AC2308" w:rsidRDefault="00B83BDF" w:rsidP="00B83BDF">
      <w:pPr>
        <w:spacing w:after="160" w:line="259" w:lineRule="auto"/>
        <w:jc w:val="left"/>
      </w:pPr>
    </w:p>
    <w:p w14:paraId="6E93481B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234227A6" w14:textId="77777777" w:rsidR="00B83BDF" w:rsidRPr="00AC2308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sz w:val="28"/>
          <w:szCs w:val="28"/>
        </w:rPr>
      </w:pPr>
      <w:hyperlink r:id="rId50" w:history="1">
        <w:r w:rsidRPr="00AC2308">
          <w:rPr>
            <w:b/>
            <w:i/>
            <w:color w:val="0000FF"/>
            <w:sz w:val="28"/>
            <w:szCs w:val="28"/>
            <w:u w:val="single"/>
          </w:rPr>
          <w:t>Alteração à proteção dos dados relativos aos produtos biocidas</w:t>
        </w:r>
      </w:hyperlink>
    </w:p>
    <w:p w14:paraId="3BF7DE40" w14:textId="77777777" w:rsidR="00B83BDF" w:rsidRPr="00A71787" w:rsidRDefault="00B83BDF" w:rsidP="00B83BDF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83BDF" w:rsidRPr="00AC2308" w14:paraId="203ADEF6" w14:textId="77777777" w:rsidTr="00F21158">
        <w:tc>
          <w:tcPr>
            <w:tcW w:w="1077" w:type="pct"/>
            <w:vMerge w:val="restart"/>
          </w:tcPr>
          <w:p w14:paraId="2F161A03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923" w:type="pct"/>
          </w:tcPr>
          <w:p w14:paraId="7DF0B9FB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Parecer da categoria C</w:t>
            </w:r>
          </w:p>
          <w:p w14:paraId="171BCAAC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 xml:space="preserve">COM(2025) 1020 final </w:t>
            </w:r>
          </w:p>
        </w:tc>
      </w:tr>
      <w:tr w:rsidR="00B83BDF" w:rsidRPr="00AC2308" w14:paraId="4ADA3F84" w14:textId="77777777" w:rsidTr="00F21158">
        <w:tc>
          <w:tcPr>
            <w:tcW w:w="1077" w:type="pct"/>
            <w:vMerge/>
          </w:tcPr>
          <w:p w14:paraId="0D8838DF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3DFA6AA6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EESC-2026-00101-00-00-AC</w:t>
            </w:r>
          </w:p>
        </w:tc>
      </w:tr>
    </w:tbl>
    <w:p w14:paraId="31C3834B" w14:textId="77777777" w:rsidR="00B83BDF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</w:p>
    <w:p w14:paraId="3490B401" w14:textId="77777777" w:rsidR="00B83BDF" w:rsidRPr="00A6689B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  <w:r>
        <w:rPr>
          <w:b/>
        </w:rPr>
        <w:t>Pontos principais</w:t>
      </w:r>
    </w:p>
    <w:p w14:paraId="2E566973" w14:textId="77777777" w:rsidR="00B83BDF" w:rsidRPr="00A6689B" w:rsidRDefault="00B83BDF" w:rsidP="00B83BDF">
      <w:pPr>
        <w:widowControl w:val="0"/>
        <w:tabs>
          <w:tab w:val="center" w:pos="284"/>
        </w:tabs>
        <w:ind w:left="266" w:hanging="266"/>
        <w:rPr>
          <w:b/>
        </w:rPr>
      </w:pPr>
    </w:p>
    <w:p w14:paraId="44182782" w14:textId="77777777" w:rsidR="00B83BDF" w:rsidRDefault="00B83BDF" w:rsidP="00B83BDF">
      <w:pPr>
        <w:widowControl w:val="0"/>
      </w:pPr>
      <w:r>
        <w:t>O Comité Económico e Social Europeu:</w:t>
      </w:r>
    </w:p>
    <w:p w14:paraId="6DB0920C" w14:textId="77777777" w:rsidR="00B83BDF" w:rsidRPr="00456680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29DFBED0" w14:textId="77777777" w:rsidR="00B83BDF" w:rsidRPr="00AC2308" w:rsidRDefault="00B83BDF" w:rsidP="00B83BDF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spacing w:after="200" w:line="276" w:lineRule="auto"/>
        <w:jc w:val="left"/>
        <w:textAlignment w:val="baseline"/>
      </w:pPr>
      <w:r w:rsidRPr="00AC2308">
        <w:t>considerando que o conteúdo da proposta é inteiramente satisfatório e não suscita quaisquer observações, decidiu emitir parecer favorável ao texto proposto.</w:t>
      </w:r>
    </w:p>
    <w:tbl>
      <w:tblPr>
        <w:tblStyle w:val="TableGrid1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6892"/>
      </w:tblGrid>
      <w:tr w:rsidR="00B83BDF" w:rsidRPr="00AC2308" w14:paraId="66EA6FEA" w14:textId="77777777" w:rsidTr="00F21158">
        <w:tc>
          <w:tcPr>
            <w:tcW w:w="1203" w:type="pct"/>
          </w:tcPr>
          <w:p w14:paraId="07A7ED22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797" w:type="pct"/>
          </w:tcPr>
          <w:p w14:paraId="5040F456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 xml:space="preserve">Martine Delanoy </w:t>
            </w:r>
          </w:p>
        </w:tc>
      </w:tr>
      <w:tr w:rsidR="00B83BDF" w:rsidRPr="00AC2308" w14:paraId="01EE912A" w14:textId="77777777" w:rsidTr="00F21158">
        <w:tc>
          <w:tcPr>
            <w:tcW w:w="1203" w:type="pct"/>
          </w:tcPr>
          <w:p w14:paraId="4AD45AB2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797" w:type="pct"/>
          </w:tcPr>
          <w:p w14:paraId="4FA82DB6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98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02</w:t>
            </w:r>
          </w:p>
        </w:tc>
      </w:tr>
      <w:tr w:rsidR="00B83BDF" w:rsidRPr="00AC2308" w14:paraId="058D48E3" w14:textId="77777777" w:rsidTr="00F21158">
        <w:tc>
          <w:tcPr>
            <w:tcW w:w="1203" w:type="pct"/>
          </w:tcPr>
          <w:p w14:paraId="384396E7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797" w:type="pct"/>
          </w:tcPr>
          <w:p w14:paraId="140100ED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51" w:history="1">
              <w:r w:rsidRPr="00AC2308">
                <w:rPr>
                  <w:i/>
                  <w:color w:val="0000FF"/>
                  <w:sz w:val="22"/>
                  <w:szCs w:val="22"/>
                  <w:u w:val="single"/>
                </w:rPr>
                <w:t>Martine.Delanoy@eesc.europa.eu</w:t>
              </w:r>
            </w:hyperlink>
          </w:p>
        </w:tc>
      </w:tr>
    </w:tbl>
    <w:p w14:paraId="1831D634" w14:textId="77777777" w:rsidR="00B83BDF" w:rsidRPr="00AC2308" w:rsidRDefault="00B83BDF" w:rsidP="00B83BDF">
      <w:pPr>
        <w:spacing w:after="160" w:line="259" w:lineRule="auto"/>
        <w:jc w:val="left"/>
      </w:pPr>
    </w:p>
    <w:p w14:paraId="4AF34309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715F884F" w14:textId="77777777" w:rsidR="00B83BDF" w:rsidRPr="00AC2308" w:rsidRDefault="00B83BDF" w:rsidP="00B83BDF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r:id="rId52" w:history="1">
        <w:r w:rsidRPr="00AC2308">
          <w:rPr>
            <w:b/>
            <w:i/>
            <w:color w:val="0000FF"/>
            <w:sz w:val="28"/>
            <w:szCs w:val="28"/>
            <w:u w:val="single"/>
          </w:rPr>
          <w:t>Revisão do Regulamento Organização Comum dos Mercados (OCM)</w:t>
        </w:r>
      </w:hyperlink>
    </w:p>
    <w:p w14:paraId="78FD28F2" w14:textId="77777777" w:rsidR="00B83BDF" w:rsidRPr="00FA584E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spacing w:line="192" w:lineRule="auto"/>
        <w:ind w:left="266" w:hanging="266"/>
        <w:textAlignment w:val="baseline"/>
        <w:rPr>
          <w:b/>
          <w:lang w:val="en-GB"/>
        </w:rPr>
      </w:pPr>
    </w:p>
    <w:tbl>
      <w:tblPr>
        <w:tblStyle w:val="TableGrid1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83BDF" w:rsidRPr="00AC2308" w14:paraId="228C2578" w14:textId="77777777" w:rsidTr="00F21158">
        <w:tc>
          <w:tcPr>
            <w:tcW w:w="1077" w:type="pct"/>
          </w:tcPr>
          <w:p w14:paraId="2318BBA2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923" w:type="pct"/>
          </w:tcPr>
          <w:p w14:paraId="06E3091A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Felipe Medina Martín (ES</w:t>
            </w:r>
            <w:r>
              <w:rPr>
                <w:sz w:val="22"/>
                <w:szCs w:val="22"/>
              </w:rPr>
              <w:t>-</w:t>
            </w:r>
            <w:r w:rsidRPr="00AC2308">
              <w:rPr>
                <w:sz w:val="22"/>
                <w:szCs w:val="22"/>
              </w:rPr>
              <w:t>Grupo dos Empregadores)</w:t>
            </w:r>
          </w:p>
          <w:p w14:paraId="4EE0D65A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AC2308" w14:paraId="389532CF" w14:textId="77777777" w:rsidTr="00F21158">
        <w:tc>
          <w:tcPr>
            <w:tcW w:w="1077" w:type="pct"/>
          </w:tcPr>
          <w:p w14:paraId="75864036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923" w:type="pct"/>
          </w:tcPr>
          <w:p w14:paraId="3A5A4CBB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COM(2025) 553 final</w:t>
            </w:r>
          </w:p>
          <w:p w14:paraId="353E782D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EESC-2025-03145-00-00-AC</w:t>
            </w:r>
          </w:p>
        </w:tc>
      </w:tr>
    </w:tbl>
    <w:p w14:paraId="4ECB0E95" w14:textId="77777777" w:rsidR="00B83BDF" w:rsidRPr="00AC2308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spacing w:line="192" w:lineRule="auto"/>
        <w:ind w:left="266" w:hanging="266"/>
        <w:textAlignment w:val="baseline"/>
        <w:rPr>
          <w:b/>
          <w:lang w:val="en-GB"/>
        </w:rPr>
      </w:pPr>
    </w:p>
    <w:p w14:paraId="5EFB4CBC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AC2308">
        <w:rPr>
          <w:b/>
        </w:rPr>
        <w:t>Pontos principais</w:t>
      </w:r>
    </w:p>
    <w:p w14:paraId="69BBA3A2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192" w:lineRule="auto"/>
        <w:ind w:left="266" w:hanging="266"/>
        <w:textAlignment w:val="baseline"/>
        <w:rPr>
          <w:b/>
          <w:lang w:val="en-GB"/>
        </w:rPr>
      </w:pPr>
    </w:p>
    <w:p w14:paraId="5E8167CC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textAlignment w:val="baseline"/>
      </w:pPr>
      <w:r w:rsidRPr="00AC2308">
        <w:t>O Comité Económico e Social Europeu:</w:t>
      </w:r>
    </w:p>
    <w:p w14:paraId="2577F72B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spacing w:line="192" w:lineRule="auto"/>
        <w:textAlignment w:val="baseline"/>
        <w:rPr>
          <w:lang w:val="en-GB"/>
        </w:rPr>
      </w:pPr>
    </w:p>
    <w:p w14:paraId="06520258" w14:textId="77777777" w:rsidR="00B83BDF" w:rsidRPr="00AC2308" w:rsidRDefault="00B83BDF" w:rsidP="00B83BD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</w:pPr>
      <w:r w:rsidRPr="00AC2308">
        <w:t>congratula-se com as alterações propostas pela Comissão Europeia na proposta COM(2025) 553 final, relativa à revisão da organização comum de mercado (OCM);</w:t>
      </w:r>
    </w:p>
    <w:p w14:paraId="133095A8" w14:textId="77777777" w:rsidR="00B83BDF" w:rsidRPr="00AC2308" w:rsidRDefault="00B83BDF" w:rsidP="00B83BD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</w:pPr>
      <w:r w:rsidRPr="00AC2308">
        <w:t xml:space="preserve">assinala que há um </w:t>
      </w:r>
      <w:r w:rsidRPr="00AC2308">
        <w:rPr>
          <w:b/>
        </w:rPr>
        <w:t>desfasamento entre a ambição</w:t>
      </w:r>
      <w:r w:rsidRPr="00AC2308">
        <w:t xml:space="preserve"> refletida nas propostas – que dão aos Estados</w:t>
      </w:r>
      <w:r>
        <w:noBreakHyphen/>
      </w:r>
      <w:r w:rsidRPr="00AC2308">
        <w:t>Membros a oportunidade de aditar novas intervenções setoriais –</w:t>
      </w:r>
      <w:r w:rsidRPr="00AC2308">
        <w:rPr>
          <w:b/>
        </w:rPr>
        <w:t xml:space="preserve"> e o facto de o orçamento proposto reservado à PAC ser inferior ao orçamento atual</w:t>
      </w:r>
      <w:r w:rsidRPr="00AC2308">
        <w:t xml:space="preserve"> e de os Estados</w:t>
      </w:r>
      <w:r>
        <w:noBreakHyphen/>
      </w:r>
      <w:r w:rsidRPr="00AC2308">
        <w:t>Membros serem chamados a cofinanciar intervenções, o que não acontece atualmente no caso da fruta e produtos hortícolas. Esta situação pode igualmente comprometer o funcionamento do mercado interno;</w:t>
      </w:r>
    </w:p>
    <w:p w14:paraId="49E9FD89" w14:textId="77777777" w:rsidR="00B83BDF" w:rsidRPr="00AC2308" w:rsidRDefault="00B83BDF" w:rsidP="00B83BD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</w:pPr>
      <w:r w:rsidRPr="00AC2308">
        <w:t xml:space="preserve">reconhece os esforços envidados pela Comissão para </w:t>
      </w:r>
      <w:r w:rsidRPr="00AC2308">
        <w:rPr>
          <w:b/>
        </w:rPr>
        <w:t>simplificar vários aspetos do Regulamento Organização Comum dos Mercados</w:t>
      </w:r>
      <w:r w:rsidRPr="00AC2308">
        <w:t>. Esses esforços de simplificação visam facilitar a sua compreensão, promover o seu desenvolvimento e a sua aplicação e, assim, aumentar a eficiência das diferentes medidas, com vista a melhorar a situação dos agricultores e de outros operadores ao longo da cadeia agroalimentar. As atuais intervenções setoriais se prolongarão para além do final do atual período orçamental, pelo que são necessárias disposições transitórias;</w:t>
      </w:r>
    </w:p>
    <w:p w14:paraId="30B050C1" w14:textId="77777777" w:rsidR="00B83BDF" w:rsidRPr="00AC2308" w:rsidRDefault="00B83BDF" w:rsidP="00B83BD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</w:pPr>
      <w:r w:rsidRPr="00AC2308">
        <w:t xml:space="preserve">salienta a necessidade de reconhecer claramente a </w:t>
      </w:r>
      <w:r w:rsidRPr="00AC2308">
        <w:rPr>
          <w:b/>
        </w:rPr>
        <w:t>natureza essencial e estratégica do setor agroalimentar</w:t>
      </w:r>
      <w:r w:rsidRPr="00AC2308">
        <w:t>. Os protocolos de contingência para situações de crise e situações excecionais, a elaborar pelos Estados-Membros, devem incluir este princípio, assegurando que os poderes públicos sejam obrigados a facilitar as atividades de todos os operadores do setor em situações de crise. Este aspeto é crucial para garantir o abastecimento alimentar a todo o momento e contribuir para tranquilizar os cidadãos europeus, evitando assim o açambarcamento desnecessário de alimentos e os problemas de segurança conexos;</w:t>
      </w:r>
    </w:p>
    <w:p w14:paraId="7716C9BC" w14:textId="77777777" w:rsidR="00B83BDF" w:rsidRPr="00AC2308" w:rsidRDefault="00B83BDF" w:rsidP="00B83BD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spacing w:val="-4"/>
        </w:rPr>
      </w:pPr>
      <w:r w:rsidRPr="00AC2308">
        <w:t xml:space="preserve">reitera a </w:t>
      </w:r>
      <w:r w:rsidRPr="00AC2308">
        <w:rPr>
          <w:b/>
        </w:rPr>
        <w:t>necessidade de transparência</w:t>
      </w:r>
      <w:r w:rsidRPr="00AC2308">
        <w:t xml:space="preserve"> no que respeita à composição dos produtos alimentares e de que esta informação seja facilmente acessível aos consumidores. Além disso, reconhece os esforços envidados pela Comissão Europeia relativamente às denominações dos produtos à base de carne, mas alerta para o risco de determinadas medidas destinadas a proteger setores de produção específicos terem efeitos negativos noutros setores igualmente essenciais;</w:t>
      </w:r>
    </w:p>
    <w:p w14:paraId="40463865" w14:textId="77777777" w:rsidR="00B83BDF" w:rsidRPr="00AC2308" w:rsidRDefault="00B83BDF" w:rsidP="00B83BD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</w:pPr>
      <w:r w:rsidRPr="00AC2308">
        <w:t xml:space="preserve">solicita à Comissão que </w:t>
      </w:r>
      <w:r w:rsidRPr="00AC2308">
        <w:rPr>
          <w:b/>
        </w:rPr>
        <w:t>permita a utilização de toda a planta do cânhamo</w:t>
      </w:r>
      <w:r w:rsidRPr="00AC2308">
        <w:t>, incluindo as flores, e que simplifique os controlos, dando prioridade aos controlos administrativos e reduzindo as inspeções no local. Em consonância com o apoio do CESE a uma regulamentação eficaz, proporcionada e baseada em dados concretos, a Comissão é exortada a reconsiderar estas alterações e a adotar uma abordagem baseada no risco que permita a utilização de folhas e palha de cânhamo como matérias-primas para alimentação animal, desde que provenham de variedades conformes com a política agrícola comum (PAC) (&lt;0,3% de THC).</w:t>
      </w:r>
    </w:p>
    <w:p w14:paraId="60EE4159" w14:textId="77777777" w:rsidR="00B83BDF" w:rsidRPr="00AC2308" w:rsidRDefault="00B83BDF" w:rsidP="00B83BDF">
      <w:pPr>
        <w:widowControl w:val="0"/>
        <w:overflowPunct w:val="0"/>
        <w:autoSpaceDE w:val="0"/>
        <w:autoSpaceDN w:val="0"/>
        <w:adjustRightInd w:val="0"/>
        <w:spacing w:line="192" w:lineRule="auto"/>
        <w:textAlignment w:val="baseline"/>
        <w:rPr>
          <w:lang w:val="en-GB"/>
        </w:rPr>
      </w:pPr>
    </w:p>
    <w:tbl>
      <w:tblPr>
        <w:tblStyle w:val="TableGrid1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028"/>
      </w:tblGrid>
      <w:tr w:rsidR="00B83BDF" w:rsidRPr="00AC2308" w14:paraId="2CA6EE5A" w14:textId="77777777" w:rsidTr="00F21158">
        <w:tc>
          <w:tcPr>
            <w:tcW w:w="1127" w:type="pct"/>
          </w:tcPr>
          <w:p w14:paraId="2F4DD830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C230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873" w:type="pct"/>
          </w:tcPr>
          <w:p w14:paraId="586B6FA5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Myrto Kolyva</w:t>
            </w:r>
          </w:p>
        </w:tc>
      </w:tr>
      <w:tr w:rsidR="00B83BDF" w:rsidRPr="00AC2308" w14:paraId="7DAFA1FB" w14:textId="77777777" w:rsidTr="00F21158">
        <w:tc>
          <w:tcPr>
            <w:tcW w:w="1127" w:type="pct"/>
          </w:tcPr>
          <w:p w14:paraId="1B12AB45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873" w:type="pct"/>
          </w:tcPr>
          <w:p w14:paraId="36412EDD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87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18</w:t>
            </w:r>
          </w:p>
        </w:tc>
      </w:tr>
      <w:tr w:rsidR="00B83BDF" w:rsidRPr="00AC2308" w14:paraId="78B9E160" w14:textId="77777777" w:rsidTr="00F21158">
        <w:tc>
          <w:tcPr>
            <w:tcW w:w="1127" w:type="pct"/>
          </w:tcPr>
          <w:p w14:paraId="55E6283F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873" w:type="pct"/>
          </w:tcPr>
          <w:p w14:paraId="79A2E1B5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53" w:history="1">
              <w:r w:rsidRPr="00AC2308">
                <w:rPr>
                  <w:i/>
                  <w:color w:val="0000FF"/>
                  <w:sz w:val="22"/>
                  <w:szCs w:val="22"/>
                  <w:u w:val="single"/>
                </w:rPr>
                <w:t>Myrto.Kolyva@eesc.europa.eu</w:t>
              </w:r>
            </w:hyperlink>
          </w:p>
        </w:tc>
      </w:tr>
    </w:tbl>
    <w:p w14:paraId="6184A7F9" w14:textId="77777777" w:rsidR="00B83BDF" w:rsidRDefault="00B83BDF">
      <w:pPr>
        <w:spacing w:after="160" w:line="259" w:lineRule="auto"/>
        <w:jc w:val="left"/>
      </w:pPr>
      <w:r>
        <w:br w:type="page"/>
      </w:r>
    </w:p>
    <w:p w14:paraId="0E080D33" w14:textId="6EAC429E" w:rsidR="00B83BDF" w:rsidRPr="00AC2308" w:rsidRDefault="00B83BDF" w:rsidP="00B83BDF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textAlignment w:val="baseline"/>
        <w:rPr>
          <w:i/>
          <w:iCs/>
          <w:sz w:val="28"/>
          <w:szCs w:val="28"/>
        </w:rPr>
      </w:pPr>
      <w:hyperlink r:id="rId54" w:history="1">
        <w:r w:rsidRPr="00AC2308">
          <w:rPr>
            <w:b/>
            <w:i/>
            <w:color w:val="0000FF"/>
            <w:sz w:val="28"/>
            <w:szCs w:val="28"/>
            <w:u w:val="single"/>
          </w:rPr>
          <w:t>Revisão da política comum das pescas</w:t>
        </w:r>
      </w:hyperlink>
    </w:p>
    <w:p w14:paraId="65EF119A" w14:textId="77777777" w:rsidR="00B83BDF" w:rsidRPr="00293E88" w:rsidRDefault="00B83BDF" w:rsidP="00B83BDF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  <w:lang w:val="en-GB"/>
        </w:rPr>
      </w:pPr>
    </w:p>
    <w:tbl>
      <w:tblPr>
        <w:tblStyle w:val="TableGrid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778"/>
        <w:gridCol w:w="1418"/>
      </w:tblGrid>
      <w:tr w:rsidR="00B83BDF" w:rsidRPr="00AC2308" w14:paraId="4356DA3E" w14:textId="77777777" w:rsidTr="00F21158">
        <w:tc>
          <w:tcPr>
            <w:tcW w:w="1701" w:type="dxa"/>
          </w:tcPr>
          <w:p w14:paraId="1F832401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7196" w:type="dxa"/>
            <w:gridSpan w:val="2"/>
          </w:tcPr>
          <w:p w14:paraId="0508F2CA" w14:textId="77777777" w:rsidR="00B83BDF" w:rsidRPr="00AC2308" w:rsidRDefault="00B83BDF" w:rsidP="00F21158">
            <w:pPr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Francisco Javier Garat Pérez (ES</w:t>
            </w:r>
            <w:r>
              <w:rPr>
                <w:sz w:val="22"/>
                <w:szCs w:val="22"/>
              </w:rPr>
              <w:t>-</w:t>
            </w:r>
            <w:r w:rsidRPr="00AC2308">
              <w:rPr>
                <w:sz w:val="22"/>
                <w:szCs w:val="22"/>
              </w:rPr>
              <w:t>Grupo das Organizações da Sociedade Civil)</w:t>
            </w:r>
          </w:p>
        </w:tc>
      </w:tr>
      <w:tr w:rsidR="00B83BDF" w:rsidRPr="00AC2308" w14:paraId="5F0B862E" w14:textId="77777777" w:rsidTr="00F21158">
        <w:trPr>
          <w:gridAfter w:val="1"/>
          <w:wAfter w:w="1418" w:type="dxa"/>
        </w:trPr>
        <w:tc>
          <w:tcPr>
            <w:tcW w:w="7479" w:type="dxa"/>
            <w:gridSpan w:val="2"/>
          </w:tcPr>
          <w:p w14:paraId="75FF5277" w14:textId="77777777" w:rsidR="00B83BDF" w:rsidRPr="00AC2308" w:rsidRDefault="00B83BDF" w:rsidP="00F21158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  <w:lang w:val="fr-BE"/>
              </w:rPr>
            </w:pPr>
          </w:p>
        </w:tc>
      </w:tr>
      <w:tr w:rsidR="00B83BDF" w:rsidRPr="00AC2308" w14:paraId="40343E73" w14:textId="77777777" w:rsidTr="00F21158">
        <w:tc>
          <w:tcPr>
            <w:tcW w:w="1701" w:type="dxa"/>
          </w:tcPr>
          <w:p w14:paraId="582782BA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Referência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7196" w:type="dxa"/>
            <w:gridSpan w:val="2"/>
          </w:tcPr>
          <w:p w14:paraId="7ECF089C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COM(2025) 559 final</w:t>
            </w:r>
          </w:p>
          <w:p w14:paraId="678A5037" w14:textId="6E744E44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EESC-2025-03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</w:rPr>
              <w:t>72</w:t>
            </w:r>
            <w:r w:rsidRPr="00AC2308">
              <w:rPr>
                <w:sz w:val="22"/>
                <w:szCs w:val="22"/>
              </w:rPr>
              <w:t>-00-00-AC</w:t>
            </w:r>
          </w:p>
        </w:tc>
      </w:tr>
    </w:tbl>
    <w:p w14:paraId="2F4C8DE8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26ECC5BD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 w:rsidRPr="00AC2308">
        <w:rPr>
          <w:b/>
        </w:rPr>
        <w:t>Pontos principais</w:t>
      </w:r>
    </w:p>
    <w:p w14:paraId="646AAFEF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lang w:val="en-GB"/>
        </w:rPr>
      </w:pPr>
    </w:p>
    <w:p w14:paraId="6BEC6094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 w:rsidRPr="00AC2308">
        <w:t>O Comité Económico e Social Europeu:</w:t>
      </w:r>
    </w:p>
    <w:p w14:paraId="6641F829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  <w:lang w:val="en-GB"/>
        </w:rPr>
      </w:pPr>
    </w:p>
    <w:p w14:paraId="0BDA3A67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23" w:name="_Toc220082188"/>
      <w:bookmarkStart w:id="124" w:name="_Toc221109421"/>
      <w:bookmarkStart w:id="125" w:name="_Toc221182606"/>
      <w:r w:rsidRPr="00AC2308">
        <w:t xml:space="preserve">solicita que se garanta a </w:t>
      </w:r>
      <w:r w:rsidRPr="00AC2308">
        <w:rPr>
          <w:b/>
        </w:rPr>
        <w:t>afetação obrigatória de 6,1 mil milhões de euros à execução da política comum das pescas</w:t>
      </w:r>
      <w:r w:rsidRPr="00AC2308">
        <w:t xml:space="preserve"> (PCP), em conformidade com o atual orçamento para 2021-2027, a fim de preservar uma das poucas competências exclusivas da União Europeia (UE) e evitar a concorrência com outros setores. As pescas devem beneficiar de um </w:t>
      </w:r>
      <w:r w:rsidRPr="00AC2308">
        <w:rPr>
          <w:b/>
        </w:rPr>
        <w:t>capítulo específico</w:t>
      </w:r>
      <w:r w:rsidRPr="00AC2308">
        <w:t xml:space="preserve"> que garanta um investimento público adequado e segurança jurídica aos operadores;</w:t>
      </w:r>
      <w:bookmarkEnd w:id="123"/>
      <w:bookmarkEnd w:id="124"/>
      <w:bookmarkEnd w:id="125"/>
    </w:p>
    <w:p w14:paraId="4DFF3E69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26" w:name="_Toc220082189"/>
      <w:bookmarkStart w:id="127" w:name="_Toc221109422"/>
      <w:bookmarkStart w:id="128" w:name="_Toc221182607"/>
      <w:r w:rsidRPr="00AC2308">
        <w:t xml:space="preserve">manifesta preocupação com o facto de, aparentemente, se dar prioridade à consecução dos objetivos não vinculativos do Pacto Europeu dos Oceanos, em vez de se privilegiar o contributo para a realização dos </w:t>
      </w:r>
      <w:r w:rsidRPr="00AC2308">
        <w:rPr>
          <w:b/>
        </w:rPr>
        <w:t>objetivos da PCP</w:t>
      </w:r>
      <w:r w:rsidRPr="00AC2308">
        <w:t xml:space="preserve">, que é a </w:t>
      </w:r>
      <w:r w:rsidRPr="00AC2308">
        <w:rPr>
          <w:b/>
        </w:rPr>
        <w:t>finalidade consagrada no Tratado sobre o Funcionamento da União Europeia e no Regulamento PCP</w:t>
      </w:r>
      <w:r w:rsidRPr="00AC2308">
        <w:t>;</w:t>
      </w:r>
      <w:bookmarkEnd w:id="126"/>
      <w:bookmarkEnd w:id="127"/>
      <w:bookmarkEnd w:id="128"/>
    </w:p>
    <w:p w14:paraId="540A1670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29" w:name="_Toc220082190"/>
      <w:bookmarkStart w:id="130" w:name="_Toc221109423"/>
      <w:bookmarkStart w:id="131" w:name="_Toc221182608"/>
      <w:r w:rsidRPr="00AC2308">
        <w:t xml:space="preserve">congratula-se com a proposta de </w:t>
      </w:r>
      <w:r w:rsidRPr="00AC2308">
        <w:rPr>
          <w:b/>
        </w:rPr>
        <w:t>reforçar a coerência e as sinergias com iniciativas e fundos conexos</w:t>
      </w:r>
      <w:r w:rsidRPr="00AC2308">
        <w:t>, a fim de evitar a duplicação de esforços e maximizar o impacto do investimento público. No entanto, insta a Comissão a assegurar que os governos fazem os investimentos necessários para cumprir os objetivos da PCP;</w:t>
      </w:r>
      <w:bookmarkEnd w:id="129"/>
      <w:bookmarkEnd w:id="130"/>
      <w:bookmarkEnd w:id="131"/>
    </w:p>
    <w:p w14:paraId="220BADCA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32" w:name="_Toc220082191"/>
      <w:bookmarkStart w:id="133" w:name="_Toc221109424"/>
      <w:bookmarkStart w:id="134" w:name="_Toc221182609"/>
      <w:r w:rsidRPr="00AC2308">
        <w:t>salienta a necessidade de flexibilizar a definição de pequena pesca costeira, baseando-a nos critérios estabelecidos pela Organização das Nações Unidas para a Alimentação e a Agricultura (FAO) e pelas organizações regionais de gestão das pescas;</w:t>
      </w:r>
      <w:bookmarkEnd w:id="132"/>
      <w:bookmarkEnd w:id="133"/>
      <w:bookmarkEnd w:id="134"/>
    </w:p>
    <w:p w14:paraId="3516F5D3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35" w:name="_Toc220082192"/>
      <w:bookmarkStart w:id="136" w:name="_Toc221109425"/>
      <w:bookmarkStart w:id="137" w:name="_Toc221182610"/>
      <w:r w:rsidRPr="00AC2308">
        <w:t xml:space="preserve">considera que é imperativo que os Estados-Membros elaborem planos e medidas para </w:t>
      </w:r>
      <w:r w:rsidRPr="00AC2308">
        <w:rPr>
          <w:b/>
        </w:rPr>
        <w:t>modernizar e renovar as embarcações</w:t>
      </w:r>
      <w:r w:rsidRPr="00AC2308">
        <w:t>, com vista a melhorar a eficiência energética, a segurança a bordo e as condições de trabalho, sem aumentar a capacidade de pesca;</w:t>
      </w:r>
      <w:bookmarkEnd w:id="135"/>
      <w:bookmarkEnd w:id="136"/>
      <w:bookmarkEnd w:id="137"/>
    </w:p>
    <w:p w14:paraId="4CE17884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38" w:name="_Toc220082193"/>
      <w:bookmarkStart w:id="139" w:name="_Toc221109426"/>
      <w:bookmarkStart w:id="140" w:name="_Toc221182611"/>
      <w:r w:rsidRPr="00AC2308">
        <w:t xml:space="preserve">aplaude a intenção da Comissão Europeia de </w:t>
      </w:r>
      <w:r w:rsidRPr="00AC2308">
        <w:rPr>
          <w:b/>
        </w:rPr>
        <w:t>estabelecer uma arquitetura simples</w:t>
      </w:r>
      <w:r w:rsidRPr="00AC2308">
        <w:t xml:space="preserve"> sem definir previamente medidas e regras de elegibilidade pormenorizadas e demasiado prescritivas a nível da UE; insta os Estados-Membros a preservarem esse espírito de flexibilidade e simplificação na elaboração dos seus planos de parceria nacional e regional (planos PNR); solicita igualmente que se elaborem </w:t>
      </w:r>
      <w:r w:rsidRPr="00AC2308">
        <w:rPr>
          <w:b/>
        </w:rPr>
        <w:t>orientações sobre o princípio de «não prejudicar significativamente»</w:t>
      </w:r>
      <w:r w:rsidRPr="00AC2308">
        <w:t>, aplicáveis transversalmente a todos os setores;</w:t>
      </w:r>
      <w:bookmarkEnd w:id="138"/>
      <w:bookmarkEnd w:id="139"/>
      <w:bookmarkEnd w:id="140"/>
    </w:p>
    <w:p w14:paraId="00D94A21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41" w:name="_Toc220082194"/>
      <w:bookmarkStart w:id="142" w:name="_Toc221109427"/>
      <w:bookmarkStart w:id="143" w:name="_Toc221182612"/>
      <w:r w:rsidRPr="00AC2308">
        <w:t>concorda com a necessidade de manter um certo grau de flexibilidade na determinação das taxas de intensidade de auxílio, a fim de permitir que os Estados-Membros adaptem os seus planos PNR às características específicas dos seus setores e regiões;</w:t>
      </w:r>
      <w:bookmarkEnd w:id="141"/>
      <w:bookmarkEnd w:id="142"/>
      <w:bookmarkEnd w:id="143"/>
    </w:p>
    <w:p w14:paraId="2AFD963A" w14:textId="77777777" w:rsidR="00B83BDF" w:rsidRPr="00AC2308" w:rsidRDefault="00B83BDF" w:rsidP="00B83BDF">
      <w:pPr>
        <w:numPr>
          <w:ilvl w:val="1"/>
          <w:numId w:val="50"/>
        </w:num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</w:pPr>
      <w:bookmarkStart w:id="144" w:name="_Toc220082195"/>
      <w:bookmarkStart w:id="145" w:name="_Toc221109428"/>
      <w:bookmarkStart w:id="146" w:name="_Toc221182613"/>
      <w:r w:rsidRPr="00AC2308">
        <w:t xml:space="preserve">congratula-se com a nova simplificação e formulação sobre as operações elegíveis para </w:t>
      </w:r>
      <w:r w:rsidRPr="00AC2308">
        <w:rPr>
          <w:b/>
        </w:rPr>
        <w:t>apoio público</w:t>
      </w:r>
      <w:r w:rsidRPr="00AC2308">
        <w:t>.</w:t>
      </w:r>
      <w:bookmarkEnd w:id="144"/>
      <w:bookmarkEnd w:id="145"/>
      <w:bookmarkEnd w:id="146"/>
    </w:p>
    <w:p w14:paraId="5D78F86D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en-GB"/>
        </w:rPr>
      </w:pPr>
    </w:p>
    <w:tbl>
      <w:tblPr>
        <w:tblStyle w:val="TableGrid18"/>
        <w:tblW w:w="7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11"/>
      </w:tblGrid>
      <w:tr w:rsidR="00B83BDF" w:rsidRPr="00AC2308" w14:paraId="462D91D3" w14:textId="77777777" w:rsidTr="00F21158">
        <w:trPr>
          <w:trHeight w:val="300"/>
        </w:trPr>
        <w:tc>
          <w:tcPr>
            <w:tcW w:w="2093" w:type="dxa"/>
          </w:tcPr>
          <w:p w14:paraId="04DF4C46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2" w:hanging="32"/>
              <w:textAlignment w:val="baseline"/>
              <w:rPr>
                <w:i/>
                <w:iCs/>
                <w:sz w:val="22"/>
                <w:szCs w:val="22"/>
              </w:rPr>
            </w:pPr>
            <w:r w:rsidRPr="00AC230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5211" w:type="dxa"/>
          </w:tcPr>
          <w:p w14:paraId="057DCCFC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2" w:hanging="32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Arturo Iñiguez</w:t>
            </w:r>
          </w:p>
        </w:tc>
      </w:tr>
      <w:tr w:rsidR="00B83BDF" w:rsidRPr="00AC2308" w14:paraId="111AC77A" w14:textId="77777777" w:rsidTr="00F21158">
        <w:trPr>
          <w:trHeight w:val="300"/>
        </w:trPr>
        <w:tc>
          <w:tcPr>
            <w:tcW w:w="2093" w:type="dxa"/>
          </w:tcPr>
          <w:p w14:paraId="5D4020EB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2" w:hanging="32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5211" w:type="dxa"/>
          </w:tcPr>
          <w:p w14:paraId="003BCC57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2" w:hanging="32"/>
              <w:textAlignment w:val="baseline"/>
              <w:rPr>
                <w:i/>
                <w:iCs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+32 2 546 87 68</w:t>
            </w:r>
          </w:p>
        </w:tc>
      </w:tr>
      <w:tr w:rsidR="00B83BDF" w:rsidRPr="00AC2308" w14:paraId="08B47096" w14:textId="77777777" w:rsidTr="00F21158">
        <w:trPr>
          <w:trHeight w:val="300"/>
        </w:trPr>
        <w:tc>
          <w:tcPr>
            <w:tcW w:w="2093" w:type="dxa"/>
          </w:tcPr>
          <w:p w14:paraId="4B634AB2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2" w:hanging="32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5211" w:type="dxa"/>
          </w:tcPr>
          <w:p w14:paraId="3B35596D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2" w:hanging="32"/>
              <w:textAlignment w:val="baseline"/>
              <w:rPr>
                <w:i/>
                <w:iCs/>
                <w:color w:val="0000FF"/>
                <w:sz w:val="22"/>
                <w:szCs w:val="22"/>
                <w:u w:val="single"/>
              </w:rPr>
            </w:pPr>
            <w:hyperlink r:id="rId55" w:history="1">
              <w:r w:rsidRPr="00AC2308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14:paraId="0D4FD0A2" w14:textId="77777777" w:rsidR="00B83BDF" w:rsidRDefault="00B83BDF" w:rsidP="00B83BDF">
      <w:pPr>
        <w:spacing w:after="160" w:line="259" w:lineRule="auto"/>
        <w:jc w:val="left"/>
      </w:pPr>
    </w:p>
    <w:p w14:paraId="4A039BC9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077C4C0F" w14:textId="77777777" w:rsidR="00B83BDF" w:rsidRPr="00AC2308" w:rsidRDefault="00B83BDF" w:rsidP="00B83B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r:id="rId56" w:history="1">
        <w:r w:rsidRPr="00AC2308">
          <w:rPr>
            <w:b/>
            <w:i/>
            <w:color w:val="0000FF"/>
            <w:sz w:val="28"/>
            <w:szCs w:val="28"/>
            <w:u w:val="single"/>
          </w:rPr>
          <w:t>Política agrícola comum (PAC) após 2027</w:t>
        </w:r>
      </w:hyperlink>
    </w:p>
    <w:p w14:paraId="467E8D5A" w14:textId="77777777" w:rsidR="00B83BDF" w:rsidRPr="00E44B28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83BDF" w:rsidRPr="00AC2308" w14:paraId="3A6399F9" w14:textId="77777777" w:rsidTr="00F21158">
        <w:tc>
          <w:tcPr>
            <w:tcW w:w="1077" w:type="pct"/>
          </w:tcPr>
          <w:p w14:paraId="00018E7D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923" w:type="pct"/>
          </w:tcPr>
          <w:p w14:paraId="56C40E40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Joe Healy (IE</w:t>
            </w:r>
            <w:r>
              <w:rPr>
                <w:sz w:val="22"/>
                <w:szCs w:val="22"/>
              </w:rPr>
              <w:t>-</w:t>
            </w:r>
            <w:r w:rsidRPr="00AC2308">
              <w:rPr>
                <w:sz w:val="22"/>
                <w:szCs w:val="22"/>
              </w:rPr>
              <w:t>Grupo das Organizações da Sociedade Civil)</w:t>
            </w:r>
          </w:p>
        </w:tc>
      </w:tr>
      <w:tr w:rsidR="00B83BDF" w:rsidRPr="00AC2308" w14:paraId="55C9D00C" w14:textId="77777777" w:rsidTr="00F21158">
        <w:tc>
          <w:tcPr>
            <w:tcW w:w="1077" w:type="pct"/>
          </w:tcPr>
          <w:p w14:paraId="1A16BC4D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3923" w:type="pct"/>
          </w:tcPr>
          <w:p w14:paraId="75429D74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Arnold Puech d’Alissac (FR</w:t>
            </w:r>
            <w:r>
              <w:rPr>
                <w:sz w:val="22"/>
                <w:szCs w:val="22"/>
              </w:rPr>
              <w:t>-</w:t>
            </w:r>
            <w:r w:rsidRPr="00AC2308">
              <w:rPr>
                <w:sz w:val="22"/>
                <w:szCs w:val="22"/>
              </w:rPr>
              <w:t>Grupo dos Empregadores)</w:t>
            </w:r>
          </w:p>
          <w:p w14:paraId="179F4FEC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AC2308" w14:paraId="21042516" w14:textId="77777777" w:rsidTr="00F21158">
        <w:tc>
          <w:tcPr>
            <w:tcW w:w="1077" w:type="pct"/>
          </w:tcPr>
          <w:p w14:paraId="3A3F48DB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C2308">
              <w:rPr>
                <w:b/>
                <w:sz w:val="22"/>
                <w:szCs w:val="22"/>
              </w:rPr>
              <w:t>Referência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923" w:type="pct"/>
          </w:tcPr>
          <w:p w14:paraId="28DAD400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COM(2025) 560 final</w:t>
            </w:r>
          </w:p>
          <w:p w14:paraId="6E03C0B0" w14:textId="77777777" w:rsidR="00B83BDF" w:rsidRPr="00AC2308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AC2308">
              <w:rPr>
                <w:sz w:val="22"/>
                <w:szCs w:val="22"/>
              </w:rPr>
              <w:t>EESC-2025-02581-00-00-AC</w:t>
            </w:r>
          </w:p>
        </w:tc>
      </w:tr>
    </w:tbl>
    <w:p w14:paraId="370F8E4A" w14:textId="77777777" w:rsidR="00B83BDF" w:rsidRPr="00AC2308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AD289CB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bCs/>
        </w:rPr>
      </w:pPr>
      <w:r w:rsidRPr="00AC2308">
        <w:rPr>
          <w:b/>
        </w:rPr>
        <w:t>Pontos principais</w:t>
      </w:r>
    </w:p>
    <w:p w14:paraId="29FD1394" w14:textId="77777777" w:rsidR="00B83BDF" w:rsidRPr="00AC2308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CE4DEB8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AC2308">
        <w:t>O Comité Económico e Social Europeu (CESE)</w:t>
      </w:r>
    </w:p>
    <w:p w14:paraId="23411D66" w14:textId="77777777" w:rsidR="00B83BDF" w:rsidRPr="00AC2308" w:rsidRDefault="00B83BDF" w:rsidP="00B83BD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 w:themeColor="text1"/>
          <w:lang w:val="en-GB"/>
        </w:rPr>
      </w:pPr>
    </w:p>
    <w:p w14:paraId="1411A2E8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color w:val="000000" w:themeColor="text1"/>
        </w:rPr>
      </w:pPr>
      <w:r w:rsidRPr="00AC2308">
        <w:rPr>
          <w:color w:val="000000" w:themeColor="text1"/>
        </w:rPr>
        <w:t xml:space="preserve">rejeita a proposta da Comissão, que não estabelece um rumo, nem objetivos claros, nem uma visão a longo prazo para a agricultura da União Europeia (UE), impondo simplesmente uma redução considerável do orçamento da política agrícola comum (PAC); </w:t>
      </w:r>
    </w:p>
    <w:p w14:paraId="03A35163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color w:val="000000" w:themeColor="text1"/>
        </w:rPr>
      </w:pPr>
      <w:r w:rsidRPr="00AC2308">
        <w:rPr>
          <w:color w:val="000000" w:themeColor="text1"/>
        </w:rPr>
        <w:t xml:space="preserve">destaca os riscos associados ao facto de os investimentos agrícolas e no domínio da coesão terem de competir por fundos na nova arquitetura orçamental; </w:t>
      </w:r>
    </w:p>
    <w:p w14:paraId="2B75F1CC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C2308">
        <w:t>apela para que se reforce um orçamento autónomo e específico da PAC, devidamente ajustado à inflação e restabelecido a um nível correspondente a 0,5% do produto interno bruto da UE. Tal deve incluir uma dotação específica mais ambiciosa para as zonas rurais e uma dotação orçamental forte para as estratégias de renovação geracional e medidas de apoio específicas para os novos jovens agricultores e as agricultoras;</w:t>
      </w:r>
    </w:p>
    <w:p w14:paraId="66C9E6BD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C2308">
        <w:t>considera que os pagamentos diretos devem ser limitados a um nível justo e razoável para os agricultores ativos e apoia o limite máximo obrigatório de 100 000 euros proposto pela Comissão; entende que, ao atribuir pagamentos diretos, a Comissão não deve discriminar os agricultores verdadeiramente ativos devido à idade avançada ou ao recebimento de uma pensão de reforma, mas antes incentivar regimes financeiros específicos que facilitem a transferência da propriedade das explorações dos agricultores com idade avançada e dos agricultores reformados para os jovens agricultores;</w:t>
      </w:r>
    </w:p>
    <w:p w14:paraId="6AA5D360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C2308">
        <w:t xml:space="preserve">frisa a necessidade de a PAC complementar o princípio da equivalência das normas, reconhecendo que os agricultores europeus aderem a normas ambientais, sociais e sanitárias muito mais elevadas do que as aplicadas noutros países; </w:t>
      </w:r>
    </w:p>
    <w:p w14:paraId="76AAE73C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C2308">
        <w:t xml:space="preserve">incentiva práticas de proteção climática e ambiental baseadas em dados científicos e sistemas de produção sustentáveis e holísticos, como a agricultura biológica e regenerativa e outros sistemas agroecológicos, com base em medidas de iniciativa voluntárias e dotadas de financiamento suficiente; </w:t>
      </w:r>
    </w:p>
    <w:p w14:paraId="1575CF14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 w:rsidRPr="00AC2308">
        <w:t xml:space="preserve">apoia o reforço da cadeia de abastecimento alimentar da UE mediante um reequilíbrio do poder no seu seio, a abolição das vendas abaixo do custo de produção e o desenvolvimento da resistência a crises, com base em instrumentos de gestão de crises melhorados e adicionais e regimes de seguro contra catástrofes naturais; </w:t>
      </w:r>
    </w:p>
    <w:p w14:paraId="6395E37E" w14:textId="77777777" w:rsidR="00B83BDF" w:rsidRPr="00AC2308" w:rsidRDefault="00B83BDF" w:rsidP="00B83BDF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 w:rsidRPr="00AC2308">
        <w:t>assinala a importância de reforçar a condicionalidade social e de assegurar uma articulação clara com as propostas relativas à PAC. Nenhuma exploração agrícola pode ficar isenta de controlos e sanções relacionados com a condicionalidade social, e a sua integridade não pode ser enfraquecida pela aplicação de coimas ao abrigo do direito nacional.</w:t>
      </w:r>
    </w:p>
    <w:p w14:paraId="08453F94" w14:textId="77777777" w:rsidR="00B83BDF" w:rsidRDefault="00B83BDF" w:rsidP="00B83BDF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6890"/>
      </w:tblGrid>
      <w:tr w:rsidR="00B83BDF" w:rsidRPr="00AC2308" w14:paraId="5D0B13BE" w14:textId="77777777" w:rsidTr="00F21158">
        <w:tc>
          <w:tcPr>
            <w:tcW w:w="1203" w:type="pct"/>
          </w:tcPr>
          <w:p w14:paraId="63A4CC55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b/>
                <w:i/>
                <w:sz w:val="22"/>
                <w:szCs w:val="22"/>
              </w:rPr>
              <w:lastRenderedPageBreak/>
              <w:t>Contacto</w:t>
            </w:r>
          </w:p>
        </w:tc>
        <w:tc>
          <w:tcPr>
            <w:tcW w:w="3797" w:type="pct"/>
          </w:tcPr>
          <w:p w14:paraId="443FC23A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Arturo Iniguez, Martine Delanoy</w:t>
            </w:r>
          </w:p>
        </w:tc>
      </w:tr>
      <w:tr w:rsidR="00B83BDF" w:rsidRPr="00AC2308" w14:paraId="484B644C" w14:textId="77777777" w:rsidTr="00F21158">
        <w:tc>
          <w:tcPr>
            <w:tcW w:w="1203" w:type="pct"/>
          </w:tcPr>
          <w:p w14:paraId="0D0156B7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797" w:type="pct"/>
          </w:tcPr>
          <w:p w14:paraId="0768532C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87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68, +32 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98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C2308">
              <w:rPr>
                <w:i/>
                <w:sz w:val="22"/>
                <w:szCs w:val="22"/>
              </w:rPr>
              <w:t>02</w:t>
            </w:r>
          </w:p>
        </w:tc>
      </w:tr>
      <w:tr w:rsidR="00B83BDF" w:rsidRPr="00AC2308" w14:paraId="20FD7196" w14:textId="77777777" w:rsidTr="00F21158">
        <w:tc>
          <w:tcPr>
            <w:tcW w:w="1203" w:type="pct"/>
          </w:tcPr>
          <w:p w14:paraId="0F53A2FC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C230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797" w:type="pct"/>
          </w:tcPr>
          <w:p w14:paraId="16A05C31" w14:textId="77777777" w:rsidR="00B83BDF" w:rsidRPr="00AC2308" w:rsidRDefault="00B83BDF" w:rsidP="00F21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r:id="rId57" w:history="1">
              <w:r w:rsidRPr="00AC2308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  <w:r w:rsidRPr="00AC2308">
              <w:rPr>
                <w:i/>
                <w:sz w:val="22"/>
                <w:szCs w:val="22"/>
              </w:rPr>
              <w:t xml:space="preserve">, </w:t>
            </w:r>
            <w:hyperlink r:id="rId58" w:history="1">
              <w:r w:rsidRPr="00AC2308">
                <w:rPr>
                  <w:i/>
                  <w:color w:val="0000FF"/>
                  <w:sz w:val="22"/>
                  <w:szCs w:val="22"/>
                  <w:u w:val="single"/>
                </w:rPr>
                <w:t>Martine.Delanoy@eesc.europa.eu</w:t>
              </w:r>
            </w:hyperlink>
          </w:p>
        </w:tc>
      </w:tr>
    </w:tbl>
    <w:p w14:paraId="35FB3A4B" w14:textId="77777777" w:rsidR="00B83BDF" w:rsidRDefault="00B83BDF" w:rsidP="00B83BDF">
      <w:pPr>
        <w:spacing w:after="160" w:line="259" w:lineRule="auto"/>
        <w:jc w:val="left"/>
      </w:pPr>
    </w:p>
    <w:p w14:paraId="01F82EEF" w14:textId="77777777" w:rsidR="00B83BDF" w:rsidRDefault="00B83BDF" w:rsidP="00B83BDF">
      <w:pPr>
        <w:spacing w:after="160" w:line="259" w:lineRule="auto"/>
        <w:jc w:val="left"/>
      </w:pPr>
      <w:r>
        <w:br w:type="page"/>
      </w:r>
    </w:p>
    <w:p w14:paraId="292D3894" w14:textId="77777777" w:rsidR="00B83BDF" w:rsidRPr="006D2C8A" w:rsidRDefault="00B83BDF" w:rsidP="00B83BDF">
      <w:pPr>
        <w:pStyle w:val="Heading1"/>
        <w:rPr>
          <w:b/>
        </w:rPr>
      </w:pPr>
      <w:bookmarkStart w:id="147" w:name="_Toc221182614"/>
      <w:r>
        <w:rPr>
          <w:b/>
          <w:color w:val="222A35" w:themeColor="text2" w:themeShade="80"/>
        </w:rPr>
        <w:lastRenderedPageBreak/>
        <w:t>COMISSÃO CONSULTIVA DAS MUTAÇÕES INDUSTRIAIS</w:t>
      </w:r>
      <w:bookmarkEnd w:id="147"/>
    </w:p>
    <w:p w14:paraId="46E0509F" w14:textId="77777777" w:rsidR="00B83BDF" w:rsidRDefault="00B83BDF" w:rsidP="00B83BDF"/>
    <w:p w14:paraId="2681BFDA" w14:textId="77777777" w:rsidR="00B83BDF" w:rsidRPr="00984CF7" w:rsidRDefault="00B83BDF" w:rsidP="00B83BDF">
      <w:pPr>
        <w:pStyle w:val="ListParagraph"/>
        <w:numPr>
          <w:ilvl w:val="0"/>
          <w:numId w:val="55"/>
        </w:numPr>
        <w:ind w:left="567" w:hanging="567"/>
        <w:rPr>
          <w:b/>
          <w:bCs/>
          <w:i/>
          <w:iCs/>
          <w:sz w:val="28"/>
          <w:szCs w:val="28"/>
          <w:u w:val="single"/>
        </w:rPr>
      </w:pPr>
      <w:hyperlink r:id="rId59" w:history="1">
        <w:r w:rsidRPr="00984CF7">
          <w:rPr>
            <w:rStyle w:val="Hyperlink"/>
            <w:b/>
            <w:bCs/>
            <w:i/>
            <w:iCs/>
            <w:sz w:val="28"/>
            <w:szCs w:val="28"/>
          </w:rPr>
          <w:t>Comunicação da Comissão ao Parlamento Europeu, ao Conselho, ao Comité Económico e Social Europeu e ao Comité das Regiões – Estratégia da UE para a Constituição de Reservas:</w:t>
        </w:r>
        <w:r w:rsidRPr="00984CF7">
          <w:rPr>
            <w:rStyle w:val="Hyperlink"/>
            <w:b/>
            <w:bCs/>
            <w:i/>
            <w:iCs/>
            <w:sz w:val="28"/>
            <w:szCs w:val="28"/>
          </w:rPr>
          <w:cr/>
          <w:t>Melhorar a preparação material da UE para crises</w:t>
        </w:r>
        <w:r w:rsidRPr="00984CF7">
          <w:rPr>
            <w:rStyle w:val="Hyperlink"/>
            <w:b/>
            <w:bCs/>
            <w:i/>
            <w:iCs/>
            <w:sz w:val="28"/>
            <w:szCs w:val="28"/>
          </w:rPr>
          <w:cr/>
          <w:t>Comunicação da Comissão ao Parlamento Europeu, ao Conselho, ao Comité Económico e Social Europeu e ao Comité das Regiões – Preparar a UE para a próxima crise sanitária: Estratégia para as Contramedidas Médicas</w:t>
        </w:r>
      </w:hyperlink>
    </w:p>
    <w:p w14:paraId="5AA9CABC" w14:textId="77777777" w:rsidR="00B83BDF" w:rsidRPr="00071681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="00B83BDF" w:rsidRPr="00984CF7" w14:paraId="7AA24C7E" w14:textId="77777777" w:rsidTr="00F21158">
        <w:tc>
          <w:tcPr>
            <w:tcW w:w="1701" w:type="dxa"/>
          </w:tcPr>
          <w:p w14:paraId="3ED38582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984CF7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5670" w:type="dxa"/>
          </w:tcPr>
          <w:p w14:paraId="53B5A5B1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984CF7">
              <w:rPr>
                <w:sz w:val="22"/>
                <w:szCs w:val="22"/>
              </w:rPr>
              <w:t>Paulo Barros Vale (PT</w:t>
            </w:r>
            <w:r>
              <w:rPr>
                <w:sz w:val="22"/>
                <w:szCs w:val="22"/>
              </w:rPr>
              <w:t>-</w:t>
            </w:r>
            <w:r w:rsidRPr="00984CF7">
              <w:rPr>
                <w:sz w:val="22"/>
                <w:szCs w:val="22"/>
              </w:rPr>
              <w:t>Grupo dos Empregadores)</w:t>
            </w:r>
          </w:p>
        </w:tc>
      </w:tr>
      <w:tr w:rsidR="00B83BDF" w:rsidRPr="00984CF7" w14:paraId="4EED84BB" w14:textId="77777777" w:rsidTr="00F21158">
        <w:tc>
          <w:tcPr>
            <w:tcW w:w="1701" w:type="dxa"/>
          </w:tcPr>
          <w:p w14:paraId="3F5D6BC5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984CF7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5670" w:type="dxa"/>
          </w:tcPr>
          <w:p w14:paraId="7DFC30EA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984CF7">
              <w:rPr>
                <w:sz w:val="22"/>
                <w:szCs w:val="22"/>
              </w:rPr>
              <w:t>Nicos Epistithiou (CY-Cat. 2)</w:t>
            </w:r>
          </w:p>
        </w:tc>
      </w:tr>
      <w:tr w:rsidR="00B83BDF" w:rsidRPr="00984CF7" w14:paraId="5AF10EE0" w14:textId="77777777" w:rsidTr="00F21158">
        <w:tc>
          <w:tcPr>
            <w:tcW w:w="7371" w:type="dxa"/>
            <w:gridSpan w:val="2"/>
          </w:tcPr>
          <w:p w14:paraId="0909E05D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="00B83BDF" w:rsidRPr="00984CF7" w14:paraId="2CAA5398" w14:textId="77777777" w:rsidTr="00F21158">
        <w:tc>
          <w:tcPr>
            <w:tcW w:w="1701" w:type="dxa"/>
            <w:vMerge w:val="restart"/>
          </w:tcPr>
          <w:p w14:paraId="6CD47EF7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984CF7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5670" w:type="dxa"/>
          </w:tcPr>
          <w:p w14:paraId="2F17B089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984CF7">
              <w:rPr>
                <w:sz w:val="22"/>
                <w:szCs w:val="22"/>
              </w:rPr>
              <w:t>COM(2025) 529 final</w:t>
            </w:r>
          </w:p>
          <w:p w14:paraId="3ADC3357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984CF7">
              <w:rPr>
                <w:sz w:val="22"/>
                <w:szCs w:val="22"/>
              </w:rPr>
              <w:t>EESC-2025-02727-00-00-AC</w:t>
            </w:r>
          </w:p>
        </w:tc>
      </w:tr>
      <w:tr w:rsidR="00B83BDF" w:rsidRPr="00984CF7" w14:paraId="7EB4D1FB" w14:textId="77777777" w:rsidTr="00F21158">
        <w:tc>
          <w:tcPr>
            <w:tcW w:w="1701" w:type="dxa"/>
            <w:vMerge/>
          </w:tcPr>
          <w:p w14:paraId="1D55B088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7B6221BA" w14:textId="77777777" w:rsidR="00B83BDF" w:rsidRPr="00984CF7" w:rsidRDefault="00B83BDF" w:rsidP="00F211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</w:tbl>
    <w:p w14:paraId="79E87C4C" w14:textId="77777777" w:rsidR="00B83BDF" w:rsidRPr="00984CF7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984CF7">
        <w:rPr>
          <w:b/>
        </w:rPr>
        <w:t>Pontos principais</w:t>
      </w:r>
    </w:p>
    <w:p w14:paraId="66F56206" w14:textId="77777777" w:rsidR="00B83BDF" w:rsidRPr="00984CF7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EBE681A" w14:textId="77777777" w:rsidR="00B83BDF" w:rsidRPr="00984CF7" w:rsidRDefault="00B83BDF" w:rsidP="00B83BD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 w:rsidRPr="00984CF7">
        <w:t>O Comité Económico e Social Europeu:</w:t>
      </w:r>
    </w:p>
    <w:p w14:paraId="19ACAB2D" w14:textId="77777777" w:rsidR="00B83BDF" w:rsidRPr="00984CF7" w:rsidRDefault="00B83BDF" w:rsidP="00B83BDF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102FAF66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congratula-se com os esforços da Comissão para reforçar a preparação e a resiliência da União Europeia (UE) através da Estratégia para as Contramedidas Médicas e da Estratégia para a Constituição de Reservas, com uma coordenação contínua entre os Estados-Membros, a indústria e a sociedade civil;</w:t>
      </w:r>
    </w:p>
    <w:p w14:paraId="10688B90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solicita que se preveja no Quadro Financeiro Plurianual (QFP) recursos adequados para apoiar as contramedidas médicas e a constituição de reservas estratégicas, incentivando parcerias público</w:t>
      </w:r>
      <w:r>
        <w:noBreakHyphen/>
      </w:r>
      <w:r w:rsidRPr="00984CF7">
        <w:t>privadas e evitando duplicações entre os Estados-Membros;</w:t>
      </w:r>
    </w:p>
    <w:p w14:paraId="15BECCEF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insta à criação de condições económicas, jurídicas e laborais estáveis para incentivar a indústria farmacêutica a estabelecer as suas unidades de produção na Europa, incluindo um fundo farmacêutico específico da UE para apoiar instalações, investigação e desenvolvimento (I&amp;D), custos regulamentares e investimento na produção de princípios ativos farmacêuticos e de medicamentos;</w:t>
      </w:r>
    </w:p>
    <w:p w14:paraId="53C8BA73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apoia a criação de uma entidade europeia de apoio à inovação no domínio da saúde (inspirada na CERN) para impulsionar a investigação, o empreendedorismo e a colaboração com a HERA e outras agências da UE;</w:t>
      </w:r>
    </w:p>
    <w:p w14:paraId="56A5AE82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solicita um plano operacional concreto para a constituição de reservas da UE, com um financiamento claro, responsabilidades transparentes a nível nacional e da UE, uma formação sólida da mão de obra, acompanhamento e incentivos justos para a indústria, incluindo as PME;</w:t>
      </w:r>
    </w:p>
    <w:p w14:paraId="2D249E2C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salienta a necessidade de um quadro económico transparente, coordenação logística, regras de transporte flexíveis e partilha equitativa dos custos para a mobilização rápida de bens críticos;</w:t>
      </w:r>
    </w:p>
    <w:p w14:paraId="70D4DBDE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insiste na participação dos parceiros sociais, da sociedade civil e de contratantes especializados a fim de assegurar transparência e conhecimentos técnicos especializados, e em dar prioridade às reservas de segurança detidas pela UE, ao apoio ao armazenamento, à cadeia de frio e às infraestruturas de dupla utilização;</w:t>
      </w:r>
    </w:p>
    <w:p w14:paraId="3103C458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lastRenderedPageBreak/>
        <w:t>considera que importa investir nas competências da mão de obra através da aprendizagem ao longo da vida, de programas curriculares harmonizados, de simulações regulares e do reconhecimento da saúde pública como profissão, assegurando a gestão resiliente das reservas e a resposta a situações de crise;</w:t>
      </w:r>
    </w:p>
    <w:p w14:paraId="78901EA2" w14:textId="77777777" w:rsidR="00B83BDF" w:rsidRPr="00984CF7" w:rsidRDefault="00B83BDF" w:rsidP="00B83BDF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 w:rsidRPr="00984CF7">
        <w:t>defende uma constituição de reservas sustentável e orientada para a procura, apoiada pelo rastreio digital em tempo real, por limiares específicos por produto e pela acessibilidade dos preços, a fim de assegurar uma preparação justa, transparente e acessível.</w:t>
      </w:r>
    </w:p>
    <w:p w14:paraId="4BF435AC" w14:textId="77777777" w:rsidR="00B83BDF" w:rsidRPr="00984CF7" w:rsidRDefault="00B83BDF" w:rsidP="00B83BDF">
      <w:p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outlineLvl w:val="1"/>
        <w:rPr>
          <w:lang w:val="en-GB"/>
        </w:rPr>
      </w:pPr>
    </w:p>
    <w:tbl>
      <w:tblPr>
        <w:tblStyle w:val="TableGrid20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4336"/>
      </w:tblGrid>
      <w:tr w:rsidR="00B83BDF" w:rsidRPr="00984CF7" w14:paraId="3783E820" w14:textId="77777777" w:rsidTr="00F21158">
        <w:tc>
          <w:tcPr>
            <w:tcW w:w="1602" w:type="pct"/>
          </w:tcPr>
          <w:p w14:paraId="72BBD508" w14:textId="77777777" w:rsidR="00B83BDF" w:rsidRPr="00FF422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FF4220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398" w:type="pct"/>
          </w:tcPr>
          <w:p w14:paraId="2AE89409" w14:textId="77777777" w:rsidR="00B83BDF" w:rsidRPr="00FF422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FF4220">
              <w:rPr>
                <w:i/>
                <w:sz w:val="22"/>
                <w:szCs w:val="22"/>
              </w:rPr>
              <w:t>Tomas Vinardell Laia</w:t>
            </w:r>
          </w:p>
        </w:tc>
      </w:tr>
      <w:tr w:rsidR="00B83BDF" w:rsidRPr="00984CF7" w14:paraId="6D444697" w14:textId="77777777" w:rsidTr="00F21158">
        <w:tc>
          <w:tcPr>
            <w:tcW w:w="1602" w:type="pct"/>
          </w:tcPr>
          <w:p w14:paraId="5A6CD8B5" w14:textId="77777777" w:rsidR="00B83BDF" w:rsidRPr="00FF422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FF4220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398" w:type="pct"/>
          </w:tcPr>
          <w:p w14:paraId="1CC283BA" w14:textId="77777777" w:rsidR="00B83BDF" w:rsidRPr="00FF422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FF4220">
              <w:rPr>
                <w:i/>
                <w:sz w:val="22"/>
                <w:szCs w:val="22"/>
              </w:rPr>
              <w:t>+32 2 546 91 49</w:t>
            </w:r>
          </w:p>
        </w:tc>
      </w:tr>
      <w:tr w:rsidR="00B83BDF" w:rsidRPr="00984CF7" w14:paraId="59D5AB08" w14:textId="77777777" w:rsidTr="00F21158">
        <w:tc>
          <w:tcPr>
            <w:tcW w:w="1602" w:type="pct"/>
          </w:tcPr>
          <w:p w14:paraId="6F550EC1" w14:textId="77777777" w:rsidR="00B83BDF" w:rsidRPr="00FF422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FF4220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398" w:type="pct"/>
          </w:tcPr>
          <w:p w14:paraId="2D2404B7" w14:textId="77777777" w:rsidR="00B83BDF" w:rsidRPr="00FF4220" w:rsidRDefault="00B83BDF" w:rsidP="00F211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r:id="rId60" w:history="1">
              <w:r w:rsidRPr="00FF4220">
                <w:rPr>
                  <w:i/>
                  <w:color w:val="0000FF"/>
                  <w:sz w:val="22"/>
                  <w:szCs w:val="22"/>
                  <w:u w:val="single"/>
                </w:rPr>
                <w:t>Laia.TomasVinardell@eesc.europa.eu</w:t>
              </w:r>
            </w:hyperlink>
            <w:r w:rsidRPr="00FF4220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750F47D7" w14:textId="77777777" w:rsidR="00B83BDF" w:rsidRPr="00984CF7" w:rsidRDefault="00B83BDF" w:rsidP="00B83BDF"/>
    <w:p w14:paraId="6643FF8F" w14:textId="77777777" w:rsidR="00B83BDF" w:rsidRPr="00984CF7" w:rsidRDefault="00B83BDF" w:rsidP="00B83BDF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p w14:paraId="65773254" w14:textId="77777777" w:rsidR="003C3D98" w:rsidRPr="00B83BDF" w:rsidRDefault="003C3D98" w:rsidP="00B83BDF"/>
    <w:sectPr w:rsidR="003C3D98" w:rsidRPr="00B83BDF" w:rsidSect="00300BD1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590E" w14:textId="77777777" w:rsidR="00FB583C" w:rsidRDefault="00FB583C" w:rsidP="00B518C9">
      <w:pPr>
        <w:spacing w:line="240" w:lineRule="auto"/>
      </w:pPr>
      <w:r>
        <w:separator/>
      </w:r>
    </w:p>
  </w:endnote>
  <w:endnote w:type="continuationSeparator" w:id="0">
    <w:p w14:paraId="75F08002" w14:textId="77777777" w:rsidR="00FB583C" w:rsidRDefault="00FB583C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CF31" w14:textId="77777777" w:rsidR="00B83BDF" w:rsidRPr="00CB6673" w:rsidRDefault="00B83BDF" w:rsidP="00CB6673">
    <w:pPr>
      <w:pStyle w:val="Footer"/>
    </w:pPr>
    <w:r>
      <w:t xml:space="preserve">EESC-2025-04233-00-00-TCD-TRA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297F" w14:textId="77777777" w:rsidR="00CB6673" w:rsidRPr="00300BD1" w:rsidRDefault="00CB6673" w:rsidP="00300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E746" w14:textId="3CD2EE33" w:rsidR="00CB6673" w:rsidRPr="00300BD1" w:rsidRDefault="00300BD1" w:rsidP="00300BD1">
    <w:pPr>
      <w:pStyle w:val="Footer"/>
    </w:pPr>
    <w:r>
      <w:t xml:space="preserve">EESC-2025-04233-00-01-TCD-TRA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4E5778">
      <w:fldChar w:fldCharType="begin"/>
    </w:r>
    <w:r w:rsidR="004E5778">
      <w:instrText xml:space="preserve"> NUMPAGES </w:instrText>
    </w:r>
    <w:r w:rsidR="004E5778">
      <w:fldChar w:fldCharType="separate"/>
    </w:r>
    <w:r>
      <w:t>25</w:t>
    </w:r>
    <w:r w:rsidR="004E5778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165D" w14:textId="77777777" w:rsidR="00CB6673" w:rsidRPr="00300BD1" w:rsidRDefault="00CB6673" w:rsidP="00300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CE36" w14:textId="77777777" w:rsidR="00FB583C" w:rsidRDefault="00FB583C" w:rsidP="00B518C9">
      <w:pPr>
        <w:spacing w:line="240" w:lineRule="auto"/>
      </w:pPr>
      <w:r>
        <w:separator/>
      </w:r>
    </w:p>
  </w:footnote>
  <w:footnote w:type="continuationSeparator" w:id="0">
    <w:p w14:paraId="6B50597A" w14:textId="77777777" w:rsidR="00FB583C" w:rsidRDefault="00FB583C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8BC9" w14:textId="77777777" w:rsidR="00CB6673" w:rsidRPr="00300BD1" w:rsidRDefault="00CB6673" w:rsidP="00300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5CCD" w14:textId="1F1E1FCB" w:rsidR="00CB6673" w:rsidRPr="00300BD1" w:rsidRDefault="00CB6673" w:rsidP="00300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10C0" w14:textId="77777777" w:rsidR="00CB6673" w:rsidRPr="00300BD1" w:rsidRDefault="00CB6673" w:rsidP="00300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DDE088C8"/>
    <w:lvl w:ilvl="0">
      <w:numFmt w:val="decimal"/>
      <w:lvlText w:val="*"/>
      <w:lvlJc w:val="left"/>
    </w:lvl>
  </w:abstractNum>
  <w:abstractNum w:abstractNumId="2" w15:restartNumberingAfterBreak="0">
    <w:nsid w:val="062F56C1"/>
    <w:multiLevelType w:val="hybridMultilevel"/>
    <w:tmpl w:val="EFB492C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61A3"/>
    <w:multiLevelType w:val="hybridMultilevel"/>
    <w:tmpl w:val="D44E2B0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5483"/>
    <w:multiLevelType w:val="hybridMultilevel"/>
    <w:tmpl w:val="E9E6A6B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7B0"/>
    <w:multiLevelType w:val="hybridMultilevel"/>
    <w:tmpl w:val="593EF19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786E"/>
    <w:multiLevelType w:val="hybridMultilevel"/>
    <w:tmpl w:val="06DA1EAA"/>
    <w:lvl w:ilvl="0" w:tplc="B05E9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85153"/>
    <w:multiLevelType w:val="hybridMultilevel"/>
    <w:tmpl w:val="277E813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73A58"/>
    <w:multiLevelType w:val="hybridMultilevel"/>
    <w:tmpl w:val="1D6AAF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67A8A"/>
    <w:multiLevelType w:val="hybridMultilevel"/>
    <w:tmpl w:val="BE66D0E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E0A9A"/>
    <w:multiLevelType w:val="hybridMultilevel"/>
    <w:tmpl w:val="AE06B6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123AA"/>
    <w:multiLevelType w:val="hybridMultilevel"/>
    <w:tmpl w:val="481E2800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372686"/>
    <w:multiLevelType w:val="hybridMultilevel"/>
    <w:tmpl w:val="13945E5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A75804"/>
    <w:multiLevelType w:val="hybridMultilevel"/>
    <w:tmpl w:val="CD503300"/>
    <w:lvl w:ilvl="0" w:tplc="8E864B0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72977C7"/>
    <w:multiLevelType w:val="hybridMultilevel"/>
    <w:tmpl w:val="99F2611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C41EA"/>
    <w:multiLevelType w:val="hybridMultilevel"/>
    <w:tmpl w:val="C5B2C04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13483"/>
    <w:multiLevelType w:val="multilevel"/>
    <w:tmpl w:val="10584C1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2B521F38"/>
    <w:multiLevelType w:val="hybridMultilevel"/>
    <w:tmpl w:val="B3F07B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E76D4"/>
    <w:multiLevelType w:val="hybridMultilevel"/>
    <w:tmpl w:val="F4809A12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C0C48"/>
    <w:multiLevelType w:val="hybridMultilevel"/>
    <w:tmpl w:val="30EC54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BED2">
      <w:start w:val="1"/>
      <w:numFmt w:val="lowerLetter"/>
      <w:lvlText w:val="%2."/>
      <w:lvlJc w:val="left"/>
      <w:pPr>
        <w:ind w:left="1440" w:hanging="360"/>
      </w:pPr>
    </w:lvl>
    <w:lvl w:ilvl="2" w:tplc="EDDA7C24">
      <w:start w:val="1"/>
      <w:numFmt w:val="lowerRoman"/>
      <w:lvlText w:val="%3."/>
      <w:lvlJc w:val="right"/>
      <w:pPr>
        <w:ind w:left="2160" w:hanging="180"/>
      </w:pPr>
    </w:lvl>
    <w:lvl w:ilvl="3" w:tplc="D6D8B25C">
      <w:start w:val="1"/>
      <w:numFmt w:val="decimal"/>
      <w:lvlText w:val="%4."/>
      <w:lvlJc w:val="left"/>
      <w:pPr>
        <w:ind w:left="2880" w:hanging="360"/>
      </w:pPr>
    </w:lvl>
    <w:lvl w:ilvl="4" w:tplc="15BC3358">
      <w:start w:val="1"/>
      <w:numFmt w:val="lowerLetter"/>
      <w:lvlText w:val="%5."/>
      <w:lvlJc w:val="left"/>
      <w:pPr>
        <w:ind w:left="3600" w:hanging="360"/>
      </w:pPr>
    </w:lvl>
    <w:lvl w:ilvl="5" w:tplc="286291C8">
      <w:start w:val="1"/>
      <w:numFmt w:val="lowerRoman"/>
      <w:lvlText w:val="%6."/>
      <w:lvlJc w:val="right"/>
      <w:pPr>
        <w:ind w:left="4320" w:hanging="180"/>
      </w:pPr>
    </w:lvl>
    <w:lvl w:ilvl="6" w:tplc="18BA1814">
      <w:start w:val="1"/>
      <w:numFmt w:val="decimal"/>
      <w:lvlText w:val="%7."/>
      <w:lvlJc w:val="left"/>
      <w:pPr>
        <w:ind w:left="5040" w:hanging="360"/>
      </w:pPr>
    </w:lvl>
    <w:lvl w:ilvl="7" w:tplc="288E5478">
      <w:start w:val="1"/>
      <w:numFmt w:val="lowerLetter"/>
      <w:lvlText w:val="%8."/>
      <w:lvlJc w:val="left"/>
      <w:pPr>
        <w:ind w:left="5760" w:hanging="360"/>
      </w:pPr>
    </w:lvl>
    <w:lvl w:ilvl="8" w:tplc="FE92EF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7F54"/>
    <w:multiLevelType w:val="singleLevel"/>
    <w:tmpl w:val="DDE088C8"/>
    <w:lvl w:ilvl="0">
      <w:numFmt w:val="decimal"/>
      <w:lvlText w:val="*"/>
      <w:lvlJc w:val="left"/>
    </w:lvl>
  </w:abstractNum>
  <w:abstractNum w:abstractNumId="21" w15:restartNumberingAfterBreak="0">
    <w:nsid w:val="3B58F902"/>
    <w:multiLevelType w:val="hybridMultilevel"/>
    <w:tmpl w:val="B816A70C"/>
    <w:lvl w:ilvl="0" w:tplc="F2822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4D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6A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B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2C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40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80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F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AE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E6C99"/>
    <w:multiLevelType w:val="hybridMultilevel"/>
    <w:tmpl w:val="A084529E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6677B3"/>
    <w:multiLevelType w:val="hybridMultilevel"/>
    <w:tmpl w:val="AF9A16E4"/>
    <w:lvl w:ilvl="0" w:tplc="2000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4" w15:restartNumberingAfterBreak="0">
    <w:nsid w:val="403C7B2A"/>
    <w:multiLevelType w:val="hybridMultilevel"/>
    <w:tmpl w:val="B89EF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676A2D"/>
    <w:multiLevelType w:val="hybridMultilevel"/>
    <w:tmpl w:val="3B9AD1E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C4010"/>
    <w:multiLevelType w:val="hybridMultilevel"/>
    <w:tmpl w:val="ED1039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E2A91"/>
    <w:multiLevelType w:val="hybridMultilevel"/>
    <w:tmpl w:val="720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9783D"/>
    <w:multiLevelType w:val="hybridMultilevel"/>
    <w:tmpl w:val="5908F11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1532D"/>
    <w:multiLevelType w:val="hybridMultilevel"/>
    <w:tmpl w:val="7A769A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7292"/>
    <w:multiLevelType w:val="hybridMultilevel"/>
    <w:tmpl w:val="32C8935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A4302"/>
    <w:multiLevelType w:val="hybridMultilevel"/>
    <w:tmpl w:val="C574AFB8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CAD52EC"/>
    <w:multiLevelType w:val="hybridMultilevel"/>
    <w:tmpl w:val="B22E0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A42FE"/>
    <w:multiLevelType w:val="hybridMultilevel"/>
    <w:tmpl w:val="9B7E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523186"/>
    <w:multiLevelType w:val="hybridMultilevel"/>
    <w:tmpl w:val="4894B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2039B"/>
    <w:multiLevelType w:val="hybridMultilevel"/>
    <w:tmpl w:val="D0DC36F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D2082"/>
    <w:multiLevelType w:val="hybridMultilevel"/>
    <w:tmpl w:val="A39E618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29F4733"/>
    <w:multiLevelType w:val="hybridMultilevel"/>
    <w:tmpl w:val="80AA6C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56246"/>
    <w:multiLevelType w:val="hybridMultilevel"/>
    <w:tmpl w:val="17E4D8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F0C42"/>
    <w:multiLevelType w:val="hybridMultilevel"/>
    <w:tmpl w:val="E2FC81E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F519E"/>
    <w:multiLevelType w:val="hybridMultilevel"/>
    <w:tmpl w:val="BD7247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 w15:restartNumberingAfterBreak="0">
    <w:nsid w:val="6B3767B2"/>
    <w:multiLevelType w:val="hybridMultilevel"/>
    <w:tmpl w:val="CF9ADD54"/>
    <w:lvl w:ilvl="0" w:tplc="2000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44" w15:restartNumberingAfterBreak="0">
    <w:nsid w:val="6BEF7014"/>
    <w:multiLevelType w:val="hybridMultilevel"/>
    <w:tmpl w:val="096E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790D12"/>
    <w:multiLevelType w:val="hybridMultilevel"/>
    <w:tmpl w:val="A63CD1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61D87"/>
    <w:multiLevelType w:val="hybridMultilevel"/>
    <w:tmpl w:val="86BC52C0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4D5194"/>
    <w:multiLevelType w:val="hybridMultilevel"/>
    <w:tmpl w:val="B92A04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444CF"/>
    <w:multiLevelType w:val="hybridMultilevel"/>
    <w:tmpl w:val="253253B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9D7AB8"/>
    <w:multiLevelType w:val="hybridMultilevel"/>
    <w:tmpl w:val="6346F1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623E7D"/>
    <w:multiLevelType w:val="hybridMultilevel"/>
    <w:tmpl w:val="EF785CA8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FE95083"/>
    <w:multiLevelType w:val="hybridMultilevel"/>
    <w:tmpl w:val="D1FC34B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49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5">
    <w:abstractNumId w:val="17"/>
  </w:num>
  <w:num w:numId="6">
    <w:abstractNumId w:val="35"/>
  </w:num>
  <w:num w:numId="7">
    <w:abstractNumId w:val="50"/>
  </w:num>
  <w:num w:numId="8">
    <w:abstractNumId w:val="1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0">
    <w:abstractNumId w:val="43"/>
  </w:num>
  <w:num w:numId="11">
    <w:abstractNumId w:val="12"/>
  </w:num>
  <w:num w:numId="12">
    <w:abstractNumId w:val="23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5">
    <w:abstractNumId w:val="41"/>
  </w:num>
  <w:num w:numId="16">
    <w:abstractNumId w:val="32"/>
  </w:num>
  <w:num w:numId="17">
    <w:abstractNumId w:val="45"/>
  </w:num>
  <w:num w:numId="18">
    <w:abstractNumId w:val="29"/>
  </w:num>
  <w:num w:numId="19">
    <w:abstractNumId w:val="38"/>
  </w:num>
  <w:num w:numId="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</w:rPr>
      </w:lvl>
    </w:lvlOverride>
  </w:num>
  <w:num w:numId="21">
    <w:abstractNumId w:val="9"/>
  </w:num>
  <w:num w:numId="22">
    <w:abstractNumId w:val="33"/>
  </w:num>
  <w:num w:numId="23">
    <w:abstractNumId w:val="27"/>
  </w:num>
  <w:num w:numId="24">
    <w:abstractNumId w:val="19"/>
  </w:num>
  <w:num w:numId="25">
    <w:abstractNumId w:val="52"/>
  </w:num>
  <w:num w:numId="26">
    <w:abstractNumId w:val="24"/>
  </w:num>
  <w:num w:numId="27">
    <w:abstractNumId w:val="21"/>
  </w:num>
  <w:num w:numId="28">
    <w:abstractNumId w:val="6"/>
  </w:num>
  <w:num w:numId="29">
    <w:abstractNumId w:val="10"/>
  </w:num>
  <w:num w:numId="30">
    <w:abstractNumId w:val="20"/>
  </w:num>
  <w:num w:numId="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2">
    <w:abstractNumId w:val="31"/>
  </w:num>
  <w:num w:numId="33">
    <w:abstractNumId w:val="7"/>
  </w:num>
  <w:num w:numId="34">
    <w:abstractNumId w:val="39"/>
  </w:num>
  <w:num w:numId="35">
    <w:abstractNumId w:val="14"/>
  </w:num>
  <w:num w:numId="36">
    <w:abstractNumId w:val="11"/>
  </w:num>
  <w:num w:numId="37">
    <w:abstractNumId w:val="37"/>
  </w:num>
  <w:num w:numId="38">
    <w:abstractNumId w:val="15"/>
  </w:num>
  <w:num w:numId="39">
    <w:abstractNumId w:val="25"/>
  </w:num>
  <w:num w:numId="40">
    <w:abstractNumId w:val="30"/>
  </w:num>
  <w:num w:numId="41">
    <w:abstractNumId w:val="51"/>
  </w:num>
  <w:num w:numId="42">
    <w:abstractNumId w:val="5"/>
  </w:num>
  <w:num w:numId="43">
    <w:abstractNumId w:val="4"/>
  </w:num>
  <w:num w:numId="44">
    <w:abstractNumId w:val="28"/>
  </w:num>
  <w:num w:numId="45">
    <w:abstractNumId w:val="40"/>
  </w:num>
  <w:num w:numId="46">
    <w:abstractNumId w:val="13"/>
  </w:num>
  <w:num w:numId="47">
    <w:abstractNumId w:val="48"/>
  </w:num>
  <w:num w:numId="48">
    <w:abstractNumId w:val="2"/>
  </w:num>
  <w:num w:numId="49">
    <w:abstractNumId w:val="46"/>
  </w:num>
  <w:num w:numId="50">
    <w:abstractNumId w:val="16"/>
  </w:num>
  <w:num w:numId="51">
    <w:abstractNumId w:val="36"/>
  </w:num>
  <w:num w:numId="52">
    <w:abstractNumId w:val="3"/>
  </w:num>
  <w:num w:numId="53">
    <w:abstractNumId w:val="26"/>
  </w:num>
  <w:num w:numId="54">
    <w:abstractNumId w:val="47"/>
  </w:num>
  <w:num w:numId="55">
    <w:abstractNumId w:val="44"/>
  </w:num>
  <w:num w:numId="56">
    <w:abstractNumId w:val="8"/>
  </w:num>
  <w:num w:numId="57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10A4D"/>
    <w:rsid w:val="00012E64"/>
    <w:rsid w:val="00017D54"/>
    <w:rsid w:val="00020D21"/>
    <w:rsid w:val="00050772"/>
    <w:rsid w:val="000521F5"/>
    <w:rsid w:val="00063DFF"/>
    <w:rsid w:val="00067C7B"/>
    <w:rsid w:val="00071681"/>
    <w:rsid w:val="0007736E"/>
    <w:rsid w:val="0008407D"/>
    <w:rsid w:val="00085BCB"/>
    <w:rsid w:val="00086EA4"/>
    <w:rsid w:val="0009204A"/>
    <w:rsid w:val="0009375F"/>
    <w:rsid w:val="000A01ED"/>
    <w:rsid w:val="000A0991"/>
    <w:rsid w:val="000A6FBB"/>
    <w:rsid w:val="000B153B"/>
    <w:rsid w:val="000B2C0F"/>
    <w:rsid w:val="000B5048"/>
    <w:rsid w:val="000C31E1"/>
    <w:rsid w:val="000C49B7"/>
    <w:rsid w:val="000D394D"/>
    <w:rsid w:val="000E2545"/>
    <w:rsid w:val="00110DDD"/>
    <w:rsid w:val="00121797"/>
    <w:rsid w:val="0012298C"/>
    <w:rsid w:val="00143563"/>
    <w:rsid w:val="001452AB"/>
    <w:rsid w:val="00145E70"/>
    <w:rsid w:val="00153657"/>
    <w:rsid w:val="00157438"/>
    <w:rsid w:val="00160F71"/>
    <w:rsid w:val="00164573"/>
    <w:rsid w:val="00170C1F"/>
    <w:rsid w:val="00174CDF"/>
    <w:rsid w:val="0017523E"/>
    <w:rsid w:val="0018211C"/>
    <w:rsid w:val="001979DF"/>
    <w:rsid w:val="001A7210"/>
    <w:rsid w:val="001B22C0"/>
    <w:rsid w:val="001B4437"/>
    <w:rsid w:val="001C1A5A"/>
    <w:rsid w:val="001E391D"/>
    <w:rsid w:val="001E4AD9"/>
    <w:rsid w:val="001F7A4C"/>
    <w:rsid w:val="0020048F"/>
    <w:rsid w:val="002059F6"/>
    <w:rsid w:val="00206A70"/>
    <w:rsid w:val="00207785"/>
    <w:rsid w:val="00207931"/>
    <w:rsid w:val="00207CB5"/>
    <w:rsid w:val="0022396F"/>
    <w:rsid w:val="00225236"/>
    <w:rsid w:val="00260F68"/>
    <w:rsid w:val="00274F3B"/>
    <w:rsid w:val="00286E07"/>
    <w:rsid w:val="00290C09"/>
    <w:rsid w:val="002914C0"/>
    <w:rsid w:val="002928E5"/>
    <w:rsid w:val="00293E88"/>
    <w:rsid w:val="00295E78"/>
    <w:rsid w:val="002A5636"/>
    <w:rsid w:val="002A7012"/>
    <w:rsid w:val="002B7981"/>
    <w:rsid w:val="002C2DFE"/>
    <w:rsid w:val="002C3E2F"/>
    <w:rsid w:val="002F5945"/>
    <w:rsid w:val="002F6197"/>
    <w:rsid w:val="00300BD1"/>
    <w:rsid w:val="00304B0D"/>
    <w:rsid w:val="003066BE"/>
    <w:rsid w:val="00307F78"/>
    <w:rsid w:val="00311E5B"/>
    <w:rsid w:val="003227CC"/>
    <w:rsid w:val="00350062"/>
    <w:rsid w:val="00350F7B"/>
    <w:rsid w:val="00373DC9"/>
    <w:rsid w:val="003822FE"/>
    <w:rsid w:val="00395F2C"/>
    <w:rsid w:val="003A0D87"/>
    <w:rsid w:val="003A638A"/>
    <w:rsid w:val="003B20A0"/>
    <w:rsid w:val="003B6E5F"/>
    <w:rsid w:val="003C14DE"/>
    <w:rsid w:val="003C3D98"/>
    <w:rsid w:val="003C404F"/>
    <w:rsid w:val="003C4E9F"/>
    <w:rsid w:val="003F326D"/>
    <w:rsid w:val="003F4FAE"/>
    <w:rsid w:val="003F560D"/>
    <w:rsid w:val="003F79EF"/>
    <w:rsid w:val="0040484B"/>
    <w:rsid w:val="004136CF"/>
    <w:rsid w:val="0043191A"/>
    <w:rsid w:val="00434EA7"/>
    <w:rsid w:val="0043723D"/>
    <w:rsid w:val="00437387"/>
    <w:rsid w:val="00487166"/>
    <w:rsid w:val="004A5CD7"/>
    <w:rsid w:val="004A631F"/>
    <w:rsid w:val="004C4048"/>
    <w:rsid w:val="004D7AC0"/>
    <w:rsid w:val="004E2C88"/>
    <w:rsid w:val="004E5778"/>
    <w:rsid w:val="004E70CF"/>
    <w:rsid w:val="004F4B0E"/>
    <w:rsid w:val="00517783"/>
    <w:rsid w:val="00520600"/>
    <w:rsid w:val="00532089"/>
    <w:rsid w:val="005547CA"/>
    <w:rsid w:val="005559ED"/>
    <w:rsid w:val="005565A0"/>
    <w:rsid w:val="00560FCF"/>
    <w:rsid w:val="00560FD9"/>
    <w:rsid w:val="00574AE9"/>
    <w:rsid w:val="00576A37"/>
    <w:rsid w:val="00586B4B"/>
    <w:rsid w:val="005A0BDA"/>
    <w:rsid w:val="005A13AE"/>
    <w:rsid w:val="005B3E63"/>
    <w:rsid w:val="005C3B4E"/>
    <w:rsid w:val="005D3B72"/>
    <w:rsid w:val="005E1B10"/>
    <w:rsid w:val="005E65F1"/>
    <w:rsid w:val="005E7651"/>
    <w:rsid w:val="006036EC"/>
    <w:rsid w:val="006048C3"/>
    <w:rsid w:val="00607388"/>
    <w:rsid w:val="00621588"/>
    <w:rsid w:val="00625CA3"/>
    <w:rsid w:val="0063270F"/>
    <w:rsid w:val="0063478E"/>
    <w:rsid w:val="006347E9"/>
    <w:rsid w:val="006359E9"/>
    <w:rsid w:val="00641262"/>
    <w:rsid w:val="00643832"/>
    <w:rsid w:val="0066204A"/>
    <w:rsid w:val="00663B69"/>
    <w:rsid w:val="00663D1D"/>
    <w:rsid w:val="006665CE"/>
    <w:rsid w:val="00673030"/>
    <w:rsid w:val="00674DC9"/>
    <w:rsid w:val="00685669"/>
    <w:rsid w:val="00686452"/>
    <w:rsid w:val="00693AFD"/>
    <w:rsid w:val="006A1852"/>
    <w:rsid w:val="006A1964"/>
    <w:rsid w:val="006A30A7"/>
    <w:rsid w:val="006A607A"/>
    <w:rsid w:val="006C3BF1"/>
    <w:rsid w:val="006D00D2"/>
    <w:rsid w:val="006D0FA5"/>
    <w:rsid w:val="006D2C8A"/>
    <w:rsid w:val="006D2D64"/>
    <w:rsid w:val="006E058A"/>
    <w:rsid w:val="006E42C3"/>
    <w:rsid w:val="006E6BA2"/>
    <w:rsid w:val="006F198A"/>
    <w:rsid w:val="006F3BD2"/>
    <w:rsid w:val="0070112B"/>
    <w:rsid w:val="0071703D"/>
    <w:rsid w:val="0072001A"/>
    <w:rsid w:val="00722D37"/>
    <w:rsid w:val="00732FD3"/>
    <w:rsid w:val="00735536"/>
    <w:rsid w:val="00747082"/>
    <w:rsid w:val="00754027"/>
    <w:rsid w:val="0075452F"/>
    <w:rsid w:val="0076170A"/>
    <w:rsid w:val="00761E3F"/>
    <w:rsid w:val="00766B1A"/>
    <w:rsid w:val="007757F6"/>
    <w:rsid w:val="007772BB"/>
    <w:rsid w:val="00787993"/>
    <w:rsid w:val="00790212"/>
    <w:rsid w:val="00793264"/>
    <w:rsid w:val="007977EB"/>
    <w:rsid w:val="007A1ECF"/>
    <w:rsid w:val="007A23FD"/>
    <w:rsid w:val="007A4448"/>
    <w:rsid w:val="007A4A04"/>
    <w:rsid w:val="007A5C3E"/>
    <w:rsid w:val="007C5067"/>
    <w:rsid w:val="007C5687"/>
    <w:rsid w:val="007D38CF"/>
    <w:rsid w:val="007D4BC5"/>
    <w:rsid w:val="007D4F80"/>
    <w:rsid w:val="007E5208"/>
    <w:rsid w:val="007F5784"/>
    <w:rsid w:val="007F59F8"/>
    <w:rsid w:val="00800D55"/>
    <w:rsid w:val="0080305A"/>
    <w:rsid w:val="00811AE6"/>
    <w:rsid w:val="008140AB"/>
    <w:rsid w:val="00845F24"/>
    <w:rsid w:val="0084634B"/>
    <w:rsid w:val="00850BA4"/>
    <w:rsid w:val="00852896"/>
    <w:rsid w:val="00874920"/>
    <w:rsid w:val="008776D6"/>
    <w:rsid w:val="0088219D"/>
    <w:rsid w:val="00887AAF"/>
    <w:rsid w:val="008923EE"/>
    <w:rsid w:val="008A001E"/>
    <w:rsid w:val="008A069D"/>
    <w:rsid w:val="008A129B"/>
    <w:rsid w:val="008B10AA"/>
    <w:rsid w:val="008B1374"/>
    <w:rsid w:val="008B365F"/>
    <w:rsid w:val="008B7128"/>
    <w:rsid w:val="008C1E36"/>
    <w:rsid w:val="008F0A57"/>
    <w:rsid w:val="008F2ED1"/>
    <w:rsid w:val="008F720A"/>
    <w:rsid w:val="00903E48"/>
    <w:rsid w:val="0090676E"/>
    <w:rsid w:val="00920DBD"/>
    <w:rsid w:val="0093269E"/>
    <w:rsid w:val="00933DDE"/>
    <w:rsid w:val="00954942"/>
    <w:rsid w:val="00960878"/>
    <w:rsid w:val="00961E7E"/>
    <w:rsid w:val="00971406"/>
    <w:rsid w:val="009757DF"/>
    <w:rsid w:val="009A26EA"/>
    <w:rsid w:val="009B2765"/>
    <w:rsid w:val="009B30A2"/>
    <w:rsid w:val="009C4B2A"/>
    <w:rsid w:val="009C5987"/>
    <w:rsid w:val="009E37FC"/>
    <w:rsid w:val="009F0424"/>
    <w:rsid w:val="00A0115F"/>
    <w:rsid w:val="00A01E18"/>
    <w:rsid w:val="00A07FDA"/>
    <w:rsid w:val="00A126BB"/>
    <w:rsid w:val="00A137BD"/>
    <w:rsid w:val="00A14EE2"/>
    <w:rsid w:val="00A20E9D"/>
    <w:rsid w:val="00A22B61"/>
    <w:rsid w:val="00A272B2"/>
    <w:rsid w:val="00A31FBE"/>
    <w:rsid w:val="00A44552"/>
    <w:rsid w:val="00A50553"/>
    <w:rsid w:val="00A671D1"/>
    <w:rsid w:val="00A704FE"/>
    <w:rsid w:val="00A71787"/>
    <w:rsid w:val="00A73D45"/>
    <w:rsid w:val="00A819B2"/>
    <w:rsid w:val="00A84144"/>
    <w:rsid w:val="00A94759"/>
    <w:rsid w:val="00AA0B9B"/>
    <w:rsid w:val="00AB27C4"/>
    <w:rsid w:val="00AB5F92"/>
    <w:rsid w:val="00AC3091"/>
    <w:rsid w:val="00AC4073"/>
    <w:rsid w:val="00AD2B01"/>
    <w:rsid w:val="00AD3765"/>
    <w:rsid w:val="00AE1443"/>
    <w:rsid w:val="00AF66DD"/>
    <w:rsid w:val="00B12AD6"/>
    <w:rsid w:val="00B16290"/>
    <w:rsid w:val="00B17AA2"/>
    <w:rsid w:val="00B203DA"/>
    <w:rsid w:val="00B22D81"/>
    <w:rsid w:val="00B31D9D"/>
    <w:rsid w:val="00B35D40"/>
    <w:rsid w:val="00B417D4"/>
    <w:rsid w:val="00B5012B"/>
    <w:rsid w:val="00B518C9"/>
    <w:rsid w:val="00B56DC5"/>
    <w:rsid w:val="00B609BB"/>
    <w:rsid w:val="00B6140C"/>
    <w:rsid w:val="00B62C90"/>
    <w:rsid w:val="00B74D18"/>
    <w:rsid w:val="00B76E22"/>
    <w:rsid w:val="00B83BDF"/>
    <w:rsid w:val="00B84F37"/>
    <w:rsid w:val="00B90BB4"/>
    <w:rsid w:val="00B9454C"/>
    <w:rsid w:val="00B97735"/>
    <w:rsid w:val="00BA33D2"/>
    <w:rsid w:val="00BA4FAE"/>
    <w:rsid w:val="00BA7DA9"/>
    <w:rsid w:val="00BC3DCE"/>
    <w:rsid w:val="00BD0A76"/>
    <w:rsid w:val="00BD13B3"/>
    <w:rsid w:val="00BD6D59"/>
    <w:rsid w:val="00BE54B3"/>
    <w:rsid w:val="00BF4B8A"/>
    <w:rsid w:val="00C008B4"/>
    <w:rsid w:val="00C0422F"/>
    <w:rsid w:val="00C1318C"/>
    <w:rsid w:val="00C178B4"/>
    <w:rsid w:val="00C17ABD"/>
    <w:rsid w:val="00C26C67"/>
    <w:rsid w:val="00C351BC"/>
    <w:rsid w:val="00C54777"/>
    <w:rsid w:val="00C6005D"/>
    <w:rsid w:val="00C6788D"/>
    <w:rsid w:val="00C73CDB"/>
    <w:rsid w:val="00C821A5"/>
    <w:rsid w:val="00CB1912"/>
    <w:rsid w:val="00CB6673"/>
    <w:rsid w:val="00CD57F4"/>
    <w:rsid w:val="00D032F4"/>
    <w:rsid w:val="00D27336"/>
    <w:rsid w:val="00D43613"/>
    <w:rsid w:val="00D44E5F"/>
    <w:rsid w:val="00D508F7"/>
    <w:rsid w:val="00D56FF8"/>
    <w:rsid w:val="00D60502"/>
    <w:rsid w:val="00D6433F"/>
    <w:rsid w:val="00D664E2"/>
    <w:rsid w:val="00D66704"/>
    <w:rsid w:val="00D7076A"/>
    <w:rsid w:val="00D72442"/>
    <w:rsid w:val="00D7556E"/>
    <w:rsid w:val="00D81D76"/>
    <w:rsid w:val="00D81F5E"/>
    <w:rsid w:val="00D92269"/>
    <w:rsid w:val="00D933A9"/>
    <w:rsid w:val="00DA024B"/>
    <w:rsid w:val="00DA78A0"/>
    <w:rsid w:val="00DB4519"/>
    <w:rsid w:val="00DB7317"/>
    <w:rsid w:val="00DC6E9C"/>
    <w:rsid w:val="00DC7468"/>
    <w:rsid w:val="00DD5495"/>
    <w:rsid w:val="00DE176A"/>
    <w:rsid w:val="00DF1CA2"/>
    <w:rsid w:val="00E00A6B"/>
    <w:rsid w:val="00E05F14"/>
    <w:rsid w:val="00E11D35"/>
    <w:rsid w:val="00E252C6"/>
    <w:rsid w:val="00E25FBD"/>
    <w:rsid w:val="00E3707D"/>
    <w:rsid w:val="00E44B28"/>
    <w:rsid w:val="00E47697"/>
    <w:rsid w:val="00E5346F"/>
    <w:rsid w:val="00E60037"/>
    <w:rsid w:val="00E62AC9"/>
    <w:rsid w:val="00E630B2"/>
    <w:rsid w:val="00E6376A"/>
    <w:rsid w:val="00E720D2"/>
    <w:rsid w:val="00E77899"/>
    <w:rsid w:val="00E77A18"/>
    <w:rsid w:val="00EA1872"/>
    <w:rsid w:val="00EA21B5"/>
    <w:rsid w:val="00EA487B"/>
    <w:rsid w:val="00EA5D3A"/>
    <w:rsid w:val="00EA637B"/>
    <w:rsid w:val="00EC6483"/>
    <w:rsid w:val="00EC725B"/>
    <w:rsid w:val="00EE45AC"/>
    <w:rsid w:val="00EF1F75"/>
    <w:rsid w:val="00F14ED2"/>
    <w:rsid w:val="00F23BF2"/>
    <w:rsid w:val="00F27BB3"/>
    <w:rsid w:val="00F47E37"/>
    <w:rsid w:val="00F53C93"/>
    <w:rsid w:val="00F57E76"/>
    <w:rsid w:val="00F83C17"/>
    <w:rsid w:val="00F923F1"/>
    <w:rsid w:val="00F94D46"/>
    <w:rsid w:val="00F96D7F"/>
    <w:rsid w:val="00FA584E"/>
    <w:rsid w:val="00FA6D2E"/>
    <w:rsid w:val="00FB2DAD"/>
    <w:rsid w:val="00FB583C"/>
    <w:rsid w:val="00FB69EB"/>
    <w:rsid w:val="00FC1076"/>
    <w:rsid w:val="00FC456F"/>
    <w:rsid w:val="00FD7E5A"/>
    <w:rsid w:val="00FE0765"/>
    <w:rsid w:val="00FF4220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x-bh-SD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42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3A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A7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A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E3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920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E6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64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C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A7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0C4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122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077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D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0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E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A71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FA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9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E44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071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57F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7D38CF"/>
    <w:pPr>
      <w:spacing w:after="100"/>
      <w:ind w:left="220"/>
    </w:pPr>
  </w:style>
  <w:style w:type="table" w:customStyle="1" w:styleId="TableGrid21">
    <w:name w:val="Table Grid21"/>
    <w:basedOn w:val="TableNormal"/>
    <w:next w:val="TableGrid"/>
    <w:rsid w:val="00DA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E6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toni.TorrasEstruch@eesc.europa.eu" TargetMode="External"/><Relationship Id="rId21" Type="http://schemas.openxmlformats.org/officeDocument/2006/relationships/hyperlink" Target="https://www.eesc.europa.eu/pt/our-work/opinions-information-reports/opinions/eu-fund-cohesion-agriculture-and-rural-fisheries-and-maritime-prosperity-and-security" TargetMode="External"/><Relationship Id="rId42" Type="http://schemas.openxmlformats.org/officeDocument/2006/relationships/hyperlink" Target="https://www.eesc.europa.eu/en/our-work/opinions-information-reports/opinions/apply-ai-strategy-strengthening-ai-continent" TargetMode="External"/><Relationship Id="rId47" Type="http://schemas.openxmlformats.org/officeDocument/2006/relationships/hyperlink" Target="mailto:Arturo.Iniguez@eesc.europa.eu" TargetMode="External"/><Relationship Id="rId63" Type="http://schemas.openxmlformats.org/officeDocument/2006/relationships/footer" Target="footer2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ntoni.TorrasEstruch@eesc.europa.eu" TargetMode="External"/><Relationship Id="rId29" Type="http://schemas.openxmlformats.org/officeDocument/2006/relationships/hyperlink" Target="https://www.eesc.europa.eu/pt/our-work/opinions-information-reports/opinions/establishing-european-social-fund-part-national-and-regional-partnership-plan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Gerald.Klec@eesc.europa.eu" TargetMode="External"/><Relationship Id="rId32" Type="http://schemas.openxmlformats.org/officeDocument/2006/relationships/hyperlink" Target="https://eur-lex.europa.eu/legal-content/PT/TXT/?uri=CELEX%3A52019AE3047&amp;qid=1768437686704" TargetMode="External"/><Relationship Id="rId37" Type="http://schemas.openxmlformats.org/officeDocument/2006/relationships/hyperlink" Target="mailto:Alice.Tetu@eesc.europa.eu" TargetMode="External"/><Relationship Id="rId40" Type="http://schemas.openxmlformats.org/officeDocument/2006/relationships/hyperlink" Target="https://www.eesc.europa.eu/en/our-work/opinions-information-reports/opinions/quantum-strategy" TargetMode="External"/><Relationship Id="rId45" Type="http://schemas.openxmlformats.org/officeDocument/2006/relationships/hyperlink" Target="mailto:Jana.Valant@eesc.europa.eu" TargetMode="External"/><Relationship Id="rId53" Type="http://schemas.openxmlformats.org/officeDocument/2006/relationships/hyperlink" Target="mailto:Myrto.Kolyva@eesc.europa.eu" TargetMode="External"/><Relationship Id="rId58" Type="http://schemas.openxmlformats.org/officeDocument/2006/relationships/hyperlink" Target="mailto:Martine.Delanoy@eesc.europa.eu" TargetMode="External"/><Relationship Id="rId66" Type="http://schemas.openxmlformats.org/officeDocument/2006/relationships/footer" Target="footer4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hyperlink" Target="https://www.eesc.europa.eu/pt/our-work/opinions-information-reports/opinions/multiannual-financial-framework-2028-2034" TargetMode="External"/><Relationship Id="rId14" Type="http://schemas.openxmlformats.org/officeDocument/2006/relationships/footer" Target="footer1.xml"/><Relationship Id="rId22" Type="http://schemas.openxmlformats.org/officeDocument/2006/relationships/hyperlink" Target="mailto:Georgios.Meleas@eesc.europa.eu" TargetMode="External"/><Relationship Id="rId27" Type="http://schemas.openxmlformats.org/officeDocument/2006/relationships/hyperlink" Target="https://www.eesc.europa.eu/pt/our-work/opinions-information-reports/opinions/proposal-regulation-erasmus" TargetMode="External"/><Relationship Id="rId30" Type="http://schemas.openxmlformats.org/officeDocument/2006/relationships/hyperlink" Target="mailto:Bartek.Bednarowicz@eesc.europa.eu" TargetMode="External"/><Relationship Id="rId35" Type="http://schemas.openxmlformats.org/officeDocument/2006/relationships/hyperlink" Target="mailto:GiorgiaAndrea.Bordignon@eesc.europa.eu" TargetMode="External"/><Relationship Id="rId43" Type="http://schemas.openxmlformats.org/officeDocument/2006/relationships/hyperlink" Target="mailto:Yousra.AsbouniElOuahabi@eesc.europa.eu" TargetMode="External"/><Relationship Id="rId48" Type="http://schemas.openxmlformats.org/officeDocument/2006/relationships/hyperlink" Target="https://www.eesc.europa.eu/pt/our-work/opinions-information-reports/opinions/amendment-market-stability-reserve-buildings-road-transport-and-additional-sectors" TargetMode="External"/><Relationship Id="rId56" Type="http://schemas.openxmlformats.org/officeDocument/2006/relationships/hyperlink" Target="https://www.eesc.europa.eu/pt/our-work/opinions-information-reports/opinions/common-agricultural-policy-cap-post-2027" TargetMode="External"/><Relationship Id="rId64" Type="http://schemas.openxmlformats.org/officeDocument/2006/relationships/footer" Target="footer3.xml"/><Relationship Id="rId69" Type="http://schemas.openxmlformats.org/officeDocument/2006/relationships/customXml" Target="../customXml/item5.xml"/><Relationship Id="rId8" Type="http://schemas.openxmlformats.org/officeDocument/2006/relationships/webSettings" Target="webSettings.xml"/><Relationship Id="rId51" Type="http://schemas.openxmlformats.org/officeDocument/2006/relationships/hyperlink" Target="mailto:Martine.Delanoy@eesc.europa.e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eesc.europa.eu/pt/our-work/opinions-information-reports/plenary-session-summaries" TargetMode="External"/><Relationship Id="rId17" Type="http://schemas.openxmlformats.org/officeDocument/2006/relationships/hyperlink" Target="https://www.eesc.europa.eu/en/our-work/opinions-information-reports/opinions/euro-area-economic-policy-2026" TargetMode="External"/><Relationship Id="rId25" Type="http://schemas.openxmlformats.org/officeDocument/2006/relationships/hyperlink" Target="https://www.eesc.europa.eu/pt/our-work/opinions-information-reports/opinions/my-voice-my-choice-safe-and-accessible-abortion" TargetMode="External"/><Relationship Id="rId33" Type="http://schemas.openxmlformats.org/officeDocument/2006/relationships/hyperlink" Target="mailto:Aleksandra.SarmanGrilc@eesc.europa.eu" TargetMode="External"/><Relationship Id="rId38" Type="http://schemas.openxmlformats.org/officeDocument/2006/relationships/hyperlink" Target="https://www.eesc.europa.eu/pt/our-work/opinions-information-reports/opinions/single-market-and-customs-programme-2028-2034" TargetMode="External"/><Relationship Id="rId46" Type="http://schemas.openxmlformats.org/officeDocument/2006/relationships/hyperlink" Target="https://www.eesc.europa.eu/en/our-work/opinions-information-reports/opinions/france-inter-american-convention-protection-and-conservation-sea-turtles" TargetMode="External"/><Relationship Id="rId59" Type="http://schemas.openxmlformats.org/officeDocument/2006/relationships/hyperlink" Target="https://www.eesc.europa.eu/pt/our-work/opinions-information-reports/opinions/eu-medical-countermeasures-and-stockpiling-strategies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Gerald.Klec@eesc.europa.eu" TargetMode="External"/><Relationship Id="rId41" Type="http://schemas.openxmlformats.org/officeDocument/2006/relationships/hyperlink" Target="mailto:Yousra.AsbouniElOuahabi@eesc.europa.eu" TargetMode="External"/><Relationship Id="rId54" Type="http://schemas.openxmlformats.org/officeDocument/2006/relationships/hyperlink" Target="https://www.eesc.europa.eu/pt/our-work/opinions-information-reports/opinions/revision-common-fisheries-policy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eesc.europa.eu/en/our-work/opinions-information-reports/opinions/eesc-contribution-eus-priorities-uncsw70" TargetMode="External"/><Relationship Id="rId23" Type="http://schemas.openxmlformats.org/officeDocument/2006/relationships/hyperlink" Target="https://www.eesc.europa.eu/pt/our-work/opinions-information-reports/opinions/own-resources-2025-proposal" TargetMode="External"/><Relationship Id="rId28" Type="http://schemas.openxmlformats.org/officeDocument/2006/relationships/hyperlink" Target="mailto:Valeria.Atzori@eesc.europa.eu" TargetMode="External"/><Relationship Id="rId36" Type="http://schemas.openxmlformats.org/officeDocument/2006/relationships/hyperlink" Target="https://www.eesc.europa.eu/pt/our-work/opinions-information-reports/opinions/extension-interim-rules-online-child-sexual-abuse" TargetMode="External"/><Relationship Id="rId49" Type="http://schemas.openxmlformats.org/officeDocument/2006/relationships/hyperlink" Target="mailto:Gaizka.MaloElcoro-Iribe@eesc.europa.eu" TargetMode="External"/><Relationship Id="rId57" Type="http://schemas.openxmlformats.org/officeDocument/2006/relationships/hyperlink" Target="mailto:Arturo.Iniguez@eesc.europa.eu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eesc.europa.eu/pt/our-work/opinions-information-reports/opinions/bilateral-road-transport-agreement-between-austria-and-switzerland" TargetMode="External"/><Relationship Id="rId44" Type="http://schemas.openxmlformats.org/officeDocument/2006/relationships/hyperlink" Target="https://www.eesc.europa.eu/en/our-work/opinions-information-reports/opinions/horizon-europe-0" TargetMode="External"/><Relationship Id="rId52" Type="http://schemas.openxmlformats.org/officeDocument/2006/relationships/hyperlink" Target="https://www.eesc.europa.eu/pt/our-work/opinions-information-reports/opinions/revision-common-market-organisation-cmo-regulation" TargetMode="External"/><Relationship Id="rId60" Type="http://schemas.openxmlformats.org/officeDocument/2006/relationships/hyperlink" Target="mailto:Laia.TomasVinardell@eesc.europa.eu" TargetMode="External"/><Relationship Id="rId65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Krisztina.PerlakyToth@eesc.europa.eu" TargetMode="External"/><Relationship Id="rId39" Type="http://schemas.openxmlformats.org/officeDocument/2006/relationships/hyperlink" Target="mailto:Marco.Manfroni@eesc.europa.eu" TargetMode="External"/><Relationship Id="rId34" Type="http://schemas.openxmlformats.org/officeDocument/2006/relationships/hyperlink" Target="https://www.eesc.europa.eu/pt/our-work/opinions-information-reports/opinions/connecting-europe-facility-2028-2034" TargetMode="External"/><Relationship Id="rId50" Type="http://schemas.openxmlformats.org/officeDocument/2006/relationships/hyperlink" Target="https://www.eesc.europa.eu/pt/our-work/opinions-information-reports/opinions/amendment-data-protection-biocidal-products" TargetMode="External"/><Relationship Id="rId55" Type="http://schemas.openxmlformats.org/officeDocument/2006/relationships/hyperlink" Target="mailto:Arturo.Iniguez@eesc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A6WAAD5KZT2Q-1415362569-2999</_dlc_DocId>
    <_dlc_DocIdUrl xmlns="1a33af13-4045-4f88-9d7b-618e30f79918">
      <Url>http://dm/eesc/2025/_layouts/15/DocIdRedir.aspx?ID=A6WAAD5KZT2Q-1415362569-2999</Url>
      <Description>A6WAAD5KZT2Q-1415362569-2999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2026-02-05T12:00:00+00:00</ProductionDate>
    <DocumentNumber xmlns="03db1768-8e83-4c4e-a8fb-1eb1d05ab6cf">4233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MeetingDate xmlns="1a33af13-4045-4f88-9d7b-618e30f79918">2026-02-18T12:00:00+00:00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299637</FicheNumber>
    <OriginalSender xmlns="1a33af13-4045-4f88-9d7b-618e30f79918">
      <UserInfo>
        <DisplayName>Pomba Ramos Joao</DisplayName>
        <AccountId>1599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>603</MeetingNumber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2DCFD2-B6C9-4B84-883E-D601E5E47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4a86bcb4-3079-4d0d-a1eb-bd925b132791"/>
  </ds:schemaRefs>
</ds:datastoreItem>
</file>

<file path=customXml/itemProps3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5A7F8-9C61-40B8-9C17-40D8AF167B8F}"/>
</file>

<file path=customXml/itemProps5.xml><?xml version="1.0" encoding="utf-8"?>
<ds:datastoreItem xmlns:ds="http://schemas.openxmlformats.org/officeDocument/2006/customXml" ds:itemID="{8406D0F1-8732-4F5E-AF63-060DE55CF208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8648</Words>
  <Characters>46700</Characters>
  <Application>Microsoft Office Word</Application>
  <DocSecurity>0</DocSecurity>
  <Lines>389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55238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 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10</cp:revision>
  <dcterms:created xsi:type="dcterms:W3CDTF">2026-02-05T14:19:00Z</dcterms:created>
  <dcterms:modified xsi:type="dcterms:W3CDTF">2026-02-05T14:51:00Z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30/01/2026, 02/05/2022, 02/05/2022, 28/06/2021</vt:lpwstr>
  </property>
  <property fmtid="{D5CDD505-2E9C-101B-9397-08002B2CF9AE}" pid="4" name="Pref_Time">
    <vt:lpwstr>12:04:43, 12:28:29, 12:25:37, 08:41:48</vt:lpwstr>
  </property>
  <property fmtid="{D5CDD505-2E9C-101B-9397-08002B2CF9AE}" pid="5" name="Pref_User">
    <vt:lpwstr>pacup, enied, enied, enied</vt:lpwstr>
  </property>
  <property fmtid="{D5CDD505-2E9C-101B-9397-08002B2CF9AE}" pid="6" name="Pref_FileName">
    <vt:lpwstr>EESC-2025-04233-00-00-TCD-ORI.docx,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9a050ed8-5728-4740-bf20-a13740f53288</vt:lpwstr>
  </property>
  <property fmtid="{D5CDD505-2E9C-101B-9397-08002B2CF9AE}" pid="9" name="AvailableTranslations">
    <vt:lpwstr>31;#SL|98a412ae-eb01-49e9-ae3d-585a81724cfc;#23;#DE|f6b31e5a-26fa-4935-b661-318e46daf27e;#27;#NL|55c6556c-b4f4-441d-9acf-c498d4f838bd;#34;#IT|0774613c-01ed-4e5d-a25d-11d2388de825;#12;#FR|d2afafd3-4c81-4f60-8f52-ee33f2f54ff3;#28;#SV|c2ed69e7-a339-43d7-8f22-d93680a92aa0;#37;#HU|6b229040-c589-4408-b4c1-4285663d20a8;#5;#EN|f2175f21-25d7-44a3-96da-d6a61b075e1b;#41;#ET|ff6c3f4c-b02c-4c3c-ab07-2c37995a7a0a;#35;#FI|87606a43-d45f-42d6-b8c9-e1a3457db5b7;#39;#LV|46f7e311-5d9f-4663-b433-18aeccb7ace7;#47;#BG|1a1b3951-7821-4e6a-85f5-5673fc08bd2c;#33;#PT|50ccc04a-eadd-42ae-a0cb-acaf45f812ba;#29;#CS|72f9705b-0217-4fd3-bea2-cbc7ed80e26e;#36;#RO|feb747a2-64cd-4299-af12-4833ddc30497;#30;#LT|a7ff5ce7-6123-4f68-865a-a57c31810414;#46;#SK|46d9fce0-ef79-4f71-b89b-cd6aa82426b8;#24;#PL|1e03da61-4678-4e07-b136-b5024ca9197b;#42;#EL|6d4f4d51-af9b-4650-94b4-4276bee85c91;#50;#HR|2f555653-ed1a-4fe6-8362-9082d95989e5;#16;#ES|e7a6b05b-ae16-40c8-add9-68b64b03aeba;#40;#DA|5d49c027-8956-412b-aa16-e85a0f96ad0e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4233</vt:i4>
  </property>
  <property fmtid="{D5CDD505-2E9C-101B-9397-08002B2CF9AE}" pid="14" name="DocumentVersion">
    <vt:i4>1</vt:i4>
  </property>
  <property fmtid="{D5CDD505-2E9C-101B-9397-08002B2CF9AE}" pid="15" name="DocumentStatus">
    <vt:lpwstr>13;#TRA|150d2a88-1431-44e6-a8ca-0bb753ab8672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15;#Unrestricted|826e22d7-d029-4ec0-a450-0c28ff673572</vt:lpwstr>
  </property>
  <property fmtid="{D5CDD505-2E9C-101B-9397-08002B2CF9AE}" pid="19" name="OriginalLanguage">
    <vt:lpwstr>5;#EN|f2175f21-25d7-44a3-96da-d6a61b075e1b</vt:lpwstr>
  </property>
  <property fmtid="{D5CDD505-2E9C-101B-9397-08002B2CF9AE}" pid="20" name="MeetingName">
    <vt:lpwstr>67;#SPL-CES|32d8cb1f-c9ec-4365-95c7-8385a18618ac</vt:lpwstr>
  </property>
  <property fmtid="{D5CDD505-2E9C-101B-9397-08002B2CF9AE}" pid="21" name="TaxCatchAll">
    <vt:lpwstr>67;#SPL-CES|32d8cb1f-c9ec-4365-95c7-8385a18618ac;#15;#Unrestricted|826e22d7-d029-4ec0-a450-0c28ff673572;#13;#TRA|150d2a88-1431-44e6-a8ca-0bb753ab8672;#8;#Final|ea5e6674-7b27-4bac-b091-73adbb394efe;#5;#EN|f2175f21-25d7-44a3-96da-d6a61b075e1b;#19;#TCD|cd9d6eb6-3f4f-424a-b2d1-57c9d450eaaf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8;#Final|ea5e6674-7b27-4bac-b091-73adbb394efe</vt:lpwstr>
  </property>
  <property fmtid="{D5CDD505-2E9C-101B-9397-08002B2CF9AE}" pid="25" name="DocumentYear">
    <vt:i4>2025</vt:i4>
  </property>
  <property fmtid="{D5CDD505-2E9C-101B-9397-08002B2CF9AE}" pid="26" name="FicheNumber">
    <vt:i4>299637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19;#TCD|cd9d6eb6-3f4f-424a-b2d1-57c9d450eaaf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33;#PT|50ccc04a-eadd-42ae-a0cb-acaf45f812ba</vt:lpwstr>
  </property>
  <property fmtid="{D5CDD505-2E9C-101B-9397-08002B2CF9AE}" pid="33" name="AvailableTranslations_0">
    <vt:lpwstr>EN|f2175f21-25d7-44a3-96da-d6a61b075e1b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603</vt:i4>
  </property>
  <property fmtid="{D5CDD505-2E9C-101B-9397-08002B2CF9AE}" pid="40" name="MeetingDate">
    <vt:filetime>2026-02-18T12:00:00Z</vt:filetime>
  </property>
</Properties>
</file>