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3D6F9F60" w:rsidR="004D7AC0" w:rsidRDefault="00036171" w:rsidP="004D7AC0">
      <w:pPr>
        <w:jc w:val="center"/>
      </w:pPr>
      <w:r>
        <w:rPr>
          <w:noProof/>
        </w:rPr>
        <w:drawing>
          <wp:inline distT="0" distB="0" distL="0" distR="0" wp14:anchorId="0317F884" wp14:editId="544A3211">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7E42009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PL</w:t>
                      </w:r>
                    </w:p>
                  </w:txbxContent>
                </v:textbox>
                <w10:wrap anchorx="page" anchory="page"/>
              </v:shape>
            </w:pict>
          </mc:Fallback>
        </mc:AlternateContent>
      </w:r>
    </w:p>
    <w:p w14:paraId="4982DD4E" w14:textId="77777777" w:rsidR="004D7AC0" w:rsidRDefault="004D7AC0" w:rsidP="004D7AC0"/>
    <w:p w14:paraId="4982DD4F" w14:textId="46C3CD81" w:rsidR="004D7AC0" w:rsidRDefault="004D7AC0" w:rsidP="004D7AC0">
      <w:pPr>
        <w:jc w:val="right"/>
      </w:pPr>
      <w:r>
        <w:t>Bruksela, 6 lutego 2026 r</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EBE6AAE" w:rsidR="003066BE" w:rsidRDefault="00CD57F4" w:rsidP="00600C84">
            <w:pPr>
              <w:snapToGrid w:val="0"/>
              <w:jc w:val="center"/>
              <w:rPr>
                <w:b/>
                <w:sz w:val="32"/>
                <w:szCs w:val="32"/>
              </w:rPr>
            </w:pPr>
            <w:r>
              <w:rPr>
                <w:b/>
                <w:sz w:val="32"/>
              </w:rPr>
              <w:t>602. SESJA PLENARNA</w:t>
            </w:r>
          </w:p>
          <w:p w14:paraId="4982DD54" w14:textId="77777777" w:rsidR="003066BE" w:rsidRDefault="003066BE" w:rsidP="00600C84">
            <w:pPr>
              <w:snapToGrid w:val="0"/>
              <w:jc w:val="center"/>
              <w:rPr>
                <w:b/>
                <w:sz w:val="32"/>
                <w:szCs w:val="32"/>
              </w:rPr>
            </w:pPr>
          </w:p>
          <w:p w14:paraId="4982DD55" w14:textId="4037B3F6" w:rsidR="003066BE" w:rsidRDefault="00903E48" w:rsidP="00600C84">
            <w:pPr>
              <w:snapToGrid w:val="0"/>
              <w:jc w:val="center"/>
              <w:rPr>
                <w:b/>
                <w:sz w:val="32"/>
                <w:szCs w:val="32"/>
              </w:rPr>
            </w:pPr>
            <w:r>
              <w:rPr>
                <w:b/>
                <w:sz w:val="32"/>
              </w:rPr>
              <w:t>21 i 22 stycznia 2026 r.</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 xml:space="preserve">STRESZCZENIE PRZYJĘTYCH OPINII, REZOLUCJI </w:t>
            </w:r>
            <w:r>
              <w:rPr>
                <w:b/>
                <w:sz w:val="32"/>
              </w:rPr>
              <w:br/>
              <w:t>ORAZ RAPORTÓW INFORMACYJNYCH I</w:t>
            </w:r>
            <w:r>
              <w:rPr>
                <w:b/>
                <w:sz w:val="32"/>
              </w:rPr>
              <w:br/>
              <w:t>RAPORTÓW Z OCENY</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Niniejszy dokument jest dostępny w językach urzędowych Unii Europejskiej na stronie internetowej EKES-u pod adresem:</w:t>
            </w:r>
            <w:r>
              <w:br/>
            </w:r>
            <w:r>
              <w:br/>
            </w:r>
            <w:hyperlink r:id="rId12" w:history="1">
              <w:r>
                <w:rPr>
                  <w:rStyle w:val="Hyperlink"/>
                </w:rPr>
                <w:t>https://www.eesc.europa.eu/pl/our-work/opinions-information-reports/plenary-session-summaries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Niżej wymienione opinie można także znaleźć w formie elektronicznej za pomocą internetowej wyszukiwarki EKES-u:</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300BD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Spis treści:</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46A9FCFD" w14:textId="5DE6131C" w:rsidR="001F0DA8"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1257997" w:history="1">
            <w:r w:rsidR="001F0DA8" w:rsidRPr="00517B09">
              <w:rPr>
                <w:rStyle w:val="Hyperlink"/>
                <w:b/>
                <w:noProof/>
              </w:rPr>
              <w:t>1.</w:t>
            </w:r>
            <w:r w:rsidR="001F0DA8">
              <w:rPr>
                <w:rFonts w:asciiTheme="minorHAnsi" w:eastAsiaTheme="minorEastAsia" w:hAnsiTheme="minorHAnsi" w:cstheme="minorBidi"/>
                <w:noProof/>
                <w:lang w:val="en-US"/>
              </w:rPr>
              <w:tab/>
            </w:r>
            <w:r w:rsidR="001F0DA8" w:rsidRPr="00517B09">
              <w:rPr>
                <w:rStyle w:val="Hyperlink"/>
                <w:b/>
                <w:noProof/>
              </w:rPr>
              <w:t>REZOLUCJA</w:t>
            </w:r>
            <w:r w:rsidR="001F0DA8">
              <w:rPr>
                <w:noProof/>
                <w:webHidden/>
              </w:rPr>
              <w:tab/>
            </w:r>
            <w:r w:rsidR="001F0DA8">
              <w:rPr>
                <w:noProof/>
                <w:webHidden/>
              </w:rPr>
              <w:fldChar w:fldCharType="begin"/>
            </w:r>
            <w:r w:rsidR="001F0DA8">
              <w:rPr>
                <w:noProof/>
                <w:webHidden/>
              </w:rPr>
              <w:instrText xml:space="preserve"> PAGEREF _Toc221257997 \h </w:instrText>
            </w:r>
            <w:r w:rsidR="001F0DA8">
              <w:rPr>
                <w:noProof/>
                <w:webHidden/>
              </w:rPr>
            </w:r>
            <w:r w:rsidR="001F0DA8">
              <w:rPr>
                <w:noProof/>
                <w:webHidden/>
              </w:rPr>
              <w:fldChar w:fldCharType="separate"/>
            </w:r>
            <w:r w:rsidR="001F0DA8">
              <w:rPr>
                <w:noProof/>
                <w:webHidden/>
              </w:rPr>
              <w:t>3</w:t>
            </w:r>
            <w:r w:rsidR="001F0DA8">
              <w:rPr>
                <w:noProof/>
                <w:webHidden/>
              </w:rPr>
              <w:fldChar w:fldCharType="end"/>
            </w:r>
          </w:hyperlink>
        </w:p>
        <w:p w14:paraId="025B5320" w14:textId="497B4AB0"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7998" w:history="1">
            <w:r w:rsidRPr="00517B09">
              <w:rPr>
                <w:rStyle w:val="Hyperlink"/>
                <w:b/>
                <w:noProof/>
              </w:rPr>
              <w:t>2.</w:t>
            </w:r>
            <w:r>
              <w:rPr>
                <w:rFonts w:asciiTheme="minorHAnsi" w:eastAsiaTheme="minorEastAsia" w:hAnsiTheme="minorHAnsi" w:cstheme="minorBidi"/>
                <w:noProof/>
                <w:lang w:val="en-US"/>
              </w:rPr>
              <w:tab/>
            </w:r>
            <w:r w:rsidRPr="00517B09">
              <w:rPr>
                <w:rStyle w:val="Hyperlink"/>
                <w:b/>
                <w:noProof/>
              </w:rPr>
              <w:t>UNIA GOSPODARCZA I WALUTOWA ORAZ SPÓJNOŚĆ GOSPODARCZA I SPOŁECZNA</w:t>
            </w:r>
            <w:r>
              <w:rPr>
                <w:noProof/>
                <w:webHidden/>
              </w:rPr>
              <w:tab/>
            </w:r>
            <w:r>
              <w:rPr>
                <w:noProof/>
                <w:webHidden/>
              </w:rPr>
              <w:fldChar w:fldCharType="begin"/>
            </w:r>
            <w:r>
              <w:rPr>
                <w:noProof/>
                <w:webHidden/>
              </w:rPr>
              <w:instrText xml:space="preserve"> PAGEREF _Toc221257998 \h </w:instrText>
            </w:r>
            <w:r>
              <w:rPr>
                <w:noProof/>
                <w:webHidden/>
              </w:rPr>
            </w:r>
            <w:r>
              <w:rPr>
                <w:noProof/>
                <w:webHidden/>
              </w:rPr>
              <w:fldChar w:fldCharType="separate"/>
            </w:r>
            <w:r>
              <w:rPr>
                <w:noProof/>
                <w:webHidden/>
              </w:rPr>
              <w:t>4</w:t>
            </w:r>
            <w:r>
              <w:rPr>
                <w:noProof/>
                <w:webHidden/>
              </w:rPr>
              <w:fldChar w:fldCharType="end"/>
            </w:r>
          </w:hyperlink>
        </w:p>
        <w:p w14:paraId="0490A49B" w14:textId="13E00CEB"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7999" w:history="1">
            <w:r w:rsidRPr="00517B09">
              <w:rPr>
                <w:rStyle w:val="Hyperlink"/>
                <w:b/>
                <w:noProof/>
              </w:rPr>
              <w:t>3.</w:t>
            </w:r>
            <w:r>
              <w:rPr>
                <w:rFonts w:asciiTheme="minorHAnsi" w:eastAsiaTheme="minorEastAsia" w:hAnsiTheme="minorHAnsi" w:cstheme="minorBidi"/>
                <w:noProof/>
                <w:lang w:val="en-US"/>
              </w:rPr>
              <w:tab/>
            </w:r>
            <w:r w:rsidRPr="00517B09">
              <w:rPr>
                <w:rStyle w:val="Hyperlink"/>
                <w:b/>
                <w:noProof/>
              </w:rPr>
              <w:t>ZATRUDNIENIE, SPRAWY SPOŁECZNE I OBYWATELSTWO</w:t>
            </w:r>
            <w:r>
              <w:rPr>
                <w:noProof/>
                <w:webHidden/>
              </w:rPr>
              <w:tab/>
            </w:r>
            <w:r>
              <w:rPr>
                <w:noProof/>
                <w:webHidden/>
              </w:rPr>
              <w:fldChar w:fldCharType="begin"/>
            </w:r>
            <w:r>
              <w:rPr>
                <w:noProof/>
                <w:webHidden/>
              </w:rPr>
              <w:instrText xml:space="preserve"> PAGEREF _Toc221257999 \h </w:instrText>
            </w:r>
            <w:r>
              <w:rPr>
                <w:noProof/>
                <w:webHidden/>
              </w:rPr>
            </w:r>
            <w:r>
              <w:rPr>
                <w:noProof/>
                <w:webHidden/>
              </w:rPr>
              <w:fldChar w:fldCharType="separate"/>
            </w:r>
            <w:r>
              <w:rPr>
                <w:noProof/>
                <w:webHidden/>
              </w:rPr>
              <w:t>12</w:t>
            </w:r>
            <w:r>
              <w:rPr>
                <w:noProof/>
                <w:webHidden/>
              </w:rPr>
              <w:fldChar w:fldCharType="end"/>
            </w:r>
          </w:hyperlink>
        </w:p>
        <w:p w14:paraId="3C0787B5" w14:textId="2218BAE5"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8000" w:history="1">
            <w:r w:rsidRPr="00517B09">
              <w:rPr>
                <w:rStyle w:val="Hyperlink"/>
                <w:b/>
                <w:noProof/>
              </w:rPr>
              <w:t>4.</w:t>
            </w:r>
            <w:r>
              <w:rPr>
                <w:rFonts w:asciiTheme="minorHAnsi" w:eastAsiaTheme="minorEastAsia" w:hAnsiTheme="minorHAnsi" w:cstheme="minorBidi"/>
                <w:noProof/>
                <w:lang w:val="en-US"/>
              </w:rPr>
              <w:tab/>
            </w:r>
            <w:r w:rsidRPr="00517B09">
              <w:rPr>
                <w:rStyle w:val="Hyperlink"/>
                <w:b/>
                <w:noProof/>
              </w:rPr>
              <w:t>TRANSPORT, ENERGIA, INFRASTRUKTURA I SPOŁECZEŃSTWO INFORMACYJNE</w:t>
            </w:r>
            <w:r>
              <w:rPr>
                <w:noProof/>
                <w:webHidden/>
              </w:rPr>
              <w:tab/>
            </w:r>
            <w:r>
              <w:rPr>
                <w:noProof/>
                <w:webHidden/>
              </w:rPr>
              <w:fldChar w:fldCharType="begin"/>
            </w:r>
            <w:r>
              <w:rPr>
                <w:noProof/>
                <w:webHidden/>
              </w:rPr>
              <w:instrText xml:space="preserve"> PAGEREF _Toc221258000 \h </w:instrText>
            </w:r>
            <w:r>
              <w:rPr>
                <w:noProof/>
                <w:webHidden/>
              </w:rPr>
            </w:r>
            <w:r>
              <w:rPr>
                <w:noProof/>
                <w:webHidden/>
              </w:rPr>
              <w:fldChar w:fldCharType="separate"/>
            </w:r>
            <w:r>
              <w:rPr>
                <w:noProof/>
                <w:webHidden/>
              </w:rPr>
              <w:t>15</w:t>
            </w:r>
            <w:r>
              <w:rPr>
                <w:noProof/>
                <w:webHidden/>
              </w:rPr>
              <w:fldChar w:fldCharType="end"/>
            </w:r>
          </w:hyperlink>
        </w:p>
        <w:p w14:paraId="07EDFA79" w14:textId="12CFA8A3"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8001" w:history="1">
            <w:r w:rsidRPr="00517B09">
              <w:rPr>
                <w:rStyle w:val="Hyperlink"/>
                <w:b/>
                <w:noProof/>
              </w:rPr>
              <w:t>5.</w:t>
            </w:r>
            <w:r>
              <w:rPr>
                <w:rFonts w:asciiTheme="minorHAnsi" w:eastAsiaTheme="minorEastAsia" w:hAnsiTheme="minorHAnsi" w:cstheme="minorBidi"/>
                <w:noProof/>
                <w:lang w:val="en-US"/>
              </w:rPr>
              <w:tab/>
            </w:r>
            <w:r w:rsidRPr="00517B09">
              <w:rPr>
                <w:rStyle w:val="Hyperlink"/>
                <w:b/>
                <w:noProof/>
              </w:rPr>
              <w:t>JEDNOLITY RYNEK, PRODUKCJA I KONSUMPCJA</w:t>
            </w:r>
            <w:r>
              <w:rPr>
                <w:noProof/>
                <w:webHidden/>
              </w:rPr>
              <w:tab/>
            </w:r>
            <w:r>
              <w:rPr>
                <w:noProof/>
                <w:webHidden/>
              </w:rPr>
              <w:fldChar w:fldCharType="begin"/>
            </w:r>
            <w:r>
              <w:rPr>
                <w:noProof/>
                <w:webHidden/>
              </w:rPr>
              <w:instrText xml:space="preserve"> PAGEREF _Toc221258001 \h </w:instrText>
            </w:r>
            <w:r>
              <w:rPr>
                <w:noProof/>
                <w:webHidden/>
              </w:rPr>
            </w:r>
            <w:r>
              <w:rPr>
                <w:noProof/>
                <w:webHidden/>
              </w:rPr>
              <w:fldChar w:fldCharType="separate"/>
            </w:r>
            <w:r>
              <w:rPr>
                <w:noProof/>
                <w:webHidden/>
              </w:rPr>
              <w:t>17</w:t>
            </w:r>
            <w:r>
              <w:rPr>
                <w:noProof/>
                <w:webHidden/>
              </w:rPr>
              <w:fldChar w:fldCharType="end"/>
            </w:r>
          </w:hyperlink>
        </w:p>
        <w:p w14:paraId="4FAEA256" w14:textId="6BDC4078"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8002" w:history="1">
            <w:r w:rsidRPr="00517B09">
              <w:rPr>
                <w:rStyle w:val="Hyperlink"/>
                <w:b/>
                <w:noProof/>
              </w:rPr>
              <w:t>6.</w:t>
            </w:r>
            <w:r>
              <w:rPr>
                <w:rFonts w:asciiTheme="minorHAnsi" w:eastAsiaTheme="minorEastAsia" w:hAnsiTheme="minorHAnsi" w:cstheme="minorBidi"/>
                <w:noProof/>
                <w:lang w:val="en-US"/>
              </w:rPr>
              <w:tab/>
            </w:r>
            <w:r w:rsidRPr="00517B09">
              <w:rPr>
                <w:rStyle w:val="Hyperlink"/>
                <w:b/>
                <w:noProof/>
              </w:rPr>
              <w:t>ROLNICTWO, ROZWÓJ WSI I ŚRODOWISKO NATURALNE</w:t>
            </w:r>
            <w:r>
              <w:rPr>
                <w:noProof/>
                <w:webHidden/>
              </w:rPr>
              <w:tab/>
            </w:r>
            <w:r>
              <w:rPr>
                <w:noProof/>
                <w:webHidden/>
              </w:rPr>
              <w:fldChar w:fldCharType="begin"/>
            </w:r>
            <w:r>
              <w:rPr>
                <w:noProof/>
                <w:webHidden/>
              </w:rPr>
              <w:instrText xml:space="preserve"> PAGEREF _Toc221258002 \h </w:instrText>
            </w:r>
            <w:r>
              <w:rPr>
                <w:noProof/>
                <w:webHidden/>
              </w:rPr>
            </w:r>
            <w:r>
              <w:rPr>
                <w:noProof/>
                <w:webHidden/>
              </w:rPr>
              <w:fldChar w:fldCharType="separate"/>
            </w:r>
            <w:r>
              <w:rPr>
                <w:noProof/>
                <w:webHidden/>
              </w:rPr>
              <w:t>22</w:t>
            </w:r>
            <w:r>
              <w:rPr>
                <w:noProof/>
                <w:webHidden/>
              </w:rPr>
              <w:fldChar w:fldCharType="end"/>
            </w:r>
          </w:hyperlink>
        </w:p>
        <w:p w14:paraId="7996A7C9" w14:textId="7E366DAB" w:rsidR="001F0DA8" w:rsidRDefault="001F0DA8">
          <w:pPr>
            <w:pStyle w:val="TOC1"/>
            <w:tabs>
              <w:tab w:val="left" w:pos="440"/>
              <w:tab w:val="right" w:leader="dot" w:pos="9063"/>
            </w:tabs>
            <w:rPr>
              <w:rFonts w:asciiTheme="minorHAnsi" w:eastAsiaTheme="minorEastAsia" w:hAnsiTheme="minorHAnsi" w:cstheme="minorBidi"/>
              <w:noProof/>
              <w:lang w:val="en-US"/>
            </w:rPr>
          </w:pPr>
          <w:hyperlink w:anchor="_Toc221258003" w:history="1">
            <w:r w:rsidRPr="00517B09">
              <w:rPr>
                <w:rStyle w:val="Hyperlink"/>
                <w:b/>
                <w:noProof/>
              </w:rPr>
              <w:t>7.</w:t>
            </w:r>
            <w:r>
              <w:rPr>
                <w:rFonts w:asciiTheme="minorHAnsi" w:eastAsiaTheme="minorEastAsia" w:hAnsiTheme="minorHAnsi" w:cstheme="minorBidi"/>
                <w:noProof/>
                <w:lang w:val="en-US"/>
              </w:rPr>
              <w:tab/>
            </w:r>
            <w:r w:rsidRPr="00517B09">
              <w:rPr>
                <w:rStyle w:val="Hyperlink"/>
                <w:b/>
                <w:noProof/>
              </w:rPr>
              <w:t>KOMISJA KONSULTACYJNA DS. PRZEMIAN W PRZEMYŚLE</w:t>
            </w:r>
            <w:r>
              <w:rPr>
                <w:noProof/>
                <w:webHidden/>
              </w:rPr>
              <w:tab/>
            </w:r>
            <w:r>
              <w:rPr>
                <w:noProof/>
                <w:webHidden/>
              </w:rPr>
              <w:fldChar w:fldCharType="begin"/>
            </w:r>
            <w:r>
              <w:rPr>
                <w:noProof/>
                <w:webHidden/>
              </w:rPr>
              <w:instrText xml:space="preserve"> PAGEREF _Toc221258003 \h </w:instrText>
            </w:r>
            <w:r>
              <w:rPr>
                <w:noProof/>
                <w:webHidden/>
              </w:rPr>
            </w:r>
            <w:r>
              <w:rPr>
                <w:noProof/>
                <w:webHidden/>
              </w:rPr>
              <w:fldChar w:fldCharType="separate"/>
            </w:r>
            <w:r>
              <w:rPr>
                <w:noProof/>
                <w:webHidden/>
              </w:rPr>
              <w:t>28</w:t>
            </w:r>
            <w:r>
              <w:rPr>
                <w:noProof/>
                <w:webHidden/>
              </w:rPr>
              <w:fldChar w:fldCharType="end"/>
            </w:r>
          </w:hyperlink>
        </w:p>
        <w:p w14:paraId="4982DD6A" w14:textId="23AFD577"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02059370" w14:textId="0051BE24" w:rsidR="00145E70" w:rsidRDefault="007A5C3E" w:rsidP="004D7AC0">
      <w:pPr>
        <w:pStyle w:val="Heading1"/>
        <w:rPr>
          <w:b/>
        </w:rPr>
      </w:pPr>
      <w:bookmarkStart w:id="0" w:name="_Toc221257997"/>
      <w:r>
        <w:rPr>
          <w:b/>
        </w:rPr>
        <w:lastRenderedPageBreak/>
        <w:t>REZOLUCJA</w:t>
      </w:r>
      <w:bookmarkEnd w:id="0"/>
    </w:p>
    <w:p w14:paraId="7ABE8773" w14:textId="77777777" w:rsidR="00790212" w:rsidRDefault="00790212" w:rsidP="0033522A">
      <w:pPr>
        <w:spacing w:line="240" w:lineRule="auto"/>
      </w:pPr>
    </w:p>
    <w:p w14:paraId="0D098072" w14:textId="77777777" w:rsidR="00933DDE" w:rsidRPr="007F534B" w:rsidRDefault="00C93EBC" w:rsidP="002C2DFE">
      <w:pPr>
        <w:pStyle w:val="ListParagraph"/>
        <w:numPr>
          <w:ilvl w:val="0"/>
          <w:numId w:val="54"/>
        </w:numPr>
        <w:ind w:left="567" w:hanging="567"/>
      </w:pPr>
      <w:hyperlink r:id="rId20" w:history="1">
        <w:r w:rsidR="00036171">
          <w:rPr>
            <w:rStyle w:val="Hyperlink"/>
            <w:b/>
            <w:i/>
          </w:rPr>
          <w:t>Wkład Europejskiego Komitetu Ekonomiczno-Społecznego w priorytety UE na 70. posiedzenie Komisji ONZ ds. Statusu Kobiet (UNCSW70)</w:t>
        </w:r>
      </w:hyperlink>
    </w:p>
    <w:p w14:paraId="53BAD4BD" w14:textId="45DA4FE0" w:rsidR="009F0424" w:rsidRPr="009F0424" w:rsidRDefault="009F0424" w:rsidP="0033522A">
      <w:pPr>
        <w:spacing w:line="240" w:lineRule="auto"/>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0"/>
      </w:tblGrid>
      <w:tr w:rsidR="009F0424" w:rsidRPr="004978C1" w14:paraId="45ADE66B" w14:textId="77777777" w:rsidTr="0033522A">
        <w:tc>
          <w:tcPr>
            <w:tcW w:w="2127" w:type="dxa"/>
          </w:tcPr>
          <w:p w14:paraId="41803FC9" w14:textId="2FA885D6" w:rsidR="009F0424" w:rsidRPr="004978C1" w:rsidRDefault="009F0424">
            <w:pPr>
              <w:rPr>
                <w:b/>
                <w:bCs/>
                <w:sz w:val="20"/>
                <w:szCs w:val="20"/>
              </w:rPr>
            </w:pPr>
            <w:r w:rsidRPr="004978C1">
              <w:rPr>
                <w:b/>
                <w:sz w:val="20"/>
                <w:szCs w:val="20"/>
              </w:rPr>
              <w:t xml:space="preserve">Sprawozdawcy </w:t>
            </w:r>
            <w:r w:rsidR="0033522A" w:rsidRPr="004978C1">
              <w:rPr>
                <w:b/>
                <w:sz w:val="20"/>
                <w:szCs w:val="20"/>
              </w:rPr>
              <w:br/>
            </w:r>
            <w:r w:rsidRPr="004978C1">
              <w:rPr>
                <w:b/>
                <w:sz w:val="20"/>
                <w:szCs w:val="20"/>
              </w:rPr>
              <w:t>i sprawozdawczynie</w:t>
            </w:r>
          </w:p>
        </w:tc>
        <w:tc>
          <w:tcPr>
            <w:tcW w:w="6930" w:type="dxa"/>
          </w:tcPr>
          <w:p w14:paraId="701BD5C9" w14:textId="333A7771" w:rsidR="009F0424" w:rsidRPr="004978C1" w:rsidRDefault="009F0424">
            <w:pPr>
              <w:rPr>
                <w:sz w:val="20"/>
                <w:szCs w:val="20"/>
              </w:rPr>
            </w:pPr>
            <w:r w:rsidRPr="004978C1">
              <w:rPr>
                <w:sz w:val="20"/>
                <w:szCs w:val="20"/>
              </w:rPr>
              <w:t>Christa SCHWENG (Grupa Pracodawców – AT)</w:t>
            </w:r>
          </w:p>
          <w:p w14:paraId="76E58311" w14:textId="6504E8B0" w:rsidR="009F0424" w:rsidRPr="004978C1" w:rsidRDefault="009F0424">
            <w:pPr>
              <w:rPr>
                <w:sz w:val="20"/>
                <w:szCs w:val="20"/>
              </w:rPr>
            </w:pPr>
            <w:r w:rsidRPr="004978C1">
              <w:rPr>
                <w:sz w:val="20"/>
                <w:szCs w:val="20"/>
              </w:rPr>
              <w:t>Giulia BARBUCCI (Grupa Pracowników – IT)</w:t>
            </w:r>
          </w:p>
          <w:p w14:paraId="5DE2178A" w14:textId="085FA273" w:rsidR="009F0424" w:rsidRPr="004978C1" w:rsidRDefault="009F0424">
            <w:pPr>
              <w:rPr>
                <w:sz w:val="20"/>
                <w:szCs w:val="20"/>
              </w:rPr>
            </w:pPr>
            <w:proofErr w:type="spellStart"/>
            <w:r w:rsidRPr="004978C1">
              <w:rPr>
                <w:sz w:val="20"/>
                <w:szCs w:val="20"/>
              </w:rPr>
              <w:t>Juliane</w:t>
            </w:r>
            <w:proofErr w:type="spellEnd"/>
            <w:r w:rsidRPr="004978C1">
              <w:rPr>
                <w:sz w:val="20"/>
                <w:szCs w:val="20"/>
              </w:rPr>
              <w:t xml:space="preserve"> Marie NEIIENDAM (Grupa Organizacji Społeczeństwa Obywatelskiego – DK)</w:t>
            </w:r>
          </w:p>
        </w:tc>
      </w:tr>
      <w:tr w:rsidR="009F0424" w:rsidRPr="004978C1" w14:paraId="715B9E58" w14:textId="77777777" w:rsidTr="0033522A">
        <w:tc>
          <w:tcPr>
            <w:tcW w:w="9057" w:type="dxa"/>
            <w:gridSpan w:val="2"/>
          </w:tcPr>
          <w:p w14:paraId="3B6D762E" w14:textId="77777777" w:rsidR="009F0424" w:rsidRPr="004978C1" w:rsidRDefault="009F0424" w:rsidP="0033522A">
            <w:pPr>
              <w:spacing w:line="240" w:lineRule="auto"/>
              <w:rPr>
                <w:b/>
                <w:bCs/>
                <w:sz w:val="20"/>
                <w:szCs w:val="20"/>
              </w:rPr>
            </w:pPr>
          </w:p>
        </w:tc>
      </w:tr>
      <w:tr w:rsidR="009F0424" w:rsidRPr="004978C1" w14:paraId="12A9B6F7" w14:textId="77777777" w:rsidTr="0033522A">
        <w:tc>
          <w:tcPr>
            <w:tcW w:w="2127" w:type="dxa"/>
            <w:vMerge w:val="restart"/>
          </w:tcPr>
          <w:p w14:paraId="62D69BCA" w14:textId="623FBA0C" w:rsidR="009F0424" w:rsidRPr="004978C1" w:rsidRDefault="009F0424" w:rsidP="002C2DFE">
            <w:pPr>
              <w:rPr>
                <w:b/>
                <w:bCs/>
                <w:sz w:val="20"/>
                <w:szCs w:val="20"/>
              </w:rPr>
            </w:pPr>
            <w:r w:rsidRPr="004978C1">
              <w:rPr>
                <w:b/>
                <w:sz w:val="20"/>
                <w:szCs w:val="20"/>
              </w:rPr>
              <w:t>Dokument źródłowy</w:t>
            </w:r>
          </w:p>
        </w:tc>
        <w:tc>
          <w:tcPr>
            <w:tcW w:w="6930" w:type="dxa"/>
          </w:tcPr>
          <w:p w14:paraId="5E237E1B" w14:textId="77777777" w:rsidR="009F0424" w:rsidRPr="004978C1" w:rsidRDefault="009F0424">
            <w:pPr>
              <w:rPr>
                <w:sz w:val="20"/>
                <w:szCs w:val="20"/>
              </w:rPr>
            </w:pPr>
            <w:r w:rsidRPr="004978C1">
              <w:rPr>
                <w:sz w:val="20"/>
                <w:szCs w:val="20"/>
              </w:rPr>
              <w:t>Rezolucja</w:t>
            </w:r>
          </w:p>
        </w:tc>
      </w:tr>
      <w:tr w:rsidR="009F0424" w:rsidRPr="004978C1" w14:paraId="756C9475" w14:textId="77777777" w:rsidTr="0033522A">
        <w:tc>
          <w:tcPr>
            <w:tcW w:w="2127" w:type="dxa"/>
            <w:vMerge/>
          </w:tcPr>
          <w:p w14:paraId="13DCDD74" w14:textId="77777777" w:rsidR="009F0424" w:rsidRPr="004978C1" w:rsidRDefault="009F0424">
            <w:pPr>
              <w:rPr>
                <w:b/>
                <w:bCs/>
                <w:sz w:val="20"/>
                <w:szCs w:val="20"/>
              </w:rPr>
            </w:pPr>
          </w:p>
        </w:tc>
        <w:tc>
          <w:tcPr>
            <w:tcW w:w="6930" w:type="dxa"/>
          </w:tcPr>
          <w:p w14:paraId="1B2855B4" w14:textId="77777777" w:rsidR="009F0424" w:rsidRPr="004978C1" w:rsidRDefault="009F0424">
            <w:pPr>
              <w:rPr>
                <w:sz w:val="20"/>
                <w:szCs w:val="20"/>
              </w:rPr>
            </w:pPr>
            <w:r w:rsidRPr="004978C1">
              <w:rPr>
                <w:sz w:val="20"/>
                <w:szCs w:val="20"/>
              </w:rPr>
              <w:t>EESC-2025-04173-00-00-RES</w:t>
            </w:r>
          </w:p>
        </w:tc>
      </w:tr>
    </w:tbl>
    <w:p w14:paraId="159A8B27" w14:textId="77777777" w:rsidR="0033522A" w:rsidRDefault="0033522A" w:rsidP="0033522A">
      <w:pPr>
        <w:spacing w:line="240" w:lineRule="auto"/>
        <w:rPr>
          <w:b/>
        </w:rPr>
      </w:pPr>
    </w:p>
    <w:p w14:paraId="618843F0" w14:textId="62168934" w:rsidR="009F0424" w:rsidRDefault="009F0424" w:rsidP="009F0424">
      <w:pPr>
        <w:rPr>
          <w:b/>
        </w:rPr>
      </w:pPr>
      <w:r>
        <w:rPr>
          <w:b/>
        </w:rPr>
        <w:t>Główne punkty:</w:t>
      </w:r>
    </w:p>
    <w:p w14:paraId="43A33CB5" w14:textId="77777777" w:rsidR="009F0424" w:rsidRPr="009F0424" w:rsidRDefault="009F0424" w:rsidP="0033522A">
      <w:pPr>
        <w:spacing w:line="240" w:lineRule="auto"/>
        <w:rPr>
          <w:b/>
          <w:lang w:val="it-IT"/>
        </w:rPr>
      </w:pPr>
    </w:p>
    <w:p w14:paraId="685CC285" w14:textId="77777777" w:rsidR="009F0424" w:rsidRDefault="009F0424" w:rsidP="009F0424">
      <w:pPr>
        <w:rPr>
          <w:bCs/>
          <w:iCs/>
        </w:rPr>
      </w:pPr>
      <w:r>
        <w:t>EKES</w:t>
      </w:r>
    </w:p>
    <w:p w14:paraId="6EF41F4A" w14:textId="77777777" w:rsidR="00954942" w:rsidRPr="009F0424" w:rsidRDefault="00954942" w:rsidP="0033522A">
      <w:pPr>
        <w:spacing w:line="240" w:lineRule="auto"/>
        <w:rPr>
          <w:bCs/>
          <w:iCs/>
          <w:lang w:val="en-GB"/>
        </w:rPr>
      </w:pPr>
    </w:p>
    <w:p w14:paraId="499F4F31" w14:textId="74521AEE" w:rsidR="009F0424" w:rsidRPr="009F0424" w:rsidRDefault="009F0424" w:rsidP="002C2DFE">
      <w:pPr>
        <w:numPr>
          <w:ilvl w:val="0"/>
          <w:numId w:val="32"/>
        </w:numPr>
        <w:spacing w:line="276" w:lineRule="auto"/>
        <w:ind w:left="284" w:hanging="284"/>
      </w:pPr>
      <w:r>
        <w:t>Potwierdza swoje wieloletnie zaangażowanie na rzecz równości płci, praw kobiet oraz państwa prawa jako fundamentu demokracji, sprawiedliwości społecznej i wzrostu sprzyjającego włączeniu społecznemu, wyeliminowania wszelkich form przemocy wobec kobiet i dziewcząt oraz pełnego i</w:t>
      </w:r>
      <w:r w:rsidR="0033522A">
        <w:t> </w:t>
      </w:r>
      <w:r>
        <w:t>rzeczywistego udziału kobiet w życiu gospodarczym, politycznym i społecznym.</w:t>
      </w:r>
    </w:p>
    <w:p w14:paraId="7FADF3B2" w14:textId="77777777" w:rsidR="009F0424" w:rsidRPr="009F0424" w:rsidRDefault="009F0424" w:rsidP="002C2DFE">
      <w:pPr>
        <w:numPr>
          <w:ilvl w:val="0"/>
          <w:numId w:val="32"/>
        </w:numPr>
        <w:spacing w:line="276" w:lineRule="auto"/>
        <w:ind w:left="284" w:hanging="284"/>
      </w:pPr>
      <w:r>
        <w:t>Podkreśla, że</w:t>
      </w:r>
      <w:r>
        <w:rPr>
          <w:b/>
        </w:rPr>
        <w:t xml:space="preserve"> dostęp do wymiaru sprawiedliwości</w:t>
      </w:r>
      <w:r>
        <w:t xml:space="preserve"> jest zarówno podstawowym prawem człowieka samym w sobie, jak i warunkiem wstępnym wdrożenia innych praw człowieka, takich jak równość płci, oraz że zapewnienie tego dostępu wymaga:</w:t>
      </w:r>
      <w:r>
        <w:rPr>
          <w:b/>
        </w:rPr>
        <w:t xml:space="preserve"> wyeliminowania dyskryminujących przepisów, polityk i praktyk, wzmocnienia systemów wymiaru sprawiedliwości uwzględniających aspekt płci, dostępna, przystępnej cenowo i wysokiej jakości pomocy prawnej i reprezentacji prawnej, ochrony, bezpieczeństwa i poufności</w:t>
      </w:r>
      <w:r>
        <w:t xml:space="preserve"> dla osób, które doświadczyły przemocy; </w:t>
      </w:r>
      <w:r>
        <w:rPr>
          <w:b/>
        </w:rPr>
        <w:t>cyfrowego dostępu do prawodawstwa</w:t>
      </w:r>
      <w:r>
        <w:t xml:space="preserve">, </w:t>
      </w:r>
      <w:r>
        <w:rPr>
          <w:b/>
        </w:rPr>
        <w:t>usunięcia barier społeczno-gospodarczych</w:t>
      </w:r>
      <w:r>
        <w:t xml:space="preserve"> oraz odpowiednio finansowanych krajowych planów działania w zakresie dostępu do wymiaru sprawiedliwości uwzględniających równouprawnienie płci.</w:t>
      </w:r>
    </w:p>
    <w:p w14:paraId="4F6AFF41" w14:textId="0D061417" w:rsidR="009F0424" w:rsidRPr="009F0424" w:rsidRDefault="009F0424" w:rsidP="002C2DFE">
      <w:pPr>
        <w:numPr>
          <w:ilvl w:val="0"/>
          <w:numId w:val="32"/>
        </w:numPr>
        <w:spacing w:line="276" w:lineRule="auto"/>
        <w:ind w:left="284" w:hanging="284"/>
      </w:pPr>
      <w:r>
        <w:t>Jeśli chodzi o</w:t>
      </w:r>
      <w:r>
        <w:rPr>
          <w:b/>
        </w:rPr>
        <w:t xml:space="preserve"> udział w życiu publicznym i eliminację przemocy</w:t>
      </w:r>
      <w:r>
        <w:t xml:space="preserve">, ponownie podkreśla potrzebę: zapewnienia </w:t>
      </w:r>
      <w:r>
        <w:rPr>
          <w:b/>
        </w:rPr>
        <w:t>równej reprezentacji kobiet</w:t>
      </w:r>
      <w:r>
        <w:t xml:space="preserve"> w procesie podejmowania decyzji politycznych, gospodarczych i publicznych, </w:t>
      </w:r>
      <w:r>
        <w:rPr>
          <w:b/>
        </w:rPr>
        <w:t>zerowej tolerancji dla przemocy ze względu na płeć,</w:t>
      </w:r>
      <w:r>
        <w:t xml:space="preserve"> </w:t>
      </w:r>
      <w:r>
        <w:rPr>
          <w:b/>
        </w:rPr>
        <w:t>wspierania i</w:t>
      </w:r>
      <w:r w:rsidR="0033522A">
        <w:rPr>
          <w:b/>
        </w:rPr>
        <w:t> </w:t>
      </w:r>
      <w:r>
        <w:rPr>
          <w:b/>
        </w:rPr>
        <w:t>ochrony obrończyń praw człowieka i organizacji społeczeństwa obywatelskiego</w:t>
      </w:r>
      <w:r>
        <w:t>, promowania</w:t>
      </w:r>
      <w:r>
        <w:rPr>
          <w:b/>
        </w:rPr>
        <w:t xml:space="preserve"> bezpiecznych, </w:t>
      </w:r>
      <w:proofErr w:type="spellStart"/>
      <w:r>
        <w:rPr>
          <w:b/>
        </w:rPr>
        <w:t>inkluzywnych</w:t>
      </w:r>
      <w:proofErr w:type="spellEnd"/>
      <w:r>
        <w:rPr>
          <w:b/>
        </w:rPr>
        <w:t xml:space="preserve"> i demokratycznych przestrzeni obywatelskich oraz wspierania podejść </w:t>
      </w:r>
      <w:proofErr w:type="spellStart"/>
      <w:r>
        <w:rPr>
          <w:b/>
        </w:rPr>
        <w:t>intersekcjonalnych</w:t>
      </w:r>
      <w:proofErr w:type="spellEnd"/>
      <w:r>
        <w:rPr>
          <w:b/>
        </w:rPr>
        <w:t>, zwalczanie stereotypów i dezinformacji.</w:t>
      </w:r>
    </w:p>
    <w:p w14:paraId="56CF49BD" w14:textId="77777777" w:rsidR="009F0424" w:rsidRPr="009F0424" w:rsidRDefault="009F0424" w:rsidP="002C2DFE">
      <w:pPr>
        <w:numPr>
          <w:ilvl w:val="0"/>
          <w:numId w:val="32"/>
        </w:numPr>
        <w:spacing w:line="276" w:lineRule="auto"/>
        <w:ind w:left="284" w:hanging="284"/>
      </w:pPr>
      <w:r>
        <w:t xml:space="preserve">Zobowiązuje się do przyczyniania się do realizacji celów 70. sesji Komisji ds. Statusu Kobiet </w:t>
      </w:r>
      <w:proofErr w:type="spellStart"/>
      <w:r>
        <w:t>poprzez:</w:t>
      </w:r>
      <w:r>
        <w:rPr>
          <w:b/>
        </w:rPr>
        <w:t>promowanie</w:t>
      </w:r>
      <w:proofErr w:type="spellEnd"/>
      <w:r>
        <w:rPr>
          <w:b/>
        </w:rPr>
        <w:t xml:space="preserve"> zorganizowanego dialogu społecznego i obywatelskiego</w:t>
      </w:r>
      <w:r>
        <w:t xml:space="preserve"> w celu wspierania reform wymiaru sprawiedliwości uwzględniających aspekt płci, </w:t>
      </w:r>
      <w:r>
        <w:rPr>
          <w:b/>
        </w:rPr>
        <w:t>propagowanie uwzględniania aspektu płci i sporządzania budżetu z uwzględnieniem aspektu płci, wspieranie działań uświadamiających, edukacyjnych i zapobiegawczych</w:t>
      </w:r>
      <w:r>
        <w:t xml:space="preserve">, w tym w zakresie praw prawnych, bezpieczeństwa cyfrowego i przełamywania stereotypów, a także </w:t>
      </w:r>
      <w:r>
        <w:rPr>
          <w:b/>
        </w:rPr>
        <w:t>zachęcanie do współpracy między instytucjami UE, państwami członkowskimi, partnerami społecznymi i społeczeństwem obywatelskim</w:t>
      </w:r>
      <w:r>
        <w:t xml:space="preserve"> w celu zapewnienia skoordynowanego podejścia obejmującego całe społeczeństwo.</w:t>
      </w:r>
    </w:p>
    <w:p w14:paraId="694CAB6E" w14:textId="77777777" w:rsidR="009F0424" w:rsidRPr="009F0424" w:rsidRDefault="009F0424" w:rsidP="009F042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9F0424" w:rsidRPr="009F0424" w14:paraId="10B352AE" w14:textId="77777777" w:rsidTr="00BA7DA9">
        <w:tc>
          <w:tcPr>
            <w:tcW w:w="1418" w:type="dxa"/>
          </w:tcPr>
          <w:p w14:paraId="3D5977A6" w14:textId="77777777" w:rsidR="009F0424" w:rsidRPr="002C2DFE" w:rsidRDefault="009F0424" w:rsidP="009F0424">
            <w:pPr>
              <w:rPr>
                <w:i/>
                <w:sz w:val="20"/>
                <w:szCs w:val="20"/>
              </w:rPr>
            </w:pPr>
            <w:r>
              <w:rPr>
                <w:b/>
                <w:i/>
                <w:sz w:val="20"/>
              </w:rPr>
              <w:t>Kontakt</w:t>
            </w:r>
          </w:p>
        </w:tc>
        <w:tc>
          <w:tcPr>
            <w:tcW w:w="5670" w:type="dxa"/>
          </w:tcPr>
          <w:p w14:paraId="2C4FE93B" w14:textId="2735A29B" w:rsidR="009F0424" w:rsidRPr="002C2DFE" w:rsidRDefault="009F0424" w:rsidP="009F0424">
            <w:pPr>
              <w:rPr>
                <w:i/>
                <w:sz w:val="20"/>
                <w:szCs w:val="20"/>
              </w:rPr>
            </w:pPr>
            <w:r>
              <w:rPr>
                <w:i/>
                <w:sz w:val="20"/>
              </w:rPr>
              <w:t xml:space="preserve">Antoni </w:t>
            </w:r>
            <w:proofErr w:type="spellStart"/>
            <w:r>
              <w:rPr>
                <w:i/>
                <w:sz w:val="20"/>
              </w:rPr>
              <w:t>Torras</w:t>
            </w:r>
            <w:proofErr w:type="spellEnd"/>
            <w:r>
              <w:rPr>
                <w:i/>
                <w:sz w:val="20"/>
              </w:rPr>
              <w:t xml:space="preserve"> </w:t>
            </w:r>
            <w:proofErr w:type="spellStart"/>
            <w:r>
              <w:rPr>
                <w:i/>
                <w:sz w:val="20"/>
              </w:rPr>
              <w:t>Estruch</w:t>
            </w:r>
            <w:proofErr w:type="spellEnd"/>
          </w:p>
        </w:tc>
      </w:tr>
      <w:tr w:rsidR="009F0424" w:rsidRPr="009F0424" w14:paraId="0A77913D" w14:textId="77777777" w:rsidTr="00BA7DA9">
        <w:tc>
          <w:tcPr>
            <w:tcW w:w="1418" w:type="dxa"/>
          </w:tcPr>
          <w:p w14:paraId="4A77934F" w14:textId="77777777" w:rsidR="009F0424" w:rsidRPr="002C2DFE" w:rsidRDefault="009F0424" w:rsidP="009F0424">
            <w:pPr>
              <w:rPr>
                <w:i/>
                <w:sz w:val="20"/>
                <w:szCs w:val="20"/>
              </w:rPr>
            </w:pPr>
            <w:r>
              <w:rPr>
                <w:i/>
                <w:sz w:val="20"/>
              </w:rPr>
              <w:t>Tel.</w:t>
            </w:r>
          </w:p>
        </w:tc>
        <w:tc>
          <w:tcPr>
            <w:tcW w:w="5670" w:type="dxa"/>
          </w:tcPr>
          <w:p w14:paraId="685B1D15" w14:textId="7206B572" w:rsidR="009F0424" w:rsidRPr="002C2DFE" w:rsidRDefault="009F0424" w:rsidP="009F0424">
            <w:pPr>
              <w:rPr>
                <w:i/>
                <w:sz w:val="20"/>
                <w:szCs w:val="20"/>
              </w:rPr>
            </w:pPr>
            <w:r>
              <w:rPr>
                <w:i/>
                <w:sz w:val="20"/>
              </w:rPr>
              <w:t>+32 25468391</w:t>
            </w:r>
          </w:p>
        </w:tc>
      </w:tr>
      <w:tr w:rsidR="009F0424" w:rsidRPr="009F0424" w14:paraId="09E94DAC" w14:textId="77777777" w:rsidTr="00BA7DA9">
        <w:tc>
          <w:tcPr>
            <w:tcW w:w="1418" w:type="dxa"/>
          </w:tcPr>
          <w:p w14:paraId="280B8623" w14:textId="066BD4E6" w:rsidR="009F0424" w:rsidRPr="002C2DFE" w:rsidRDefault="00607388" w:rsidP="009F0424">
            <w:pPr>
              <w:rPr>
                <w:i/>
                <w:sz w:val="20"/>
                <w:szCs w:val="20"/>
              </w:rPr>
            </w:pPr>
            <w:r>
              <w:rPr>
                <w:i/>
                <w:sz w:val="20"/>
              </w:rPr>
              <w:t>E-mail:</w:t>
            </w:r>
          </w:p>
        </w:tc>
        <w:tc>
          <w:tcPr>
            <w:tcW w:w="5670" w:type="dxa"/>
          </w:tcPr>
          <w:p w14:paraId="5D25B04C" w14:textId="77777777" w:rsidR="009F0424" w:rsidRPr="002C2DFE" w:rsidRDefault="00C93EBC" w:rsidP="009F0424">
            <w:pPr>
              <w:rPr>
                <w:i/>
                <w:iCs/>
                <w:sz w:val="20"/>
                <w:szCs w:val="20"/>
                <w:u w:val="single"/>
              </w:rPr>
            </w:pPr>
            <w:hyperlink r:id="rId21" w:history="1">
              <w:r w:rsidR="00036171">
                <w:rPr>
                  <w:rStyle w:val="Hyperlink"/>
                  <w:i/>
                  <w:sz w:val="20"/>
                </w:rPr>
                <w:t>Antoni.TorrasEstruch@eesc.europa.eu</w:t>
              </w:r>
            </w:hyperlink>
          </w:p>
        </w:tc>
      </w:tr>
    </w:tbl>
    <w:p w14:paraId="289A0C0D" w14:textId="3B276C83" w:rsidR="009E37FC" w:rsidRPr="0033522A" w:rsidRDefault="009E37FC" w:rsidP="0033522A">
      <w:pPr>
        <w:spacing w:line="259" w:lineRule="auto"/>
        <w:jc w:val="left"/>
        <w:rPr>
          <w:sz w:val="2"/>
          <w:szCs w:val="2"/>
        </w:rPr>
      </w:pPr>
      <w:r w:rsidRPr="0033522A">
        <w:rPr>
          <w:sz w:val="2"/>
          <w:szCs w:val="2"/>
        </w:rPr>
        <w:br w:type="page"/>
      </w:r>
    </w:p>
    <w:p w14:paraId="4982DD6D" w14:textId="4EB5C871" w:rsidR="004D7AC0" w:rsidRDefault="004D7AC0" w:rsidP="004D7AC0">
      <w:pPr>
        <w:pStyle w:val="Heading1"/>
        <w:rPr>
          <w:b/>
        </w:rPr>
      </w:pPr>
      <w:bookmarkStart w:id="1" w:name="_Toc221257998"/>
      <w:r>
        <w:rPr>
          <w:b/>
        </w:rPr>
        <w:lastRenderedPageBreak/>
        <w:t>UNIA GOSPODARCZA I WALUTOWA ORAZ SPÓJNOŚĆ GOSPODARCZA I</w:t>
      </w:r>
      <w:r w:rsidR="004978C1">
        <w:rPr>
          <w:b/>
        </w:rPr>
        <w:t> </w:t>
      </w:r>
      <w:r>
        <w:rPr>
          <w:b/>
        </w:rPr>
        <w:t>SPOŁECZNA</w:t>
      </w:r>
      <w:bookmarkEnd w:id="1"/>
    </w:p>
    <w:p w14:paraId="4982DD6E" w14:textId="77777777" w:rsidR="004D7AC0" w:rsidRPr="002C2DFE" w:rsidRDefault="004D7AC0" w:rsidP="004D7AC0">
      <w:pPr>
        <w:rPr>
          <w:sz w:val="18"/>
          <w:szCs w:val="18"/>
        </w:rPr>
      </w:pPr>
    </w:p>
    <w:p w14:paraId="1EFCB06C" w14:textId="72E81132" w:rsidR="003A0D87" w:rsidRPr="003A0D87" w:rsidRDefault="00C93EBC" w:rsidP="003A0D87">
      <w:pPr>
        <w:numPr>
          <w:ilvl w:val="0"/>
          <w:numId w:val="5"/>
        </w:numPr>
        <w:ind w:left="567" w:hanging="567"/>
        <w:contextualSpacing/>
        <w:jc w:val="left"/>
      </w:pPr>
      <w:hyperlink r:id="rId22" w:history="1">
        <w:r w:rsidR="00036171">
          <w:rPr>
            <w:b/>
            <w:i/>
            <w:color w:val="0000FF"/>
            <w:sz w:val="28"/>
            <w:u w:val="single"/>
          </w:rPr>
          <w:t>Polityka gospodarcza w strefie euro w 2026 r.</w:t>
        </w:r>
      </w:hyperlink>
    </w:p>
    <w:p w14:paraId="5F08E6DD" w14:textId="77777777" w:rsidR="003A0D87" w:rsidRPr="002C2DFE" w:rsidRDefault="003A0D87" w:rsidP="003A0D87">
      <w:pPr>
        <w:jc w:val="left"/>
        <w:rPr>
          <w:sz w:val="18"/>
          <w:szCs w:val="18"/>
          <w:lang w:val="it-IT"/>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7208"/>
      </w:tblGrid>
      <w:tr w:rsidR="003A0D87" w:rsidRPr="003A0D87" w14:paraId="4129CFD9" w14:textId="77777777" w:rsidTr="004978C1">
        <w:tc>
          <w:tcPr>
            <w:tcW w:w="2114" w:type="dxa"/>
          </w:tcPr>
          <w:p w14:paraId="738D9EFF" w14:textId="77777777" w:rsidR="003A0D87" w:rsidRPr="003A0D87" w:rsidRDefault="003A0D87" w:rsidP="003A0D87">
            <w:pPr>
              <w:tabs>
                <w:tab w:val="center" w:pos="284"/>
              </w:tabs>
              <w:ind w:left="266" w:hanging="266"/>
              <w:rPr>
                <w:b/>
              </w:rPr>
            </w:pPr>
            <w:proofErr w:type="spellStart"/>
            <w:r>
              <w:rPr>
                <w:b/>
              </w:rPr>
              <w:t>Współsprawozdawca</w:t>
            </w:r>
            <w:proofErr w:type="spellEnd"/>
          </w:p>
        </w:tc>
        <w:tc>
          <w:tcPr>
            <w:tcW w:w="7208" w:type="dxa"/>
          </w:tcPr>
          <w:p w14:paraId="71E17890" w14:textId="4BE8A659" w:rsidR="003A0D87" w:rsidRDefault="003A0D87" w:rsidP="003A0D87">
            <w:pPr>
              <w:tabs>
                <w:tab w:val="center" w:pos="284"/>
              </w:tabs>
              <w:ind w:left="266" w:hanging="266"/>
            </w:pPr>
            <w:r>
              <w:t>Javier DOZ ORRIT (Grupa Pracowników – ES)</w:t>
            </w:r>
          </w:p>
          <w:p w14:paraId="1B19A05D" w14:textId="0213041E" w:rsidR="00FE0765" w:rsidRPr="003A0D87" w:rsidRDefault="00FE0765" w:rsidP="003A0D87">
            <w:pPr>
              <w:tabs>
                <w:tab w:val="center" w:pos="284"/>
              </w:tabs>
              <w:ind w:left="266" w:hanging="266"/>
              <w:rPr>
                <w:bCs/>
              </w:rPr>
            </w:pPr>
          </w:p>
        </w:tc>
      </w:tr>
      <w:tr w:rsidR="003A0D87" w:rsidRPr="003A0D87" w14:paraId="4C6CE342" w14:textId="77777777" w:rsidTr="004978C1">
        <w:tc>
          <w:tcPr>
            <w:tcW w:w="2114" w:type="dxa"/>
          </w:tcPr>
          <w:p w14:paraId="7C179D48" w14:textId="77777777" w:rsidR="003A0D87" w:rsidRPr="003A0D87" w:rsidRDefault="003A0D87" w:rsidP="003A0D87">
            <w:pPr>
              <w:tabs>
                <w:tab w:val="center" w:pos="284"/>
              </w:tabs>
              <w:ind w:left="266" w:hanging="266"/>
              <w:rPr>
                <w:b/>
              </w:rPr>
            </w:pPr>
            <w:r>
              <w:rPr>
                <w:b/>
              </w:rPr>
              <w:t>Dokumenty źródłowe</w:t>
            </w:r>
          </w:p>
        </w:tc>
        <w:tc>
          <w:tcPr>
            <w:tcW w:w="7208" w:type="dxa"/>
          </w:tcPr>
          <w:p w14:paraId="30F9D11D" w14:textId="77777777" w:rsidR="003A0D87" w:rsidRPr="003A0D87" w:rsidRDefault="003A0D87" w:rsidP="003A0D87">
            <w:pPr>
              <w:tabs>
                <w:tab w:val="center" w:pos="284"/>
              </w:tabs>
              <w:ind w:left="266" w:hanging="266"/>
            </w:pPr>
            <w:r>
              <w:t xml:space="preserve">COM(2025) 957 </w:t>
            </w:r>
            <w:proofErr w:type="spellStart"/>
            <w:r>
              <w:t>final</w:t>
            </w:r>
            <w:proofErr w:type="spellEnd"/>
          </w:p>
          <w:p w14:paraId="7AD8060C" w14:textId="37426F7C" w:rsidR="003A0D87" w:rsidRPr="003A0D87" w:rsidRDefault="003A0D87" w:rsidP="003A0D87">
            <w:pPr>
              <w:tabs>
                <w:tab w:val="center" w:pos="284"/>
              </w:tabs>
              <w:ind w:left="266" w:hanging="266"/>
            </w:pPr>
            <w:r>
              <w:t>EESC-2025-03708-00-00-AC</w:t>
            </w:r>
          </w:p>
        </w:tc>
      </w:tr>
    </w:tbl>
    <w:p w14:paraId="08574035" w14:textId="77777777" w:rsidR="003A0D87" w:rsidRPr="002C2DFE" w:rsidRDefault="003A0D87" w:rsidP="003A0D87">
      <w:pPr>
        <w:jc w:val="left"/>
        <w:rPr>
          <w:sz w:val="18"/>
          <w:szCs w:val="18"/>
          <w:lang w:val="pt-PT"/>
        </w:rPr>
      </w:pPr>
    </w:p>
    <w:p w14:paraId="1646F3F1" w14:textId="77777777" w:rsidR="003A0D87" w:rsidRDefault="003A0D87" w:rsidP="003A0D87">
      <w:pPr>
        <w:jc w:val="left"/>
        <w:rPr>
          <w:b/>
          <w:bCs/>
        </w:rPr>
      </w:pPr>
      <w:r>
        <w:rPr>
          <w:b/>
        </w:rPr>
        <w:t>Główne punkty</w:t>
      </w:r>
    </w:p>
    <w:p w14:paraId="6298E611" w14:textId="77777777" w:rsidR="006036EC" w:rsidRPr="002C2DFE" w:rsidRDefault="006036EC" w:rsidP="003A0D87">
      <w:pPr>
        <w:jc w:val="left"/>
        <w:rPr>
          <w:b/>
          <w:bCs/>
          <w:sz w:val="18"/>
          <w:szCs w:val="18"/>
          <w:lang w:val="en-GB"/>
        </w:rPr>
      </w:pPr>
    </w:p>
    <w:p w14:paraId="3B09315A" w14:textId="77777777" w:rsidR="003A0D87" w:rsidRDefault="003A0D87" w:rsidP="003A0D87">
      <w:pPr>
        <w:jc w:val="left"/>
      </w:pPr>
      <w:r>
        <w:t>EKES</w:t>
      </w:r>
    </w:p>
    <w:p w14:paraId="309CD272" w14:textId="77777777" w:rsidR="007D4BC5" w:rsidRPr="002C2DFE" w:rsidRDefault="007D4BC5" w:rsidP="003A0D87">
      <w:pPr>
        <w:jc w:val="left"/>
        <w:rPr>
          <w:sz w:val="18"/>
          <w:szCs w:val="18"/>
          <w:lang w:val="en-GB"/>
        </w:rPr>
      </w:pPr>
    </w:p>
    <w:p w14:paraId="6AB72A80" w14:textId="16903E39" w:rsidR="003A0D87" w:rsidRPr="003A0D87" w:rsidRDefault="003A0D87" w:rsidP="002C2DFE">
      <w:pPr>
        <w:numPr>
          <w:ilvl w:val="0"/>
          <w:numId w:val="33"/>
        </w:numPr>
        <w:spacing w:line="276" w:lineRule="auto"/>
        <w:ind w:left="284" w:hanging="284"/>
      </w:pPr>
      <w:r>
        <w:t>Uważa, że wzmocnienie jedności politycznej Europy i jej zdolności do działania dzięki jej strategicznej autonomii w obszarach takich jak polityka zagraniczna, polityka bezpieczeństwa i</w:t>
      </w:r>
      <w:r w:rsidR="004978C1">
        <w:t> </w:t>
      </w:r>
      <w:r>
        <w:t>obrony oraz polityka handlowa oraz polityka rozwoju przemysłowego i technologicznego również pobudzi wzrost.</w:t>
      </w:r>
    </w:p>
    <w:p w14:paraId="0FE6646B" w14:textId="77777777" w:rsidR="003A0D87" w:rsidRPr="003A0D87" w:rsidRDefault="003A0D87" w:rsidP="002C2DFE">
      <w:pPr>
        <w:numPr>
          <w:ilvl w:val="0"/>
          <w:numId w:val="33"/>
        </w:numPr>
        <w:spacing w:line="276" w:lineRule="auto"/>
        <w:ind w:left="284" w:hanging="284"/>
      </w:pPr>
      <w:r>
        <w:t>Wyraża zaniepokojenie, czy UE i państwa członkowskie będą dysponowały wystarczającymi narzędziami, w szczególności budżetowymi, aby wdrożyć zalecenia Komisji, i przypomina, że należy uruchomić wszystkie instrumenty finansowania, zarówno publiczne, jak i prywatne.</w:t>
      </w:r>
    </w:p>
    <w:p w14:paraId="14A71046" w14:textId="77777777" w:rsidR="003A0D87" w:rsidRPr="003A0D87" w:rsidRDefault="003A0D87" w:rsidP="002C2DFE">
      <w:pPr>
        <w:numPr>
          <w:ilvl w:val="0"/>
          <w:numId w:val="33"/>
        </w:numPr>
        <w:spacing w:line="276" w:lineRule="auto"/>
        <w:ind w:left="284" w:hanging="284"/>
      </w:pPr>
      <w:r>
        <w:t>Wyraża zaniepokojenie, że obronność jest traktowana priorytetowo kosztem finansowania priorytetowych celów środowiskowych i społecznych, a nawet podstawowej infrastruktury energetycznej lub cyfrowej.</w:t>
      </w:r>
    </w:p>
    <w:p w14:paraId="68281822" w14:textId="77777777" w:rsidR="003A0D87" w:rsidRPr="003A0D87" w:rsidRDefault="003A0D87" w:rsidP="002C2DFE">
      <w:pPr>
        <w:numPr>
          <w:ilvl w:val="0"/>
          <w:numId w:val="33"/>
        </w:numPr>
        <w:spacing w:line="276" w:lineRule="auto"/>
        <w:ind w:left="284" w:hanging="284"/>
      </w:pPr>
      <w:r>
        <w:t>Wzywa do pełnego wykorzystania funduszy Instrumentu na rzecz Odbudowy i Zwiększania Odporności (RRF) na początkowe cele, zmienione cele, a ostatecznie nowe inwestycje w europejskie dobra wspólne.</w:t>
      </w:r>
    </w:p>
    <w:p w14:paraId="6532ADDC" w14:textId="234B30B3" w:rsidR="003A0D87" w:rsidRPr="003A0D87" w:rsidRDefault="003A0D87" w:rsidP="002C2DFE">
      <w:pPr>
        <w:numPr>
          <w:ilvl w:val="0"/>
          <w:numId w:val="33"/>
        </w:numPr>
        <w:spacing w:line="276" w:lineRule="auto"/>
        <w:ind w:left="284" w:hanging="284"/>
      </w:pPr>
      <w:r>
        <w:t xml:space="preserve">Zgadza się z Komisją co do potrzeby priorytetowego usunięcia pozostałych barier na jednolitym rynku, ale podkreśla również konieczność zmniejszenia luki inwestycyjnej poprzez następujące działania: utworzenie strategicznego funduszu inwestycyjnego na rzecz europejskich dóbr wspólnych; pobudzanie inwestycji prywatnych, w tym odnowienie </w:t>
      </w:r>
      <w:proofErr w:type="spellStart"/>
      <w:r>
        <w:t>InvestEU</w:t>
      </w:r>
      <w:proofErr w:type="spellEnd"/>
      <w:r>
        <w:t xml:space="preserve"> i bezzwłoczne ukończenie budowy unii oszczędności i inwestycji; obniżenie cen energii elektrycznej, w tym poprzez połączenia międzysystemowe i unię energetyczną oraz rozwój czystej i odnawialnej energii; wzmocnienie europejskich programów w zakresie badań, rozwoju i innowacji; poprawę edukacji i</w:t>
      </w:r>
      <w:r w:rsidR="004978C1">
        <w:t> </w:t>
      </w:r>
      <w:r>
        <w:t>tworzenie kapitału ludzkiego.</w:t>
      </w:r>
    </w:p>
    <w:p w14:paraId="6444C522" w14:textId="5ECFE4EC" w:rsidR="003A0D87" w:rsidRPr="003A0D87" w:rsidRDefault="003A0D87" w:rsidP="002C2DFE">
      <w:pPr>
        <w:numPr>
          <w:ilvl w:val="0"/>
          <w:numId w:val="33"/>
        </w:numPr>
        <w:spacing w:line="276" w:lineRule="auto"/>
        <w:ind w:left="284" w:hanging="284"/>
      </w:pPr>
      <w:r>
        <w:t>Uważa, że uproszczenie powinno zawsze odbywać się z poszanowaniem praw pracowniczych i</w:t>
      </w:r>
      <w:r w:rsidR="004978C1">
        <w:t> </w:t>
      </w:r>
      <w:r>
        <w:t>konsumenckich oraz celów sprawiedliwej transformacji ekologicznej i cyfrowej. Uważa również, że zasadnicze znaczenie ma obrona autonomii regulacyjnej UE przed naciskami zewnętrznymi, które mają na celu zmianę dobrych przepisów, takich jak te dotyczące rynków cyfrowych i sztucznej inteligencji.</w:t>
      </w:r>
    </w:p>
    <w:p w14:paraId="3D4B9EFD" w14:textId="77777777" w:rsidR="003A0D87" w:rsidRPr="003A0D87" w:rsidRDefault="003A0D87" w:rsidP="002C2DFE">
      <w:pPr>
        <w:numPr>
          <w:ilvl w:val="0"/>
          <w:numId w:val="33"/>
        </w:numPr>
        <w:spacing w:line="276" w:lineRule="auto"/>
        <w:ind w:left="284" w:hanging="284"/>
      </w:pPr>
      <w:r>
        <w:t xml:space="preserve">Uważa, że dostęp do godnych warunków mieszkaniowych jest podstawowym prawem wszystkich obywateli europejskich oraz że europejski plan na rzecz przystępnych cenowo mieszkań powinien obejmować wszystkie środki wsparcia, które UE może zapewnić państwom członkowskim na budowę mieszkań socjalnych, począwszy od wsparcia finansowego. </w:t>
      </w:r>
    </w:p>
    <w:p w14:paraId="191F307F" w14:textId="77777777" w:rsidR="003A0D87" w:rsidRPr="003A0D87" w:rsidRDefault="003A0D87" w:rsidP="002C2DFE">
      <w:pPr>
        <w:numPr>
          <w:ilvl w:val="0"/>
          <w:numId w:val="33"/>
        </w:numPr>
        <w:spacing w:line="276" w:lineRule="auto"/>
        <w:ind w:left="284" w:hanging="284"/>
      </w:pPr>
      <w:r>
        <w:t>Zgadza się z zaleceniem dotyczącym promowania międzynarodowej roli euro i stworzenia cyfrowego euro. Dodaje, że dokończenie budowy unii rynków kapitałowych i zarządzanie wystarczającym i zrównoważonym wspólnym długiem w euro byłoby również zgodne z tym celem.</w:t>
      </w:r>
    </w:p>
    <w:p w14:paraId="5C9430C8" w14:textId="21CA2E39" w:rsidR="003A0D87" w:rsidRDefault="003A0D87">
      <w:pPr>
        <w:numPr>
          <w:ilvl w:val="0"/>
          <w:numId w:val="33"/>
        </w:numPr>
        <w:spacing w:line="276" w:lineRule="auto"/>
        <w:ind w:left="284" w:hanging="284"/>
      </w:pPr>
      <w:r>
        <w:lastRenderedPageBreak/>
        <w:t>Ponawia swój apel o uregulowanie udziału zorganizowanego społeczeństwa obywatelskiego w</w:t>
      </w:r>
      <w:r w:rsidR="004F548C">
        <w:t> </w:t>
      </w:r>
      <w:r>
        <w:t>europejskim zarządzaniu gospodarczym w ramach europejskiego semestru i ubolewa, że kwestia ta nie została poruszona w zaleceniu.</w:t>
      </w:r>
    </w:p>
    <w:p w14:paraId="59C79BE8" w14:textId="77777777" w:rsidR="00CB6673" w:rsidRPr="003A0D87" w:rsidRDefault="00CB6673" w:rsidP="002C2DFE">
      <w:pPr>
        <w:spacing w:line="276" w:lineRule="auto"/>
        <w:ind w:left="284"/>
        <w:rPr>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B6673" w:rsidRPr="003A0D87" w14:paraId="439D0FE6" w14:textId="77777777" w:rsidTr="00B93EA3">
        <w:tc>
          <w:tcPr>
            <w:tcW w:w="1418" w:type="dxa"/>
          </w:tcPr>
          <w:p w14:paraId="712C09C1" w14:textId="77777777" w:rsidR="00CB6673" w:rsidRPr="003A0D87" w:rsidRDefault="00CB6673" w:rsidP="00B93EA3">
            <w:pPr>
              <w:spacing w:line="276" w:lineRule="auto"/>
              <w:rPr>
                <w:i/>
              </w:rPr>
            </w:pPr>
            <w:r>
              <w:rPr>
                <w:b/>
                <w:i/>
              </w:rPr>
              <w:t>Kontakt</w:t>
            </w:r>
          </w:p>
        </w:tc>
        <w:tc>
          <w:tcPr>
            <w:tcW w:w="7904" w:type="dxa"/>
          </w:tcPr>
          <w:p w14:paraId="417F16DE" w14:textId="77777777" w:rsidR="00CB6673" w:rsidRPr="003A0D87" w:rsidRDefault="00CB6673" w:rsidP="00B93EA3">
            <w:pPr>
              <w:spacing w:line="276" w:lineRule="auto"/>
              <w:rPr>
                <w:i/>
              </w:rPr>
            </w:pPr>
            <w:proofErr w:type="spellStart"/>
            <w:r>
              <w:rPr>
                <w:i/>
              </w:rPr>
              <w:t>Krisztina</w:t>
            </w:r>
            <w:proofErr w:type="spellEnd"/>
            <w:r>
              <w:rPr>
                <w:i/>
              </w:rPr>
              <w:t xml:space="preserve"> </w:t>
            </w:r>
            <w:proofErr w:type="spellStart"/>
            <w:r>
              <w:rPr>
                <w:i/>
              </w:rPr>
              <w:t>Perlaky-Tóth</w:t>
            </w:r>
            <w:proofErr w:type="spellEnd"/>
          </w:p>
        </w:tc>
      </w:tr>
      <w:tr w:rsidR="00CB6673" w:rsidRPr="003A0D87" w14:paraId="1372D00E" w14:textId="77777777" w:rsidTr="00B93EA3">
        <w:tc>
          <w:tcPr>
            <w:tcW w:w="1418" w:type="dxa"/>
          </w:tcPr>
          <w:p w14:paraId="7B77CECE" w14:textId="77777777" w:rsidR="00CB6673" w:rsidRPr="003A0D87" w:rsidRDefault="00CB6673" w:rsidP="00B93EA3">
            <w:pPr>
              <w:spacing w:line="276" w:lineRule="auto"/>
              <w:rPr>
                <w:i/>
              </w:rPr>
            </w:pPr>
            <w:r>
              <w:rPr>
                <w:i/>
              </w:rPr>
              <w:t>Tel.:</w:t>
            </w:r>
          </w:p>
        </w:tc>
        <w:tc>
          <w:tcPr>
            <w:tcW w:w="7904" w:type="dxa"/>
          </w:tcPr>
          <w:p w14:paraId="3E45B663" w14:textId="77777777" w:rsidR="00CB6673" w:rsidRPr="003A0D87" w:rsidRDefault="00CB6673" w:rsidP="00B93EA3">
            <w:pPr>
              <w:spacing w:line="276" w:lineRule="auto"/>
              <w:rPr>
                <w:i/>
              </w:rPr>
            </w:pPr>
            <w:r>
              <w:rPr>
                <w:i/>
              </w:rPr>
              <w:t>+32 25469740</w:t>
            </w:r>
          </w:p>
        </w:tc>
      </w:tr>
      <w:tr w:rsidR="00CB6673" w:rsidRPr="003A0D87" w14:paraId="13EF96B6" w14:textId="77777777" w:rsidTr="00B93EA3">
        <w:tc>
          <w:tcPr>
            <w:tcW w:w="1418" w:type="dxa"/>
          </w:tcPr>
          <w:p w14:paraId="36A465A1" w14:textId="77777777" w:rsidR="00CB6673" w:rsidRPr="003A0D87" w:rsidRDefault="00CB6673" w:rsidP="00B93EA3">
            <w:pPr>
              <w:spacing w:line="276" w:lineRule="auto"/>
              <w:rPr>
                <w:i/>
              </w:rPr>
            </w:pPr>
            <w:r>
              <w:rPr>
                <w:i/>
              </w:rPr>
              <w:t>e-mail:</w:t>
            </w:r>
          </w:p>
        </w:tc>
        <w:tc>
          <w:tcPr>
            <w:tcW w:w="7904" w:type="dxa"/>
          </w:tcPr>
          <w:p w14:paraId="5BDBA256" w14:textId="77777777" w:rsidR="00CB6673" w:rsidRPr="003A0D87" w:rsidRDefault="00C93EBC" w:rsidP="00B93EA3">
            <w:pPr>
              <w:spacing w:line="276" w:lineRule="auto"/>
              <w:rPr>
                <w:i/>
              </w:rPr>
            </w:pPr>
            <w:hyperlink r:id="rId23" w:history="1">
              <w:r w:rsidR="00036171">
                <w:rPr>
                  <w:i/>
                  <w:color w:val="0000FF"/>
                  <w:u w:val="single"/>
                </w:rPr>
                <w:t>Krisztina.PerlakyToth@eesc.europa.eu</w:t>
              </w:r>
            </w:hyperlink>
          </w:p>
        </w:tc>
      </w:tr>
    </w:tbl>
    <w:p w14:paraId="3C204EC9" w14:textId="136EF560" w:rsidR="00CB6673" w:rsidRDefault="00CB6673">
      <w:pPr>
        <w:spacing w:after="160" w:line="259" w:lineRule="auto"/>
        <w:jc w:val="left"/>
        <w:rPr>
          <w:sz w:val="18"/>
          <w:szCs w:val="18"/>
        </w:rPr>
      </w:pPr>
      <w:r>
        <w:br w:type="page"/>
      </w:r>
    </w:p>
    <w:p w14:paraId="22C81721" w14:textId="77777777" w:rsidR="003A0D87" w:rsidRPr="002C2DFE" w:rsidRDefault="003A0D87" w:rsidP="002C2DFE">
      <w:pPr>
        <w:spacing w:line="276" w:lineRule="auto"/>
        <w:ind w:left="284" w:hanging="284"/>
        <w:rPr>
          <w:sz w:val="18"/>
          <w:szCs w:val="18"/>
          <w:lang w:val="en-GB"/>
        </w:rPr>
      </w:pPr>
    </w:p>
    <w:p w14:paraId="26E29E4B" w14:textId="64E2AAB7" w:rsidR="00DA78A0" w:rsidRPr="00DA78A0" w:rsidRDefault="00C93EBC" w:rsidP="002C2DFE">
      <w:pPr>
        <w:widowControl w:val="0"/>
        <w:numPr>
          <w:ilvl w:val="0"/>
          <w:numId w:val="4"/>
        </w:numPr>
        <w:overflowPunct w:val="0"/>
        <w:autoSpaceDE w:val="0"/>
        <w:autoSpaceDN w:val="0"/>
        <w:adjustRightInd w:val="0"/>
        <w:ind w:hanging="567"/>
        <w:textAlignment w:val="baseline"/>
        <w:rPr>
          <w:b/>
          <w:i/>
          <w:iCs/>
          <w:sz w:val="28"/>
          <w:szCs w:val="28"/>
        </w:rPr>
      </w:pPr>
      <w:hyperlink r:id="rId24" w:history="1">
        <w:r w:rsidR="00036171">
          <w:rPr>
            <w:b/>
            <w:i/>
            <w:color w:val="0000FF"/>
            <w:sz w:val="28"/>
            <w:u w:val="single"/>
          </w:rPr>
          <w:t>Wieloletnie ramy finansowe 2028–2034</w:t>
        </w:r>
      </w:hyperlink>
    </w:p>
    <w:p w14:paraId="5EDF5A3E" w14:textId="77777777" w:rsidR="00DA78A0" w:rsidRPr="00DA78A0" w:rsidRDefault="00DA78A0" w:rsidP="00DA78A0">
      <w:pPr>
        <w:widowControl w:val="0"/>
        <w:overflowPunct w:val="0"/>
        <w:autoSpaceDE w:val="0"/>
        <w:autoSpaceDN w:val="0"/>
        <w:adjustRightInd w:val="0"/>
        <w:ind w:left="284"/>
        <w:textAlignment w:val="baseline"/>
        <w:rPr>
          <w:b/>
          <w:i/>
          <w:iCs/>
          <w:sz w:val="20"/>
          <w:szCs w:val="20"/>
          <w:lang w:val="en-GB"/>
        </w:rPr>
      </w:pPr>
    </w:p>
    <w:tbl>
      <w:tblPr>
        <w:tblStyle w:val="TableGrid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195"/>
      </w:tblGrid>
      <w:tr w:rsidR="00E62AC9" w:rsidRPr="00BC3DCE" w14:paraId="40D977E7" w14:textId="77777777" w:rsidTr="00B42CFA">
        <w:tc>
          <w:tcPr>
            <w:tcW w:w="2127" w:type="dxa"/>
          </w:tcPr>
          <w:p w14:paraId="00A0E847" w14:textId="791CAFDE" w:rsidR="00E62AC9" w:rsidRPr="002C2DFE" w:rsidRDefault="00E62AC9" w:rsidP="002C2DFE">
            <w:pPr>
              <w:rPr>
                <w:b/>
                <w:bCs/>
                <w:sz w:val="22"/>
                <w:szCs w:val="22"/>
              </w:rPr>
            </w:pPr>
            <w:r>
              <w:rPr>
                <w:b/>
              </w:rPr>
              <w:t>Sprawozdawcy i</w:t>
            </w:r>
            <w:r w:rsidR="00B42CFA">
              <w:rPr>
                <w:b/>
              </w:rPr>
              <w:t> </w:t>
            </w:r>
            <w:r>
              <w:rPr>
                <w:b/>
              </w:rPr>
              <w:t>sprawozdawczynie</w:t>
            </w:r>
          </w:p>
        </w:tc>
        <w:tc>
          <w:tcPr>
            <w:tcW w:w="7195" w:type="dxa"/>
          </w:tcPr>
          <w:p w14:paraId="37FB9DB2" w14:textId="66BC204B" w:rsidR="00E62AC9" w:rsidRPr="002C2DFE" w:rsidRDefault="00E62AC9" w:rsidP="002C2DFE">
            <w:pPr>
              <w:rPr>
                <w:sz w:val="22"/>
                <w:szCs w:val="22"/>
              </w:rPr>
            </w:pPr>
            <w:r>
              <w:t>Dominika BIEGON (Grupa Pracowników – DE)</w:t>
            </w:r>
          </w:p>
          <w:p w14:paraId="4ADD8E74" w14:textId="5A2FDA13" w:rsidR="00E62AC9" w:rsidRPr="002C2DFE" w:rsidRDefault="00E62AC9" w:rsidP="002C2DFE">
            <w:pPr>
              <w:rPr>
                <w:sz w:val="22"/>
                <w:szCs w:val="22"/>
              </w:rPr>
            </w:pPr>
            <w:proofErr w:type="spellStart"/>
            <w:r>
              <w:t>Konstantinos</w:t>
            </w:r>
            <w:proofErr w:type="spellEnd"/>
            <w:r>
              <w:t xml:space="preserve"> DIAMANTOUROS (Grupa Pracodawców – EL)</w:t>
            </w:r>
          </w:p>
          <w:p w14:paraId="3E53AA5D" w14:textId="78CDFC44" w:rsidR="00E62AC9" w:rsidRPr="002C2DFE" w:rsidRDefault="00E62AC9" w:rsidP="002C2DFE">
            <w:pPr>
              <w:rPr>
                <w:sz w:val="22"/>
                <w:szCs w:val="22"/>
              </w:rPr>
            </w:pPr>
            <w:proofErr w:type="spellStart"/>
            <w:r>
              <w:t>Luca</w:t>
            </w:r>
            <w:proofErr w:type="spellEnd"/>
            <w:r>
              <w:t xml:space="preserve"> JAHIER (Grupa Organizacji Społeczeństwa Obywatelskiego – IT)</w:t>
            </w:r>
          </w:p>
          <w:p w14:paraId="30AEE6D0" w14:textId="66E1368F" w:rsidR="00732FD3" w:rsidRPr="002C2DFE" w:rsidRDefault="00732FD3" w:rsidP="002C2DFE">
            <w:pPr>
              <w:rPr>
                <w:sz w:val="22"/>
                <w:szCs w:val="22"/>
              </w:rPr>
            </w:pPr>
          </w:p>
        </w:tc>
      </w:tr>
      <w:tr w:rsidR="00E62AC9" w:rsidRPr="00BC3DCE" w14:paraId="6415161B" w14:textId="77777777" w:rsidTr="00B42CFA">
        <w:tc>
          <w:tcPr>
            <w:tcW w:w="2127" w:type="dxa"/>
          </w:tcPr>
          <w:p w14:paraId="71D9B78D" w14:textId="77777777" w:rsidR="00E62AC9" w:rsidRPr="002C2DFE" w:rsidRDefault="00E62AC9" w:rsidP="002C2DFE">
            <w:pPr>
              <w:rPr>
                <w:b/>
                <w:bCs/>
                <w:sz w:val="22"/>
                <w:szCs w:val="22"/>
              </w:rPr>
            </w:pPr>
            <w:r>
              <w:rPr>
                <w:b/>
              </w:rPr>
              <w:t>Dokumenty źródłowe</w:t>
            </w:r>
          </w:p>
        </w:tc>
        <w:tc>
          <w:tcPr>
            <w:tcW w:w="7195" w:type="dxa"/>
          </w:tcPr>
          <w:p w14:paraId="486385DF" w14:textId="77777777" w:rsidR="00E62AC9" w:rsidRPr="002C2DFE" w:rsidRDefault="00E62AC9" w:rsidP="002C2DFE">
            <w:pPr>
              <w:rPr>
                <w:sz w:val="22"/>
                <w:szCs w:val="22"/>
              </w:rPr>
            </w:pPr>
            <w:r>
              <w:t xml:space="preserve">COM(2025) 570 </w:t>
            </w:r>
            <w:proofErr w:type="spellStart"/>
            <w:r>
              <w:t>final</w:t>
            </w:r>
            <w:proofErr w:type="spellEnd"/>
          </w:p>
          <w:p w14:paraId="2D139A59" w14:textId="1153B617" w:rsidR="00E62AC9" w:rsidRPr="002C2DFE" w:rsidRDefault="00E62AC9" w:rsidP="002C2DFE">
            <w:pPr>
              <w:rPr>
                <w:sz w:val="22"/>
                <w:szCs w:val="22"/>
              </w:rPr>
            </w:pPr>
            <w:r>
              <w:t>EESC-2025-02245-00-00-AC</w:t>
            </w:r>
          </w:p>
        </w:tc>
      </w:tr>
    </w:tbl>
    <w:p w14:paraId="17FDF87B"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pt-PT"/>
        </w:rPr>
      </w:pPr>
    </w:p>
    <w:p w14:paraId="05324507"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rPr>
      </w:pPr>
      <w:r>
        <w:rPr>
          <w:b/>
        </w:rPr>
        <w:t>Główne punkty</w:t>
      </w:r>
    </w:p>
    <w:p w14:paraId="748ED5D0"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en-GB"/>
        </w:rPr>
      </w:pPr>
    </w:p>
    <w:p w14:paraId="26AD7637" w14:textId="77777777" w:rsidR="00E62AC9" w:rsidRPr="00E62AC9" w:rsidRDefault="00E62AC9" w:rsidP="00E62AC9">
      <w:pPr>
        <w:overflowPunct w:val="0"/>
        <w:autoSpaceDE w:val="0"/>
        <w:autoSpaceDN w:val="0"/>
        <w:adjustRightInd w:val="0"/>
        <w:textAlignment w:val="baseline"/>
        <w:rPr>
          <w:bCs/>
          <w:iCs/>
        </w:rPr>
      </w:pPr>
      <w:r>
        <w:t>EKES</w:t>
      </w:r>
    </w:p>
    <w:p w14:paraId="679CD3F3" w14:textId="77777777" w:rsidR="00E62AC9" w:rsidRPr="00F20B55" w:rsidRDefault="00E62AC9" w:rsidP="00F20B55"/>
    <w:p w14:paraId="067C056C" w14:textId="77777777" w:rsidR="00E62AC9" w:rsidRPr="00F20B55" w:rsidRDefault="00E62AC9" w:rsidP="00F20B55">
      <w:pPr>
        <w:pStyle w:val="ListParagraph"/>
        <w:numPr>
          <w:ilvl w:val="0"/>
          <w:numId w:val="56"/>
        </w:numPr>
        <w:ind w:left="357" w:hanging="357"/>
      </w:pPr>
      <w:r w:rsidRPr="00F20B55">
        <w:t>Ostrzega, że proponowane przez Komisję nieznaczne zwiększenie wieloletnich ram finansowych (WRF) jest niewystarczające. Podkreśla, że potrzebny jest znaczny wzrost rzeczywistych zasobów.</w:t>
      </w:r>
    </w:p>
    <w:p w14:paraId="5EE8A22D" w14:textId="77777777" w:rsidR="00E62AC9" w:rsidRPr="00F20B55" w:rsidRDefault="00E62AC9" w:rsidP="00F20B55">
      <w:pPr>
        <w:pStyle w:val="ListParagraph"/>
        <w:numPr>
          <w:ilvl w:val="0"/>
          <w:numId w:val="56"/>
        </w:numPr>
        <w:ind w:left="357" w:hanging="357"/>
      </w:pPr>
      <w:r w:rsidRPr="00F20B55">
        <w:t>Z zadowoleniem przyjmuje wniosek Komisji dotyczący nowych zasobów własnych UE, ale wzywa do zwiększenia ambicji, aby zapewnić skuteczniejszy budżet, i podkreśla, że dochody powinny być powiązane ze strategiami politycznymi UE.</w:t>
      </w:r>
    </w:p>
    <w:p w14:paraId="1DA27D0E" w14:textId="77777777" w:rsidR="00E62AC9" w:rsidRPr="00F20B55" w:rsidRDefault="00E62AC9" w:rsidP="00F20B55">
      <w:pPr>
        <w:pStyle w:val="ListParagraph"/>
        <w:numPr>
          <w:ilvl w:val="0"/>
          <w:numId w:val="56"/>
        </w:numPr>
        <w:ind w:left="357" w:hanging="357"/>
      </w:pPr>
      <w:r w:rsidRPr="00F20B55">
        <w:t>Zdecydowanie odrzuca proponowane zmniejszenie finansowania na politykę spójności oraz wspólną politykę rolną (WPR) w kolejnych WRF.</w:t>
      </w:r>
    </w:p>
    <w:p w14:paraId="7DA43A5B" w14:textId="77777777" w:rsidR="00E62AC9" w:rsidRPr="00F20B55" w:rsidRDefault="00E62AC9" w:rsidP="00F20B55">
      <w:pPr>
        <w:pStyle w:val="ListParagraph"/>
        <w:numPr>
          <w:ilvl w:val="0"/>
          <w:numId w:val="56"/>
        </w:numPr>
        <w:ind w:left="357" w:hanging="357"/>
      </w:pPr>
      <w:r w:rsidRPr="00F20B55">
        <w:t>Sprzeciwia się również połączeniu w jeden fundusz środków na politykę spójności, EFS+, WPR, rybołówstwo, migrację i bezpieczeństwo.</w:t>
      </w:r>
    </w:p>
    <w:p w14:paraId="205F9EB6" w14:textId="77777777" w:rsidR="00E62AC9" w:rsidRPr="00F20B55" w:rsidRDefault="00E62AC9" w:rsidP="00F20B55">
      <w:pPr>
        <w:pStyle w:val="ListParagraph"/>
        <w:numPr>
          <w:ilvl w:val="0"/>
          <w:numId w:val="56"/>
        </w:numPr>
        <w:ind w:left="357" w:hanging="357"/>
      </w:pPr>
      <w:r w:rsidRPr="00F20B55">
        <w:t>Podkreśla, że wszystkie zainteresowane strony muszą skutecznie i na każdym szczeblu uczestniczyć w podejmowaniu decyzji dotyczących przydziału zasobów, priorytetów strategicznych, programów, wskaźników i oceny. W przypadkach, gdy strona rządowa nie angażuje skutecznie zainteresowanych podmiotów, należy wdrożyć odpowiednie zabezpieczenia i warunki, aby zwiększyć uczestnictwo.</w:t>
      </w:r>
    </w:p>
    <w:p w14:paraId="0F586418" w14:textId="77777777" w:rsidR="00E62AC9" w:rsidRPr="00F20B55" w:rsidRDefault="00E62AC9" w:rsidP="00F20B55">
      <w:pPr>
        <w:pStyle w:val="ListParagraph"/>
        <w:numPr>
          <w:ilvl w:val="0"/>
          <w:numId w:val="56"/>
        </w:numPr>
        <w:ind w:left="357" w:hanging="357"/>
      </w:pPr>
      <w:r w:rsidRPr="00F20B55">
        <w:t>Sprzeciwia się jakiejkolwiek warunkowości makroekonomicznej w planach partnerstwa krajowego i regionalnego (PPKR). Wypłata unijnych środków nie może być uzależniona od niepowiązanych propozycji reform strukturalnych.</w:t>
      </w:r>
    </w:p>
    <w:p w14:paraId="4D049421" w14:textId="77777777" w:rsidR="00E62AC9" w:rsidRPr="00F20B55" w:rsidRDefault="00E62AC9" w:rsidP="00F20B55">
      <w:pPr>
        <w:pStyle w:val="ListParagraph"/>
        <w:numPr>
          <w:ilvl w:val="0"/>
          <w:numId w:val="56"/>
        </w:numPr>
        <w:ind w:left="357" w:hanging="357"/>
      </w:pPr>
      <w:r w:rsidRPr="00F20B55">
        <w:t>Podkreśla, że Europejski Fundusz Społeczny Plus (EFS+) i Fundusz na rzecz Sprawiedliwej Transformacji powinny pozostać odrębnymi instrumentami w kolejnych WRF ze zwiększonym finansowaniem.</w:t>
      </w:r>
    </w:p>
    <w:p w14:paraId="43B3A4A8" w14:textId="2D3755A4" w:rsidR="00E62AC9" w:rsidRPr="00F20B55" w:rsidRDefault="00E62AC9" w:rsidP="00F20B55">
      <w:pPr>
        <w:pStyle w:val="ListParagraph"/>
        <w:numPr>
          <w:ilvl w:val="0"/>
          <w:numId w:val="56"/>
        </w:numPr>
        <w:ind w:left="357" w:hanging="357"/>
      </w:pPr>
      <w:r w:rsidRPr="00F20B55">
        <w:t>Podkreśla, że odpowiednie finansowanie programów na rzecz społeczeństwa obywatelskiego i</w:t>
      </w:r>
      <w:r w:rsidR="00B42CFA">
        <w:t> </w:t>
      </w:r>
      <w:r w:rsidRPr="00F20B55">
        <w:t>mediów (</w:t>
      </w:r>
      <w:proofErr w:type="spellStart"/>
      <w:r w:rsidRPr="00F20B55">
        <w:t>AgoraEU</w:t>
      </w:r>
      <w:proofErr w:type="spellEnd"/>
      <w:r w:rsidRPr="00F20B55">
        <w:t>, CERV) jest niezbędną infrastrukturą demokratyczną, a nie opcjonalnym wydatkiem.</w:t>
      </w:r>
    </w:p>
    <w:p w14:paraId="5DC0A5BC" w14:textId="515996D7" w:rsidR="00E62AC9" w:rsidRPr="00F20B55" w:rsidRDefault="00E62AC9" w:rsidP="00F20B55">
      <w:pPr>
        <w:pStyle w:val="ListParagraph"/>
        <w:numPr>
          <w:ilvl w:val="0"/>
          <w:numId w:val="56"/>
        </w:numPr>
        <w:ind w:left="357" w:hanging="357"/>
      </w:pPr>
      <w:r w:rsidRPr="00F20B55">
        <w:t>Z zadowoleniem przyjmuje ujęcie w przyszłych WRF silnego wymiaru konkurencyjności, podkreślając kluczowe znaczenie badań naukowych i innowacji dla zrównoważonego wzrostu wewnętrznego, strategicznej autonomii, odporności wodnej oraz transformacji ekologicznej i</w:t>
      </w:r>
      <w:r w:rsidR="00B42CFA">
        <w:t> </w:t>
      </w:r>
      <w:r w:rsidRPr="00F20B55">
        <w:t>cyfrowej. Dlatego popiera utworzenie Europejskiego Funduszu Konkurencyjności (EFK) i</w:t>
      </w:r>
      <w:r w:rsidR="00B42CFA">
        <w:t> </w:t>
      </w:r>
      <w:r w:rsidRPr="00F20B55">
        <w:t>wzmocnienie programu „Horyzont Europa” za pomocą większych środków.</w:t>
      </w:r>
    </w:p>
    <w:p w14:paraId="42A2FBEE" w14:textId="77777777" w:rsidR="00E62AC9" w:rsidRPr="00F20B55" w:rsidRDefault="00E62AC9" w:rsidP="00B42CFA">
      <w:pPr>
        <w:pStyle w:val="ListParagraph"/>
        <w:keepNext/>
        <w:keepLines/>
        <w:numPr>
          <w:ilvl w:val="0"/>
          <w:numId w:val="56"/>
        </w:numPr>
        <w:ind w:left="357" w:hanging="357"/>
      </w:pPr>
      <w:r w:rsidRPr="00F20B55">
        <w:lastRenderedPageBreak/>
        <w:t xml:space="preserve">Wzywa do uzależnienia finansowania unijnego na podstawie rozporządzenia w sprawie </w:t>
      </w:r>
      <w:proofErr w:type="spellStart"/>
      <w:r w:rsidRPr="00F20B55">
        <w:t>wielofunduszu</w:t>
      </w:r>
      <w:proofErr w:type="spellEnd"/>
      <w:r w:rsidRPr="00F20B55">
        <w:t xml:space="preserve"> od opracowania kryteriów społecznych we współpracy z krajowymi partnerami społecznymi. Jeśli chodzi o EFK, EKES proponuje dalsze zachęty dla przedsiębiorstw do inwestowania w podnoszenie kwalifikacji i szkolenie pracowników oraz w regiony o wysokim bezrobociu lub przechodzące transformację przemysłową.</w:t>
      </w:r>
    </w:p>
    <w:p w14:paraId="01A7C31D" w14:textId="77777777" w:rsidR="00E62AC9" w:rsidRPr="00F20B55" w:rsidRDefault="00E62AC9" w:rsidP="00F20B55">
      <w:pPr>
        <w:pStyle w:val="ListParagraph"/>
        <w:numPr>
          <w:ilvl w:val="0"/>
          <w:numId w:val="56"/>
        </w:numPr>
        <w:ind w:left="357" w:hanging="357"/>
      </w:pPr>
      <w:r w:rsidRPr="00F20B55">
        <w:t>Z zadowoleniem przyjmuje zwiększenie budżetu na „Globalny wymiar Europy” jako zasadniczy element wzmocnienia ogromnego potencjału działań zewnętrznych UE.</w:t>
      </w:r>
    </w:p>
    <w:p w14:paraId="1BF4E75C" w14:textId="77777777" w:rsidR="00E62AC9" w:rsidRPr="00E62AC9" w:rsidRDefault="00E62AC9" w:rsidP="00E62AC9">
      <w:pPr>
        <w:overflowPunct w:val="0"/>
        <w:autoSpaceDE w:val="0"/>
        <w:autoSpaceDN w:val="0"/>
        <w:adjustRightInd w:val="0"/>
        <w:textAlignment w:val="baseline"/>
        <w:rPr>
          <w:bCs/>
          <w:iCs/>
          <w:lang w:val="en-GB"/>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E62AC9" w:rsidRPr="00E62AC9" w14:paraId="33CC6A92" w14:textId="77777777" w:rsidTr="00722D37">
        <w:tc>
          <w:tcPr>
            <w:tcW w:w="1418" w:type="dxa"/>
          </w:tcPr>
          <w:p w14:paraId="1D5C7444" w14:textId="77777777" w:rsidR="00E62AC9" w:rsidRPr="00E62AC9" w:rsidRDefault="00E62AC9" w:rsidP="00E62AC9">
            <w:pPr>
              <w:overflowPunct w:val="0"/>
              <w:autoSpaceDE w:val="0"/>
              <w:autoSpaceDN w:val="0"/>
              <w:adjustRightInd w:val="0"/>
              <w:textAlignment w:val="baseline"/>
              <w:rPr>
                <w:i/>
              </w:rPr>
            </w:pPr>
            <w:r>
              <w:rPr>
                <w:b/>
                <w:i/>
              </w:rPr>
              <w:t>Kontakt</w:t>
            </w:r>
          </w:p>
        </w:tc>
        <w:tc>
          <w:tcPr>
            <w:tcW w:w="5670" w:type="dxa"/>
          </w:tcPr>
          <w:p w14:paraId="7EE50A63" w14:textId="16533F3B" w:rsidR="00E62AC9" w:rsidRPr="00E62AC9" w:rsidRDefault="00E62AC9" w:rsidP="00E62AC9">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E62AC9" w:rsidRPr="00E62AC9" w14:paraId="47068495" w14:textId="77777777" w:rsidTr="00722D37">
        <w:tc>
          <w:tcPr>
            <w:tcW w:w="1418" w:type="dxa"/>
          </w:tcPr>
          <w:p w14:paraId="442122CE" w14:textId="77777777" w:rsidR="00E62AC9" w:rsidRPr="00E62AC9" w:rsidRDefault="00E62AC9" w:rsidP="00E62AC9">
            <w:pPr>
              <w:overflowPunct w:val="0"/>
              <w:autoSpaceDE w:val="0"/>
              <w:autoSpaceDN w:val="0"/>
              <w:adjustRightInd w:val="0"/>
              <w:textAlignment w:val="baseline"/>
              <w:rPr>
                <w:i/>
              </w:rPr>
            </w:pPr>
            <w:r>
              <w:rPr>
                <w:i/>
              </w:rPr>
              <w:t>Tel.:</w:t>
            </w:r>
          </w:p>
        </w:tc>
        <w:tc>
          <w:tcPr>
            <w:tcW w:w="5670" w:type="dxa"/>
          </w:tcPr>
          <w:p w14:paraId="4641026A" w14:textId="537D4DB9" w:rsidR="00E62AC9" w:rsidRPr="00E62AC9" w:rsidRDefault="00E62AC9" w:rsidP="00E62AC9">
            <w:pPr>
              <w:overflowPunct w:val="0"/>
              <w:autoSpaceDE w:val="0"/>
              <w:autoSpaceDN w:val="0"/>
              <w:adjustRightInd w:val="0"/>
              <w:textAlignment w:val="baseline"/>
              <w:rPr>
                <w:i/>
              </w:rPr>
            </w:pPr>
            <w:r>
              <w:rPr>
                <w:i/>
              </w:rPr>
              <w:t>+32 25469909</w:t>
            </w:r>
          </w:p>
        </w:tc>
      </w:tr>
      <w:tr w:rsidR="00E62AC9" w:rsidRPr="00E62AC9" w14:paraId="6FC199DD" w14:textId="77777777" w:rsidTr="00722D37">
        <w:tc>
          <w:tcPr>
            <w:tcW w:w="1418" w:type="dxa"/>
          </w:tcPr>
          <w:p w14:paraId="60192D6E" w14:textId="091B82FC" w:rsidR="00E62AC9" w:rsidRPr="00E62AC9" w:rsidRDefault="00732FD3" w:rsidP="00E62AC9">
            <w:pPr>
              <w:overflowPunct w:val="0"/>
              <w:autoSpaceDE w:val="0"/>
              <w:autoSpaceDN w:val="0"/>
              <w:adjustRightInd w:val="0"/>
              <w:textAlignment w:val="baseline"/>
              <w:rPr>
                <w:i/>
              </w:rPr>
            </w:pPr>
            <w:r>
              <w:rPr>
                <w:i/>
              </w:rPr>
              <w:t>e-mail:</w:t>
            </w:r>
          </w:p>
        </w:tc>
        <w:tc>
          <w:tcPr>
            <w:tcW w:w="5670" w:type="dxa"/>
          </w:tcPr>
          <w:p w14:paraId="40F0C4FB" w14:textId="77777777" w:rsidR="00E62AC9" w:rsidRPr="00E62AC9" w:rsidRDefault="00C93EBC" w:rsidP="00E62AC9">
            <w:pPr>
              <w:overflowPunct w:val="0"/>
              <w:autoSpaceDE w:val="0"/>
              <w:autoSpaceDN w:val="0"/>
              <w:adjustRightInd w:val="0"/>
              <w:textAlignment w:val="baseline"/>
              <w:rPr>
                <w:i/>
                <w:iCs/>
              </w:rPr>
            </w:pPr>
            <w:hyperlink r:id="rId25" w:history="1">
              <w:r w:rsidR="00036171">
                <w:rPr>
                  <w:i/>
                  <w:color w:val="0000FF"/>
                  <w:u w:val="single"/>
                </w:rPr>
                <w:t>Gerald.Klec@eesc.europa.eu</w:t>
              </w:r>
            </w:hyperlink>
          </w:p>
        </w:tc>
      </w:tr>
    </w:tbl>
    <w:p w14:paraId="7A2E20F5" w14:textId="77777777" w:rsidR="00DA78A0" w:rsidRDefault="00DA78A0">
      <w:pPr>
        <w:spacing w:after="160" w:line="259" w:lineRule="auto"/>
        <w:jc w:val="left"/>
      </w:pPr>
      <w:r>
        <w:br w:type="page"/>
      </w:r>
    </w:p>
    <w:p w14:paraId="0C796DDB" w14:textId="6C865186" w:rsidR="00BA4FAE" w:rsidRPr="002C2DFE" w:rsidRDefault="00C93EBC" w:rsidP="00BA4FAE">
      <w:pPr>
        <w:widowControl w:val="0"/>
        <w:numPr>
          <w:ilvl w:val="0"/>
          <w:numId w:val="9"/>
        </w:numPr>
        <w:overflowPunct w:val="0"/>
        <w:autoSpaceDE w:val="0"/>
        <w:autoSpaceDN w:val="0"/>
        <w:adjustRightInd w:val="0"/>
        <w:spacing w:after="120"/>
        <w:ind w:hanging="567"/>
        <w:textAlignment w:val="baseline"/>
        <w:rPr>
          <w:b/>
          <w:i/>
          <w:iCs/>
          <w:sz w:val="28"/>
          <w:szCs w:val="28"/>
        </w:rPr>
      </w:pPr>
      <w:hyperlink r:id="rId26" w:history="1">
        <w:r w:rsidR="00036171">
          <w:rPr>
            <w:b/>
            <w:i/>
            <w:color w:val="0000FF"/>
            <w:sz w:val="28"/>
            <w:u w:val="single"/>
          </w:rPr>
          <w:t>Europejski Fundusz Spójności Gospodarczej, Społecznej i Terytorialnej, Rolnictwa i Obszarów Wiejskich, Rybołówstwa i Polityki Morskiej, Dobrobytu i Bezpieczeństwa</w:t>
        </w:r>
      </w:hyperlink>
    </w:p>
    <w:p w14:paraId="02787264" w14:textId="77777777" w:rsidR="00686452" w:rsidRPr="00B42CFA" w:rsidRDefault="00686452" w:rsidP="00B42CFA"/>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54"/>
      </w:tblGrid>
      <w:tr w:rsidR="00BA4FAE" w:rsidRPr="00BC3DCE" w14:paraId="2DC3AFA7" w14:textId="77777777" w:rsidTr="00B42CFA">
        <w:tc>
          <w:tcPr>
            <w:tcW w:w="2268" w:type="dxa"/>
          </w:tcPr>
          <w:p w14:paraId="2978248E" w14:textId="77777777" w:rsidR="00BA4FAE" w:rsidRPr="002C2DFE" w:rsidRDefault="00BA4FAE" w:rsidP="002C2DFE">
            <w:pPr>
              <w:rPr>
                <w:b/>
                <w:bCs/>
                <w:sz w:val="22"/>
                <w:szCs w:val="22"/>
              </w:rPr>
            </w:pPr>
            <w:r>
              <w:rPr>
                <w:b/>
              </w:rPr>
              <w:t>Sprawozdawca</w:t>
            </w:r>
          </w:p>
          <w:p w14:paraId="011F25B2" w14:textId="77777777" w:rsidR="00BA4FAE" w:rsidRPr="002C2DFE" w:rsidRDefault="00BA4FAE" w:rsidP="002C2DFE">
            <w:pPr>
              <w:rPr>
                <w:b/>
                <w:bCs/>
                <w:sz w:val="22"/>
                <w:szCs w:val="22"/>
              </w:rPr>
            </w:pPr>
            <w:proofErr w:type="spellStart"/>
            <w:r>
              <w:rPr>
                <w:b/>
              </w:rPr>
              <w:t>Współsprawozdawca</w:t>
            </w:r>
            <w:proofErr w:type="spellEnd"/>
          </w:p>
        </w:tc>
        <w:tc>
          <w:tcPr>
            <w:tcW w:w="7054" w:type="dxa"/>
          </w:tcPr>
          <w:p w14:paraId="22F5C36E" w14:textId="77F26F4C" w:rsidR="00BA4FAE" w:rsidRPr="002C2DFE" w:rsidRDefault="00BA4FAE" w:rsidP="002C2DFE">
            <w:pPr>
              <w:rPr>
                <w:sz w:val="22"/>
                <w:szCs w:val="22"/>
              </w:rPr>
            </w:pPr>
            <w:r>
              <w:t>Florian MARIN (Grupa Pracowników – RO)</w:t>
            </w:r>
          </w:p>
          <w:p w14:paraId="3A90042E" w14:textId="2AA4ACEC" w:rsidR="00BA4FAE" w:rsidRPr="002C2DFE" w:rsidRDefault="00BA4FAE" w:rsidP="002C2DFE">
            <w:pPr>
              <w:rPr>
                <w:sz w:val="22"/>
                <w:szCs w:val="22"/>
              </w:rPr>
            </w:pPr>
            <w:r>
              <w:t>David SVENTEK (Grupa Pracodawców – CZ)</w:t>
            </w:r>
          </w:p>
          <w:p w14:paraId="49571B6B" w14:textId="3F9C28DA" w:rsidR="00686452" w:rsidRPr="002C2DFE" w:rsidRDefault="00686452" w:rsidP="002C2DFE">
            <w:pPr>
              <w:rPr>
                <w:sz w:val="22"/>
                <w:szCs w:val="22"/>
              </w:rPr>
            </w:pPr>
          </w:p>
        </w:tc>
      </w:tr>
      <w:tr w:rsidR="00BA4FAE" w:rsidRPr="00BC3DCE" w14:paraId="636B5388" w14:textId="77777777" w:rsidTr="00B42CFA">
        <w:tc>
          <w:tcPr>
            <w:tcW w:w="2268" w:type="dxa"/>
          </w:tcPr>
          <w:p w14:paraId="4736584F" w14:textId="77777777" w:rsidR="00BA4FAE" w:rsidRPr="002C2DFE" w:rsidRDefault="00BA4FAE" w:rsidP="002C2DFE">
            <w:pPr>
              <w:rPr>
                <w:b/>
                <w:bCs/>
                <w:sz w:val="22"/>
                <w:szCs w:val="22"/>
              </w:rPr>
            </w:pPr>
            <w:r>
              <w:rPr>
                <w:b/>
              </w:rPr>
              <w:t>Dokumenty źródłowe</w:t>
            </w:r>
          </w:p>
        </w:tc>
        <w:tc>
          <w:tcPr>
            <w:tcW w:w="7054" w:type="dxa"/>
          </w:tcPr>
          <w:p w14:paraId="0AE6A2D9" w14:textId="0A8AAC62" w:rsidR="00BA4FAE" w:rsidRPr="002C2DFE" w:rsidRDefault="00BA4FAE" w:rsidP="002C2DFE">
            <w:pPr>
              <w:rPr>
                <w:sz w:val="22"/>
                <w:szCs w:val="22"/>
              </w:rPr>
            </w:pPr>
            <w:r>
              <w:t xml:space="preserve">COM(2025) 565 </w:t>
            </w:r>
            <w:proofErr w:type="spellStart"/>
            <w:r>
              <w:t>final</w:t>
            </w:r>
            <w:proofErr w:type="spellEnd"/>
            <w:r>
              <w:t xml:space="preserve"> </w:t>
            </w:r>
          </w:p>
          <w:p w14:paraId="4D0211A2" w14:textId="0503EC7E" w:rsidR="00BA4FAE" w:rsidRPr="002C2DFE" w:rsidRDefault="00BA4FAE" w:rsidP="002C2DFE">
            <w:pPr>
              <w:rPr>
                <w:sz w:val="22"/>
                <w:szCs w:val="22"/>
              </w:rPr>
            </w:pPr>
            <w:r>
              <w:t>EESC-2025-02552-00-00-AC</w:t>
            </w:r>
          </w:p>
        </w:tc>
      </w:tr>
    </w:tbl>
    <w:p w14:paraId="277086E3" w14:textId="77777777" w:rsidR="00BA4FAE" w:rsidRDefault="00BA4FAE" w:rsidP="00BA4FAE">
      <w:pPr>
        <w:keepNext/>
        <w:keepLines/>
        <w:tabs>
          <w:tab w:val="center" w:pos="284"/>
        </w:tabs>
        <w:overflowPunct w:val="0"/>
        <w:autoSpaceDE w:val="0"/>
        <w:autoSpaceDN w:val="0"/>
        <w:adjustRightInd w:val="0"/>
        <w:spacing w:before="120"/>
        <w:ind w:left="266" w:hanging="266"/>
        <w:textAlignment w:val="baseline"/>
        <w:rPr>
          <w:b/>
        </w:rPr>
      </w:pPr>
      <w:r>
        <w:rPr>
          <w:b/>
        </w:rPr>
        <w:t>Główne punkty</w:t>
      </w:r>
    </w:p>
    <w:p w14:paraId="39641B10" w14:textId="77777777" w:rsidR="00686452" w:rsidRPr="00B42CFA" w:rsidRDefault="00686452" w:rsidP="00B42CFA"/>
    <w:p w14:paraId="22F37D52" w14:textId="77777777" w:rsidR="00BA4FAE" w:rsidRDefault="00BA4FAE" w:rsidP="00BA4FAE">
      <w:pPr>
        <w:overflowPunct w:val="0"/>
        <w:autoSpaceDE w:val="0"/>
        <w:autoSpaceDN w:val="0"/>
        <w:adjustRightInd w:val="0"/>
        <w:textAlignment w:val="baseline"/>
        <w:rPr>
          <w:bCs/>
          <w:iCs/>
        </w:rPr>
      </w:pPr>
      <w:r>
        <w:t>EKES</w:t>
      </w:r>
    </w:p>
    <w:p w14:paraId="02D99BB2" w14:textId="77777777" w:rsidR="00686452" w:rsidRPr="00BA4FAE" w:rsidRDefault="00686452" w:rsidP="00BA4FAE">
      <w:pPr>
        <w:overflowPunct w:val="0"/>
        <w:autoSpaceDE w:val="0"/>
        <w:autoSpaceDN w:val="0"/>
        <w:adjustRightInd w:val="0"/>
        <w:textAlignment w:val="baseline"/>
        <w:rPr>
          <w:bCs/>
          <w:iCs/>
          <w:lang w:val="en-GB"/>
        </w:rPr>
      </w:pPr>
    </w:p>
    <w:p w14:paraId="721B77DF" w14:textId="77777777" w:rsidR="00BA4FAE" w:rsidRPr="00BA4FAE" w:rsidRDefault="00BA4FAE" w:rsidP="00B26936">
      <w:pPr>
        <w:pStyle w:val="ListParagraph"/>
        <w:numPr>
          <w:ilvl w:val="0"/>
          <w:numId w:val="57"/>
        </w:numPr>
        <w:ind w:left="357" w:hanging="357"/>
        <w:rPr>
          <w:bCs/>
          <w:iCs/>
        </w:rPr>
      </w:pPr>
      <w:r>
        <w:t>Przyjmuje z zadowoleniem dążenie Komisji do zapewnienia większej elastyczności i uproszczenia, ale uważa, że aby przewidziane uproszczenie było skuteczne, potrzebne są konkretne gwarancje. Żeby zachować odrębną tożsamość i podstawową misję kluczowych polityk UE, trzeba utrzymać ich tożsamość, widoczność, przewidywalność i długoterminowe cele oraz zadbać o to, by wprowadzanie elastyczności nie odbywało się kosztem regionów, społeczności, sektorów i grup znajdujących się w najtrudniejszej sytuacji.</w:t>
      </w:r>
    </w:p>
    <w:p w14:paraId="22D291FC" w14:textId="77777777" w:rsidR="00BA4FAE" w:rsidRPr="00B26936" w:rsidRDefault="00BA4FAE" w:rsidP="00B26936">
      <w:pPr>
        <w:pStyle w:val="ListParagraph"/>
        <w:numPr>
          <w:ilvl w:val="0"/>
          <w:numId w:val="57"/>
        </w:numPr>
        <w:ind w:left="357" w:hanging="357"/>
      </w:pPr>
      <w:bookmarkStart w:id="2" w:name="_Toc220082114"/>
      <w:bookmarkStart w:id="3" w:name="_Toc220082162"/>
      <w:r w:rsidRPr="00B26936">
        <w:t>Jest zaniepokojony tym, że zgrupowanie różnych potrzeb inwestycyjnych takich jak rolnictwo, rybołówstwo, spójność i bezpieczeństwo w jednym miejscu może stworzyć konkurencję między priorytetami i osłabić długoterminowe gwarancje. Zdecydowanie sprzeciwia się temu podejściu, ponieważ grozi ono rozproszeniem zasobów, utrudnieniem wysiłków na rzecz osiągnięcia transformacji klimatycznej i cyfrowej.</w:t>
      </w:r>
      <w:bookmarkEnd w:id="2"/>
      <w:bookmarkEnd w:id="3"/>
    </w:p>
    <w:p w14:paraId="033740A6" w14:textId="78BDB414" w:rsidR="00BA4FAE" w:rsidRPr="00B26936" w:rsidRDefault="00BA4FAE" w:rsidP="00B26936">
      <w:pPr>
        <w:pStyle w:val="ListParagraph"/>
        <w:numPr>
          <w:ilvl w:val="0"/>
          <w:numId w:val="57"/>
        </w:numPr>
        <w:ind w:left="357" w:hanging="357"/>
      </w:pPr>
      <w:bookmarkStart w:id="4" w:name="_Toc220082115"/>
      <w:bookmarkStart w:id="5" w:name="_Toc220082163"/>
      <w:r w:rsidRPr="00B26936">
        <w:t>Wyraźnie ostrzega, że struktura łączonych funduszy może powodować konflikty dotyczące podziału środków. Zarówno na początku, jak i w trakcie przyszłego okresu finansowania istnieje ryzyko, że pojawi się strukturalna konkurencja między wymiarem społecznym, rozwojem regionalnym i</w:t>
      </w:r>
      <w:r w:rsidR="00B42CFA">
        <w:t> </w:t>
      </w:r>
      <w:r w:rsidRPr="00B26936">
        <w:t>wiejskim oraz polityką bezpieczeństwa i polityką migracyjną.</w:t>
      </w:r>
      <w:bookmarkEnd w:id="4"/>
      <w:bookmarkEnd w:id="5"/>
    </w:p>
    <w:p w14:paraId="79B7DA72" w14:textId="77777777" w:rsidR="00BA4FAE" w:rsidRPr="00B26936" w:rsidRDefault="00BA4FAE" w:rsidP="00B26936">
      <w:pPr>
        <w:pStyle w:val="ListParagraph"/>
        <w:numPr>
          <w:ilvl w:val="0"/>
          <w:numId w:val="57"/>
        </w:numPr>
        <w:ind w:left="357" w:hanging="357"/>
      </w:pPr>
      <w:bookmarkStart w:id="6" w:name="_Toc220082116"/>
      <w:bookmarkStart w:id="7" w:name="_Toc220082164"/>
      <w:r w:rsidRPr="00B26936">
        <w:t>Sprzeciwia się przeniesieniu odpowiedzialności ze szczebla regionalnego na szczebel krajowy, ponieważ podważa to zasadę pomocniczości, terytorialność, wielopoziomowe sprawowanie rządów i zaufanie do UE.</w:t>
      </w:r>
      <w:bookmarkEnd w:id="6"/>
      <w:bookmarkEnd w:id="7"/>
    </w:p>
    <w:p w14:paraId="1D4445D3" w14:textId="73D024AB" w:rsidR="00BA4FAE" w:rsidRPr="00B26936" w:rsidRDefault="00BA4FAE" w:rsidP="00B26936">
      <w:pPr>
        <w:pStyle w:val="ListParagraph"/>
        <w:numPr>
          <w:ilvl w:val="0"/>
          <w:numId w:val="57"/>
        </w:numPr>
        <w:ind w:left="357" w:hanging="357"/>
      </w:pPr>
      <w:bookmarkStart w:id="8" w:name="_Toc220082117"/>
      <w:bookmarkStart w:id="9" w:name="_Toc220082165"/>
      <w:r w:rsidRPr="00B26936">
        <w:t>Podkreśla, że skuteczne funkcjonowanie planów partnerstwa krajowego i regionalnego (planów PKR) będzie wymagało silnego i rzeczywistego zaangażowania partnerów lokalnych i</w:t>
      </w:r>
      <w:r w:rsidR="00B42CFA">
        <w:t> </w:t>
      </w:r>
      <w:r w:rsidRPr="00B26936">
        <w:t>regionalnych, partnerów społecznych i organizacji społeczeństwa obywatelskiego, a także przedstawicieli sektorów i branż, zarówno na etapie programowania, jak i w odniesieniu do wdrażania, zarządzania, monitorowania, oceny i kontroli.</w:t>
      </w:r>
      <w:bookmarkEnd w:id="8"/>
      <w:bookmarkEnd w:id="9"/>
      <w:r w:rsidRPr="00B26936">
        <w:t xml:space="preserve"> </w:t>
      </w:r>
    </w:p>
    <w:p w14:paraId="5F37642D" w14:textId="77777777" w:rsidR="00BA4FAE" w:rsidRPr="00B26936" w:rsidRDefault="00BA4FAE" w:rsidP="00B26936">
      <w:pPr>
        <w:pStyle w:val="ListParagraph"/>
        <w:numPr>
          <w:ilvl w:val="0"/>
          <w:numId w:val="57"/>
        </w:numPr>
        <w:ind w:left="357" w:hanging="357"/>
      </w:pPr>
      <w:bookmarkStart w:id="10" w:name="_Toc220082118"/>
      <w:bookmarkStart w:id="11" w:name="_Toc220082166"/>
      <w:r w:rsidRPr="00B26936">
        <w:t>Proponuje, aby równolegle do kontroli regionalnej prowadzono kontrolę z perspektywy partnerów społecznych i organizacji społeczeństwa obywatelskiego.</w:t>
      </w:r>
      <w:bookmarkEnd w:id="10"/>
      <w:bookmarkEnd w:id="11"/>
    </w:p>
    <w:p w14:paraId="6B0AF8D9" w14:textId="77777777" w:rsidR="00BA4FAE" w:rsidRPr="00B26936" w:rsidRDefault="00BA4FAE" w:rsidP="00B26936">
      <w:pPr>
        <w:pStyle w:val="ListParagraph"/>
        <w:numPr>
          <w:ilvl w:val="0"/>
          <w:numId w:val="57"/>
        </w:numPr>
        <w:ind w:left="357" w:hanging="357"/>
      </w:pPr>
      <w:bookmarkStart w:id="12" w:name="_Toc220082119"/>
      <w:bookmarkStart w:id="13" w:name="_Toc220082167"/>
      <w:r w:rsidRPr="00B26936">
        <w:t>Podkreśla, że to partnerstwo musi znaleźć odzwierciedlenie w każdym rozdziale planu i że potrzebna jest wyważona reprezentacja odpowiednich partnerów w komitetach monitorujących.</w:t>
      </w:r>
      <w:bookmarkEnd w:id="12"/>
      <w:bookmarkEnd w:id="13"/>
      <w:r w:rsidRPr="00B26936">
        <w:t xml:space="preserve"> </w:t>
      </w:r>
    </w:p>
    <w:p w14:paraId="1EF98941" w14:textId="77777777" w:rsidR="00BA4FAE" w:rsidRPr="00B26936" w:rsidRDefault="00BA4FAE" w:rsidP="00B26936">
      <w:pPr>
        <w:pStyle w:val="ListParagraph"/>
        <w:numPr>
          <w:ilvl w:val="0"/>
          <w:numId w:val="57"/>
        </w:numPr>
        <w:ind w:left="357" w:hanging="357"/>
      </w:pPr>
      <w:bookmarkStart w:id="14" w:name="_Toc220082120"/>
      <w:bookmarkStart w:id="15" w:name="_Toc220082168"/>
      <w:r w:rsidRPr="00B26936">
        <w:t>Wzywa Komisję Europejską do niezwłocznego przeprowadzenia przeglądu europejskiego kodeksu postępowania w zakresie partnerstwa.</w:t>
      </w:r>
      <w:bookmarkEnd w:id="14"/>
      <w:bookmarkEnd w:id="15"/>
    </w:p>
    <w:p w14:paraId="66135628" w14:textId="29070425" w:rsidR="00BA4FAE" w:rsidRPr="00B26936" w:rsidRDefault="00BA4FAE" w:rsidP="00B26936">
      <w:pPr>
        <w:pStyle w:val="ListParagraph"/>
        <w:numPr>
          <w:ilvl w:val="0"/>
          <w:numId w:val="57"/>
        </w:numPr>
        <w:ind w:left="357" w:hanging="357"/>
      </w:pPr>
      <w:bookmarkStart w:id="16" w:name="_Toc220082121"/>
      <w:bookmarkStart w:id="17" w:name="_Toc220082169"/>
      <w:r w:rsidRPr="00B26936">
        <w:t>Proponuje wprowadzenie systemu kar w wypadku braku skutecznego, konstruktywnego i</w:t>
      </w:r>
      <w:r w:rsidR="00B42CFA">
        <w:t> </w:t>
      </w:r>
      <w:r w:rsidRPr="00B26936">
        <w:t>przekrojowego udziału partnerów społecznych oraz organizacji społeczeństwa obywatelskiego.</w:t>
      </w:r>
      <w:bookmarkEnd w:id="16"/>
      <w:bookmarkEnd w:id="17"/>
    </w:p>
    <w:p w14:paraId="0EDD2AAE" w14:textId="77777777" w:rsidR="00BA4FAE" w:rsidRPr="00B26936" w:rsidRDefault="00BA4FAE" w:rsidP="00B26936">
      <w:pPr>
        <w:pStyle w:val="ListParagraph"/>
        <w:numPr>
          <w:ilvl w:val="0"/>
          <w:numId w:val="57"/>
        </w:numPr>
        <w:ind w:left="357" w:hanging="357"/>
      </w:pPr>
      <w:bookmarkStart w:id="18" w:name="_Toc220082122"/>
      <w:bookmarkStart w:id="19" w:name="_Toc220082170"/>
      <w:r w:rsidRPr="00B26936">
        <w:lastRenderedPageBreak/>
        <w:t>Jest zdania, że należy jeszcze bardziej skonsolidować politykę spójności, ponieważ we wniosku została ona osłabiona. Apeluje o gwarancje chroniące regiony i miasta, zwłaszcza w przypadku gdy państwa członkowskie mogą je wykluczyć.</w:t>
      </w:r>
      <w:bookmarkEnd w:id="18"/>
      <w:bookmarkEnd w:id="19"/>
    </w:p>
    <w:p w14:paraId="55BB0923" w14:textId="77777777" w:rsidR="00BA4FAE" w:rsidRPr="00B26936" w:rsidRDefault="00BA4FAE" w:rsidP="00B26936">
      <w:pPr>
        <w:pStyle w:val="ListParagraph"/>
        <w:numPr>
          <w:ilvl w:val="0"/>
          <w:numId w:val="57"/>
        </w:numPr>
        <w:ind w:left="357" w:hanging="357"/>
      </w:pPr>
      <w:bookmarkStart w:id="20" w:name="_Toc220082123"/>
      <w:bookmarkStart w:id="21" w:name="_Toc220082171"/>
      <w:r w:rsidRPr="00B26936">
        <w:t>Podkreśla, że potrzebne są bardziej rygorystyczne przepisy, aby zagwarantować zaangażowanie podmiotów lokalnych i miast, oraz że nie można narażać na szwank interesów szczebla niższego niż krajowy.</w:t>
      </w:r>
      <w:bookmarkEnd w:id="20"/>
      <w:bookmarkEnd w:id="21"/>
    </w:p>
    <w:p w14:paraId="035A58D6" w14:textId="77777777" w:rsidR="00BA4FAE" w:rsidRPr="00B26936" w:rsidRDefault="00BA4FAE" w:rsidP="00B26936">
      <w:pPr>
        <w:pStyle w:val="ListParagraph"/>
        <w:numPr>
          <w:ilvl w:val="0"/>
          <w:numId w:val="57"/>
        </w:numPr>
        <w:ind w:left="357" w:hanging="357"/>
      </w:pPr>
      <w:bookmarkStart w:id="22" w:name="_Toc220082124"/>
      <w:bookmarkStart w:id="23" w:name="_Toc220082172"/>
      <w:r w:rsidRPr="00B26936">
        <w:t>Apeluje, by przewidzieć koncentrację tematyczną na zagadnieniach bezpieczeństwa żywnościowego, nierówności, starzenia się z godnością i zaangażowania obywatelskiego, a także wsparcie dla słabszych grup, wolontariuszy oraz podmiotów gospodarki społecznej.</w:t>
      </w:r>
      <w:bookmarkEnd w:id="22"/>
      <w:bookmarkEnd w:id="23"/>
    </w:p>
    <w:p w14:paraId="3C0ECA68" w14:textId="77777777" w:rsidR="00BA4FAE" w:rsidRPr="00B26936" w:rsidRDefault="00BA4FAE" w:rsidP="00B26936">
      <w:pPr>
        <w:pStyle w:val="ListParagraph"/>
        <w:numPr>
          <w:ilvl w:val="0"/>
          <w:numId w:val="57"/>
        </w:numPr>
        <w:ind w:left="357" w:hanging="357"/>
      </w:pPr>
      <w:bookmarkStart w:id="24" w:name="_Toc220082125"/>
      <w:bookmarkStart w:id="25" w:name="_Toc220082173"/>
      <w:r w:rsidRPr="00B26936">
        <w:t xml:space="preserve">Ostrzega, że cele społeczne muszą być jasno określone, i zaznacza, że cel dotyczący wydatków socjalnych na poziomie 14 % powinien być ukierunkowany wyłącznie na cele EFS, takie jak kwalifikacje i szkolenia, a także wsparcie dla słabszych i </w:t>
      </w:r>
      <w:proofErr w:type="spellStart"/>
      <w:r w:rsidRPr="00B26936">
        <w:t>defaworyzowanych</w:t>
      </w:r>
      <w:proofErr w:type="spellEnd"/>
      <w:r w:rsidRPr="00B26936">
        <w:t xml:space="preserve"> grup społecznych.</w:t>
      </w:r>
      <w:bookmarkEnd w:id="24"/>
      <w:bookmarkEnd w:id="25"/>
    </w:p>
    <w:p w14:paraId="1E77C842" w14:textId="09E1ABDC" w:rsidR="00BA4FAE" w:rsidRPr="00B26936" w:rsidRDefault="00BA4FAE" w:rsidP="00B26936">
      <w:pPr>
        <w:pStyle w:val="ListParagraph"/>
        <w:numPr>
          <w:ilvl w:val="0"/>
          <w:numId w:val="57"/>
        </w:numPr>
        <w:ind w:left="357" w:hanging="357"/>
      </w:pPr>
      <w:bookmarkStart w:id="26" w:name="_Toc220082126"/>
      <w:bookmarkStart w:id="27" w:name="_Toc220082174"/>
      <w:r w:rsidRPr="00B26936">
        <w:t>Zdecydowanie krytykuje brak specjalnego Funduszu na rzecz Sprawiedliwej Transformacji i</w:t>
      </w:r>
      <w:r w:rsidR="00B42CFA">
        <w:t> </w:t>
      </w:r>
      <w:r w:rsidRPr="00B26936">
        <w:t>ostrzega przed łączeniem sprawiedliwej transformacji i czystej transformacji w jedno.</w:t>
      </w:r>
      <w:bookmarkEnd w:id="26"/>
      <w:bookmarkEnd w:id="27"/>
      <w:r w:rsidRPr="00B26936">
        <w:t xml:space="preserve"> </w:t>
      </w:r>
    </w:p>
    <w:p w14:paraId="744A4299" w14:textId="77777777" w:rsidR="00BA4FAE" w:rsidRPr="00B26936" w:rsidRDefault="00BA4FAE" w:rsidP="00B26936"/>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A4FAE" w:rsidRPr="00BA4FAE" w14:paraId="64544161" w14:textId="77777777" w:rsidTr="005B3E63">
        <w:tc>
          <w:tcPr>
            <w:tcW w:w="1418" w:type="dxa"/>
          </w:tcPr>
          <w:p w14:paraId="5FE9D161" w14:textId="77777777" w:rsidR="00BA4FAE" w:rsidRPr="00BA4FAE" w:rsidRDefault="00BA4FAE" w:rsidP="00BA4FAE">
            <w:pPr>
              <w:overflowPunct w:val="0"/>
              <w:autoSpaceDE w:val="0"/>
              <w:autoSpaceDN w:val="0"/>
              <w:adjustRightInd w:val="0"/>
              <w:textAlignment w:val="baseline"/>
              <w:rPr>
                <w:i/>
              </w:rPr>
            </w:pPr>
            <w:r>
              <w:rPr>
                <w:b/>
                <w:i/>
              </w:rPr>
              <w:t>Kontakt</w:t>
            </w:r>
          </w:p>
        </w:tc>
        <w:tc>
          <w:tcPr>
            <w:tcW w:w="7904" w:type="dxa"/>
          </w:tcPr>
          <w:p w14:paraId="2812625D" w14:textId="0027E983" w:rsidR="00BA4FAE" w:rsidRPr="00BA4FAE" w:rsidRDefault="00BA4FAE" w:rsidP="00BA4FAE">
            <w:pPr>
              <w:overflowPunct w:val="0"/>
              <w:autoSpaceDE w:val="0"/>
              <w:autoSpaceDN w:val="0"/>
              <w:adjustRightInd w:val="0"/>
              <w:textAlignment w:val="baseline"/>
              <w:rPr>
                <w:i/>
              </w:rPr>
            </w:pPr>
            <w:r>
              <w:rPr>
                <w:i/>
              </w:rPr>
              <w:t xml:space="preserve">Georgios </w:t>
            </w:r>
            <w:proofErr w:type="spellStart"/>
            <w:r>
              <w:rPr>
                <w:i/>
              </w:rPr>
              <w:t>Meleas</w:t>
            </w:r>
            <w:proofErr w:type="spellEnd"/>
          </w:p>
        </w:tc>
      </w:tr>
      <w:tr w:rsidR="00BA4FAE" w:rsidRPr="00BA4FAE" w14:paraId="734D010F" w14:textId="77777777" w:rsidTr="005B3E63">
        <w:tc>
          <w:tcPr>
            <w:tcW w:w="1418" w:type="dxa"/>
          </w:tcPr>
          <w:p w14:paraId="0F5D1DE7" w14:textId="77777777" w:rsidR="00BA4FAE" w:rsidRPr="00BA4FAE" w:rsidRDefault="00BA4FAE" w:rsidP="00BA4FAE">
            <w:pPr>
              <w:overflowPunct w:val="0"/>
              <w:autoSpaceDE w:val="0"/>
              <w:autoSpaceDN w:val="0"/>
              <w:adjustRightInd w:val="0"/>
              <w:textAlignment w:val="baseline"/>
              <w:rPr>
                <w:i/>
              </w:rPr>
            </w:pPr>
            <w:r>
              <w:rPr>
                <w:i/>
              </w:rPr>
              <w:t>Tel.:</w:t>
            </w:r>
          </w:p>
        </w:tc>
        <w:tc>
          <w:tcPr>
            <w:tcW w:w="7904" w:type="dxa"/>
          </w:tcPr>
          <w:p w14:paraId="0250DD78" w14:textId="5AFDBB5F" w:rsidR="00BA4FAE" w:rsidRPr="00BA4FAE" w:rsidRDefault="00BA4FAE" w:rsidP="00BA4FAE">
            <w:pPr>
              <w:overflowPunct w:val="0"/>
              <w:autoSpaceDE w:val="0"/>
              <w:autoSpaceDN w:val="0"/>
              <w:adjustRightInd w:val="0"/>
              <w:textAlignment w:val="baseline"/>
              <w:rPr>
                <w:i/>
              </w:rPr>
            </w:pPr>
            <w:r>
              <w:rPr>
                <w:i/>
              </w:rPr>
              <w:t>+32 25469795</w:t>
            </w:r>
          </w:p>
        </w:tc>
      </w:tr>
      <w:tr w:rsidR="00BA4FAE" w:rsidRPr="00BA4FAE" w14:paraId="168D1487" w14:textId="77777777" w:rsidTr="005B3E63">
        <w:tc>
          <w:tcPr>
            <w:tcW w:w="1418" w:type="dxa"/>
          </w:tcPr>
          <w:p w14:paraId="6C2E8CB1" w14:textId="77777777" w:rsidR="00BA4FAE" w:rsidRPr="00BA4FAE" w:rsidRDefault="00BA4FAE" w:rsidP="00BA4FAE">
            <w:pPr>
              <w:overflowPunct w:val="0"/>
              <w:autoSpaceDE w:val="0"/>
              <w:autoSpaceDN w:val="0"/>
              <w:adjustRightInd w:val="0"/>
              <w:textAlignment w:val="baseline"/>
              <w:rPr>
                <w:i/>
              </w:rPr>
            </w:pPr>
            <w:r>
              <w:rPr>
                <w:i/>
              </w:rPr>
              <w:t>e-mail:</w:t>
            </w:r>
          </w:p>
        </w:tc>
        <w:tc>
          <w:tcPr>
            <w:tcW w:w="7904" w:type="dxa"/>
          </w:tcPr>
          <w:p w14:paraId="50D856F7" w14:textId="77777777" w:rsidR="00BA4FAE" w:rsidRPr="00BA4FAE" w:rsidRDefault="00C93EBC" w:rsidP="00BA4FAE">
            <w:pPr>
              <w:overflowPunct w:val="0"/>
              <w:autoSpaceDE w:val="0"/>
              <w:autoSpaceDN w:val="0"/>
              <w:adjustRightInd w:val="0"/>
              <w:textAlignment w:val="baseline"/>
              <w:rPr>
                <w:i/>
                <w:iCs/>
              </w:rPr>
            </w:pPr>
            <w:hyperlink r:id="rId27" w:history="1">
              <w:r w:rsidR="00036171">
                <w:rPr>
                  <w:i/>
                  <w:color w:val="0000FF"/>
                  <w:u w:val="single"/>
                </w:rPr>
                <w:t>Georgios.Meleas@eesc.europa.eu</w:t>
              </w:r>
            </w:hyperlink>
          </w:p>
        </w:tc>
      </w:tr>
    </w:tbl>
    <w:p w14:paraId="3196C461" w14:textId="2B6DC4DE" w:rsidR="00B16290" w:rsidRDefault="00B16290" w:rsidP="004D7AC0">
      <w:pPr>
        <w:pStyle w:val="ListParagraph"/>
        <w:ind w:left="0"/>
      </w:pPr>
    </w:p>
    <w:p w14:paraId="2D264CCB" w14:textId="77777777" w:rsidR="00B16290" w:rsidRDefault="00B16290">
      <w:pPr>
        <w:spacing w:after="160" w:line="259" w:lineRule="auto"/>
        <w:jc w:val="left"/>
      </w:pPr>
      <w:r>
        <w:br w:type="page"/>
      </w:r>
    </w:p>
    <w:p w14:paraId="3D1C3DEA" w14:textId="28AA3449" w:rsidR="00E3707D" w:rsidRPr="00E3707D" w:rsidRDefault="00C93EBC" w:rsidP="002C2DFE">
      <w:pPr>
        <w:widowControl w:val="0"/>
        <w:numPr>
          <w:ilvl w:val="0"/>
          <w:numId w:val="9"/>
        </w:numPr>
        <w:overflowPunct w:val="0"/>
        <w:autoSpaceDE w:val="0"/>
        <w:autoSpaceDN w:val="0"/>
        <w:adjustRightInd w:val="0"/>
        <w:ind w:hanging="567"/>
        <w:textAlignment w:val="baseline"/>
        <w:rPr>
          <w:b/>
          <w:i/>
          <w:iCs/>
          <w:sz w:val="28"/>
          <w:szCs w:val="28"/>
        </w:rPr>
      </w:pPr>
      <w:hyperlink r:id="rId28" w:history="1">
        <w:r w:rsidR="00036171">
          <w:rPr>
            <w:b/>
            <w:i/>
            <w:color w:val="0000FF"/>
            <w:sz w:val="28"/>
            <w:u w:val="single"/>
          </w:rPr>
          <w:t>Zasoby własne – wniosek z 2025 r.</w:t>
        </w:r>
      </w:hyperlink>
    </w:p>
    <w:p w14:paraId="7F80198A" w14:textId="77777777" w:rsidR="00E3707D" w:rsidRPr="000D408E" w:rsidRDefault="00E3707D" w:rsidP="000D408E"/>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46"/>
      </w:tblGrid>
      <w:tr w:rsidR="00E3707D" w:rsidRPr="00E3707D" w14:paraId="7F3A9815" w14:textId="77777777" w:rsidTr="000D408E">
        <w:tc>
          <w:tcPr>
            <w:tcW w:w="2127" w:type="dxa"/>
          </w:tcPr>
          <w:p w14:paraId="7060B3AC"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Sprawozdawczyni</w:t>
            </w:r>
          </w:p>
          <w:p w14:paraId="48D9C718"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6946" w:type="dxa"/>
          </w:tcPr>
          <w:p w14:paraId="65B7B610" w14:textId="24A48CCB" w:rsidR="00E3707D" w:rsidRPr="00E3707D" w:rsidRDefault="00E3707D" w:rsidP="00E3707D">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(Grupa Pracodawców - LV)</w:t>
            </w:r>
          </w:p>
          <w:p w14:paraId="242A08AE" w14:textId="57BA0B08" w:rsidR="00E3707D" w:rsidRDefault="00E3707D" w:rsidP="00E3707D">
            <w:pPr>
              <w:tabs>
                <w:tab w:val="center" w:pos="284"/>
              </w:tabs>
              <w:overflowPunct w:val="0"/>
              <w:autoSpaceDE w:val="0"/>
              <w:autoSpaceDN w:val="0"/>
              <w:adjustRightInd w:val="0"/>
              <w:ind w:left="266" w:hanging="266"/>
              <w:textAlignment w:val="baseline"/>
            </w:pPr>
            <w:proofErr w:type="spellStart"/>
            <w:r>
              <w:t>Petru</w:t>
            </w:r>
            <w:proofErr w:type="spellEnd"/>
            <w:r>
              <w:t xml:space="preserve"> </w:t>
            </w:r>
            <w:proofErr w:type="spellStart"/>
            <w:r>
              <w:t>Sorin</w:t>
            </w:r>
            <w:proofErr w:type="spellEnd"/>
            <w:r>
              <w:t xml:space="preserve"> DANDEA (Grupa Pracowników – RO)</w:t>
            </w:r>
          </w:p>
          <w:p w14:paraId="53D0758E" w14:textId="72F8DE7E" w:rsidR="002059F6" w:rsidRPr="00E3707D" w:rsidRDefault="002059F6" w:rsidP="00E3707D">
            <w:pPr>
              <w:tabs>
                <w:tab w:val="center" w:pos="284"/>
              </w:tabs>
              <w:overflowPunct w:val="0"/>
              <w:autoSpaceDE w:val="0"/>
              <w:autoSpaceDN w:val="0"/>
              <w:adjustRightInd w:val="0"/>
              <w:ind w:left="266" w:hanging="266"/>
              <w:textAlignment w:val="baseline"/>
              <w:rPr>
                <w:bCs/>
              </w:rPr>
            </w:pPr>
          </w:p>
        </w:tc>
      </w:tr>
      <w:tr w:rsidR="00E3707D" w:rsidRPr="00E3707D" w14:paraId="3FF8ABC4" w14:textId="77777777" w:rsidTr="000D408E">
        <w:tc>
          <w:tcPr>
            <w:tcW w:w="2127" w:type="dxa"/>
          </w:tcPr>
          <w:p w14:paraId="05E9531F"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Dokumenty źródłowe</w:t>
            </w:r>
          </w:p>
        </w:tc>
        <w:tc>
          <w:tcPr>
            <w:tcW w:w="6946" w:type="dxa"/>
          </w:tcPr>
          <w:p w14:paraId="6326788B" w14:textId="17461018" w:rsidR="00E3707D" w:rsidRPr="00E3707D" w:rsidRDefault="00E3707D" w:rsidP="00E3707D">
            <w:pPr>
              <w:tabs>
                <w:tab w:val="center" w:pos="284"/>
              </w:tabs>
              <w:overflowPunct w:val="0"/>
              <w:autoSpaceDE w:val="0"/>
              <w:autoSpaceDN w:val="0"/>
              <w:adjustRightInd w:val="0"/>
              <w:ind w:left="266" w:hanging="266"/>
              <w:textAlignment w:val="baseline"/>
            </w:pPr>
            <w:r>
              <w:t xml:space="preserve">COM(2025) 574 </w:t>
            </w:r>
            <w:proofErr w:type="spellStart"/>
            <w:r>
              <w:t>final</w:t>
            </w:r>
            <w:proofErr w:type="spellEnd"/>
            <w:r>
              <w:t xml:space="preserve"> </w:t>
            </w:r>
          </w:p>
          <w:p w14:paraId="55EB53BF" w14:textId="75E4288E" w:rsidR="00E3707D" w:rsidRPr="00E3707D" w:rsidRDefault="00E3707D" w:rsidP="00E3707D">
            <w:pPr>
              <w:tabs>
                <w:tab w:val="center" w:pos="284"/>
              </w:tabs>
              <w:overflowPunct w:val="0"/>
              <w:autoSpaceDE w:val="0"/>
              <w:autoSpaceDN w:val="0"/>
              <w:adjustRightInd w:val="0"/>
              <w:ind w:left="266" w:hanging="266"/>
              <w:textAlignment w:val="baseline"/>
            </w:pPr>
            <w:r>
              <w:t>EESC-2025-02595-00-00-AC</w:t>
            </w:r>
          </w:p>
        </w:tc>
      </w:tr>
    </w:tbl>
    <w:p w14:paraId="41E24ED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pt-PT"/>
        </w:rPr>
      </w:pPr>
    </w:p>
    <w:p w14:paraId="21F6DF9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rPr>
      </w:pPr>
      <w:r>
        <w:rPr>
          <w:b/>
        </w:rPr>
        <w:t>Główne punkty</w:t>
      </w:r>
    </w:p>
    <w:p w14:paraId="16EBEBF6"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en-GB"/>
        </w:rPr>
      </w:pPr>
    </w:p>
    <w:p w14:paraId="73C802DF" w14:textId="77777777" w:rsidR="00E3707D" w:rsidRDefault="00E3707D" w:rsidP="00E3707D">
      <w:pPr>
        <w:overflowPunct w:val="0"/>
        <w:autoSpaceDE w:val="0"/>
        <w:autoSpaceDN w:val="0"/>
        <w:adjustRightInd w:val="0"/>
        <w:textAlignment w:val="baseline"/>
        <w:rPr>
          <w:bCs/>
          <w:iCs/>
        </w:rPr>
      </w:pPr>
      <w:r>
        <w:t>EKES</w:t>
      </w:r>
    </w:p>
    <w:p w14:paraId="566569EC" w14:textId="77777777" w:rsidR="002059F6" w:rsidRPr="00776281" w:rsidRDefault="002059F6" w:rsidP="00776281"/>
    <w:p w14:paraId="5B23224A" w14:textId="77777777" w:rsidR="00E3707D" w:rsidRPr="00776281" w:rsidRDefault="00E3707D" w:rsidP="00776281">
      <w:pPr>
        <w:pStyle w:val="ListParagraph"/>
        <w:numPr>
          <w:ilvl w:val="0"/>
          <w:numId w:val="58"/>
        </w:numPr>
        <w:ind w:left="357" w:hanging="357"/>
      </w:pPr>
      <w:bookmarkStart w:id="28" w:name="_Toc220082127"/>
      <w:bookmarkStart w:id="29" w:name="_Toc220082175"/>
      <w:r w:rsidRPr="00776281">
        <w:t>Podkreśla, że debata na temat nowych zasobów własnych powinna wykroczyć poza dostosowania techniczne i stać się strategiczną refleksją nad sposobami wzmocnienia autonomii finansowej, spójności i konkurencyjności UE.</w:t>
      </w:r>
      <w:bookmarkEnd w:id="28"/>
      <w:bookmarkEnd w:id="29"/>
    </w:p>
    <w:p w14:paraId="61353E52" w14:textId="34100059" w:rsidR="00E3707D" w:rsidRPr="00776281" w:rsidRDefault="00E3707D" w:rsidP="00776281">
      <w:pPr>
        <w:pStyle w:val="ListParagraph"/>
        <w:numPr>
          <w:ilvl w:val="0"/>
          <w:numId w:val="58"/>
        </w:numPr>
        <w:ind w:left="357" w:hanging="357"/>
      </w:pPr>
      <w:bookmarkStart w:id="30" w:name="_Toc220082128"/>
      <w:bookmarkStart w:id="31" w:name="_Toc220082176"/>
      <w:r w:rsidRPr="00776281">
        <w:t>Zachęca Komisję Europejską do dalszego dopracowania ogólnego kształtu proponowanego pakietu dotyczącego zasobów własnych, aby uczynić go ambitnym, wyważonym i ukierunkowanym na przyszłość. Komisja powinna: (a) określić jasny plan działania na rzecz stopniowego ograniczania zależności od wkładów opartych na DNB</w:t>
      </w:r>
      <w:r w:rsidR="00776281">
        <w:t>;</w:t>
      </w:r>
      <w:r w:rsidRPr="00776281">
        <w:t xml:space="preserve"> (b) opracować środki i promować spójność i</w:t>
      </w:r>
      <w:r w:rsidR="000D408E">
        <w:t> </w:t>
      </w:r>
      <w:r w:rsidRPr="00776281">
        <w:t>sprawiedliwość w celu zapewnienia, aby wszystkie państwa członkowskie wnosiły wkład proporcjonalny do ich siły gospodarczej;</w:t>
      </w:r>
      <w:bookmarkStart w:id="32" w:name="_Toc220082129"/>
      <w:bookmarkStart w:id="33" w:name="_Toc220082177"/>
      <w:bookmarkEnd w:id="30"/>
      <w:bookmarkEnd w:id="31"/>
      <w:r w:rsidR="00776281">
        <w:t xml:space="preserve"> </w:t>
      </w:r>
      <w:r w:rsidRPr="00776281">
        <w:t>(c) uwzględniać aspekt konkurencyjności i wpływu na MŚP we wszystkich nowych wnioskach dotyczących zasobów własnych (d) utrzymać pewien stopień elastyczności w mechanizmach reagowania kryzysowego.</w:t>
      </w:r>
      <w:bookmarkEnd w:id="32"/>
      <w:bookmarkEnd w:id="33"/>
    </w:p>
    <w:p w14:paraId="52A4B5EA" w14:textId="160305F0" w:rsidR="00E3707D" w:rsidRPr="00776281" w:rsidRDefault="00E3707D" w:rsidP="00776281">
      <w:pPr>
        <w:pStyle w:val="ListParagraph"/>
        <w:numPr>
          <w:ilvl w:val="0"/>
          <w:numId w:val="58"/>
        </w:numPr>
        <w:ind w:left="357" w:hanging="357"/>
      </w:pPr>
      <w:bookmarkStart w:id="34" w:name="_Toc220082130"/>
      <w:bookmarkStart w:id="35" w:name="_Toc220082178"/>
      <w:r w:rsidRPr="00776281">
        <w:t>Zwraca się do Rady i Parlamentu Europejskiego o wypracowanie szerokiego i trwałego konsensusu poprzez pragmatyczne, wieloetapowe i oparte na dowodach podejście. Te instytucje powinny: (a)</w:t>
      </w:r>
      <w:r w:rsidR="000D408E">
        <w:t> </w:t>
      </w:r>
      <w:r w:rsidRPr="00776281">
        <w:t>przyspieszyć prace nad wnioskami, które są gotowe do wdrożenia w pierwszej kolejności – takimi jak zasoby oparte na CBAM, zmodernizowany wkład pochodzący z tworzyw sztucznych i</w:t>
      </w:r>
      <w:r w:rsidR="000D408E">
        <w:t> </w:t>
      </w:r>
      <w:r w:rsidRPr="00776281">
        <w:t>reforma zatrzymywania należności celnych – przy jednoczesnym zapewnieniu dłuższego czasu na dyskusję i analizę złożonych instrumentów; (b) uzgodnić wspólną międzyinstytucjonalną klauzulę przeglądową, tak aby wszystkie nowe zasoby własne podlegały ocenie w ciągu dwóch lat od wejścia w życie; (c) zagwarantować włączenie do ostatecznego pakietu mechanizmów zapobiegających regresywności i zapewniających rekompensatę państwom członkowskim położonym na granicach zewnętrznych UE.</w:t>
      </w:r>
      <w:bookmarkEnd w:id="34"/>
      <w:bookmarkEnd w:id="35"/>
    </w:p>
    <w:p w14:paraId="13E3C1F4" w14:textId="77777777" w:rsidR="00E3707D" w:rsidRPr="00776281" w:rsidRDefault="00E3707D" w:rsidP="00776281">
      <w:pPr>
        <w:pStyle w:val="ListParagraph"/>
        <w:numPr>
          <w:ilvl w:val="0"/>
          <w:numId w:val="58"/>
        </w:numPr>
        <w:ind w:left="357" w:hanging="357"/>
      </w:pPr>
      <w:bookmarkStart w:id="36" w:name="_Toc220082131"/>
      <w:bookmarkStart w:id="37" w:name="_Toc220082179"/>
      <w:r w:rsidRPr="00776281">
        <w:t>Uważa, że we wniosku dotyczącym zasobów własnych opartych na wkładzie przedsiębiorstw (CORE) brakuje jasności co do jego praktycznego funkcjonowania; wyraża pewne zastrzeżenia co do całego wniosku CORE.</w:t>
      </w:r>
      <w:bookmarkEnd w:id="36"/>
      <w:bookmarkEnd w:id="37"/>
    </w:p>
    <w:p w14:paraId="23946F5B" w14:textId="7392F541" w:rsidR="00E3707D" w:rsidRPr="00776281" w:rsidRDefault="00E3707D" w:rsidP="00776281">
      <w:pPr>
        <w:pStyle w:val="ListParagraph"/>
        <w:numPr>
          <w:ilvl w:val="0"/>
          <w:numId w:val="58"/>
        </w:numPr>
        <w:ind w:left="357" w:hanging="357"/>
      </w:pPr>
      <w:bookmarkStart w:id="38" w:name="_Toc220082132"/>
      <w:bookmarkStart w:id="39" w:name="_Toc220082180"/>
      <w:r w:rsidRPr="00776281">
        <w:t>Z zadowoleniem przyjmuje pozytywny wkład, jaki zarówno CBAM, jak i mechanizm dotyczący e</w:t>
      </w:r>
      <w:r w:rsidR="000D408E">
        <w:noBreakHyphen/>
      </w:r>
      <w:r w:rsidRPr="00776281">
        <w:t>odpadów mogłyby wnieść w zrównoważony rozwój i obieg zamknięty.</w:t>
      </w:r>
      <w:bookmarkEnd w:id="38"/>
      <w:bookmarkEnd w:id="39"/>
    </w:p>
    <w:p w14:paraId="1080B500" w14:textId="77777777" w:rsidR="00E3707D" w:rsidRPr="00776281" w:rsidRDefault="00E3707D" w:rsidP="00776281">
      <w:pPr>
        <w:pStyle w:val="ListParagraph"/>
        <w:numPr>
          <w:ilvl w:val="0"/>
          <w:numId w:val="58"/>
        </w:numPr>
        <w:ind w:left="357" w:hanging="357"/>
      </w:pPr>
      <w:bookmarkStart w:id="40" w:name="_Toc220082133"/>
      <w:bookmarkStart w:id="41" w:name="_Toc220082181"/>
      <w:r w:rsidRPr="00776281">
        <w:t>Zauważa, że wniosek w sprawie zasobów własnych opartych na podatku akcyzowym od wyrobów tytoniowych należy starannie opracować, aby uniknąć negatywnych skutków w regionach przygranicznych lub tworzenia zachęt do nielegalnego handlu.</w:t>
      </w:r>
      <w:bookmarkEnd w:id="40"/>
      <w:bookmarkEnd w:id="41"/>
    </w:p>
    <w:p w14:paraId="34AC8AA8" w14:textId="77777777" w:rsidR="00E3707D" w:rsidRPr="00776281" w:rsidRDefault="00E3707D" w:rsidP="00776281">
      <w:pPr>
        <w:pStyle w:val="ListParagraph"/>
        <w:numPr>
          <w:ilvl w:val="0"/>
          <w:numId w:val="58"/>
        </w:numPr>
        <w:ind w:left="357" w:hanging="357"/>
      </w:pPr>
      <w:bookmarkStart w:id="42" w:name="_Toc220082134"/>
      <w:bookmarkStart w:id="43" w:name="_Toc220082182"/>
      <w:r w:rsidRPr="00776281">
        <w:t>Popiera obniżenie do 10% zatrzymywania należności celnych jako krok w kierunku większej spójności finansowej UE, pod warunkiem ustanowienia odpowiednich mechanizmów kompensacyjnych.</w:t>
      </w:r>
      <w:bookmarkEnd w:id="42"/>
      <w:bookmarkEnd w:id="43"/>
    </w:p>
    <w:p w14:paraId="5A5017B6" w14:textId="77777777" w:rsidR="00E3707D" w:rsidRPr="00776281" w:rsidRDefault="00E3707D" w:rsidP="00776281">
      <w:pPr>
        <w:pStyle w:val="ListParagraph"/>
        <w:numPr>
          <w:ilvl w:val="0"/>
          <w:numId w:val="58"/>
        </w:numPr>
        <w:ind w:left="357" w:hanging="357"/>
      </w:pPr>
      <w:bookmarkStart w:id="44" w:name="_Toc220082135"/>
      <w:bookmarkStart w:id="45" w:name="_Toc220082183"/>
      <w:r w:rsidRPr="00776281">
        <w:lastRenderedPageBreak/>
        <w:t xml:space="preserve">Przyjmuje z aprobatą zniesienie progu de </w:t>
      </w:r>
      <w:proofErr w:type="spellStart"/>
      <w:r w:rsidRPr="00776281">
        <w:t>minimis</w:t>
      </w:r>
      <w:proofErr w:type="spellEnd"/>
      <w:r w:rsidRPr="00776281">
        <w:t xml:space="preserve"> wynoszącego 150 EUR odnośnie do paczek wysyłanych do UE z państw trzecich oraz wprowadzenie od listopada 2026 r. opłaty manipulacyjnej w handlu elektronicznym, która mogłaby stać się nowym zasobem własnym budżetu UE.</w:t>
      </w:r>
      <w:bookmarkEnd w:id="44"/>
      <w:bookmarkEnd w:id="45"/>
    </w:p>
    <w:p w14:paraId="4DAA824C" w14:textId="77777777" w:rsidR="00E3707D" w:rsidRPr="00E3707D" w:rsidRDefault="00E3707D" w:rsidP="00E3707D">
      <w:pPr>
        <w:overflowPunct w:val="0"/>
        <w:autoSpaceDE w:val="0"/>
        <w:autoSpaceDN w:val="0"/>
        <w:adjustRightInd w:val="0"/>
        <w:textAlignment w:val="baseline"/>
        <w:rPr>
          <w:bCs/>
          <w:iCs/>
          <w:lang w:val="en-GB"/>
        </w:rPr>
      </w:pPr>
    </w:p>
    <w:tbl>
      <w:tblPr>
        <w:tblStyle w:val="TableGrid4"/>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E3707D" w:rsidRPr="00E3707D" w14:paraId="21B6BE42" w14:textId="77777777" w:rsidTr="005B3E63">
        <w:tc>
          <w:tcPr>
            <w:tcW w:w="1418" w:type="dxa"/>
          </w:tcPr>
          <w:p w14:paraId="21558E01" w14:textId="77777777" w:rsidR="00E3707D" w:rsidRPr="00E3707D" w:rsidRDefault="00E3707D" w:rsidP="00E3707D">
            <w:pPr>
              <w:overflowPunct w:val="0"/>
              <w:autoSpaceDE w:val="0"/>
              <w:autoSpaceDN w:val="0"/>
              <w:adjustRightInd w:val="0"/>
              <w:textAlignment w:val="baseline"/>
              <w:rPr>
                <w:i/>
              </w:rPr>
            </w:pPr>
            <w:r>
              <w:rPr>
                <w:b/>
                <w:i/>
              </w:rPr>
              <w:t>Kontakt</w:t>
            </w:r>
          </w:p>
        </w:tc>
        <w:tc>
          <w:tcPr>
            <w:tcW w:w="7904" w:type="dxa"/>
          </w:tcPr>
          <w:p w14:paraId="6A358185" w14:textId="6A297F81" w:rsidR="00E3707D" w:rsidRPr="00E3707D" w:rsidRDefault="00E3707D" w:rsidP="00E3707D">
            <w:pPr>
              <w:overflowPunct w:val="0"/>
              <w:autoSpaceDE w:val="0"/>
              <w:autoSpaceDN w:val="0"/>
              <w:adjustRightInd w:val="0"/>
              <w:textAlignment w:val="baseline"/>
              <w:rPr>
                <w:i/>
              </w:rPr>
            </w:pPr>
            <w:r>
              <w:rPr>
                <w:i/>
              </w:rPr>
              <w:t xml:space="preserve">Gerald </w:t>
            </w:r>
            <w:proofErr w:type="spellStart"/>
            <w:r>
              <w:rPr>
                <w:i/>
              </w:rPr>
              <w:t>Klec</w:t>
            </w:r>
            <w:proofErr w:type="spellEnd"/>
          </w:p>
        </w:tc>
      </w:tr>
      <w:tr w:rsidR="00E3707D" w:rsidRPr="00E3707D" w14:paraId="009AA950" w14:textId="77777777" w:rsidTr="005B3E63">
        <w:tc>
          <w:tcPr>
            <w:tcW w:w="1418" w:type="dxa"/>
          </w:tcPr>
          <w:p w14:paraId="7AADB5E0" w14:textId="77777777" w:rsidR="00E3707D" w:rsidRPr="00E3707D" w:rsidRDefault="00E3707D" w:rsidP="00E3707D">
            <w:pPr>
              <w:overflowPunct w:val="0"/>
              <w:autoSpaceDE w:val="0"/>
              <w:autoSpaceDN w:val="0"/>
              <w:adjustRightInd w:val="0"/>
              <w:textAlignment w:val="baseline"/>
              <w:rPr>
                <w:i/>
              </w:rPr>
            </w:pPr>
            <w:r>
              <w:rPr>
                <w:i/>
              </w:rPr>
              <w:t>Tel.:</w:t>
            </w:r>
          </w:p>
        </w:tc>
        <w:tc>
          <w:tcPr>
            <w:tcW w:w="7904" w:type="dxa"/>
          </w:tcPr>
          <w:p w14:paraId="752752A6" w14:textId="0DC273E7" w:rsidR="00E3707D" w:rsidRPr="00E3707D" w:rsidRDefault="00E3707D" w:rsidP="00E3707D">
            <w:pPr>
              <w:overflowPunct w:val="0"/>
              <w:autoSpaceDE w:val="0"/>
              <w:autoSpaceDN w:val="0"/>
              <w:adjustRightInd w:val="0"/>
              <w:textAlignment w:val="baseline"/>
              <w:rPr>
                <w:i/>
              </w:rPr>
            </w:pPr>
            <w:r>
              <w:rPr>
                <w:i/>
              </w:rPr>
              <w:t>+32 25469909</w:t>
            </w:r>
          </w:p>
        </w:tc>
      </w:tr>
      <w:tr w:rsidR="00E3707D" w:rsidRPr="00E3707D" w14:paraId="090F9241" w14:textId="77777777" w:rsidTr="005B3E63">
        <w:tc>
          <w:tcPr>
            <w:tcW w:w="1418" w:type="dxa"/>
          </w:tcPr>
          <w:p w14:paraId="485E110B" w14:textId="77777777" w:rsidR="00E3707D" w:rsidRPr="00E3707D" w:rsidRDefault="00E3707D" w:rsidP="00E3707D">
            <w:pPr>
              <w:overflowPunct w:val="0"/>
              <w:autoSpaceDE w:val="0"/>
              <w:autoSpaceDN w:val="0"/>
              <w:adjustRightInd w:val="0"/>
              <w:textAlignment w:val="baseline"/>
              <w:rPr>
                <w:i/>
              </w:rPr>
            </w:pPr>
            <w:r>
              <w:rPr>
                <w:i/>
              </w:rPr>
              <w:t>e-mail:</w:t>
            </w:r>
          </w:p>
        </w:tc>
        <w:tc>
          <w:tcPr>
            <w:tcW w:w="7904" w:type="dxa"/>
          </w:tcPr>
          <w:p w14:paraId="5BC0A890" w14:textId="77777777" w:rsidR="00E3707D" w:rsidRPr="00E3707D" w:rsidRDefault="00C93EBC" w:rsidP="00E3707D">
            <w:pPr>
              <w:overflowPunct w:val="0"/>
              <w:autoSpaceDE w:val="0"/>
              <w:autoSpaceDN w:val="0"/>
              <w:adjustRightInd w:val="0"/>
              <w:textAlignment w:val="baseline"/>
              <w:rPr>
                <w:i/>
                <w:iCs/>
              </w:rPr>
            </w:pPr>
            <w:hyperlink r:id="rId29" w:history="1">
              <w:r w:rsidR="00036171">
                <w:rPr>
                  <w:i/>
                  <w:color w:val="0000FF"/>
                  <w:u w:val="single"/>
                </w:rPr>
                <w:t>Gerald.Klec@eesc.europa.eu</w:t>
              </w:r>
            </w:hyperlink>
          </w:p>
        </w:tc>
      </w:tr>
    </w:tbl>
    <w:p w14:paraId="6FE125A3" w14:textId="77777777" w:rsidR="004D7AC0" w:rsidRDefault="004D7AC0" w:rsidP="004D7AC0">
      <w:pPr>
        <w:pStyle w:val="ListParagraph"/>
        <w:ind w:left="0"/>
      </w:pPr>
    </w:p>
    <w:p w14:paraId="4982DD98" w14:textId="77777777" w:rsidR="004D7AC0" w:rsidRDefault="004D7AC0" w:rsidP="004D7AC0">
      <w:pPr>
        <w:spacing w:after="160" w:line="259" w:lineRule="auto"/>
        <w:jc w:val="left"/>
      </w:pPr>
      <w:r>
        <w:br w:type="page"/>
      </w:r>
    </w:p>
    <w:p w14:paraId="4982DD99" w14:textId="77777777" w:rsidR="004D7AC0" w:rsidRDefault="004D7AC0" w:rsidP="004D7AC0">
      <w:pPr>
        <w:pStyle w:val="Heading1"/>
        <w:rPr>
          <w:b/>
        </w:rPr>
      </w:pPr>
      <w:bookmarkStart w:id="46" w:name="_Toc75527081"/>
      <w:bookmarkStart w:id="47" w:name="_Toc221257999"/>
      <w:r>
        <w:rPr>
          <w:b/>
        </w:rPr>
        <w:lastRenderedPageBreak/>
        <w:t>ZATRUDNIENIE, SPRAWY SPOŁECZNE I OBYWATELSTWO</w:t>
      </w:r>
      <w:bookmarkEnd w:id="46"/>
      <w:bookmarkEnd w:id="47"/>
    </w:p>
    <w:p w14:paraId="4982DD9A" w14:textId="77777777" w:rsidR="004D7AC0" w:rsidRDefault="004D7AC0" w:rsidP="004D7AC0"/>
    <w:p w14:paraId="165D188C" w14:textId="77E52D25" w:rsidR="00DA024B" w:rsidRPr="00DA024B" w:rsidRDefault="00C93EBC" w:rsidP="00DA024B">
      <w:pPr>
        <w:widowControl w:val="0"/>
        <w:numPr>
          <w:ilvl w:val="0"/>
          <w:numId w:val="4"/>
        </w:numPr>
        <w:overflowPunct w:val="0"/>
        <w:autoSpaceDE w:val="0"/>
        <w:autoSpaceDN w:val="0"/>
        <w:adjustRightInd w:val="0"/>
        <w:ind w:hanging="567"/>
        <w:textAlignment w:val="baseline"/>
        <w:rPr>
          <w:sz w:val="24"/>
          <w:szCs w:val="24"/>
        </w:rPr>
      </w:pPr>
      <w:hyperlink r:id="rId30" w:history="1">
        <w:r w:rsidR="00036171">
          <w:rPr>
            <w:b/>
            <w:i/>
            <w:color w:val="0000FF"/>
            <w:sz w:val="28"/>
            <w:u w:val="single"/>
          </w:rPr>
          <w:t xml:space="preserve">My Voice, My Choice: for </w:t>
        </w:r>
        <w:proofErr w:type="spellStart"/>
        <w:r w:rsidR="00036171">
          <w:rPr>
            <w:b/>
            <w:i/>
            <w:color w:val="0000FF"/>
            <w:sz w:val="28"/>
            <w:u w:val="single"/>
          </w:rPr>
          <w:t>safe</w:t>
        </w:r>
        <w:proofErr w:type="spellEnd"/>
        <w:r w:rsidR="00036171">
          <w:rPr>
            <w:b/>
            <w:i/>
            <w:color w:val="0000FF"/>
            <w:sz w:val="28"/>
            <w:u w:val="single"/>
          </w:rPr>
          <w:t xml:space="preserve"> and </w:t>
        </w:r>
        <w:proofErr w:type="spellStart"/>
        <w:r w:rsidR="00036171">
          <w:rPr>
            <w:b/>
            <w:i/>
            <w:color w:val="0000FF"/>
            <w:sz w:val="28"/>
            <w:u w:val="single"/>
          </w:rPr>
          <w:t>accessible</w:t>
        </w:r>
        <w:proofErr w:type="spellEnd"/>
        <w:r w:rsidR="00036171">
          <w:rPr>
            <w:b/>
            <w:i/>
            <w:color w:val="0000FF"/>
            <w:sz w:val="28"/>
            <w:u w:val="single"/>
          </w:rPr>
          <w:t xml:space="preserve"> </w:t>
        </w:r>
        <w:proofErr w:type="spellStart"/>
        <w:r w:rsidR="00036171">
          <w:rPr>
            <w:b/>
            <w:i/>
            <w:color w:val="0000FF"/>
            <w:sz w:val="28"/>
            <w:u w:val="single"/>
          </w:rPr>
          <w:t>abortion</w:t>
        </w:r>
        <w:proofErr w:type="spellEnd"/>
      </w:hyperlink>
    </w:p>
    <w:p w14:paraId="0C83709B" w14:textId="77777777" w:rsidR="00DA024B" w:rsidRPr="00DA024B" w:rsidRDefault="00DA024B" w:rsidP="00DA024B">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4997"/>
      </w:tblGrid>
      <w:tr w:rsidR="00DA024B" w:rsidRPr="00DA024B" w14:paraId="616A570F" w14:textId="77777777" w:rsidTr="000D408E">
        <w:tc>
          <w:tcPr>
            <w:tcW w:w="2091" w:type="dxa"/>
          </w:tcPr>
          <w:p w14:paraId="29839133" w14:textId="2E01E88B"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Sprawozdawca</w:t>
            </w:r>
          </w:p>
        </w:tc>
        <w:tc>
          <w:tcPr>
            <w:tcW w:w="4997" w:type="dxa"/>
          </w:tcPr>
          <w:p w14:paraId="37660F6B" w14:textId="1A42D8F7" w:rsidR="00DA024B" w:rsidRPr="00DA024B" w:rsidRDefault="00DA024B" w:rsidP="00DA024B">
            <w:pPr>
              <w:tabs>
                <w:tab w:val="center" w:pos="284"/>
              </w:tabs>
              <w:overflowPunct w:val="0"/>
              <w:autoSpaceDE w:val="0"/>
              <w:autoSpaceDN w:val="0"/>
              <w:adjustRightInd w:val="0"/>
              <w:ind w:left="266" w:hanging="266"/>
              <w:textAlignment w:val="baseline"/>
            </w:pPr>
            <w:r>
              <w:t>José Antonio MORENO DÍAZ (Grupa Pracowników – ES)</w:t>
            </w:r>
          </w:p>
        </w:tc>
      </w:tr>
      <w:tr w:rsidR="00DA024B" w:rsidRPr="00DA024B" w14:paraId="1556A8CF" w14:textId="77777777" w:rsidTr="00D27336">
        <w:tc>
          <w:tcPr>
            <w:tcW w:w="7088" w:type="dxa"/>
            <w:gridSpan w:val="2"/>
          </w:tcPr>
          <w:p w14:paraId="479AB676" w14:textId="77777777" w:rsidR="00DA024B" w:rsidRPr="00DA024B" w:rsidRDefault="00DA024B" w:rsidP="00DA024B">
            <w:pPr>
              <w:tabs>
                <w:tab w:val="center" w:pos="284"/>
              </w:tabs>
              <w:overflowPunct w:val="0"/>
              <w:autoSpaceDE w:val="0"/>
              <w:autoSpaceDN w:val="0"/>
              <w:adjustRightInd w:val="0"/>
              <w:spacing w:line="160" w:lineRule="exact"/>
              <w:ind w:left="266" w:hanging="266"/>
              <w:textAlignment w:val="baseline"/>
              <w:rPr>
                <w:lang w:val="es-ES"/>
              </w:rPr>
            </w:pPr>
          </w:p>
        </w:tc>
      </w:tr>
      <w:tr w:rsidR="00DA024B" w:rsidRPr="00DA024B" w14:paraId="32A3AAD0" w14:textId="77777777" w:rsidTr="000D408E">
        <w:tc>
          <w:tcPr>
            <w:tcW w:w="2091" w:type="dxa"/>
            <w:vMerge w:val="restart"/>
          </w:tcPr>
          <w:p w14:paraId="3896BBCE" w14:textId="447F2F6D"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Dokument źródłowy</w:t>
            </w:r>
          </w:p>
        </w:tc>
        <w:tc>
          <w:tcPr>
            <w:tcW w:w="4997" w:type="dxa"/>
          </w:tcPr>
          <w:p w14:paraId="09AFA6EE" w14:textId="009D4F43" w:rsidR="00DA024B" w:rsidRPr="00DA024B" w:rsidRDefault="00DA024B" w:rsidP="00DA024B">
            <w:pPr>
              <w:tabs>
                <w:tab w:val="center" w:pos="284"/>
              </w:tabs>
              <w:overflowPunct w:val="0"/>
              <w:autoSpaceDE w:val="0"/>
              <w:autoSpaceDN w:val="0"/>
              <w:adjustRightInd w:val="0"/>
              <w:ind w:left="266" w:hanging="266"/>
              <w:textAlignment w:val="baseline"/>
            </w:pPr>
            <w:r>
              <w:t>Opinia z inicjatywy własnej</w:t>
            </w:r>
          </w:p>
        </w:tc>
      </w:tr>
      <w:tr w:rsidR="00DA024B" w:rsidRPr="00DA024B" w14:paraId="770A643E" w14:textId="77777777" w:rsidTr="000D408E">
        <w:tc>
          <w:tcPr>
            <w:tcW w:w="2091" w:type="dxa"/>
            <w:vMerge/>
          </w:tcPr>
          <w:p w14:paraId="4BDCC9CD" w14:textId="77777777" w:rsidR="00DA024B" w:rsidRPr="00DA024B" w:rsidRDefault="00DA024B" w:rsidP="00DA024B">
            <w:pPr>
              <w:tabs>
                <w:tab w:val="center" w:pos="284"/>
              </w:tabs>
              <w:overflowPunct w:val="0"/>
              <w:autoSpaceDE w:val="0"/>
              <w:autoSpaceDN w:val="0"/>
              <w:adjustRightInd w:val="0"/>
              <w:ind w:left="266" w:hanging="266"/>
              <w:textAlignment w:val="baseline"/>
              <w:rPr>
                <w:b/>
                <w:lang w:val="en-GB"/>
              </w:rPr>
            </w:pPr>
          </w:p>
        </w:tc>
        <w:tc>
          <w:tcPr>
            <w:tcW w:w="4997" w:type="dxa"/>
          </w:tcPr>
          <w:p w14:paraId="24EE10E2" w14:textId="77777777" w:rsidR="00DA024B" w:rsidRDefault="00DA024B" w:rsidP="00DA024B">
            <w:pPr>
              <w:tabs>
                <w:tab w:val="center" w:pos="284"/>
              </w:tabs>
              <w:overflowPunct w:val="0"/>
              <w:autoSpaceDE w:val="0"/>
              <w:autoSpaceDN w:val="0"/>
              <w:adjustRightInd w:val="0"/>
              <w:ind w:left="266" w:hanging="266"/>
              <w:textAlignment w:val="baseline"/>
            </w:pPr>
            <w:r>
              <w:t>EESC-2025-03118-00-00-AC</w:t>
            </w:r>
          </w:p>
          <w:p w14:paraId="703687F3" w14:textId="77777777" w:rsidR="000C31E1" w:rsidRPr="00DA024B" w:rsidRDefault="000C31E1" w:rsidP="00DA024B">
            <w:pPr>
              <w:tabs>
                <w:tab w:val="center" w:pos="284"/>
              </w:tabs>
              <w:overflowPunct w:val="0"/>
              <w:autoSpaceDE w:val="0"/>
              <w:autoSpaceDN w:val="0"/>
              <w:adjustRightInd w:val="0"/>
              <w:ind w:left="266" w:hanging="266"/>
              <w:textAlignment w:val="baseline"/>
              <w:rPr>
                <w:lang w:val="en-GB"/>
              </w:rPr>
            </w:pPr>
          </w:p>
        </w:tc>
      </w:tr>
    </w:tbl>
    <w:p w14:paraId="64B49F2C" w14:textId="77777777" w:rsidR="00DA024B" w:rsidRPr="00DA024B" w:rsidRDefault="00DA024B" w:rsidP="00DA024B">
      <w:pPr>
        <w:keepNext/>
        <w:keepLines/>
        <w:tabs>
          <w:tab w:val="center" w:pos="284"/>
        </w:tabs>
        <w:overflowPunct w:val="0"/>
        <w:autoSpaceDE w:val="0"/>
        <w:autoSpaceDN w:val="0"/>
        <w:adjustRightInd w:val="0"/>
        <w:ind w:left="266" w:hanging="266"/>
        <w:textAlignment w:val="baseline"/>
        <w:rPr>
          <w:b/>
        </w:rPr>
      </w:pPr>
      <w:r>
        <w:rPr>
          <w:b/>
        </w:rPr>
        <w:t>Główne punkty:</w:t>
      </w:r>
    </w:p>
    <w:p w14:paraId="004B568C" w14:textId="77777777" w:rsidR="00DA024B" w:rsidRPr="00DA024B" w:rsidRDefault="00DA024B" w:rsidP="00DA024B">
      <w:pPr>
        <w:overflowPunct w:val="0"/>
        <w:autoSpaceDE w:val="0"/>
        <w:autoSpaceDN w:val="0"/>
        <w:adjustRightInd w:val="0"/>
        <w:textAlignment w:val="baseline"/>
        <w:rPr>
          <w:bCs/>
          <w:iCs/>
          <w:sz w:val="16"/>
          <w:szCs w:val="16"/>
          <w:lang w:val="en-GB"/>
        </w:rPr>
      </w:pPr>
    </w:p>
    <w:p w14:paraId="6543DA20" w14:textId="77777777" w:rsidR="00DA024B" w:rsidRDefault="00DA024B" w:rsidP="00DA024B">
      <w:pPr>
        <w:overflowPunct w:val="0"/>
        <w:autoSpaceDE w:val="0"/>
        <w:autoSpaceDN w:val="0"/>
        <w:adjustRightInd w:val="0"/>
        <w:textAlignment w:val="baseline"/>
        <w:rPr>
          <w:bCs/>
          <w:iCs/>
        </w:rPr>
      </w:pPr>
      <w:r>
        <w:t>EKES</w:t>
      </w:r>
    </w:p>
    <w:p w14:paraId="73CD3525" w14:textId="77777777" w:rsidR="000C31E1" w:rsidRPr="00DA024B" w:rsidRDefault="000C31E1" w:rsidP="00DA024B">
      <w:pPr>
        <w:overflowPunct w:val="0"/>
        <w:autoSpaceDE w:val="0"/>
        <w:autoSpaceDN w:val="0"/>
        <w:adjustRightInd w:val="0"/>
        <w:textAlignment w:val="baseline"/>
        <w:rPr>
          <w:bCs/>
          <w:iCs/>
          <w:lang w:val="en-GB"/>
        </w:rPr>
      </w:pPr>
    </w:p>
    <w:p w14:paraId="7713F057"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Podkreśla wysiłki podejmowane w ramach europejskiej inicjatywy obywatelskiej propagowanej przez ruch </w:t>
      </w:r>
      <w:r>
        <w:rPr>
          <w:b/>
          <w:i/>
        </w:rPr>
        <w:t>„My Voice, My Choice”</w:t>
      </w:r>
      <w:r>
        <w:t xml:space="preserve"> (Mój głos, mój wybór), a także wyraża dla nich uznanie.</w:t>
      </w:r>
    </w:p>
    <w:p w14:paraId="52F8255A"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Przypomina, że</w:t>
      </w:r>
      <w:r>
        <w:rPr>
          <w:b/>
        </w:rPr>
        <w:t xml:space="preserve"> aborcja jest i musi być prawem człowieka,</w:t>
      </w:r>
      <w:r>
        <w:t xml:space="preserve"> które łączy w sobie wiele innych praw, nie tylko prawo do zdrowia.</w:t>
      </w:r>
    </w:p>
    <w:p w14:paraId="14BDCF54"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rPr>
          <w:b/>
        </w:rPr>
        <w:t>Apeluje do Komisji Europejskiej o przedstawienie wniosku</w:t>
      </w:r>
      <w:r>
        <w:t xml:space="preserve"> dotyczącego wsparcia finansowego dla państw członkowskich, tak by każda kobieta w Europie, która nadal nie ma dostępu do bezpiecznej i legalnej aborcji, mogła bezpiecznie przerwać ciążę zgodnie z prawem krajowym.</w:t>
      </w:r>
    </w:p>
    <w:p w14:paraId="50C796F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Zaznacza, że </w:t>
      </w:r>
      <w:r>
        <w:rPr>
          <w:b/>
        </w:rPr>
        <w:t>odmowa lub utrudnianie opieki aborcyjnej stanowią przemoc instytucjonalną ze względu na płeć.</w:t>
      </w:r>
    </w:p>
    <w:p w14:paraId="13F86112"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Podkreśla, że dostęp do bezpiecznej i legalnej aborcji jest jednym z obowiązków Unii w dziedzinie poszanowania godności, integralności oraz równości kobiet.</w:t>
      </w:r>
    </w:p>
    <w:p w14:paraId="3AB0BE5D" w14:textId="3A73B6F6"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Stwierdza, że </w:t>
      </w:r>
      <w:r>
        <w:rPr>
          <w:b/>
        </w:rPr>
        <w:t>decyzja o przerwaniu ciąży powinna należeć wyłącznie do zainteresowanej kobiety</w:t>
      </w:r>
      <w:r>
        <w:t>, która powinna decydować w sposób niezależny i wolny od przymusu, dezinformacji i</w:t>
      </w:r>
      <w:r w:rsidR="003341D1">
        <w:t> </w:t>
      </w:r>
      <w:r>
        <w:t>stygmatyzacji.</w:t>
      </w:r>
    </w:p>
    <w:p w14:paraId="2983D2EC" w14:textId="769DA56B"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Zaznacza, że dostęp do bezpiecznej i legalnej aborcji musi iść w parze ze strategiami politycznymi i</w:t>
      </w:r>
      <w:r w:rsidR="003341D1">
        <w:t> </w:t>
      </w:r>
      <w:r>
        <w:t>programami gwarantującymi swobodny i świadomy wybór oraz kompleksową edukację seksualną.</w:t>
      </w:r>
    </w:p>
    <w:p w14:paraId="413F791B"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Przypomina, że kompleksowa edukacja seksualna jest niezbędna do zapobiegania niechcianym ciążom, do krzewienia równości płci oraz do ochrony przed przemocą seksualną.</w:t>
      </w:r>
    </w:p>
    <w:p w14:paraId="3B15E4B0"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Wzywa państwa członkowskie do włączenia rzetelnej pod względem naukowym oraz dostosowanej do wieku i różnych zdolności kompleksowej edukacji seksualnej do szkolnych programów nauczania.</w:t>
      </w:r>
    </w:p>
    <w:p w14:paraId="51F312A5" w14:textId="6272A944"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Uważa, że Komisja Europejska będzie musiała wyjaśnić, w jaki sposób skonstruuje fundusze UE w</w:t>
      </w:r>
      <w:r w:rsidR="003341D1">
        <w:t> </w:t>
      </w:r>
      <w:r>
        <w:t>celu finansowania korzystania z tego prawa.</w:t>
      </w:r>
    </w:p>
    <w:p w14:paraId="751F348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Proponuje, by Europejski Instytut ds. Równości Kobiet i Mężczyzn (EIGE) i Eurostat gromadziły dane </w:t>
      </w:r>
      <w:proofErr w:type="spellStart"/>
      <w:r>
        <w:t>zdezagregowane</w:t>
      </w:r>
      <w:proofErr w:type="spellEnd"/>
      <w:r>
        <w:t xml:space="preserve"> dotyczące zdrowia i praw seksualnych i reprodukcyjnych.</w:t>
      </w:r>
    </w:p>
    <w:p w14:paraId="49302C03" w14:textId="77777777" w:rsid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Sądzi, że należy wzmocnić prawa kobiet w tym zakresie w obliczu ataków grup skrajnie prawicowych i fundamentalistycznych.</w:t>
      </w:r>
    </w:p>
    <w:p w14:paraId="2780B597" w14:textId="77777777" w:rsidR="00D27336" w:rsidRPr="00DA024B" w:rsidRDefault="00D27336" w:rsidP="00D27336">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A024B" w:rsidRPr="00DA024B" w14:paraId="5C43AAEF" w14:textId="77777777" w:rsidTr="00D27336">
        <w:tc>
          <w:tcPr>
            <w:tcW w:w="1418" w:type="dxa"/>
          </w:tcPr>
          <w:p w14:paraId="581555D1" w14:textId="77777777" w:rsidR="00DA024B" w:rsidRPr="00DA024B" w:rsidRDefault="00DA024B" w:rsidP="00DA024B">
            <w:pPr>
              <w:overflowPunct w:val="0"/>
              <w:autoSpaceDE w:val="0"/>
              <w:autoSpaceDN w:val="0"/>
              <w:adjustRightInd w:val="0"/>
              <w:spacing w:line="240" w:lineRule="auto"/>
              <w:textAlignment w:val="baseline"/>
              <w:rPr>
                <w:i/>
              </w:rPr>
            </w:pPr>
            <w:r>
              <w:rPr>
                <w:b/>
                <w:i/>
              </w:rPr>
              <w:t>Kontakt</w:t>
            </w:r>
          </w:p>
        </w:tc>
        <w:tc>
          <w:tcPr>
            <w:tcW w:w="5670" w:type="dxa"/>
          </w:tcPr>
          <w:p w14:paraId="458A0DE4" w14:textId="77777777" w:rsidR="00DA024B" w:rsidRPr="00DA024B" w:rsidRDefault="00DA024B" w:rsidP="00DA024B">
            <w:pPr>
              <w:overflowPunct w:val="0"/>
              <w:autoSpaceDE w:val="0"/>
              <w:autoSpaceDN w:val="0"/>
              <w:adjustRightInd w:val="0"/>
              <w:spacing w:line="240" w:lineRule="auto"/>
              <w:textAlignment w:val="baseline"/>
              <w:rPr>
                <w:i/>
              </w:rPr>
            </w:pPr>
            <w:r>
              <w:rPr>
                <w:i/>
              </w:rPr>
              <w:t xml:space="preserve">Antoni </w:t>
            </w:r>
            <w:proofErr w:type="spellStart"/>
            <w:r>
              <w:rPr>
                <w:i/>
              </w:rPr>
              <w:t>Torras</w:t>
            </w:r>
            <w:proofErr w:type="spellEnd"/>
            <w:r>
              <w:rPr>
                <w:i/>
              </w:rPr>
              <w:t xml:space="preserve"> </w:t>
            </w:r>
            <w:proofErr w:type="spellStart"/>
            <w:r>
              <w:rPr>
                <w:i/>
              </w:rPr>
              <w:t>Estruch</w:t>
            </w:r>
            <w:proofErr w:type="spellEnd"/>
          </w:p>
        </w:tc>
      </w:tr>
      <w:tr w:rsidR="00DA024B" w:rsidRPr="00DA024B" w14:paraId="2F183540" w14:textId="77777777" w:rsidTr="00D27336">
        <w:tc>
          <w:tcPr>
            <w:tcW w:w="1418" w:type="dxa"/>
          </w:tcPr>
          <w:p w14:paraId="2B017B20" w14:textId="77777777" w:rsidR="00DA024B" w:rsidRPr="00DA024B" w:rsidRDefault="00DA024B" w:rsidP="00DA024B">
            <w:pPr>
              <w:overflowPunct w:val="0"/>
              <w:autoSpaceDE w:val="0"/>
              <w:autoSpaceDN w:val="0"/>
              <w:adjustRightInd w:val="0"/>
              <w:spacing w:line="240" w:lineRule="auto"/>
              <w:textAlignment w:val="baseline"/>
              <w:rPr>
                <w:i/>
              </w:rPr>
            </w:pPr>
            <w:r>
              <w:rPr>
                <w:i/>
              </w:rPr>
              <w:t>Tel.</w:t>
            </w:r>
          </w:p>
        </w:tc>
        <w:tc>
          <w:tcPr>
            <w:tcW w:w="5670" w:type="dxa"/>
          </w:tcPr>
          <w:p w14:paraId="72DD4E78" w14:textId="77777777" w:rsidR="00DA024B" w:rsidRPr="00DA024B" w:rsidRDefault="00DA024B" w:rsidP="00DA024B">
            <w:pPr>
              <w:overflowPunct w:val="0"/>
              <w:autoSpaceDE w:val="0"/>
              <w:autoSpaceDN w:val="0"/>
              <w:adjustRightInd w:val="0"/>
              <w:spacing w:line="240" w:lineRule="auto"/>
              <w:textAlignment w:val="baseline"/>
              <w:rPr>
                <w:i/>
              </w:rPr>
            </w:pPr>
            <w:r>
              <w:rPr>
                <w:i/>
              </w:rPr>
              <w:t>Tel.: +32 25468391</w:t>
            </w:r>
          </w:p>
        </w:tc>
      </w:tr>
      <w:tr w:rsidR="00DA024B" w:rsidRPr="00DA024B" w14:paraId="30ABAB1D" w14:textId="77777777" w:rsidTr="00D27336">
        <w:tc>
          <w:tcPr>
            <w:tcW w:w="1418" w:type="dxa"/>
          </w:tcPr>
          <w:p w14:paraId="4EBFA234" w14:textId="2DF66BCC" w:rsidR="00DA024B" w:rsidRPr="00DA024B" w:rsidRDefault="00B609BB" w:rsidP="00DA024B">
            <w:pPr>
              <w:overflowPunct w:val="0"/>
              <w:autoSpaceDE w:val="0"/>
              <w:autoSpaceDN w:val="0"/>
              <w:adjustRightInd w:val="0"/>
              <w:spacing w:line="240" w:lineRule="auto"/>
              <w:textAlignment w:val="baseline"/>
              <w:rPr>
                <w:i/>
              </w:rPr>
            </w:pPr>
            <w:r>
              <w:rPr>
                <w:i/>
              </w:rPr>
              <w:t>E-mail:</w:t>
            </w:r>
          </w:p>
        </w:tc>
        <w:tc>
          <w:tcPr>
            <w:tcW w:w="5670" w:type="dxa"/>
          </w:tcPr>
          <w:p w14:paraId="28BE8972" w14:textId="77777777" w:rsidR="00DA024B" w:rsidRPr="00CB6673" w:rsidRDefault="00C93EBC" w:rsidP="00DA024B">
            <w:pPr>
              <w:overflowPunct w:val="0"/>
              <w:autoSpaceDE w:val="0"/>
              <w:autoSpaceDN w:val="0"/>
              <w:adjustRightInd w:val="0"/>
              <w:spacing w:line="240" w:lineRule="auto"/>
              <w:textAlignment w:val="baseline"/>
              <w:rPr>
                <w:i/>
                <w:iCs/>
              </w:rPr>
            </w:pPr>
            <w:hyperlink r:id="rId31" w:history="1">
              <w:r w:rsidR="00036171">
                <w:rPr>
                  <w:i/>
                  <w:color w:val="0000FF"/>
                  <w:u w:val="single"/>
                </w:rPr>
                <w:t>Antoni.TorrasEstruch@eesc.europa.eu</w:t>
              </w:r>
            </w:hyperlink>
            <w:r w:rsidR="00036171">
              <w:rPr>
                <w:i/>
              </w:rPr>
              <w:t xml:space="preserve"> </w:t>
            </w:r>
          </w:p>
        </w:tc>
      </w:tr>
    </w:tbl>
    <w:p w14:paraId="4982DDC3" w14:textId="77777777" w:rsidR="004D7AC0" w:rsidRDefault="004D7AC0" w:rsidP="004D7AC0">
      <w:pPr>
        <w:pStyle w:val="ListParagraph"/>
        <w:ind w:left="0"/>
      </w:pPr>
    </w:p>
    <w:p w14:paraId="4982DDC4" w14:textId="04457CD2" w:rsidR="00FC1076" w:rsidRDefault="00FC1076">
      <w:pPr>
        <w:spacing w:after="160" w:line="259" w:lineRule="auto"/>
        <w:jc w:val="left"/>
      </w:pPr>
      <w:r>
        <w:br w:type="page"/>
      </w:r>
    </w:p>
    <w:p w14:paraId="26AB6808" w14:textId="63D48D23" w:rsidR="00920DBD" w:rsidRPr="00920DBD" w:rsidRDefault="00C93EBC" w:rsidP="00920DBD">
      <w:pPr>
        <w:widowControl w:val="0"/>
        <w:numPr>
          <w:ilvl w:val="0"/>
          <w:numId w:val="14"/>
        </w:numPr>
        <w:overflowPunct w:val="0"/>
        <w:autoSpaceDE w:val="0"/>
        <w:autoSpaceDN w:val="0"/>
        <w:adjustRightInd w:val="0"/>
        <w:ind w:hanging="567"/>
        <w:textAlignment w:val="baseline"/>
        <w:rPr>
          <w:sz w:val="24"/>
          <w:szCs w:val="24"/>
        </w:rPr>
      </w:pPr>
      <w:hyperlink r:id="rId32" w:history="1">
        <w:r w:rsidR="00036171">
          <w:rPr>
            <w:b/>
            <w:i/>
            <w:color w:val="0000FF"/>
            <w:sz w:val="28"/>
            <w:u w:val="single"/>
          </w:rPr>
          <w:t xml:space="preserve">Wniosek dotyczący rozporządzenia w sprawie programu Erasmus+ </w:t>
        </w:r>
        <w:r w:rsidR="003341D1">
          <w:rPr>
            <w:b/>
            <w:i/>
            <w:color w:val="0000FF"/>
            <w:sz w:val="28"/>
            <w:u w:val="single"/>
          </w:rPr>
          <w:br/>
        </w:r>
        <w:r w:rsidR="00036171">
          <w:rPr>
            <w:b/>
            <w:i/>
            <w:color w:val="0000FF"/>
            <w:sz w:val="28"/>
            <w:u w:val="single"/>
          </w:rPr>
          <w:t>2028–2034</w:t>
        </w:r>
      </w:hyperlink>
    </w:p>
    <w:p w14:paraId="18C2D4F9" w14:textId="77777777" w:rsidR="00920DBD" w:rsidRPr="00920DBD" w:rsidRDefault="00920DBD" w:rsidP="00920DBD">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5537"/>
        <w:gridCol w:w="6"/>
      </w:tblGrid>
      <w:tr w:rsidR="00A704FE" w:rsidRPr="00920DBD" w14:paraId="4688E589" w14:textId="77777777" w:rsidTr="003341D1">
        <w:tc>
          <w:tcPr>
            <w:tcW w:w="3246" w:type="dxa"/>
          </w:tcPr>
          <w:p w14:paraId="0ECE3D8F" w14:textId="421EC2CC"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Sprawozdawczyni generalna</w:t>
            </w:r>
          </w:p>
          <w:p w14:paraId="191C5571" w14:textId="3123F636" w:rsidR="00A704FE" w:rsidRPr="00920DBD" w:rsidRDefault="00A704FE" w:rsidP="001D0535">
            <w:pPr>
              <w:tabs>
                <w:tab w:val="center" w:pos="284"/>
              </w:tabs>
              <w:overflowPunct w:val="0"/>
              <w:autoSpaceDE w:val="0"/>
              <w:autoSpaceDN w:val="0"/>
              <w:adjustRightInd w:val="0"/>
              <w:ind w:left="266" w:hanging="266"/>
              <w:textAlignment w:val="baseline"/>
              <w:rPr>
                <w:b/>
              </w:rPr>
            </w:pPr>
            <w:proofErr w:type="spellStart"/>
            <w:r>
              <w:rPr>
                <w:b/>
              </w:rPr>
              <w:t>Współsprawozdawczyni</w:t>
            </w:r>
            <w:proofErr w:type="spellEnd"/>
            <w:r>
              <w:rPr>
                <w:b/>
              </w:rPr>
              <w:t xml:space="preserve"> generalna</w:t>
            </w:r>
          </w:p>
        </w:tc>
        <w:tc>
          <w:tcPr>
            <w:tcW w:w="5543" w:type="dxa"/>
            <w:gridSpan w:val="2"/>
          </w:tcPr>
          <w:p w14:paraId="6F069642" w14:textId="4BA930E3"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Nicoletta</w:t>
            </w:r>
            <w:proofErr w:type="spellEnd"/>
            <w:r>
              <w:t xml:space="preserve"> MERLO (Grupa Pracowników – IT)</w:t>
            </w:r>
          </w:p>
          <w:p w14:paraId="6ABF4362" w14:textId="34C541F1"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Katrĩna</w:t>
            </w:r>
            <w:proofErr w:type="spellEnd"/>
            <w:r>
              <w:t xml:space="preserve"> LEITĀNE (Grupa Organizacji Społeczeństwa Obywatelskiego – LV)</w:t>
            </w:r>
          </w:p>
        </w:tc>
      </w:tr>
      <w:tr w:rsidR="00A704FE" w:rsidRPr="00920DBD" w14:paraId="27DE7F42" w14:textId="77777777" w:rsidTr="001D0535">
        <w:trPr>
          <w:gridAfter w:val="1"/>
          <w:wAfter w:w="6" w:type="dxa"/>
        </w:trPr>
        <w:tc>
          <w:tcPr>
            <w:tcW w:w="8783" w:type="dxa"/>
            <w:gridSpan w:val="2"/>
          </w:tcPr>
          <w:p w14:paraId="69BA370B" w14:textId="77777777" w:rsidR="00A704FE" w:rsidRPr="00920DBD" w:rsidRDefault="00A704FE" w:rsidP="001D0535">
            <w:pPr>
              <w:tabs>
                <w:tab w:val="center" w:pos="284"/>
              </w:tabs>
              <w:overflowPunct w:val="0"/>
              <w:autoSpaceDE w:val="0"/>
              <w:autoSpaceDN w:val="0"/>
              <w:adjustRightInd w:val="0"/>
              <w:spacing w:line="160" w:lineRule="exact"/>
              <w:ind w:left="266" w:hanging="266"/>
              <w:textAlignment w:val="baseline"/>
            </w:pPr>
          </w:p>
        </w:tc>
      </w:tr>
      <w:tr w:rsidR="00A704FE" w:rsidRPr="00920DBD" w14:paraId="76754DBD" w14:textId="77777777" w:rsidTr="003341D1">
        <w:tc>
          <w:tcPr>
            <w:tcW w:w="3246" w:type="dxa"/>
            <w:vMerge w:val="restart"/>
          </w:tcPr>
          <w:p w14:paraId="1DC4CDC9" w14:textId="0E7F8D5A"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Dokument źródłowy: </w:t>
            </w:r>
          </w:p>
        </w:tc>
        <w:tc>
          <w:tcPr>
            <w:tcW w:w="5543" w:type="dxa"/>
            <w:gridSpan w:val="2"/>
          </w:tcPr>
          <w:p w14:paraId="6A5C9391" w14:textId="2E8ED659" w:rsidR="00C1318C" w:rsidRDefault="00C1318C" w:rsidP="001D0535">
            <w:pPr>
              <w:tabs>
                <w:tab w:val="center" w:pos="284"/>
              </w:tabs>
              <w:overflowPunct w:val="0"/>
              <w:autoSpaceDE w:val="0"/>
              <w:autoSpaceDN w:val="0"/>
              <w:adjustRightInd w:val="0"/>
              <w:ind w:left="266" w:hanging="266"/>
              <w:textAlignment w:val="baseline"/>
            </w:pPr>
            <w:r>
              <w:t xml:space="preserve">COM(2025) 395 </w:t>
            </w:r>
            <w:proofErr w:type="spellStart"/>
            <w:r>
              <w:t>final</w:t>
            </w:r>
            <w:proofErr w:type="spellEnd"/>
          </w:p>
          <w:p w14:paraId="22176473" w14:textId="4E5E5E28" w:rsidR="00A704FE" w:rsidRPr="00920DBD" w:rsidRDefault="00A704FE" w:rsidP="001D0535">
            <w:pPr>
              <w:tabs>
                <w:tab w:val="center" w:pos="284"/>
              </w:tabs>
              <w:overflowPunct w:val="0"/>
              <w:autoSpaceDE w:val="0"/>
              <w:autoSpaceDN w:val="0"/>
              <w:adjustRightInd w:val="0"/>
              <w:ind w:left="266" w:hanging="266"/>
              <w:textAlignment w:val="baseline"/>
            </w:pPr>
            <w:r>
              <w:t xml:space="preserve">COM(2025) 549 </w:t>
            </w:r>
            <w:proofErr w:type="spellStart"/>
            <w:r>
              <w:t>final</w:t>
            </w:r>
            <w:proofErr w:type="spellEnd"/>
          </w:p>
        </w:tc>
      </w:tr>
      <w:tr w:rsidR="00A704FE" w:rsidRPr="00920DBD" w14:paraId="0B56F000" w14:textId="77777777" w:rsidTr="003341D1">
        <w:tc>
          <w:tcPr>
            <w:tcW w:w="3246" w:type="dxa"/>
            <w:vMerge/>
          </w:tcPr>
          <w:p w14:paraId="0D34542F" w14:textId="77777777" w:rsidR="00A704FE" w:rsidRPr="00920DBD" w:rsidRDefault="00A704FE" w:rsidP="001D0535">
            <w:pPr>
              <w:tabs>
                <w:tab w:val="center" w:pos="284"/>
              </w:tabs>
              <w:overflowPunct w:val="0"/>
              <w:autoSpaceDE w:val="0"/>
              <w:autoSpaceDN w:val="0"/>
              <w:adjustRightInd w:val="0"/>
              <w:ind w:left="266" w:hanging="266"/>
              <w:textAlignment w:val="baseline"/>
              <w:rPr>
                <w:b/>
                <w:lang w:val="en-GB"/>
              </w:rPr>
            </w:pPr>
          </w:p>
        </w:tc>
        <w:tc>
          <w:tcPr>
            <w:tcW w:w="5543" w:type="dxa"/>
            <w:gridSpan w:val="2"/>
          </w:tcPr>
          <w:p w14:paraId="2B8E40C1" w14:textId="154F01AC" w:rsidR="00A704FE" w:rsidRPr="00920DBD" w:rsidRDefault="00A704FE" w:rsidP="001D0535">
            <w:pPr>
              <w:tabs>
                <w:tab w:val="center" w:pos="284"/>
              </w:tabs>
              <w:overflowPunct w:val="0"/>
              <w:autoSpaceDE w:val="0"/>
              <w:autoSpaceDN w:val="0"/>
              <w:adjustRightInd w:val="0"/>
              <w:ind w:left="266" w:hanging="266"/>
              <w:textAlignment w:val="baseline"/>
            </w:pPr>
            <w:r>
              <w:t>EESC-2025-02919-00-00-AC</w:t>
            </w:r>
          </w:p>
        </w:tc>
      </w:tr>
    </w:tbl>
    <w:p w14:paraId="2141F935" w14:textId="77777777" w:rsidR="00A704FE" w:rsidRPr="00920DBD" w:rsidRDefault="00A704FE" w:rsidP="00A704FE">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rPr>
      </w:pPr>
      <w:r>
        <w:rPr>
          <w:b/>
        </w:rPr>
        <w:t>Główne punkty:</w:t>
      </w:r>
    </w:p>
    <w:p w14:paraId="1D4B2DF5"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A704FE">
      <w:pPr>
        <w:overflowPunct w:val="0"/>
        <w:autoSpaceDE w:val="0"/>
        <w:autoSpaceDN w:val="0"/>
        <w:adjustRightInd w:val="0"/>
        <w:textAlignment w:val="baseline"/>
        <w:rPr>
          <w:bCs/>
          <w:iCs/>
        </w:rPr>
      </w:pPr>
      <w:r>
        <w:t>EKES</w:t>
      </w:r>
    </w:p>
    <w:p w14:paraId="681BF42D" w14:textId="77777777" w:rsidR="00A704FE" w:rsidRPr="00920DBD" w:rsidRDefault="00A704FE" w:rsidP="00A704FE">
      <w:pPr>
        <w:overflowPunct w:val="0"/>
        <w:autoSpaceDE w:val="0"/>
        <w:autoSpaceDN w:val="0"/>
        <w:adjustRightInd w:val="0"/>
        <w:textAlignment w:val="baseline"/>
        <w:rPr>
          <w:bCs/>
          <w:iCs/>
          <w:lang w:val="en-GB"/>
        </w:rPr>
      </w:pPr>
    </w:p>
    <w:p w14:paraId="137359B6" w14:textId="601078F5" w:rsidR="00A704FE" w:rsidRPr="00920DBD" w:rsidRDefault="00A704FE" w:rsidP="002C2DFE">
      <w:pPr>
        <w:widowControl w:val="0"/>
        <w:numPr>
          <w:ilvl w:val="0"/>
          <w:numId w:val="38"/>
        </w:numPr>
        <w:overflowPunct w:val="0"/>
        <w:autoSpaceDE w:val="0"/>
        <w:autoSpaceDN w:val="0"/>
        <w:adjustRightInd w:val="0"/>
        <w:ind w:left="284" w:hanging="284"/>
        <w:textAlignment w:val="baseline"/>
        <w:rPr>
          <w:rFonts w:asciiTheme="minorHAnsi" w:hAnsiTheme="minorHAnsi"/>
          <w:szCs w:val="20"/>
        </w:rPr>
      </w:pPr>
      <w:r>
        <w:t>Podkreśla potrzebę wyraźnej struktury w programie Erasmus+ i zapewnienia odpowiedniego uznania dla dziedzin młodzieży, kształcenia i szkolenia oraz sportu, a także poszczególnych działań i</w:t>
      </w:r>
      <w:r w:rsidR="00675D88">
        <w:t> </w:t>
      </w:r>
      <w:r>
        <w:t>definicji.</w:t>
      </w:r>
    </w:p>
    <w:p w14:paraId="4B455C28" w14:textId="76EF02CC"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Wzywa do przeznaczenia co najmniej 15% całkowitego budżetu programu na sektor młodzieżowy i</w:t>
      </w:r>
      <w:r w:rsidR="00675D88">
        <w:t> </w:t>
      </w:r>
      <w:r>
        <w:t>co najmniej 26,2% środków na kształcenie i szkolenie zawodowe (VET).</w:t>
      </w:r>
    </w:p>
    <w:p w14:paraId="3EED377C"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Ostrzega przed restrukturyzacją mogącą zmniejszyć widoczność kluczowych działań i opowiada się za „wsparciem rozwoju polityki” jako elementem odrębnym od „współpracy organizacji i instytucji”, z myślą o propagowaniu uczestnictwa młodzieży i demokratycznego zaangażowania.</w:t>
      </w:r>
    </w:p>
    <w:p w14:paraId="2D76586E" w14:textId="47425939"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Podkreśla znaczenie należytego monitorowania, partycypacyjnego sprawowania rządów i</w:t>
      </w:r>
      <w:r w:rsidR="00675D88">
        <w:t> </w:t>
      </w:r>
      <w:r>
        <w:t>zachowania wyjątkowej tożsamości Europejskiego Korpusu Solidarności przy jednoczesnym utrzymaniu dostępności dla osób młodych o mniejszych szansach.</w:t>
      </w:r>
    </w:p>
    <w:p w14:paraId="302B3945"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Wzywa do zapewnienia dostępności programu dla Europejek i Europejczyków spoza UE, stałego wsparcia dla mobilności zawodowej i skutecznego dotarcia do osób o mniejszych szansach, zwłaszcza do młodzieży NEET.</w:t>
      </w:r>
    </w:p>
    <w:p w14:paraId="0540E695" w14:textId="72053EA0"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Podkreśla potrzebę wzmocnienia społeczno-gospodarczych skutków programu Erasmus+ poprzez nadanie priorytetowego znaczenia mobilności edukacyjnej, większe nakłady na kształcenie i</w:t>
      </w:r>
      <w:r w:rsidR="00675D88">
        <w:t> </w:t>
      </w:r>
      <w:r>
        <w:t xml:space="preserve">szkolenie zawodowe (VET) oraz promowanie współpracy między organizatorami kształcenia </w:t>
      </w:r>
    </w:p>
    <w:p w14:paraId="25DAA5CB" w14:textId="77777777" w:rsidR="00A704FE" w:rsidRPr="00B417D4" w:rsidRDefault="00A704FE" w:rsidP="002C2DFE">
      <w:pPr>
        <w:pStyle w:val="ListParagraph"/>
        <w:widowControl w:val="0"/>
        <w:numPr>
          <w:ilvl w:val="0"/>
          <w:numId w:val="38"/>
        </w:numPr>
        <w:overflowPunct w:val="0"/>
        <w:autoSpaceDE w:val="0"/>
        <w:autoSpaceDN w:val="0"/>
        <w:adjustRightInd w:val="0"/>
        <w:ind w:left="284" w:hanging="284"/>
        <w:textAlignment w:val="baseline"/>
        <w:rPr>
          <w:szCs w:val="20"/>
        </w:rPr>
      </w:pPr>
      <w:r>
        <w:t>a rynkiem pracy w celu wspierania innowacji w zakresie rozwoju umiejętności.</w:t>
      </w:r>
    </w:p>
    <w:p w14:paraId="5017110C"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p w14:paraId="1FF5CAF5"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704FE" w:rsidRPr="00920DBD" w14:paraId="0F38BD4C" w14:textId="77777777" w:rsidTr="001D0535">
        <w:tc>
          <w:tcPr>
            <w:tcW w:w="1418" w:type="dxa"/>
          </w:tcPr>
          <w:p w14:paraId="3377EB6D" w14:textId="77777777" w:rsidR="00A704FE" w:rsidRPr="00920DBD" w:rsidRDefault="00A704FE" w:rsidP="001D0535">
            <w:pPr>
              <w:overflowPunct w:val="0"/>
              <w:autoSpaceDE w:val="0"/>
              <w:autoSpaceDN w:val="0"/>
              <w:adjustRightInd w:val="0"/>
              <w:spacing w:line="240" w:lineRule="auto"/>
              <w:textAlignment w:val="baseline"/>
              <w:rPr>
                <w:i/>
              </w:rPr>
            </w:pPr>
            <w:r>
              <w:rPr>
                <w:b/>
                <w:i/>
              </w:rPr>
              <w:t>Kontakt</w:t>
            </w:r>
          </w:p>
        </w:tc>
        <w:tc>
          <w:tcPr>
            <w:tcW w:w="5670" w:type="dxa"/>
          </w:tcPr>
          <w:p w14:paraId="1A8F86F2" w14:textId="5FF93B99" w:rsidR="00A704FE" w:rsidRPr="00920DBD" w:rsidRDefault="00A704FE" w:rsidP="001D0535">
            <w:pPr>
              <w:overflowPunct w:val="0"/>
              <w:autoSpaceDE w:val="0"/>
              <w:autoSpaceDN w:val="0"/>
              <w:adjustRightInd w:val="0"/>
              <w:spacing w:line="240" w:lineRule="auto"/>
              <w:textAlignment w:val="baseline"/>
              <w:rPr>
                <w:i/>
              </w:rPr>
            </w:pPr>
            <w:r>
              <w:rPr>
                <w:i/>
              </w:rPr>
              <w:t xml:space="preserve">Valeria </w:t>
            </w:r>
            <w:proofErr w:type="spellStart"/>
            <w:r>
              <w:rPr>
                <w:i/>
              </w:rPr>
              <w:t>Atzori</w:t>
            </w:r>
            <w:proofErr w:type="spellEnd"/>
          </w:p>
        </w:tc>
      </w:tr>
      <w:tr w:rsidR="00A704FE" w:rsidRPr="00920DBD" w14:paraId="0102873D" w14:textId="77777777" w:rsidTr="001D0535">
        <w:tc>
          <w:tcPr>
            <w:tcW w:w="1418" w:type="dxa"/>
          </w:tcPr>
          <w:p w14:paraId="0EC2B5C0" w14:textId="77777777" w:rsidR="00A704FE" w:rsidRPr="00920DBD" w:rsidRDefault="00A704FE" w:rsidP="001D0535">
            <w:pPr>
              <w:overflowPunct w:val="0"/>
              <w:autoSpaceDE w:val="0"/>
              <w:autoSpaceDN w:val="0"/>
              <w:adjustRightInd w:val="0"/>
              <w:spacing w:line="240" w:lineRule="auto"/>
              <w:textAlignment w:val="baseline"/>
              <w:rPr>
                <w:i/>
              </w:rPr>
            </w:pPr>
            <w:r>
              <w:rPr>
                <w:i/>
              </w:rPr>
              <w:t>Tel.</w:t>
            </w:r>
          </w:p>
        </w:tc>
        <w:tc>
          <w:tcPr>
            <w:tcW w:w="5670" w:type="dxa"/>
          </w:tcPr>
          <w:p w14:paraId="5EC32F82" w14:textId="77777777" w:rsidR="00A704FE" w:rsidRPr="00920DBD" w:rsidRDefault="00A704FE" w:rsidP="001D0535">
            <w:pPr>
              <w:overflowPunct w:val="0"/>
              <w:autoSpaceDE w:val="0"/>
              <w:autoSpaceDN w:val="0"/>
              <w:adjustRightInd w:val="0"/>
              <w:spacing w:line="240" w:lineRule="auto"/>
              <w:textAlignment w:val="baseline"/>
              <w:rPr>
                <w:i/>
              </w:rPr>
            </w:pPr>
            <w:r>
              <w:rPr>
                <w:i/>
              </w:rPr>
              <w:t>+32 25468774</w:t>
            </w:r>
          </w:p>
        </w:tc>
      </w:tr>
      <w:tr w:rsidR="00A704FE" w:rsidRPr="00920DBD" w14:paraId="2A8BEBC0" w14:textId="77777777" w:rsidTr="001D0535">
        <w:tc>
          <w:tcPr>
            <w:tcW w:w="1418" w:type="dxa"/>
          </w:tcPr>
          <w:p w14:paraId="590AF00C" w14:textId="12FFCE7F" w:rsidR="00A704FE" w:rsidRPr="00920DBD" w:rsidRDefault="00B417D4" w:rsidP="001D0535">
            <w:pPr>
              <w:overflowPunct w:val="0"/>
              <w:autoSpaceDE w:val="0"/>
              <w:autoSpaceDN w:val="0"/>
              <w:adjustRightInd w:val="0"/>
              <w:spacing w:line="240" w:lineRule="auto"/>
              <w:textAlignment w:val="baseline"/>
              <w:rPr>
                <w:i/>
              </w:rPr>
            </w:pPr>
            <w:r>
              <w:rPr>
                <w:i/>
              </w:rPr>
              <w:t>E-mail:</w:t>
            </w:r>
          </w:p>
        </w:tc>
        <w:tc>
          <w:tcPr>
            <w:tcW w:w="5670" w:type="dxa"/>
          </w:tcPr>
          <w:p w14:paraId="13A7E1BE" w14:textId="4E4B2FF3" w:rsidR="00A704FE" w:rsidRPr="00CB6673" w:rsidRDefault="00C93EBC" w:rsidP="001D0535">
            <w:pPr>
              <w:overflowPunct w:val="0"/>
              <w:autoSpaceDE w:val="0"/>
              <w:autoSpaceDN w:val="0"/>
              <w:adjustRightInd w:val="0"/>
              <w:spacing w:line="240" w:lineRule="auto"/>
              <w:textAlignment w:val="baseline"/>
              <w:rPr>
                <w:i/>
                <w:iCs/>
              </w:rPr>
            </w:pPr>
            <w:hyperlink r:id="rId33" w:history="1">
              <w:r w:rsidR="00036171">
                <w:rPr>
                  <w:rStyle w:val="Hyperlink"/>
                  <w:i/>
                </w:rPr>
                <w:t>Valeria.Atzori@eesc.europa.eu</w:t>
              </w:r>
            </w:hyperlink>
          </w:p>
        </w:tc>
      </w:tr>
    </w:tbl>
    <w:p w14:paraId="78D22D46" w14:textId="324872EF" w:rsidR="00AC3091" w:rsidRDefault="00AC3091" w:rsidP="004D7AC0">
      <w:pPr>
        <w:pStyle w:val="ListParagraph"/>
        <w:ind w:left="0"/>
      </w:pPr>
    </w:p>
    <w:p w14:paraId="206E0E39" w14:textId="77777777" w:rsidR="00AC3091" w:rsidRDefault="00AC3091">
      <w:pPr>
        <w:spacing w:after="160" w:line="259" w:lineRule="auto"/>
        <w:jc w:val="left"/>
      </w:pPr>
      <w:r>
        <w:br w:type="page"/>
      </w:r>
    </w:p>
    <w:p w14:paraId="41EFFA0F" w14:textId="7AA19BA6" w:rsidR="00E630B2" w:rsidRPr="00E630B2" w:rsidRDefault="00C93EBC" w:rsidP="00A704FE">
      <w:pPr>
        <w:widowControl w:val="0"/>
        <w:numPr>
          <w:ilvl w:val="0"/>
          <w:numId w:val="14"/>
        </w:numPr>
        <w:overflowPunct w:val="0"/>
        <w:autoSpaceDE w:val="0"/>
        <w:autoSpaceDN w:val="0"/>
        <w:adjustRightInd w:val="0"/>
        <w:ind w:hanging="567"/>
        <w:textAlignment w:val="baseline"/>
        <w:rPr>
          <w:b/>
          <w:bCs/>
          <w:i/>
          <w:iCs/>
          <w:sz w:val="28"/>
          <w:szCs w:val="28"/>
        </w:rPr>
      </w:pPr>
      <w:hyperlink r:id="rId34" w:history="1">
        <w:r w:rsidR="00036171">
          <w:rPr>
            <w:b/>
            <w:i/>
            <w:color w:val="0000FF"/>
            <w:sz w:val="28"/>
            <w:u w:val="single"/>
          </w:rPr>
          <w:t>Ustanowienie Europejskiego Funduszu Społecznego w ramach planu partnerstwa krajowego i regionalnego</w:t>
        </w:r>
      </w:hyperlink>
    </w:p>
    <w:p w14:paraId="2E58FAA6" w14:textId="77777777" w:rsidR="00E630B2" w:rsidRPr="00E630B2" w:rsidRDefault="00E630B2" w:rsidP="00E630B2">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E630B2" w:rsidRDefault="00E630B2" w:rsidP="00E630B2">
            <w:pPr>
              <w:overflowPunct w:val="0"/>
              <w:autoSpaceDE w:val="0"/>
              <w:autoSpaceDN w:val="0"/>
              <w:adjustRightInd w:val="0"/>
              <w:ind w:left="-113"/>
              <w:textAlignment w:val="baseline"/>
              <w:rPr>
                <w:b/>
              </w:rPr>
            </w:pPr>
            <w:r>
              <w:rPr>
                <w:b/>
              </w:rPr>
              <w:t xml:space="preserve">Sprawozdawczyni </w:t>
            </w:r>
          </w:p>
        </w:tc>
        <w:tc>
          <w:tcPr>
            <w:tcW w:w="3679" w:type="pct"/>
          </w:tcPr>
          <w:p w14:paraId="2BF3B790" w14:textId="552F377E" w:rsidR="00E630B2" w:rsidRPr="00E630B2" w:rsidRDefault="00E630B2" w:rsidP="00E630B2">
            <w:pPr>
              <w:overflowPunct w:val="0"/>
              <w:autoSpaceDE w:val="0"/>
              <w:autoSpaceDN w:val="0"/>
              <w:adjustRightInd w:val="0"/>
              <w:ind w:left="-113"/>
              <w:textAlignment w:val="baseline"/>
            </w:pPr>
            <w:proofErr w:type="spellStart"/>
            <w:r>
              <w:t>Nicoletta</w:t>
            </w:r>
            <w:proofErr w:type="spellEnd"/>
            <w:r>
              <w:t xml:space="preserve"> MERLO (Grupa Pracowników – IT)</w:t>
            </w:r>
          </w:p>
        </w:tc>
      </w:tr>
      <w:tr w:rsidR="00E630B2" w:rsidRPr="00E630B2" w14:paraId="42A7B455" w14:textId="77777777" w:rsidTr="00E630B2">
        <w:tc>
          <w:tcPr>
            <w:tcW w:w="5000" w:type="pct"/>
            <w:gridSpan w:val="2"/>
          </w:tcPr>
          <w:p w14:paraId="0AA3A2C2" w14:textId="77777777" w:rsidR="00E630B2" w:rsidRPr="00E630B2" w:rsidRDefault="00E630B2" w:rsidP="00E630B2">
            <w:pPr>
              <w:overflowPunct w:val="0"/>
              <w:autoSpaceDE w:val="0"/>
              <w:autoSpaceDN w:val="0"/>
              <w:adjustRightInd w:val="0"/>
              <w:spacing w:line="160" w:lineRule="exact"/>
              <w:ind w:left="-113"/>
              <w:textAlignment w:val="baseline"/>
            </w:pPr>
          </w:p>
        </w:tc>
      </w:tr>
      <w:tr w:rsidR="00E630B2" w:rsidRPr="00E630B2" w14:paraId="5F9B3284" w14:textId="77777777" w:rsidTr="00E630B2">
        <w:tc>
          <w:tcPr>
            <w:tcW w:w="1321" w:type="pct"/>
            <w:vMerge w:val="restart"/>
          </w:tcPr>
          <w:p w14:paraId="36BE0223" w14:textId="77777777" w:rsidR="00E630B2" w:rsidRPr="00E630B2" w:rsidRDefault="00E630B2" w:rsidP="00E630B2">
            <w:pPr>
              <w:overflowPunct w:val="0"/>
              <w:autoSpaceDE w:val="0"/>
              <w:autoSpaceDN w:val="0"/>
              <w:adjustRightInd w:val="0"/>
              <w:ind w:left="-113"/>
              <w:textAlignment w:val="baseline"/>
              <w:rPr>
                <w:b/>
              </w:rPr>
            </w:pPr>
            <w:r>
              <w:rPr>
                <w:b/>
              </w:rPr>
              <w:t>Dokumenty źródłowe</w:t>
            </w:r>
          </w:p>
        </w:tc>
        <w:tc>
          <w:tcPr>
            <w:tcW w:w="3679" w:type="pct"/>
          </w:tcPr>
          <w:p w14:paraId="79EA1053" w14:textId="3EA6A6A6" w:rsidR="00E60037" w:rsidRDefault="0075452F" w:rsidP="00E630B2">
            <w:pPr>
              <w:overflowPunct w:val="0"/>
              <w:autoSpaceDE w:val="0"/>
              <w:autoSpaceDN w:val="0"/>
              <w:adjustRightInd w:val="0"/>
              <w:ind w:left="-113"/>
              <w:textAlignment w:val="baseline"/>
            </w:pPr>
            <w:r>
              <w:t xml:space="preserve">COM(2025) 558 </w:t>
            </w:r>
            <w:proofErr w:type="spellStart"/>
            <w:r>
              <w:t>final</w:t>
            </w:r>
            <w:proofErr w:type="spellEnd"/>
          </w:p>
          <w:p w14:paraId="3264C9B7" w14:textId="0F70B6D7" w:rsidR="00E630B2" w:rsidRPr="00E630B2" w:rsidRDefault="00E630B2" w:rsidP="00E630B2">
            <w:pPr>
              <w:overflowPunct w:val="0"/>
              <w:autoSpaceDE w:val="0"/>
              <w:autoSpaceDN w:val="0"/>
              <w:adjustRightInd w:val="0"/>
              <w:ind w:left="-113"/>
              <w:textAlignment w:val="baseline"/>
            </w:pPr>
            <w:r>
              <w:t>EESC-2025-03058-00-00-AC</w:t>
            </w:r>
          </w:p>
        </w:tc>
      </w:tr>
      <w:tr w:rsidR="00E630B2" w:rsidRPr="00E630B2" w14:paraId="2FF81116" w14:textId="77777777" w:rsidTr="00E630B2">
        <w:tc>
          <w:tcPr>
            <w:tcW w:w="1321" w:type="pct"/>
            <w:vMerge/>
          </w:tcPr>
          <w:p w14:paraId="5FEDE544" w14:textId="77777777" w:rsidR="00E630B2" w:rsidRPr="00E630B2" w:rsidRDefault="00E630B2" w:rsidP="00E630B2">
            <w:pPr>
              <w:tabs>
                <w:tab w:val="center" w:pos="284"/>
              </w:tabs>
              <w:overflowPunct w:val="0"/>
              <w:autoSpaceDE w:val="0"/>
              <w:autoSpaceDN w:val="0"/>
              <w:adjustRightInd w:val="0"/>
              <w:ind w:left="266" w:hanging="266"/>
              <w:textAlignment w:val="baseline"/>
              <w:rPr>
                <w:b/>
              </w:rPr>
            </w:pPr>
          </w:p>
        </w:tc>
        <w:tc>
          <w:tcPr>
            <w:tcW w:w="3679" w:type="pct"/>
          </w:tcPr>
          <w:p w14:paraId="44815072" w14:textId="77777777" w:rsidR="00E630B2" w:rsidRPr="00E630B2" w:rsidRDefault="00E630B2" w:rsidP="00E630B2">
            <w:pPr>
              <w:tabs>
                <w:tab w:val="center" w:pos="284"/>
              </w:tabs>
              <w:overflowPunct w:val="0"/>
              <w:autoSpaceDE w:val="0"/>
              <w:autoSpaceDN w:val="0"/>
              <w:adjustRightInd w:val="0"/>
              <w:ind w:left="266" w:hanging="266"/>
              <w:textAlignment w:val="baseline"/>
            </w:pPr>
          </w:p>
        </w:tc>
      </w:tr>
    </w:tbl>
    <w:p w14:paraId="5AB45381"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rPr>
      </w:pPr>
      <w:r>
        <w:rPr>
          <w:b/>
        </w:rPr>
        <w:t>Główne punkty</w:t>
      </w:r>
    </w:p>
    <w:p w14:paraId="52F465E3"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sz w:val="16"/>
          <w:szCs w:val="16"/>
          <w:lang w:val="en-GB"/>
        </w:rPr>
      </w:pPr>
    </w:p>
    <w:p w14:paraId="04F59022" w14:textId="77777777" w:rsidR="00E630B2" w:rsidRPr="00E630B2" w:rsidRDefault="00E630B2" w:rsidP="00E630B2">
      <w:pPr>
        <w:overflowPunct w:val="0"/>
        <w:autoSpaceDE w:val="0"/>
        <w:autoSpaceDN w:val="0"/>
        <w:adjustRightInd w:val="0"/>
        <w:textAlignment w:val="baseline"/>
        <w:rPr>
          <w:bCs/>
          <w:iCs/>
        </w:rPr>
      </w:pPr>
      <w:r>
        <w:t>EKES</w:t>
      </w:r>
    </w:p>
    <w:p w14:paraId="5BA71395" w14:textId="77777777" w:rsidR="00E630B2" w:rsidRPr="00E630B2" w:rsidRDefault="00E630B2" w:rsidP="00E630B2">
      <w:pPr>
        <w:overflowPunct w:val="0"/>
        <w:autoSpaceDE w:val="0"/>
        <w:autoSpaceDN w:val="0"/>
        <w:adjustRightInd w:val="0"/>
        <w:textAlignment w:val="baseline"/>
        <w:rPr>
          <w:bCs/>
          <w:iCs/>
        </w:rPr>
      </w:pPr>
    </w:p>
    <w:p w14:paraId="33A733EA" w14:textId="1C70BDB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Wzywa, by w celu wzmocnienia wymiaru społecznego UE w PPKR zwiększono wydatki socjalne z</w:t>
      </w:r>
      <w:r w:rsidR="00675D88">
        <w:t> </w:t>
      </w:r>
      <w:r>
        <w:t>14 % do 20 % i przeznaczono co najmniej 14 % na EFS.</w:t>
      </w:r>
    </w:p>
    <w:p w14:paraId="307F6A5B" w14:textId="0212BDAB"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Nalega na utrzymanie wyraźnej struktury funduszu obejmującej programy regionalne i krajowe w</w:t>
      </w:r>
      <w:r w:rsidR="00675D88">
        <w:t> </w:t>
      </w:r>
      <w:r>
        <w:t>celu zachowania jego wartości dodanej.</w:t>
      </w:r>
    </w:p>
    <w:p w14:paraId="231FF070"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Wzywa do znacznego uproszczenia procedur EFS i zwiększenia zdolności administracyjnych w celu poprawy dostępności i realizacji funduszy.</w:t>
      </w:r>
    </w:p>
    <w:p w14:paraId="1B57C830" w14:textId="22C39E32" w:rsidR="00E630B2" w:rsidRPr="00E630B2" w:rsidRDefault="00E630B2" w:rsidP="00675D88">
      <w:pPr>
        <w:numPr>
          <w:ilvl w:val="0"/>
          <w:numId w:val="39"/>
        </w:numPr>
        <w:overflowPunct w:val="0"/>
        <w:autoSpaceDE w:val="0"/>
        <w:autoSpaceDN w:val="0"/>
        <w:adjustRightInd w:val="0"/>
        <w:spacing w:after="200" w:line="276" w:lineRule="auto"/>
        <w:ind w:left="284" w:hanging="284"/>
        <w:contextualSpacing/>
        <w:textAlignment w:val="baseline"/>
      </w:pPr>
      <w:r>
        <w:t>Apeluje o przeznaczenie co najmniej 1 % środków z EFS na budowanie zdolności partnerów społecznych i organizacji społeczeństwa obywatelskiego zarówno na szczeblu regionalnym, jak i</w:t>
      </w:r>
      <w:r w:rsidR="00675D88">
        <w:t> </w:t>
      </w:r>
      <w:r>
        <w:t>krajowym.</w:t>
      </w:r>
    </w:p>
    <w:p w14:paraId="11A7A891"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Domaga się znaczącego i stałego zaangażowania partnerów społecznych i społeczeństwa obywatelskiego, w tym pełnego prawa głosu w komitetach monitorujących.</w:t>
      </w:r>
    </w:p>
    <w:p w14:paraId="67FA6EF5"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Potwierdza znaczenie wielopoziomowego sprawowania rządów i bezpośredniej współpracy regionalnej z Komisją w celu utrzymania silnego wymiaru terytorialnego EFS.</w:t>
      </w:r>
    </w:p>
    <w:p w14:paraId="0D7F9442"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Popiera głębszą komplementarność funduszy UE, w szczególności poprzez solidne podejście wielofunduszowe między EFS a Europejskim Funduszem Rozwoju Regionalnego (EFRR).</w:t>
      </w:r>
    </w:p>
    <w:p w14:paraId="726766F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Apeluje o znaczne inwestycje w kształcenie, szkolenie i uczenie się przez całe życie, ze szczególnym uwzględnieniem STEM (nauki przyrodnicze, technologia, inżynieria i matematyka), umiejętności ekologicznych i cyfrowych.</w:t>
      </w:r>
    </w:p>
    <w:p w14:paraId="03E6EEE6"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Wzywa do przeznaczenia co najmniej 20 % środków z EFS na finansowanie wdrażania wzmocnionej gwarancji dla młodzieży oraz do wspierania wysokiej jakości zatrudnienia ludzi młodych.</w:t>
      </w:r>
    </w:p>
    <w:p w14:paraId="4D67B21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Domaga się zwiększenia inwestycji, zwiększając ich udział z 25 % do 30 %, w włączenie społeczne, ograniczanie ubóstwa i wysokiej jakości usługi społeczne, w tym opiekę środowiskową i przystępne cenowo mieszkania.</w:t>
      </w:r>
    </w:p>
    <w:p w14:paraId="1E28E418"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Nalega na jaśniejszą i bardziej dostępną komunikację i działania informacyjne EFS, aby zapewnić obywatelom i zainteresowanym stronom zrozumienie dostępnych możliwości.</w:t>
      </w:r>
    </w:p>
    <w:p w14:paraId="21C3333A" w14:textId="77777777" w:rsidR="00E630B2" w:rsidRPr="00E630B2" w:rsidRDefault="00E630B2" w:rsidP="00E630B2">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E630B2" w14:paraId="17118015" w14:textId="77777777" w:rsidTr="00E630B2">
        <w:tc>
          <w:tcPr>
            <w:tcW w:w="1556" w:type="pct"/>
          </w:tcPr>
          <w:p w14:paraId="58910EFC" w14:textId="77777777" w:rsidR="00E630B2" w:rsidRPr="00E630B2" w:rsidRDefault="00E630B2" w:rsidP="00E630B2">
            <w:pPr>
              <w:overflowPunct w:val="0"/>
              <w:autoSpaceDE w:val="0"/>
              <w:autoSpaceDN w:val="0"/>
              <w:adjustRightInd w:val="0"/>
              <w:spacing w:line="240" w:lineRule="auto"/>
              <w:textAlignment w:val="baseline"/>
              <w:rPr>
                <w:i/>
              </w:rPr>
            </w:pPr>
            <w:r>
              <w:rPr>
                <w:b/>
                <w:i/>
              </w:rPr>
              <w:t>Kontakt</w:t>
            </w:r>
          </w:p>
        </w:tc>
        <w:tc>
          <w:tcPr>
            <w:tcW w:w="3444" w:type="pct"/>
          </w:tcPr>
          <w:p w14:paraId="4FF8CE5C" w14:textId="20F5701F" w:rsidR="00E630B2" w:rsidRPr="00E630B2" w:rsidRDefault="00E630B2" w:rsidP="00E630B2">
            <w:pPr>
              <w:overflowPunct w:val="0"/>
              <w:autoSpaceDE w:val="0"/>
              <w:autoSpaceDN w:val="0"/>
              <w:adjustRightInd w:val="0"/>
              <w:spacing w:line="240" w:lineRule="auto"/>
              <w:textAlignment w:val="baseline"/>
              <w:rPr>
                <w:i/>
              </w:rPr>
            </w:pPr>
            <w:r>
              <w:rPr>
                <w:i/>
              </w:rPr>
              <w:t xml:space="preserve">Bartek </w:t>
            </w:r>
            <w:proofErr w:type="spellStart"/>
            <w:r>
              <w:rPr>
                <w:i/>
              </w:rPr>
              <w:t>Bednarowicz</w:t>
            </w:r>
            <w:proofErr w:type="spellEnd"/>
          </w:p>
        </w:tc>
      </w:tr>
      <w:tr w:rsidR="00E630B2" w:rsidRPr="00E630B2" w14:paraId="329A745D" w14:textId="77777777" w:rsidTr="00E630B2">
        <w:tc>
          <w:tcPr>
            <w:tcW w:w="1556" w:type="pct"/>
          </w:tcPr>
          <w:p w14:paraId="156B653F" w14:textId="77777777" w:rsidR="00E630B2" w:rsidRPr="00E630B2" w:rsidRDefault="00E630B2" w:rsidP="00E630B2">
            <w:pPr>
              <w:overflowPunct w:val="0"/>
              <w:autoSpaceDE w:val="0"/>
              <w:autoSpaceDN w:val="0"/>
              <w:adjustRightInd w:val="0"/>
              <w:spacing w:line="240" w:lineRule="auto"/>
              <w:textAlignment w:val="baseline"/>
              <w:rPr>
                <w:i/>
              </w:rPr>
            </w:pPr>
            <w:r>
              <w:rPr>
                <w:i/>
              </w:rPr>
              <w:t>Tel.:</w:t>
            </w:r>
          </w:p>
        </w:tc>
        <w:tc>
          <w:tcPr>
            <w:tcW w:w="3444" w:type="pct"/>
          </w:tcPr>
          <w:p w14:paraId="5417DD87" w14:textId="72231651" w:rsidR="00E630B2" w:rsidRPr="00E630B2" w:rsidRDefault="00E630B2" w:rsidP="00E630B2">
            <w:pPr>
              <w:overflowPunct w:val="0"/>
              <w:autoSpaceDE w:val="0"/>
              <w:autoSpaceDN w:val="0"/>
              <w:adjustRightInd w:val="0"/>
              <w:spacing w:line="240" w:lineRule="auto"/>
              <w:textAlignment w:val="baseline"/>
              <w:rPr>
                <w:i/>
              </w:rPr>
            </w:pPr>
            <w:r>
              <w:rPr>
                <w:i/>
              </w:rPr>
              <w:t>+32 25469229</w:t>
            </w:r>
          </w:p>
        </w:tc>
      </w:tr>
      <w:tr w:rsidR="00E630B2" w:rsidRPr="00E630B2" w14:paraId="433D9DD8" w14:textId="77777777" w:rsidTr="00E630B2">
        <w:tc>
          <w:tcPr>
            <w:tcW w:w="1556" w:type="pct"/>
          </w:tcPr>
          <w:p w14:paraId="6A6ED1F9" w14:textId="471C14D1" w:rsidR="00E630B2" w:rsidRPr="00E630B2" w:rsidRDefault="00B22D81" w:rsidP="00E630B2">
            <w:pPr>
              <w:overflowPunct w:val="0"/>
              <w:autoSpaceDE w:val="0"/>
              <w:autoSpaceDN w:val="0"/>
              <w:adjustRightInd w:val="0"/>
              <w:spacing w:line="240" w:lineRule="auto"/>
              <w:textAlignment w:val="baseline"/>
              <w:rPr>
                <w:i/>
              </w:rPr>
            </w:pPr>
            <w:r>
              <w:rPr>
                <w:i/>
              </w:rPr>
              <w:t>e-mail:</w:t>
            </w:r>
          </w:p>
        </w:tc>
        <w:tc>
          <w:tcPr>
            <w:tcW w:w="3444" w:type="pct"/>
          </w:tcPr>
          <w:p w14:paraId="387A3485" w14:textId="77777777" w:rsidR="00E630B2" w:rsidRPr="00E630B2" w:rsidRDefault="00C93EBC" w:rsidP="00E630B2">
            <w:pPr>
              <w:overflowPunct w:val="0"/>
              <w:autoSpaceDE w:val="0"/>
              <w:autoSpaceDN w:val="0"/>
              <w:adjustRightInd w:val="0"/>
              <w:spacing w:line="240" w:lineRule="auto"/>
              <w:textAlignment w:val="baseline"/>
              <w:rPr>
                <w:i/>
              </w:rPr>
            </w:pPr>
            <w:hyperlink r:id="rId35" w:history="1">
              <w:r w:rsidR="00036171">
                <w:rPr>
                  <w:i/>
                  <w:color w:val="0000FF"/>
                  <w:u w:val="single"/>
                </w:rPr>
                <w:t>Bartek.Bednarowicz@eesc.europa.eu</w:t>
              </w:r>
            </w:hyperlink>
          </w:p>
        </w:tc>
      </w:tr>
    </w:tbl>
    <w:p w14:paraId="2E0FE171"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C6" w14:textId="77777777" w:rsidR="004D7AC0" w:rsidRDefault="004D7AC0" w:rsidP="004D7AC0">
      <w:pPr>
        <w:pStyle w:val="Heading1"/>
        <w:rPr>
          <w:b/>
        </w:rPr>
      </w:pPr>
      <w:bookmarkStart w:id="48" w:name="_Toc24617160"/>
      <w:bookmarkStart w:id="49" w:name="_Toc75527082"/>
      <w:bookmarkStart w:id="50" w:name="_Toc221258000"/>
      <w:r>
        <w:rPr>
          <w:b/>
        </w:rPr>
        <w:lastRenderedPageBreak/>
        <w:t>TRANSPORT, ENERGIA, INFRASTRUKTURA I SPOŁECZEŃSTWO INFORMACYJNE</w:t>
      </w:r>
      <w:bookmarkEnd w:id="48"/>
      <w:bookmarkEnd w:id="49"/>
      <w:bookmarkEnd w:id="50"/>
    </w:p>
    <w:p w14:paraId="4982DDC7" w14:textId="77777777" w:rsidR="004D7AC0" w:rsidRDefault="004D7AC0" w:rsidP="004D7AC0"/>
    <w:p w14:paraId="518A782B" w14:textId="1B576547" w:rsidR="00643832" w:rsidRPr="00643832" w:rsidRDefault="00C93EBC" w:rsidP="00A704FE">
      <w:pPr>
        <w:widowControl w:val="0"/>
        <w:numPr>
          <w:ilvl w:val="0"/>
          <w:numId w:val="14"/>
        </w:numPr>
        <w:overflowPunct w:val="0"/>
        <w:autoSpaceDE w:val="0"/>
        <w:autoSpaceDN w:val="0"/>
        <w:adjustRightInd w:val="0"/>
        <w:ind w:hanging="567"/>
        <w:textAlignment w:val="baseline"/>
        <w:rPr>
          <w:sz w:val="20"/>
          <w:szCs w:val="20"/>
        </w:rPr>
      </w:pPr>
      <w:hyperlink r:id="rId36" w:history="1">
        <w:r w:rsidR="00036171">
          <w:rPr>
            <w:b/>
            <w:i/>
            <w:color w:val="0000FF"/>
            <w:sz w:val="28"/>
            <w:u w:val="single"/>
          </w:rPr>
          <w:t>Dwustronna umowa o transporcie drogowym między Austrią a Szwajcarią</w:t>
        </w:r>
      </w:hyperlink>
    </w:p>
    <w:p w14:paraId="020BB0CF" w14:textId="77777777" w:rsidR="006F3BD2" w:rsidRPr="00643832" w:rsidRDefault="006F3BD2" w:rsidP="00643832">
      <w:pPr>
        <w:widowControl w:val="0"/>
        <w:overflowPunct w:val="0"/>
        <w:autoSpaceDE w:val="0"/>
        <w:autoSpaceDN w:val="0"/>
        <w:adjustRightInd w:val="0"/>
        <w:ind w:left="567"/>
        <w:textAlignment w:val="baseline"/>
        <w:rPr>
          <w:sz w:val="20"/>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7348"/>
      </w:tblGrid>
      <w:tr w:rsidR="00643832" w:rsidRPr="00643832" w14:paraId="4797925C" w14:textId="77777777" w:rsidTr="00675D88">
        <w:tc>
          <w:tcPr>
            <w:tcW w:w="1974" w:type="dxa"/>
          </w:tcPr>
          <w:p w14:paraId="15FD7E44" w14:textId="77777777" w:rsidR="00643832" w:rsidRPr="00643832" w:rsidRDefault="00643832" w:rsidP="00643832">
            <w:pPr>
              <w:tabs>
                <w:tab w:val="center" w:pos="284"/>
              </w:tabs>
              <w:overflowPunct w:val="0"/>
              <w:autoSpaceDE w:val="0"/>
              <w:autoSpaceDN w:val="0"/>
              <w:adjustRightInd w:val="0"/>
              <w:ind w:left="596" w:hanging="709"/>
              <w:textAlignment w:val="baseline"/>
              <w:rPr>
                <w:b/>
              </w:rPr>
            </w:pPr>
            <w:r>
              <w:rPr>
                <w:b/>
              </w:rPr>
              <w:t>Dokumenty źródłowe</w:t>
            </w:r>
          </w:p>
        </w:tc>
        <w:tc>
          <w:tcPr>
            <w:tcW w:w="7348" w:type="dxa"/>
          </w:tcPr>
          <w:p w14:paraId="38E1C035" w14:textId="77777777" w:rsidR="00643832" w:rsidRPr="00643832" w:rsidRDefault="00643832" w:rsidP="00643832">
            <w:pPr>
              <w:tabs>
                <w:tab w:val="center" w:pos="284"/>
              </w:tabs>
              <w:overflowPunct w:val="0"/>
              <w:autoSpaceDE w:val="0"/>
              <w:autoSpaceDN w:val="0"/>
              <w:adjustRightInd w:val="0"/>
              <w:ind w:left="720" w:hanging="720"/>
              <w:textAlignment w:val="baseline"/>
              <w:rPr>
                <w:bCs/>
              </w:rPr>
            </w:pPr>
            <w:r>
              <w:t>Opinia kategorii C</w:t>
            </w:r>
          </w:p>
        </w:tc>
      </w:tr>
      <w:tr w:rsidR="00643832" w:rsidRPr="00643832" w14:paraId="3DF52029" w14:textId="77777777" w:rsidTr="00675D88">
        <w:tc>
          <w:tcPr>
            <w:tcW w:w="1974" w:type="dxa"/>
          </w:tcPr>
          <w:p w14:paraId="1CD6BCD9" w14:textId="77777777" w:rsidR="00643832" w:rsidRPr="00643832" w:rsidRDefault="00643832" w:rsidP="00643832">
            <w:pPr>
              <w:tabs>
                <w:tab w:val="center" w:pos="284"/>
              </w:tabs>
              <w:overflowPunct w:val="0"/>
              <w:autoSpaceDE w:val="0"/>
              <w:autoSpaceDN w:val="0"/>
              <w:adjustRightInd w:val="0"/>
              <w:ind w:left="596" w:hanging="709"/>
              <w:textAlignment w:val="baseline"/>
              <w:rPr>
                <w:b/>
                <w:lang w:val="en-GB"/>
              </w:rPr>
            </w:pPr>
          </w:p>
        </w:tc>
        <w:tc>
          <w:tcPr>
            <w:tcW w:w="7348" w:type="dxa"/>
          </w:tcPr>
          <w:p w14:paraId="75179A1C" w14:textId="02D515FC" w:rsidR="00643832" w:rsidRPr="00643832" w:rsidRDefault="00643832" w:rsidP="00643832">
            <w:pPr>
              <w:tabs>
                <w:tab w:val="center" w:pos="284"/>
              </w:tabs>
              <w:overflowPunct w:val="0"/>
              <w:autoSpaceDE w:val="0"/>
              <w:autoSpaceDN w:val="0"/>
              <w:adjustRightInd w:val="0"/>
              <w:ind w:left="720" w:hanging="720"/>
              <w:textAlignment w:val="baseline"/>
              <w:rPr>
                <w:bCs/>
              </w:rPr>
            </w:pPr>
            <w:r>
              <w:t xml:space="preserve">COM(2025) 773 </w:t>
            </w:r>
            <w:proofErr w:type="spellStart"/>
            <w:r>
              <w:t>final</w:t>
            </w:r>
            <w:proofErr w:type="spellEnd"/>
          </w:p>
          <w:p w14:paraId="258016BD" w14:textId="43B91912" w:rsidR="00643832" w:rsidRPr="00643832" w:rsidRDefault="00643832" w:rsidP="00643832">
            <w:pPr>
              <w:tabs>
                <w:tab w:val="center" w:pos="284"/>
              </w:tabs>
              <w:overflowPunct w:val="0"/>
              <w:autoSpaceDE w:val="0"/>
              <w:autoSpaceDN w:val="0"/>
              <w:adjustRightInd w:val="0"/>
              <w:ind w:left="720" w:hanging="720"/>
              <w:textAlignment w:val="baseline"/>
            </w:pPr>
            <w:r>
              <w:t>EESC-2026-00125-00-00-AC</w:t>
            </w:r>
          </w:p>
        </w:tc>
      </w:tr>
    </w:tbl>
    <w:p w14:paraId="5587D431" w14:textId="77777777" w:rsidR="00643832" w:rsidRPr="00643832" w:rsidRDefault="00643832" w:rsidP="002C2DFE">
      <w:pPr>
        <w:keepNext/>
        <w:keepLines/>
        <w:tabs>
          <w:tab w:val="center" w:pos="284"/>
        </w:tabs>
        <w:overflowPunct w:val="0"/>
        <w:autoSpaceDE w:val="0"/>
        <w:autoSpaceDN w:val="0"/>
        <w:adjustRightInd w:val="0"/>
        <w:ind w:left="720" w:hanging="720"/>
        <w:textAlignment w:val="baseline"/>
        <w:rPr>
          <w:szCs w:val="20"/>
          <w:lang w:val="en-GB"/>
        </w:rPr>
      </w:pPr>
    </w:p>
    <w:p w14:paraId="56E44825" w14:textId="061D70FB" w:rsidR="00643832" w:rsidRPr="00CB6673" w:rsidRDefault="00643832" w:rsidP="002C2DFE">
      <w:pPr>
        <w:numPr>
          <w:ilvl w:val="0"/>
          <w:numId w:val="40"/>
        </w:numPr>
        <w:overflowPunct w:val="0"/>
        <w:autoSpaceDE w:val="0"/>
        <w:autoSpaceDN w:val="0"/>
        <w:adjustRightInd w:val="0"/>
        <w:ind w:left="284" w:hanging="284"/>
        <w:contextualSpacing/>
        <w:textAlignment w:val="baseline"/>
        <w:rPr>
          <w:szCs w:val="20"/>
        </w:rPr>
      </w:pPr>
      <w:r>
        <w:t>Komitet uznał, że treść wniosku jest zadowalająca, a ponadto już wypowiedział się na ten temat we wcześniejszej opinii w sprawie dwustronnych umów o transporcie drogowym między Szwajcarią a</w:t>
      </w:r>
      <w:r w:rsidR="00675D88">
        <w:t> </w:t>
      </w:r>
      <w:r>
        <w:t>Niemcami oraz między Szwajcarią a Włochami [</w:t>
      </w:r>
      <w:hyperlink r:id="rId37" w:history="1">
        <w:r>
          <w:rPr>
            <w:color w:val="0000FF"/>
            <w:u w:val="single"/>
          </w:rPr>
          <w:t>Dz.U. C 14 z 15.1.2020, s. 118</w:t>
        </w:r>
      </w:hyperlink>
      <w:r>
        <w:t>], przyjętej 25</w:t>
      </w:r>
      <w:r w:rsidR="00675D88">
        <w:t> </w:t>
      </w:r>
      <w:r>
        <w:t>września 2019 r., dlatego postanowił wydać pozytywną opinię w sprawie proponowanego tekstu i odwołać się do stanowiska, które zajął w ww. dokumencie.</w:t>
      </w:r>
    </w:p>
    <w:p w14:paraId="0EB0A64F" w14:textId="77777777" w:rsidR="00643832" w:rsidRPr="00643832" w:rsidRDefault="00643832" w:rsidP="00643832">
      <w:pPr>
        <w:widowControl w:val="0"/>
        <w:overflowPunct w:val="0"/>
        <w:autoSpaceDE w:val="0"/>
        <w:autoSpaceDN w:val="0"/>
        <w:adjustRightInd w:val="0"/>
        <w:ind w:left="720" w:hanging="720"/>
        <w:textAlignment w:val="baseline"/>
        <w:rPr>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43832" w:rsidRPr="00643832" w14:paraId="2DE8E1BB" w14:textId="77777777" w:rsidTr="0022396F">
        <w:tc>
          <w:tcPr>
            <w:tcW w:w="1418" w:type="dxa"/>
          </w:tcPr>
          <w:p w14:paraId="29E8E9A3" w14:textId="77777777" w:rsidR="00643832" w:rsidRPr="00643832" w:rsidRDefault="00643832" w:rsidP="00643832">
            <w:pPr>
              <w:overflowPunct w:val="0"/>
              <w:autoSpaceDE w:val="0"/>
              <w:autoSpaceDN w:val="0"/>
              <w:adjustRightInd w:val="0"/>
              <w:ind w:left="720" w:hanging="720"/>
              <w:textAlignment w:val="baseline"/>
              <w:rPr>
                <w:i/>
              </w:rPr>
            </w:pPr>
            <w:r>
              <w:rPr>
                <w:b/>
                <w:i/>
              </w:rPr>
              <w:t>Kontakt</w:t>
            </w:r>
          </w:p>
        </w:tc>
        <w:tc>
          <w:tcPr>
            <w:tcW w:w="7904" w:type="dxa"/>
          </w:tcPr>
          <w:p w14:paraId="6757C9E2" w14:textId="2EA26CCE" w:rsidR="00643832" w:rsidRPr="00643832" w:rsidRDefault="00643832" w:rsidP="00643832">
            <w:pPr>
              <w:overflowPunct w:val="0"/>
              <w:autoSpaceDE w:val="0"/>
              <w:autoSpaceDN w:val="0"/>
              <w:adjustRightInd w:val="0"/>
              <w:ind w:left="720" w:hanging="720"/>
              <w:textAlignment w:val="baseline"/>
              <w:rPr>
                <w:i/>
              </w:rPr>
            </w:pPr>
            <w:r>
              <w:rPr>
                <w:i/>
              </w:rPr>
              <w:t xml:space="preserve">Aleksandra </w:t>
            </w:r>
            <w:proofErr w:type="spellStart"/>
            <w:r>
              <w:rPr>
                <w:i/>
              </w:rPr>
              <w:t>Šarman</w:t>
            </w:r>
            <w:proofErr w:type="spellEnd"/>
            <w:r>
              <w:rPr>
                <w:i/>
              </w:rPr>
              <w:t xml:space="preserve"> </w:t>
            </w:r>
            <w:proofErr w:type="spellStart"/>
            <w:r>
              <w:rPr>
                <w:i/>
              </w:rPr>
              <w:t>Grilc</w:t>
            </w:r>
            <w:proofErr w:type="spellEnd"/>
          </w:p>
        </w:tc>
      </w:tr>
      <w:tr w:rsidR="00643832" w:rsidRPr="00643832" w14:paraId="695607DD" w14:textId="77777777" w:rsidTr="0022396F">
        <w:tc>
          <w:tcPr>
            <w:tcW w:w="1418" w:type="dxa"/>
          </w:tcPr>
          <w:p w14:paraId="5A289BB9" w14:textId="77777777" w:rsidR="00643832" w:rsidRPr="00643832" w:rsidRDefault="00643832" w:rsidP="00643832">
            <w:pPr>
              <w:overflowPunct w:val="0"/>
              <w:autoSpaceDE w:val="0"/>
              <w:autoSpaceDN w:val="0"/>
              <w:adjustRightInd w:val="0"/>
              <w:ind w:left="720" w:hanging="720"/>
              <w:textAlignment w:val="baseline"/>
              <w:rPr>
                <w:i/>
              </w:rPr>
            </w:pPr>
            <w:r>
              <w:rPr>
                <w:i/>
              </w:rPr>
              <w:t>Tel.:</w:t>
            </w:r>
          </w:p>
        </w:tc>
        <w:tc>
          <w:tcPr>
            <w:tcW w:w="7904" w:type="dxa"/>
          </w:tcPr>
          <w:p w14:paraId="62EAEB69" w14:textId="77777777" w:rsidR="00643832" w:rsidRPr="00643832" w:rsidRDefault="00643832" w:rsidP="00643832">
            <w:pPr>
              <w:overflowPunct w:val="0"/>
              <w:autoSpaceDE w:val="0"/>
              <w:autoSpaceDN w:val="0"/>
              <w:adjustRightInd w:val="0"/>
              <w:ind w:left="720" w:hanging="720"/>
              <w:textAlignment w:val="baseline"/>
              <w:rPr>
                <w:i/>
              </w:rPr>
            </w:pPr>
            <w:r>
              <w:rPr>
                <w:i/>
              </w:rPr>
              <w:t>+32 25468333</w:t>
            </w:r>
          </w:p>
        </w:tc>
      </w:tr>
      <w:tr w:rsidR="00643832" w:rsidRPr="00643832" w14:paraId="0712D79F" w14:textId="77777777" w:rsidTr="0022396F">
        <w:tc>
          <w:tcPr>
            <w:tcW w:w="1418" w:type="dxa"/>
          </w:tcPr>
          <w:p w14:paraId="247898A1" w14:textId="77777777" w:rsidR="00643832" w:rsidRPr="00643832" w:rsidRDefault="00643832" w:rsidP="00643832">
            <w:pPr>
              <w:overflowPunct w:val="0"/>
              <w:autoSpaceDE w:val="0"/>
              <w:autoSpaceDN w:val="0"/>
              <w:adjustRightInd w:val="0"/>
              <w:ind w:left="720" w:hanging="720"/>
              <w:textAlignment w:val="baseline"/>
              <w:rPr>
                <w:i/>
              </w:rPr>
            </w:pPr>
            <w:r>
              <w:rPr>
                <w:i/>
              </w:rPr>
              <w:t>e-mail:</w:t>
            </w:r>
          </w:p>
        </w:tc>
        <w:tc>
          <w:tcPr>
            <w:tcW w:w="7904" w:type="dxa"/>
          </w:tcPr>
          <w:p w14:paraId="41842F2E" w14:textId="77777777" w:rsidR="00643832" w:rsidRPr="00643832" w:rsidRDefault="00C93EBC" w:rsidP="00643832">
            <w:pPr>
              <w:overflowPunct w:val="0"/>
              <w:autoSpaceDE w:val="0"/>
              <w:autoSpaceDN w:val="0"/>
              <w:adjustRightInd w:val="0"/>
              <w:ind w:left="720" w:hanging="720"/>
              <w:textAlignment w:val="baseline"/>
              <w:rPr>
                <w:i/>
                <w:iCs/>
              </w:rPr>
            </w:pPr>
            <w:hyperlink r:id="rId38" w:history="1">
              <w:r w:rsidR="00036171">
                <w:rPr>
                  <w:i/>
                  <w:color w:val="0000FF"/>
                  <w:u w:val="single"/>
                </w:rPr>
                <w:t>Aleksandra.SarmanGrilc@eesc.europa.eu</w:t>
              </w:r>
            </w:hyperlink>
            <w:r w:rsidR="00036171">
              <w:rPr>
                <w:i/>
              </w:rPr>
              <w:t xml:space="preserve"> </w:t>
            </w:r>
          </w:p>
        </w:tc>
      </w:tr>
    </w:tbl>
    <w:p w14:paraId="4982DDEF" w14:textId="77777777" w:rsidR="004D7AC0" w:rsidRDefault="004D7AC0" w:rsidP="004D7AC0">
      <w:pPr>
        <w:pStyle w:val="ListParagraph"/>
        <w:ind w:left="0"/>
      </w:pPr>
    </w:p>
    <w:p w14:paraId="4982DDF0" w14:textId="3EE664B6" w:rsidR="009B30A2" w:rsidRDefault="009B30A2">
      <w:pPr>
        <w:spacing w:after="160" w:line="259" w:lineRule="auto"/>
        <w:jc w:val="left"/>
      </w:pPr>
      <w:r>
        <w:br w:type="page"/>
      </w:r>
    </w:p>
    <w:p w14:paraId="22B25845" w14:textId="0A203EDB" w:rsidR="003C404F" w:rsidRPr="003C404F" w:rsidRDefault="00C93EBC" w:rsidP="00A704FE">
      <w:pPr>
        <w:widowControl w:val="0"/>
        <w:numPr>
          <w:ilvl w:val="0"/>
          <w:numId w:val="14"/>
        </w:numPr>
        <w:overflowPunct w:val="0"/>
        <w:autoSpaceDE w:val="0"/>
        <w:autoSpaceDN w:val="0"/>
        <w:adjustRightInd w:val="0"/>
        <w:ind w:hanging="567"/>
        <w:textAlignment w:val="baseline"/>
        <w:rPr>
          <w:sz w:val="20"/>
          <w:szCs w:val="20"/>
        </w:rPr>
      </w:pPr>
      <w:hyperlink r:id="rId39" w:history="1">
        <w:r w:rsidR="00036171">
          <w:rPr>
            <w:b/>
            <w:i/>
            <w:color w:val="0000FF"/>
            <w:sz w:val="28"/>
            <w:u w:val="single"/>
          </w:rPr>
          <w:t>Instrument „Łącząc Europę” na lata 2028‒2034</w:t>
        </w:r>
      </w:hyperlink>
    </w:p>
    <w:p w14:paraId="2EF12024"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277"/>
      </w:tblGrid>
      <w:tr w:rsidR="003C404F" w:rsidRPr="003C404F" w14:paraId="3E2FA068" w14:textId="77777777" w:rsidTr="00B1108D">
        <w:tc>
          <w:tcPr>
            <w:tcW w:w="2127" w:type="dxa"/>
          </w:tcPr>
          <w:p w14:paraId="736ACD15"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Sprawozdawca</w:t>
            </w:r>
          </w:p>
        </w:tc>
        <w:tc>
          <w:tcPr>
            <w:tcW w:w="5277" w:type="dxa"/>
          </w:tcPr>
          <w:p w14:paraId="634A8DD2" w14:textId="12181933" w:rsidR="003C404F" w:rsidRPr="003C404F" w:rsidRDefault="003C404F" w:rsidP="003C404F">
            <w:pPr>
              <w:tabs>
                <w:tab w:val="center" w:pos="284"/>
              </w:tabs>
              <w:overflowPunct w:val="0"/>
              <w:autoSpaceDE w:val="0"/>
              <w:autoSpaceDN w:val="0"/>
              <w:adjustRightInd w:val="0"/>
              <w:ind w:left="266" w:hanging="266"/>
              <w:textAlignment w:val="baseline"/>
            </w:pPr>
            <w:r>
              <w:t>Mateusz SZYMAŃSKI (Grupa Pracowników – PL)</w:t>
            </w:r>
          </w:p>
        </w:tc>
      </w:tr>
      <w:tr w:rsidR="003C404F" w:rsidRPr="003C404F" w14:paraId="12A8B4D5" w14:textId="77777777" w:rsidTr="00B1108D">
        <w:tc>
          <w:tcPr>
            <w:tcW w:w="2127" w:type="dxa"/>
          </w:tcPr>
          <w:p w14:paraId="44299DEF"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5277" w:type="dxa"/>
          </w:tcPr>
          <w:p w14:paraId="0B9C9FBC" w14:textId="418B7180" w:rsidR="003C404F" w:rsidRPr="003C404F" w:rsidRDefault="003C404F" w:rsidP="003C404F">
            <w:pPr>
              <w:tabs>
                <w:tab w:val="center" w:pos="284"/>
              </w:tabs>
              <w:overflowPunct w:val="0"/>
              <w:autoSpaceDE w:val="0"/>
              <w:autoSpaceDN w:val="0"/>
              <w:adjustRightInd w:val="0"/>
              <w:ind w:left="266" w:hanging="266"/>
              <w:textAlignment w:val="baseline"/>
            </w:pPr>
            <w:proofErr w:type="spellStart"/>
            <w:r>
              <w:t>Tomas</w:t>
            </w:r>
            <w:proofErr w:type="spellEnd"/>
            <w:r>
              <w:t xml:space="preserve"> ARVIDSSON (Grupa Pracodawców – SE)</w:t>
            </w:r>
          </w:p>
        </w:tc>
      </w:tr>
      <w:tr w:rsidR="003C404F" w:rsidRPr="003C404F" w14:paraId="1C6C37FD" w14:textId="77777777" w:rsidTr="00B1108D">
        <w:tc>
          <w:tcPr>
            <w:tcW w:w="7404" w:type="dxa"/>
            <w:gridSpan w:val="2"/>
          </w:tcPr>
          <w:p w14:paraId="6D2E186E" w14:textId="77777777" w:rsidR="003C404F" w:rsidRPr="003C404F" w:rsidRDefault="003C404F" w:rsidP="003C404F">
            <w:pPr>
              <w:tabs>
                <w:tab w:val="center" w:pos="284"/>
              </w:tabs>
              <w:overflowPunct w:val="0"/>
              <w:autoSpaceDE w:val="0"/>
              <w:autoSpaceDN w:val="0"/>
              <w:adjustRightInd w:val="0"/>
              <w:spacing w:line="160" w:lineRule="exact"/>
              <w:ind w:left="266" w:hanging="266"/>
              <w:textAlignment w:val="baseline"/>
            </w:pPr>
          </w:p>
        </w:tc>
      </w:tr>
      <w:tr w:rsidR="003C404F" w:rsidRPr="003C404F" w14:paraId="409112F4" w14:textId="77777777" w:rsidTr="00B1108D">
        <w:tc>
          <w:tcPr>
            <w:tcW w:w="2127" w:type="dxa"/>
            <w:vMerge w:val="restart"/>
          </w:tcPr>
          <w:p w14:paraId="7EAC9A7B"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Dokumenty źródłowe</w:t>
            </w:r>
          </w:p>
        </w:tc>
        <w:tc>
          <w:tcPr>
            <w:tcW w:w="5277" w:type="dxa"/>
          </w:tcPr>
          <w:p w14:paraId="3EAF5C04" w14:textId="1D8E0947" w:rsidR="003C404F" w:rsidRPr="003C404F" w:rsidRDefault="003C404F" w:rsidP="003C404F">
            <w:pPr>
              <w:tabs>
                <w:tab w:val="center" w:pos="284"/>
              </w:tabs>
              <w:overflowPunct w:val="0"/>
              <w:autoSpaceDE w:val="0"/>
              <w:autoSpaceDN w:val="0"/>
              <w:adjustRightInd w:val="0"/>
              <w:ind w:left="266" w:hanging="266"/>
              <w:textAlignment w:val="baseline"/>
            </w:pPr>
            <w:r>
              <w:t xml:space="preserve">COM(2025) 547 </w:t>
            </w:r>
            <w:proofErr w:type="spellStart"/>
            <w:r>
              <w:t>final</w:t>
            </w:r>
            <w:proofErr w:type="spellEnd"/>
          </w:p>
          <w:p w14:paraId="6869DEB1" w14:textId="77777777" w:rsidR="003C404F" w:rsidRPr="003C404F" w:rsidRDefault="003C404F" w:rsidP="003C404F">
            <w:pPr>
              <w:tabs>
                <w:tab w:val="center" w:pos="284"/>
              </w:tabs>
              <w:overflowPunct w:val="0"/>
              <w:autoSpaceDE w:val="0"/>
              <w:autoSpaceDN w:val="0"/>
              <w:adjustRightInd w:val="0"/>
              <w:ind w:left="266" w:hanging="266"/>
              <w:textAlignment w:val="baseline"/>
            </w:pPr>
            <w:r>
              <w:t>EESC-2025-03183-00-00-AC</w:t>
            </w:r>
          </w:p>
        </w:tc>
      </w:tr>
      <w:tr w:rsidR="003C404F" w:rsidRPr="003C404F" w14:paraId="59740CFA" w14:textId="77777777" w:rsidTr="00B1108D">
        <w:tc>
          <w:tcPr>
            <w:tcW w:w="2127" w:type="dxa"/>
            <w:vMerge/>
          </w:tcPr>
          <w:p w14:paraId="1890EEA3"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pt-PT"/>
              </w:rPr>
            </w:pPr>
          </w:p>
        </w:tc>
        <w:tc>
          <w:tcPr>
            <w:tcW w:w="5277" w:type="dxa"/>
          </w:tcPr>
          <w:p w14:paraId="0B1FAE72"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tc>
      </w:tr>
    </w:tbl>
    <w:p w14:paraId="5422AA30"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rPr>
      </w:pPr>
      <w:bookmarkStart w:id="51" w:name="_Hlk215320928"/>
      <w:r>
        <w:rPr>
          <w:b/>
        </w:rPr>
        <w:t>Główne punkty</w:t>
      </w:r>
    </w:p>
    <w:p w14:paraId="668A3C2C"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C404F">
      <w:pPr>
        <w:overflowPunct w:val="0"/>
        <w:autoSpaceDE w:val="0"/>
        <w:autoSpaceDN w:val="0"/>
        <w:adjustRightInd w:val="0"/>
        <w:textAlignment w:val="baseline"/>
        <w:rPr>
          <w:bCs/>
          <w:iCs/>
        </w:rPr>
      </w:pPr>
      <w:r>
        <w:t>EKES</w:t>
      </w:r>
    </w:p>
    <w:p w14:paraId="2AFF807F" w14:textId="77777777" w:rsidR="003C404F" w:rsidRPr="00B1108D" w:rsidRDefault="003C404F" w:rsidP="00B1108D"/>
    <w:p w14:paraId="26F1498D"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EKES z zadowoleniem przyjmuje uznanie potrzeby inwestycji, a w szczególności pilnej potrzeby wzmocnienia odporności UE i poprawy bezpieczeństwa. </w:t>
      </w:r>
      <w:r>
        <w:rPr>
          <w:b/>
        </w:rPr>
        <w:t>Komitet domaga się zwiększenia finansowania w ramach instrumentu „Łącząc Europę” III do co najmniej 100 mld EUR.</w:t>
      </w:r>
      <w:r>
        <w:t xml:space="preserve"> </w:t>
      </w:r>
    </w:p>
    <w:p w14:paraId="119F6FA8"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EKES uważa, że w następnym okresie programowania należy ująć</w:t>
      </w:r>
      <w:r>
        <w:rPr>
          <w:b/>
        </w:rPr>
        <w:t xml:space="preserve"> inwestycje wykraczające poza UE</w:t>
      </w:r>
      <w:r>
        <w:t>, to znaczy rozszerzyć korytarze TEN-T na kraje kandydujące.</w:t>
      </w:r>
    </w:p>
    <w:p w14:paraId="2C8B33CF" w14:textId="66E2F45E"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Podkreśla, że aby zapewnić</w:t>
      </w:r>
      <w:r>
        <w:rPr>
          <w:b/>
        </w:rPr>
        <w:t xml:space="preserve"> spójność terytorialną</w:t>
      </w:r>
      <w:r>
        <w:t xml:space="preserve"> i pełne wykorzystanie jednolitego rynku, program powinien priorytetowo traktować </w:t>
      </w:r>
      <w:r>
        <w:rPr>
          <w:b/>
        </w:rPr>
        <w:t>inwestycje w regionach, w których występują znaczne luki infrastrukturalne,</w:t>
      </w:r>
      <w:r>
        <w:t xml:space="preserve"> wspierać projekty mające na celu </w:t>
      </w:r>
      <w:r>
        <w:rPr>
          <w:b/>
        </w:rPr>
        <w:t>zabezpieczenie infrastruktury krytycznej i</w:t>
      </w:r>
      <w:r w:rsidR="00B1108D">
        <w:rPr>
          <w:b/>
        </w:rPr>
        <w:t> </w:t>
      </w:r>
      <w:r>
        <w:rPr>
          <w:b/>
        </w:rPr>
        <w:t>wąskich gardeł</w:t>
      </w:r>
      <w:r>
        <w:t xml:space="preserve">, w szczególności w </w:t>
      </w:r>
      <w:r>
        <w:rPr>
          <w:b/>
        </w:rPr>
        <w:t>krajach otrzymujących pomoc w ramach polityki spójności i regionach graniczących z Rosją i Białorusią</w:t>
      </w:r>
      <w:r>
        <w:t>, które są otwarcie wrogie wobec krajów UE.</w:t>
      </w:r>
    </w:p>
    <w:p w14:paraId="734F5361"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Uważa, że nie należy całkowicie wykluczać inwestycji realizowanych w jednym państwie członkowskim, jeżeli inwestycje te odpowiadają potrzebom i celom instrumentu „Łącząc Europę” oraz są istotne dla TEN-T i TEN-E.</w:t>
      </w:r>
    </w:p>
    <w:p w14:paraId="453E9F82"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rPr>
          <w:szCs w:val="20"/>
        </w:rPr>
      </w:pPr>
      <w:r>
        <w:t xml:space="preserve">Proponuje przeznaczenie środków finansowych na rozpoczęcie realizacji projektu w ramach instrumentu „Łącząc Europę” oraz </w:t>
      </w:r>
      <w:r>
        <w:rPr>
          <w:b/>
        </w:rPr>
        <w:t>określenie, które projekty będą traktowane priorytetowo. Kryteria finansowania powinny być powiązane z kryteriami społecznymi i środowiskowymi oraz zapewniać europejską wartość dodaną.</w:t>
      </w:r>
    </w:p>
    <w:p w14:paraId="0E7A0E07"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Domaga się </w:t>
      </w:r>
      <w:r>
        <w:rPr>
          <w:b/>
        </w:rPr>
        <w:t>wprowadzenia procedur oceny śródokresowej i oceny ex post</w:t>
      </w:r>
      <w:r>
        <w:t xml:space="preserve"> wydatków realizowanych w ramach instrumentu „Łącząc Europę”, a także</w:t>
      </w:r>
      <w:r>
        <w:rPr>
          <w:b/>
        </w:rPr>
        <w:t xml:space="preserve"> zasad monitorowania</w:t>
      </w:r>
      <w:r>
        <w:t xml:space="preserve"> tego instrumentu. Konieczne jest </w:t>
      </w:r>
      <w:r>
        <w:rPr>
          <w:b/>
        </w:rPr>
        <w:t>uproszczenie procesu składania wniosków i przyspieszenie wypłaty</w:t>
      </w:r>
      <w:r>
        <w:t xml:space="preserve"> środków w celu przyspieszenia realizacji inwestycji.</w:t>
      </w:r>
    </w:p>
    <w:bookmarkEnd w:id="51"/>
    <w:p w14:paraId="684991DF" w14:textId="77777777" w:rsidR="003C404F" w:rsidRPr="003C404F" w:rsidRDefault="003C404F" w:rsidP="003C404F">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C404F" w:rsidRPr="003C404F" w14:paraId="235E1D2C" w14:textId="77777777" w:rsidTr="002A7012">
        <w:tc>
          <w:tcPr>
            <w:tcW w:w="1418" w:type="dxa"/>
          </w:tcPr>
          <w:p w14:paraId="696E00D6" w14:textId="77777777" w:rsidR="003C404F" w:rsidRPr="003C404F" w:rsidRDefault="003C404F" w:rsidP="003C404F">
            <w:pPr>
              <w:overflowPunct w:val="0"/>
              <w:autoSpaceDE w:val="0"/>
              <w:autoSpaceDN w:val="0"/>
              <w:adjustRightInd w:val="0"/>
              <w:spacing w:line="240" w:lineRule="auto"/>
              <w:textAlignment w:val="baseline"/>
              <w:rPr>
                <w:i/>
              </w:rPr>
            </w:pPr>
            <w:r>
              <w:rPr>
                <w:b/>
                <w:i/>
              </w:rPr>
              <w:t>Kontakt</w:t>
            </w:r>
          </w:p>
        </w:tc>
        <w:tc>
          <w:tcPr>
            <w:tcW w:w="5670" w:type="dxa"/>
          </w:tcPr>
          <w:p w14:paraId="3C22F001" w14:textId="77777777" w:rsidR="003C404F" w:rsidRPr="003C404F" w:rsidRDefault="003C404F" w:rsidP="003C404F">
            <w:pPr>
              <w:overflowPunct w:val="0"/>
              <w:autoSpaceDE w:val="0"/>
              <w:autoSpaceDN w:val="0"/>
              <w:adjustRightInd w:val="0"/>
              <w:spacing w:line="240" w:lineRule="auto"/>
              <w:textAlignment w:val="baseline"/>
              <w:rPr>
                <w:i/>
              </w:rPr>
            </w:pPr>
            <w:r>
              <w:rPr>
                <w:i/>
              </w:rPr>
              <w:t xml:space="preserve">Giorgia </w:t>
            </w:r>
            <w:proofErr w:type="spellStart"/>
            <w:r>
              <w:rPr>
                <w:i/>
              </w:rPr>
              <w:t>Bordignon</w:t>
            </w:r>
            <w:proofErr w:type="spellEnd"/>
          </w:p>
        </w:tc>
      </w:tr>
      <w:tr w:rsidR="003C404F" w:rsidRPr="003C404F" w14:paraId="01D13931" w14:textId="77777777" w:rsidTr="002A7012">
        <w:tc>
          <w:tcPr>
            <w:tcW w:w="1418" w:type="dxa"/>
          </w:tcPr>
          <w:p w14:paraId="6C91ED69" w14:textId="77777777" w:rsidR="003C404F" w:rsidRPr="003C404F" w:rsidRDefault="003C404F" w:rsidP="003C404F">
            <w:pPr>
              <w:overflowPunct w:val="0"/>
              <w:autoSpaceDE w:val="0"/>
              <w:autoSpaceDN w:val="0"/>
              <w:adjustRightInd w:val="0"/>
              <w:spacing w:line="240" w:lineRule="auto"/>
              <w:textAlignment w:val="baseline"/>
              <w:rPr>
                <w:i/>
              </w:rPr>
            </w:pPr>
            <w:r>
              <w:rPr>
                <w:i/>
              </w:rPr>
              <w:t>Tel.:</w:t>
            </w:r>
          </w:p>
        </w:tc>
        <w:tc>
          <w:tcPr>
            <w:tcW w:w="5670" w:type="dxa"/>
          </w:tcPr>
          <w:p w14:paraId="354DB979" w14:textId="77777777" w:rsidR="003C404F" w:rsidRPr="003C404F" w:rsidRDefault="003C404F" w:rsidP="003C404F">
            <w:pPr>
              <w:overflowPunct w:val="0"/>
              <w:autoSpaceDE w:val="0"/>
              <w:autoSpaceDN w:val="0"/>
              <w:adjustRightInd w:val="0"/>
              <w:spacing w:line="240" w:lineRule="auto"/>
              <w:textAlignment w:val="baseline"/>
              <w:rPr>
                <w:i/>
              </w:rPr>
            </w:pPr>
            <w:r>
              <w:rPr>
                <w:i/>
              </w:rPr>
              <w:t>+32 25468535</w:t>
            </w:r>
          </w:p>
        </w:tc>
      </w:tr>
      <w:tr w:rsidR="003C404F" w:rsidRPr="003C404F" w14:paraId="06E9BD4D" w14:textId="77777777" w:rsidTr="002A7012">
        <w:tc>
          <w:tcPr>
            <w:tcW w:w="1418" w:type="dxa"/>
          </w:tcPr>
          <w:p w14:paraId="528BC54C" w14:textId="46AB0F20" w:rsidR="003C404F" w:rsidRPr="003C404F" w:rsidRDefault="00373DC9" w:rsidP="003C404F">
            <w:pPr>
              <w:overflowPunct w:val="0"/>
              <w:autoSpaceDE w:val="0"/>
              <w:autoSpaceDN w:val="0"/>
              <w:adjustRightInd w:val="0"/>
              <w:spacing w:line="240" w:lineRule="auto"/>
              <w:textAlignment w:val="baseline"/>
              <w:rPr>
                <w:i/>
              </w:rPr>
            </w:pPr>
            <w:r>
              <w:rPr>
                <w:i/>
              </w:rPr>
              <w:t>e-mail:</w:t>
            </w:r>
          </w:p>
        </w:tc>
        <w:tc>
          <w:tcPr>
            <w:tcW w:w="5670" w:type="dxa"/>
          </w:tcPr>
          <w:p w14:paraId="571CCCCD" w14:textId="77777777" w:rsidR="003C404F" w:rsidRPr="003C404F" w:rsidRDefault="00C93EBC" w:rsidP="003C404F">
            <w:pPr>
              <w:overflowPunct w:val="0"/>
              <w:autoSpaceDE w:val="0"/>
              <w:autoSpaceDN w:val="0"/>
              <w:adjustRightInd w:val="0"/>
              <w:spacing w:line="240" w:lineRule="auto"/>
              <w:textAlignment w:val="baseline"/>
              <w:rPr>
                <w:i/>
              </w:rPr>
            </w:pPr>
            <w:hyperlink r:id="rId40" w:history="1">
              <w:r w:rsidR="00036171">
                <w:rPr>
                  <w:i/>
                  <w:color w:val="0000FF"/>
                  <w:u w:val="single"/>
                </w:rPr>
                <w:t>GiorgiaAndrea.Bordignon@eesc.europa.eu</w:t>
              </w:r>
            </w:hyperlink>
          </w:p>
        </w:tc>
      </w:tr>
    </w:tbl>
    <w:p w14:paraId="27B27827" w14:textId="77777777" w:rsidR="004D7AC0" w:rsidRDefault="004D7AC0" w:rsidP="004D7AC0">
      <w:pPr>
        <w:pStyle w:val="ListParagraph"/>
        <w:ind w:left="0"/>
      </w:pPr>
    </w:p>
    <w:p w14:paraId="4982DDF1"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52" w:name="_Toc75527083"/>
      <w:bookmarkStart w:id="53" w:name="_Toc221258001"/>
      <w:r>
        <w:rPr>
          <w:b/>
        </w:rPr>
        <w:lastRenderedPageBreak/>
        <w:t>JEDNOLITY RYNEK, PRODUKCJA I KONSUMPCJA</w:t>
      </w:r>
      <w:bookmarkEnd w:id="52"/>
      <w:bookmarkEnd w:id="53"/>
    </w:p>
    <w:p w14:paraId="4982DDF4" w14:textId="77777777" w:rsidR="004D7AC0" w:rsidRDefault="004D7AC0" w:rsidP="004D7AC0"/>
    <w:p w14:paraId="5FEA40B5" w14:textId="2B7014DC" w:rsidR="00A73D45" w:rsidRPr="00A73D45" w:rsidRDefault="00C93EBC" w:rsidP="00A704FE">
      <w:pPr>
        <w:widowControl w:val="0"/>
        <w:numPr>
          <w:ilvl w:val="0"/>
          <w:numId w:val="14"/>
        </w:numPr>
        <w:ind w:hanging="567"/>
        <w:rPr>
          <w:b/>
        </w:rPr>
      </w:pPr>
      <w:hyperlink r:id="rId41" w:tgtFrame="_blank" w:history="1">
        <w:r w:rsidR="00036171">
          <w:rPr>
            <w:b/>
            <w:i/>
            <w:color w:val="0000FF"/>
            <w:sz w:val="28"/>
            <w:u w:val="single"/>
          </w:rPr>
          <w:t xml:space="preserve">Wydłużenie okresu obowiązywania przepisów przejściowych / niegodziwe traktowanie dzieci w celach seksualnych w </w:t>
        </w:r>
        <w:proofErr w:type="spellStart"/>
        <w:r w:rsidR="00036171">
          <w:rPr>
            <w:b/>
            <w:i/>
            <w:color w:val="0000FF"/>
            <w:sz w:val="28"/>
            <w:u w:val="single"/>
          </w:rPr>
          <w:t>internecie</w:t>
        </w:r>
        <w:proofErr w:type="spellEnd"/>
      </w:hyperlink>
    </w:p>
    <w:p w14:paraId="38C14283" w14:textId="77777777" w:rsidR="00A73D45" w:rsidRPr="00A73D45" w:rsidRDefault="00A73D45" w:rsidP="00A73D45">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07B363B4" w14:textId="77777777" w:rsidTr="00A73D45">
        <w:tc>
          <w:tcPr>
            <w:tcW w:w="2235" w:type="dxa"/>
          </w:tcPr>
          <w:p w14:paraId="69215E80" w14:textId="05DD091A" w:rsidR="00A73D45" w:rsidRPr="00A73D45" w:rsidRDefault="00A73D45" w:rsidP="00A73D45">
            <w:pPr>
              <w:tabs>
                <w:tab w:val="center" w:pos="284"/>
              </w:tabs>
              <w:ind w:left="266" w:hanging="266"/>
              <w:rPr>
                <w:b/>
              </w:rPr>
            </w:pPr>
          </w:p>
        </w:tc>
        <w:tc>
          <w:tcPr>
            <w:tcW w:w="6804" w:type="dxa"/>
          </w:tcPr>
          <w:p w14:paraId="40333635" w14:textId="0FE9ED9B" w:rsidR="00A73D45" w:rsidRPr="00A73D45" w:rsidRDefault="00A73D45" w:rsidP="00A73D45">
            <w:pPr>
              <w:tabs>
                <w:tab w:val="center" w:pos="284"/>
              </w:tabs>
              <w:ind w:left="266" w:hanging="266"/>
            </w:pPr>
          </w:p>
        </w:tc>
      </w:tr>
      <w:tr w:rsidR="00A73D45" w:rsidRPr="00A73D45" w14:paraId="781A7A77" w14:textId="77777777" w:rsidTr="00A73D45">
        <w:tc>
          <w:tcPr>
            <w:tcW w:w="2235" w:type="dxa"/>
            <w:vMerge w:val="restart"/>
          </w:tcPr>
          <w:p w14:paraId="080498B5" w14:textId="77777777" w:rsidR="00A73D45" w:rsidRPr="00A73D45" w:rsidRDefault="00A73D45" w:rsidP="00A73D45">
            <w:pPr>
              <w:tabs>
                <w:tab w:val="center" w:pos="284"/>
              </w:tabs>
              <w:ind w:left="266" w:hanging="266"/>
              <w:rPr>
                <w:b/>
              </w:rPr>
            </w:pPr>
            <w:r>
              <w:rPr>
                <w:b/>
              </w:rPr>
              <w:t>Dokumenty źródłowe</w:t>
            </w:r>
          </w:p>
        </w:tc>
        <w:tc>
          <w:tcPr>
            <w:tcW w:w="6804" w:type="dxa"/>
          </w:tcPr>
          <w:p w14:paraId="524B8382" w14:textId="278BBA2F" w:rsidR="00D56FF8" w:rsidRDefault="00D56FF8" w:rsidP="00A73D45">
            <w:pPr>
              <w:tabs>
                <w:tab w:val="center" w:pos="284"/>
              </w:tabs>
              <w:ind w:left="266" w:hanging="266"/>
            </w:pPr>
            <w:r>
              <w:t>Opinia kategorii C</w:t>
            </w:r>
          </w:p>
          <w:p w14:paraId="33630097" w14:textId="0BB2E15F" w:rsidR="00A73D45" w:rsidRPr="00A73D45" w:rsidRDefault="00A73D45" w:rsidP="00A73D45">
            <w:pPr>
              <w:tabs>
                <w:tab w:val="center" w:pos="284"/>
              </w:tabs>
              <w:ind w:left="266" w:hanging="266"/>
            </w:pPr>
            <w:r>
              <w:t xml:space="preserve">COM(2025) 797 </w:t>
            </w:r>
            <w:proofErr w:type="spellStart"/>
            <w:r>
              <w:t>final</w:t>
            </w:r>
            <w:proofErr w:type="spellEnd"/>
            <w:r>
              <w:t xml:space="preserve"> </w:t>
            </w:r>
          </w:p>
        </w:tc>
      </w:tr>
      <w:tr w:rsidR="00A73D45" w:rsidRPr="00A73D45" w14:paraId="4D60A057" w14:textId="77777777" w:rsidTr="00A73D45">
        <w:tc>
          <w:tcPr>
            <w:tcW w:w="2235" w:type="dxa"/>
            <w:vMerge/>
          </w:tcPr>
          <w:p w14:paraId="2AD930BA" w14:textId="77777777" w:rsidR="00A73D45" w:rsidRPr="00A73D45" w:rsidRDefault="00A73D45" w:rsidP="00A73D45">
            <w:pPr>
              <w:tabs>
                <w:tab w:val="center" w:pos="284"/>
              </w:tabs>
              <w:ind w:left="266" w:hanging="266"/>
              <w:rPr>
                <w:b/>
              </w:rPr>
            </w:pPr>
          </w:p>
        </w:tc>
        <w:tc>
          <w:tcPr>
            <w:tcW w:w="6804" w:type="dxa"/>
          </w:tcPr>
          <w:p w14:paraId="692F0F08" w14:textId="687CB275" w:rsidR="00A73D45" w:rsidRPr="00A73D45" w:rsidRDefault="00A73D45" w:rsidP="00A73D45">
            <w:pPr>
              <w:tabs>
                <w:tab w:val="center" w:pos="284"/>
              </w:tabs>
              <w:ind w:left="266" w:hanging="266"/>
            </w:pPr>
            <w:r>
              <w:t>EESC-2026-00083-00-00-AC</w:t>
            </w:r>
          </w:p>
        </w:tc>
      </w:tr>
    </w:tbl>
    <w:p w14:paraId="15F63A89" w14:textId="77777777" w:rsidR="00A73D45" w:rsidRPr="00A73D45" w:rsidRDefault="00A73D45" w:rsidP="00A73D45">
      <w:pPr>
        <w:keepNext/>
        <w:keepLines/>
        <w:tabs>
          <w:tab w:val="center" w:pos="284"/>
        </w:tabs>
        <w:ind w:left="266" w:hanging="266"/>
        <w:rPr>
          <w:b/>
        </w:rPr>
      </w:pPr>
    </w:p>
    <w:p w14:paraId="22306826" w14:textId="77777777" w:rsidR="00A73D45" w:rsidRPr="00A73D45" w:rsidRDefault="00A73D45" w:rsidP="00A73D45">
      <w:pPr>
        <w:rPr>
          <w:bCs/>
          <w:iCs/>
        </w:rPr>
      </w:pPr>
      <w:r>
        <w:t>EKES postanowił wydać pozytywną opinię w sprawie proponowanego tekstu.</w:t>
      </w:r>
    </w:p>
    <w:p w14:paraId="36182D22" w14:textId="77777777" w:rsidR="00A73D45" w:rsidRPr="00A73D45" w:rsidRDefault="00A73D45" w:rsidP="00A73D45">
      <w:pPr>
        <w:rPr>
          <w:bCs/>
          <w:iCs/>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21"/>
      </w:tblGrid>
      <w:tr w:rsidR="00A73D45" w:rsidRPr="00A73D45" w14:paraId="73C5BD99" w14:textId="77777777" w:rsidTr="00A73D45">
        <w:tc>
          <w:tcPr>
            <w:tcW w:w="1418" w:type="dxa"/>
          </w:tcPr>
          <w:p w14:paraId="58883516" w14:textId="77777777" w:rsidR="00A73D45" w:rsidRPr="00A73D45" w:rsidRDefault="00A73D45" w:rsidP="002C2DFE">
            <w:pPr>
              <w:spacing w:line="240" w:lineRule="auto"/>
              <w:ind w:hanging="110"/>
              <w:rPr>
                <w:i/>
              </w:rPr>
            </w:pPr>
            <w:r>
              <w:rPr>
                <w:b/>
                <w:i/>
              </w:rPr>
              <w:t>Kontakt</w:t>
            </w:r>
          </w:p>
        </w:tc>
        <w:tc>
          <w:tcPr>
            <w:tcW w:w="7621" w:type="dxa"/>
          </w:tcPr>
          <w:p w14:paraId="7C696E9F" w14:textId="77777777" w:rsidR="00A73D45" w:rsidRPr="00A73D45" w:rsidRDefault="00A73D45" w:rsidP="002C2DFE">
            <w:pPr>
              <w:spacing w:line="240" w:lineRule="auto"/>
              <w:ind w:hanging="110"/>
              <w:rPr>
                <w:i/>
              </w:rPr>
            </w:pPr>
            <w:r>
              <w:rPr>
                <w:i/>
              </w:rPr>
              <w:t xml:space="preserve">Alice </w:t>
            </w:r>
            <w:proofErr w:type="spellStart"/>
            <w:r>
              <w:rPr>
                <w:i/>
              </w:rPr>
              <w:t>Tétu</w:t>
            </w:r>
            <w:proofErr w:type="spellEnd"/>
          </w:p>
        </w:tc>
      </w:tr>
      <w:tr w:rsidR="00A73D45" w:rsidRPr="00A73D45" w14:paraId="65C8279E" w14:textId="77777777" w:rsidTr="00A73D45">
        <w:tc>
          <w:tcPr>
            <w:tcW w:w="1418" w:type="dxa"/>
          </w:tcPr>
          <w:p w14:paraId="04078FE5" w14:textId="77777777" w:rsidR="00A73D45" w:rsidRPr="00A73D45" w:rsidRDefault="00A73D45" w:rsidP="002C2DFE">
            <w:pPr>
              <w:spacing w:line="240" w:lineRule="auto"/>
              <w:ind w:hanging="110"/>
              <w:rPr>
                <w:i/>
              </w:rPr>
            </w:pPr>
            <w:r>
              <w:rPr>
                <w:i/>
              </w:rPr>
              <w:t>Tel.:</w:t>
            </w:r>
          </w:p>
        </w:tc>
        <w:tc>
          <w:tcPr>
            <w:tcW w:w="7621" w:type="dxa"/>
          </w:tcPr>
          <w:p w14:paraId="3127FAAA" w14:textId="77777777" w:rsidR="00A73D45" w:rsidRPr="00A73D45" w:rsidRDefault="00A73D45" w:rsidP="002C2DFE">
            <w:pPr>
              <w:spacing w:line="240" w:lineRule="auto"/>
              <w:ind w:hanging="110"/>
              <w:rPr>
                <w:i/>
              </w:rPr>
            </w:pPr>
            <w:r>
              <w:rPr>
                <w:i/>
              </w:rPr>
              <w:t>+32 254 68286</w:t>
            </w:r>
          </w:p>
        </w:tc>
      </w:tr>
      <w:tr w:rsidR="00A73D45" w:rsidRPr="00A73D45" w14:paraId="329CF510" w14:textId="77777777" w:rsidTr="00A73D45">
        <w:tc>
          <w:tcPr>
            <w:tcW w:w="1418" w:type="dxa"/>
          </w:tcPr>
          <w:p w14:paraId="4AA4CCC3" w14:textId="77777777" w:rsidR="00A73D45" w:rsidRPr="00A73D45" w:rsidRDefault="00A73D45" w:rsidP="002C2DFE">
            <w:pPr>
              <w:spacing w:line="240" w:lineRule="auto"/>
              <w:ind w:hanging="110"/>
              <w:rPr>
                <w:i/>
              </w:rPr>
            </w:pPr>
            <w:r>
              <w:rPr>
                <w:i/>
              </w:rPr>
              <w:t>e-mail:</w:t>
            </w:r>
          </w:p>
        </w:tc>
        <w:tc>
          <w:tcPr>
            <w:tcW w:w="7621" w:type="dxa"/>
          </w:tcPr>
          <w:p w14:paraId="2F50320D" w14:textId="77777777" w:rsidR="00A73D45" w:rsidRPr="00A73D45" w:rsidRDefault="00C93EBC" w:rsidP="002C2DFE">
            <w:pPr>
              <w:spacing w:line="240" w:lineRule="auto"/>
              <w:ind w:hanging="110"/>
              <w:rPr>
                <w:i/>
              </w:rPr>
            </w:pPr>
            <w:hyperlink r:id="rId42" w:history="1">
              <w:r w:rsidR="00036171">
                <w:rPr>
                  <w:i/>
                  <w:color w:val="0000FF"/>
                  <w:u w:val="single"/>
                </w:rPr>
                <w:t>Alice.Tetu@eesc.europa.eu</w:t>
              </w:r>
            </w:hyperlink>
          </w:p>
        </w:tc>
      </w:tr>
    </w:tbl>
    <w:p w14:paraId="4982DE1C" w14:textId="77777777" w:rsidR="004D7AC0" w:rsidRDefault="004D7AC0" w:rsidP="004D7AC0">
      <w:pPr>
        <w:pStyle w:val="ListParagraph"/>
        <w:ind w:left="0"/>
      </w:pPr>
    </w:p>
    <w:p w14:paraId="4982DE1D" w14:textId="18F60CA3" w:rsidR="005547CA" w:rsidRDefault="005547CA">
      <w:pPr>
        <w:spacing w:after="160" w:line="259" w:lineRule="auto"/>
        <w:jc w:val="left"/>
      </w:pPr>
      <w:r>
        <w:br w:type="page"/>
      </w:r>
    </w:p>
    <w:p w14:paraId="1B2C0697" w14:textId="290C2358" w:rsidR="000C49B7" w:rsidRPr="000C49B7" w:rsidRDefault="00C93EBC" w:rsidP="00A704FE">
      <w:pPr>
        <w:widowControl w:val="0"/>
        <w:numPr>
          <w:ilvl w:val="0"/>
          <w:numId w:val="14"/>
        </w:numPr>
        <w:overflowPunct w:val="0"/>
        <w:autoSpaceDE w:val="0"/>
        <w:autoSpaceDN w:val="0"/>
        <w:adjustRightInd w:val="0"/>
        <w:ind w:hanging="567"/>
        <w:textAlignment w:val="baseline"/>
        <w:rPr>
          <w:i/>
          <w:iCs/>
          <w:sz w:val="28"/>
          <w:szCs w:val="28"/>
        </w:rPr>
      </w:pPr>
      <w:hyperlink r:id="rId43" w:history="1">
        <w:r w:rsidR="00036171">
          <w:rPr>
            <w:b/>
            <w:i/>
            <w:color w:val="0000FF"/>
            <w:sz w:val="28"/>
            <w:u w:val="single"/>
          </w:rPr>
          <w:t>Program na rzecz jednolitego rynku i ceł 2028–2034</w:t>
        </w:r>
      </w:hyperlink>
    </w:p>
    <w:p w14:paraId="03059CDC"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5882"/>
      </w:tblGrid>
      <w:tr w:rsidR="000C49B7" w:rsidRPr="000C49B7" w14:paraId="2AB12E09" w14:textId="77777777" w:rsidTr="00B1108D">
        <w:trPr>
          <w:trHeight w:val="406"/>
        </w:trPr>
        <w:tc>
          <w:tcPr>
            <w:tcW w:w="1360" w:type="pct"/>
          </w:tcPr>
          <w:p w14:paraId="095F5AC6"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Sprawozdawca</w:t>
            </w:r>
          </w:p>
        </w:tc>
        <w:tc>
          <w:tcPr>
            <w:tcW w:w="3640" w:type="pct"/>
          </w:tcPr>
          <w:p w14:paraId="2A2A0FE9" w14:textId="51B4BE2F" w:rsidR="000C49B7" w:rsidRPr="000C49B7" w:rsidRDefault="000C49B7" w:rsidP="000C49B7">
            <w:pPr>
              <w:tabs>
                <w:tab w:val="center" w:pos="0"/>
              </w:tabs>
              <w:overflowPunct w:val="0"/>
              <w:autoSpaceDE w:val="0"/>
              <w:autoSpaceDN w:val="0"/>
              <w:adjustRightInd w:val="0"/>
              <w:ind w:left="266" w:hanging="266"/>
              <w:textAlignment w:val="baseline"/>
            </w:pPr>
            <w:r>
              <w:t>Vasco DE MELLO (Grupa Pracodawców – PT)</w:t>
            </w:r>
          </w:p>
        </w:tc>
      </w:tr>
      <w:tr w:rsidR="000C49B7" w:rsidRPr="000C49B7" w14:paraId="423F7D9C" w14:textId="77777777" w:rsidTr="00B1108D">
        <w:tc>
          <w:tcPr>
            <w:tcW w:w="1360" w:type="pct"/>
          </w:tcPr>
          <w:p w14:paraId="6A3FD609"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Dokumenty źródłowe</w:t>
            </w:r>
          </w:p>
        </w:tc>
        <w:tc>
          <w:tcPr>
            <w:tcW w:w="3640" w:type="pct"/>
          </w:tcPr>
          <w:p w14:paraId="2E0319C2" w14:textId="1DF0FB66" w:rsidR="000C49B7" w:rsidRPr="000C49B7" w:rsidRDefault="000C49B7" w:rsidP="000C49B7">
            <w:pPr>
              <w:overflowPunct w:val="0"/>
              <w:autoSpaceDE w:val="0"/>
              <w:autoSpaceDN w:val="0"/>
              <w:adjustRightInd w:val="0"/>
              <w:textAlignment w:val="baseline"/>
            </w:pPr>
            <w:r>
              <w:t xml:space="preserve">COM(2025) 590 </w:t>
            </w:r>
            <w:proofErr w:type="spellStart"/>
            <w:r>
              <w:t>final</w:t>
            </w:r>
            <w:proofErr w:type="spellEnd"/>
            <w:r>
              <w:t xml:space="preserve"> </w:t>
            </w:r>
          </w:p>
          <w:p w14:paraId="47FFFAA6" w14:textId="77777777" w:rsidR="000C49B7" w:rsidRPr="000C49B7" w:rsidRDefault="000C49B7" w:rsidP="000C49B7">
            <w:pPr>
              <w:overflowPunct w:val="0"/>
              <w:autoSpaceDE w:val="0"/>
              <w:autoSpaceDN w:val="0"/>
              <w:adjustRightInd w:val="0"/>
              <w:textAlignment w:val="baseline"/>
            </w:pPr>
            <w:r>
              <w:t>EESC-2025-03307-00-00-AC</w:t>
            </w:r>
          </w:p>
        </w:tc>
      </w:tr>
    </w:tbl>
    <w:p w14:paraId="18C29235"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rPr>
      </w:pPr>
      <w:r>
        <w:rPr>
          <w:b/>
        </w:rPr>
        <w:t>Główne punkty</w:t>
      </w:r>
    </w:p>
    <w:p w14:paraId="059218FD"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0C49B7">
      <w:pPr>
        <w:overflowPunct w:val="0"/>
        <w:autoSpaceDE w:val="0"/>
        <w:autoSpaceDN w:val="0"/>
        <w:adjustRightInd w:val="0"/>
        <w:textAlignment w:val="baseline"/>
        <w:rPr>
          <w:bCs/>
          <w:iCs/>
        </w:rPr>
      </w:pPr>
      <w:r>
        <w:t>EKES</w:t>
      </w:r>
    </w:p>
    <w:p w14:paraId="25C8EB27" w14:textId="77777777" w:rsidR="000C49B7" w:rsidRPr="000C49B7" w:rsidRDefault="000C49B7" w:rsidP="000C49B7">
      <w:pPr>
        <w:overflowPunct w:val="0"/>
        <w:autoSpaceDE w:val="0"/>
        <w:autoSpaceDN w:val="0"/>
        <w:adjustRightInd w:val="0"/>
        <w:textAlignment w:val="baseline"/>
        <w:rPr>
          <w:bCs/>
          <w:iCs/>
          <w:lang w:val="en-GB"/>
        </w:rPr>
      </w:pPr>
    </w:p>
    <w:p w14:paraId="27F1FDAD" w14:textId="77777777" w:rsidR="000C49B7" w:rsidRPr="000C49B7" w:rsidRDefault="000C49B7" w:rsidP="002C2DFE">
      <w:pPr>
        <w:numPr>
          <w:ilvl w:val="0"/>
          <w:numId w:val="42"/>
        </w:numPr>
        <w:overflowPunct w:val="0"/>
        <w:autoSpaceDE w:val="0"/>
        <w:autoSpaceDN w:val="0"/>
        <w:adjustRightInd w:val="0"/>
        <w:ind w:left="284" w:hanging="284"/>
        <w:textAlignment w:val="baseline"/>
      </w:pPr>
      <w:r>
        <w:t xml:space="preserve">Uważa, że przedmiotowy program </w:t>
      </w:r>
      <w:r>
        <w:rPr>
          <w:b/>
        </w:rPr>
        <w:t>realizuje właściwą strategię, opracowując środki i wsparcie</w:t>
      </w:r>
      <w:r>
        <w:t xml:space="preserve"> mające na celu zwiększenie i poprawę współpracy między Komisją a państwami członkowskimi oraz między państwami członkowskimi w kwestiach dotyczących jednolitego rynku, unii celnej, opodatkowania i wysiłków na rzecz zwalczania nadużyć finansowych.</w:t>
      </w:r>
    </w:p>
    <w:p w14:paraId="099DACC5" w14:textId="2E408E91" w:rsidR="000C49B7" w:rsidRPr="000C49B7" w:rsidRDefault="000C49B7" w:rsidP="002C2DFE">
      <w:pPr>
        <w:numPr>
          <w:ilvl w:val="0"/>
          <w:numId w:val="42"/>
        </w:numPr>
        <w:overflowPunct w:val="0"/>
        <w:autoSpaceDE w:val="0"/>
        <w:autoSpaceDN w:val="0"/>
        <w:adjustRightInd w:val="0"/>
        <w:ind w:left="284" w:hanging="284"/>
        <w:textAlignment w:val="baseline"/>
      </w:pPr>
      <w:r>
        <w:t xml:space="preserve">Wzywa Komisję Europejską, by zachęcała państwa członkowskie do </w:t>
      </w:r>
      <w:r>
        <w:rPr>
          <w:b/>
        </w:rPr>
        <w:t>zwiększenia zasobów ludzkich w obszarze celnym i na szczeblu służb podatkowych zajmujących się poborem ceł i</w:t>
      </w:r>
      <w:r w:rsidR="00B1108D">
        <w:rPr>
          <w:b/>
        </w:rPr>
        <w:t> </w:t>
      </w:r>
      <w:r>
        <w:rPr>
          <w:b/>
        </w:rPr>
        <w:t>podatków</w:t>
      </w:r>
      <w:r>
        <w:t>, zwłaszcza w państwach członkowskich otrzymujących najwięcej towarów z Azji oraz w odniesieniu do przesyłek wysyłanych za pośrednictwem znajdujących się tam platform cyfrowych.</w:t>
      </w:r>
    </w:p>
    <w:p w14:paraId="00F9A9A8"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Apeluje, aby uproszczeniu przepisów UE</w:t>
      </w:r>
      <w:r>
        <w:t xml:space="preserve"> towarzyszyło uproszczenie przepisów każdego państwa członkowskiego, tak aby obywatele i przedsiębiorstwa mogły z łatwością je stosować.</w:t>
      </w:r>
    </w:p>
    <w:p w14:paraId="04EE4C54"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Zaleca, aby cyfryzacja procedur,</w:t>
      </w:r>
      <w:r>
        <w:t xml:space="preserve"> które mają być stosowane przez obywateli i przedsiębiorstwa, nie była zbyt złożona i nie wiązała się ze zwiększeniem obowiązków sprawozdawczych lub innych obowiązków dla tychże obywateli lub przedsiębiorstw.</w:t>
      </w:r>
    </w:p>
    <w:p w14:paraId="44F2F222" w14:textId="77777777" w:rsidR="000C49B7" w:rsidRPr="000C49B7" w:rsidRDefault="000C49B7" w:rsidP="002C2DFE">
      <w:pPr>
        <w:numPr>
          <w:ilvl w:val="0"/>
          <w:numId w:val="42"/>
        </w:numPr>
        <w:overflowPunct w:val="0"/>
        <w:autoSpaceDE w:val="0"/>
        <w:autoSpaceDN w:val="0"/>
        <w:adjustRightInd w:val="0"/>
        <w:ind w:left="284" w:hanging="284"/>
        <w:textAlignment w:val="baseline"/>
        <w:rPr>
          <w:bCs/>
          <w:iCs/>
          <w:sz w:val="24"/>
          <w:szCs w:val="24"/>
        </w:rPr>
      </w:pPr>
      <w:r>
        <w:rPr>
          <w:b/>
        </w:rPr>
        <w:t>Postrzega jako ważne wspieranie stowarzyszeń konsumentów</w:t>
      </w:r>
      <w:r>
        <w:t xml:space="preserve"> ze względu na ich kluczową rolę, zarówno za pośrednictwem struktur rozstrzygania sporów konsumenckich, jak i w zakresie monitorowania zgodności produktów będących w obrocie na jednolitym rynku oraz w odniesieniu do zwiększania wiedzy finansowej.</w:t>
      </w:r>
    </w:p>
    <w:p w14:paraId="373FC97E" w14:textId="77777777" w:rsidR="000C49B7" w:rsidRPr="000C49B7" w:rsidRDefault="000C49B7" w:rsidP="000C49B7">
      <w:pPr>
        <w:overflowPunct w:val="0"/>
        <w:autoSpaceDE w:val="0"/>
        <w:autoSpaceDN w:val="0"/>
        <w:adjustRightInd w:val="0"/>
        <w:textAlignment w:val="baseline"/>
        <w:rPr>
          <w:bCs/>
          <w:iCs/>
          <w:szCs w:val="20"/>
          <w:lang w:val="en-GB"/>
        </w:rPr>
      </w:pPr>
    </w:p>
    <w:p w14:paraId="2521B7C6" w14:textId="77777777" w:rsidR="000C49B7" w:rsidRPr="000C49B7" w:rsidRDefault="000C49B7" w:rsidP="000C49B7">
      <w:pPr>
        <w:overflowPunct w:val="0"/>
        <w:autoSpaceDE w:val="0"/>
        <w:autoSpaceDN w:val="0"/>
        <w:adjustRightInd w:val="0"/>
        <w:textAlignment w:val="baseline"/>
        <w:rPr>
          <w:bCs/>
          <w:iCs/>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5029"/>
      </w:tblGrid>
      <w:tr w:rsidR="000C49B7" w:rsidRPr="000C49B7" w14:paraId="068AAEBE" w14:textId="77777777" w:rsidTr="00157438">
        <w:tc>
          <w:tcPr>
            <w:tcW w:w="1059" w:type="pct"/>
          </w:tcPr>
          <w:p w14:paraId="1993E7F8" w14:textId="77777777" w:rsidR="000C49B7" w:rsidRPr="000C49B7" w:rsidRDefault="000C49B7" w:rsidP="000C49B7">
            <w:pPr>
              <w:overflowPunct w:val="0"/>
              <w:autoSpaceDE w:val="0"/>
              <w:autoSpaceDN w:val="0"/>
              <w:adjustRightInd w:val="0"/>
              <w:textAlignment w:val="baseline"/>
              <w:rPr>
                <w:i/>
              </w:rPr>
            </w:pPr>
            <w:r>
              <w:rPr>
                <w:b/>
                <w:i/>
              </w:rPr>
              <w:t>Kontakt</w:t>
            </w:r>
          </w:p>
        </w:tc>
        <w:tc>
          <w:tcPr>
            <w:tcW w:w="3941" w:type="pct"/>
          </w:tcPr>
          <w:p w14:paraId="5A36E20B" w14:textId="74B2C149" w:rsidR="000C49B7" w:rsidRPr="000C49B7" w:rsidRDefault="000C49B7" w:rsidP="000C49B7">
            <w:pPr>
              <w:overflowPunct w:val="0"/>
              <w:autoSpaceDE w:val="0"/>
              <w:autoSpaceDN w:val="0"/>
              <w:adjustRightInd w:val="0"/>
              <w:textAlignment w:val="baseline"/>
              <w:rPr>
                <w:i/>
              </w:rPr>
            </w:pPr>
            <w:r>
              <w:rPr>
                <w:i/>
              </w:rPr>
              <w:t xml:space="preserve">Marco </w:t>
            </w:r>
            <w:proofErr w:type="spellStart"/>
            <w:r>
              <w:rPr>
                <w:i/>
              </w:rPr>
              <w:t>Manfroni</w:t>
            </w:r>
            <w:proofErr w:type="spellEnd"/>
          </w:p>
        </w:tc>
      </w:tr>
      <w:tr w:rsidR="000C49B7" w:rsidRPr="000C49B7" w14:paraId="2A9ED55A" w14:textId="77777777" w:rsidTr="00157438">
        <w:tc>
          <w:tcPr>
            <w:tcW w:w="1059" w:type="pct"/>
          </w:tcPr>
          <w:p w14:paraId="115E7456" w14:textId="77777777" w:rsidR="000C49B7" w:rsidRPr="000C49B7" w:rsidRDefault="000C49B7" w:rsidP="000C49B7">
            <w:pPr>
              <w:overflowPunct w:val="0"/>
              <w:autoSpaceDE w:val="0"/>
              <w:autoSpaceDN w:val="0"/>
              <w:adjustRightInd w:val="0"/>
              <w:textAlignment w:val="baseline"/>
              <w:rPr>
                <w:i/>
              </w:rPr>
            </w:pPr>
            <w:r>
              <w:rPr>
                <w:i/>
              </w:rPr>
              <w:t>Tel.:</w:t>
            </w:r>
          </w:p>
        </w:tc>
        <w:tc>
          <w:tcPr>
            <w:tcW w:w="3941" w:type="pct"/>
          </w:tcPr>
          <w:p w14:paraId="6FA1BB64" w14:textId="77777777" w:rsidR="000C49B7" w:rsidRPr="000C49B7" w:rsidRDefault="000C49B7" w:rsidP="000C49B7">
            <w:pPr>
              <w:overflowPunct w:val="0"/>
              <w:autoSpaceDE w:val="0"/>
              <w:autoSpaceDN w:val="0"/>
              <w:adjustRightInd w:val="0"/>
              <w:textAlignment w:val="baseline"/>
              <w:rPr>
                <w:i/>
              </w:rPr>
            </w:pPr>
            <w:r>
              <w:rPr>
                <w:i/>
              </w:rPr>
              <w:t>+ 32 25469140</w:t>
            </w:r>
          </w:p>
        </w:tc>
      </w:tr>
      <w:tr w:rsidR="000C49B7" w:rsidRPr="000C49B7" w14:paraId="726BC320" w14:textId="77777777" w:rsidTr="00157438">
        <w:tc>
          <w:tcPr>
            <w:tcW w:w="1059" w:type="pct"/>
          </w:tcPr>
          <w:p w14:paraId="2A6BB86F" w14:textId="77777777" w:rsidR="000C49B7" w:rsidRPr="000C49B7" w:rsidRDefault="000C49B7" w:rsidP="000C49B7">
            <w:pPr>
              <w:overflowPunct w:val="0"/>
              <w:autoSpaceDE w:val="0"/>
              <w:autoSpaceDN w:val="0"/>
              <w:adjustRightInd w:val="0"/>
              <w:textAlignment w:val="baseline"/>
              <w:rPr>
                <w:i/>
              </w:rPr>
            </w:pPr>
            <w:r>
              <w:rPr>
                <w:i/>
              </w:rPr>
              <w:t>e-mail:</w:t>
            </w:r>
          </w:p>
        </w:tc>
        <w:tc>
          <w:tcPr>
            <w:tcW w:w="3941" w:type="pct"/>
          </w:tcPr>
          <w:p w14:paraId="018F52E5" w14:textId="77777777" w:rsidR="000C49B7" w:rsidRPr="000C49B7" w:rsidRDefault="00C93EBC" w:rsidP="000C49B7">
            <w:pPr>
              <w:overflowPunct w:val="0"/>
              <w:autoSpaceDE w:val="0"/>
              <w:autoSpaceDN w:val="0"/>
              <w:adjustRightInd w:val="0"/>
              <w:textAlignment w:val="baseline"/>
              <w:rPr>
                <w:i/>
                <w:iCs/>
              </w:rPr>
            </w:pPr>
            <w:hyperlink r:id="rId44" w:history="1">
              <w:r w:rsidR="00036171">
                <w:rPr>
                  <w:i/>
                  <w:color w:val="0000FF"/>
                  <w:u w:val="single"/>
                </w:rPr>
                <w:t>Marco.Manfroni@eesc.europa.eu</w:t>
              </w:r>
            </w:hyperlink>
          </w:p>
        </w:tc>
      </w:tr>
    </w:tbl>
    <w:p w14:paraId="324F7D37" w14:textId="36ED278C" w:rsidR="00D032F4" w:rsidRDefault="00D032F4" w:rsidP="004D7AC0">
      <w:pPr>
        <w:pStyle w:val="ListParagraph"/>
        <w:ind w:left="0"/>
      </w:pPr>
    </w:p>
    <w:p w14:paraId="4312F881" w14:textId="77777777" w:rsidR="00D032F4" w:rsidRDefault="00D032F4">
      <w:pPr>
        <w:spacing w:after="160" w:line="259" w:lineRule="auto"/>
        <w:jc w:val="left"/>
      </w:pPr>
      <w:r>
        <w:br w:type="page"/>
      </w:r>
    </w:p>
    <w:p w14:paraId="33905C83" w14:textId="750152EA" w:rsidR="0012298C" w:rsidRPr="0012298C" w:rsidRDefault="00C93EBC" w:rsidP="002C2DFE">
      <w:pPr>
        <w:widowControl w:val="0"/>
        <w:numPr>
          <w:ilvl w:val="0"/>
          <w:numId w:val="14"/>
        </w:numPr>
        <w:overflowPunct w:val="0"/>
        <w:autoSpaceDE w:val="0"/>
        <w:autoSpaceDN w:val="0"/>
        <w:adjustRightInd w:val="0"/>
        <w:ind w:hanging="567"/>
        <w:textAlignment w:val="baseline"/>
        <w:rPr>
          <w:b/>
        </w:rPr>
      </w:pPr>
      <w:hyperlink r:id="rId45" w:tgtFrame="_blank" w:history="1">
        <w:r w:rsidR="00036171">
          <w:rPr>
            <w:b/>
            <w:i/>
            <w:color w:val="0000FF"/>
            <w:sz w:val="28"/>
            <w:u w:val="single"/>
          </w:rPr>
          <w:t>Strategia kwantowa</w:t>
        </w:r>
      </w:hyperlink>
    </w:p>
    <w:p w14:paraId="4439EB66" w14:textId="77777777" w:rsidR="0012298C" w:rsidRPr="0012298C" w:rsidRDefault="0012298C" w:rsidP="0012298C">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12298C" w14:paraId="73C9D7CC" w14:textId="77777777" w:rsidTr="0012298C">
        <w:tc>
          <w:tcPr>
            <w:tcW w:w="1148" w:type="pct"/>
          </w:tcPr>
          <w:p w14:paraId="7D0891C6"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Sprawozdawca</w:t>
            </w:r>
          </w:p>
        </w:tc>
        <w:tc>
          <w:tcPr>
            <w:tcW w:w="3852" w:type="pct"/>
          </w:tcPr>
          <w:p w14:paraId="4CCD6472" w14:textId="4ED6C70E" w:rsidR="0012298C" w:rsidRPr="0012298C" w:rsidRDefault="0012298C" w:rsidP="0012298C">
            <w:pPr>
              <w:tabs>
                <w:tab w:val="center" w:pos="284"/>
              </w:tabs>
              <w:overflowPunct w:val="0"/>
              <w:autoSpaceDE w:val="0"/>
              <w:autoSpaceDN w:val="0"/>
              <w:adjustRightInd w:val="0"/>
              <w:ind w:left="266" w:hanging="266"/>
              <w:textAlignment w:val="baseline"/>
            </w:pPr>
            <w:r>
              <w:t>Maurizio MENSI (Grupa Organizacji Społeczeństwa Obywatelskiego – IT)</w:t>
            </w:r>
          </w:p>
          <w:p w14:paraId="7E934BA4" w14:textId="77777777" w:rsidR="0012298C" w:rsidRPr="0012298C" w:rsidRDefault="0012298C" w:rsidP="0012298C">
            <w:pPr>
              <w:tabs>
                <w:tab w:val="center" w:pos="284"/>
              </w:tabs>
              <w:overflowPunct w:val="0"/>
              <w:autoSpaceDE w:val="0"/>
              <w:autoSpaceDN w:val="0"/>
              <w:adjustRightInd w:val="0"/>
              <w:ind w:left="266" w:hanging="266"/>
              <w:textAlignment w:val="baseline"/>
            </w:pPr>
          </w:p>
        </w:tc>
      </w:tr>
      <w:tr w:rsidR="0012298C" w:rsidRPr="0012298C" w14:paraId="1A2B4ABF" w14:textId="77777777" w:rsidTr="0012298C">
        <w:tc>
          <w:tcPr>
            <w:tcW w:w="1148" w:type="pct"/>
            <w:vMerge w:val="restart"/>
          </w:tcPr>
          <w:p w14:paraId="2168ABD1"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Dokumenty źródłowe</w:t>
            </w:r>
          </w:p>
        </w:tc>
        <w:tc>
          <w:tcPr>
            <w:tcW w:w="3852" w:type="pct"/>
          </w:tcPr>
          <w:p w14:paraId="47942A65" w14:textId="209F3B3B" w:rsidR="0012298C" w:rsidRPr="0012298C" w:rsidRDefault="0012298C" w:rsidP="0012298C">
            <w:pPr>
              <w:tabs>
                <w:tab w:val="center" w:pos="284"/>
              </w:tabs>
              <w:overflowPunct w:val="0"/>
              <w:autoSpaceDE w:val="0"/>
              <w:autoSpaceDN w:val="0"/>
              <w:adjustRightInd w:val="0"/>
              <w:ind w:left="266" w:hanging="266"/>
              <w:textAlignment w:val="baseline"/>
            </w:pPr>
            <w:r>
              <w:t xml:space="preserve">COM (2025) 363 </w:t>
            </w:r>
            <w:proofErr w:type="spellStart"/>
            <w:r>
              <w:t>final</w:t>
            </w:r>
            <w:proofErr w:type="spellEnd"/>
          </w:p>
        </w:tc>
      </w:tr>
      <w:tr w:rsidR="0012298C" w:rsidRPr="0012298C" w14:paraId="258EC54F" w14:textId="77777777" w:rsidTr="0012298C">
        <w:tc>
          <w:tcPr>
            <w:tcW w:w="1148" w:type="pct"/>
            <w:vMerge/>
          </w:tcPr>
          <w:p w14:paraId="09DF4400" w14:textId="77777777" w:rsidR="0012298C" w:rsidRPr="0012298C" w:rsidRDefault="0012298C" w:rsidP="0012298C">
            <w:pPr>
              <w:tabs>
                <w:tab w:val="center" w:pos="284"/>
              </w:tabs>
              <w:overflowPunct w:val="0"/>
              <w:autoSpaceDE w:val="0"/>
              <w:autoSpaceDN w:val="0"/>
              <w:adjustRightInd w:val="0"/>
              <w:ind w:left="266" w:hanging="266"/>
              <w:textAlignment w:val="baseline"/>
              <w:rPr>
                <w:b/>
              </w:rPr>
            </w:pPr>
          </w:p>
        </w:tc>
        <w:tc>
          <w:tcPr>
            <w:tcW w:w="3852" w:type="pct"/>
          </w:tcPr>
          <w:p w14:paraId="554079D5" w14:textId="77777777" w:rsidR="0012298C" w:rsidRPr="0012298C" w:rsidRDefault="0012298C" w:rsidP="0012298C">
            <w:pPr>
              <w:tabs>
                <w:tab w:val="center" w:pos="284"/>
              </w:tabs>
              <w:overflowPunct w:val="0"/>
              <w:autoSpaceDE w:val="0"/>
              <w:autoSpaceDN w:val="0"/>
              <w:adjustRightInd w:val="0"/>
              <w:ind w:left="266" w:hanging="266"/>
              <w:textAlignment w:val="baseline"/>
            </w:pPr>
            <w:r>
              <w:t>EESC-2025-02334-00-00-AC</w:t>
            </w:r>
          </w:p>
        </w:tc>
      </w:tr>
    </w:tbl>
    <w:p w14:paraId="713434DF" w14:textId="77777777" w:rsidR="0012298C" w:rsidRPr="0012298C" w:rsidRDefault="0012298C" w:rsidP="0012298C">
      <w:pPr>
        <w:tabs>
          <w:tab w:val="center" w:pos="284"/>
        </w:tabs>
        <w:overflowPunct w:val="0"/>
        <w:autoSpaceDE w:val="0"/>
        <w:autoSpaceDN w:val="0"/>
        <w:adjustRightInd w:val="0"/>
        <w:ind w:left="266" w:hanging="266"/>
        <w:textAlignment w:val="baseline"/>
        <w:rPr>
          <w:lang w:val="en-GB"/>
        </w:rPr>
      </w:pPr>
    </w:p>
    <w:p w14:paraId="7ADD52A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rPr>
      </w:pPr>
      <w:r>
        <w:rPr>
          <w:b/>
        </w:rPr>
        <w:t>Główne punkty</w:t>
      </w:r>
    </w:p>
    <w:p w14:paraId="17B8FCC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lang w:val="en-GB"/>
        </w:rPr>
      </w:pPr>
    </w:p>
    <w:p w14:paraId="2EC640FA" w14:textId="77777777" w:rsidR="0012298C" w:rsidRPr="0012298C" w:rsidRDefault="0012298C" w:rsidP="0012298C">
      <w:pPr>
        <w:overflowPunct w:val="0"/>
        <w:autoSpaceDE w:val="0"/>
        <w:autoSpaceDN w:val="0"/>
        <w:adjustRightInd w:val="0"/>
        <w:textAlignment w:val="baseline"/>
        <w:rPr>
          <w:bCs/>
          <w:iCs/>
        </w:rPr>
      </w:pPr>
      <w:r>
        <w:t>EKES</w:t>
      </w:r>
    </w:p>
    <w:p w14:paraId="06B772C4" w14:textId="77777777" w:rsidR="0012298C" w:rsidRPr="0012298C" w:rsidRDefault="0012298C" w:rsidP="0012298C">
      <w:pPr>
        <w:overflowPunct w:val="0"/>
        <w:autoSpaceDE w:val="0"/>
        <w:autoSpaceDN w:val="0"/>
        <w:adjustRightInd w:val="0"/>
        <w:textAlignment w:val="baseline"/>
        <w:rPr>
          <w:bCs/>
          <w:iCs/>
          <w:lang w:val="en-GB"/>
        </w:rPr>
      </w:pPr>
    </w:p>
    <w:p w14:paraId="46BA88AB"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Podkreśla znaczenie </w:t>
      </w:r>
      <w:r>
        <w:rPr>
          <w:b/>
        </w:rPr>
        <w:t>ukierunkowanego finansowania</w:t>
      </w:r>
      <w:r>
        <w:t xml:space="preserve">, </w:t>
      </w:r>
      <w:r>
        <w:rPr>
          <w:b/>
        </w:rPr>
        <w:t>dostępu do kapitału wzrostu</w:t>
      </w:r>
      <w:r>
        <w:t xml:space="preserve"> i </w:t>
      </w:r>
      <w:r>
        <w:rPr>
          <w:b/>
        </w:rPr>
        <w:t>wsparcia ze strony dużych przedsiębiorstw</w:t>
      </w:r>
      <w:r>
        <w:t xml:space="preserve"> dla zapewnienia konkurencyjnego i zintegrowanego europejskiego ekosystemu kwantowego.</w:t>
      </w:r>
    </w:p>
    <w:p w14:paraId="7D19DC30"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Apeluje o </w:t>
      </w:r>
      <w:r>
        <w:rPr>
          <w:b/>
        </w:rPr>
        <w:t>rozbudowę publicznej infrastruktury kwantowej</w:t>
      </w:r>
      <w:r>
        <w:t xml:space="preserve"> i utworzenie ogólnodostępnych stanowisk badawczych, aby umożliwić eksperymenty, transfer technologii i szeroki udział, w tym MŚP i instytutów badawczych.</w:t>
      </w:r>
    </w:p>
    <w:p w14:paraId="642115FF" w14:textId="77777777" w:rsidR="0012298C" w:rsidRPr="0012298C" w:rsidRDefault="0012298C" w:rsidP="002C2DFE">
      <w:pPr>
        <w:numPr>
          <w:ilvl w:val="0"/>
          <w:numId w:val="43"/>
        </w:numPr>
        <w:overflowPunct w:val="0"/>
        <w:autoSpaceDE w:val="0"/>
        <w:autoSpaceDN w:val="0"/>
        <w:adjustRightInd w:val="0"/>
        <w:ind w:left="284" w:hanging="284"/>
        <w:textAlignment w:val="baseline"/>
      </w:pPr>
      <w:r>
        <w:t>Zwraca uwagę na</w:t>
      </w:r>
      <w:r>
        <w:rPr>
          <w:b/>
        </w:rPr>
        <w:t xml:space="preserve"> strategiczne zastosowania</w:t>
      </w:r>
      <w:r>
        <w:t xml:space="preserve"> technologii kwantowych, które mogą przekształcić sektory takie jak </w:t>
      </w:r>
      <w:r>
        <w:rPr>
          <w:b/>
        </w:rPr>
        <w:t>obronność, bezpieczeństwo, przestrzeń kosmiczna, zdrowie, nauki biologiczne</w:t>
      </w:r>
      <w:r>
        <w:t xml:space="preserve"> i motoryzacja, oraz podkreśla znaczenie solidnych ram własności intelektualnej dla ochrony innowacji w UE.</w:t>
      </w:r>
    </w:p>
    <w:p w14:paraId="6455BB84" w14:textId="77777777" w:rsidR="0012298C" w:rsidRPr="0012298C" w:rsidRDefault="0012298C" w:rsidP="002C2DFE">
      <w:pPr>
        <w:numPr>
          <w:ilvl w:val="0"/>
          <w:numId w:val="43"/>
        </w:numPr>
        <w:overflowPunct w:val="0"/>
        <w:autoSpaceDE w:val="0"/>
        <w:autoSpaceDN w:val="0"/>
        <w:adjustRightInd w:val="0"/>
        <w:ind w:left="284" w:hanging="284"/>
        <w:textAlignment w:val="baseline"/>
      </w:pPr>
      <w:r>
        <w:t>Wzywa do</w:t>
      </w:r>
      <w:r>
        <w:rPr>
          <w:b/>
        </w:rPr>
        <w:t xml:space="preserve"> inwestowania w rozwój umiejętności i talentów</w:t>
      </w:r>
      <w:r>
        <w:t>, w tym w europejską akademię umiejętności kwantowych i stypendia dla doktorantów, aby zatrzymać wysoko wykwalifikowanych specjalistów i przyspieszyć praktyczne zastosowanie badań naukowych.</w:t>
      </w:r>
    </w:p>
    <w:p w14:paraId="480795AA"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Podkreśla potrzebę </w:t>
      </w:r>
      <w:r>
        <w:rPr>
          <w:b/>
        </w:rPr>
        <w:t>skutecznych narzędzi monitorowania</w:t>
      </w:r>
      <w:r>
        <w:t xml:space="preserve">, </w:t>
      </w:r>
      <w:r>
        <w:rPr>
          <w:b/>
        </w:rPr>
        <w:t>jasnych kluczowych wskaźników skuteczności działania (KPI)</w:t>
      </w:r>
      <w:r>
        <w:t xml:space="preserve"> oraz </w:t>
      </w:r>
      <w:proofErr w:type="spellStart"/>
      <w:r>
        <w:rPr>
          <w:b/>
        </w:rPr>
        <w:t>inkluzywnego</w:t>
      </w:r>
      <w:proofErr w:type="spellEnd"/>
      <w:r>
        <w:rPr>
          <w:b/>
        </w:rPr>
        <w:t xml:space="preserve"> sprawowania rządów w UE</w:t>
      </w:r>
      <w:r>
        <w:t>, aby zapewnić śledzenie postępów, maksymalizację wyników oraz harmonizację inwestycji we wszystkich państwach członkowskich.</w:t>
      </w:r>
    </w:p>
    <w:p w14:paraId="66056502" w14:textId="77777777" w:rsidR="0012298C" w:rsidRPr="0012298C" w:rsidRDefault="0012298C" w:rsidP="002C2DFE">
      <w:pPr>
        <w:numPr>
          <w:ilvl w:val="0"/>
          <w:numId w:val="43"/>
        </w:numPr>
        <w:overflowPunct w:val="0"/>
        <w:autoSpaceDE w:val="0"/>
        <w:autoSpaceDN w:val="0"/>
        <w:adjustRightInd w:val="0"/>
        <w:ind w:left="284" w:hanging="284"/>
        <w:textAlignment w:val="baseline"/>
        <w:rPr>
          <w:rFonts w:ascii="Calibri" w:hAnsi="Calibri"/>
        </w:rPr>
      </w:pPr>
      <w:r>
        <w:t xml:space="preserve">Wzywa do </w:t>
      </w:r>
      <w:r>
        <w:rPr>
          <w:b/>
        </w:rPr>
        <w:t>promowania skoordynowanego i zintegrowanego europejskiego ekosystemu kwantowego</w:t>
      </w:r>
      <w:r>
        <w:t xml:space="preserve"> łączącego badania naukowe, innowacje, infrastrukturę, talenty i zarządzanie w celu wzmocnienia suwerenności technologicznej i konkurencyjności przemysłowej Europy.</w:t>
      </w:r>
    </w:p>
    <w:p w14:paraId="7800FE27" w14:textId="77777777" w:rsidR="0012298C" w:rsidRPr="0012298C" w:rsidRDefault="0012298C" w:rsidP="0012298C">
      <w:pPr>
        <w:jc w:val="left"/>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12298C" w:rsidRDefault="0012298C" w:rsidP="0012298C">
            <w:pPr>
              <w:overflowPunct w:val="0"/>
              <w:autoSpaceDE w:val="0"/>
              <w:autoSpaceDN w:val="0"/>
              <w:adjustRightInd w:val="0"/>
              <w:textAlignment w:val="baseline"/>
              <w:rPr>
                <w:i/>
              </w:rPr>
            </w:pPr>
            <w:r>
              <w:rPr>
                <w:b/>
                <w:i/>
              </w:rPr>
              <w:t>Kontakt</w:t>
            </w:r>
          </w:p>
        </w:tc>
        <w:tc>
          <w:tcPr>
            <w:tcW w:w="3444" w:type="pct"/>
          </w:tcPr>
          <w:p w14:paraId="1304EB57" w14:textId="77777777" w:rsidR="0012298C" w:rsidRPr="0012298C" w:rsidRDefault="0012298C" w:rsidP="0012298C">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El </w:t>
            </w:r>
            <w:proofErr w:type="spellStart"/>
            <w:r>
              <w:rPr>
                <w:i/>
              </w:rPr>
              <w:t>Ouahabi</w:t>
            </w:r>
            <w:proofErr w:type="spellEnd"/>
          </w:p>
        </w:tc>
      </w:tr>
      <w:tr w:rsidR="0012298C" w:rsidRPr="0012298C" w14:paraId="745D8B9A" w14:textId="77777777" w:rsidTr="0012298C">
        <w:tc>
          <w:tcPr>
            <w:tcW w:w="1556" w:type="pct"/>
          </w:tcPr>
          <w:p w14:paraId="2D3D277F" w14:textId="77777777" w:rsidR="0012298C" w:rsidRPr="0012298C" w:rsidRDefault="0012298C" w:rsidP="0012298C">
            <w:pPr>
              <w:overflowPunct w:val="0"/>
              <w:autoSpaceDE w:val="0"/>
              <w:autoSpaceDN w:val="0"/>
              <w:adjustRightInd w:val="0"/>
              <w:textAlignment w:val="baseline"/>
              <w:rPr>
                <w:i/>
              </w:rPr>
            </w:pPr>
            <w:r>
              <w:rPr>
                <w:i/>
              </w:rPr>
              <w:t>Tel.:</w:t>
            </w:r>
          </w:p>
        </w:tc>
        <w:tc>
          <w:tcPr>
            <w:tcW w:w="3444" w:type="pct"/>
          </w:tcPr>
          <w:p w14:paraId="1E2108DB" w14:textId="77777777" w:rsidR="0012298C" w:rsidRPr="0012298C" w:rsidRDefault="0012298C" w:rsidP="0012298C">
            <w:pPr>
              <w:overflowPunct w:val="0"/>
              <w:autoSpaceDE w:val="0"/>
              <w:autoSpaceDN w:val="0"/>
              <w:adjustRightInd w:val="0"/>
              <w:textAlignment w:val="baseline"/>
              <w:rPr>
                <w:i/>
              </w:rPr>
            </w:pPr>
            <w:r>
              <w:rPr>
                <w:i/>
              </w:rPr>
              <w:t>+32 25468485</w:t>
            </w:r>
          </w:p>
        </w:tc>
      </w:tr>
      <w:tr w:rsidR="0012298C" w:rsidRPr="0012298C" w14:paraId="253FF73F" w14:textId="77777777" w:rsidTr="0012298C">
        <w:tc>
          <w:tcPr>
            <w:tcW w:w="1556" w:type="pct"/>
          </w:tcPr>
          <w:p w14:paraId="43C18F2D" w14:textId="568040E4" w:rsidR="0012298C" w:rsidRPr="0012298C" w:rsidRDefault="008B365F" w:rsidP="0012298C">
            <w:pPr>
              <w:overflowPunct w:val="0"/>
              <w:autoSpaceDE w:val="0"/>
              <w:autoSpaceDN w:val="0"/>
              <w:adjustRightInd w:val="0"/>
              <w:textAlignment w:val="baseline"/>
              <w:rPr>
                <w:i/>
              </w:rPr>
            </w:pPr>
            <w:r>
              <w:rPr>
                <w:i/>
              </w:rPr>
              <w:t>e-mail:</w:t>
            </w:r>
          </w:p>
        </w:tc>
        <w:tc>
          <w:tcPr>
            <w:tcW w:w="3444" w:type="pct"/>
          </w:tcPr>
          <w:p w14:paraId="739E917A" w14:textId="77777777" w:rsidR="0012298C" w:rsidRPr="0012298C" w:rsidRDefault="00C93EBC" w:rsidP="0012298C">
            <w:pPr>
              <w:overflowPunct w:val="0"/>
              <w:autoSpaceDE w:val="0"/>
              <w:autoSpaceDN w:val="0"/>
              <w:adjustRightInd w:val="0"/>
              <w:textAlignment w:val="baseline"/>
              <w:rPr>
                <w:i/>
                <w:iCs/>
              </w:rPr>
            </w:pPr>
            <w:hyperlink r:id="rId46" w:history="1">
              <w:r w:rsidR="00036171">
                <w:rPr>
                  <w:i/>
                  <w:color w:val="0000FF"/>
                  <w:u w:val="single"/>
                </w:rPr>
                <w:t>Yousra.AsbouniElOuahabi@eesc.europa.eu</w:t>
              </w:r>
            </w:hyperlink>
          </w:p>
        </w:tc>
      </w:tr>
    </w:tbl>
    <w:p w14:paraId="14F5DB5C" w14:textId="7BC7EAD2" w:rsidR="00050772" w:rsidRDefault="00050772" w:rsidP="004D7AC0">
      <w:pPr>
        <w:pStyle w:val="ListParagraph"/>
        <w:ind w:left="0"/>
      </w:pPr>
    </w:p>
    <w:p w14:paraId="3F88728D" w14:textId="77777777" w:rsidR="00050772" w:rsidRDefault="00050772">
      <w:pPr>
        <w:spacing w:after="160" w:line="259" w:lineRule="auto"/>
        <w:jc w:val="left"/>
      </w:pPr>
      <w:r>
        <w:br w:type="page"/>
      </w:r>
    </w:p>
    <w:p w14:paraId="62DF5DFC" w14:textId="51C1EEE7" w:rsidR="0007736E" w:rsidRPr="0007736E" w:rsidRDefault="00C93EBC" w:rsidP="00A704FE">
      <w:pPr>
        <w:widowControl w:val="0"/>
        <w:numPr>
          <w:ilvl w:val="0"/>
          <w:numId w:val="14"/>
        </w:numPr>
        <w:overflowPunct w:val="0"/>
        <w:autoSpaceDE w:val="0"/>
        <w:autoSpaceDN w:val="0"/>
        <w:adjustRightInd w:val="0"/>
        <w:ind w:hanging="567"/>
        <w:textAlignment w:val="baseline"/>
        <w:rPr>
          <w:sz w:val="20"/>
          <w:szCs w:val="20"/>
        </w:rPr>
      </w:pPr>
      <w:hyperlink r:id="rId47" w:tgtFrame="_blank" w:history="1">
        <w:r w:rsidR="00036171">
          <w:rPr>
            <w:b/>
            <w:i/>
            <w:color w:val="0000FF"/>
            <w:sz w:val="28"/>
            <w:u w:val="single"/>
          </w:rPr>
          <w:t>Strategia w sprawie zastosowania AI – wzmocnienie kontynentu sztucznej inteligencji</w:t>
        </w:r>
      </w:hyperlink>
    </w:p>
    <w:p w14:paraId="2E25827C" w14:textId="77777777" w:rsidR="0007736E" w:rsidRPr="0007736E" w:rsidRDefault="0007736E" w:rsidP="0007736E">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6509"/>
      </w:tblGrid>
      <w:tr w:rsidR="0007736E" w:rsidRPr="0007736E" w14:paraId="548A35E5" w14:textId="77777777" w:rsidTr="00B1108D">
        <w:tc>
          <w:tcPr>
            <w:tcW w:w="2170" w:type="dxa"/>
          </w:tcPr>
          <w:p w14:paraId="700BA523"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Sprawozdawca</w:t>
            </w:r>
          </w:p>
        </w:tc>
        <w:tc>
          <w:tcPr>
            <w:tcW w:w="6509" w:type="dxa"/>
          </w:tcPr>
          <w:p w14:paraId="09CB249B" w14:textId="17F6ECC9" w:rsidR="0007736E" w:rsidRPr="0007736E" w:rsidRDefault="0007736E" w:rsidP="0007736E">
            <w:pPr>
              <w:tabs>
                <w:tab w:val="center" w:pos="284"/>
              </w:tabs>
              <w:overflowPunct w:val="0"/>
              <w:autoSpaceDE w:val="0"/>
              <w:autoSpaceDN w:val="0"/>
              <w:adjustRightInd w:val="0"/>
              <w:ind w:left="266" w:hanging="266"/>
              <w:textAlignment w:val="baseline"/>
            </w:pPr>
            <w:r>
              <w:t>Rudolf KOLBE (Grupa Organizacji Społeczeństwa Obywatelskiego – AT)</w:t>
            </w:r>
          </w:p>
          <w:p w14:paraId="51480F92" w14:textId="76E69ED4" w:rsidR="0007736E" w:rsidRPr="0007736E" w:rsidRDefault="0007736E" w:rsidP="0007736E">
            <w:pPr>
              <w:tabs>
                <w:tab w:val="center" w:pos="284"/>
              </w:tabs>
              <w:overflowPunct w:val="0"/>
              <w:autoSpaceDE w:val="0"/>
              <w:autoSpaceDN w:val="0"/>
              <w:adjustRightInd w:val="0"/>
              <w:ind w:left="266" w:hanging="266"/>
              <w:textAlignment w:val="baseline"/>
            </w:pPr>
            <w:r>
              <w:t>Miroslav HAJNOŠ (Grupa Pracowników – SK)</w:t>
            </w:r>
          </w:p>
        </w:tc>
      </w:tr>
      <w:tr w:rsidR="0007736E" w:rsidRPr="0007736E" w14:paraId="717EF1D5" w14:textId="77777777" w:rsidTr="00B1108D">
        <w:tc>
          <w:tcPr>
            <w:tcW w:w="8679" w:type="dxa"/>
            <w:gridSpan w:val="2"/>
          </w:tcPr>
          <w:p w14:paraId="55427492" w14:textId="77777777" w:rsidR="0007736E" w:rsidRPr="0007736E" w:rsidRDefault="0007736E" w:rsidP="0007736E">
            <w:pPr>
              <w:tabs>
                <w:tab w:val="center" w:pos="284"/>
              </w:tabs>
              <w:overflowPunct w:val="0"/>
              <w:autoSpaceDE w:val="0"/>
              <w:autoSpaceDN w:val="0"/>
              <w:adjustRightInd w:val="0"/>
              <w:spacing w:line="160" w:lineRule="exact"/>
              <w:ind w:left="266" w:hanging="266"/>
              <w:textAlignment w:val="baseline"/>
            </w:pPr>
          </w:p>
        </w:tc>
      </w:tr>
      <w:tr w:rsidR="0007736E" w:rsidRPr="0007736E" w14:paraId="34700DA3" w14:textId="77777777" w:rsidTr="00B1108D">
        <w:tc>
          <w:tcPr>
            <w:tcW w:w="2170" w:type="dxa"/>
            <w:vMerge w:val="restart"/>
          </w:tcPr>
          <w:p w14:paraId="2E106EB1"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Dokumenty źródłowe</w:t>
            </w:r>
          </w:p>
        </w:tc>
        <w:tc>
          <w:tcPr>
            <w:tcW w:w="6509" w:type="dxa"/>
          </w:tcPr>
          <w:p w14:paraId="47734EF2" w14:textId="77777777" w:rsidR="0007736E" w:rsidRPr="0007736E" w:rsidRDefault="0007736E" w:rsidP="0007736E">
            <w:pPr>
              <w:tabs>
                <w:tab w:val="center" w:pos="284"/>
              </w:tabs>
              <w:overflowPunct w:val="0"/>
              <w:autoSpaceDE w:val="0"/>
              <w:autoSpaceDN w:val="0"/>
              <w:adjustRightInd w:val="0"/>
              <w:ind w:left="266" w:hanging="266"/>
              <w:textAlignment w:val="baseline"/>
            </w:pPr>
            <w:r>
              <w:t xml:space="preserve">COM(2025) 723 </w:t>
            </w:r>
            <w:proofErr w:type="spellStart"/>
            <w:r>
              <w:t>final</w:t>
            </w:r>
            <w:proofErr w:type="spellEnd"/>
          </w:p>
          <w:p w14:paraId="2DA8812B" w14:textId="77777777" w:rsidR="0007736E" w:rsidRPr="0007736E" w:rsidRDefault="0007736E" w:rsidP="0007736E">
            <w:pPr>
              <w:tabs>
                <w:tab w:val="center" w:pos="284"/>
              </w:tabs>
              <w:overflowPunct w:val="0"/>
              <w:autoSpaceDE w:val="0"/>
              <w:autoSpaceDN w:val="0"/>
              <w:adjustRightInd w:val="0"/>
              <w:ind w:left="266" w:hanging="266"/>
              <w:textAlignment w:val="baseline"/>
            </w:pPr>
            <w:r>
              <w:t>EESC-2025-03470-00-00-AC</w:t>
            </w:r>
          </w:p>
        </w:tc>
      </w:tr>
      <w:tr w:rsidR="0007736E" w:rsidRPr="0007736E" w14:paraId="40840D51" w14:textId="77777777" w:rsidTr="00B1108D">
        <w:tc>
          <w:tcPr>
            <w:tcW w:w="2170" w:type="dxa"/>
            <w:vMerge/>
          </w:tcPr>
          <w:p w14:paraId="49C7F6D6"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p>
        </w:tc>
        <w:tc>
          <w:tcPr>
            <w:tcW w:w="6509" w:type="dxa"/>
          </w:tcPr>
          <w:p w14:paraId="17555AAB" w14:textId="77777777" w:rsidR="0007736E" w:rsidRPr="0007736E" w:rsidRDefault="0007736E" w:rsidP="0007736E">
            <w:pPr>
              <w:tabs>
                <w:tab w:val="center" w:pos="284"/>
              </w:tabs>
              <w:overflowPunct w:val="0"/>
              <w:autoSpaceDE w:val="0"/>
              <w:autoSpaceDN w:val="0"/>
              <w:adjustRightInd w:val="0"/>
              <w:ind w:left="266" w:hanging="266"/>
              <w:textAlignment w:val="baseline"/>
            </w:pPr>
          </w:p>
        </w:tc>
      </w:tr>
    </w:tbl>
    <w:p w14:paraId="24FFA2EF" w14:textId="77777777" w:rsidR="0007736E" w:rsidRPr="0007736E" w:rsidRDefault="0007736E" w:rsidP="0007736E">
      <w:pPr>
        <w:tabs>
          <w:tab w:val="center" w:pos="284"/>
        </w:tabs>
        <w:overflowPunct w:val="0"/>
        <w:autoSpaceDE w:val="0"/>
        <w:autoSpaceDN w:val="0"/>
        <w:adjustRightInd w:val="0"/>
        <w:ind w:left="266" w:hanging="266"/>
        <w:textAlignment w:val="baseline"/>
        <w:rPr>
          <w:lang w:val="en-GB"/>
        </w:rPr>
      </w:pPr>
    </w:p>
    <w:p w14:paraId="7E1A81BD"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rPr>
      </w:pPr>
      <w:r>
        <w:rPr>
          <w:b/>
        </w:rPr>
        <w:t>Główne punkty</w:t>
      </w:r>
    </w:p>
    <w:p w14:paraId="59F02479"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07736E" w:rsidRDefault="0007736E" w:rsidP="0007736E">
      <w:pPr>
        <w:overflowPunct w:val="0"/>
        <w:autoSpaceDE w:val="0"/>
        <w:autoSpaceDN w:val="0"/>
        <w:adjustRightInd w:val="0"/>
        <w:textAlignment w:val="baseline"/>
        <w:rPr>
          <w:bCs/>
          <w:iCs/>
        </w:rPr>
      </w:pPr>
      <w:r>
        <w:t>EKES</w:t>
      </w:r>
    </w:p>
    <w:p w14:paraId="53D74AE2" w14:textId="77777777" w:rsidR="0007736E" w:rsidRPr="0007736E" w:rsidRDefault="0007736E" w:rsidP="0007736E">
      <w:pPr>
        <w:overflowPunct w:val="0"/>
        <w:autoSpaceDE w:val="0"/>
        <w:autoSpaceDN w:val="0"/>
        <w:adjustRightInd w:val="0"/>
        <w:textAlignment w:val="baseline"/>
        <w:rPr>
          <w:bCs/>
          <w:iCs/>
          <w:lang w:val="en-GB"/>
        </w:rPr>
      </w:pPr>
    </w:p>
    <w:p w14:paraId="05609E24"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Wzywa do przyjęcia konkretnych, szybko wdrożonych środków w celu przyspieszenia </w:t>
      </w:r>
      <w:r>
        <w:rPr>
          <w:b/>
        </w:rPr>
        <w:t>komercjalizacji sztucznej inteligencji</w:t>
      </w:r>
      <w:r>
        <w:t xml:space="preserve"> – zwłaszcza dla MŚP i przedsiębiorstw typu </w:t>
      </w:r>
      <w:proofErr w:type="spellStart"/>
      <w:r>
        <w:t>scale-up</w:t>
      </w:r>
      <w:proofErr w:type="spellEnd"/>
      <w:r>
        <w:t xml:space="preserve"> – poprzez łatwiejszy dostęp do finansowania, mniejsze obciążenie administracyjne, jaśniejsze przepisy dotyczące własności intelektualnej i wsparcie transgranicznego zwiększania skali na jednolitym rynku;</w:t>
      </w:r>
    </w:p>
    <w:p w14:paraId="0F8A81F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Podkreśla znaczenie </w:t>
      </w:r>
      <w:r>
        <w:rPr>
          <w:b/>
        </w:rPr>
        <w:t>regionalnych klastrów kompetencji,</w:t>
      </w:r>
      <w:r>
        <w:t xml:space="preserve"> wykorzystujących europejskie centra innowacji cyfrowych, oraz włączenia niedostatecznie reprezentowanych sektorów, takich jak finanse, turystyka i handel elektroniczny, w celu zapewnienia całościowego i integracyjnego podejścia do sztucznej inteligencji;</w:t>
      </w:r>
    </w:p>
    <w:p w14:paraId="23F1101E" w14:textId="68A9061A"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Wzywa do inwestowania w </w:t>
      </w:r>
      <w:r>
        <w:rPr>
          <w:b/>
        </w:rPr>
        <w:t>umiejętności i kompetencje w zakresie sztucznej inteligencji</w:t>
      </w:r>
      <w:r>
        <w:t>, w tym jasne definicje podnoszenia kwalifikacji i umiejętności przekrojowych, aby wspierać bezpieczne i</w:t>
      </w:r>
      <w:r w:rsidR="00B1108D">
        <w:t> </w:t>
      </w:r>
      <w:r>
        <w:t>skuteczne włączenie sztucznej inteligencji do kluczowych sektorów, takich jak opieka zdrowotna, obrona i bezpieczeństwo oraz sektor publiczny;</w:t>
      </w:r>
    </w:p>
    <w:p w14:paraId="2214E96F" w14:textId="60AA2D26"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Podkreśla potrzebę</w:t>
      </w:r>
      <w:r>
        <w:rPr>
          <w:b/>
        </w:rPr>
        <w:t xml:space="preserve"> jasności regulacyjnej i proporcjonalności</w:t>
      </w:r>
      <w:r>
        <w:t xml:space="preserve">, wzmocnienia ram wymiany danych i własności intelektualnej oraz </w:t>
      </w:r>
      <w:proofErr w:type="spellStart"/>
      <w:r>
        <w:t>inkluzywnego</w:t>
      </w:r>
      <w:proofErr w:type="spellEnd"/>
      <w:r>
        <w:t xml:space="preserve"> zarządzania z wyważoną reprezentacją zainteresowanych stron, przy zapewnieniu, aby obowiązki były odpowiednie dla MŚP i</w:t>
      </w:r>
      <w:r w:rsidR="00B1108D">
        <w:t> </w:t>
      </w:r>
      <w:r>
        <w:t>innowacyjnych przedsiębiorstw typu start-</w:t>
      </w:r>
      <w:proofErr w:type="spellStart"/>
      <w:r>
        <w:t>up</w:t>
      </w:r>
      <w:proofErr w:type="spellEnd"/>
      <w:r>
        <w:t>;</w:t>
      </w:r>
    </w:p>
    <w:p w14:paraId="59CD118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Apeluje o </w:t>
      </w:r>
      <w:r>
        <w:rPr>
          <w:b/>
        </w:rPr>
        <w:t>długoterminowe finansowanie i strategiczne zamówienia publiczne,</w:t>
      </w:r>
      <w:r>
        <w:t xml:space="preserve"> w tym przewidywalne wsparcie w ramach wieloletnich ram finansowych na lata 2028–2034, aby wzmocnić europejski ekosystem AI, suwerenność cyfrową i bazę przemysłową, przy jednoczesnym zapewnieniu przejrzystości i uczciwej konkurencji.</w:t>
      </w:r>
    </w:p>
    <w:p w14:paraId="2B26BBDE" w14:textId="77777777" w:rsidR="0007736E" w:rsidRPr="0007736E" w:rsidRDefault="0007736E" w:rsidP="0007736E">
      <w:pPr>
        <w:widowControl w:val="0"/>
        <w:overflowPunct w:val="0"/>
        <w:autoSpaceDE w:val="0"/>
        <w:autoSpaceDN w:val="0"/>
        <w:adjustRightInd w:val="0"/>
        <w:textAlignment w:val="baseline"/>
        <w:rPr>
          <w:szCs w:val="20"/>
          <w:lang w:val="en-GB"/>
        </w:rPr>
      </w:pPr>
    </w:p>
    <w:p w14:paraId="0801FA3C" w14:textId="77777777" w:rsidR="0007736E" w:rsidRPr="0007736E" w:rsidRDefault="0007736E" w:rsidP="0007736E">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7736E" w:rsidRPr="0007736E" w14:paraId="432BA2EE" w14:textId="77777777" w:rsidTr="0007736E">
        <w:tc>
          <w:tcPr>
            <w:tcW w:w="1418" w:type="dxa"/>
          </w:tcPr>
          <w:p w14:paraId="4EE98751" w14:textId="77777777" w:rsidR="0007736E" w:rsidRPr="0007736E" w:rsidRDefault="0007736E" w:rsidP="0007736E">
            <w:pPr>
              <w:overflowPunct w:val="0"/>
              <w:autoSpaceDE w:val="0"/>
              <w:autoSpaceDN w:val="0"/>
              <w:adjustRightInd w:val="0"/>
              <w:spacing w:line="240" w:lineRule="auto"/>
              <w:textAlignment w:val="baseline"/>
              <w:rPr>
                <w:i/>
              </w:rPr>
            </w:pPr>
            <w:r>
              <w:rPr>
                <w:b/>
                <w:i/>
              </w:rPr>
              <w:t>Kontakt</w:t>
            </w:r>
          </w:p>
        </w:tc>
        <w:tc>
          <w:tcPr>
            <w:tcW w:w="5670" w:type="dxa"/>
          </w:tcPr>
          <w:p w14:paraId="6FF91F1E" w14:textId="77777777" w:rsidR="0007736E" w:rsidRPr="0007736E" w:rsidRDefault="0007736E" w:rsidP="0007736E">
            <w:pPr>
              <w:overflowPunct w:val="0"/>
              <w:autoSpaceDE w:val="0"/>
              <w:autoSpaceDN w:val="0"/>
              <w:adjustRightInd w:val="0"/>
              <w:spacing w:line="240" w:lineRule="auto"/>
              <w:textAlignment w:val="baseline"/>
              <w:rPr>
                <w:i/>
              </w:rPr>
            </w:pPr>
            <w:proofErr w:type="spellStart"/>
            <w:r>
              <w:rPr>
                <w:i/>
              </w:rPr>
              <w:t>Asbouni</w:t>
            </w:r>
            <w:proofErr w:type="spellEnd"/>
            <w:r>
              <w:rPr>
                <w:i/>
              </w:rPr>
              <w:t xml:space="preserve"> El </w:t>
            </w:r>
            <w:proofErr w:type="spellStart"/>
            <w:r>
              <w:rPr>
                <w:i/>
              </w:rPr>
              <w:t>Ouahabi</w:t>
            </w:r>
            <w:proofErr w:type="spellEnd"/>
            <w:r>
              <w:rPr>
                <w:i/>
              </w:rPr>
              <w:t xml:space="preserve"> </w:t>
            </w:r>
            <w:proofErr w:type="spellStart"/>
            <w:r>
              <w:rPr>
                <w:i/>
              </w:rPr>
              <w:t>Yousra</w:t>
            </w:r>
            <w:proofErr w:type="spellEnd"/>
          </w:p>
        </w:tc>
      </w:tr>
      <w:tr w:rsidR="0007736E" w:rsidRPr="0007736E" w14:paraId="1B5E6BCD" w14:textId="77777777" w:rsidTr="0007736E">
        <w:tc>
          <w:tcPr>
            <w:tcW w:w="1418" w:type="dxa"/>
          </w:tcPr>
          <w:p w14:paraId="7C1666FD" w14:textId="77777777" w:rsidR="0007736E" w:rsidRPr="0007736E" w:rsidRDefault="0007736E" w:rsidP="0007736E">
            <w:pPr>
              <w:overflowPunct w:val="0"/>
              <w:autoSpaceDE w:val="0"/>
              <w:autoSpaceDN w:val="0"/>
              <w:adjustRightInd w:val="0"/>
              <w:spacing w:line="240" w:lineRule="auto"/>
              <w:textAlignment w:val="baseline"/>
              <w:rPr>
                <w:i/>
              </w:rPr>
            </w:pPr>
            <w:r>
              <w:rPr>
                <w:i/>
              </w:rPr>
              <w:t>Tel.:</w:t>
            </w:r>
          </w:p>
        </w:tc>
        <w:tc>
          <w:tcPr>
            <w:tcW w:w="5670" w:type="dxa"/>
          </w:tcPr>
          <w:p w14:paraId="0279F2A6" w14:textId="77777777" w:rsidR="0007736E" w:rsidRPr="0007736E" w:rsidRDefault="0007736E" w:rsidP="0007736E">
            <w:pPr>
              <w:overflowPunct w:val="0"/>
              <w:autoSpaceDE w:val="0"/>
              <w:autoSpaceDN w:val="0"/>
              <w:adjustRightInd w:val="0"/>
              <w:spacing w:line="240" w:lineRule="auto"/>
              <w:textAlignment w:val="baseline"/>
              <w:rPr>
                <w:i/>
              </w:rPr>
            </w:pPr>
            <w:r>
              <w:rPr>
                <w:i/>
              </w:rPr>
              <w:t>+ 32 25468485</w:t>
            </w:r>
          </w:p>
        </w:tc>
      </w:tr>
      <w:tr w:rsidR="0007736E" w:rsidRPr="0007736E" w14:paraId="61BB8AED" w14:textId="77777777" w:rsidTr="0007736E">
        <w:tc>
          <w:tcPr>
            <w:tcW w:w="1418" w:type="dxa"/>
          </w:tcPr>
          <w:p w14:paraId="105A525F" w14:textId="77777777" w:rsidR="0007736E" w:rsidRPr="0007736E" w:rsidRDefault="0007736E" w:rsidP="0007736E">
            <w:pPr>
              <w:overflowPunct w:val="0"/>
              <w:autoSpaceDE w:val="0"/>
              <w:autoSpaceDN w:val="0"/>
              <w:adjustRightInd w:val="0"/>
              <w:spacing w:line="240" w:lineRule="auto"/>
              <w:textAlignment w:val="baseline"/>
              <w:rPr>
                <w:i/>
              </w:rPr>
            </w:pPr>
            <w:r>
              <w:rPr>
                <w:i/>
              </w:rPr>
              <w:t>e-mail:</w:t>
            </w:r>
          </w:p>
        </w:tc>
        <w:tc>
          <w:tcPr>
            <w:tcW w:w="5670" w:type="dxa"/>
          </w:tcPr>
          <w:p w14:paraId="7416C825" w14:textId="77777777" w:rsidR="0007736E" w:rsidRPr="0007736E" w:rsidRDefault="00C93EBC" w:rsidP="0007736E">
            <w:pPr>
              <w:overflowPunct w:val="0"/>
              <w:autoSpaceDE w:val="0"/>
              <w:autoSpaceDN w:val="0"/>
              <w:adjustRightInd w:val="0"/>
              <w:spacing w:line="240" w:lineRule="auto"/>
              <w:textAlignment w:val="baseline"/>
              <w:rPr>
                <w:i/>
              </w:rPr>
            </w:pPr>
            <w:hyperlink r:id="rId48" w:history="1">
              <w:r w:rsidR="00036171">
                <w:rPr>
                  <w:i/>
                  <w:color w:val="0000FF"/>
                  <w:u w:val="single"/>
                </w:rPr>
                <w:t>Yousra.AsbouniElOuahabi@eesc.europa.eu</w:t>
              </w:r>
            </w:hyperlink>
          </w:p>
          <w:p w14:paraId="29093824" w14:textId="77777777" w:rsidR="0007736E" w:rsidRPr="0007736E" w:rsidRDefault="0007736E" w:rsidP="0007736E">
            <w:pPr>
              <w:overflowPunct w:val="0"/>
              <w:autoSpaceDE w:val="0"/>
              <w:autoSpaceDN w:val="0"/>
              <w:adjustRightInd w:val="0"/>
              <w:spacing w:line="240" w:lineRule="auto"/>
              <w:textAlignment w:val="baseline"/>
              <w:rPr>
                <w:i/>
              </w:rPr>
            </w:pPr>
          </w:p>
        </w:tc>
      </w:tr>
    </w:tbl>
    <w:p w14:paraId="1BAA9FFA" w14:textId="38F75C39" w:rsidR="00E720D2" w:rsidRDefault="00E720D2" w:rsidP="004D7AC0">
      <w:pPr>
        <w:pStyle w:val="ListParagraph"/>
        <w:ind w:left="0"/>
      </w:pPr>
    </w:p>
    <w:p w14:paraId="0499C490" w14:textId="77777777" w:rsidR="00E720D2" w:rsidRDefault="00E720D2">
      <w:pPr>
        <w:spacing w:after="160" w:line="259" w:lineRule="auto"/>
        <w:jc w:val="left"/>
      </w:pPr>
      <w:r>
        <w:br w:type="page"/>
      </w:r>
    </w:p>
    <w:p w14:paraId="05DA9C0F" w14:textId="0868139F" w:rsidR="00DD5495" w:rsidRPr="00DD5495" w:rsidRDefault="00C93EBC" w:rsidP="0009204A">
      <w:pPr>
        <w:widowControl w:val="0"/>
        <w:numPr>
          <w:ilvl w:val="0"/>
          <w:numId w:val="20"/>
        </w:numPr>
        <w:overflowPunct w:val="0"/>
        <w:autoSpaceDE w:val="0"/>
        <w:autoSpaceDN w:val="0"/>
        <w:adjustRightInd w:val="0"/>
        <w:ind w:left="567" w:hanging="567"/>
        <w:textAlignment w:val="baseline"/>
        <w:rPr>
          <w:sz w:val="20"/>
          <w:szCs w:val="20"/>
        </w:rPr>
      </w:pPr>
      <w:hyperlink r:id="rId49" w:history="1">
        <w:r w:rsidR="00036171">
          <w:rPr>
            <w:b/>
            <w:i/>
            <w:color w:val="0000FF"/>
            <w:sz w:val="28"/>
            <w:u w:val="single"/>
          </w:rPr>
          <w:t>„Horyzont Europa”</w:t>
        </w:r>
      </w:hyperlink>
    </w:p>
    <w:p w14:paraId="2EA1B15C" w14:textId="77777777" w:rsidR="00DD5495" w:rsidRPr="00DD5495" w:rsidRDefault="00DD5495" w:rsidP="00DD5495">
      <w:pPr>
        <w:tabs>
          <w:tab w:val="center" w:pos="284"/>
        </w:tabs>
        <w:overflowPunct w:val="0"/>
        <w:autoSpaceDE w:val="0"/>
        <w:autoSpaceDN w:val="0"/>
        <w:adjustRightInd w:val="0"/>
        <w:ind w:left="266" w:hanging="266"/>
        <w:textAlignment w:val="baseline"/>
        <w:rPr>
          <w:lang w:val="en-GB"/>
        </w:rPr>
      </w:pPr>
    </w:p>
    <w:tbl>
      <w:tblPr>
        <w:tblStyle w:val="TableGrid1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D5495" w:rsidRPr="00DD5495" w14:paraId="482A901C" w14:textId="77777777" w:rsidTr="005E65F1">
        <w:tc>
          <w:tcPr>
            <w:tcW w:w="2127" w:type="dxa"/>
          </w:tcPr>
          <w:p w14:paraId="0C1DDBF5"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Sprawozdawca</w:t>
            </w:r>
          </w:p>
        </w:tc>
        <w:tc>
          <w:tcPr>
            <w:tcW w:w="4961" w:type="dxa"/>
          </w:tcPr>
          <w:p w14:paraId="708C0F0E" w14:textId="1BC55DC1" w:rsidR="00DD5495" w:rsidRPr="00DD5495" w:rsidRDefault="00DD5495" w:rsidP="00DD5495">
            <w:pPr>
              <w:tabs>
                <w:tab w:val="center" w:pos="284"/>
              </w:tabs>
              <w:overflowPunct w:val="0"/>
              <w:autoSpaceDE w:val="0"/>
              <w:autoSpaceDN w:val="0"/>
              <w:adjustRightInd w:val="0"/>
              <w:ind w:left="266" w:hanging="266"/>
              <w:textAlignment w:val="baseline"/>
            </w:pPr>
            <w:r>
              <w:t>Christophe LEFÈVRE (Grupa Pracowników – FR)</w:t>
            </w:r>
          </w:p>
        </w:tc>
      </w:tr>
      <w:tr w:rsidR="00DD5495" w:rsidRPr="00DD5495" w14:paraId="7E122D23" w14:textId="77777777" w:rsidTr="005E65F1">
        <w:tc>
          <w:tcPr>
            <w:tcW w:w="7088" w:type="dxa"/>
            <w:gridSpan w:val="2"/>
          </w:tcPr>
          <w:p w14:paraId="23E75E1C" w14:textId="77777777" w:rsidR="00DD5495" w:rsidRPr="00DD5495" w:rsidRDefault="00DD5495" w:rsidP="00DD5495">
            <w:pPr>
              <w:tabs>
                <w:tab w:val="center" w:pos="284"/>
              </w:tabs>
              <w:overflowPunct w:val="0"/>
              <w:autoSpaceDE w:val="0"/>
              <w:autoSpaceDN w:val="0"/>
              <w:adjustRightInd w:val="0"/>
              <w:spacing w:line="160" w:lineRule="exact"/>
              <w:ind w:left="266" w:hanging="266"/>
              <w:textAlignment w:val="baseline"/>
            </w:pPr>
          </w:p>
        </w:tc>
      </w:tr>
      <w:tr w:rsidR="00DD5495" w:rsidRPr="00DD5495" w14:paraId="09B6105A" w14:textId="77777777" w:rsidTr="005E65F1">
        <w:tc>
          <w:tcPr>
            <w:tcW w:w="2127" w:type="dxa"/>
            <w:vMerge w:val="restart"/>
          </w:tcPr>
          <w:p w14:paraId="1A5A972C"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Dokumenty źródłowe</w:t>
            </w:r>
          </w:p>
        </w:tc>
        <w:tc>
          <w:tcPr>
            <w:tcW w:w="4961" w:type="dxa"/>
          </w:tcPr>
          <w:p w14:paraId="67555729" w14:textId="01DA1E43" w:rsidR="00DD5495" w:rsidRDefault="00DD5495" w:rsidP="00DD5495">
            <w:pPr>
              <w:tabs>
                <w:tab w:val="center" w:pos="284"/>
              </w:tabs>
              <w:overflowPunct w:val="0"/>
              <w:autoSpaceDE w:val="0"/>
              <w:autoSpaceDN w:val="0"/>
              <w:adjustRightInd w:val="0"/>
              <w:ind w:left="266" w:hanging="266"/>
              <w:textAlignment w:val="baseline"/>
            </w:pPr>
            <w:r>
              <w:t xml:space="preserve">COM(2025) 543 </w:t>
            </w:r>
            <w:proofErr w:type="spellStart"/>
            <w:r>
              <w:t>final</w:t>
            </w:r>
            <w:proofErr w:type="spellEnd"/>
            <w:r>
              <w:t xml:space="preserve"> </w:t>
            </w:r>
          </w:p>
          <w:p w14:paraId="2066256A" w14:textId="17E2EC0F" w:rsidR="00560FCF" w:rsidRPr="00DD5495" w:rsidRDefault="00560FCF" w:rsidP="00DD5495">
            <w:pPr>
              <w:tabs>
                <w:tab w:val="center" w:pos="284"/>
              </w:tabs>
              <w:overflowPunct w:val="0"/>
              <w:autoSpaceDE w:val="0"/>
              <w:autoSpaceDN w:val="0"/>
              <w:adjustRightInd w:val="0"/>
              <w:ind w:left="266" w:hanging="266"/>
              <w:textAlignment w:val="baseline"/>
            </w:pPr>
            <w:r>
              <w:t xml:space="preserve">COM(2025) 544 </w:t>
            </w:r>
            <w:proofErr w:type="spellStart"/>
            <w:r>
              <w:t>final</w:t>
            </w:r>
            <w:proofErr w:type="spellEnd"/>
          </w:p>
        </w:tc>
      </w:tr>
      <w:tr w:rsidR="00DD5495" w:rsidRPr="00DD5495" w14:paraId="6A2767DE" w14:textId="77777777" w:rsidTr="005E65F1">
        <w:tc>
          <w:tcPr>
            <w:tcW w:w="2127" w:type="dxa"/>
            <w:vMerge/>
          </w:tcPr>
          <w:p w14:paraId="289E130E"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p>
        </w:tc>
        <w:tc>
          <w:tcPr>
            <w:tcW w:w="4961" w:type="dxa"/>
          </w:tcPr>
          <w:p w14:paraId="534DC911" w14:textId="77777777" w:rsidR="00DD5495" w:rsidRPr="00DD5495" w:rsidRDefault="00DD5495" w:rsidP="00DD5495">
            <w:pPr>
              <w:tabs>
                <w:tab w:val="center" w:pos="284"/>
              </w:tabs>
              <w:overflowPunct w:val="0"/>
              <w:autoSpaceDE w:val="0"/>
              <w:autoSpaceDN w:val="0"/>
              <w:adjustRightInd w:val="0"/>
              <w:ind w:left="266" w:hanging="266"/>
              <w:textAlignment w:val="baseline"/>
            </w:pPr>
            <w:r>
              <w:t>EESC-2025-02760-00-00-AC</w:t>
            </w:r>
          </w:p>
        </w:tc>
      </w:tr>
    </w:tbl>
    <w:p w14:paraId="04C88F90"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b/>
        </w:rPr>
      </w:pPr>
      <w:r>
        <w:rPr>
          <w:b/>
        </w:rPr>
        <w:t>Główne punkty</w:t>
      </w:r>
    </w:p>
    <w:p w14:paraId="1D38279C"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DD5495">
      <w:pPr>
        <w:overflowPunct w:val="0"/>
        <w:autoSpaceDE w:val="0"/>
        <w:autoSpaceDN w:val="0"/>
        <w:adjustRightInd w:val="0"/>
        <w:textAlignment w:val="baseline"/>
        <w:rPr>
          <w:szCs w:val="20"/>
        </w:rPr>
      </w:pPr>
      <w:r>
        <w:t>EKES</w:t>
      </w:r>
    </w:p>
    <w:p w14:paraId="445B15CB" w14:textId="77777777" w:rsidR="0076170A" w:rsidRPr="00DD5495" w:rsidRDefault="0076170A" w:rsidP="00DD5495">
      <w:pPr>
        <w:overflowPunct w:val="0"/>
        <w:autoSpaceDE w:val="0"/>
        <w:autoSpaceDN w:val="0"/>
        <w:adjustRightInd w:val="0"/>
        <w:textAlignment w:val="baseline"/>
        <w:rPr>
          <w:bCs/>
          <w:iCs/>
          <w:lang w:val="en-GB"/>
        </w:rPr>
      </w:pPr>
    </w:p>
    <w:p w14:paraId="52ADF377" w14:textId="1E8B4848" w:rsidR="00DD5495" w:rsidRPr="00DD5495" w:rsidRDefault="00DD5495" w:rsidP="002C2DFE">
      <w:pPr>
        <w:numPr>
          <w:ilvl w:val="0"/>
          <w:numId w:val="45"/>
        </w:numPr>
        <w:overflowPunct w:val="0"/>
        <w:autoSpaceDE w:val="0"/>
        <w:autoSpaceDN w:val="0"/>
        <w:adjustRightInd w:val="0"/>
        <w:spacing w:line="276" w:lineRule="auto"/>
        <w:ind w:left="284" w:hanging="284"/>
        <w:contextualSpacing/>
        <w:textAlignment w:val="baseline"/>
      </w:pPr>
      <w:r>
        <w:t xml:space="preserve">Uważa, że zaproponowany na lata 2028–2034 </w:t>
      </w:r>
      <w:r>
        <w:rPr>
          <w:b/>
        </w:rPr>
        <w:t>orientacyjny budżet w wysokości 175 002 000 000</w:t>
      </w:r>
      <w:r w:rsidR="00B1108D">
        <w:rPr>
          <w:b/>
        </w:rPr>
        <w:t> </w:t>
      </w:r>
      <w:r>
        <w:rPr>
          <w:b/>
        </w:rPr>
        <w:t>EUR jest zachęcającą oznaką</w:t>
      </w:r>
      <w:r>
        <w:t xml:space="preserve"> i silnym sygnałem potwierdzającym zaangażowanie na rzecz doskonałości naukowej oraz celu inwestowania w badania naukowe i</w:t>
      </w:r>
      <w:r w:rsidR="00B1108D">
        <w:t> </w:t>
      </w:r>
      <w:r>
        <w:t xml:space="preserve">innowacje oraz przełomowe technologie. Zaleca jednak, by służył on jedynie za </w:t>
      </w:r>
      <w:r>
        <w:rPr>
          <w:b/>
        </w:rPr>
        <w:t>minimalny punkt odniesienia</w:t>
      </w:r>
      <w:r>
        <w:t xml:space="preserve"> w dyskusjach między Radą a Parlamentem Europejskim.</w:t>
      </w:r>
    </w:p>
    <w:p w14:paraId="7661FDA2"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Uważa, że konieczna jest</w:t>
      </w:r>
      <w:r>
        <w:rPr>
          <w:b/>
        </w:rPr>
        <w:t xml:space="preserve"> ściślejsza kontrola wykorzystania funduszy</w:t>
      </w:r>
      <w:r>
        <w:t xml:space="preserve"> oraz określenie czynników zniechęcających do ich wykorzystania lub czynników powodujących niepełne wykorzystanie środków w niektórych krajach.</w:t>
      </w:r>
    </w:p>
    <w:p w14:paraId="284C3527" w14:textId="126FE2A5"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Zaleca </w:t>
      </w:r>
      <w:r>
        <w:rPr>
          <w:b/>
        </w:rPr>
        <w:t>utrzymanie planowanego dostosowania między programem „Horyzont Europa” a</w:t>
      </w:r>
      <w:r w:rsidR="00B1108D">
        <w:rPr>
          <w:b/>
        </w:rPr>
        <w:t> </w:t>
      </w:r>
      <w:r>
        <w:rPr>
          <w:b/>
        </w:rPr>
        <w:t>Europejskim Funduszem Konkurencyjności,</w:t>
      </w:r>
      <w:r>
        <w:t xml:space="preserve"> a także jego prawidłowe wprowadzenie, zwłaszcza między czterema segmentami polityki Funduszu oraz odpowiadającymi im działaniami w</w:t>
      </w:r>
      <w:r w:rsidR="00B1108D">
        <w:t> </w:t>
      </w:r>
      <w:r>
        <w:t>ramach filaru II „Konkurencyjność” należącego do programu „Horyzont Europa”.</w:t>
      </w:r>
    </w:p>
    <w:p w14:paraId="0E9FD20B"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Zaleca, by </w:t>
      </w:r>
      <w:r>
        <w:rPr>
          <w:b/>
        </w:rPr>
        <w:t>procedury oceny i wybór projektów opierały się nie tylko na doskonałości naukowej, lecz również na dodatkowych kryteriach oceny lepiej oddających przydatność handlową, wpływ na przemysł oraz wkład w strategiczną autonomię Europy</w:t>
      </w:r>
      <w:r>
        <w:t xml:space="preserve"> i konkurencyjność przemysłu europejskiego w celu wspierania całego cyklu innowacji – od badań podstawowych po wprowadzanie na rynek.</w:t>
      </w:r>
    </w:p>
    <w:p w14:paraId="24499E4E"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Zaleca </w:t>
      </w:r>
      <w:r>
        <w:rPr>
          <w:b/>
        </w:rPr>
        <w:t>utrzymanie czteroletniej kadencji p</w:t>
      </w:r>
      <w:r>
        <w:t xml:space="preserve">rzewodniczącego Europejskiej Rady ds. Badań Naukowych </w:t>
      </w:r>
      <w:r>
        <w:rPr>
          <w:b/>
        </w:rPr>
        <w:t>(ERBN)</w:t>
      </w:r>
      <w:r>
        <w:t>, z możliwością jednokrotnego przedłużenia, zamiast skracania jej do dwóch lat.</w:t>
      </w:r>
    </w:p>
    <w:p w14:paraId="374AD38E"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pPr>
      <w:r>
        <w:t xml:space="preserve">Sądzi, że filar I dotyczący badań i doskonałości naukowej w ramach działań „Maria Skłodowska-Curie” (MSCA), o którym mowa w art. 9 wniosku dotyczącego decyzji Rady w sprawie programu „Horyzont Europa” oraz w art. 13 wniosku dotyczącego rozporządzenia ustanawiającego program ramowy „Horyzont Europa”, nie powinien podlegać żadnym wytycznym politycznym, i zaleca </w:t>
      </w:r>
      <w:r>
        <w:rPr>
          <w:b/>
        </w:rPr>
        <w:t>utrzymanie podejścia oddolnego („kierunkowość”)</w:t>
      </w:r>
      <w:r>
        <w:t xml:space="preserve"> zamiast proponowanego przez Komisję odgórnego ukierunkowania.</w:t>
      </w:r>
    </w:p>
    <w:p w14:paraId="4CA2B16C" w14:textId="38B278BE" w:rsidR="00DD5495" w:rsidRPr="00DD5495" w:rsidRDefault="00DD5495" w:rsidP="002C2DFE">
      <w:pPr>
        <w:keepNext/>
        <w:keepLines/>
        <w:widowControl w:val="0"/>
        <w:numPr>
          <w:ilvl w:val="0"/>
          <w:numId w:val="45"/>
        </w:numPr>
        <w:overflowPunct w:val="0"/>
        <w:autoSpaceDE w:val="0"/>
        <w:autoSpaceDN w:val="0"/>
        <w:adjustRightInd w:val="0"/>
        <w:spacing w:line="276" w:lineRule="auto"/>
        <w:ind w:left="284" w:hanging="284"/>
        <w:textAlignment w:val="baseline"/>
        <w:rPr>
          <w:szCs w:val="20"/>
        </w:rPr>
      </w:pPr>
      <w:r>
        <w:t xml:space="preserve">Doradza jak największą </w:t>
      </w:r>
      <w:r>
        <w:rPr>
          <w:b/>
        </w:rPr>
        <w:t>ostrożność w odniesieniu do przewidzianej w filarze IV „Europejska przestrzeń badawcza”</w:t>
      </w:r>
      <w:r>
        <w:t xml:space="preserve"> wniosku dotyczącego rozporządzenia zasady przeznaczania 3% PKB na finansowanie wzmocnienia zdolności po 2030 r., ponieważ może to mieć wpływ na beneficjentów z</w:t>
      </w:r>
      <w:r w:rsidR="00B1108D">
        <w:t> </w:t>
      </w:r>
      <w:r>
        <w:t>krajów mających najmniejsze zdolności w zakresie badań naukowych i innowacji.</w:t>
      </w:r>
    </w:p>
    <w:p w14:paraId="187D56FA" w14:textId="77777777" w:rsidR="00DD5495" w:rsidRPr="00DD5495" w:rsidRDefault="00DD5495" w:rsidP="00DD5495">
      <w:pPr>
        <w:widowControl w:val="0"/>
        <w:overflowPunct w:val="0"/>
        <w:autoSpaceDE w:val="0"/>
        <w:autoSpaceDN w:val="0"/>
        <w:adjustRightInd w:val="0"/>
        <w:textAlignment w:val="baseline"/>
        <w:rPr>
          <w:szCs w:val="20"/>
          <w:lang w:val="en-GB"/>
        </w:rPr>
      </w:pPr>
    </w:p>
    <w:p w14:paraId="1B7E6706" w14:textId="77777777" w:rsidR="00DD5495" w:rsidRPr="00DD5495" w:rsidRDefault="00DD5495" w:rsidP="00DD5495">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DD5495" w:rsidRDefault="00DD5495" w:rsidP="00DD5495">
            <w:pPr>
              <w:overflowPunct w:val="0"/>
              <w:autoSpaceDE w:val="0"/>
              <w:autoSpaceDN w:val="0"/>
              <w:adjustRightInd w:val="0"/>
              <w:spacing w:line="240" w:lineRule="auto"/>
              <w:textAlignment w:val="baseline"/>
              <w:rPr>
                <w:i/>
              </w:rPr>
            </w:pPr>
            <w:r>
              <w:rPr>
                <w:b/>
                <w:i/>
              </w:rPr>
              <w:t>Kontakt</w:t>
            </w:r>
          </w:p>
        </w:tc>
        <w:tc>
          <w:tcPr>
            <w:tcW w:w="4252" w:type="dxa"/>
          </w:tcPr>
          <w:p w14:paraId="391B8468" w14:textId="39C660C9" w:rsidR="00DD5495" w:rsidRPr="00DD5495" w:rsidRDefault="00DD5495" w:rsidP="00DD5495">
            <w:pPr>
              <w:overflowPunct w:val="0"/>
              <w:autoSpaceDE w:val="0"/>
              <w:autoSpaceDN w:val="0"/>
              <w:adjustRightInd w:val="0"/>
              <w:spacing w:line="240" w:lineRule="auto"/>
              <w:textAlignment w:val="baseline"/>
              <w:rPr>
                <w:i/>
              </w:rPr>
            </w:pPr>
            <w:r>
              <w:rPr>
                <w:i/>
              </w:rPr>
              <w:t xml:space="preserve">Jana </w:t>
            </w:r>
            <w:proofErr w:type="spellStart"/>
            <w:r>
              <w:rPr>
                <w:i/>
              </w:rPr>
              <w:t>Valant</w:t>
            </w:r>
            <w:proofErr w:type="spellEnd"/>
          </w:p>
        </w:tc>
      </w:tr>
      <w:tr w:rsidR="00DD5495" w:rsidRPr="00DD5495" w14:paraId="2309F4C9" w14:textId="77777777" w:rsidTr="005E65F1">
        <w:tc>
          <w:tcPr>
            <w:tcW w:w="2127" w:type="dxa"/>
          </w:tcPr>
          <w:p w14:paraId="4D4FBB79" w14:textId="77777777" w:rsidR="00DD5495" w:rsidRPr="00DD5495" w:rsidRDefault="00DD5495" w:rsidP="00DD5495">
            <w:pPr>
              <w:overflowPunct w:val="0"/>
              <w:autoSpaceDE w:val="0"/>
              <w:autoSpaceDN w:val="0"/>
              <w:adjustRightInd w:val="0"/>
              <w:spacing w:line="240" w:lineRule="auto"/>
              <w:textAlignment w:val="baseline"/>
              <w:rPr>
                <w:i/>
              </w:rPr>
            </w:pPr>
            <w:r>
              <w:rPr>
                <w:i/>
              </w:rPr>
              <w:t>Tel.:</w:t>
            </w:r>
          </w:p>
        </w:tc>
        <w:tc>
          <w:tcPr>
            <w:tcW w:w="4252" w:type="dxa"/>
          </w:tcPr>
          <w:p w14:paraId="06D7E21C" w14:textId="27C7A431" w:rsidR="00DD5495" w:rsidRPr="00DD5495" w:rsidRDefault="00DD5495" w:rsidP="00DD5495">
            <w:pPr>
              <w:overflowPunct w:val="0"/>
              <w:autoSpaceDE w:val="0"/>
              <w:autoSpaceDN w:val="0"/>
              <w:adjustRightInd w:val="0"/>
              <w:spacing w:line="240" w:lineRule="auto"/>
              <w:textAlignment w:val="baseline"/>
              <w:rPr>
                <w:i/>
              </w:rPr>
            </w:pPr>
            <w:r>
              <w:rPr>
                <w:i/>
              </w:rPr>
              <w:t>+32 2546 8924</w:t>
            </w:r>
          </w:p>
        </w:tc>
      </w:tr>
      <w:tr w:rsidR="00DD5495" w:rsidRPr="00DD5495" w14:paraId="74B17C70" w14:textId="77777777" w:rsidTr="005E65F1">
        <w:tc>
          <w:tcPr>
            <w:tcW w:w="2127" w:type="dxa"/>
          </w:tcPr>
          <w:p w14:paraId="500087BA" w14:textId="77777777" w:rsidR="00DD5495" w:rsidRPr="00DD5495" w:rsidRDefault="00DD5495" w:rsidP="00DD5495">
            <w:pPr>
              <w:overflowPunct w:val="0"/>
              <w:autoSpaceDE w:val="0"/>
              <w:autoSpaceDN w:val="0"/>
              <w:adjustRightInd w:val="0"/>
              <w:spacing w:line="240" w:lineRule="auto"/>
              <w:textAlignment w:val="baseline"/>
              <w:rPr>
                <w:i/>
              </w:rPr>
            </w:pPr>
            <w:r>
              <w:rPr>
                <w:i/>
              </w:rPr>
              <w:t>e-mail:</w:t>
            </w:r>
          </w:p>
        </w:tc>
        <w:tc>
          <w:tcPr>
            <w:tcW w:w="4252" w:type="dxa"/>
          </w:tcPr>
          <w:p w14:paraId="3F63DA10" w14:textId="77777777" w:rsidR="00DD5495" w:rsidRPr="00DD5495" w:rsidRDefault="00C93EBC" w:rsidP="00DD5495">
            <w:pPr>
              <w:overflowPunct w:val="0"/>
              <w:autoSpaceDE w:val="0"/>
              <w:autoSpaceDN w:val="0"/>
              <w:adjustRightInd w:val="0"/>
              <w:spacing w:line="240" w:lineRule="auto"/>
              <w:textAlignment w:val="baseline"/>
              <w:rPr>
                <w:i/>
              </w:rPr>
            </w:pPr>
            <w:hyperlink r:id="rId50" w:history="1">
              <w:r w:rsidR="00036171">
                <w:rPr>
                  <w:i/>
                  <w:color w:val="0000FF"/>
                  <w:u w:val="single"/>
                </w:rPr>
                <w:t>Jana.Valant@eesc.europa.eu</w:t>
              </w:r>
            </w:hyperlink>
          </w:p>
        </w:tc>
      </w:tr>
    </w:tbl>
    <w:p w14:paraId="39D55260" w14:textId="77777777" w:rsidR="004D7AC0" w:rsidRDefault="004D7AC0" w:rsidP="004D7AC0">
      <w:pPr>
        <w:pStyle w:val="ListParagraph"/>
        <w:ind w:left="0"/>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54" w:name="_Toc70322234"/>
      <w:bookmarkStart w:id="55" w:name="_Toc75527084"/>
      <w:bookmarkStart w:id="56" w:name="_Toc221258002"/>
      <w:r>
        <w:rPr>
          <w:b/>
        </w:rPr>
        <w:lastRenderedPageBreak/>
        <w:t>ROLNICTWO, ROZWÓJ WSI I ŚRODOWISKO NATURALNE</w:t>
      </w:r>
      <w:bookmarkEnd w:id="54"/>
      <w:bookmarkEnd w:id="55"/>
      <w:bookmarkEnd w:id="56"/>
    </w:p>
    <w:p w14:paraId="4982DE20" w14:textId="77777777" w:rsidR="004D7AC0" w:rsidRDefault="004D7AC0" w:rsidP="004D7AC0"/>
    <w:p w14:paraId="70B5B9EE" w14:textId="665D7CC3" w:rsidR="00020D21" w:rsidRPr="00020D21" w:rsidRDefault="00C93EBC" w:rsidP="00A704FE">
      <w:pPr>
        <w:widowControl w:val="0"/>
        <w:numPr>
          <w:ilvl w:val="0"/>
          <w:numId w:val="14"/>
        </w:numPr>
        <w:overflowPunct w:val="0"/>
        <w:autoSpaceDE w:val="0"/>
        <w:autoSpaceDN w:val="0"/>
        <w:adjustRightInd w:val="0"/>
        <w:ind w:hanging="567"/>
        <w:textAlignment w:val="baseline"/>
        <w:rPr>
          <w:b/>
        </w:rPr>
      </w:pPr>
      <w:hyperlink r:id="rId51" w:history="1">
        <w:r w:rsidR="00036171">
          <w:rPr>
            <w:b/>
            <w:i/>
            <w:color w:val="0000FF"/>
            <w:sz w:val="28"/>
            <w:u w:val="single"/>
          </w:rPr>
          <w:t xml:space="preserve">Francja – </w:t>
        </w:r>
        <w:proofErr w:type="spellStart"/>
        <w:r w:rsidR="00036171">
          <w:rPr>
            <w:b/>
            <w:i/>
            <w:color w:val="0000FF"/>
            <w:sz w:val="28"/>
            <w:u w:val="single"/>
          </w:rPr>
          <w:t>Międzyamerykańska</w:t>
        </w:r>
        <w:proofErr w:type="spellEnd"/>
        <w:r w:rsidR="00036171">
          <w:rPr>
            <w:b/>
            <w:i/>
            <w:color w:val="0000FF"/>
            <w:sz w:val="28"/>
            <w:u w:val="single"/>
          </w:rPr>
          <w:t xml:space="preserve"> konwencja w sprawie ochrony i</w:t>
        </w:r>
        <w:r w:rsidR="00B1108D">
          <w:rPr>
            <w:b/>
            <w:i/>
            <w:color w:val="0000FF"/>
            <w:sz w:val="28"/>
            <w:u w:val="single"/>
          </w:rPr>
          <w:t> </w:t>
        </w:r>
        <w:r w:rsidR="00036171">
          <w:rPr>
            <w:b/>
            <w:i/>
            <w:color w:val="0000FF"/>
            <w:sz w:val="28"/>
            <w:u w:val="single"/>
          </w:rPr>
          <w:t>zachowania żółwi morskich</w:t>
        </w:r>
      </w:hyperlink>
    </w:p>
    <w:p w14:paraId="06AAC9DD" w14:textId="77777777" w:rsidR="00020D21" w:rsidRPr="00020D21" w:rsidRDefault="00020D21" w:rsidP="00020D21">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6876"/>
      </w:tblGrid>
      <w:tr w:rsidR="00020D21" w:rsidRPr="00020D21" w14:paraId="5DFAF213" w14:textId="77777777" w:rsidTr="00B1108D">
        <w:tc>
          <w:tcPr>
            <w:tcW w:w="1211" w:type="pct"/>
            <w:vMerge w:val="restart"/>
          </w:tcPr>
          <w:p w14:paraId="610EDF9A"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r>
              <w:rPr>
                <w:b/>
              </w:rPr>
              <w:t>Dokumenty źródłowe</w:t>
            </w:r>
          </w:p>
        </w:tc>
        <w:tc>
          <w:tcPr>
            <w:tcW w:w="3789" w:type="pct"/>
          </w:tcPr>
          <w:p w14:paraId="5C878522" w14:textId="44D76CC7" w:rsidR="00673030" w:rsidRDefault="00673030" w:rsidP="00020D21">
            <w:pPr>
              <w:tabs>
                <w:tab w:val="center" w:pos="284"/>
              </w:tabs>
              <w:overflowPunct w:val="0"/>
              <w:autoSpaceDE w:val="0"/>
              <w:autoSpaceDN w:val="0"/>
              <w:adjustRightInd w:val="0"/>
              <w:ind w:left="266" w:right="-3091" w:hanging="266"/>
              <w:textAlignment w:val="baseline"/>
            </w:pPr>
            <w:r>
              <w:t>Opinia kategorii C</w:t>
            </w:r>
          </w:p>
          <w:p w14:paraId="12A4F941" w14:textId="35C83434" w:rsidR="00020D21" w:rsidRPr="00020D21" w:rsidRDefault="00020D21" w:rsidP="00020D21">
            <w:pPr>
              <w:tabs>
                <w:tab w:val="center" w:pos="284"/>
              </w:tabs>
              <w:overflowPunct w:val="0"/>
              <w:autoSpaceDE w:val="0"/>
              <w:autoSpaceDN w:val="0"/>
              <w:adjustRightInd w:val="0"/>
              <w:ind w:left="266" w:right="-3091" w:hanging="266"/>
              <w:textAlignment w:val="baseline"/>
            </w:pPr>
            <w:r>
              <w:t xml:space="preserve">COM(2025) 689 </w:t>
            </w:r>
            <w:proofErr w:type="spellStart"/>
            <w:r>
              <w:t>final</w:t>
            </w:r>
            <w:proofErr w:type="spellEnd"/>
          </w:p>
        </w:tc>
      </w:tr>
      <w:tr w:rsidR="00020D21" w:rsidRPr="00020D21" w14:paraId="787CD290" w14:textId="77777777" w:rsidTr="00B1108D">
        <w:tc>
          <w:tcPr>
            <w:tcW w:w="1211" w:type="pct"/>
            <w:vMerge/>
          </w:tcPr>
          <w:p w14:paraId="7F25BD55"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p>
        </w:tc>
        <w:tc>
          <w:tcPr>
            <w:tcW w:w="3789" w:type="pct"/>
          </w:tcPr>
          <w:p w14:paraId="65DD5E70" w14:textId="476F549B" w:rsidR="00020D21" w:rsidRPr="00020D21" w:rsidRDefault="00020D21" w:rsidP="00020D21">
            <w:pPr>
              <w:tabs>
                <w:tab w:val="center" w:pos="284"/>
              </w:tabs>
              <w:overflowPunct w:val="0"/>
              <w:autoSpaceDE w:val="0"/>
              <w:autoSpaceDN w:val="0"/>
              <w:adjustRightInd w:val="0"/>
              <w:ind w:left="266" w:right="-3091" w:hanging="266"/>
              <w:textAlignment w:val="baseline"/>
            </w:pPr>
            <w:r>
              <w:t>EESC-2025-03864-00-00-AC</w:t>
            </w:r>
          </w:p>
        </w:tc>
      </w:tr>
    </w:tbl>
    <w:p w14:paraId="027D9969" w14:textId="77777777" w:rsidR="00020D21" w:rsidRPr="00020D21" w:rsidRDefault="00020D21" w:rsidP="00020D21">
      <w:pPr>
        <w:keepNext/>
        <w:keepLines/>
        <w:tabs>
          <w:tab w:val="center" w:pos="284"/>
        </w:tabs>
        <w:overflowPunct w:val="0"/>
        <w:autoSpaceDE w:val="0"/>
        <w:autoSpaceDN w:val="0"/>
        <w:adjustRightInd w:val="0"/>
        <w:ind w:left="266" w:hanging="266"/>
        <w:textAlignment w:val="baseline"/>
        <w:rPr>
          <w:b/>
          <w:lang w:val="en-GB"/>
        </w:rPr>
      </w:pPr>
    </w:p>
    <w:p w14:paraId="046DC374" w14:textId="3E795F7A" w:rsidR="00020D21" w:rsidRPr="00020D21" w:rsidRDefault="009C4B2A" w:rsidP="002C2DFE">
      <w:pPr>
        <w:overflowPunct w:val="0"/>
        <w:autoSpaceDE w:val="0"/>
        <w:autoSpaceDN w:val="0"/>
        <w:adjustRightInd w:val="0"/>
        <w:textAlignment w:val="baseline"/>
        <w:rPr>
          <w:szCs w:val="20"/>
        </w:rPr>
      </w:pPr>
      <w:r>
        <w:t>EKES uznał, że treść wniosku jest w zupełności zadowalająca i nie wymaga żadnego komentarza z jego strony, oraz postanowił wydać pozytywną opinię na temat proponowanego tekstu.</w:t>
      </w:r>
    </w:p>
    <w:p w14:paraId="01EFF922" w14:textId="77777777" w:rsidR="00020D21" w:rsidRPr="00020D21" w:rsidRDefault="00020D21" w:rsidP="00020D21">
      <w:pPr>
        <w:widowControl w:val="0"/>
        <w:overflowPunct w:val="0"/>
        <w:autoSpaceDE w:val="0"/>
        <w:autoSpaceDN w:val="0"/>
        <w:adjustRightInd w:val="0"/>
        <w:ind w:left="709"/>
        <w:textAlignment w:val="baseline"/>
        <w:rPr>
          <w:szCs w:val="20"/>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020D21" w14:paraId="65BAB3A0" w14:textId="77777777" w:rsidTr="007A1ECF">
        <w:tc>
          <w:tcPr>
            <w:tcW w:w="1078" w:type="pct"/>
          </w:tcPr>
          <w:p w14:paraId="6E354578" w14:textId="77777777" w:rsidR="00020D21" w:rsidRPr="00020D21" w:rsidRDefault="00020D21" w:rsidP="00020D21">
            <w:pPr>
              <w:overflowPunct w:val="0"/>
              <w:autoSpaceDE w:val="0"/>
              <w:autoSpaceDN w:val="0"/>
              <w:adjustRightInd w:val="0"/>
              <w:textAlignment w:val="baseline"/>
              <w:rPr>
                <w:i/>
              </w:rPr>
            </w:pPr>
            <w:r>
              <w:rPr>
                <w:b/>
                <w:i/>
              </w:rPr>
              <w:t>Kontakt</w:t>
            </w:r>
          </w:p>
        </w:tc>
        <w:tc>
          <w:tcPr>
            <w:tcW w:w="3922" w:type="pct"/>
          </w:tcPr>
          <w:p w14:paraId="0CB70EAD" w14:textId="40A74F29" w:rsidR="00020D21" w:rsidRPr="00020D21" w:rsidRDefault="00020D21" w:rsidP="00020D21">
            <w:pPr>
              <w:overflowPunct w:val="0"/>
              <w:autoSpaceDE w:val="0"/>
              <w:autoSpaceDN w:val="0"/>
              <w:adjustRightInd w:val="0"/>
              <w:textAlignment w:val="baseline"/>
              <w:rPr>
                <w:i/>
              </w:rPr>
            </w:pPr>
            <w:proofErr w:type="spellStart"/>
            <w:r>
              <w:rPr>
                <w:i/>
              </w:rPr>
              <w:t>Arturo</w:t>
            </w:r>
            <w:proofErr w:type="spellEnd"/>
            <w:r>
              <w:rPr>
                <w:i/>
              </w:rPr>
              <w:t xml:space="preserve"> </w:t>
            </w:r>
            <w:proofErr w:type="spellStart"/>
            <w:r>
              <w:rPr>
                <w:i/>
              </w:rPr>
              <w:t>Iniguez</w:t>
            </w:r>
            <w:proofErr w:type="spellEnd"/>
            <w:r>
              <w:rPr>
                <w:i/>
              </w:rPr>
              <w:t xml:space="preserve"> </w:t>
            </w:r>
            <w:proofErr w:type="spellStart"/>
            <w:r>
              <w:rPr>
                <w:i/>
              </w:rPr>
              <w:t>Yuste</w:t>
            </w:r>
            <w:proofErr w:type="spellEnd"/>
          </w:p>
        </w:tc>
      </w:tr>
      <w:tr w:rsidR="00020D21" w:rsidRPr="00020D21" w14:paraId="64F15BEB" w14:textId="77777777" w:rsidTr="007A1ECF">
        <w:tc>
          <w:tcPr>
            <w:tcW w:w="1078" w:type="pct"/>
          </w:tcPr>
          <w:p w14:paraId="4689E47B" w14:textId="77777777" w:rsidR="00020D21" w:rsidRPr="00020D21" w:rsidRDefault="00020D21" w:rsidP="00020D21">
            <w:pPr>
              <w:overflowPunct w:val="0"/>
              <w:autoSpaceDE w:val="0"/>
              <w:autoSpaceDN w:val="0"/>
              <w:adjustRightInd w:val="0"/>
              <w:textAlignment w:val="baseline"/>
              <w:rPr>
                <w:i/>
              </w:rPr>
            </w:pPr>
            <w:r>
              <w:rPr>
                <w:i/>
              </w:rPr>
              <w:t>Tel.:</w:t>
            </w:r>
          </w:p>
        </w:tc>
        <w:tc>
          <w:tcPr>
            <w:tcW w:w="3922" w:type="pct"/>
          </w:tcPr>
          <w:p w14:paraId="330F16FB" w14:textId="1CEB726F" w:rsidR="00020D21" w:rsidRPr="00020D21" w:rsidRDefault="00020D21" w:rsidP="00020D21">
            <w:pPr>
              <w:overflowPunct w:val="0"/>
              <w:autoSpaceDE w:val="0"/>
              <w:autoSpaceDN w:val="0"/>
              <w:adjustRightInd w:val="0"/>
              <w:textAlignment w:val="baseline"/>
              <w:rPr>
                <w:i/>
              </w:rPr>
            </w:pPr>
            <w:r>
              <w:rPr>
                <w:i/>
              </w:rPr>
              <w:t>+32 25468768</w:t>
            </w:r>
          </w:p>
        </w:tc>
      </w:tr>
      <w:tr w:rsidR="00020D21" w:rsidRPr="00020D21" w14:paraId="5D6640CA" w14:textId="77777777" w:rsidTr="007A1ECF">
        <w:tc>
          <w:tcPr>
            <w:tcW w:w="1078" w:type="pct"/>
          </w:tcPr>
          <w:p w14:paraId="1A60442E" w14:textId="77777777" w:rsidR="00020D21" w:rsidRPr="00020D21" w:rsidRDefault="00020D21" w:rsidP="00020D21">
            <w:pPr>
              <w:overflowPunct w:val="0"/>
              <w:autoSpaceDE w:val="0"/>
              <w:autoSpaceDN w:val="0"/>
              <w:adjustRightInd w:val="0"/>
              <w:textAlignment w:val="baseline"/>
              <w:rPr>
                <w:i/>
              </w:rPr>
            </w:pPr>
            <w:r>
              <w:rPr>
                <w:i/>
              </w:rPr>
              <w:t>e-mail:</w:t>
            </w:r>
          </w:p>
        </w:tc>
        <w:tc>
          <w:tcPr>
            <w:tcW w:w="3922" w:type="pct"/>
          </w:tcPr>
          <w:p w14:paraId="7A244B36" w14:textId="77777777" w:rsidR="00020D21" w:rsidRPr="00020D21" w:rsidRDefault="00C93EBC" w:rsidP="00020D21">
            <w:pPr>
              <w:overflowPunct w:val="0"/>
              <w:autoSpaceDE w:val="0"/>
              <w:autoSpaceDN w:val="0"/>
              <w:adjustRightInd w:val="0"/>
              <w:textAlignment w:val="baseline"/>
              <w:rPr>
                <w:i/>
                <w:iCs/>
              </w:rPr>
            </w:pPr>
            <w:hyperlink r:id="rId52" w:history="1">
              <w:r w:rsidR="00036171">
                <w:rPr>
                  <w:i/>
                  <w:color w:val="0000FF"/>
                  <w:u w:val="single"/>
                </w:rPr>
                <w:t>Arturo.Iniguez@eesc.europa.eu</w:t>
              </w:r>
            </w:hyperlink>
          </w:p>
        </w:tc>
      </w:tr>
    </w:tbl>
    <w:p w14:paraId="4982DE45" w14:textId="7C5306C5" w:rsidR="007C5067" w:rsidRDefault="007C5067">
      <w:pPr>
        <w:spacing w:after="160" w:line="259" w:lineRule="auto"/>
        <w:jc w:val="left"/>
      </w:pPr>
    </w:p>
    <w:p w14:paraId="1837AA2E" w14:textId="77777777" w:rsidR="007C5067" w:rsidRDefault="007C5067">
      <w:pPr>
        <w:spacing w:after="160" w:line="259" w:lineRule="auto"/>
        <w:jc w:val="left"/>
      </w:pPr>
      <w:r>
        <w:br w:type="page"/>
      </w:r>
    </w:p>
    <w:p w14:paraId="6F8A5A81" w14:textId="65892C5E" w:rsidR="00EE45AC" w:rsidRPr="00EE45AC" w:rsidRDefault="00C93EBC" w:rsidP="00A704FE">
      <w:pPr>
        <w:widowControl w:val="0"/>
        <w:numPr>
          <w:ilvl w:val="0"/>
          <w:numId w:val="14"/>
        </w:numPr>
        <w:overflowPunct w:val="0"/>
        <w:autoSpaceDE w:val="0"/>
        <w:autoSpaceDN w:val="0"/>
        <w:adjustRightInd w:val="0"/>
        <w:ind w:hanging="567"/>
        <w:textAlignment w:val="baseline"/>
        <w:rPr>
          <w:b/>
        </w:rPr>
      </w:pPr>
      <w:hyperlink r:id="rId53" w:history="1">
        <w:r w:rsidR="00036171">
          <w:rPr>
            <w:b/>
            <w:i/>
            <w:color w:val="0000FF"/>
            <w:sz w:val="28"/>
            <w:u w:val="single"/>
          </w:rPr>
          <w:t>Rezerwa stabilności rynkowej dla sektora budowlanego, sektora transportu drogowego i sektorów dodatkowych</w:t>
        </w:r>
      </w:hyperlink>
    </w:p>
    <w:p w14:paraId="29BF07D1" w14:textId="77777777" w:rsidR="00EE45AC" w:rsidRPr="00EE45AC" w:rsidRDefault="00EE45AC" w:rsidP="00EE45AC">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7"/>
        <w:gridCol w:w="6876"/>
      </w:tblGrid>
      <w:tr w:rsidR="00EE45AC" w:rsidRPr="00EE45AC" w14:paraId="12B232DB" w14:textId="77777777" w:rsidTr="00B1108D">
        <w:tc>
          <w:tcPr>
            <w:tcW w:w="1211" w:type="pct"/>
            <w:vMerge w:val="restart"/>
          </w:tcPr>
          <w:p w14:paraId="209BA7A2"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r>
              <w:rPr>
                <w:b/>
              </w:rPr>
              <w:t>Dokumenty źródłowe</w:t>
            </w:r>
          </w:p>
        </w:tc>
        <w:tc>
          <w:tcPr>
            <w:tcW w:w="3789" w:type="pct"/>
          </w:tcPr>
          <w:p w14:paraId="75A76B5B" w14:textId="2BB0246E" w:rsidR="00D44E5F" w:rsidRDefault="00D44E5F" w:rsidP="00EE45AC">
            <w:pPr>
              <w:tabs>
                <w:tab w:val="center" w:pos="284"/>
              </w:tabs>
              <w:overflowPunct w:val="0"/>
              <w:autoSpaceDE w:val="0"/>
              <w:autoSpaceDN w:val="0"/>
              <w:adjustRightInd w:val="0"/>
              <w:ind w:left="266" w:right="-3091" w:hanging="266"/>
              <w:textAlignment w:val="baseline"/>
            </w:pPr>
            <w:r>
              <w:t>Opinia kategorii C</w:t>
            </w:r>
          </w:p>
          <w:p w14:paraId="0E7AA901" w14:textId="5A77F92C" w:rsidR="00EE45AC" w:rsidRPr="00EE45AC" w:rsidRDefault="00EE45AC" w:rsidP="00EE45AC">
            <w:pPr>
              <w:tabs>
                <w:tab w:val="center" w:pos="284"/>
              </w:tabs>
              <w:overflowPunct w:val="0"/>
              <w:autoSpaceDE w:val="0"/>
              <w:autoSpaceDN w:val="0"/>
              <w:adjustRightInd w:val="0"/>
              <w:ind w:left="266" w:right="-3091" w:hanging="266"/>
              <w:textAlignment w:val="baseline"/>
            </w:pPr>
            <w:r>
              <w:t xml:space="preserve">COM(2025) 738 </w:t>
            </w:r>
            <w:proofErr w:type="spellStart"/>
            <w:r>
              <w:t>final</w:t>
            </w:r>
            <w:proofErr w:type="spellEnd"/>
            <w:r>
              <w:t xml:space="preserve"> </w:t>
            </w:r>
          </w:p>
        </w:tc>
      </w:tr>
      <w:tr w:rsidR="00EE45AC" w:rsidRPr="00EE45AC" w14:paraId="44434D5B" w14:textId="77777777" w:rsidTr="00B1108D">
        <w:tc>
          <w:tcPr>
            <w:tcW w:w="1211" w:type="pct"/>
            <w:vMerge/>
          </w:tcPr>
          <w:p w14:paraId="5955A478"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p>
        </w:tc>
        <w:tc>
          <w:tcPr>
            <w:tcW w:w="3789" w:type="pct"/>
          </w:tcPr>
          <w:p w14:paraId="4593702D" w14:textId="479F03D2" w:rsidR="00EE45AC" w:rsidRPr="00EE45AC" w:rsidRDefault="00EE45AC" w:rsidP="00EE45AC">
            <w:pPr>
              <w:tabs>
                <w:tab w:val="center" w:pos="284"/>
              </w:tabs>
              <w:overflowPunct w:val="0"/>
              <w:autoSpaceDE w:val="0"/>
              <w:autoSpaceDN w:val="0"/>
              <w:adjustRightInd w:val="0"/>
              <w:ind w:left="266" w:right="-3091" w:hanging="266"/>
              <w:textAlignment w:val="baseline"/>
            </w:pPr>
            <w:r>
              <w:t>EESC-2026-00103-00-00-AC</w:t>
            </w:r>
          </w:p>
        </w:tc>
      </w:tr>
    </w:tbl>
    <w:p w14:paraId="5F04C287" w14:textId="77777777" w:rsidR="00EE45AC" w:rsidRPr="00EE45AC" w:rsidRDefault="00EE45AC" w:rsidP="00EE45AC">
      <w:pPr>
        <w:keepNext/>
        <w:keepLines/>
        <w:tabs>
          <w:tab w:val="center" w:pos="284"/>
        </w:tabs>
        <w:overflowPunct w:val="0"/>
        <w:autoSpaceDE w:val="0"/>
        <w:autoSpaceDN w:val="0"/>
        <w:adjustRightInd w:val="0"/>
        <w:ind w:left="266" w:hanging="266"/>
        <w:textAlignment w:val="baseline"/>
        <w:rPr>
          <w:b/>
          <w:lang w:val="en-GB"/>
        </w:rPr>
      </w:pPr>
    </w:p>
    <w:p w14:paraId="6E93DF97" w14:textId="45FE9F02" w:rsidR="00EE45AC" w:rsidRPr="00EE45AC" w:rsidRDefault="00BF4B8A" w:rsidP="00B1108D">
      <w:pPr>
        <w:overflowPunct w:val="0"/>
        <w:autoSpaceDE w:val="0"/>
        <w:autoSpaceDN w:val="0"/>
        <w:adjustRightInd w:val="0"/>
        <w:spacing w:after="200" w:line="276" w:lineRule="auto"/>
        <w:contextualSpacing/>
        <w:textAlignment w:val="baseline"/>
      </w:pPr>
      <w:r>
        <w:t>EKES uznał, że treść wniosku jest w zupełności zadowalająca i nie wymaga żadnego komentarza z jego strony, oraz postanowił wydać pozytywną opinię na temat proponowanego tekstu.</w:t>
      </w:r>
    </w:p>
    <w:p w14:paraId="39F5850A" w14:textId="77777777" w:rsidR="00EE45AC" w:rsidRPr="00EE45AC" w:rsidRDefault="00EE45AC" w:rsidP="00EE45AC">
      <w:pPr>
        <w:widowControl w:val="0"/>
        <w:overflowPunct w:val="0"/>
        <w:autoSpaceDE w:val="0"/>
        <w:autoSpaceDN w:val="0"/>
        <w:adjustRightInd w:val="0"/>
        <w:ind w:left="567"/>
        <w:textAlignment w:val="baseline"/>
        <w:rPr>
          <w:rFonts w:asciiTheme="minorHAnsi" w:hAnsiTheme="minorHAnsi"/>
          <w:szCs w:val="20"/>
          <w:lang w:val="en-GB"/>
        </w:rPr>
      </w:pPr>
    </w:p>
    <w:p w14:paraId="1AFD9ABD" w14:textId="77777777" w:rsidR="00EE45AC" w:rsidRPr="00EE45AC" w:rsidRDefault="00EE45AC" w:rsidP="00EE45AC">
      <w:pPr>
        <w:widowControl w:val="0"/>
        <w:overflowPunct w:val="0"/>
        <w:autoSpaceDE w:val="0"/>
        <w:autoSpaceDN w:val="0"/>
        <w:adjustRightInd w:val="0"/>
        <w:ind w:left="709"/>
        <w:textAlignment w:val="baseline"/>
        <w:rPr>
          <w:szCs w:val="20"/>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118"/>
      </w:tblGrid>
      <w:tr w:rsidR="00EE45AC" w:rsidRPr="00EE45AC" w14:paraId="03714D63" w14:textId="77777777" w:rsidTr="002C2DFE">
        <w:tc>
          <w:tcPr>
            <w:tcW w:w="1028" w:type="pct"/>
          </w:tcPr>
          <w:p w14:paraId="0E2610CA" w14:textId="77777777" w:rsidR="00EE45AC" w:rsidRPr="00EE45AC" w:rsidRDefault="00EE45AC" w:rsidP="005E1B10">
            <w:pPr>
              <w:overflowPunct w:val="0"/>
              <w:autoSpaceDE w:val="0"/>
              <w:autoSpaceDN w:val="0"/>
              <w:adjustRightInd w:val="0"/>
              <w:ind w:hanging="110"/>
              <w:textAlignment w:val="baseline"/>
              <w:rPr>
                <w:i/>
              </w:rPr>
            </w:pPr>
            <w:r>
              <w:rPr>
                <w:b/>
                <w:i/>
              </w:rPr>
              <w:t>Kontakt</w:t>
            </w:r>
          </w:p>
        </w:tc>
        <w:tc>
          <w:tcPr>
            <w:tcW w:w="3972" w:type="pct"/>
          </w:tcPr>
          <w:p w14:paraId="655EDDD6" w14:textId="421EB465" w:rsidR="00EE45AC" w:rsidRPr="00EE45AC" w:rsidRDefault="00EE45AC" w:rsidP="00EE45AC">
            <w:pPr>
              <w:overflowPunct w:val="0"/>
              <w:autoSpaceDE w:val="0"/>
              <w:autoSpaceDN w:val="0"/>
              <w:adjustRightInd w:val="0"/>
              <w:textAlignment w:val="baseline"/>
              <w:rPr>
                <w:i/>
              </w:rPr>
            </w:pPr>
            <w:proofErr w:type="spellStart"/>
            <w:r>
              <w:rPr>
                <w:i/>
              </w:rPr>
              <w:t>Gaizka</w:t>
            </w:r>
            <w:proofErr w:type="spellEnd"/>
            <w:r>
              <w:rPr>
                <w:i/>
              </w:rPr>
              <w:t xml:space="preserve"> Malo </w:t>
            </w:r>
            <w:proofErr w:type="spellStart"/>
            <w:r>
              <w:rPr>
                <w:i/>
              </w:rPr>
              <w:t>Elcoro-Iribe</w:t>
            </w:r>
            <w:proofErr w:type="spellEnd"/>
            <w:r>
              <w:rPr>
                <w:i/>
              </w:rPr>
              <w:t xml:space="preserve"> </w:t>
            </w:r>
          </w:p>
        </w:tc>
      </w:tr>
      <w:tr w:rsidR="00EE45AC" w:rsidRPr="00EE45AC" w14:paraId="6EF25DA0" w14:textId="77777777" w:rsidTr="002C2DFE">
        <w:tc>
          <w:tcPr>
            <w:tcW w:w="1028" w:type="pct"/>
          </w:tcPr>
          <w:p w14:paraId="2CB27EFF" w14:textId="77777777" w:rsidR="00EE45AC" w:rsidRPr="00EE45AC" w:rsidRDefault="00EE45AC" w:rsidP="005E1B10">
            <w:pPr>
              <w:overflowPunct w:val="0"/>
              <w:autoSpaceDE w:val="0"/>
              <w:autoSpaceDN w:val="0"/>
              <w:adjustRightInd w:val="0"/>
              <w:ind w:left="-110"/>
              <w:textAlignment w:val="baseline"/>
              <w:rPr>
                <w:i/>
              </w:rPr>
            </w:pPr>
            <w:r>
              <w:rPr>
                <w:i/>
              </w:rPr>
              <w:t>Tel.:</w:t>
            </w:r>
          </w:p>
        </w:tc>
        <w:tc>
          <w:tcPr>
            <w:tcW w:w="3972" w:type="pct"/>
          </w:tcPr>
          <w:p w14:paraId="56BEC0AC" w14:textId="77777777" w:rsidR="00EE45AC" w:rsidRPr="00EE45AC" w:rsidRDefault="00EE45AC" w:rsidP="00EE45AC">
            <w:pPr>
              <w:overflowPunct w:val="0"/>
              <w:autoSpaceDE w:val="0"/>
              <w:autoSpaceDN w:val="0"/>
              <w:adjustRightInd w:val="0"/>
              <w:textAlignment w:val="baseline"/>
              <w:rPr>
                <w:i/>
              </w:rPr>
            </w:pPr>
            <w:r>
              <w:rPr>
                <w:i/>
              </w:rPr>
              <w:t>+32 25468526</w:t>
            </w:r>
          </w:p>
        </w:tc>
      </w:tr>
      <w:tr w:rsidR="00EE45AC" w:rsidRPr="00EE45AC" w14:paraId="2DDD6DAA" w14:textId="77777777" w:rsidTr="002C2DFE">
        <w:tc>
          <w:tcPr>
            <w:tcW w:w="1028" w:type="pct"/>
          </w:tcPr>
          <w:p w14:paraId="62FEA67A" w14:textId="77777777" w:rsidR="00EE45AC" w:rsidRPr="00EE45AC" w:rsidRDefault="00EE45AC" w:rsidP="005E1B10">
            <w:pPr>
              <w:overflowPunct w:val="0"/>
              <w:autoSpaceDE w:val="0"/>
              <w:autoSpaceDN w:val="0"/>
              <w:adjustRightInd w:val="0"/>
              <w:ind w:left="-110"/>
              <w:textAlignment w:val="baseline"/>
              <w:rPr>
                <w:i/>
              </w:rPr>
            </w:pPr>
            <w:r>
              <w:rPr>
                <w:i/>
              </w:rPr>
              <w:t>e-mail:</w:t>
            </w:r>
          </w:p>
        </w:tc>
        <w:tc>
          <w:tcPr>
            <w:tcW w:w="3972" w:type="pct"/>
          </w:tcPr>
          <w:p w14:paraId="5E459120" w14:textId="77777777" w:rsidR="00EE45AC" w:rsidRPr="00EE45AC" w:rsidRDefault="00C93EBC" w:rsidP="00EE45AC">
            <w:pPr>
              <w:overflowPunct w:val="0"/>
              <w:autoSpaceDE w:val="0"/>
              <w:autoSpaceDN w:val="0"/>
              <w:adjustRightInd w:val="0"/>
              <w:textAlignment w:val="baseline"/>
              <w:rPr>
                <w:i/>
                <w:iCs/>
              </w:rPr>
            </w:pPr>
            <w:hyperlink r:id="rId54" w:history="1">
              <w:r w:rsidR="00036171">
                <w:rPr>
                  <w:i/>
                  <w:color w:val="0000FF"/>
                  <w:u w:val="single"/>
                </w:rPr>
                <w:t>Gaizka.MaloElcoro-Iribe@eesc.europa.eu</w:t>
              </w:r>
            </w:hyperlink>
            <w:r w:rsidR="00036171">
              <w:rPr>
                <w:i/>
              </w:rPr>
              <w:t xml:space="preserve"> </w:t>
            </w:r>
          </w:p>
        </w:tc>
      </w:tr>
    </w:tbl>
    <w:p w14:paraId="0BE571FF" w14:textId="3F48FB41" w:rsidR="004F4B0E" w:rsidRDefault="004F4B0E">
      <w:pPr>
        <w:spacing w:after="160" w:line="259" w:lineRule="auto"/>
        <w:jc w:val="left"/>
      </w:pPr>
    </w:p>
    <w:p w14:paraId="6DDBD3DD" w14:textId="77777777" w:rsidR="004F4B0E" w:rsidRDefault="004F4B0E">
      <w:pPr>
        <w:spacing w:after="160" w:line="259" w:lineRule="auto"/>
        <w:jc w:val="left"/>
      </w:pPr>
      <w:r>
        <w:br w:type="page"/>
      </w:r>
    </w:p>
    <w:p w14:paraId="2652CAEE" w14:textId="756C2F57" w:rsidR="00A71787" w:rsidRPr="00A71787" w:rsidRDefault="00C93EBC" w:rsidP="00A704FE">
      <w:pPr>
        <w:widowControl w:val="0"/>
        <w:numPr>
          <w:ilvl w:val="0"/>
          <w:numId w:val="14"/>
        </w:numPr>
        <w:overflowPunct w:val="0"/>
        <w:autoSpaceDE w:val="0"/>
        <w:autoSpaceDN w:val="0"/>
        <w:adjustRightInd w:val="0"/>
        <w:ind w:hanging="567"/>
        <w:textAlignment w:val="baseline"/>
        <w:rPr>
          <w:b/>
        </w:rPr>
      </w:pPr>
      <w:hyperlink r:id="rId55" w:history="1">
        <w:r w:rsidR="00036171">
          <w:rPr>
            <w:b/>
            <w:i/>
            <w:color w:val="0000FF"/>
            <w:sz w:val="28"/>
            <w:u w:val="single"/>
          </w:rPr>
          <w:t>Zmiana ochrony danych odnośnie do produktów biobójczych</w:t>
        </w:r>
      </w:hyperlink>
    </w:p>
    <w:p w14:paraId="513FCEEC" w14:textId="77777777" w:rsidR="00A71787" w:rsidRPr="00A71787" w:rsidRDefault="00A71787" w:rsidP="00A71787">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5"/>
      </w:tblGrid>
      <w:tr w:rsidR="00A71787" w:rsidRPr="00A71787" w14:paraId="40CE23D7" w14:textId="77777777" w:rsidTr="00B1108D">
        <w:tc>
          <w:tcPr>
            <w:tcW w:w="1250" w:type="pct"/>
            <w:vMerge w:val="restart"/>
          </w:tcPr>
          <w:p w14:paraId="17F211F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r>
              <w:rPr>
                <w:b/>
              </w:rPr>
              <w:t>Dokumenty źródłowe</w:t>
            </w:r>
          </w:p>
        </w:tc>
        <w:tc>
          <w:tcPr>
            <w:tcW w:w="3750" w:type="pct"/>
          </w:tcPr>
          <w:p w14:paraId="447AC604" w14:textId="6476D059" w:rsidR="00D72442" w:rsidRDefault="00D72442" w:rsidP="00A71787">
            <w:pPr>
              <w:tabs>
                <w:tab w:val="center" w:pos="284"/>
              </w:tabs>
              <w:overflowPunct w:val="0"/>
              <w:autoSpaceDE w:val="0"/>
              <w:autoSpaceDN w:val="0"/>
              <w:adjustRightInd w:val="0"/>
              <w:ind w:left="266" w:right="-3091" w:hanging="266"/>
              <w:textAlignment w:val="baseline"/>
            </w:pPr>
            <w:r>
              <w:t>Opinia kategorii C</w:t>
            </w:r>
          </w:p>
          <w:p w14:paraId="3CA92A72" w14:textId="52612067" w:rsidR="00A71787" w:rsidRPr="00A71787" w:rsidRDefault="00A71787" w:rsidP="00A71787">
            <w:pPr>
              <w:tabs>
                <w:tab w:val="center" w:pos="284"/>
              </w:tabs>
              <w:overflowPunct w:val="0"/>
              <w:autoSpaceDE w:val="0"/>
              <w:autoSpaceDN w:val="0"/>
              <w:adjustRightInd w:val="0"/>
              <w:ind w:left="266" w:right="-3091" w:hanging="266"/>
              <w:textAlignment w:val="baseline"/>
            </w:pPr>
            <w:r>
              <w:t xml:space="preserve">COM(2025) 1020 </w:t>
            </w:r>
            <w:proofErr w:type="spellStart"/>
            <w:r>
              <w:t>final</w:t>
            </w:r>
            <w:proofErr w:type="spellEnd"/>
            <w:r>
              <w:t xml:space="preserve"> </w:t>
            </w:r>
          </w:p>
        </w:tc>
      </w:tr>
      <w:tr w:rsidR="00A71787" w:rsidRPr="00A71787" w14:paraId="06E5E594" w14:textId="77777777" w:rsidTr="00B1108D">
        <w:tc>
          <w:tcPr>
            <w:tcW w:w="1250" w:type="pct"/>
            <w:vMerge/>
          </w:tcPr>
          <w:p w14:paraId="3F41D36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p>
        </w:tc>
        <w:tc>
          <w:tcPr>
            <w:tcW w:w="3750" w:type="pct"/>
          </w:tcPr>
          <w:p w14:paraId="5B592B7B" w14:textId="7324FCBC" w:rsidR="00A71787" w:rsidRPr="00A71787" w:rsidRDefault="00A71787" w:rsidP="00A71787">
            <w:pPr>
              <w:tabs>
                <w:tab w:val="center" w:pos="284"/>
              </w:tabs>
              <w:overflowPunct w:val="0"/>
              <w:autoSpaceDE w:val="0"/>
              <w:autoSpaceDN w:val="0"/>
              <w:adjustRightInd w:val="0"/>
              <w:ind w:left="266" w:right="-3091" w:hanging="266"/>
              <w:textAlignment w:val="baseline"/>
            </w:pPr>
            <w:r>
              <w:t>EESC-2026-00101-00-00-AC</w:t>
            </w:r>
          </w:p>
        </w:tc>
      </w:tr>
    </w:tbl>
    <w:p w14:paraId="3CA514B7" w14:textId="77777777" w:rsidR="00A71787" w:rsidRPr="00A71787" w:rsidRDefault="00A71787" w:rsidP="00A71787">
      <w:pPr>
        <w:tabs>
          <w:tab w:val="center" w:pos="284"/>
        </w:tabs>
        <w:overflowPunct w:val="0"/>
        <w:autoSpaceDE w:val="0"/>
        <w:autoSpaceDN w:val="0"/>
        <w:adjustRightInd w:val="0"/>
        <w:ind w:left="266" w:hanging="266"/>
        <w:textAlignment w:val="baseline"/>
        <w:rPr>
          <w:b/>
          <w:lang w:val="en-GB"/>
        </w:rPr>
      </w:pPr>
    </w:p>
    <w:p w14:paraId="5B3D4BF2" w14:textId="77777777" w:rsidR="00A71787" w:rsidRPr="00A71787" w:rsidRDefault="00A71787" w:rsidP="00A71787">
      <w:pPr>
        <w:keepNext/>
        <w:keepLines/>
        <w:tabs>
          <w:tab w:val="center" w:pos="284"/>
        </w:tabs>
        <w:overflowPunct w:val="0"/>
        <w:autoSpaceDE w:val="0"/>
        <w:autoSpaceDN w:val="0"/>
        <w:adjustRightInd w:val="0"/>
        <w:ind w:left="266" w:hanging="266"/>
        <w:textAlignment w:val="baseline"/>
        <w:rPr>
          <w:b/>
          <w:lang w:val="en-GB"/>
        </w:rPr>
      </w:pPr>
    </w:p>
    <w:p w14:paraId="34E60051" w14:textId="5B6B5D13" w:rsidR="00A71787" w:rsidRPr="00A71787" w:rsidRDefault="00576A37" w:rsidP="00B1108D">
      <w:pPr>
        <w:overflowPunct w:val="0"/>
        <w:autoSpaceDE w:val="0"/>
        <w:autoSpaceDN w:val="0"/>
        <w:adjustRightInd w:val="0"/>
        <w:spacing w:after="200" w:line="276" w:lineRule="auto"/>
        <w:contextualSpacing/>
        <w:textAlignment w:val="baseline"/>
      </w:pPr>
      <w:r>
        <w:t>EKES uznał, że treść wniosku jest w zupełności zadowalająca i nie wymaga żadnego komentarza z jego strony, oraz postanowił wydać pozytywną opinię na temat proponowanego tekstu.</w:t>
      </w:r>
    </w:p>
    <w:p w14:paraId="76A6F565" w14:textId="77777777" w:rsidR="00A71787" w:rsidRPr="00A71787" w:rsidRDefault="00A71787" w:rsidP="00A71787">
      <w:pPr>
        <w:widowControl w:val="0"/>
        <w:overflowPunct w:val="0"/>
        <w:autoSpaceDE w:val="0"/>
        <w:autoSpaceDN w:val="0"/>
        <w:adjustRightInd w:val="0"/>
        <w:ind w:left="567"/>
        <w:textAlignment w:val="baseline"/>
        <w:rPr>
          <w:rFonts w:asciiTheme="minorHAnsi" w:hAnsiTheme="minorHAnsi"/>
          <w:szCs w:val="20"/>
          <w:lang w:val="en-GB"/>
        </w:rPr>
      </w:pPr>
    </w:p>
    <w:p w14:paraId="7E2118F3" w14:textId="77777777" w:rsidR="00A71787" w:rsidRPr="00A71787" w:rsidRDefault="00A71787" w:rsidP="00A71787">
      <w:pPr>
        <w:widowControl w:val="0"/>
        <w:overflowPunct w:val="0"/>
        <w:autoSpaceDE w:val="0"/>
        <w:autoSpaceDN w:val="0"/>
        <w:adjustRightInd w:val="0"/>
        <w:ind w:left="709"/>
        <w:textAlignment w:val="baseline"/>
        <w:rPr>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71787" w:rsidRDefault="00A71787" w:rsidP="00A71787">
            <w:pPr>
              <w:overflowPunct w:val="0"/>
              <w:autoSpaceDE w:val="0"/>
              <w:autoSpaceDN w:val="0"/>
              <w:adjustRightInd w:val="0"/>
              <w:textAlignment w:val="baseline"/>
              <w:rPr>
                <w:i/>
              </w:rPr>
            </w:pPr>
            <w:r>
              <w:rPr>
                <w:b/>
                <w:i/>
              </w:rPr>
              <w:t>Kontakt</w:t>
            </w:r>
          </w:p>
        </w:tc>
        <w:tc>
          <w:tcPr>
            <w:tcW w:w="3922" w:type="pct"/>
          </w:tcPr>
          <w:p w14:paraId="320F4896" w14:textId="4C28CFC1" w:rsidR="00A71787" w:rsidRPr="00A71787" w:rsidRDefault="00A71787" w:rsidP="00A71787">
            <w:pPr>
              <w:overflowPunct w:val="0"/>
              <w:autoSpaceDE w:val="0"/>
              <w:autoSpaceDN w:val="0"/>
              <w:adjustRightInd w:val="0"/>
              <w:textAlignment w:val="baseline"/>
              <w:rPr>
                <w:i/>
              </w:rPr>
            </w:pPr>
            <w:r>
              <w:rPr>
                <w:i/>
              </w:rPr>
              <w:t xml:space="preserve">Martine </w:t>
            </w:r>
            <w:proofErr w:type="spellStart"/>
            <w:r>
              <w:rPr>
                <w:i/>
              </w:rPr>
              <w:t>Delanoy</w:t>
            </w:r>
            <w:proofErr w:type="spellEnd"/>
            <w:r>
              <w:rPr>
                <w:i/>
              </w:rPr>
              <w:t xml:space="preserve"> </w:t>
            </w:r>
          </w:p>
        </w:tc>
      </w:tr>
      <w:tr w:rsidR="00A71787" w:rsidRPr="00A71787" w14:paraId="29641D7C" w14:textId="77777777" w:rsidTr="00A71787">
        <w:tc>
          <w:tcPr>
            <w:tcW w:w="1078" w:type="pct"/>
          </w:tcPr>
          <w:p w14:paraId="7FCBA5DF" w14:textId="77777777" w:rsidR="00A71787" w:rsidRPr="00A71787" w:rsidRDefault="00A71787" w:rsidP="00A71787">
            <w:pPr>
              <w:overflowPunct w:val="0"/>
              <w:autoSpaceDE w:val="0"/>
              <w:autoSpaceDN w:val="0"/>
              <w:adjustRightInd w:val="0"/>
              <w:textAlignment w:val="baseline"/>
              <w:rPr>
                <w:i/>
              </w:rPr>
            </w:pPr>
            <w:r>
              <w:rPr>
                <w:i/>
              </w:rPr>
              <w:t>Tel.:</w:t>
            </w:r>
          </w:p>
        </w:tc>
        <w:tc>
          <w:tcPr>
            <w:tcW w:w="3922" w:type="pct"/>
          </w:tcPr>
          <w:p w14:paraId="42A75B3D" w14:textId="77777777" w:rsidR="00A71787" w:rsidRPr="00A71787" w:rsidRDefault="00A71787" w:rsidP="00A71787">
            <w:pPr>
              <w:overflowPunct w:val="0"/>
              <w:autoSpaceDE w:val="0"/>
              <w:autoSpaceDN w:val="0"/>
              <w:adjustRightInd w:val="0"/>
              <w:textAlignment w:val="baseline"/>
              <w:rPr>
                <w:i/>
              </w:rPr>
            </w:pPr>
            <w:r>
              <w:rPr>
                <w:i/>
              </w:rPr>
              <w:t>+32 25469802</w:t>
            </w:r>
          </w:p>
        </w:tc>
      </w:tr>
      <w:tr w:rsidR="00A71787" w:rsidRPr="00A71787" w14:paraId="5BDE6935" w14:textId="77777777" w:rsidTr="00A71787">
        <w:tc>
          <w:tcPr>
            <w:tcW w:w="1078" w:type="pct"/>
          </w:tcPr>
          <w:p w14:paraId="00CBEE39" w14:textId="77777777" w:rsidR="00A71787" w:rsidRPr="00A71787" w:rsidRDefault="00A71787" w:rsidP="00A71787">
            <w:pPr>
              <w:overflowPunct w:val="0"/>
              <w:autoSpaceDE w:val="0"/>
              <w:autoSpaceDN w:val="0"/>
              <w:adjustRightInd w:val="0"/>
              <w:textAlignment w:val="baseline"/>
              <w:rPr>
                <w:i/>
              </w:rPr>
            </w:pPr>
            <w:r>
              <w:rPr>
                <w:i/>
              </w:rPr>
              <w:t>e-mail:</w:t>
            </w:r>
          </w:p>
        </w:tc>
        <w:tc>
          <w:tcPr>
            <w:tcW w:w="3922" w:type="pct"/>
          </w:tcPr>
          <w:p w14:paraId="2A7EC1D2" w14:textId="77777777" w:rsidR="00A71787" w:rsidRPr="00A71787" w:rsidRDefault="00C93EBC" w:rsidP="00A71787">
            <w:pPr>
              <w:overflowPunct w:val="0"/>
              <w:autoSpaceDE w:val="0"/>
              <w:autoSpaceDN w:val="0"/>
              <w:adjustRightInd w:val="0"/>
              <w:textAlignment w:val="baseline"/>
              <w:rPr>
                <w:i/>
                <w:iCs/>
              </w:rPr>
            </w:pPr>
            <w:hyperlink r:id="rId56" w:history="1">
              <w:r w:rsidR="00036171">
                <w:rPr>
                  <w:i/>
                  <w:color w:val="0000FF"/>
                  <w:u w:val="single"/>
                </w:rPr>
                <w:t>Martine.Delanoy@eesc.europa.eu</w:t>
              </w:r>
            </w:hyperlink>
          </w:p>
        </w:tc>
      </w:tr>
    </w:tbl>
    <w:p w14:paraId="61BD894B" w14:textId="68FD59F8" w:rsidR="00793264" w:rsidRDefault="00793264">
      <w:pPr>
        <w:spacing w:after="160" w:line="259" w:lineRule="auto"/>
        <w:jc w:val="left"/>
      </w:pPr>
    </w:p>
    <w:p w14:paraId="5A7163DF" w14:textId="77777777" w:rsidR="00793264" w:rsidRDefault="00793264">
      <w:pPr>
        <w:spacing w:after="160" w:line="259" w:lineRule="auto"/>
        <w:jc w:val="left"/>
      </w:pPr>
      <w:r>
        <w:br w:type="page"/>
      </w:r>
    </w:p>
    <w:p w14:paraId="0381724B" w14:textId="364BAB02" w:rsidR="00FA584E" w:rsidRPr="00FA584E" w:rsidRDefault="00C93EBC" w:rsidP="00FA584E">
      <w:pPr>
        <w:widowControl w:val="0"/>
        <w:numPr>
          <w:ilvl w:val="0"/>
          <w:numId w:val="24"/>
        </w:numPr>
        <w:overflowPunct w:val="0"/>
        <w:autoSpaceDE w:val="0"/>
        <w:autoSpaceDN w:val="0"/>
        <w:adjustRightInd w:val="0"/>
        <w:ind w:left="567" w:hanging="567"/>
        <w:textAlignment w:val="baseline"/>
        <w:rPr>
          <w:b/>
          <w:bCs/>
          <w:i/>
          <w:iCs/>
          <w:sz w:val="28"/>
          <w:szCs w:val="28"/>
        </w:rPr>
      </w:pPr>
      <w:hyperlink r:id="rId57" w:history="1">
        <w:r w:rsidR="00036171">
          <w:rPr>
            <w:b/>
            <w:i/>
            <w:color w:val="0000FF"/>
            <w:sz w:val="28"/>
            <w:u w:val="single"/>
          </w:rPr>
          <w:t>Zmiana rozporządzenia o wspólnej organizacji rynków</w:t>
        </w:r>
      </w:hyperlink>
    </w:p>
    <w:p w14:paraId="180A4E10" w14:textId="77777777" w:rsidR="00FA584E" w:rsidRPr="00FA584E" w:rsidRDefault="00FA584E" w:rsidP="00B1108D">
      <w:pPr>
        <w:tabs>
          <w:tab w:val="center" w:pos="284"/>
        </w:tabs>
        <w:overflowPunct w:val="0"/>
        <w:autoSpaceDE w:val="0"/>
        <w:autoSpaceDN w:val="0"/>
        <w:adjustRightInd w:val="0"/>
        <w:spacing w:line="240" w:lineRule="auto"/>
        <w:textAlignment w:val="baseline"/>
        <w:rPr>
          <w:b/>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6888"/>
      </w:tblGrid>
      <w:tr w:rsidR="00FA584E" w:rsidRPr="00FA584E" w14:paraId="2A5B96F3" w14:textId="77777777" w:rsidTr="00B1108D">
        <w:tc>
          <w:tcPr>
            <w:tcW w:w="1204" w:type="pct"/>
          </w:tcPr>
          <w:p w14:paraId="5E6172BC"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Sprawozdawca</w:t>
            </w:r>
          </w:p>
        </w:tc>
        <w:tc>
          <w:tcPr>
            <w:tcW w:w="3796" w:type="pct"/>
          </w:tcPr>
          <w:p w14:paraId="23E364B2" w14:textId="0FEC4D96" w:rsidR="00FA584E" w:rsidRDefault="00FA584E" w:rsidP="00FA584E">
            <w:pPr>
              <w:tabs>
                <w:tab w:val="center" w:pos="284"/>
              </w:tabs>
              <w:overflowPunct w:val="0"/>
              <w:autoSpaceDE w:val="0"/>
              <w:autoSpaceDN w:val="0"/>
              <w:adjustRightInd w:val="0"/>
              <w:ind w:left="266" w:right="-3091" w:hanging="266"/>
              <w:textAlignment w:val="baseline"/>
            </w:pPr>
            <w:r>
              <w:t>Felipe MEDINA (Grupa Pracodawców – ES)</w:t>
            </w:r>
          </w:p>
          <w:p w14:paraId="5B7B759B" w14:textId="65EF1497" w:rsidR="00EC725B" w:rsidRPr="00FA584E" w:rsidRDefault="00EC725B" w:rsidP="00FA584E">
            <w:pPr>
              <w:tabs>
                <w:tab w:val="center" w:pos="284"/>
              </w:tabs>
              <w:overflowPunct w:val="0"/>
              <w:autoSpaceDE w:val="0"/>
              <w:autoSpaceDN w:val="0"/>
              <w:adjustRightInd w:val="0"/>
              <w:ind w:left="266" w:right="-3091" w:hanging="266"/>
              <w:textAlignment w:val="baseline"/>
            </w:pPr>
          </w:p>
        </w:tc>
      </w:tr>
      <w:tr w:rsidR="00FA584E" w:rsidRPr="00FA584E" w14:paraId="3BF65A36" w14:textId="77777777" w:rsidTr="00B1108D">
        <w:tc>
          <w:tcPr>
            <w:tcW w:w="1204" w:type="pct"/>
          </w:tcPr>
          <w:p w14:paraId="16BAA160" w14:textId="097C2A8C"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Dokument źródłow</w:t>
            </w:r>
            <w:r w:rsidR="002E26A3">
              <w:rPr>
                <w:b/>
              </w:rPr>
              <w:t>y</w:t>
            </w:r>
          </w:p>
        </w:tc>
        <w:tc>
          <w:tcPr>
            <w:tcW w:w="3796" w:type="pct"/>
          </w:tcPr>
          <w:p w14:paraId="641E34E3" w14:textId="4B3B4CDB" w:rsidR="00A14EE2" w:rsidRDefault="00A14EE2" w:rsidP="00FA584E">
            <w:pPr>
              <w:tabs>
                <w:tab w:val="center" w:pos="284"/>
              </w:tabs>
              <w:overflowPunct w:val="0"/>
              <w:autoSpaceDE w:val="0"/>
              <w:autoSpaceDN w:val="0"/>
              <w:adjustRightInd w:val="0"/>
              <w:ind w:left="266" w:right="-3091" w:hanging="266"/>
              <w:textAlignment w:val="baseline"/>
            </w:pPr>
            <w:r>
              <w:t xml:space="preserve">COM(2025) 553 </w:t>
            </w:r>
            <w:proofErr w:type="spellStart"/>
            <w:r>
              <w:t>final</w:t>
            </w:r>
            <w:proofErr w:type="spellEnd"/>
          </w:p>
          <w:p w14:paraId="10CDA317" w14:textId="711F982F" w:rsidR="00FA584E" w:rsidRPr="00FA584E" w:rsidRDefault="00FA584E" w:rsidP="00FA584E">
            <w:pPr>
              <w:tabs>
                <w:tab w:val="center" w:pos="284"/>
              </w:tabs>
              <w:overflowPunct w:val="0"/>
              <w:autoSpaceDE w:val="0"/>
              <w:autoSpaceDN w:val="0"/>
              <w:adjustRightInd w:val="0"/>
              <w:ind w:left="266" w:right="-3091" w:hanging="266"/>
              <w:textAlignment w:val="baseline"/>
            </w:pPr>
            <w:r>
              <w:t>EESC-2025-03145-00-00-AC</w:t>
            </w:r>
          </w:p>
        </w:tc>
      </w:tr>
    </w:tbl>
    <w:p w14:paraId="74EF8D93" w14:textId="77777777" w:rsidR="00FA584E" w:rsidRPr="00FA584E" w:rsidRDefault="00FA584E" w:rsidP="00B1108D">
      <w:pPr>
        <w:tabs>
          <w:tab w:val="center" w:pos="284"/>
        </w:tabs>
        <w:overflowPunct w:val="0"/>
        <w:autoSpaceDE w:val="0"/>
        <w:autoSpaceDN w:val="0"/>
        <w:adjustRightInd w:val="0"/>
        <w:spacing w:line="240" w:lineRule="auto"/>
        <w:textAlignment w:val="baseline"/>
        <w:rPr>
          <w:b/>
          <w:lang w:val="en-GB"/>
        </w:rPr>
      </w:pPr>
    </w:p>
    <w:p w14:paraId="251736F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rPr>
      </w:pPr>
      <w:r>
        <w:rPr>
          <w:b/>
        </w:rPr>
        <w:t>Główne punkty</w:t>
      </w:r>
    </w:p>
    <w:p w14:paraId="06A37CD1" w14:textId="77777777" w:rsidR="00FA584E" w:rsidRPr="00FA584E" w:rsidRDefault="00FA584E" w:rsidP="00B1108D">
      <w:pPr>
        <w:tabs>
          <w:tab w:val="center" w:pos="284"/>
        </w:tabs>
        <w:overflowPunct w:val="0"/>
        <w:autoSpaceDE w:val="0"/>
        <w:autoSpaceDN w:val="0"/>
        <w:adjustRightInd w:val="0"/>
        <w:spacing w:line="240" w:lineRule="auto"/>
        <w:textAlignment w:val="baseline"/>
        <w:rPr>
          <w:b/>
          <w:lang w:val="en-GB"/>
        </w:rPr>
      </w:pPr>
    </w:p>
    <w:p w14:paraId="48F8196B" w14:textId="77777777" w:rsidR="00FA584E" w:rsidRDefault="00FA584E" w:rsidP="00FA584E">
      <w:pPr>
        <w:overflowPunct w:val="0"/>
        <w:autoSpaceDE w:val="0"/>
        <w:autoSpaceDN w:val="0"/>
        <w:adjustRightInd w:val="0"/>
        <w:textAlignment w:val="baseline"/>
        <w:rPr>
          <w:szCs w:val="20"/>
        </w:rPr>
      </w:pPr>
      <w:r>
        <w:t>EKES</w:t>
      </w:r>
    </w:p>
    <w:p w14:paraId="196A3E11" w14:textId="77777777" w:rsidR="00067C7B" w:rsidRPr="00FA584E" w:rsidRDefault="00067C7B" w:rsidP="00B1108D">
      <w:pPr>
        <w:overflowPunct w:val="0"/>
        <w:autoSpaceDE w:val="0"/>
        <w:autoSpaceDN w:val="0"/>
        <w:adjustRightInd w:val="0"/>
        <w:spacing w:line="240" w:lineRule="auto"/>
        <w:textAlignment w:val="baseline"/>
        <w:rPr>
          <w:szCs w:val="20"/>
          <w:lang w:val="en-GB"/>
        </w:rPr>
      </w:pPr>
    </w:p>
    <w:p w14:paraId="70F40040"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Europejski Komitet Ekonomiczno-Społeczny (EKES) z zadowoleniem przyjmuje proponowane przez Komisję Europejską (KE) zmiany zawarte we wniosku COM(2025) 553 </w:t>
      </w:r>
      <w:proofErr w:type="spellStart"/>
      <w:r>
        <w:t>final</w:t>
      </w:r>
      <w:proofErr w:type="spellEnd"/>
      <w:r>
        <w:t xml:space="preserve"> – 2025/0237(COD) dotyczącym przeglądu wspólnej organizacji rynków rolnych (WORR).</w:t>
      </w:r>
    </w:p>
    <w:p w14:paraId="5BBA840B"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Wskazuje, że istnieje</w:t>
      </w:r>
      <w:r>
        <w:rPr>
          <w:b/>
        </w:rPr>
        <w:t xml:space="preserve"> rozbieżność pomiędzy ambicjami</w:t>
      </w:r>
      <w:r>
        <w:t xml:space="preserve"> wyrażonymi we wnioskach – które dają państwom członkowskim możliwość wprowadzania nowych interwencji sektorowych – a </w:t>
      </w:r>
      <w:r>
        <w:rPr>
          <w:b/>
        </w:rPr>
        <w:t>faktem, że proponowany budżet zarezerwowany dla WPR jest niższy od obecnego</w:t>
      </w:r>
      <w:r>
        <w:t xml:space="preserve"> oraz że państwa członkowskie wzywa się do współfinansowania interwencji, co dotychczas nie dotyczyło sektora owoców i warzyw. Może to również zagrażać funkcjonowaniu rynku wewnętrznego.</w:t>
      </w:r>
    </w:p>
    <w:p w14:paraId="1D68904F"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Docenia wysiłki podjęte przez Komisję w celu </w:t>
      </w:r>
      <w:r>
        <w:rPr>
          <w:b/>
        </w:rPr>
        <w:t>uproszczenia różnych aspektów rozporządzenia o wspólnej organizacji rynków produktów rolnych.</w:t>
      </w:r>
      <w:r>
        <w:t xml:space="preserve"> Mają one ułatwiać zrozumienie rozporządzenia, sprzyjać jego rozwojowi i wdrażaniu i tym samym usprawniać funkcjonowanie różnych środków w celu poprawy sytuacji rolników oraz innych podmiotów w łańcuchu rolno-spożywczym. Obecne interwencje sektorowe będą kontynuowane po zakończeniu bieżącego okresu budżetowego i że w związku z tym konieczne jest wprowadzenie przepisów przejściowych.</w:t>
      </w:r>
    </w:p>
    <w:p w14:paraId="4F74F945"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Podkreśla potrzebę wyraźnego uznania </w:t>
      </w:r>
      <w:r>
        <w:rPr>
          <w:b/>
        </w:rPr>
        <w:t>zasadniczego i strategicznego charakteru sektora rolno-spożywczego</w:t>
      </w:r>
      <w:r>
        <w:t>. Protokoły awaryjne dotyczące kryzysów i sytuacji wyjątkowych, które państwa członkowskie mają opracować, powinny uwzględniać tę zasadę i zapewniać, aby organy publiczne były zobowiązane do ułatwiania działalności wszystkich podmiotów sektora w czasie kryzysów. Jest to niezbędne, by zagwarantować nieprzerwane zaopatrzenie w żywność oraz rozwiać obawy europejskich obywatelek i obywateli, zapobiegając tym samym zbędnemu gromadzeniu żywności oraz związanym z tym problemom bezpieczeństwa.</w:t>
      </w:r>
    </w:p>
    <w:p w14:paraId="558BAC59" w14:textId="52F7B8FA"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rPr>
          <w:spacing w:val="-4"/>
        </w:rPr>
      </w:pPr>
      <w:r>
        <w:t xml:space="preserve">Ponownie podkreśla </w:t>
      </w:r>
      <w:r>
        <w:rPr>
          <w:b/>
        </w:rPr>
        <w:t>potrzebę przejrzystości</w:t>
      </w:r>
      <w:r>
        <w:t xml:space="preserve"> odnośnie do składu produktów spożywczych i</w:t>
      </w:r>
      <w:r w:rsidR="00B1108D">
        <w:t> </w:t>
      </w:r>
      <w:r>
        <w:t>zapewnienia konsumentom łatwego dostępu do tych informacji. Ponadto uznaje wysiłki Komisji Europejskiej dotyczące nazw produktów mięsnych, lecz ostrzega przed ryzykiem negatywnego wpływu niektórych środków mających na celu ochronę konkretnych sektorów produkcji na inne równie istotne sektory.</w:t>
      </w:r>
    </w:p>
    <w:p w14:paraId="6A5FBBD4" w14:textId="467ECC38"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Zwraca się do Komisji o </w:t>
      </w:r>
      <w:r>
        <w:rPr>
          <w:b/>
        </w:rPr>
        <w:t>zezwolenie na wykorzystanie całej rośliny konopi</w:t>
      </w:r>
      <w:r>
        <w:t>, w tym kwiatów, oraz o uproszczenie dozoru poprzez danie pierwszeństwa kontrolom administracyjnym i ograniczenie inspekcji na miejscu. EKES popiera skuteczne, proporcjonalne i sprawdzone empirycznie rozporządzenie, w związku z czym apeluje do Komisji o ponowne rozważenie tych zmian i przyjęcie podejścia opartego na ryzyku, które umożliwi wykorzystywanie liści konopi oraz słomy konopnej jako materiałów paszowych, pod warunkiem że pochodzą one z odmian zgodnych z WPR (o</w:t>
      </w:r>
      <w:r w:rsidR="00B1108D">
        <w:t> </w:t>
      </w:r>
      <w:r>
        <w:t>zawartości Δ9-Tetrahydrokannabinolu (THC) poniżej 0,3 %).</w:t>
      </w:r>
    </w:p>
    <w:p w14:paraId="75B5AAA0" w14:textId="77777777" w:rsidR="00FA584E" w:rsidRPr="00FA584E" w:rsidRDefault="00FA584E" w:rsidP="00FA584E">
      <w:pPr>
        <w:widowControl w:val="0"/>
        <w:overflowPunct w:val="0"/>
        <w:autoSpaceDE w:val="0"/>
        <w:autoSpaceDN w:val="0"/>
        <w:adjustRightInd w:val="0"/>
        <w:textAlignment w:val="baseline"/>
        <w:rPr>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1B8B267C" w14:textId="77777777" w:rsidTr="0017523E">
        <w:tc>
          <w:tcPr>
            <w:tcW w:w="1077" w:type="pct"/>
          </w:tcPr>
          <w:p w14:paraId="555FAA91" w14:textId="77777777" w:rsidR="00FA584E" w:rsidRPr="00FA584E" w:rsidRDefault="00FA584E" w:rsidP="00FA584E">
            <w:pPr>
              <w:overflowPunct w:val="0"/>
              <w:autoSpaceDE w:val="0"/>
              <w:autoSpaceDN w:val="0"/>
              <w:adjustRightInd w:val="0"/>
              <w:textAlignment w:val="baseline"/>
              <w:rPr>
                <w:i/>
                <w:iCs/>
              </w:rPr>
            </w:pPr>
            <w:r>
              <w:rPr>
                <w:b/>
                <w:i/>
              </w:rPr>
              <w:t>Kontakt</w:t>
            </w:r>
          </w:p>
        </w:tc>
        <w:tc>
          <w:tcPr>
            <w:tcW w:w="3923" w:type="pct"/>
          </w:tcPr>
          <w:p w14:paraId="521F72FD" w14:textId="77777777" w:rsidR="00FA584E" w:rsidRPr="00FA584E" w:rsidRDefault="00FA584E" w:rsidP="00FA584E">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p>
        </w:tc>
      </w:tr>
      <w:tr w:rsidR="00FA584E" w:rsidRPr="00FA584E" w14:paraId="10F8BCAF" w14:textId="77777777" w:rsidTr="0017523E">
        <w:tc>
          <w:tcPr>
            <w:tcW w:w="1077" w:type="pct"/>
          </w:tcPr>
          <w:p w14:paraId="44501CF7" w14:textId="77777777" w:rsidR="00FA584E" w:rsidRPr="00FA584E" w:rsidRDefault="00FA584E" w:rsidP="00FA584E">
            <w:pPr>
              <w:overflowPunct w:val="0"/>
              <w:autoSpaceDE w:val="0"/>
              <w:autoSpaceDN w:val="0"/>
              <w:adjustRightInd w:val="0"/>
              <w:textAlignment w:val="baseline"/>
              <w:rPr>
                <w:i/>
              </w:rPr>
            </w:pPr>
            <w:r>
              <w:rPr>
                <w:i/>
              </w:rPr>
              <w:t>Tel.:</w:t>
            </w:r>
          </w:p>
        </w:tc>
        <w:tc>
          <w:tcPr>
            <w:tcW w:w="3923" w:type="pct"/>
          </w:tcPr>
          <w:p w14:paraId="5074193B" w14:textId="77777777" w:rsidR="00FA584E" w:rsidRPr="00FA584E" w:rsidRDefault="00FA584E" w:rsidP="00FA584E">
            <w:pPr>
              <w:overflowPunct w:val="0"/>
              <w:autoSpaceDE w:val="0"/>
              <w:autoSpaceDN w:val="0"/>
              <w:adjustRightInd w:val="0"/>
              <w:textAlignment w:val="baseline"/>
              <w:rPr>
                <w:i/>
              </w:rPr>
            </w:pPr>
            <w:r>
              <w:rPr>
                <w:i/>
              </w:rPr>
              <w:t>+32 25468718</w:t>
            </w:r>
          </w:p>
        </w:tc>
      </w:tr>
      <w:tr w:rsidR="00FA584E" w:rsidRPr="00FA584E" w14:paraId="1379B104" w14:textId="77777777" w:rsidTr="0017523E">
        <w:tc>
          <w:tcPr>
            <w:tcW w:w="1077" w:type="pct"/>
          </w:tcPr>
          <w:p w14:paraId="316B4DA8" w14:textId="77777777" w:rsidR="00FA584E" w:rsidRPr="00FA584E" w:rsidRDefault="00FA584E" w:rsidP="00FA584E">
            <w:pPr>
              <w:overflowPunct w:val="0"/>
              <w:autoSpaceDE w:val="0"/>
              <w:autoSpaceDN w:val="0"/>
              <w:adjustRightInd w:val="0"/>
              <w:textAlignment w:val="baseline"/>
              <w:rPr>
                <w:i/>
              </w:rPr>
            </w:pPr>
            <w:r>
              <w:rPr>
                <w:i/>
              </w:rPr>
              <w:t>e-mail:</w:t>
            </w:r>
          </w:p>
        </w:tc>
        <w:tc>
          <w:tcPr>
            <w:tcW w:w="3923" w:type="pct"/>
          </w:tcPr>
          <w:p w14:paraId="7C8EF5D4" w14:textId="77777777" w:rsidR="00FA584E" w:rsidRPr="00FA584E" w:rsidRDefault="00C93EBC" w:rsidP="00FA584E">
            <w:pPr>
              <w:overflowPunct w:val="0"/>
              <w:autoSpaceDE w:val="0"/>
              <w:autoSpaceDN w:val="0"/>
              <w:adjustRightInd w:val="0"/>
              <w:textAlignment w:val="baseline"/>
              <w:rPr>
                <w:i/>
                <w:iCs/>
              </w:rPr>
            </w:pPr>
            <w:hyperlink r:id="rId58" w:history="1">
              <w:r w:rsidR="00036171">
                <w:rPr>
                  <w:i/>
                  <w:color w:val="0000FF"/>
                  <w:u w:val="single"/>
                </w:rPr>
                <w:t>Myrto.Kolyva@eesc.europa.eu</w:t>
              </w:r>
            </w:hyperlink>
          </w:p>
        </w:tc>
      </w:tr>
    </w:tbl>
    <w:p w14:paraId="776C5E28" w14:textId="77777777" w:rsidR="00FD7E5A" w:rsidRPr="00B1108D" w:rsidRDefault="00FD7E5A" w:rsidP="00B1108D">
      <w:pPr>
        <w:spacing w:line="259" w:lineRule="auto"/>
        <w:jc w:val="left"/>
        <w:rPr>
          <w:sz w:val="2"/>
          <w:szCs w:val="2"/>
        </w:rPr>
      </w:pPr>
      <w:r w:rsidRPr="00B1108D">
        <w:rPr>
          <w:sz w:val="2"/>
          <w:szCs w:val="2"/>
        </w:rPr>
        <w:br w:type="page"/>
      </w:r>
    </w:p>
    <w:p w14:paraId="241048C3" w14:textId="77692F82" w:rsidR="00293E88" w:rsidRPr="00293E88" w:rsidRDefault="00C93EBC" w:rsidP="00293E88">
      <w:pPr>
        <w:numPr>
          <w:ilvl w:val="0"/>
          <w:numId w:val="26"/>
        </w:numPr>
        <w:overflowPunct w:val="0"/>
        <w:autoSpaceDE w:val="0"/>
        <w:autoSpaceDN w:val="0"/>
        <w:adjustRightInd w:val="0"/>
        <w:spacing w:line="276" w:lineRule="auto"/>
        <w:ind w:left="567" w:hanging="567"/>
        <w:contextualSpacing/>
        <w:textAlignment w:val="baseline"/>
        <w:rPr>
          <w:i/>
          <w:iCs/>
        </w:rPr>
      </w:pPr>
      <w:hyperlink r:id="rId59" w:history="1">
        <w:r w:rsidR="00036171">
          <w:rPr>
            <w:b/>
            <w:i/>
            <w:color w:val="0000FF"/>
            <w:sz w:val="28"/>
            <w:u w:val="single"/>
          </w:rPr>
          <w:t>Reforma wspólnej polityki rybołówstwa</w:t>
        </w:r>
      </w:hyperlink>
    </w:p>
    <w:p w14:paraId="1FC432BE" w14:textId="77777777" w:rsidR="00293E88" w:rsidRPr="00034B03" w:rsidRDefault="00293E88" w:rsidP="00293E88">
      <w:pPr>
        <w:widowControl w:val="0"/>
        <w:overflowPunct w:val="0"/>
        <w:autoSpaceDE w:val="0"/>
        <w:autoSpaceDN w:val="0"/>
        <w:adjustRightInd w:val="0"/>
        <w:ind w:left="567"/>
        <w:textAlignment w:val="baseline"/>
        <w:rPr>
          <w:bCs/>
          <w:sz w:val="20"/>
          <w:szCs w:val="20"/>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5683"/>
      </w:tblGrid>
      <w:tr w:rsidR="00293E88" w:rsidRPr="00034B03" w14:paraId="291C17F1" w14:textId="77777777" w:rsidTr="00B1108D">
        <w:tc>
          <w:tcPr>
            <w:tcW w:w="2114" w:type="dxa"/>
          </w:tcPr>
          <w:p w14:paraId="44DB5B98" w14:textId="77777777" w:rsidR="00293E88" w:rsidRPr="00034B03" w:rsidRDefault="00293E88" w:rsidP="00293E88">
            <w:pPr>
              <w:tabs>
                <w:tab w:val="center" w:pos="284"/>
              </w:tabs>
              <w:overflowPunct w:val="0"/>
              <w:autoSpaceDE w:val="0"/>
              <w:autoSpaceDN w:val="0"/>
              <w:adjustRightInd w:val="0"/>
              <w:ind w:left="266" w:hanging="266"/>
              <w:textAlignment w:val="baseline"/>
              <w:rPr>
                <w:b/>
              </w:rPr>
            </w:pPr>
            <w:r w:rsidRPr="00034B03">
              <w:rPr>
                <w:b/>
              </w:rPr>
              <w:t>Sprawozdawca</w:t>
            </w:r>
          </w:p>
        </w:tc>
        <w:tc>
          <w:tcPr>
            <w:tcW w:w="5683" w:type="dxa"/>
          </w:tcPr>
          <w:p w14:paraId="2E55B561" w14:textId="77777777" w:rsidR="00293E88" w:rsidRPr="00034B03" w:rsidRDefault="00293E88" w:rsidP="002C2DFE">
            <w:r w:rsidRPr="00034B03">
              <w:t>Javier GARAT PÉREZ (Grupa Organizacji Społeczeństwa - ES)</w:t>
            </w:r>
          </w:p>
        </w:tc>
      </w:tr>
      <w:tr w:rsidR="00293E88" w:rsidRPr="00034B03" w14:paraId="69ECA24A" w14:textId="77777777" w:rsidTr="00F94D46">
        <w:tc>
          <w:tcPr>
            <w:tcW w:w="7797" w:type="dxa"/>
            <w:gridSpan w:val="2"/>
          </w:tcPr>
          <w:p w14:paraId="35CF39E4" w14:textId="77777777" w:rsidR="00293E88" w:rsidRPr="00034B03" w:rsidRDefault="00293E88" w:rsidP="00293E88">
            <w:pPr>
              <w:tabs>
                <w:tab w:val="left" w:pos="2690"/>
              </w:tabs>
              <w:overflowPunct w:val="0"/>
              <w:autoSpaceDE w:val="0"/>
              <w:autoSpaceDN w:val="0"/>
              <w:adjustRightInd w:val="0"/>
              <w:spacing w:line="160" w:lineRule="exact"/>
              <w:ind w:left="266" w:hanging="266"/>
              <w:textAlignment w:val="baseline"/>
              <w:rPr>
                <w:lang w:val="fr-BE"/>
              </w:rPr>
            </w:pPr>
          </w:p>
        </w:tc>
      </w:tr>
      <w:tr w:rsidR="00293E88" w:rsidRPr="00034B03" w14:paraId="5FC9B4AD" w14:textId="77777777" w:rsidTr="00B1108D">
        <w:tc>
          <w:tcPr>
            <w:tcW w:w="2114" w:type="dxa"/>
          </w:tcPr>
          <w:p w14:paraId="361ACF25" w14:textId="75684021" w:rsidR="00293E88" w:rsidRPr="00034B03" w:rsidRDefault="00293E88" w:rsidP="00293E88">
            <w:pPr>
              <w:tabs>
                <w:tab w:val="center" w:pos="284"/>
              </w:tabs>
              <w:overflowPunct w:val="0"/>
              <w:autoSpaceDE w:val="0"/>
              <w:autoSpaceDN w:val="0"/>
              <w:adjustRightInd w:val="0"/>
              <w:ind w:left="266" w:hanging="266"/>
              <w:textAlignment w:val="baseline"/>
              <w:rPr>
                <w:b/>
              </w:rPr>
            </w:pPr>
            <w:r w:rsidRPr="00034B03">
              <w:rPr>
                <w:b/>
              </w:rPr>
              <w:t>Dokument źródłow</w:t>
            </w:r>
            <w:r w:rsidR="002E26A3">
              <w:rPr>
                <w:b/>
              </w:rPr>
              <w:t>y</w:t>
            </w:r>
          </w:p>
        </w:tc>
        <w:tc>
          <w:tcPr>
            <w:tcW w:w="5683" w:type="dxa"/>
          </w:tcPr>
          <w:p w14:paraId="44EE16D0" w14:textId="00B49DFC" w:rsidR="00E5346F" w:rsidRPr="00034B03" w:rsidRDefault="00E5346F" w:rsidP="00293E88">
            <w:pPr>
              <w:tabs>
                <w:tab w:val="center" w:pos="284"/>
              </w:tabs>
              <w:overflowPunct w:val="0"/>
              <w:autoSpaceDE w:val="0"/>
              <w:autoSpaceDN w:val="0"/>
              <w:adjustRightInd w:val="0"/>
              <w:ind w:left="266" w:hanging="266"/>
              <w:textAlignment w:val="baseline"/>
            </w:pPr>
            <w:r w:rsidRPr="00034B03">
              <w:t xml:space="preserve">COM(2025) 559 </w:t>
            </w:r>
            <w:proofErr w:type="spellStart"/>
            <w:r w:rsidRPr="00034B03">
              <w:t>final</w:t>
            </w:r>
            <w:proofErr w:type="spellEnd"/>
          </w:p>
          <w:p w14:paraId="3D898540" w14:textId="568F5A96" w:rsidR="00293E88" w:rsidRPr="00034B03" w:rsidRDefault="00293E88" w:rsidP="00293E88">
            <w:pPr>
              <w:tabs>
                <w:tab w:val="center" w:pos="284"/>
              </w:tabs>
              <w:overflowPunct w:val="0"/>
              <w:autoSpaceDE w:val="0"/>
              <w:autoSpaceDN w:val="0"/>
              <w:adjustRightInd w:val="0"/>
              <w:ind w:left="266" w:hanging="266"/>
              <w:textAlignment w:val="baseline"/>
            </w:pPr>
            <w:r w:rsidRPr="00034B03">
              <w:t>EESC-2025-03072-00-00-AC</w:t>
            </w:r>
          </w:p>
        </w:tc>
      </w:tr>
    </w:tbl>
    <w:p w14:paraId="5825352D" w14:textId="77777777" w:rsidR="00293E88" w:rsidRPr="00293E88" w:rsidRDefault="00293E88" w:rsidP="00293E88">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
        </w:rPr>
      </w:pPr>
      <w:r>
        <w:rPr>
          <w:b/>
        </w:rPr>
        <w:t>Główne punkty</w:t>
      </w:r>
    </w:p>
    <w:p w14:paraId="1358E9C2"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550C6D6D" w14:textId="77777777" w:rsidR="00293E88" w:rsidRDefault="00293E88" w:rsidP="00293E88">
      <w:pPr>
        <w:overflowPunct w:val="0"/>
        <w:autoSpaceDE w:val="0"/>
        <w:autoSpaceDN w:val="0"/>
        <w:adjustRightInd w:val="0"/>
        <w:spacing w:line="240" w:lineRule="auto"/>
        <w:textAlignment w:val="baseline"/>
        <w:rPr>
          <w:bCs/>
          <w:iCs/>
        </w:rPr>
      </w:pPr>
      <w:r>
        <w:t>EKES</w:t>
      </w:r>
    </w:p>
    <w:p w14:paraId="6B7E7A26" w14:textId="77777777" w:rsidR="008A001E" w:rsidRPr="00293E88" w:rsidRDefault="008A001E" w:rsidP="00293E88">
      <w:pPr>
        <w:overflowPunct w:val="0"/>
        <w:autoSpaceDE w:val="0"/>
        <w:autoSpaceDN w:val="0"/>
        <w:adjustRightInd w:val="0"/>
        <w:spacing w:line="240" w:lineRule="auto"/>
        <w:textAlignment w:val="baseline"/>
        <w:rPr>
          <w:bCs/>
          <w:iCs/>
          <w:lang w:val="en-GB"/>
        </w:rPr>
      </w:pPr>
    </w:p>
    <w:p w14:paraId="58CEC00B" w14:textId="7F31F472" w:rsidR="00293E88" w:rsidRPr="003272E1" w:rsidRDefault="00293E88" w:rsidP="003272E1">
      <w:pPr>
        <w:pStyle w:val="ListParagraph"/>
        <w:numPr>
          <w:ilvl w:val="0"/>
          <w:numId w:val="59"/>
        </w:numPr>
        <w:ind w:left="357" w:hanging="357"/>
      </w:pPr>
      <w:bookmarkStart w:id="57" w:name="_Toc220082188"/>
      <w:r w:rsidRPr="003272E1">
        <w:t>Wzywa, by zagwarantowano przydzielenie 6,10 mld EUR na realizację wspólnej polityki rybołówstwa (</w:t>
      </w:r>
      <w:proofErr w:type="spellStart"/>
      <w:r w:rsidRPr="003272E1">
        <w:t>WPRyb</w:t>
      </w:r>
      <w:proofErr w:type="spellEnd"/>
      <w:r w:rsidRPr="003272E1">
        <w:t>) zgodnie z obecnym budżetem na lata 2021–2027 w celu zachowania jednej z nielicznych wyłącznych kompetencji UE oraz uniknięcia konkurencji z innymi sektorami i</w:t>
      </w:r>
      <w:r w:rsidR="002E26A3">
        <w:t> </w:t>
      </w:r>
      <w:r w:rsidRPr="003272E1">
        <w:t>interesami. Specjalny rozdział powinien dotyczyć rybołówstwa, zapewniając odpowiednie inwestycje publiczne i pewność prawa dla podmiotów gospodarczych;</w:t>
      </w:r>
      <w:bookmarkEnd w:id="57"/>
    </w:p>
    <w:p w14:paraId="0EAA50D9" w14:textId="358A2B38" w:rsidR="00293E88" w:rsidRPr="003272E1" w:rsidRDefault="00293E88" w:rsidP="003272E1">
      <w:pPr>
        <w:pStyle w:val="ListParagraph"/>
        <w:numPr>
          <w:ilvl w:val="0"/>
          <w:numId w:val="59"/>
        </w:numPr>
        <w:ind w:left="357" w:hanging="357"/>
      </w:pPr>
      <w:bookmarkStart w:id="58" w:name="_Toc220082189"/>
      <w:r w:rsidRPr="003272E1">
        <w:t>Wyraża zaniepokojenie, że najwyraźniej priorytet nadano realizacji celów niewiążącego Europejskiego paktu na rzecz wszechoceanu, zamiast postawienia na pierwszym miejscu udziału w</w:t>
      </w:r>
      <w:r w:rsidR="002E26A3">
        <w:t> </w:t>
      </w:r>
      <w:r w:rsidRPr="003272E1">
        <w:t xml:space="preserve">realizacji celów </w:t>
      </w:r>
      <w:proofErr w:type="spellStart"/>
      <w:r w:rsidRPr="003272E1">
        <w:t>WPRyb</w:t>
      </w:r>
      <w:proofErr w:type="spellEnd"/>
      <w:r w:rsidRPr="003272E1">
        <w:t xml:space="preserve">, co przewidziano w Traktacie o funkcjonowaniu Unii Europejskiej oraz w rozporządzeniu w sprawie </w:t>
      </w:r>
      <w:proofErr w:type="spellStart"/>
      <w:r w:rsidRPr="003272E1">
        <w:t>WPRyb</w:t>
      </w:r>
      <w:proofErr w:type="spellEnd"/>
      <w:r w:rsidRPr="003272E1">
        <w:t>.</w:t>
      </w:r>
      <w:bookmarkEnd w:id="58"/>
    </w:p>
    <w:p w14:paraId="36EC490F" w14:textId="77777777" w:rsidR="00293E88" w:rsidRPr="003272E1" w:rsidRDefault="00293E88" w:rsidP="003272E1">
      <w:pPr>
        <w:pStyle w:val="ListParagraph"/>
        <w:numPr>
          <w:ilvl w:val="0"/>
          <w:numId w:val="59"/>
        </w:numPr>
        <w:ind w:left="357" w:hanging="357"/>
      </w:pPr>
      <w:bookmarkStart w:id="59" w:name="_Toc220082190"/>
      <w:r w:rsidRPr="003272E1">
        <w:t xml:space="preserve">Z zadowoleniem przyjmuje propozycję wzmocnienia spójności i synergii z powiązanymi inicjatywami i funduszami takimi jak program LIFE, Globalny wymiar Europy oraz program na rzecz konkurencyjności, aby uniknąć dublowania wysiłków i zmaksymalizować wpływ inwestycji publicznych. Wzywa jednak KE do dopilnowania, by rządy dokonały inwestycji niezbędnych do osiągnięcia celów </w:t>
      </w:r>
      <w:proofErr w:type="spellStart"/>
      <w:r w:rsidRPr="003272E1">
        <w:t>WPRyb</w:t>
      </w:r>
      <w:proofErr w:type="spellEnd"/>
      <w:r w:rsidRPr="003272E1">
        <w:t>.</w:t>
      </w:r>
      <w:bookmarkEnd w:id="59"/>
    </w:p>
    <w:p w14:paraId="21BB8F14" w14:textId="77777777" w:rsidR="00293E88" w:rsidRPr="003272E1" w:rsidRDefault="00293E88" w:rsidP="003272E1">
      <w:pPr>
        <w:pStyle w:val="ListParagraph"/>
        <w:numPr>
          <w:ilvl w:val="0"/>
          <w:numId w:val="59"/>
        </w:numPr>
        <w:ind w:left="357" w:hanging="357"/>
      </w:pPr>
      <w:bookmarkStart w:id="60" w:name="_Toc220082191"/>
      <w:r w:rsidRPr="003272E1">
        <w:t>Podkreśla potrzebę sporządzenia elastyczniejszej definicji łodziowego rybołówstwa przybrzeżnego na podstawie kryteriów ustanowionych przez Organizację Narodów Zjednoczonych ds. Wyżywienia i Rolnictwa (FAO) oraz przez regionalne organizacje ds. zarządzania rybołówstwem (RFMO).</w:t>
      </w:r>
      <w:bookmarkEnd w:id="60"/>
    </w:p>
    <w:p w14:paraId="336CC8CF" w14:textId="77777777" w:rsidR="00293E88" w:rsidRPr="003272E1" w:rsidRDefault="00293E88" w:rsidP="003272E1">
      <w:pPr>
        <w:pStyle w:val="ListParagraph"/>
        <w:numPr>
          <w:ilvl w:val="0"/>
          <w:numId w:val="59"/>
        </w:numPr>
        <w:ind w:left="357" w:hanging="357"/>
      </w:pPr>
      <w:bookmarkStart w:id="61" w:name="_Toc220082192"/>
      <w:r w:rsidRPr="003272E1">
        <w:t>Zwraca uwagę, że konieczne jest, aby państwa członkowskie opracowały plany i środki mające na celu modernizację i odnowienie swoich statków, poprawę efektywności energetycznej, bezpieczeństwa na pokładzie i warunków pracy, bez zwiększania zdolności połowowej.</w:t>
      </w:r>
      <w:bookmarkEnd w:id="61"/>
    </w:p>
    <w:p w14:paraId="6F607F2B" w14:textId="3A793764" w:rsidR="00293E88" w:rsidRPr="003272E1" w:rsidRDefault="00293E88" w:rsidP="003272E1">
      <w:pPr>
        <w:pStyle w:val="ListParagraph"/>
        <w:numPr>
          <w:ilvl w:val="0"/>
          <w:numId w:val="59"/>
        </w:numPr>
        <w:ind w:left="357" w:hanging="357"/>
      </w:pPr>
      <w:bookmarkStart w:id="62" w:name="_Toc220082193"/>
      <w:r w:rsidRPr="003272E1">
        <w:t>Komitet przyjmuje z aprobatą to, że Komisja Europejska zamierza stworzyć prostą strukturę bez wyznaczania z góry i w zbyt nakazowy sposób szczegółowych środków na rzecz kwalifikowalności lub jej zasad na szczeblu Unii. Wzywa państwa członkowskie do zachowania ducha elastyczności i</w:t>
      </w:r>
      <w:r w:rsidR="002E26A3">
        <w:t> </w:t>
      </w:r>
      <w:r w:rsidRPr="003272E1">
        <w:t>uproszczenia przy opracowywaniu krajowych i regionalnych planów partnerstwa. Wzywa również do ustanowienia wytycznych dotyczących zasady „nie czyń poważnych szkód” mających zastosowanie we wszystkich sektorach.</w:t>
      </w:r>
      <w:bookmarkEnd w:id="62"/>
    </w:p>
    <w:p w14:paraId="63FB89E2" w14:textId="77777777" w:rsidR="00293E88" w:rsidRPr="003272E1" w:rsidRDefault="00293E88" w:rsidP="003272E1">
      <w:pPr>
        <w:pStyle w:val="ListParagraph"/>
        <w:numPr>
          <w:ilvl w:val="0"/>
          <w:numId w:val="59"/>
        </w:numPr>
        <w:ind w:left="357" w:hanging="357"/>
      </w:pPr>
      <w:bookmarkStart w:id="63" w:name="_Toc220082194"/>
      <w:r w:rsidRPr="003272E1">
        <w:t>Zgadza się, że niezbędne jest utrzymanie pewnej elastyczności podczas określania poziomów intensywności pomocy, by umożliwić państwom członkowskim dostosowanie ich PPKR do specyfiki ich sektorów i regionów.</w:t>
      </w:r>
      <w:bookmarkEnd w:id="63"/>
    </w:p>
    <w:p w14:paraId="43E58748" w14:textId="77777777" w:rsidR="00293E88" w:rsidRPr="003272E1" w:rsidRDefault="00293E88" w:rsidP="003272E1">
      <w:pPr>
        <w:pStyle w:val="ListParagraph"/>
        <w:numPr>
          <w:ilvl w:val="0"/>
          <w:numId w:val="59"/>
        </w:numPr>
        <w:ind w:left="357" w:hanging="357"/>
      </w:pPr>
      <w:bookmarkStart w:id="64" w:name="_Toc220082195"/>
      <w:r w:rsidRPr="003272E1">
        <w:t>Z zadowoleniem przyjmuje nowe uproszczenie i sformułowanie dotyczące operacji kwalifikujących się do pomocy państwa.</w:t>
      </w:r>
      <w:bookmarkEnd w:id="64"/>
    </w:p>
    <w:p w14:paraId="5783A960" w14:textId="77777777" w:rsidR="00293E88" w:rsidRPr="00293E88" w:rsidRDefault="00293E88" w:rsidP="00293E88">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293E88" w:rsidRPr="00293E88" w14:paraId="25485F86" w14:textId="77777777" w:rsidTr="00F94D46">
        <w:trPr>
          <w:trHeight w:val="300"/>
        </w:trPr>
        <w:tc>
          <w:tcPr>
            <w:tcW w:w="1755" w:type="dxa"/>
          </w:tcPr>
          <w:p w14:paraId="7105A801"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b/>
                <w:i/>
              </w:rPr>
              <w:t>Kontakt</w:t>
            </w:r>
          </w:p>
        </w:tc>
        <w:tc>
          <w:tcPr>
            <w:tcW w:w="5549" w:type="dxa"/>
          </w:tcPr>
          <w:p w14:paraId="010B304B" w14:textId="2F2A72BA" w:rsidR="00293E88" w:rsidRPr="00293E88" w:rsidRDefault="00293E88" w:rsidP="002C2DFE">
            <w:pPr>
              <w:overflowPunct w:val="0"/>
              <w:autoSpaceDE w:val="0"/>
              <w:autoSpaceDN w:val="0"/>
              <w:adjustRightInd w:val="0"/>
              <w:spacing w:line="240" w:lineRule="auto"/>
              <w:ind w:left="32" w:hanging="32"/>
              <w:textAlignment w:val="baseline"/>
              <w:rPr>
                <w:i/>
              </w:rPr>
            </w:pPr>
            <w:proofErr w:type="spellStart"/>
            <w:r>
              <w:t>Arturo</w:t>
            </w:r>
            <w:proofErr w:type="spellEnd"/>
            <w:r>
              <w:t xml:space="preserve"> </w:t>
            </w:r>
            <w:proofErr w:type="spellStart"/>
            <w:r>
              <w:t>Iñiguez</w:t>
            </w:r>
            <w:proofErr w:type="spellEnd"/>
          </w:p>
        </w:tc>
      </w:tr>
      <w:tr w:rsidR="00293E88" w:rsidRPr="00293E88" w14:paraId="4D96E028" w14:textId="77777777" w:rsidTr="00F94D46">
        <w:trPr>
          <w:trHeight w:val="300"/>
        </w:trPr>
        <w:tc>
          <w:tcPr>
            <w:tcW w:w="1755" w:type="dxa"/>
          </w:tcPr>
          <w:p w14:paraId="64856CF3"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Tel.:</w:t>
            </w:r>
          </w:p>
        </w:tc>
        <w:tc>
          <w:tcPr>
            <w:tcW w:w="5549" w:type="dxa"/>
          </w:tcPr>
          <w:p w14:paraId="6DB18060"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i/>
              </w:rPr>
              <w:t>+32 25468768</w:t>
            </w:r>
          </w:p>
        </w:tc>
      </w:tr>
      <w:tr w:rsidR="00293E88" w:rsidRPr="00293E88" w14:paraId="54631315" w14:textId="77777777" w:rsidTr="00F94D46">
        <w:trPr>
          <w:trHeight w:val="300"/>
        </w:trPr>
        <w:tc>
          <w:tcPr>
            <w:tcW w:w="1755" w:type="dxa"/>
          </w:tcPr>
          <w:p w14:paraId="30222CFC"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e-mail:</w:t>
            </w:r>
          </w:p>
        </w:tc>
        <w:tc>
          <w:tcPr>
            <w:tcW w:w="5549" w:type="dxa"/>
          </w:tcPr>
          <w:p w14:paraId="2A2479D8" w14:textId="77777777" w:rsidR="00293E88" w:rsidRPr="00293E88" w:rsidRDefault="00C93EBC" w:rsidP="002C2DFE">
            <w:pPr>
              <w:overflowPunct w:val="0"/>
              <w:autoSpaceDE w:val="0"/>
              <w:autoSpaceDN w:val="0"/>
              <w:adjustRightInd w:val="0"/>
              <w:spacing w:line="240" w:lineRule="auto"/>
              <w:ind w:left="32" w:hanging="32"/>
              <w:textAlignment w:val="baseline"/>
              <w:rPr>
                <w:i/>
                <w:iCs/>
                <w:color w:val="0000FF"/>
                <w:u w:val="single"/>
              </w:rPr>
            </w:pPr>
            <w:hyperlink r:id="rId60" w:history="1">
              <w:r w:rsidR="00036171">
                <w:rPr>
                  <w:i/>
                  <w:color w:val="0000FF"/>
                  <w:u w:val="single"/>
                </w:rPr>
                <w:t>Arturo.Iniguez@eesc.europa.eu</w:t>
              </w:r>
            </w:hyperlink>
          </w:p>
        </w:tc>
      </w:tr>
    </w:tbl>
    <w:p w14:paraId="3B96DB68" w14:textId="77777777" w:rsidR="00DF1CA2" w:rsidRPr="002E26A3" w:rsidRDefault="00DF1CA2">
      <w:pPr>
        <w:spacing w:after="160" w:line="259" w:lineRule="auto"/>
        <w:jc w:val="left"/>
        <w:rPr>
          <w:sz w:val="6"/>
          <w:szCs w:val="6"/>
        </w:rPr>
      </w:pPr>
      <w:r w:rsidRPr="002E26A3">
        <w:rPr>
          <w:sz w:val="6"/>
          <w:szCs w:val="6"/>
        </w:rPr>
        <w:br w:type="page"/>
      </w:r>
    </w:p>
    <w:p w14:paraId="0C75BB64" w14:textId="65C60E09" w:rsidR="00E44B28" w:rsidRPr="00E44B28" w:rsidRDefault="00C93EBC" w:rsidP="00A704FE">
      <w:pPr>
        <w:widowControl w:val="0"/>
        <w:numPr>
          <w:ilvl w:val="0"/>
          <w:numId w:val="14"/>
        </w:numPr>
        <w:overflowPunct w:val="0"/>
        <w:autoSpaceDE w:val="0"/>
        <w:autoSpaceDN w:val="0"/>
        <w:adjustRightInd w:val="0"/>
        <w:ind w:hanging="567"/>
        <w:textAlignment w:val="baseline"/>
        <w:rPr>
          <w:sz w:val="20"/>
          <w:szCs w:val="20"/>
        </w:rPr>
      </w:pPr>
      <w:hyperlink r:id="rId61" w:history="1">
        <w:r w:rsidR="00036171">
          <w:rPr>
            <w:b/>
            <w:i/>
            <w:color w:val="0000FF"/>
            <w:sz w:val="28"/>
            <w:u w:val="single"/>
          </w:rPr>
          <w:t>Wspólna polityka rolna (WPR) po 2027 r.</w:t>
        </w:r>
      </w:hyperlink>
    </w:p>
    <w:p w14:paraId="77D09BD6"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7056"/>
      </w:tblGrid>
      <w:tr w:rsidR="00E44B28" w:rsidRPr="00E44B28" w14:paraId="69985C55" w14:textId="77777777" w:rsidTr="003C4E9F">
        <w:tc>
          <w:tcPr>
            <w:tcW w:w="1077" w:type="pct"/>
          </w:tcPr>
          <w:p w14:paraId="49F50806"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Sprawozdawca</w:t>
            </w:r>
          </w:p>
        </w:tc>
        <w:tc>
          <w:tcPr>
            <w:tcW w:w="3923" w:type="pct"/>
          </w:tcPr>
          <w:p w14:paraId="5841A65E" w14:textId="7A156714" w:rsidR="00E44B28" w:rsidRPr="00E44B28" w:rsidRDefault="00E44B28" w:rsidP="00E44B28">
            <w:pPr>
              <w:tabs>
                <w:tab w:val="center" w:pos="284"/>
              </w:tabs>
              <w:overflowPunct w:val="0"/>
              <w:autoSpaceDE w:val="0"/>
              <w:autoSpaceDN w:val="0"/>
              <w:adjustRightInd w:val="0"/>
              <w:ind w:left="266" w:right="-3091" w:hanging="266"/>
              <w:textAlignment w:val="baseline"/>
            </w:pPr>
            <w:r>
              <w:t>Joe HEALY (Grupa Organizacji Społeczeństwa Obywatelskiego – IE)</w:t>
            </w:r>
          </w:p>
        </w:tc>
      </w:tr>
      <w:tr w:rsidR="00E44B28" w:rsidRPr="00E44B28" w14:paraId="01D5FBAB" w14:textId="77777777" w:rsidTr="003C4E9F">
        <w:tc>
          <w:tcPr>
            <w:tcW w:w="1077" w:type="pct"/>
          </w:tcPr>
          <w:p w14:paraId="151B1035"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3923" w:type="pct"/>
          </w:tcPr>
          <w:p w14:paraId="0F4780AB" w14:textId="2220551E" w:rsidR="00E44B28" w:rsidRDefault="00E44B28" w:rsidP="00E44B28">
            <w:pPr>
              <w:tabs>
                <w:tab w:val="center" w:pos="284"/>
              </w:tabs>
              <w:overflowPunct w:val="0"/>
              <w:autoSpaceDE w:val="0"/>
              <w:autoSpaceDN w:val="0"/>
              <w:adjustRightInd w:val="0"/>
              <w:ind w:left="266" w:right="-3091" w:hanging="266"/>
              <w:textAlignment w:val="baseline"/>
            </w:pPr>
            <w:r>
              <w:t>Arnold PUECH D’ALISSAC (Grupa Pracodawców – FR)</w:t>
            </w:r>
          </w:p>
          <w:p w14:paraId="4A49873D" w14:textId="04A31EF9" w:rsidR="00DB7317" w:rsidRPr="00E44B28" w:rsidRDefault="00DB7317" w:rsidP="00E44B28">
            <w:pPr>
              <w:tabs>
                <w:tab w:val="center" w:pos="284"/>
              </w:tabs>
              <w:overflowPunct w:val="0"/>
              <w:autoSpaceDE w:val="0"/>
              <w:autoSpaceDN w:val="0"/>
              <w:adjustRightInd w:val="0"/>
              <w:ind w:left="266" w:right="-3091" w:hanging="266"/>
              <w:textAlignment w:val="baseline"/>
            </w:pPr>
          </w:p>
        </w:tc>
      </w:tr>
      <w:tr w:rsidR="00E44B28" w:rsidRPr="00E44B28" w14:paraId="3653BB81" w14:textId="77777777" w:rsidTr="003C4E9F">
        <w:tc>
          <w:tcPr>
            <w:tcW w:w="1077" w:type="pct"/>
          </w:tcPr>
          <w:p w14:paraId="09246DB2" w14:textId="574ED3A4"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Dokument źródłowy</w:t>
            </w:r>
          </w:p>
        </w:tc>
        <w:tc>
          <w:tcPr>
            <w:tcW w:w="3923" w:type="pct"/>
          </w:tcPr>
          <w:p w14:paraId="4E4C81C6" w14:textId="3D906DAF" w:rsidR="00DB7317" w:rsidRDefault="00DB7317" w:rsidP="00E44B28">
            <w:pPr>
              <w:tabs>
                <w:tab w:val="center" w:pos="284"/>
              </w:tabs>
              <w:overflowPunct w:val="0"/>
              <w:autoSpaceDE w:val="0"/>
              <w:autoSpaceDN w:val="0"/>
              <w:adjustRightInd w:val="0"/>
              <w:ind w:left="266" w:right="-3091" w:hanging="266"/>
              <w:textAlignment w:val="baseline"/>
            </w:pPr>
            <w:r>
              <w:t xml:space="preserve">COM(2025) 560 </w:t>
            </w:r>
            <w:proofErr w:type="spellStart"/>
            <w:r>
              <w:t>final</w:t>
            </w:r>
            <w:proofErr w:type="spellEnd"/>
          </w:p>
          <w:p w14:paraId="5590FD56" w14:textId="4D6E1446" w:rsidR="00E44B28" w:rsidRPr="00E44B28" w:rsidRDefault="00E44B28" w:rsidP="00E44B28">
            <w:pPr>
              <w:tabs>
                <w:tab w:val="center" w:pos="284"/>
              </w:tabs>
              <w:overflowPunct w:val="0"/>
              <w:autoSpaceDE w:val="0"/>
              <w:autoSpaceDN w:val="0"/>
              <w:adjustRightInd w:val="0"/>
              <w:ind w:left="266" w:right="-3091" w:hanging="266"/>
              <w:textAlignment w:val="baseline"/>
            </w:pPr>
            <w:r>
              <w:t>EESC-2025-02581-00-00-AC</w:t>
            </w:r>
          </w:p>
        </w:tc>
      </w:tr>
    </w:tbl>
    <w:p w14:paraId="454D044D"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E44B28">
      <w:pPr>
        <w:keepNext/>
        <w:keepLines/>
        <w:tabs>
          <w:tab w:val="center" w:pos="284"/>
        </w:tabs>
        <w:overflowPunct w:val="0"/>
        <w:autoSpaceDE w:val="0"/>
        <w:autoSpaceDN w:val="0"/>
        <w:adjustRightInd w:val="0"/>
        <w:ind w:left="266" w:hanging="266"/>
        <w:textAlignment w:val="baseline"/>
        <w:rPr>
          <w:b/>
          <w:bCs/>
          <w:szCs w:val="20"/>
        </w:rPr>
      </w:pPr>
      <w:r>
        <w:rPr>
          <w:b/>
        </w:rPr>
        <w:t>Główne punkty</w:t>
      </w:r>
    </w:p>
    <w:p w14:paraId="71E69B34" w14:textId="77777777" w:rsidR="00170C1F" w:rsidRPr="00E44B28" w:rsidRDefault="00170C1F" w:rsidP="00E44B28">
      <w:pPr>
        <w:keepNext/>
        <w:keepLines/>
        <w:tabs>
          <w:tab w:val="center" w:pos="284"/>
        </w:tabs>
        <w:overflowPunct w:val="0"/>
        <w:autoSpaceDE w:val="0"/>
        <w:autoSpaceDN w:val="0"/>
        <w:adjustRightInd w:val="0"/>
        <w:ind w:left="266" w:hanging="266"/>
        <w:textAlignment w:val="baseline"/>
        <w:rPr>
          <w:b/>
          <w:lang w:val="en-GB"/>
        </w:rPr>
      </w:pPr>
    </w:p>
    <w:p w14:paraId="545C8A44" w14:textId="77777777" w:rsidR="00E44B28" w:rsidRDefault="00E44B28" w:rsidP="002C2DFE">
      <w:pPr>
        <w:overflowPunct w:val="0"/>
        <w:autoSpaceDE w:val="0"/>
        <w:autoSpaceDN w:val="0"/>
        <w:adjustRightInd w:val="0"/>
        <w:spacing w:line="276" w:lineRule="auto"/>
        <w:textAlignment w:val="baseline"/>
        <w:rPr>
          <w:szCs w:val="20"/>
        </w:rPr>
      </w:pPr>
      <w:r>
        <w:t>Europejski Komitet Ekonomiczno-Społeczny (EKES)</w:t>
      </w:r>
    </w:p>
    <w:p w14:paraId="70851B32" w14:textId="77777777" w:rsidR="00170C1F" w:rsidRPr="00E44B28" w:rsidRDefault="00170C1F" w:rsidP="002C2DFE">
      <w:pPr>
        <w:overflowPunct w:val="0"/>
        <w:autoSpaceDE w:val="0"/>
        <w:autoSpaceDN w:val="0"/>
        <w:adjustRightInd w:val="0"/>
        <w:spacing w:line="276" w:lineRule="auto"/>
        <w:textAlignment w:val="baseline"/>
        <w:rPr>
          <w:color w:val="000000" w:themeColor="text1"/>
          <w:lang w:val="en-GB"/>
        </w:rPr>
      </w:pPr>
    </w:p>
    <w:p w14:paraId="7D313B60"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odrzuca wniosek Komisji; Nie ma on żadnego celu kierunkowego, jasnych celów ani długoterminowej wizji dla rolnictwa UE poza narzuceniem znacznych cięć w budżecie WPR. </w:t>
      </w:r>
    </w:p>
    <w:p w14:paraId="64BFC88F"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wraca uwagę na ryzyko związane z koniecznością konkurowania o fundusze w ramach nowej struktury budżetu w związku z inwestycjami w rolnictwo i spójność. </w:t>
      </w:r>
    </w:p>
    <w:p w14:paraId="2C7E0B5D" w14:textId="63C0A584"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Apeluje o zwiększony, samodzielny i specjalny budżet WPR, odpowiednio dostosowany do inflacji i przywrócony do poziomu 0,5 % PKB UE. Powinno to obejmować bardziej ambitny wyodrębniony przydział środków dla obszarów wiejskich oraz silny przydział środków budżetowych na strategie wymiany pokoleniowej i ukierunkowane środki wsparcia dla nowych osób wchodzących na rynek i</w:t>
      </w:r>
      <w:r w:rsidR="002E044A">
        <w:t> </w:t>
      </w:r>
      <w:r>
        <w:t>kobiet będących rolnikami.</w:t>
      </w:r>
    </w:p>
    <w:p w14:paraId="7A86BA76" w14:textId="77777777" w:rsidR="00E44B28" w:rsidRPr="002C2DFE"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Uważa, że płatności bezpośrednie powinny być ograniczone do sprawiedliwego i rozsądnego poziomu dla indywidualnych rolników aktywnych zawodowo, popierając obowiązkowy próg 100 000 EUR zaproponowany przez Komisję Europejską, oraz że przy przyznawaniu płatności bezpośrednich Komisja nie powinna dyskryminować osób faktycznie aktywnych zawodowo ze względu na podeszły wiek lub status emerytalny, lecz powinna raczej zachęcać do stosowania ukierunkowanych systemów finansowych w celu ułatwienia przenoszenia własności gospodarstw rolnych ze starszych rolników i rolników emerytowanych na młodych rolników.</w:t>
      </w:r>
    </w:p>
    <w:p w14:paraId="1DAC2C3E"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Podkreśla, że WPR musi uzupełniać zasadę równoważności norm, zważywszy, że europejscy rolnicy przestrzegają znacznie wyższych standardów środowiskowych, społecznych i zdrowotnych niż rolnicy w innych krajach. </w:t>
      </w:r>
    </w:p>
    <w:p w14:paraId="712A053C" w14:textId="77C44779"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Zachęca do stosowania opartych na nauce praktyk ochrony klimatu i środowiska oraz zrównoważonych, holistycznych systemów produkcji, takich jak rolnictwo ekologiczne i</w:t>
      </w:r>
      <w:r w:rsidR="002E044A">
        <w:t> </w:t>
      </w:r>
      <w:r>
        <w:t xml:space="preserve">regeneracyjne oraz inne systemy agroekologiczne – w ramach dobrowolnych i odpowiednio finansowanych środków podejmowanych z własnej inicjatywy. </w:t>
      </w:r>
    </w:p>
    <w:p w14:paraId="7417D045" w14:textId="7BD5F39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Popiera wzmocnienie łańcucha żywnościowego UE w celu przywrócenia w nim równowagi sił, zakazania sprzedaży poniżej kosztów, a także uodpornienia go na kryzysy za pomocą ulepszonych i</w:t>
      </w:r>
      <w:r w:rsidR="002E044A">
        <w:t> </w:t>
      </w:r>
      <w:r>
        <w:t xml:space="preserve">dodatkowych narzędzi zarządzania kryzysowego oraz systemów ubezpieczeń na wypadek klęsk żywiołowych. </w:t>
      </w:r>
    </w:p>
    <w:p w14:paraId="509DE279" w14:textId="6D91CF56" w:rsidR="00E44B28" w:rsidRPr="00E44B28" w:rsidRDefault="00E44B28" w:rsidP="002C2DFE">
      <w:pPr>
        <w:numPr>
          <w:ilvl w:val="0"/>
          <w:numId w:val="51"/>
        </w:numPr>
        <w:overflowPunct w:val="0"/>
        <w:autoSpaceDE w:val="0"/>
        <w:autoSpaceDN w:val="0"/>
        <w:adjustRightInd w:val="0"/>
        <w:spacing w:line="276" w:lineRule="auto"/>
        <w:ind w:left="284" w:hanging="284"/>
        <w:contextualSpacing/>
        <w:textAlignment w:val="baseline"/>
      </w:pPr>
      <w:r>
        <w:t>Dostrzega znaczenie umocnienia warunkowości społecznej i zapewnienia wyraźnego powiązania z</w:t>
      </w:r>
      <w:r w:rsidR="002E044A">
        <w:t> </w:t>
      </w:r>
      <w:r>
        <w:t>propozycjami dotyczącymi WPR. Żadne gospodarstwo rolne nie może być zwolnione z kontroli i</w:t>
      </w:r>
      <w:r w:rsidR="002E044A">
        <w:t> </w:t>
      </w:r>
      <w:r>
        <w:t>kar wynikających z warunkowości społecznej i naliczanie sankcji na mocy prawa krajowego nie może osłabiać jej integralności.</w:t>
      </w:r>
    </w:p>
    <w:p w14:paraId="54061C17" w14:textId="77777777" w:rsidR="00E44B28" w:rsidRPr="00E44B28" w:rsidRDefault="00E44B28" w:rsidP="00E44B28">
      <w:pPr>
        <w:widowControl w:val="0"/>
        <w:overflowPunct w:val="0"/>
        <w:autoSpaceDE w:val="0"/>
        <w:autoSpaceDN w:val="0"/>
        <w:adjustRightInd w:val="0"/>
        <w:ind w:left="709"/>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5781599E" w14:textId="77777777" w:rsidTr="003C4E9F">
        <w:tc>
          <w:tcPr>
            <w:tcW w:w="1077" w:type="pct"/>
          </w:tcPr>
          <w:p w14:paraId="097079EC" w14:textId="77777777" w:rsidR="00E44B28" w:rsidRPr="00E44B28" w:rsidRDefault="00E44B28" w:rsidP="00E44B28">
            <w:pPr>
              <w:overflowPunct w:val="0"/>
              <w:autoSpaceDE w:val="0"/>
              <w:autoSpaceDN w:val="0"/>
              <w:adjustRightInd w:val="0"/>
              <w:textAlignment w:val="baseline"/>
              <w:rPr>
                <w:i/>
              </w:rPr>
            </w:pPr>
            <w:r>
              <w:rPr>
                <w:b/>
                <w:i/>
              </w:rPr>
              <w:t>Kontakt</w:t>
            </w:r>
          </w:p>
        </w:tc>
        <w:tc>
          <w:tcPr>
            <w:tcW w:w="3923" w:type="pct"/>
          </w:tcPr>
          <w:p w14:paraId="3B0204DD" w14:textId="6B37500A" w:rsidR="00E44B28" w:rsidRPr="00E44B28" w:rsidRDefault="00E44B28" w:rsidP="00E44B28">
            <w:pPr>
              <w:overflowPunct w:val="0"/>
              <w:autoSpaceDE w:val="0"/>
              <w:autoSpaceDN w:val="0"/>
              <w:adjustRightInd w:val="0"/>
              <w:textAlignment w:val="baseline"/>
              <w:rPr>
                <w:i/>
              </w:rPr>
            </w:pPr>
            <w:proofErr w:type="spellStart"/>
            <w:r>
              <w:rPr>
                <w:i/>
              </w:rPr>
              <w:t>Arturo</w:t>
            </w:r>
            <w:proofErr w:type="spellEnd"/>
            <w:r>
              <w:rPr>
                <w:i/>
              </w:rPr>
              <w:t xml:space="preserve"> </w:t>
            </w:r>
            <w:proofErr w:type="spellStart"/>
            <w:r>
              <w:rPr>
                <w:i/>
              </w:rPr>
              <w:t>Iniguez</w:t>
            </w:r>
            <w:proofErr w:type="spellEnd"/>
            <w:r>
              <w:rPr>
                <w:i/>
              </w:rPr>
              <w:t xml:space="preserve">, Martine </w:t>
            </w:r>
            <w:proofErr w:type="spellStart"/>
            <w:r>
              <w:rPr>
                <w:i/>
              </w:rPr>
              <w:t>Delanoy</w:t>
            </w:r>
            <w:proofErr w:type="spellEnd"/>
          </w:p>
        </w:tc>
      </w:tr>
      <w:tr w:rsidR="00E44B28" w:rsidRPr="00E44B28" w14:paraId="17EBF625" w14:textId="77777777" w:rsidTr="003C4E9F">
        <w:tc>
          <w:tcPr>
            <w:tcW w:w="1077" w:type="pct"/>
          </w:tcPr>
          <w:p w14:paraId="1857D93E" w14:textId="77777777" w:rsidR="00E44B28" w:rsidRPr="00E44B28" w:rsidRDefault="00E44B28" w:rsidP="00E44B28">
            <w:pPr>
              <w:overflowPunct w:val="0"/>
              <w:autoSpaceDE w:val="0"/>
              <w:autoSpaceDN w:val="0"/>
              <w:adjustRightInd w:val="0"/>
              <w:textAlignment w:val="baseline"/>
              <w:rPr>
                <w:i/>
              </w:rPr>
            </w:pPr>
            <w:r>
              <w:rPr>
                <w:i/>
              </w:rPr>
              <w:t>Tel.:</w:t>
            </w:r>
          </w:p>
        </w:tc>
        <w:tc>
          <w:tcPr>
            <w:tcW w:w="3923" w:type="pct"/>
          </w:tcPr>
          <w:p w14:paraId="7D35E700" w14:textId="7FA9EC48" w:rsidR="00E44B28" w:rsidRPr="00E44B28" w:rsidRDefault="00E44B28" w:rsidP="00E44B28">
            <w:pPr>
              <w:overflowPunct w:val="0"/>
              <w:autoSpaceDE w:val="0"/>
              <w:autoSpaceDN w:val="0"/>
              <w:adjustRightInd w:val="0"/>
              <w:textAlignment w:val="baseline"/>
              <w:rPr>
                <w:i/>
              </w:rPr>
            </w:pPr>
            <w:r>
              <w:rPr>
                <w:i/>
              </w:rPr>
              <w:t>+32 25468768, +32 25469802</w:t>
            </w:r>
          </w:p>
        </w:tc>
      </w:tr>
      <w:tr w:rsidR="00E44B28" w:rsidRPr="00E44B28" w14:paraId="39319B1C" w14:textId="77777777" w:rsidTr="003C4E9F">
        <w:tc>
          <w:tcPr>
            <w:tcW w:w="1077" w:type="pct"/>
          </w:tcPr>
          <w:p w14:paraId="524EA8C1" w14:textId="77777777" w:rsidR="00E44B28" w:rsidRPr="00E44B28" w:rsidRDefault="00E44B28" w:rsidP="00E44B28">
            <w:pPr>
              <w:overflowPunct w:val="0"/>
              <w:autoSpaceDE w:val="0"/>
              <w:autoSpaceDN w:val="0"/>
              <w:adjustRightInd w:val="0"/>
              <w:textAlignment w:val="baseline"/>
              <w:rPr>
                <w:i/>
              </w:rPr>
            </w:pPr>
            <w:r>
              <w:rPr>
                <w:i/>
              </w:rPr>
              <w:t>e-mail:</w:t>
            </w:r>
          </w:p>
        </w:tc>
        <w:tc>
          <w:tcPr>
            <w:tcW w:w="3923" w:type="pct"/>
          </w:tcPr>
          <w:p w14:paraId="2EACE09C" w14:textId="77777777" w:rsidR="00E44B28" w:rsidRPr="00E44B28" w:rsidRDefault="00C93EBC" w:rsidP="00E44B28">
            <w:pPr>
              <w:overflowPunct w:val="0"/>
              <w:autoSpaceDE w:val="0"/>
              <w:autoSpaceDN w:val="0"/>
              <w:adjustRightInd w:val="0"/>
              <w:textAlignment w:val="baseline"/>
              <w:rPr>
                <w:i/>
              </w:rPr>
            </w:pPr>
            <w:hyperlink r:id="rId62" w:history="1">
              <w:r w:rsidR="00036171">
                <w:rPr>
                  <w:i/>
                  <w:color w:val="0000FF"/>
                  <w:u w:val="single"/>
                </w:rPr>
                <w:t>Arturo.Iniguez@eesc.europa.eu</w:t>
              </w:r>
            </w:hyperlink>
            <w:r w:rsidR="00036171">
              <w:rPr>
                <w:i/>
              </w:rPr>
              <w:t xml:space="preserve">, </w:t>
            </w:r>
            <w:hyperlink r:id="rId63" w:history="1">
              <w:r w:rsidR="00036171">
                <w:rPr>
                  <w:i/>
                  <w:color w:val="0000FF"/>
                  <w:u w:val="single"/>
                </w:rPr>
                <w:t>Martine.Delanoy@eesc.europa.eu</w:t>
              </w:r>
            </w:hyperlink>
          </w:p>
        </w:tc>
      </w:tr>
    </w:tbl>
    <w:p w14:paraId="715DB2BD" w14:textId="77777777" w:rsidR="007F5784" w:rsidRPr="002E044A" w:rsidRDefault="007F5784">
      <w:pPr>
        <w:spacing w:after="160" w:line="259" w:lineRule="auto"/>
        <w:jc w:val="left"/>
        <w:rPr>
          <w:sz w:val="10"/>
          <w:szCs w:val="10"/>
        </w:rPr>
      </w:pPr>
      <w:r w:rsidRPr="002E044A">
        <w:rPr>
          <w:sz w:val="10"/>
          <w:szCs w:val="10"/>
        </w:rPr>
        <w:br w:type="page"/>
      </w:r>
    </w:p>
    <w:p w14:paraId="528C73AA" w14:textId="46DE726B" w:rsidR="006D2C8A" w:rsidRPr="006D2C8A" w:rsidRDefault="006D2C8A" w:rsidP="006D2C8A">
      <w:pPr>
        <w:pStyle w:val="Heading1"/>
        <w:rPr>
          <w:b/>
        </w:rPr>
      </w:pPr>
      <w:bookmarkStart w:id="65" w:name="_Toc221258003"/>
      <w:r>
        <w:rPr>
          <w:b/>
          <w:color w:val="222A35" w:themeColor="text2" w:themeShade="80"/>
        </w:rPr>
        <w:lastRenderedPageBreak/>
        <w:t>KOMISJA KONSULTACYJNA DS. PRZEMIAN W PRZEMYŚLE</w:t>
      </w:r>
      <w:bookmarkEnd w:id="65"/>
    </w:p>
    <w:p w14:paraId="713E272F" w14:textId="106975A8" w:rsidR="006D2C8A" w:rsidRDefault="006D2C8A" w:rsidP="002E044A">
      <w:pPr>
        <w:overflowPunct w:val="0"/>
        <w:autoSpaceDE w:val="0"/>
        <w:autoSpaceDN w:val="0"/>
        <w:adjustRightInd w:val="0"/>
        <w:spacing w:line="240" w:lineRule="auto"/>
        <w:ind w:left="266" w:hanging="266"/>
        <w:textAlignment w:val="baseline"/>
      </w:pPr>
    </w:p>
    <w:p w14:paraId="72EA6D5A" w14:textId="69F0404C" w:rsidR="00071681" w:rsidRPr="00071681" w:rsidRDefault="00C93EBC" w:rsidP="002C2DFE">
      <w:pPr>
        <w:pStyle w:val="ListParagraph"/>
        <w:numPr>
          <w:ilvl w:val="0"/>
          <w:numId w:val="55"/>
        </w:numPr>
        <w:ind w:left="567" w:hanging="567"/>
      </w:pPr>
      <w:hyperlink r:id="rId64" w:history="1">
        <w:r w:rsidR="00036171">
          <w:rPr>
            <w:rStyle w:val="Hyperlink"/>
            <w:b/>
            <w:sz w:val="28"/>
          </w:rPr>
          <w:t>Unijne strategie w zakresie medycznych środków przeciwdziałania i</w:t>
        </w:r>
        <w:r w:rsidR="002E044A">
          <w:rPr>
            <w:rStyle w:val="Hyperlink"/>
            <w:b/>
            <w:sz w:val="28"/>
          </w:rPr>
          <w:t> </w:t>
        </w:r>
        <w:r w:rsidR="00036171">
          <w:rPr>
            <w:rStyle w:val="Hyperlink"/>
            <w:b/>
            <w:sz w:val="28"/>
          </w:rPr>
          <w:t>gromadzenia zapasów</w:t>
        </w:r>
      </w:hyperlink>
    </w:p>
    <w:p w14:paraId="2671F814" w14:textId="77777777" w:rsidR="00071681" w:rsidRPr="00071681" w:rsidRDefault="00071681" w:rsidP="002E044A">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5475"/>
      </w:tblGrid>
      <w:tr w:rsidR="00071681" w:rsidRPr="00071681" w14:paraId="59B71248" w14:textId="77777777" w:rsidTr="002E044A">
        <w:tc>
          <w:tcPr>
            <w:tcW w:w="2212" w:type="dxa"/>
          </w:tcPr>
          <w:p w14:paraId="7D46DDC5"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Sprawozdawca</w:t>
            </w:r>
          </w:p>
        </w:tc>
        <w:tc>
          <w:tcPr>
            <w:tcW w:w="5475" w:type="dxa"/>
          </w:tcPr>
          <w:p w14:paraId="22B6CBD9" w14:textId="5499370B" w:rsidR="00071681" w:rsidRPr="00071681" w:rsidRDefault="006A1964" w:rsidP="00071681">
            <w:pPr>
              <w:tabs>
                <w:tab w:val="center" w:pos="284"/>
              </w:tabs>
              <w:overflowPunct w:val="0"/>
              <w:autoSpaceDE w:val="0"/>
              <w:autoSpaceDN w:val="0"/>
              <w:adjustRightInd w:val="0"/>
              <w:ind w:left="266" w:hanging="266"/>
              <w:textAlignment w:val="baseline"/>
            </w:pPr>
            <w:r>
              <w:t>Paulo BARROS VALE (Pracodawcy – PT)</w:t>
            </w:r>
          </w:p>
        </w:tc>
      </w:tr>
      <w:tr w:rsidR="00071681" w:rsidRPr="00071681" w14:paraId="35639124" w14:textId="77777777" w:rsidTr="002E044A">
        <w:tc>
          <w:tcPr>
            <w:tcW w:w="2212" w:type="dxa"/>
          </w:tcPr>
          <w:p w14:paraId="5F4534D0"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roofErr w:type="spellStart"/>
            <w:r>
              <w:rPr>
                <w:b/>
              </w:rPr>
              <w:t>Współsprawozdawca</w:t>
            </w:r>
            <w:proofErr w:type="spellEnd"/>
          </w:p>
        </w:tc>
        <w:tc>
          <w:tcPr>
            <w:tcW w:w="5475" w:type="dxa"/>
          </w:tcPr>
          <w:p w14:paraId="7D07F589" w14:textId="2BCA378B" w:rsidR="00071681" w:rsidRPr="00071681" w:rsidRDefault="006A1964" w:rsidP="00071681">
            <w:pPr>
              <w:tabs>
                <w:tab w:val="center" w:pos="284"/>
              </w:tabs>
              <w:overflowPunct w:val="0"/>
              <w:autoSpaceDE w:val="0"/>
              <w:autoSpaceDN w:val="0"/>
              <w:adjustRightInd w:val="0"/>
              <w:ind w:left="266" w:hanging="266"/>
              <w:textAlignment w:val="baseline"/>
            </w:pPr>
            <w:proofErr w:type="spellStart"/>
            <w:r>
              <w:t>Nicos</w:t>
            </w:r>
            <w:proofErr w:type="spellEnd"/>
            <w:r>
              <w:t xml:space="preserve"> EPISTITHIOU (Kat. 2 - AT)</w:t>
            </w:r>
          </w:p>
        </w:tc>
      </w:tr>
      <w:tr w:rsidR="00071681" w:rsidRPr="00071681" w14:paraId="3FDD0376" w14:textId="77777777" w:rsidTr="002E044A">
        <w:tc>
          <w:tcPr>
            <w:tcW w:w="7687" w:type="dxa"/>
            <w:gridSpan w:val="2"/>
          </w:tcPr>
          <w:p w14:paraId="47C3DC08" w14:textId="77777777" w:rsidR="00071681" w:rsidRPr="00071681" w:rsidRDefault="00071681" w:rsidP="00071681">
            <w:pPr>
              <w:tabs>
                <w:tab w:val="center" w:pos="284"/>
              </w:tabs>
              <w:overflowPunct w:val="0"/>
              <w:autoSpaceDE w:val="0"/>
              <w:autoSpaceDN w:val="0"/>
              <w:adjustRightInd w:val="0"/>
              <w:spacing w:line="160" w:lineRule="exact"/>
              <w:ind w:left="266" w:hanging="266"/>
              <w:textAlignment w:val="baseline"/>
            </w:pPr>
          </w:p>
        </w:tc>
      </w:tr>
      <w:tr w:rsidR="00071681" w:rsidRPr="00071681" w14:paraId="08E11C54" w14:textId="77777777" w:rsidTr="002E044A">
        <w:tc>
          <w:tcPr>
            <w:tcW w:w="2212" w:type="dxa"/>
            <w:vMerge w:val="restart"/>
          </w:tcPr>
          <w:p w14:paraId="1CDA9691"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Dokumenty źródłowe</w:t>
            </w:r>
          </w:p>
        </w:tc>
        <w:tc>
          <w:tcPr>
            <w:tcW w:w="5475" w:type="dxa"/>
          </w:tcPr>
          <w:p w14:paraId="2CE511E3" w14:textId="68EA828B" w:rsidR="00A07FDA" w:rsidRDefault="00A07FDA" w:rsidP="00071681">
            <w:pPr>
              <w:tabs>
                <w:tab w:val="center" w:pos="284"/>
              </w:tabs>
              <w:overflowPunct w:val="0"/>
              <w:autoSpaceDE w:val="0"/>
              <w:autoSpaceDN w:val="0"/>
              <w:adjustRightInd w:val="0"/>
              <w:ind w:left="266" w:hanging="266"/>
              <w:textAlignment w:val="baseline"/>
            </w:pPr>
            <w:r>
              <w:t xml:space="preserve">COM(2025) 529 </w:t>
            </w:r>
            <w:proofErr w:type="spellStart"/>
            <w:r>
              <w:t>final</w:t>
            </w:r>
            <w:proofErr w:type="spellEnd"/>
          </w:p>
          <w:p w14:paraId="08CF0435" w14:textId="07C189A5" w:rsidR="00071681" w:rsidRPr="00071681" w:rsidRDefault="00071681" w:rsidP="00071681">
            <w:pPr>
              <w:tabs>
                <w:tab w:val="center" w:pos="284"/>
              </w:tabs>
              <w:overflowPunct w:val="0"/>
              <w:autoSpaceDE w:val="0"/>
              <w:autoSpaceDN w:val="0"/>
              <w:adjustRightInd w:val="0"/>
              <w:ind w:left="266" w:hanging="266"/>
              <w:textAlignment w:val="baseline"/>
            </w:pPr>
            <w:r>
              <w:t>EESC-2025-02727-00-00-AC</w:t>
            </w:r>
          </w:p>
        </w:tc>
      </w:tr>
      <w:tr w:rsidR="00071681" w:rsidRPr="002E044A" w14:paraId="2254D8FD" w14:textId="77777777" w:rsidTr="002E044A">
        <w:tc>
          <w:tcPr>
            <w:tcW w:w="2212" w:type="dxa"/>
            <w:vMerge/>
          </w:tcPr>
          <w:p w14:paraId="3F088966"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
        </w:tc>
        <w:tc>
          <w:tcPr>
            <w:tcW w:w="5475" w:type="dxa"/>
          </w:tcPr>
          <w:p w14:paraId="458BE173" w14:textId="77777777" w:rsidR="00071681" w:rsidRPr="002E044A" w:rsidRDefault="00071681" w:rsidP="00071681">
            <w:pPr>
              <w:tabs>
                <w:tab w:val="center" w:pos="284"/>
              </w:tabs>
              <w:overflowPunct w:val="0"/>
              <w:autoSpaceDE w:val="0"/>
              <w:autoSpaceDN w:val="0"/>
              <w:adjustRightInd w:val="0"/>
              <w:ind w:left="266" w:hanging="266"/>
              <w:textAlignment w:val="baseline"/>
              <w:rPr>
                <w:sz w:val="14"/>
                <w:szCs w:val="14"/>
              </w:rPr>
            </w:pPr>
          </w:p>
        </w:tc>
      </w:tr>
    </w:tbl>
    <w:p w14:paraId="2C151E14"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
        </w:rPr>
      </w:pPr>
      <w:r>
        <w:rPr>
          <w:b/>
        </w:rPr>
        <w:t>Główne punkty</w:t>
      </w:r>
    </w:p>
    <w:p w14:paraId="412FB9A3" w14:textId="77777777" w:rsidR="00071681" w:rsidRPr="00071681" w:rsidRDefault="00071681" w:rsidP="002E044A">
      <w:pPr>
        <w:tabs>
          <w:tab w:val="center" w:pos="284"/>
        </w:tabs>
        <w:overflowPunct w:val="0"/>
        <w:autoSpaceDE w:val="0"/>
        <w:autoSpaceDN w:val="0"/>
        <w:adjustRightInd w:val="0"/>
        <w:spacing w:line="240" w:lineRule="auto"/>
        <w:ind w:left="266" w:hanging="266"/>
        <w:textAlignment w:val="baseline"/>
        <w:rPr>
          <w:b/>
          <w:lang w:val="en-GB"/>
        </w:rPr>
      </w:pPr>
    </w:p>
    <w:p w14:paraId="5EF169EB"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Cs/>
        </w:rPr>
      </w:pPr>
      <w:r>
        <w:t>EKES</w:t>
      </w:r>
    </w:p>
    <w:p w14:paraId="6E79560D" w14:textId="77777777" w:rsidR="00071681" w:rsidRPr="00071681" w:rsidRDefault="00071681" w:rsidP="002E044A">
      <w:pPr>
        <w:tabs>
          <w:tab w:val="center" w:pos="284"/>
        </w:tabs>
        <w:overflowPunct w:val="0"/>
        <w:autoSpaceDE w:val="0"/>
        <w:autoSpaceDN w:val="0"/>
        <w:adjustRightInd w:val="0"/>
        <w:spacing w:line="240" w:lineRule="auto"/>
        <w:ind w:left="266" w:hanging="266"/>
        <w:textAlignment w:val="baseline"/>
        <w:rPr>
          <w:bCs/>
          <w:lang w:val="en-GB"/>
        </w:rPr>
      </w:pPr>
    </w:p>
    <w:p w14:paraId="3FE73053"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 w:val="24"/>
          <w:szCs w:val="20"/>
        </w:rPr>
      </w:pPr>
      <w:r>
        <w:t>Z zadowoleniem przyjmuje wysiłki Komisji na rzecz zwiększenia gotowości i odporności UE za pomocą medycznych środków przeciwdziałania i strategii gromadzenia zapasów oraz zaleca przejrzyste zarządzanie nimi i ich mobilizację, z zapewnieniem stałej koordynacji między państwami członkowskimi, przemysłem i społeczeństwem obywatelskim.</w:t>
      </w:r>
    </w:p>
    <w:p w14:paraId="2335C6E2" w14:textId="5D428D63"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Apeluje o wyasygnowanie w wieloletnich ram finansowych (WRF) odpowiednich zasobów w celu wspierania medycznych środków przeciwdziałania i gromadzenia zapasów strategicznych, a</w:t>
      </w:r>
      <w:r w:rsidR="002E044A">
        <w:t> </w:t>
      </w:r>
      <w:r>
        <w:t>jednocześnie zachęca do tworzenia partnerstw publiczno-prywatnych i unikania powielania działań w państwach członkowskich.</w:t>
      </w:r>
    </w:p>
    <w:p w14:paraId="611B80B3" w14:textId="225F4C8A"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Apeluje o stabilne warunki gospodarcze, prawne i pracownicze, by przyciągnąć produkcję przemysłu farmaceutycznego do Europy, w tym o specjalny unijny fundusz farmaceutyczny w celu wspierania zakładów produkcyjnych, badań i rozwoju oraz rekompensowania kosztów regulacyjnych i</w:t>
      </w:r>
      <w:r w:rsidR="002E044A">
        <w:t> </w:t>
      </w:r>
      <w:r>
        <w:t>inwestycji w produkcję farmaceutycznych składników czynnych i leków.</w:t>
      </w:r>
    </w:p>
    <w:p w14:paraId="7725407F"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Popiera utworzenie europejskiej jednostki ds. innowacji w ochronie zdrowia (na wzór CERN) w celu pobudzenia badań naukowych, przedsiębiorczości i współpracy z HERA i innymi agencjami UE.</w:t>
      </w:r>
    </w:p>
    <w:p w14:paraId="6B28306F"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Wzywa do opracowania konkretnego planu operacyjnego dotyczącego gromadzenia zapasów w UE, przewidującego jasne zasady finansowania, przejrzyście określone obowiązki na szczeblu unijnym/krajowym, odpowiednie szkolenia dla pracowników, monitorowanie i sprawiedliwe zachęty dla przemysłu, w tym MŚP.</w:t>
      </w:r>
    </w:p>
    <w:p w14:paraId="7FD70C87"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Podkreśla potrzebę przejrzystych ram gospodarczych, skoordynowanej logistyki, elastycznych przepisów dotyczących transportu i sprawiedliwego podziału kosztów w celu szybkiego rozmieszczenia towarów o znaczeniu krytycznym.</w:t>
      </w:r>
    </w:p>
    <w:p w14:paraId="7808A122" w14:textId="79453C90"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Kładzie nacisk na zaangażowanie partnerów społecznych, społeczeństwa obywatelskiego i</w:t>
      </w:r>
      <w:r w:rsidR="002E044A">
        <w:t> </w:t>
      </w:r>
      <w:r>
        <w:t>wyspecjalizowanych wykonawców, aby zapewnić przejrzystość i techniczną wiedzę fachową, przy czym priorytetowo należy traktować zapasy bezpieczeństwa będące własnością UE oraz wsparcie na rzecz magazynowania, łańcucha chłodniczego i infrastruktury podwójnego zastosowania.</w:t>
      </w:r>
    </w:p>
    <w:p w14:paraId="7E1A8C8F"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Podkreśla inwestycje w umiejętności siły roboczej poprzez uczenie się przez całe życie, ujednolicone programy nauczania, regularne symulacje i uznanie specjalizacji w zakresie zdrowia publicznego za zawód, co pozwoli zapewnić odporne zarządzanie rezerwami i reagowanie kryzysowe.</w:t>
      </w:r>
    </w:p>
    <w:p w14:paraId="5B8F49DA" w14:textId="77777777" w:rsidR="00071681" w:rsidRPr="00071681" w:rsidRDefault="00071681" w:rsidP="002E044A">
      <w:pPr>
        <w:numPr>
          <w:ilvl w:val="0"/>
          <w:numId w:val="52"/>
        </w:numPr>
        <w:overflowPunct w:val="0"/>
        <w:autoSpaceDE w:val="0"/>
        <w:autoSpaceDN w:val="0"/>
        <w:adjustRightInd w:val="0"/>
        <w:spacing w:line="257" w:lineRule="auto"/>
        <w:ind w:left="284" w:hanging="284"/>
        <w:textAlignment w:val="baseline"/>
        <w:rPr>
          <w:szCs w:val="20"/>
        </w:rPr>
      </w:pPr>
      <w:r>
        <w:t>Opowiada się za zrównoważonym gromadzeniem zapasów dostosowanym do popytu, ułatwianym przez śledzenie cyfrowe w czasie rzeczywistym, progi produktowe i przystępność cenową, aby zapewnić gotowość opartą na sprawiedliwości, przejrzystości i dostępności.</w:t>
      </w:r>
    </w:p>
    <w:p w14:paraId="65224F71" w14:textId="77777777" w:rsidR="00071681" w:rsidRPr="00071681" w:rsidRDefault="00071681" w:rsidP="002E044A">
      <w:pPr>
        <w:overflowPunct w:val="0"/>
        <w:autoSpaceDE w:val="0"/>
        <w:autoSpaceDN w:val="0"/>
        <w:adjustRightInd w:val="0"/>
        <w:spacing w:line="240" w:lineRule="auto"/>
        <w:ind w:left="266" w:hanging="266"/>
        <w:textAlignment w:val="baseline"/>
        <w:rPr>
          <w:szCs w:val="20"/>
          <w:lang w:val="en-GB"/>
        </w:rPr>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071681" w14:paraId="7F67386A" w14:textId="77777777" w:rsidTr="00071681">
        <w:tc>
          <w:tcPr>
            <w:tcW w:w="1556" w:type="pct"/>
          </w:tcPr>
          <w:p w14:paraId="704E7C43" w14:textId="77777777" w:rsidR="00071681" w:rsidRPr="00071681" w:rsidRDefault="00071681" w:rsidP="00071681">
            <w:pPr>
              <w:overflowPunct w:val="0"/>
              <w:autoSpaceDE w:val="0"/>
              <w:autoSpaceDN w:val="0"/>
              <w:adjustRightInd w:val="0"/>
              <w:spacing w:line="240" w:lineRule="auto"/>
              <w:textAlignment w:val="baseline"/>
              <w:rPr>
                <w:i/>
              </w:rPr>
            </w:pPr>
            <w:r>
              <w:rPr>
                <w:b/>
                <w:i/>
              </w:rPr>
              <w:t>Kontakt</w:t>
            </w:r>
          </w:p>
        </w:tc>
        <w:tc>
          <w:tcPr>
            <w:tcW w:w="3444" w:type="pct"/>
          </w:tcPr>
          <w:p w14:paraId="0E020ADB" w14:textId="77777777" w:rsidR="00071681" w:rsidRPr="002C2DFE" w:rsidRDefault="00071681" w:rsidP="00071681">
            <w:pPr>
              <w:overflowPunct w:val="0"/>
              <w:autoSpaceDE w:val="0"/>
              <w:autoSpaceDN w:val="0"/>
              <w:adjustRightInd w:val="0"/>
              <w:spacing w:line="240" w:lineRule="auto"/>
              <w:textAlignment w:val="baseline"/>
              <w:rPr>
                <w:i/>
              </w:rPr>
            </w:pPr>
            <w:proofErr w:type="spellStart"/>
            <w:r>
              <w:rPr>
                <w:i/>
              </w:rPr>
              <w:t>Tomas</w:t>
            </w:r>
            <w:proofErr w:type="spellEnd"/>
            <w:r>
              <w:rPr>
                <w:i/>
              </w:rPr>
              <w:t xml:space="preserve"> </w:t>
            </w:r>
            <w:proofErr w:type="spellStart"/>
            <w:r>
              <w:rPr>
                <w:i/>
              </w:rPr>
              <w:t>Vinardell</w:t>
            </w:r>
            <w:proofErr w:type="spellEnd"/>
            <w:r>
              <w:rPr>
                <w:i/>
              </w:rPr>
              <w:t xml:space="preserve"> </w:t>
            </w:r>
            <w:proofErr w:type="spellStart"/>
            <w:r>
              <w:rPr>
                <w:i/>
              </w:rPr>
              <w:t>Laia</w:t>
            </w:r>
            <w:proofErr w:type="spellEnd"/>
          </w:p>
        </w:tc>
      </w:tr>
      <w:tr w:rsidR="00071681" w:rsidRPr="00071681" w14:paraId="7F49758E" w14:textId="77777777" w:rsidTr="00071681">
        <w:tc>
          <w:tcPr>
            <w:tcW w:w="1556" w:type="pct"/>
          </w:tcPr>
          <w:p w14:paraId="35EC37F0" w14:textId="77777777" w:rsidR="00071681" w:rsidRPr="00071681" w:rsidRDefault="00071681" w:rsidP="00071681">
            <w:pPr>
              <w:overflowPunct w:val="0"/>
              <w:autoSpaceDE w:val="0"/>
              <w:autoSpaceDN w:val="0"/>
              <w:adjustRightInd w:val="0"/>
              <w:spacing w:line="240" w:lineRule="auto"/>
              <w:textAlignment w:val="baseline"/>
              <w:rPr>
                <w:i/>
              </w:rPr>
            </w:pPr>
            <w:r>
              <w:rPr>
                <w:i/>
              </w:rPr>
              <w:t>Tel.:</w:t>
            </w:r>
          </w:p>
        </w:tc>
        <w:tc>
          <w:tcPr>
            <w:tcW w:w="3444" w:type="pct"/>
          </w:tcPr>
          <w:p w14:paraId="422ACEB9" w14:textId="77777777" w:rsidR="00071681" w:rsidRPr="00071681" w:rsidRDefault="00071681" w:rsidP="00071681">
            <w:pPr>
              <w:overflowPunct w:val="0"/>
              <w:autoSpaceDE w:val="0"/>
              <w:autoSpaceDN w:val="0"/>
              <w:adjustRightInd w:val="0"/>
              <w:spacing w:line="240" w:lineRule="auto"/>
              <w:textAlignment w:val="baseline"/>
              <w:rPr>
                <w:i/>
              </w:rPr>
            </w:pPr>
            <w:r>
              <w:rPr>
                <w:i/>
              </w:rPr>
              <w:t>+32 25469149</w:t>
            </w:r>
          </w:p>
        </w:tc>
      </w:tr>
      <w:tr w:rsidR="00071681" w:rsidRPr="00071681" w14:paraId="785CDA90" w14:textId="77777777" w:rsidTr="00071681">
        <w:tc>
          <w:tcPr>
            <w:tcW w:w="1556" w:type="pct"/>
          </w:tcPr>
          <w:p w14:paraId="402FCD6F" w14:textId="77777777" w:rsidR="00071681" w:rsidRPr="00071681" w:rsidRDefault="00071681" w:rsidP="00071681">
            <w:pPr>
              <w:overflowPunct w:val="0"/>
              <w:autoSpaceDE w:val="0"/>
              <w:autoSpaceDN w:val="0"/>
              <w:adjustRightInd w:val="0"/>
              <w:spacing w:line="240" w:lineRule="auto"/>
              <w:textAlignment w:val="baseline"/>
              <w:rPr>
                <w:i/>
              </w:rPr>
            </w:pPr>
            <w:r>
              <w:rPr>
                <w:i/>
              </w:rPr>
              <w:t>e-mail:</w:t>
            </w:r>
          </w:p>
        </w:tc>
        <w:tc>
          <w:tcPr>
            <w:tcW w:w="3444" w:type="pct"/>
          </w:tcPr>
          <w:p w14:paraId="04E8F71E" w14:textId="77777777" w:rsidR="00071681" w:rsidRPr="00071681" w:rsidRDefault="00C93EBC" w:rsidP="00071681">
            <w:pPr>
              <w:overflowPunct w:val="0"/>
              <w:autoSpaceDE w:val="0"/>
              <w:autoSpaceDN w:val="0"/>
              <w:adjustRightInd w:val="0"/>
              <w:spacing w:line="240" w:lineRule="auto"/>
              <w:textAlignment w:val="baseline"/>
              <w:rPr>
                <w:i/>
              </w:rPr>
            </w:pPr>
            <w:hyperlink r:id="rId65" w:history="1">
              <w:r w:rsidR="00036171">
                <w:rPr>
                  <w:i/>
                  <w:color w:val="0000FF"/>
                  <w:u w:val="single"/>
                </w:rPr>
                <w:t>Laia.TomasVinardell@eesc.europa.eu</w:t>
              </w:r>
            </w:hyperlink>
            <w:r w:rsidR="00036171">
              <w:rPr>
                <w:i/>
              </w:rPr>
              <w:t xml:space="preserve"> </w:t>
            </w:r>
          </w:p>
        </w:tc>
      </w:tr>
    </w:tbl>
    <w:p w14:paraId="4257ED36" w14:textId="77777777" w:rsidR="00693AFD" w:rsidRPr="002E044A" w:rsidRDefault="00693AFD" w:rsidP="00693AFD">
      <w:pPr>
        <w:overflowPunct w:val="0"/>
        <w:autoSpaceDE w:val="0"/>
        <w:autoSpaceDN w:val="0"/>
        <w:adjustRightInd w:val="0"/>
        <w:jc w:val="center"/>
        <w:textAlignment w:val="baseline"/>
        <w:rPr>
          <w:szCs w:val="20"/>
        </w:rPr>
      </w:pPr>
      <w:r w:rsidRPr="002E044A">
        <w:t>_____________</w:t>
      </w:r>
    </w:p>
    <w:sectPr w:rsidR="00693AFD" w:rsidRPr="002E044A" w:rsidSect="00300BD1">
      <w:headerReference w:type="even" r:id="rId66"/>
      <w:headerReference w:type="default" r:id="rId67"/>
      <w:footerReference w:type="even" r:id="rId68"/>
      <w:footerReference w:type="default" r:id="rId69"/>
      <w:headerReference w:type="first" r:id="rId70"/>
      <w:footerReference w:type="first" r:id="rId7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90E" w14:textId="77777777" w:rsidR="00FB583C" w:rsidRDefault="00FB583C" w:rsidP="00B518C9">
      <w:pPr>
        <w:spacing w:line="240" w:lineRule="auto"/>
      </w:pPr>
      <w:r>
        <w:separator/>
      </w:r>
    </w:p>
  </w:endnote>
  <w:endnote w:type="continuationSeparator" w:id="0">
    <w:p w14:paraId="75F08002" w14:textId="77777777" w:rsidR="00FB583C" w:rsidRDefault="00FB583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AF62" w14:textId="77777777" w:rsidR="00300BD1" w:rsidRPr="00300BD1" w:rsidRDefault="00300BD1" w:rsidP="00300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B8E6B8A" w:rsidR="00B518C9"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rsidR="00D66704">
      <w:t>1</w:t>
    </w:r>
    <w:r>
      <w:fldChar w:fldCharType="end"/>
    </w:r>
    <w:r>
      <w:t>/</w:t>
    </w:r>
    <w:r w:rsidR="00C93EBC">
      <w:fldChar w:fldCharType="begin"/>
    </w:r>
    <w:r w:rsidR="00C93EBC">
      <w:instrText xml:space="preserve"> NUMPAGES </w:instrText>
    </w:r>
    <w:r w:rsidR="00C93EBC">
      <w:fldChar w:fldCharType="separate"/>
    </w:r>
    <w:r w:rsidR="00D66704">
      <w:t>1</w:t>
    </w:r>
    <w:r w:rsidR="00C93EB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E03E" w14:textId="77777777" w:rsidR="00300BD1" w:rsidRPr="00300BD1" w:rsidRDefault="00300BD1" w:rsidP="00300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300BD1" w:rsidRDefault="00CB6673" w:rsidP="00300B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CD2EE33" w:rsidR="00CB6673"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t>2</w:t>
    </w:r>
    <w:r>
      <w:fldChar w:fldCharType="end"/>
    </w:r>
    <w:r>
      <w:t>/</w:t>
    </w:r>
    <w:r w:rsidR="00C93EBC">
      <w:fldChar w:fldCharType="begin"/>
    </w:r>
    <w:r w:rsidR="00C93EBC">
      <w:instrText xml:space="preserve"> NUMPAGES </w:instrText>
    </w:r>
    <w:r w:rsidR="00C93EBC">
      <w:fldChar w:fldCharType="separate"/>
    </w:r>
    <w:r>
      <w:t>25</w:t>
    </w:r>
    <w:r w:rsidR="00C93EB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300BD1" w:rsidRDefault="00CB6673" w:rsidP="0030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E36" w14:textId="77777777" w:rsidR="00FB583C" w:rsidRDefault="00FB583C" w:rsidP="00B518C9">
      <w:pPr>
        <w:spacing w:line="240" w:lineRule="auto"/>
      </w:pPr>
      <w:r>
        <w:separator/>
      </w:r>
    </w:p>
  </w:footnote>
  <w:footnote w:type="continuationSeparator" w:id="0">
    <w:p w14:paraId="6B50597A" w14:textId="77777777" w:rsidR="00FB583C" w:rsidRDefault="00FB583C"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291" w14:textId="77777777" w:rsidR="00300BD1" w:rsidRPr="00300BD1" w:rsidRDefault="00300BD1" w:rsidP="0030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2F8" w14:textId="0F9544FB" w:rsidR="00300BD1" w:rsidRPr="00300BD1" w:rsidRDefault="00300BD1" w:rsidP="00300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F5E" w14:textId="77777777" w:rsidR="00300BD1" w:rsidRPr="00300BD1" w:rsidRDefault="00300BD1" w:rsidP="0030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300BD1" w:rsidRDefault="00CB6673" w:rsidP="0030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1F1E1FCB" w:rsidR="00CB6673" w:rsidRPr="00300BD1" w:rsidRDefault="00CB6673" w:rsidP="00300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300BD1" w:rsidRDefault="00CB6673" w:rsidP="0030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62F56C1"/>
    <w:multiLevelType w:val="hybridMultilevel"/>
    <w:tmpl w:val="EFB492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35483"/>
    <w:multiLevelType w:val="hybridMultilevel"/>
    <w:tmpl w:val="E9E6A6B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807B0"/>
    <w:multiLevelType w:val="hybridMultilevel"/>
    <w:tmpl w:val="593EF1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785153"/>
    <w:multiLevelType w:val="hybridMultilevel"/>
    <w:tmpl w:val="277E813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713696D"/>
    <w:multiLevelType w:val="hybridMultilevel"/>
    <w:tmpl w:val="90EE90F0"/>
    <w:lvl w:ilvl="0" w:tplc="041CE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AE0A9A"/>
    <w:multiLevelType w:val="hybridMultilevel"/>
    <w:tmpl w:val="AE06B6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 w15:restartNumberingAfterBreak="0">
    <w:nsid w:val="1FE123AA"/>
    <w:multiLevelType w:val="hybridMultilevel"/>
    <w:tmpl w:val="481E28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0372686"/>
    <w:multiLevelType w:val="hybridMultilevel"/>
    <w:tmpl w:val="13945E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24A75804"/>
    <w:multiLevelType w:val="hybridMultilevel"/>
    <w:tmpl w:val="CD503300"/>
    <w:lvl w:ilvl="0" w:tplc="8E864B0C">
      <w:start w:val="1"/>
      <w:numFmt w:val="bullet"/>
      <w:lvlText w:val=""/>
      <w:lvlJc w:val="left"/>
      <w:pPr>
        <w:ind w:left="502" w:hanging="360"/>
      </w:pPr>
      <w:rPr>
        <w:rFonts w:ascii="Symbol" w:hAnsi="Symbol" w:hint="default"/>
        <w:color w:val="auto"/>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4" w15:restartNumberingAfterBreak="0">
    <w:nsid w:val="272977C7"/>
    <w:multiLevelType w:val="hybridMultilevel"/>
    <w:tmpl w:val="99F2611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74C41EA"/>
    <w:multiLevelType w:val="hybridMultilevel"/>
    <w:tmpl w:val="C5B2C04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5BE76D4"/>
    <w:multiLevelType w:val="hybridMultilevel"/>
    <w:tmpl w:val="F4809A12"/>
    <w:lvl w:ilvl="0" w:tplc="DDE088C8">
      <w:start w:val="1"/>
      <w:numFmt w:val="bullet"/>
      <w:lvlText w:val=""/>
      <w:lvlJc w:val="left"/>
      <w:pPr>
        <w:ind w:left="720" w:hanging="360"/>
      </w:pPr>
      <w:rPr>
        <w:rFonts w:ascii="Symbol" w:hAnsi="Symbol" w:hint="default"/>
        <w:color w:val="auto"/>
      </w:rPr>
    </w:lvl>
    <w:lvl w:ilvl="1" w:tplc="DDE088C8">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20" w15:restartNumberingAfterBreak="0">
    <w:nsid w:val="3A8D7F54"/>
    <w:multiLevelType w:val="singleLevel"/>
    <w:tmpl w:val="DDE088C8"/>
    <w:lvl w:ilvl="0">
      <w:numFmt w:val="decimal"/>
      <w:lvlText w:val="*"/>
      <w:lvlJc w:val="left"/>
    </w:lvl>
  </w:abstractNum>
  <w:abstractNum w:abstractNumId="21"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2" w15:restartNumberingAfterBreak="0">
    <w:nsid w:val="3F6677B3"/>
    <w:multiLevelType w:val="hybridMultilevel"/>
    <w:tmpl w:val="AF9A16E4"/>
    <w:lvl w:ilvl="0" w:tplc="20000001">
      <w:start w:val="1"/>
      <w:numFmt w:val="bullet"/>
      <w:lvlText w:val=""/>
      <w:lvlJc w:val="left"/>
      <w:pPr>
        <w:ind w:left="459" w:hanging="360"/>
      </w:pPr>
      <w:rPr>
        <w:rFonts w:ascii="Symbol" w:hAnsi="Symbol" w:hint="default"/>
      </w:rPr>
    </w:lvl>
    <w:lvl w:ilvl="1" w:tplc="20000003" w:tentative="1">
      <w:start w:val="1"/>
      <w:numFmt w:val="bullet"/>
      <w:lvlText w:val="o"/>
      <w:lvlJc w:val="left"/>
      <w:pPr>
        <w:ind w:left="1179" w:hanging="360"/>
      </w:pPr>
      <w:rPr>
        <w:rFonts w:ascii="Courier New" w:hAnsi="Courier New" w:cs="Courier New" w:hint="default"/>
      </w:rPr>
    </w:lvl>
    <w:lvl w:ilvl="2" w:tplc="20000005" w:tentative="1">
      <w:start w:val="1"/>
      <w:numFmt w:val="bullet"/>
      <w:lvlText w:val=""/>
      <w:lvlJc w:val="left"/>
      <w:pPr>
        <w:ind w:left="1899" w:hanging="360"/>
      </w:pPr>
      <w:rPr>
        <w:rFonts w:ascii="Wingdings" w:hAnsi="Wingdings" w:hint="default"/>
      </w:rPr>
    </w:lvl>
    <w:lvl w:ilvl="3" w:tplc="20000001" w:tentative="1">
      <w:start w:val="1"/>
      <w:numFmt w:val="bullet"/>
      <w:lvlText w:val=""/>
      <w:lvlJc w:val="left"/>
      <w:pPr>
        <w:ind w:left="2619" w:hanging="360"/>
      </w:pPr>
      <w:rPr>
        <w:rFonts w:ascii="Symbol" w:hAnsi="Symbol" w:hint="default"/>
      </w:rPr>
    </w:lvl>
    <w:lvl w:ilvl="4" w:tplc="20000003" w:tentative="1">
      <w:start w:val="1"/>
      <w:numFmt w:val="bullet"/>
      <w:lvlText w:val="o"/>
      <w:lvlJc w:val="left"/>
      <w:pPr>
        <w:ind w:left="3339" w:hanging="360"/>
      </w:pPr>
      <w:rPr>
        <w:rFonts w:ascii="Courier New" w:hAnsi="Courier New" w:cs="Courier New" w:hint="default"/>
      </w:rPr>
    </w:lvl>
    <w:lvl w:ilvl="5" w:tplc="20000005" w:tentative="1">
      <w:start w:val="1"/>
      <w:numFmt w:val="bullet"/>
      <w:lvlText w:val=""/>
      <w:lvlJc w:val="left"/>
      <w:pPr>
        <w:ind w:left="4059" w:hanging="360"/>
      </w:pPr>
      <w:rPr>
        <w:rFonts w:ascii="Wingdings" w:hAnsi="Wingdings" w:hint="default"/>
      </w:rPr>
    </w:lvl>
    <w:lvl w:ilvl="6" w:tplc="20000001" w:tentative="1">
      <w:start w:val="1"/>
      <w:numFmt w:val="bullet"/>
      <w:lvlText w:val=""/>
      <w:lvlJc w:val="left"/>
      <w:pPr>
        <w:ind w:left="4779" w:hanging="360"/>
      </w:pPr>
      <w:rPr>
        <w:rFonts w:ascii="Symbol" w:hAnsi="Symbol" w:hint="default"/>
      </w:rPr>
    </w:lvl>
    <w:lvl w:ilvl="7" w:tplc="20000003" w:tentative="1">
      <w:start w:val="1"/>
      <w:numFmt w:val="bullet"/>
      <w:lvlText w:val="o"/>
      <w:lvlJc w:val="left"/>
      <w:pPr>
        <w:ind w:left="5499" w:hanging="360"/>
      </w:pPr>
      <w:rPr>
        <w:rFonts w:ascii="Courier New" w:hAnsi="Courier New" w:cs="Courier New" w:hint="default"/>
      </w:rPr>
    </w:lvl>
    <w:lvl w:ilvl="8" w:tplc="20000005" w:tentative="1">
      <w:start w:val="1"/>
      <w:numFmt w:val="bullet"/>
      <w:lvlText w:val=""/>
      <w:lvlJc w:val="left"/>
      <w:pPr>
        <w:ind w:left="6219" w:hanging="360"/>
      </w:pPr>
      <w:rPr>
        <w:rFonts w:ascii="Wingdings" w:hAnsi="Wingdings" w:hint="default"/>
      </w:rPr>
    </w:lvl>
  </w:abstractNum>
  <w:abstractNum w:abstractNumId="23"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0676A2D"/>
    <w:multiLevelType w:val="hybridMultilevel"/>
    <w:tmpl w:val="3B9AD1E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0BC4010"/>
    <w:multiLevelType w:val="hybridMultilevel"/>
    <w:tmpl w:val="ED10390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2E2A91"/>
    <w:multiLevelType w:val="hybridMultilevel"/>
    <w:tmpl w:val="720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7DF7292"/>
    <w:multiLevelType w:val="hybridMultilevel"/>
    <w:tmpl w:val="32C8935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2A4302"/>
    <w:multiLevelType w:val="hybridMultilevel"/>
    <w:tmpl w:val="C574AFB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4CAD52EC"/>
    <w:multiLevelType w:val="hybridMultilevel"/>
    <w:tmpl w:val="B22E0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4DEA42FE"/>
    <w:multiLevelType w:val="hybridMultilevel"/>
    <w:tmpl w:val="9B7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12130FB"/>
    <w:multiLevelType w:val="hybridMultilevel"/>
    <w:tmpl w:val="7FCC2882"/>
    <w:lvl w:ilvl="0" w:tplc="041CE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4DF0C42"/>
    <w:multiLevelType w:val="hybridMultilevel"/>
    <w:tmpl w:val="E2FC81E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901096E"/>
    <w:multiLevelType w:val="hybridMultilevel"/>
    <w:tmpl w:val="DA102624"/>
    <w:lvl w:ilvl="0" w:tplc="041CE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4" w15:restartNumberingAfterBreak="0">
    <w:nsid w:val="6B3767B2"/>
    <w:multiLevelType w:val="hybridMultilevel"/>
    <w:tmpl w:val="CF9ADD54"/>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819" w:hanging="360"/>
      </w:pPr>
      <w:rPr>
        <w:rFonts w:ascii="Courier New" w:hAnsi="Courier New" w:cs="Courier New" w:hint="default"/>
      </w:rPr>
    </w:lvl>
    <w:lvl w:ilvl="2" w:tplc="20000005" w:tentative="1">
      <w:start w:val="1"/>
      <w:numFmt w:val="bullet"/>
      <w:lvlText w:val=""/>
      <w:lvlJc w:val="left"/>
      <w:pPr>
        <w:ind w:left="1539" w:hanging="360"/>
      </w:pPr>
      <w:rPr>
        <w:rFonts w:ascii="Wingdings" w:hAnsi="Wingdings" w:hint="default"/>
      </w:rPr>
    </w:lvl>
    <w:lvl w:ilvl="3" w:tplc="20000001" w:tentative="1">
      <w:start w:val="1"/>
      <w:numFmt w:val="bullet"/>
      <w:lvlText w:val=""/>
      <w:lvlJc w:val="left"/>
      <w:pPr>
        <w:ind w:left="2259" w:hanging="360"/>
      </w:pPr>
      <w:rPr>
        <w:rFonts w:ascii="Symbol" w:hAnsi="Symbol" w:hint="default"/>
      </w:rPr>
    </w:lvl>
    <w:lvl w:ilvl="4" w:tplc="20000003" w:tentative="1">
      <w:start w:val="1"/>
      <w:numFmt w:val="bullet"/>
      <w:lvlText w:val="o"/>
      <w:lvlJc w:val="left"/>
      <w:pPr>
        <w:ind w:left="2979" w:hanging="360"/>
      </w:pPr>
      <w:rPr>
        <w:rFonts w:ascii="Courier New" w:hAnsi="Courier New" w:cs="Courier New" w:hint="default"/>
      </w:rPr>
    </w:lvl>
    <w:lvl w:ilvl="5" w:tplc="20000005" w:tentative="1">
      <w:start w:val="1"/>
      <w:numFmt w:val="bullet"/>
      <w:lvlText w:val=""/>
      <w:lvlJc w:val="left"/>
      <w:pPr>
        <w:ind w:left="3699" w:hanging="360"/>
      </w:pPr>
      <w:rPr>
        <w:rFonts w:ascii="Wingdings" w:hAnsi="Wingdings" w:hint="default"/>
      </w:rPr>
    </w:lvl>
    <w:lvl w:ilvl="6" w:tplc="20000001" w:tentative="1">
      <w:start w:val="1"/>
      <w:numFmt w:val="bullet"/>
      <w:lvlText w:val=""/>
      <w:lvlJc w:val="left"/>
      <w:pPr>
        <w:ind w:left="4419" w:hanging="360"/>
      </w:pPr>
      <w:rPr>
        <w:rFonts w:ascii="Symbol" w:hAnsi="Symbol" w:hint="default"/>
      </w:rPr>
    </w:lvl>
    <w:lvl w:ilvl="7" w:tplc="20000003" w:tentative="1">
      <w:start w:val="1"/>
      <w:numFmt w:val="bullet"/>
      <w:lvlText w:val="o"/>
      <w:lvlJc w:val="left"/>
      <w:pPr>
        <w:ind w:left="5139" w:hanging="360"/>
      </w:pPr>
      <w:rPr>
        <w:rFonts w:ascii="Courier New" w:hAnsi="Courier New" w:cs="Courier New" w:hint="default"/>
      </w:rPr>
    </w:lvl>
    <w:lvl w:ilvl="8" w:tplc="20000005" w:tentative="1">
      <w:start w:val="1"/>
      <w:numFmt w:val="bullet"/>
      <w:lvlText w:val=""/>
      <w:lvlJc w:val="left"/>
      <w:pPr>
        <w:ind w:left="5859" w:hanging="360"/>
      </w:pPr>
      <w:rPr>
        <w:rFonts w:ascii="Wingdings" w:hAnsi="Wingdings" w:hint="default"/>
      </w:rPr>
    </w:lvl>
  </w:abstractNum>
  <w:abstractNum w:abstractNumId="45"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60444CF"/>
    <w:multiLevelType w:val="hybridMultilevel"/>
    <w:tmpl w:val="253253B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7F9D6FB8"/>
    <w:multiLevelType w:val="hybridMultilevel"/>
    <w:tmpl w:val="4B18439C"/>
    <w:lvl w:ilvl="0" w:tplc="041CEC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3"/>
  </w:num>
  <w:num w:numId="3">
    <w:abstractNumId w:val="50"/>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7"/>
  </w:num>
  <w:num w:numId="6">
    <w:abstractNumId w:val="34"/>
  </w:num>
  <w:num w:numId="7">
    <w:abstractNumId w:val="51"/>
  </w:num>
  <w:num w:numId="8">
    <w:abstractNumId w:val="18"/>
  </w:num>
  <w:num w:numId="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0">
    <w:abstractNumId w:val="44"/>
  </w:num>
  <w:num w:numId="11">
    <w:abstractNumId w:val="12"/>
  </w:num>
  <w:num w:numId="12">
    <w:abstractNumId w:val="22"/>
  </w:num>
  <w:num w:numId="13">
    <w:abstractNumId w:val="33"/>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5">
    <w:abstractNumId w:val="42"/>
  </w:num>
  <w:num w:numId="16">
    <w:abstractNumId w:val="31"/>
  </w:num>
  <w:num w:numId="17">
    <w:abstractNumId w:val="46"/>
  </w:num>
  <w:num w:numId="18">
    <w:abstractNumId w:val="28"/>
  </w:num>
  <w:num w:numId="19">
    <w:abstractNumId w:val="38"/>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9"/>
  </w:num>
  <w:num w:numId="22">
    <w:abstractNumId w:val="32"/>
  </w:num>
  <w:num w:numId="23">
    <w:abstractNumId w:val="26"/>
  </w:num>
  <w:num w:numId="24">
    <w:abstractNumId w:val="19"/>
  </w:num>
  <w:num w:numId="25">
    <w:abstractNumId w:val="54"/>
  </w:num>
  <w:num w:numId="26">
    <w:abstractNumId w:val="23"/>
  </w:num>
  <w:num w:numId="27">
    <w:abstractNumId w:val="21"/>
  </w:num>
  <w:num w:numId="28">
    <w:abstractNumId w:val="6"/>
  </w:num>
  <w:num w:numId="29">
    <w:abstractNumId w:val="10"/>
  </w:num>
  <w:num w:numId="30">
    <w:abstractNumId w:val="20"/>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30"/>
  </w:num>
  <w:num w:numId="33">
    <w:abstractNumId w:val="7"/>
  </w:num>
  <w:num w:numId="34">
    <w:abstractNumId w:val="39"/>
  </w:num>
  <w:num w:numId="35">
    <w:abstractNumId w:val="14"/>
  </w:num>
  <w:num w:numId="36">
    <w:abstractNumId w:val="11"/>
  </w:num>
  <w:num w:numId="37">
    <w:abstractNumId w:val="37"/>
  </w:num>
  <w:num w:numId="38">
    <w:abstractNumId w:val="15"/>
  </w:num>
  <w:num w:numId="39">
    <w:abstractNumId w:val="24"/>
  </w:num>
  <w:num w:numId="40">
    <w:abstractNumId w:val="29"/>
  </w:num>
  <w:num w:numId="41">
    <w:abstractNumId w:val="52"/>
  </w:num>
  <w:num w:numId="42">
    <w:abstractNumId w:val="5"/>
  </w:num>
  <w:num w:numId="43">
    <w:abstractNumId w:val="4"/>
  </w:num>
  <w:num w:numId="44">
    <w:abstractNumId w:val="27"/>
  </w:num>
  <w:num w:numId="45">
    <w:abstractNumId w:val="40"/>
  </w:num>
  <w:num w:numId="46">
    <w:abstractNumId w:val="13"/>
  </w:num>
  <w:num w:numId="47">
    <w:abstractNumId w:val="49"/>
  </w:num>
  <w:num w:numId="48">
    <w:abstractNumId w:val="2"/>
  </w:num>
  <w:num w:numId="49">
    <w:abstractNumId w:val="47"/>
  </w:num>
  <w:num w:numId="50">
    <w:abstractNumId w:val="16"/>
  </w:num>
  <w:num w:numId="51">
    <w:abstractNumId w:val="36"/>
  </w:num>
  <w:num w:numId="52">
    <w:abstractNumId w:val="3"/>
  </w:num>
  <w:num w:numId="53">
    <w:abstractNumId w:val="25"/>
  </w:num>
  <w:num w:numId="54">
    <w:abstractNumId w:val="48"/>
  </w:num>
  <w:num w:numId="55">
    <w:abstractNumId w:val="45"/>
  </w:num>
  <w:num w:numId="56">
    <w:abstractNumId w:val="8"/>
  </w:num>
  <w:num w:numId="57">
    <w:abstractNumId w:val="53"/>
  </w:num>
  <w:num w:numId="58">
    <w:abstractNumId w:val="41"/>
  </w:num>
  <w:num w:numId="59">
    <w:abstractNumId w:val="3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E64"/>
    <w:rsid w:val="00017D54"/>
    <w:rsid w:val="00020D21"/>
    <w:rsid w:val="00034B03"/>
    <w:rsid w:val="00036171"/>
    <w:rsid w:val="00050772"/>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D394D"/>
    <w:rsid w:val="000D408E"/>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979DF"/>
    <w:rsid w:val="001A7210"/>
    <w:rsid w:val="001B22C0"/>
    <w:rsid w:val="001B4437"/>
    <w:rsid w:val="001C1A5A"/>
    <w:rsid w:val="001E391D"/>
    <w:rsid w:val="001E4AD9"/>
    <w:rsid w:val="001F0DA8"/>
    <w:rsid w:val="001F7A4C"/>
    <w:rsid w:val="0020048F"/>
    <w:rsid w:val="002059F6"/>
    <w:rsid w:val="00206A70"/>
    <w:rsid w:val="00207785"/>
    <w:rsid w:val="00207931"/>
    <w:rsid w:val="00207CB5"/>
    <w:rsid w:val="0022396F"/>
    <w:rsid w:val="00225236"/>
    <w:rsid w:val="00260F68"/>
    <w:rsid w:val="00274F3B"/>
    <w:rsid w:val="00286E07"/>
    <w:rsid w:val="00290C09"/>
    <w:rsid w:val="002914C0"/>
    <w:rsid w:val="002928E5"/>
    <w:rsid w:val="00293E88"/>
    <w:rsid w:val="00295E78"/>
    <w:rsid w:val="002A5636"/>
    <w:rsid w:val="002A7012"/>
    <w:rsid w:val="002B7981"/>
    <w:rsid w:val="002C2DFE"/>
    <w:rsid w:val="002C3E2F"/>
    <w:rsid w:val="002E044A"/>
    <w:rsid w:val="002E26A3"/>
    <w:rsid w:val="002F5945"/>
    <w:rsid w:val="002F6197"/>
    <w:rsid w:val="00300BD1"/>
    <w:rsid w:val="00304B0D"/>
    <w:rsid w:val="003066BE"/>
    <w:rsid w:val="00307F78"/>
    <w:rsid w:val="00311E5B"/>
    <w:rsid w:val="003227CC"/>
    <w:rsid w:val="003272E1"/>
    <w:rsid w:val="003341D1"/>
    <w:rsid w:val="0033522A"/>
    <w:rsid w:val="00350062"/>
    <w:rsid w:val="00350F7B"/>
    <w:rsid w:val="00373DC9"/>
    <w:rsid w:val="003822FE"/>
    <w:rsid w:val="00395F2C"/>
    <w:rsid w:val="003A0D87"/>
    <w:rsid w:val="003A638A"/>
    <w:rsid w:val="003B20A0"/>
    <w:rsid w:val="003B6E5F"/>
    <w:rsid w:val="003C14DE"/>
    <w:rsid w:val="003C3D98"/>
    <w:rsid w:val="003C404F"/>
    <w:rsid w:val="003C4E9F"/>
    <w:rsid w:val="003F326D"/>
    <w:rsid w:val="003F4FAE"/>
    <w:rsid w:val="003F560D"/>
    <w:rsid w:val="003F79EF"/>
    <w:rsid w:val="0040484B"/>
    <w:rsid w:val="004136CF"/>
    <w:rsid w:val="0043191A"/>
    <w:rsid w:val="00434EA7"/>
    <w:rsid w:val="0043723D"/>
    <w:rsid w:val="00437387"/>
    <w:rsid w:val="00487166"/>
    <w:rsid w:val="004978C1"/>
    <w:rsid w:val="004A5CD7"/>
    <w:rsid w:val="004A631F"/>
    <w:rsid w:val="004C4048"/>
    <w:rsid w:val="004D7AC0"/>
    <w:rsid w:val="004E2C88"/>
    <w:rsid w:val="004E70CF"/>
    <w:rsid w:val="004F4B0E"/>
    <w:rsid w:val="004F548C"/>
    <w:rsid w:val="00517783"/>
    <w:rsid w:val="00520600"/>
    <w:rsid w:val="00532089"/>
    <w:rsid w:val="005547CA"/>
    <w:rsid w:val="005559ED"/>
    <w:rsid w:val="005565A0"/>
    <w:rsid w:val="00560FCF"/>
    <w:rsid w:val="00560FD9"/>
    <w:rsid w:val="00574AE9"/>
    <w:rsid w:val="00576A37"/>
    <w:rsid w:val="00586B4B"/>
    <w:rsid w:val="005A0BDA"/>
    <w:rsid w:val="005A13AE"/>
    <w:rsid w:val="005B3E63"/>
    <w:rsid w:val="005C3B4E"/>
    <w:rsid w:val="005D3B72"/>
    <w:rsid w:val="005E1B10"/>
    <w:rsid w:val="005E65F1"/>
    <w:rsid w:val="005E7651"/>
    <w:rsid w:val="006036EC"/>
    <w:rsid w:val="006048C3"/>
    <w:rsid w:val="00607388"/>
    <w:rsid w:val="00621588"/>
    <w:rsid w:val="00625CA3"/>
    <w:rsid w:val="0063270F"/>
    <w:rsid w:val="0063478E"/>
    <w:rsid w:val="006347E9"/>
    <w:rsid w:val="00641262"/>
    <w:rsid w:val="00643832"/>
    <w:rsid w:val="0066204A"/>
    <w:rsid w:val="00663B69"/>
    <w:rsid w:val="00663D1D"/>
    <w:rsid w:val="006665CE"/>
    <w:rsid w:val="00673030"/>
    <w:rsid w:val="00674DC9"/>
    <w:rsid w:val="00675D88"/>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6281"/>
    <w:rsid w:val="007772BB"/>
    <w:rsid w:val="00787993"/>
    <w:rsid w:val="00790212"/>
    <w:rsid w:val="00793264"/>
    <w:rsid w:val="007977EB"/>
    <w:rsid w:val="007A1ECF"/>
    <w:rsid w:val="007A23FD"/>
    <w:rsid w:val="007A4448"/>
    <w:rsid w:val="007A4A04"/>
    <w:rsid w:val="007A5C3E"/>
    <w:rsid w:val="007C5067"/>
    <w:rsid w:val="007C5687"/>
    <w:rsid w:val="007D38CF"/>
    <w:rsid w:val="007D4BC5"/>
    <w:rsid w:val="007D4F80"/>
    <w:rsid w:val="007E5208"/>
    <w:rsid w:val="007F1687"/>
    <w:rsid w:val="007F5784"/>
    <w:rsid w:val="007F59F8"/>
    <w:rsid w:val="00800D55"/>
    <w:rsid w:val="0080305A"/>
    <w:rsid w:val="00811AE6"/>
    <w:rsid w:val="008140AB"/>
    <w:rsid w:val="00845F24"/>
    <w:rsid w:val="0084634B"/>
    <w:rsid w:val="00850BA4"/>
    <w:rsid w:val="00852896"/>
    <w:rsid w:val="00874920"/>
    <w:rsid w:val="008776D6"/>
    <w:rsid w:val="0088219D"/>
    <w:rsid w:val="00887AAF"/>
    <w:rsid w:val="008923EE"/>
    <w:rsid w:val="008A001E"/>
    <w:rsid w:val="008A069D"/>
    <w:rsid w:val="008A129B"/>
    <w:rsid w:val="008B10AA"/>
    <w:rsid w:val="008B1374"/>
    <w:rsid w:val="008B365F"/>
    <w:rsid w:val="008B7128"/>
    <w:rsid w:val="008C1E36"/>
    <w:rsid w:val="008F0A57"/>
    <w:rsid w:val="008F2ED1"/>
    <w:rsid w:val="008F720A"/>
    <w:rsid w:val="00903E48"/>
    <w:rsid w:val="0090676E"/>
    <w:rsid w:val="00920DBD"/>
    <w:rsid w:val="0093269E"/>
    <w:rsid w:val="00933DDE"/>
    <w:rsid w:val="00954942"/>
    <w:rsid w:val="00960878"/>
    <w:rsid w:val="00961E7E"/>
    <w:rsid w:val="00971406"/>
    <w:rsid w:val="009757DF"/>
    <w:rsid w:val="009A26EA"/>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4073"/>
    <w:rsid w:val="00AD2B01"/>
    <w:rsid w:val="00AD3765"/>
    <w:rsid w:val="00AE1443"/>
    <w:rsid w:val="00AF66DD"/>
    <w:rsid w:val="00B1108D"/>
    <w:rsid w:val="00B12AD6"/>
    <w:rsid w:val="00B16290"/>
    <w:rsid w:val="00B17AA2"/>
    <w:rsid w:val="00B203DA"/>
    <w:rsid w:val="00B22D81"/>
    <w:rsid w:val="00B26936"/>
    <w:rsid w:val="00B31D9D"/>
    <w:rsid w:val="00B35D40"/>
    <w:rsid w:val="00B417D4"/>
    <w:rsid w:val="00B42CFA"/>
    <w:rsid w:val="00B5012B"/>
    <w:rsid w:val="00B518C9"/>
    <w:rsid w:val="00B56DC5"/>
    <w:rsid w:val="00B609BB"/>
    <w:rsid w:val="00B6140C"/>
    <w:rsid w:val="00B62C90"/>
    <w:rsid w:val="00B74D18"/>
    <w:rsid w:val="00B76E22"/>
    <w:rsid w:val="00B84F37"/>
    <w:rsid w:val="00B90BB4"/>
    <w:rsid w:val="00B9454C"/>
    <w:rsid w:val="00B97735"/>
    <w:rsid w:val="00BA33D2"/>
    <w:rsid w:val="00BA4FAE"/>
    <w:rsid w:val="00BA7DA9"/>
    <w:rsid w:val="00BC3DCE"/>
    <w:rsid w:val="00BD0A76"/>
    <w:rsid w:val="00BD13B3"/>
    <w:rsid w:val="00BD6D59"/>
    <w:rsid w:val="00BE54B3"/>
    <w:rsid w:val="00BF4B8A"/>
    <w:rsid w:val="00C008B4"/>
    <w:rsid w:val="00C0422F"/>
    <w:rsid w:val="00C1318C"/>
    <w:rsid w:val="00C178B4"/>
    <w:rsid w:val="00C17ABD"/>
    <w:rsid w:val="00C26C67"/>
    <w:rsid w:val="00C351BC"/>
    <w:rsid w:val="00C54777"/>
    <w:rsid w:val="00C6005D"/>
    <w:rsid w:val="00C6788D"/>
    <w:rsid w:val="00C73CDB"/>
    <w:rsid w:val="00C821A5"/>
    <w:rsid w:val="00C93EBC"/>
    <w:rsid w:val="00CB1912"/>
    <w:rsid w:val="00CB6673"/>
    <w:rsid w:val="00CD57F4"/>
    <w:rsid w:val="00D032F4"/>
    <w:rsid w:val="00D27336"/>
    <w:rsid w:val="00D43613"/>
    <w:rsid w:val="00D44E5F"/>
    <w:rsid w:val="00D508F7"/>
    <w:rsid w:val="00D56FF8"/>
    <w:rsid w:val="00D60502"/>
    <w:rsid w:val="00D6433F"/>
    <w:rsid w:val="00D664E2"/>
    <w:rsid w:val="00D66704"/>
    <w:rsid w:val="00D7076A"/>
    <w:rsid w:val="00D72442"/>
    <w:rsid w:val="00D7556E"/>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E45AC"/>
    <w:rsid w:val="00EF1F75"/>
    <w:rsid w:val="00F14ED2"/>
    <w:rsid w:val="00F20B55"/>
    <w:rsid w:val="00F23BF2"/>
    <w:rsid w:val="00F27BB3"/>
    <w:rsid w:val="00F47E37"/>
    <w:rsid w:val="00F53C93"/>
    <w:rsid w:val="00F57E76"/>
    <w:rsid w:val="00F83C17"/>
    <w:rsid w:val="00F923F1"/>
    <w:rsid w:val="00F94D46"/>
    <w:rsid w:val="00F96D7F"/>
    <w:rsid w:val="00FA584E"/>
    <w:rsid w:val="00FA6D2E"/>
    <w:rsid w:val="00FB2DAD"/>
    <w:rsid w:val="00FB583C"/>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pl/our-work/opinions-information-reports/opinions/eu-fund-cohesion-agriculture-and-rural-fisheries-and-maritime-prosperity-and-security" TargetMode="External"/><Relationship Id="rId21" Type="http://schemas.openxmlformats.org/officeDocument/2006/relationships/hyperlink" Target="mailto:Antoni.TorrasEstruch@eesc.europa.eu" TargetMode="External"/><Relationship Id="rId42" Type="http://schemas.openxmlformats.org/officeDocument/2006/relationships/hyperlink" Target="mailto:Alice.Tetu@eesc.europa.eu" TargetMode="External"/><Relationship Id="rId47" Type="http://schemas.openxmlformats.org/officeDocument/2006/relationships/hyperlink" Target="https://www.eesc.europa.eu/pl/our-work/opinions-information-reports/opinions/apply-ai-strategy-strengthening-ai-continent" TargetMode="External"/><Relationship Id="rId63" Type="http://schemas.openxmlformats.org/officeDocument/2006/relationships/hyperlink" Target="mailto:Martine.Delanoy@eesc.europa.eu"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Gerald.Klec@eesc.europa.eu" TargetMode="External"/><Relationship Id="rId11" Type="http://schemas.openxmlformats.org/officeDocument/2006/relationships/image" Target="media/image1.jpeg"/><Relationship Id="rId24" Type="http://schemas.openxmlformats.org/officeDocument/2006/relationships/hyperlink" Target="https://www.eesc.europa.eu/pl/our-work/opinions-information-reports/opinions/multiannual-financial-framework-2028-2034" TargetMode="External"/><Relationship Id="rId32" Type="http://schemas.openxmlformats.org/officeDocument/2006/relationships/hyperlink" Target="https://www.eesc.europa.eu/pl/our-work/opinions-information-reports/opinions/proposal-regulation-erasmus" TargetMode="External"/><Relationship Id="rId37" Type="http://schemas.openxmlformats.org/officeDocument/2006/relationships/hyperlink" Target="https://eur-lex.europa.eu/legal-content/PL/TXT/?uri=CELEX%3A52019AE3047&amp;qid=1768437686704" TargetMode="External"/><Relationship Id="rId40" Type="http://schemas.openxmlformats.org/officeDocument/2006/relationships/hyperlink" Target="mailto:GiorgiaAndrea.Bordignon@eesc.europa.eu" TargetMode="External"/><Relationship Id="rId45" Type="http://schemas.openxmlformats.org/officeDocument/2006/relationships/hyperlink" Target="https://www.eesc.europa.eu/pl/our-work/opinions-information-reports/opinions/quantum-strategy" TargetMode="External"/><Relationship Id="rId53" Type="http://schemas.openxmlformats.org/officeDocument/2006/relationships/hyperlink" Target="https://www.eesc.europa.eu/pl/our-work/opinions-information-reports/opinions/amendment-market-stability-reserve-buildings-road-transport-and-additional-sectors" TargetMode="External"/><Relationship Id="rId58" Type="http://schemas.openxmlformats.org/officeDocument/2006/relationships/hyperlink" Target="mailto:Myrto.Kolyva@eesc.europa.eu" TargetMode="External"/><Relationship Id="rId66" Type="http://schemas.openxmlformats.org/officeDocument/2006/relationships/header" Target="header4.xml"/><Relationship Id="rId74" Type="http://schemas.openxmlformats.org/officeDocument/2006/relationships/customXml" Target="../customXml/item5.xml"/><Relationship Id="rId5" Type="http://schemas.openxmlformats.org/officeDocument/2006/relationships/numbering" Target="numbering.xml"/><Relationship Id="rId61" Type="http://schemas.openxmlformats.org/officeDocument/2006/relationships/hyperlink" Target="https://www.eesc.europa.eu/pl/our-work/opinions-information-reports/opinions/common-agricultural-policy-cap-post-2027"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pl/our-work/opinions-information-reports/opinions/euro-area-economic-policy-2026"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pl/our-work/opinions-information-reports/opinions/my-voice-my-choice-safe-and-accessible-abortion" TargetMode="External"/><Relationship Id="rId35" Type="http://schemas.openxmlformats.org/officeDocument/2006/relationships/hyperlink" Target="mailto:Bartek.Bednarowicz@eesc.europa.eu" TargetMode="External"/><Relationship Id="rId43" Type="http://schemas.openxmlformats.org/officeDocument/2006/relationships/hyperlink" Target="https://www.eesc.europa.eu/pl/our-work/opinions-information-reports/opinions/single-market-and-customs-programme-2028-2034" TargetMode="External"/><Relationship Id="rId48" Type="http://schemas.openxmlformats.org/officeDocument/2006/relationships/hyperlink" Target="mailto:Yousra.AsbouniElOuahabi@eesc.europa.eu" TargetMode="External"/><Relationship Id="rId56" Type="http://schemas.openxmlformats.org/officeDocument/2006/relationships/hyperlink" Target="mailto:Martine.Delanoy@eesc.europa.eu" TargetMode="External"/><Relationship Id="rId64" Type="http://schemas.openxmlformats.org/officeDocument/2006/relationships/hyperlink" Target="https://www.eesc.europa.eu/pl/our-work/opinions-information-reports/opinions/eu-medical-countermeasures-and-stockpiling-strategies" TargetMode="External"/><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eesc.europa.eu/pl/our-work/opinions-information-reports/opinions/france-inter-american-convention-protection-and-conservation-sea-turtl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rald.Klec@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Yousra.AsbouniElOuahabi@eesc.europa.eu" TargetMode="External"/><Relationship Id="rId59" Type="http://schemas.openxmlformats.org/officeDocument/2006/relationships/hyperlink" Target="https://www.eesc.europa.eu/pl/our-work/opinions-information-reports/opinions/revision-common-fisheries-policy" TargetMode="External"/><Relationship Id="rId67" Type="http://schemas.openxmlformats.org/officeDocument/2006/relationships/header" Target="header5.xml"/><Relationship Id="rId20" Type="http://schemas.openxmlformats.org/officeDocument/2006/relationships/hyperlink" Target="https://www.eesc.europa.eu/pl/our-work/opinions-information-reports/opinions/eesc-contribution-eus-priorities-uncsw70" TargetMode="External"/><Relationship Id="rId41" Type="http://schemas.openxmlformats.org/officeDocument/2006/relationships/hyperlink" Target="https://www.eesc.europa.eu/pl/our-work/opinions-information-reports/opinions/extension-interim-rules-online-child-sexual-abuse" TargetMode="External"/><Relationship Id="rId54" Type="http://schemas.openxmlformats.org/officeDocument/2006/relationships/hyperlink" Target="mailto:Gaizka.MaloElcoro-Iribe@eesc.europa.eu" TargetMode="External"/><Relationship Id="rId62" Type="http://schemas.openxmlformats.org/officeDocument/2006/relationships/hyperlink" Target="mailto:Arturo.Iniguez@eesc.europa.eu"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https://www.eesc.europa.eu/pl/our-work/opinions-information-reports/opinions/own-resources-2025-proposal" TargetMode="External"/><Relationship Id="rId36" Type="http://schemas.openxmlformats.org/officeDocument/2006/relationships/hyperlink" Target="https://www.eesc.europa.eu/pl/our-work/opinions-information-reports/opinions/bilateral-road-transport-agreement-between-austria-and-switzerland" TargetMode="External"/><Relationship Id="rId49" Type="http://schemas.openxmlformats.org/officeDocument/2006/relationships/hyperlink" Target="https://www.eesc.europa.eu/pl/our-work/opinions-information-reports/opinions/horizon-europe-0" TargetMode="External"/><Relationship Id="rId57" Type="http://schemas.openxmlformats.org/officeDocument/2006/relationships/hyperlink" Target="https://www.eesc.europa.eu/pl/our-work/opinions-information-reports/opinions/revision-common-market-organisation-cmo-regulation" TargetMode="External"/><Relationship Id="rId10" Type="http://schemas.openxmlformats.org/officeDocument/2006/relationships/endnotes" Target="endnotes.xml"/><Relationship Id="rId31" Type="http://schemas.openxmlformats.org/officeDocument/2006/relationships/hyperlink" Target="mailto:Antoni.TorrasEstruch@eesc.europa.eu" TargetMode="External"/><Relationship Id="rId44" Type="http://schemas.openxmlformats.org/officeDocument/2006/relationships/hyperlink" Target="mailto:Marco.Manfroni@eesc.europa.eu" TargetMode="External"/><Relationship Id="rId52" Type="http://schemas.openxmlformats.org/officeDocument/2006/relationships/hyperlink" Target="mailto:Arturo.Iniguez@eesc.europa.eu" TargetMode="External"/><Relationship Id="rId60" Type="http://schemas.openxmlformats.org/officeDocument/2006/relationships/hyperlink" Target="mailto:Arturo.Iniguez@eesc.europa.eu" TargetMode="External"/><Relationship Id="rId65" Type="http://schemas.openxmlformats.org/officeDocument/2006/relationships/hyperlink" Target="mailto:Laia.TomasVinardell@eesc.europa.e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https://www.eesc.europa.eu/pl/our-work/opinions-information-reports/opinions/connecting-europe-facility-2028-2034" TargetMode="External"/><Relationship Id="rId34" Type="http://schemas.openxmlformats.org/officeDocument/2006/relationships/hyperlink" Target="https://www.eesc.europa.eu/pl/our-work/opinions-information-reports/opinions/establishing-european-social-fund-part-national-and-regional-partnership-plan" TargetMode="External"/><Relationship Id="rId50" Type="http://schemas.openxmlformats.org/officeDocument/2006/relationships/hyperlink" Target="mailto:Jana.Valant@eesc.europa.eu" TargetMode="External"/><Relationship Id="rId55" Type="http://schemas.openxmlformats.org/officeDocument/2006/relationships/hyperlink" Target="https://www.eesc.europa.eu/pl/our-work/opinions-information-reports/opinions/amendment-data-protection-biocidal-products" TargetMode="External"/><Relationship Id="rId7" Type="http://schemas.openxmlformats.org/officeDocument/2006/relationships/settings" Target="setting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A6WAAD5KZT2Q-1415362569-3023</_dlc_DocId>
    <_dlc_DocIdUrl xmlns="1a33af13-4045-4f88-9d7b-618e30f79918">
      <Url>http://dm/eesc/2025/_layouts/15/DocIdRedir.aspx?ID=A6WAAD5KZT2Q-1415362569-3023</Url>
      <Description>A6WAAD5KZT2Q-1415362569-3023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2026-02-06T12:00:00+00:00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Kosim-Basimoglu Anna</DisplayName>
        <AccountId>1553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2DCFD2-B6C9-4B84-883E-D601E5E47949}">
  <ds:schemaRefs>
    <ds:schemaRef ds:uri="http://schemas.openxmlformats.org/officeDocument/2006/bibliography"/>
  </ds:schemaRefs>
</ds:datastoreItem>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8C22FC6A-0186-44D0-949B-7A4B8D3651B7}"/>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5.xml><?xml version="1.0" encoding="utf-8"?>
<ds:datastoreItem xmlns:ds="http://schemas.openxmlformats.org/officeDocument/2006/customXml" ds:itemID="{38DF40F2-FDD1-4195-9F1A-8F17ECB7BBD4}"/>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7932</Words>
  <Characters>45213</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- 602. sesja plenarna - styczeń 2026</dc:title>
  <dc:subject>ADMIN</dc:subject>
  <dc:creator/>
  <cp:keywords>COR-EESC-2022-02583-00-00-ADMIN-TRA-EN</cp:keywords>
  <dc:description>Rapporteur:  - Original language: EN - Date of document: 20/05/2022 - Date of meeting:  - External documents:  - Administrator:  SUCIU Serban</dc:description>
  <cp:lastModifiedBy/>
  <cp:revision>23</cp:revision>
  <dcterms:created xsi:type="dcterms:W3CDTF">2026-02-05T14:19:00Z</dcterms:created>
  <dcterms:modified xsi:type="dcterms:W3CDTF">2026-02-06T07:14:00Z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7401ccc3-42fd-47cc-b50a-d95df2cc2832</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42;#EL|6d4f4d51-af9b-4650-94b4-4276bee85c91;#35;#FI|87606a43-d45f-42d6-b8c9-e1a3457db5b7;#34;#IT|0774613c-01ed-4e5d-a25d-11d2388de825;#33;#PT|50ccc04a-eadd-42ae-a0cb-acaf45f812ba;#31;#SL|98a412ae-eb01-49e9-ae3d-585a81724cfc;#67;#SPL-CES|32d8cb1f-c9ec-4365-95c7-8385a18618ac;#50;#HR|2f555653-ed1a-4fe6-8362-9082d95989e5;#23;#DE|f6b31e5a-26fa-4935-b661-318e46daf27e;#19;#TCD|cd9d6eb6-3f4f-424a-b2d1-57c9d450eaaf;#15;#Unrestricted|826e22d7-d029-4ec0-a450-0c28ff673572;#13;#TRA|150d2a88-1431-44e6-a8ca-0bb753ab8672;#12;#FR|d2afafd3-4c81-4f60-8f52-ee33f2f54ff3;#8;#Final|ea5e6674-7b27-4bac-b091-73adbb394efe;#5;#EN|f2175f21-25d7-44a3-96da-d6a61b075e1b;#40;#DA|5d49c027-8956-412b-aa16-e85a0f96ad0e;#1;#EESC|422833ec-8d7e-4e65-8e4e-8bed07ffb729;#30;#LT|a7ff5ce7-6123-4f68-865a-a57c31810414</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24;#PL|1e03da61-4678-4e07-b136-b5024ca9197b</vt:lpwstr>
  </property>
  <property fmtid="{D5CDD505-2E9C-101B-9397-08002B2CF9AE}" pid="33" name="AvailableTranslations_0">
    <vt:lpwstr>SL|98a412ae-eb01-49e9-ae3d-585a81724cfc;DE|f6b31e5a-26fa-4935-b661-318e46daf27e;IT|0774613c-01ed-4e5d-a25d-11d2388de825;FR|d2afafd3-4c81-4f60-8f52-ee33f2f54ff3;EN|f2175f21-25d7-44a3-96da-d6a61b075e1b;FI|87606a43-d45f-42d6-b8c9-e1a3457db5b7;PT|50ccc04a-eadd-42ae-a0cb-acaf45f812ba;LT|a7ff5ce7-6123-4f68-865a-a57c31810414;EL|6d4f4d51-af9b-4650-94b4-4276bee85c91;HR|2f555653-ed1a-4fe6-8362-9082d95989e5;DA|5d49c027-8956-412b-aa16-e85a0f96ad0e</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