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6924DF7C" w:rsidR="004D7AC0" w:rsidRPr="00DE0AD0" w:rsidRDefault="002C494F" w:rsidP="00DE0AD0">
      <w:pPr>
        <w:jc w:val="center"/>
      </w:pPr>
      <w:r w:rsidRPr="00DE0AD0">
        <w:rPr>
          <w:noProof/>
        </w:rPr>
        <w:drawing>
          <wp:inline distT="0" distB="0" distL="0" distR="0" wp14:anchorId="1CC18760" wp14:editId="3BB6A6AC">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Picture 1" title="EESCLogo_C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sidRPr="00DE0AD0">
        <w:rPr>
          <w:noProof/>
          <w:sz w:val="20"/>
        </w:rPr>
        <mc:AlternateContent>
          <mc:Choice Requires="wps">
            <w:drawing>
              <wp:anchor distT="0" distB="0" distL="114300" distR="114300" simplePos="0" relativeHeight="251656192" behindDoc="1" locked="0" layoutInCell="0" allowOverlap="1" wp14:anchorId="4982DE48" wp14:editId="469E916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CS</w:t>
                      </w:r>
                    </w:p>
                  </w:txbxContent>
                </v:textbox>
                <w10:wrap anchorx="page" anchory="page"/>
              </v:shape>
            </w:pict>
          </mc:Fallback>
        </mc:AlternateContent>
      </w:r>
    </w:p>
    <w:p w14:paraId="4982DD4E" w14:textId="77777777" w:rsidR="004D7AC0" w:rsidRPr="00DE0AD0" w:rsidRDefault="004D7AC0" w:rsidP="00DE0AD0"/>
    <w:p w14:paraId="4982DD4F" w14:textId="481645D5" w:rsidR="004D7AC0" w:rsidRPr="00DE0AD0" w:rsidRDefault="00D0590F" w:rsidP="00DE0AD0">
      <w:pPr>
        <w:jc w:val="right"/>
      </w:pPr>
      <w:r>
        <w:t>V Bruselu dne</w:t>
      </w:r>
      <w:r w:rsidR="004D7AC0" w:rsidRPr="00DE0AD0">
        <w:t xml:space="preserve"> 6. února 2026</w:t>
      </w:r>
    </w:p>
    <w:p w14:paraId="4982DD50" w14:textId="77777777" w:rsidR="004D7AC0" w:rsidRPr="00DE0AD0" w:rsidRDefault="004D7AC0" w:rsidP="00DE0AD0"/>
    <w:p w14:paraId="4982DD51" w14:textId="77777777" w:rsidR="004D7AC0" w:rsidRPr="00DE0AD0" w:rsidRDefault="004D7AC0" w:rsidP="00DE0AD0"/>
    <w:p w14:paraId="4982DD52" w14:textId="77777777" w:rsidR="004D7AC0" w:rsidRPr="00DE0AD0" w:rsidRDefault="004D7AC0" w:rsidP="00DE0AD0"/>
    <w:tbl>
      <w:tblPr>
        <w:tblW w:w="0" w:type="auto"/>
        <w:tblLook w:val="04A0" w:firstRow="1" w:lastRow="0" w:firstColumn="1" w:lastColumn="0" w:noHBand="0" w:noVBand="1"/>
      </w:tblPr>
      <w:tblGrid>
        <w:gridCol w:w="9287"/>
      </w:tblGrid>
      <w:tr w:rsidR="004D7AC0" w:rsidRPr="00DE0AD0" w14:paraId="4982DD59" w14:textId="77777777" w:rsidTr="00600C84">
        <w:tc>
          <w:tcPr>
            <w:tcW w:w="9289" w:type="dxa"/>
            <w:tcBorders>
              <w:bottom w:val="double" w:sz="4" w:space="0" w:color="auto"/>
            </w:tcBorders>
          </w:tcPr>
          <w:p w14:paraId="4982DD53" w14:textId="5F4CB026" w:rsidR="003066BE" w:rsidRPr="00DE0AD0" w:rsidRDefault="00CD57F4" w:rsidP="00DE0AD0">
            <w:pPr>
              <w:snapToGrid w:val="0"/>
              <w:jc w:val="center"/>
              <w:rPr>
                <w:b/>
                <w:sz w:val="32"/>
                <w:szCs w:val="32"/>
              </w:rPr>
            </w:pPr>
            <w:r w:rsidRPr="00DE0AD0">
              <w:rPr>
                <w:b/>
                <w:sz w:val="32"/>
              </w:rPr>
              <w:t>602. PLENÁRNÍ ZASEDÁNÍ</w:t>
            </w:r>
          </w:p>
          <w:p w14:paraId="4982DD54" w14:textId="77777777" w:rsidR="003066BE" w:rsidRPr="00DE0AD0" w:rsidRDefault="003066BE" w:rsidP="00DE0AD0">
            <w:pPr>
              <w:snapToGrid w:val="0"/>
              <w:jc w:val="center"/>
              <w:rPr>
                <w:b/>
                <w:sz w:val="32"/>
                <w:szCs w:val="32"/>
              </w:rPr>
            </w:pPr>
          </w:p>
          <w:p w14:paraId="4982DD55" w14:textId="23A9B55A" w:rsidR="003066BE" w:rsidRPr="00DE0AD0" w:rsidRDefault="00903E48" w:rsidP="00DE0AD0">
            <w:pPr>
              <w:snapToGrid w:val="0"/>
              <w:jc w:val="center"/>
              <w:rPr>
                <w:b/>
                <w:sz w:val="32"/>
                <w:szCs w:val="32"/>
              </w:rPr>
            </w:pPr>
            <w:r w:rsidRPr="00DE0AD0">
              <w:rPr>
                <w:b/>
                <w:sz w:val="32"/>
              </w:rPr>
              <w:t xml:space="preserve">21. </w:t>
            </w:r>
            <w:r w:rsidR="00A447ED" w:rsidRPr="00DE0AD0">
              <w:rPr>
                <w:b/>
                <w:sz w:val="32"/>
              </w:rPr>
              <w:t xml:space="preserve">A 22. LEDNA </w:t>
            </w:r>
            <w:r w:rsidRPr="00DE0AD0">
              <w:rPr>
                <w:b/>
                <w:sz w:val="32"/>
              </w:rPr>
              <w:t>2026</w:t>
            </w:r>
          </w:p>
          <w:p w14:paraId="4982DD56" w14:textId="77777777" w:rsidR="003066BE" w:rsidRPr="00DE0AD0" w:rsidRDefault="003066BE" w:rsidP="00DE0AD0">
            <w:pPr>
              <w:snapToGrid w:val="0"/>
              <w:jc w:val="center"/>
              <w:rPr>
                <w:b/>
                <w:sz w:val="32"/>
                <w:szCs w:val="32"/>
              </w:rPr>
            </w:pPr>
          </w:p>
          <w:p w14:paraId="4982DD57" w14:textId="2A3C11ED" w:rsidR="004D7AC0" w:rsidRPr="00DE0AD0" w:rsidRDefault="00754027" w:rsidP="00DE0AD0">
            <w:pPr>
              <w:snapToGrid w:val="0"/>
              <w:jc w:val="center"/>
              <w:rPr>
                <w:rFonts w:eastAsia="MS Mincho"/>
                <w:b/>
                <w:sz w:val="32"/>
                <w:szCs w:val="32"/>
              </w:rPr>
            </w:pPr>
            <w:r w:rsidRPr="00DE0AD0">
              <w:rPr>
                <w:b/>
                <w:sz w:val="32"/>
              </w:rPr>
              <w:t xml:space="preserve">SOUHRN PŘIJATÝCH STANOVISEK, USNESENÍ </w:t>
            </w:r>
            <w:r w:rsidR="00DE0AD0">
              <w:rPr>
                <w:b/>
                <w:sz w:val="32"/>
              </w:rPr>
              <w:t>A </w:t>
            </w:r>
            <w:r w:rsidRPr="00DE0AD0">
              <w:rPr>
                <w:b/>
                <w:sz w:val="32"/>
              </w:rPr>
              <w:t>INFORMAČNÍCH / HODNOTÍCÍCH ZPRÁV</w:t>
            </w:r>
          </w:p>
          <w:p w14:paraId="4982DD58" w14:textId="77777777" w:rsidR="004D7AC0" w:rsidRPr="00DE0AD0" w:rsidRDefault="004D7AC0" w:rsidP="00DE0AD0">
            <w:pPr>
              <w:snapToGrid w:val="0"/>
            </w:pPr>
          </w:p>
        </w:tc>
      </w:tr>
      <w:tr w:rsidR="004D7AC0" w:rsidRPr="00DE0AD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DE0AD0" w:rsidRDefault="004D7AC0" w:rsidP="00DE0AD0">
            <w:pPr>
              <w:snapToGrid w:val="0"/>
              <w:jc w:val="center"/>
            </w:pPr>
            <w:r w:rsidRPr="00DE0AD0">
              <w:t>Tento dokument je k dispozici ve všech úředních jazycích Evropské unie na internetových stránkách EHSV na adrese:</w:t>
            </w:r>
            <w:r w:rsidRPr="00DE0AD0">
              <w:br/>
            </w:r>
            <w:r w:rsidRPr="00DE0AD0">
              <w:br/>
            </w:r>
            <w:hyperlink r:id="rId11" w:history="1">
              <w:r w:rsidRPr="00DE0AD0">
                <w:rPr>
                  <w:rStyle w:val="Hyperlink"/>
                </w:rPr>
                <w:t>https://www.eesc.europa.eu/cs/our-work/opinions-information-reports/p</w:t>
              </w:r>
              <w:r w:rsidRPr="00DE0AD0">
                <w:rPr>
                  <w:rStyle w:val="Hyperlink"/>
                </w:rPr>
                <w:t>l</w:t>
              </w:r>
              <w:r w:rsidRPr="00DE0AD0">
                <w:rPr>
                  <w:rStyle w:val="Hyperlink"/>
                </w:rPr>
                <w:t>enary-session-summaries</w:t>
              </w:r>
            </w:hyperlink>
          </w:p>
          <w:p w14:paraId="4982DD5C" w14:textId="00F22768" w:rsidR="004D7AC0" w:rsidRDefault="004D7AC0" w:rsidP="00DE0AD0">
            <w:pPr>
              <w:snapToGrid w:val="0"/>
              <w:jc w:val="center"/>
              <w:rPr>
                <w:rFonts w:eastAsia="SimSun"/>
              </w:rPr>
            </w:pPr>
          </w:p>
          <w:p w14:paraId="64DE821E" w14:textId="77777777" w:rsidR="003A3164" w:rsidRPr="00DE0AD0" w:rsidRDefault="003A3164" w:rsidP="00DE0AD0">
            <w:pPr>
              <w:snapToGrid w:val="0"/>
              <w:jc w:val="center"/>
              <w:rPr>
                <w:rFonts w:eastAsia="SimSun"/>
              </w:rPr>
            </w:pPr>
          </w:p>
          <w:p w14:paraId="4982DD5D" w14:textId="77777777" w:rsidR="004D7AC0" w:rsidRPr="00DE0AD0" w:rsidRDefault="004D7AC0" w:rsidP="00DE0AD0">
            <w:pPr>
              <w:snapToGrid w:val="0"/>
              <w:jc w:val="center"/>
            </w:pPr>
            <w:r w:rsidRPr="00DE0AD0">
              <w:t>Uvedená stanoviska jsou k dispozici on-line prostřednictvím vyhledávače EHSV:</w:t>
            </w:r>
            <w:r w:rsidRPr="00DE0AD0">
              <w:br/>
            </w:r>
            <w:r w:rsidRPr="00DE0AD0">
              <w:br/>
            </w:r>
            <w:hyperlink r:id="rId12" w:history="1">
              <w:r w:rsidRPr="00DE0AD0">
                <w:rPr>
                  <w:rStyle w:val="Hyperlink"/>
                </w:rPr>
                <w:t>https://dmsearch.eesc.europa.eu/se</w:t>
              </w:r>
              <w:r w:rsidRPr="00DE0AD0">
                <w:rPr>
                  <w:rStyle w:val="Hyperlink"/>
                </w:rPr>
                <w:t>a</w:t>
              </w:r>
              <w:r w:rsidRPr="00DE0AD0">
                <w:rPr>
                  <w:rStyle w:val="Hyperlink"/>
                </w:rPr>
                <w:t>rch/opinion</w:t>
              </w:r>
            </w:hyperlink>
          </w:p>
          <w:p w14:paraId="4982DD5E" w14:textId="77777777" w:rsidR="004D7AC0" w:rsidRPr="00DE0AD0" w:rsidRDefault="004D7AC0" w:rsidP="00DE0AD0">
            <w:pPr>
              <w:snapToGrid w:val="0"/>
              <w:jc w:val="center"/>
            </w:pPr>
          </w:p>
        </w:tc>
      </w:tr>
    </w:tbl>
    <w:p w14:paraId="4982DD60" w14:textId="77777777" w:rsidR="004D7AC0" w:rsidRPr="00DE0AD0" w:rsidRDefault="004D7AC0" w:rsidP="00DE0AD0"/>
    <w:p w14:paraId="4982DD61" w14:textId="77777777" w:rsidR="004D7AC0" w:rsidRPr="00DE0AD0" w:rsidRDefault="004D7AC0" w:rsidP="00DE0AD0"/>
    <w:p w14:paraId="4982DD62" w14:textId="77777777" w:rsidR="004D7AC0" w:rsidRPr="00DE0AD0" w:rsidRDefault="004D7AC0" w:rsidP="00DE0AD0">
      <w:pPr>
        <w:sectPr w:rsidR="004D7AC0" w:rsidRPr="00DE0AD0" w:rsidSect="00DE7CC7">
          <w:headerReference w:type="even" r:id="rId13"/>
          <w:headerReference w:type="default" r:id="rId14"/>
          <w:footerReference w:type="even" r:id="rId15"/>
          <w:footerReference w:type="default" r:id="rId16"/>
          <w:headerReference w:type="first" r:id="rId17"/>
          <w:footerReference w:type="first" r:id="rId18"/>
          <w:pgSz w:w="11907" w:h="16839" w:code="9"/>
          <w:pgMar w:top="1418" w:right="1418" w:bottom="1418" w:left="1418" w:header="709" w:footer="709" w:gutter="0"/>
          <w:pgNumType w:start="1"/>
          <w:cols w:space="708"/>
          <w:docGrid w:linePitch="360"/>
        </w:sectPr>
      </w:pPr>
    </w:p>
    <w:p w14:paraId="4982DD63" w14:textId="77777777" w:rsidR="004D7AC0" w:rsidRPr="00DE0AD0" w:rsidRDefault="004D7AC0" w:rsidP="00B50BBC">
      <w:pPr>
        <w:rPr>
          <w:b/>
        </w:rPr>
      </w:pPr>
      <w:r w:rsidRPr="00DE0AD0">
        <w:rPr>
          <w:b/>
        </w:rPr>
        <w:lastRenderedPageBreak/>
        <w:t>Obsah:</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DE0AD0" w:rsidRDefault="004D7AC0" w:rsidP="004E45AE">
          <w:pPr>
            <w:pStyle w:val="TOCHeading"/>
            <w:spacing w:before="0" w:after="100" w:line="288" w:lineRule="auto"/>
            <w:rPr>
              <w:rFonts w:ascii="Times New Roman" w:hAnsi="Times New Roman" w:cs="Times New Roman"/>
              <w:color w:val="auto"/>
              <w:sz w:val="22"/>
              <w:szCs w:val="22"/>
            </w:rPr>
          </w:pPr>
        </w:p>
        <w:p w14:paraId="4152C051" w14:textId="02A33D43" w:rsidR="007D4AF0" w:rsidRPr="00DE0AD0" w:rsidRDefault="004D7AC0" w:rsidP="004E45AE">
          <w:pPr>
            <w:pStyle w:val="TOC1"/>
            <w:tabs>
              <w:tab w:val="left" w:pos="440"/>
              <w:tab w:val="right" w:leader="dot" w:pos="9063"/>
            </w:tabs>
            <w:rPr>
              <w:rFonts w:eastAsiaTheme="minorEastAsia"/>
              <w:noProof/>
              <w:lang w:val="en-US"/>
            </w:rPr>
          </w:pPr>
          <w:r w:rsidRPr="00DE0AD0">
            <w:fldChar w:fldCharType="begin"/>
          </w:r>
          <w:r w:rsidRPr="00DE0AD0">
            <w:instrText xml:space="preserve"> TOC \o "1-3" \h \z \u </w:instrText>
          </w:r>
          <w:r w:rsidRPr="00DE0AD0">
            <w:fldChar w:fldCharType="separate"/>
          </w:r>
          <w:hyperlink w:anchor="_Toc220677676" w:history="1">
            <w:r w:rsidR="007D4AF0" w:rsidRPr="00B50BBC">
              <w:rPr>
                <w:rStyle w:val="Hyperlink"/>
                <w:bCs/>
                <w:noProof/>
              </w:rPr>
              <w:t>1.</w:t>
            </w:r>
            <w:r w:rsidR="007D4AF0" w:rsidRPr="00DE0AD0">
              <w:rPr>
                <w:rFonts w:eastAsiaTheme="minorEastAsia"/>
                <w:noProof/>
                <w:lang w:val="en-US"/>
              </w:rPr>
              <w:tab/>
            </w:r>
            <w:r w:rsidR="007D4AF0" w:rsidRPr="00DE0AD0">
              <w:rPr>
                <w:rStyle w:val="Hyperlink"/>
                <w:b/>
                <w:noProof/>
              </w:rPr>
              <w:t>USNESENÍ</w:t>
            </w:r>
            <w:r w:rsidR="007D4AF0" w:rsidRPr="00DE0AD0">
              <w:rPr>
                <w:noProof/>
                <w:webHidden/>
              </w:rPr>
              <w:tab/>
            </w:r>
            <w:r w:rsidR="007D4AF0" w:rsidRPr="00DE0AD0">
              <w:rPr>
                <w:noProof/>
                <w:webHidden/>
              </w:rPr>
              <w:fldChar w:fldCharType="begin"/>
            </w:r>
            <w:r w:rsidR="007D4AF0" w:rsidRPr="00DE0AD0">
              <w:rPr>
                <w:noProof/>
                <w:webHidden/>
              </w:rPr>
              <w:instrText xml:space="preserve"> PAGEREF _Toc220677676 \h </w:instrText>
            </w:r>
            <w:r w:rsidR="007D4AF0" w:rsidRPr="00DE0AD0">
              <w:rPr>
                <w:noProof/>
                <w:webHidden/>
              </w:rPr>
            </w:r>
            <w:r w:rsidR="007D4AF0" w:rsidRPr="00DE0AD0">
              <w:rPr>
                <w:noProof/>
                <w:webHidden/>
              </w:rPr>
              <w:fldChar w:fldCharType="separate"/>
            </w:r>
            <w:r w:rsidR="00296AA0">
              <w:rPr>
                <w:noProof/>
                <w:webHidden/>
              </w:rPr>
              <w:t>3</w:t>
            </w:r>
            <w:r w:rsidR="007D4AF0" w:rsidRPr="00DE0AD0">
              <w:rPr>
                <w:noProof/>
                <w:webHidden/>
              </w:rPr>
              <w:fldChar w:fldCharType="end"/>
            </w:r>
          </w:hyperlink>
        </w:p>
        <w:p w14:paraId="1EA8ADFB" w14:textId="6BA811FC" w:rsidR="007D4AF0" w:rsidRPr="00DE0AD0" w:rsidRDefault="003D4857" w:rsidP="004E45AE">
          <w:pPr>
            <w:pStyle w:val="TOC1"/>
            <w:tabs>
              <w:tab w:val="left" w:pos="440"/>
              <w:tab w:val="right" w:leader="dot" w:pos="9063"/>
            </w:tabs>
            <w:rPr>
              <w:rFonts w:eastAsiaTheme="minorEastAsia"/>
              <w:noProof/>
              <w:lang w:val="en-US"/>
            </w:rPr>
          </w:pPr>
          <w:hyperlink w:anchor="_Toc220677677" w:history="1">
            <w:r w:rsidR="007D4AF0" w:rsidRPr="00DE0AD0">
              <w:rPr>
                <w:rStyle w:val="Hyperlink"/>
                <w:b/>
                <w:noProof/>
              </w:rPr>
              <w:t>2.</w:t>
            </w:r>
            <w:r w:rsidR="007D4AF0" w:rsidRPr="00DE0AD0">
              <w:rPr>
                <w:rFonts w:eastAsiaTheme="minorEastAsia"/>
                <w:noProof/>
                <w:lang w:val="en-US"/>
              </w:rPr>
              <w:tab/>
            </w:r>
            <w:r w:rsidR="007D4AF0" w:rsidRPr="00DE0AD0">
              <w:rPr>
                <w:rStyle w:val="Hyperlink"/>
                <w:b/>
                <w:noProof/>
              </w:rPr>
              <w:t>HOSPODÁŘSKÁ A MĚNOVÁ UNIE, HOSPODÁŘSKÁ A SOCIÁLNÍ SOUDRŽNOST</w:t>
            </w:r>
            <w:r w:rsidR="007D4AF0" w:rsidRPr="00DE0AD0">
              <w:rPr>
                <w:noProof/>
                <w:webHidden/>
              </w:rPr>
              <w:tab/>
            </w:r>
            <w:r w:rsidR="007D4AF0" w:rsidRPr="00DE0AD0">
              <w:rPr>
                <w:noProof/>
                <w:webHidden/>
              </w:rPr>
              <w:fldChar w:fldCharType="begin"/>
            </w:r>
            <w:r w:rsidR="007D4AF0" w:rsidRPr="00DE0AD0">
              <w:rPr>
                <w:noProof/>
                <w:webHidden/>
              </w:rPr>
              <w:instrText xml:space="preserve"> PAGEREF _Toc220677677 \h </w:instrText>
            </w:r>
            <w:r w:rsidR="007D4AF0" w:rsidRPr="00DE0AD0">
              <w:rPr>
                <w:noProof/>
                <w:webHidden/>
              </w:rPr>
            </w:r>
            <w:r w:rsidR="007D4AF0" w:rsidRPr="00DE0AD0">
              <w:rPr>
                <w:noProof/>
                <w:webHidden/>
              </w:rPr>
              <w:fldChar w:fldCharType="separate"/>
            </w:r>
            <w:r w:rsidR="00296AA0">
              <w:rPr>
                <w:noProof/>
                <w:webHidden/>
              </w:rPr>
              <w:t>4</w:t>
            </w:r>
            <w:r w:rsidR="007D4AF0" w:rsidRPr="00DE0AD0">
              <w:rPr>
                <w:noProof/>
                <w:webHidden/>
              </w:rPr>
              <w:fldChar w:fldCharType="end"/>
            </w:r>
          </w:hyperlink>
        </w:p>
        <w:p w14:paraId="7C5112CE" w14:textId="4F8A8D72" w:rsidR="007D4AF0" w:rsidRPr="00DE0AD0" w:rsidRDefault="003D4857" w:rsidP="004E45AE">
          <w:pPr>
            <w:pStyle w:val="TOC1"/>
            <w:tabs>
              <w:tab w:val="left" w:pos="440"/>
              <w:tab w:val="right" w:leader="dot" w:pos="9063"/>
            </w:tabs>
            <w:rPr>
              <w:rFonts w:eastAsiaTheme="minorEastAsia"/>
              <w:noProof/>
              <w:lang w:val="en-US"/>
            </w:rPr>
          </w:pPr>
          <w:hyperlink w:anchor="_Toc220677711" w:history="1">
            <w:r w:rsidR="007D4AF0" w:rsidRPr="00DE0AD0">
              <w:rPr>
                <w:rStyle w:val="Hyperlink"/>
                <w:b/>
                <w:noProof/>
              </w:rPr>
              <w:t>3.</w:t>
            </w:r>
            <w:r w:rsidR="007D4AF0" w:rsidRPr="00DE0AD0">
              <w:rPr>
                <w:rFonts w:eastAsiaTheme="minorEastAsia"/>
                <w:noProof/>
                <w:lang w:val="en-US"/>
              </w:rPr>
              <w:tab/>
            </w:r>
            <w:r w:rsidR="007D4AF0" w:rsidRPr="00DE0AD0">
              <w:rPr>
                <w:rStyle w:val="Hyperlink"/>
                <w:b/>
                <w:noProof/>
              </w:rPr>
              <w:t>ZAMĚSTNANOST, SOCIÁLNÍ VĚCI, OBČANSTVÍ</w:t>
            </w:r>
            <w:r w:rsidR="007D4AF0" w:rsidRPr="00DE0AD0">
              <w:rPr>
                <w:noProof/>
                <w:webHidden/>
              </w:rPr>
              <w:tab/>
            </w:r>
            <w:r w:rsidR="007D4AF0" w:rsidRPr="00DE0AD0">
              <w:rPr>
                <w:noProof/>
                <w:webHidden/>
              </w:rPr>
              <w:fldChar w:fldCharType="begin"/>
            </w:r>
            <w:r w:rsidR="007D4AF0" w:rsidRPr="00DE0AD0">
              <w:rPr>
                <w:noProof/>
                <w:webHidden/>
              </w:rPr>
              <w:instrText xml:space="preserve"> PAGEREF _Toc220677711 \h </w:instrText>
            </w:r>
            <w:r w:rsidR="007D4AF0" w:rsidRPr="00DE0AD0">
              <w:rPr>
                <w:noProof/>
                <w:webHidden/>
              </w:rPr>
            </w:r>
            <w:r w:rsidR="007D4AF0" w:rsidRPr="00DE0AD0">
              <w:rPr>
                <w:noProof/>
                <w:webHidden/>
              </w:rPr>
              <w:fldChar w:fldCharType="separate"/>
            </w:r>
            <w:r w:rsidR="00296AA0">
              <w:rPr>
                <w:noProof/>
                <w:webHidden/>
              </w:rPr>
              <w:t>12</w:t>
            </w:r>
            <w:r w:rsidR="007D4AF0" w:rsidRPr="00DE0AD0">
              <w:rPr>
                <w:noProof/>
                <w:webHidden/>
              </w:rPr>
              <w:fldChar w:fldCharType="end"/>
            </w:r>
          </w:hyperlink>
        </w:p>
        <w:p w14:paraId="4D4B7421" w14:textId="57F5EFEA" w:rsidR="007D4AF0" w:rsidRPr="00DE0AD0" w:rsidRDefault="003D4857" w:rsidP="004E45AE">
          <w:pPr>
            <w:pStyle w:val="TOC1"/>
            <w:tabs>
              <w:tab w:val="left" w:pos="440"/>
              <w:tab w:val="right" w:leader="dot" w:pos="9063"/>
            </w:tabs>
            <w:rPr>
              <w:rFonts w:eastAsiaTheme="minorEastAsia"/>
              <w:noProof/>
              <w:lang w:val="en-US"/>
            </w:rPr>
          </w:pPr>
          <w:hyperlink w:anchor="_Toc220677712" w:history="1">
            <w:r w:rsidR="007D4AF0" w:rsidRPr="00DE0AD0">
              <w:rPr>
                <w:rStyle w:val="Hyperlink"/>
                <w:b/>
                <w:noProof/>
              </w:rPr>
              <w:t>4.</w:t>
            </w:r>
            <w:r w:rsidR="007D4AF0" w:rsidRPr="00DE0AD0">
              <w:rPr>
                <w:rFonts w:eastAsiaTheme="minorEastAsia"/>
                <w:noProof/>
                <w:lang w:val="en-US"/>
              </w:rPr>
              <w:tab/>
            </w:r>
            <w:r w:rsidR="007D4AF0" w:rsidRPr="00DE0AD0">
              <w:rPr>
                <w:rStyle w:val="Hyperlink"/>
                <w:b/>
                <w:noProof/>
              </w:rPr>
              <w:t>DOPRAVA, ENERGETIKA, INFRASTRUKTURA A INFORMAČNÍ SPOLEČNOST</w:t>
            </w:r>
            <w:r w:rsidR="007D4AF0" w:rsidRPr="00DE0AD0">
              <w:rPr>
                <w:noProof/>
                <w:webHidden/>
              </w:rPr>
              <w:tab/>
            </w:r>
            <w:r w:rsidR="007D4AF0" w:rsidRPr="00DE0AD0">
              <w:rPr>
                <w:noProof/>
                <w:webHidden/>
              </w:rPr>
              <w:fldChar w:fldCharType="begin"/>
            </w:r>
            <w:r w:rsidR="007D4AF0" w:rsidRPr="00DE0AD0">
              <w:rPr>
                <w:noProof/>
                <w:webHidden/>
              </w:rPr>
              <w:instrText xml:space="preserve"> PAGEREF _Toc220677712 \h </w:instrText>
            </w:r>
            <w:r w:rsidR="007D4AF0" w:rsidRPr="00DE0AD0">
              <w:rPr>
                <w:noProof/>
                <w:webHidden/>
              </w:rPr>
            </w:r>
            <w:r w:rsidR="007D4AF0" w:rsidRPr="00DE0AD0">
              <w:rPr>
                <w:noProof/>
                <w:webHidden/>
              </w:rPr>
              <w:fldChar w:fldCharType="separate"/>
            </w:r>
            <w:r w:rsidR="00296AA0">
              <w:rPr>
                <w:noProof/>
                <w:webHidden/>
              </w:rPr>
              <w:t>15</w:t>
            </w:r>
            <w:r w:rsidR="007D4AF0" w:rsidRPr="00DE0AD0">
              <w:rPr>
                <w:noProof/>
                <w:webHidden/>
              </w:rPr>
              <w:fldChar w:fldCharType="end"/>
            </w:r>
          </w:hyperlink>
        </w:p>
        <w:p w14:paraId="62B2E33D" w14:textId="0A16A86E" w:rsidR="007D4AF0" w:rsidRPr="00DE0AD0" w:rsidRDefault="003D4857" w:rsidP="004E45AE">
          <w:pPr>
            <w:pStyle w:val="TOC1"/>
            <w:tabs>
              <w:tab w:val="left" w:pos="440"/>
              <w:tab w:val="right" w:leader="dot" w:pos="9063"/>
            </w:tabs>
            <w:rPr>
              <w:rFonts w:eastAsiaTheme="minorEastAsia"/>
              <w:noProof/>
              <w:lang w:val="en-US"/>
            </w:rPr>
          </w:pPr>
          <w:hyperlink w:anchor="_Toc220677713" w:history="1">
            <w:r w:rsidR="007D4AF0" w:rsidRPr="00DE0AD0">
              <w:rPr>
                <w:rStyle w:val="Hyperlink"/>
                <w:b/>
                <w:noProof/>
              </w:rPr>
              <w:t>5.</w:t>
            </w:r>
            <w:r w:rsidR="007D4AF0" w:rsidRPr="00DE0AD0">
              <w:rPr>
                <w:rFonts w:eastAsiaTheme="minorEastAsia"/>
                <w:noProof/>
                <w:lang w:val="en-US"/>
              </w:rPr>
              <w:tab/>
            </w:r>
            <w:r w:rsidR="007D4AF0" w:rsidRPr="00DE0AD0">
              <w:rPr>
                <w:rStyle w:val="Hyperlink"/>
                <w:b/>
                <w:noProof/>
              </w:rPr>
              <w:t>JEDNOTNÝ TRH, VÝROBA A SPOTŘEBA</w:t>
            </w:r>
            <w:r w:rsidR="007D4AF0" w:rsidRPr="00DE0AD0">
              <w:rPr>
                <w:noProof/>
                <w:webHidden/>
              </w:rPr>
              <w:tab/>
            </w:r>
            <w:r w:rsidR="007D4AF0" w:rsidRPr="00DE0AD0">
              <w:rPr>
                <w:noProof/>
                <w:webHidden/>
              </w:rPr>
              <w:fldChar w:fldCharType="begin"/>
            </w:r>
            <w:r w:rsidR="007D4AF0" w:rsidRPr="00DE0AD0">
              <w:rPr>
                <w:noProof/>
                <w:webHidden/>
              </w:rPr>
              <w:instrText xml:space="preserve"> PAGEREF _Toc220677713 \h </w:instrText>
            </w:r>
            <w:r w:rsidR="007D4AF0" w:rsidRPr="00DE0AD0">
              <w:rPr>
                <w:noProof/>
                <w:webHidden/>
              </w:rPr>
            </w:r>
            <w:r w:rsidR="007D4AF0" w:rsidRPr="00DE0AD0">
              <w:rPr>
                <w:noProof/>
                <w:webHidden/>
              </w:rPr>
              <w:fldChar w:fldCharType="separate"/>
            </w:r>
            <w:r w:rsidR="00296AA0">
              <w:rPr>
                <w:noProof/>
                <w:webHidden/>
              </w:rPr>
              <w:t>17</w:t>
            </w:r>
            <w:r w:rsidR="007D4AF0" w:rsidRPr="00DE0AD0">
              <w:rPr>
                <w:noProof/>
                <w:webHidden/>
              </w:rPr>
              <w:fldChar w:fldCharType="end"/>
            </w:r>
          </w:hyperlink>
        </w:p>
        <w:p w14:paraId="03C47F6B" w14:textId="49D0DAD9" w:rsidR="007D4AF0" w:rsidRPr="00DE0AD0" w:rsidRDefault="003D4857" w:rsidP="004E45AE">
          <w:pPr>
            <w:pStyle w:val="TOC1"/>
            <w:tabs>
              <w:tab w:val="left" w:pos="440"/>
              <w:tab w:val="right" w:leader="dot" w:pos="9063"/>
            </w:tabs>
            <w:rPr>
              <w:rFonts w:eastAsiaTheme="minorEastAsia"/>
              <w:noProof/>
              <w:lang w:val="en-US"/>
            </w:rPr>
          </w:pPr>
          <w:hyperlink w:anchor="_Toc220677714" w:history="1">
            <w:r w:rsidR="007D4AF0" w:rsidRPr="00DE0AD0">
              <w:rPr>
                <w:rStyle w:val="Hyperlink"/>
                <w:b/>
                <w:noProof/>
              </w:rPr>
              <w:t>6.</w:t>
            </w:r>
            <w:r w:rsidR="007D4AF0" w:rsidRPr="00DE0AD0">
              <w:rPr>
                <w:rFonts w:eastAsiaTheme="minorEastAsia"/>
                <w:noProof/>
                <w:lang w:val="en-US"/>
              </w:rPr>
              <w:tab/>
            </w:r>
            <w:r w:rsidR="007D4AF0" w:rsidRPr="00DE0AD0">
              <w:rPr>
                <w:rStyle w:val="Hyperlink"/>
                <w:b/>
                <w:noProof/>
              </w:rPr>
              <w:t>ZEMĚDĚLSTVÍ, ROZVOJ VENKOVA, ŽIVOTNÍ PROSTŘEDÍ</w:t>
            </w:r>
            <w:r w:rsidR="007D4AF0" w:rsidRPr="00DE0AD0">
              <w:rPr>
                <w:noProof/>
                <w:webHidden/>
              </w:rPr>
              <w:tab/>
            </w:r>
            <w:r w:rsidR="007D4AF0" w:rsidRPr="00DE0AD0">
              <w:rPr>
                <w:noProof/>
                <w:webHidden/>
              </w:rPr>
              <w:fldChar w:fldCharType="begin"/>
            </w:r>
            <w:r w:rsidR="007D4AF0" w:rsidRPr="00DE0AD0">
              <w:rPr>
                <w:noProof/>
                <w:webHidden/>
              </w:rPr>
              <w:instrText xml:space="preserve"> PAGEREF _Toc220677714 \h </w:instrText>
            </w:r>
            <w:r w:rsidR="007D4AF0" w:rsidRPr="00DE0AD0">
              <w:rPr>
                <w:noProof/>
                <w:webHidden/>
              </w:rPr>
            </w:r>
            <w:r w:rsidR="007D4AF0" w:rsidRPr="00DE0AD0">
              <w:rPr>
                <w:noProof/>
                <w:webHidden/>
              </w:rPr>
              <w:fldChar w:fldCharType="separate"/>
            </w:r>
            <w:r w:rsidR="00296AA0">
              <w:rPr>
                <w:noProof/>
                <w:webHidden/>
              </w:rPr>
              <w:t>22</w:t>
            </w:r>
            <w:r w:rsidR="007D4AF0" w:rsidRPr="00DE0AD0">
              <w:rPr>
                <w:noProof/>
                <w:webHidden/>
              </w:rPr>
              <w:fldChar w:fldCharType="end"/>
            </w:r>
          </w:hyperlink>
        </w:p>
        <w:p w14:paraId="16858119" w14:textId="02520A5C" w:rsidR="007D4AF0" w:rsidRPr="00DE0AD0" w:rsidRDefault="003D4857" w:rsidP="004E45AE">
          <w:pPr>
            <w:pStyle w:val="TOC1"/>
            <w:tabs>
              <w:tab w:val="left" w:pos="440"/>
              <w:tab w:val="right" w:leader="dot" w:pos="9063"/>
            </w:tabs>
            <w:rPr>
              <w:rFonts w:eastAsiaTheme="minorEastAsia"/>
              <w:noProof/>
              <w:lang w:val="en-US"/>
            </w:rPr>
          </w:pPr>
          <w:hyperlink w:anchor="_Toc220677723" w:history="1">
            <w:r w:rsidR="007D4AF0" w:rsidRPr="00DE0AD0">
              <w:rPr>
                <w:rStyle w:val="Hyperlink"/>
                <w:b/>
                <w:noProof/>
              </w:rPr>
              <w:t>7.</w:t>
            </w:r>
            <w:r w:rsidR="007D4AF0" w:rsidRPr="00DE0AD0">
              <w:rPr>
                <w:rFonts w:eastAsiaTheme="minorEastAsia"/>
                <w:noProof/>
                <w:lang w:val="en-US"/>
              </w:rPr>
              <w:tab/>
            </w:r>
            <w:r w:rsidR="007D4AF0" w:rsidRPr="00DE0AD0">
              <w:rPr>
                <w:rStyle w:val="Hyperlink"/>
                <w:b/>
                <w:noProof/>
              </w:rPr>
              <w:t>PORADNÍ KOMISE PRO PRŮMYSLOVÉ ZMĚNY</w:t>
            </w:r>
            <w:r w:rsidR="007D4AF0" w:rsidRPr="00DE0AD0">
              <w:rPr>
                <w:noProof/>
                <w:webHidden/>
              </w:rPr>
              <w:tab/>
            </w:r>
            <w:r w:rsidR="007D4AF0" w:rsidRPr="00DE0AD0">
              <w:rPr>
                <w:noProof/>
                <w:webHidden/>
              </w:rPr>
              <w:fldChar w:fldCharType="begin"/>
            </w:r>
            <w:r w:rsidR="007D4AF0" w:rsidRPr="00DE0AD0">
              <w:rPr>
                <w:noProof/>
                <w:webHidden/>
              </w:rPr>
              <w:instrText xml:space="preserve"> PAGEREF _Toc220677723 \h </w:instrText>
            </w:r>
            <w:r w:rsidR="007D4AF0" w:rsidRPr="00DE0AD0">
              <w:rPr>
                <w:noProof/>
                <w:webHidden/>
              </w:rPr>
            </w:r>
            <w:r w:rsidR="007D4AF0" w:rsidRPr="00DE0AD0">
              <w:rPr>
                <w:noProof/>
                <w:webHidden/>
              </w:rPr>
              <w:fldChar w:fldCharType="separate"/>
            </w:r>
            <w:r w:rsidR="00296AA0">
              <w:rPr>
                <w:noProof/>
                <w:webHidden/>
              </w:rPr>
              <w:t>29</w:t>
            </w:r>
            <w:r w:rsidR="007D4AF0" w:rsidRPr="00DE0AD0">
              <w:rPr>
                <w:noProof/>
                <w:webHidden/>
              </w:rPr>
              <w:fldChar w:fldCharType="end"/>
            </w:r>
          </w:hyperlink>
        </w:p>
        <w:p w14:paraId="4982DD6A" w14:textId="1AB64D16" w:rsidR="004D7AC0" w:rsidRPr="00DE0AD0" w:rsidRDefault="004D7AC0" w:rsidP="004E45AE">
          <w:pPr>
            <w:spacing w:after="100"/>
          </w:pPr>
          <w:r w:rsidRPr="00DE0AD0">
            <w:rPr>
              <w:b/>
            </w:rPr>
            <w:fldChar w:fldCharType="end"/>
          </w:r>
        </w:p>
      </w:sdtContent>
    </w:sdt>
    <w:p w14:paraId="4982DD6B" w14:textId="77777777" w:rsidR="004D7AC0" w:rsidRPr="00DE0AD0" w:rsidRDefault="004D7AC0" w:rsidP="00DE0AD0"/>
    <w:p w14:paraId="4982DD6C" w14:textId="77777777" w:rsidR="004D7AC0" w:rsidRPr="00DE0AD0" w:rsidRDefault="004D7AC0" w:rsidP="00DE0AD0">
      <w:pPr>
        <w:jc w:val="left"/>
      </w:pPr>
      <w:r w:rsidRPr="00DE0AD0">
        <w:br w:type="page"/>
      </w:r>
    </w:p>
    <w:p w14:paraId="02059370" w14:textId="0786680F" w:rsidR="00145E70" w:rsidRPr="00DE0AD0" w:rsidRDefault="007A5C3E" w:rsidP="00DE0AD0">
      <w:pPr>
        <w:pStyle w:val="Heading1"/>
        <w:rPr>
          <w:b/>
        </w:rPr>
      </w:pPr>
      <w:bookmarkStart w:id="0" w:name="_Toc220677676"/>
      <w:r w:rsidRPr="00DE0AD0">
        <w:rPr>
          <w:b/>
        </w:rPr>
        <w:lastRenderedPageBreak/>
        <w:t>USNESENÍ</w:t>
      </w:r>
      <w:bookmarkEnd w:id="0"/>
    </w:p>
    <w:p w14:paraId="4A52B694" w14:textId="77777777" w:rsidR="003F42E9" w:rsidRPr="00DE0AD0" w:rsidRDefault="003F42E9" w:rsidP="00DE0AD0"/>
    <w:p w14:paraId="2EFF8A4B" w14:textId="23D0B0BD" w:rsidR="003F42E9" w:rsidRPr="00C51A1A" w:rsidRDefault="003D4857" w:rsidP="00D7622F">
      <w:pPr>
        <w:pStyle w:val="ListParagraph"/>
        <w:widowControl w:val="0"/>
        <w:numPr>
          <w:ilvl w:val="0"/>
          <w:numId w:val="37"/>
        </w:numPr>
        <w:ind w:left="567" w:hanging="567"/>
        <w:rPr>
          <w:sz w:val="24"/>
          <w:szCs w:val="24"/>
        </w:rPr>
      </w:pPr>
      <w:hyperlink r:id="rId19" w:history="1">
        <w:r w:rsidR="003F42E9" w:rsidRPr="00C51A1A">
          <w:rPr>
            <w:rStyle w:val="Hyperlink"/>
            <w:b/>
            <w:i/>
            <w:sz w:val="28"/>
          </w:rPr>
          <w:t>Příspěvek EHSV k prio</w:t>
        </w:r>
        <w:r w:rsidR="003F42E9" w:rsidRPr="00C51A1A">
          <w:rPr>
            <w:rStyle w:val="Hyperlink"/>
            <w:b/>
            <w:i/>
            <w:sz w:val="28"/>
          </w:rPr>
          <w:t>r</w:t>
        </w:r>
        <w:r w:rsidR="003F42E9" w:rsidRPr="00C51A1A">
          <w:rPr>
            <w:rStyle w:val="Hyperlink"/>
            <w:b/>
            <w:i/>
            <w:sz w:val="28"/>
          </w:rPr>
          <w:t>itám EU pro 70. zasedání Komise OSN pro postavení žen</w:t>
        </w:r>
      </w:hyperlink>
    </w:p>
    <w:p w14:paraId="1C69309F" w14:textId="236E51C1" w:rsidR="003F42E9" w:rsidRPr="00DE0AD0" w:rsidRDefault="003F42E9" w:rsidP="00DE0AD0">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3F42E9" w:rsidRPr="00DE0AD0" w14:paraId="5E826DF1" w14:textId="77777777" w:rsidTr="001B4992">
        <w:tc>
          <w:tcPr>
            <w:tcW w:w="1701" w:type="dxa"/>
          </w:tcPr>
          <w:p w14:paraId="0A7B0148" w14:textId="77777777" w:rsidR="003F42E9" w:rsidRPr="00DE0AD0" w:rsidRDefault="003F42E9" w:rsidP="00DE0AD0">
            <w:pPr>
              <w:tabs>
                <w:tab w:val="center" w:pos="284"/>
              </w:tabs>
              <w:ind w:left="266" w:hanging="266"/>
              <w:rPr>
                <w:b/>
              </w:rPr>
            </w:pPr>
            <w:r w:rsidRPr="00DE0AD0">
              <w:rPr>
                <w:b/>
              </w:rPr>
              <w:t>Zpravodajky:</w:t>
            </w:r>
          </w:p>
        </w:tc>
        <w:tc>
          <w:tcPr>
            <w:tcW w:w="6663" w:type="dxa"/>
          </w:tcPr>
          <w:p w14:paraId="2BECDF81" w14:textId="77777777" w:rsidR="003F42E9" w:rsidRPr="00C51A1A" w:rsidRDefault="003F42E9" w:rsidP="00DE0AD0">
            <w:pPr>
              <w:tabs>
                <w:tab w:val="center" w:pos="284"/>
              </w:tabs>
              <w:ind w:left="266" w:hanging="266"/>
              <w:rPr>
                <w:bCs/>
              </w:rPr>
            </w:pPr>
            <w:r w:rsidRPr="00C51A1A">
              <w:rPr>
                <w:bCs/>
              </w:rPr>
              <w:t>Christa SCHWENG (Zaměstnavatelé – AT)</w:t>
            </w:r>
          </w:p>
          <w:p w14:paraId="3947221E" w14:textId="77777777" w:rsidR="003F42E9" w:rsidRPr="00C51A1A" w:rsidRDefault="003F42E9" w:rsidP="00DE0AD0">
            <w:pPr>
              <w:tabs>
                <w:tab w:val="center" w:pos="284"/>
              </w:tabs>
              <w:ind w:left="266" w:hanging="266"/>
              <w:rPr>
                <w:bCs/>
              </w:rPr>
            </w:pPr>
            <w:r w:rsidRPr="00C51A1A">
              <w:rPr>
                <w:bCs/>
              </w:rPr>
              <w:t>Giulia BARBUCCI (Zaměstnanci – IT)</w:t>
            </w:r>
          </w:p>
          <w:p w14:paraId="78F4B2F6" w14:textId="77777777" w:rsidR="003F42E9" w:rsidRPr="00DE0AD0" w:rsidRDefault="003F42E9" w:rsidP="00DE0AD0">
            <w:pPr>
              <w:tabs>
                <w:tab w:val="center" w:pos="284"/>
              </w:tabs>
              <w:ind w:left="266" w:hanging="266"/>
            </w:pPr>
            <w:r w:rsidRPr="00C51A1A">
              <w:rPr>
                <w:bCs/>
              </w:rPr>
              <w:t>Juliane Marie NEIIENDAM</w:t>
            </w:r>
            <w:r w:rsidRPr="00DE0AD0">
              <w:rPr>
                <w:b/>
              </w:rPr>
              <w:t xml:space="preserve"> </w:t>
            </w:r>
            <w:r w:rsidRPr="00DE0AD0">
              <w:t>(Organizace občanské společnosti – DK)</w:t>
            </w:r>
          </w:p>
        </w:tc>
      </w:tr>
      <w:tr w:rsidR="003F42E9" w:rsidRPr="00DE0AD0" w14:paraId="164731C6" w14:textId="77777777" w:rsidTr="001B4992">
        <w:tc>
          <w:tcPr>
            <w:tcW w:w="8364" w:type="dxa"/>
            <w:gridSpan w:val="2"/>
          </w:tcPr>
          <w:p w14:paraId="4CC0AA04" w14:textId="77777777" w:rsidR="003F42E9" w:rsidRPr="00DE0AD0" w:rsidRDefault="003F42E9" w:rsidP="00DE0AD0">
            <w:pPr>
              <w:tabs>
                <w:tab w:val="center" w:pos="284"/>
              </w:tabs>
              <w:ind w:left="266" w:hanging="266"/>
              <w:rPr>
                <w:lang w:val="en-US"/>
              </w:rPr>
            </w:pPr>
          </w:p>
        </w:tc>
      </w:tr>
      <w:tr w:rsidR="003F42E9" w:rsidRPr="00DE0AD0" w14:paraId="3D022489" w14:textId="77777777" w:rsidTr="001B4992">
        <w:tc>
          <w:tcPr>
            <w:tcW w:w="1701" w:type="dxa"/>
            <w:vMerge w:val="restart"/>
          </w:tcPr>
          <w:p w14:paraId="444D35FF" w14:textId="77777777" w:rsidR="003F42E9" w:rsidRPr="00DE0AD0" w:rsidRDefault="003F42E9" w:rsidP="00DE0AD0">
            <w:pPr>
              <w:tabs>
                <w:tab w:val="center" w:pos="284"/>
              </w:tabs>
              <w:ind w:left="266" w:hanging="266"/>
              <w:rPr>
                <w:b/>
              </w:rPr>
            </w:pPr>
            <w:r w:rsidRPr="00DE0AD0">
              <w:rPr>
                <w:b/>
              </w:rPr>
              <w:t xml:space="preserve">Odkaz: </w:t>
            </w:r>
          </w:p>
        </w:tc>
        <w:tc>
          <w:tcPr>
            <w:tcW w:w="6663" w:type="dxa"/>
          </w:tcPr>
          <w:p w14:paraId="611D52E6" w14:textId="77777777" w:rsidR="003F42E9" w:rsidRPr="00DE0AD0" w:rsidRDefault="003F42E9" w:rsidP="00DE0AD0">
            <w:pPr>
              <w:tabs>
                <w:tab w:val="center" w:pos="284"/>
              </w:tabs>
              <w:ind w:left="266" w:hanging="266"/>
            </w:pPr>
            <w:r w:rsidRPr="00DE0AD0">
              <w:t>usnesení</w:t>
            </w:r>
          </w:p>
        </w:tc>
      </w:tr>
      <w:tr w:rsidR="003F42E9" w:rsidRPr="00DE0AD0" w14:paraId="0F3BE550" w14:textId="77777777" w:rsidTr="001B4992">
        <w:tc>
          <w:tcPr>
            <w:tcW w:w="1701" w:type="dxa"/>
            <w:vMerge/>
          </w:tcPr>
          <w:p w14:paraId="16407397" w14:textId="77777777" w:rsidR="003F42E9" w:rsidRPr="00DE0AD0" w:rsidRDefault="003F42E9" w:rsidP="00DE0AD0">
            <w:pPr>
              <w:tabs>
                <w:tab w:val="center" w:pos="284"/>
              </w:tabs>
              <w:ind w:left="266" w:hanging="266"/>
              <w:rPr>
                <w:b/>
              </w:rPr>
            </w:pPr>
          </w:p>
        </w:tc>
        <w:tc>
          <w:tcPr>
            <w:tcW w:w="6663" w:type="dxa"/>
          </w:tcPr>
          <w:p w14:paraId="419F16D6" w14:textId="77777777" w:rsidR="003F42E9" w:rsidRPr="00DE0AD0" w:rsidRDefault="003F42E9" w:rsidP="00DE0AD0">
            <w:pPr>
              <w:tabs>
                <w:tab w:val="center" w:pos="284"/>
              </w:tabs>
              <w:ind w:left="266" w:hanging="266"/>
            </w:pPr>
            <w:r w:rsidRPr="00DE0AD0">
              <w:t>EESC-2025-04173-00-00-RES</w:t>
            </w:r>
          </w:p>
        </w:tc>
      </w:tr>
    </w:tbl>
    <w:p w14:paraId="07D8F22D" w14:textId="77777777" w:rsidR="003F42E9" w:rsidRPr="00670F4D" w:rsidRDefault="003F42E9" w:rsidP="00DE0AD0">
      <w:pPr>
        <w:keepNext/>
        <w:keepLines/>
        <w:tabs>
          <w:tab w:val="center" w:pos="284"/>
        </w:tabs>
        <w:ind w:left="266" w:hanging="266"/>
        <w:rPr>
          <w:bCs/>
        </w:rPr>
      </w:pPr>
    </w:p>
    <w:p w14:paraId="28CF6019" w14:textId="77777777" w:rsidR="003F42E9" w:rsidRPr="00DE0AD0" w:rsidRDefault="003F42E9" w:rsidP="00DE0AD0">
      <w:pPr>
        <w:keepNext/>
        <w:keepLines/>
        <w:tabs>
          <w:tab w:val="center" w:pos="284"/>
        </w:tabs>
        <w:ind w:left="266" w:hanging="266"/>
        <w:rPr>
          <w:b/>
        </w:rPr>
      </w:pPr>
      <w:r w:rsidRPr="00DE0AD0">
        <w:rPr>
          <w:b/>
        </w:rPr>
        <w:t>Hlavní body</w:t>
      </w:r>
    </w:p>
    <w:p w14:paraId="36A657F4" w14:textId="77777777" w:rsidR="003F42E9" w:rsidRPr="00670F4D" w:rsidRDefault="003F42E9" w:rsidP="00DE0AD0">
      <w:pPr>
        <w:keepNext/>
        <w:keepLines/>
        <w:tabs>
          <w:tab w:val="center" w:pos="284"/>
        </w:tabs>
        <w:ind w:left="266" w:hanging="266"/>
        <w:rPr>
          <w:bCs/>
          <w:lang w:val="it-IT"/>
        </w:rPr>
      </w:pPr>
    </w:p>
    <w:p w14:paraId="26890050" w14:textId="287AD39D" w:rsidR="003F42E9" w:rsidRDefault="003F42E9" w:rsidP="00DE0AD0">
      <w:r w:rsidRPr="00DE0AD0">
        <w:t>EHSV:</w:t>
      </w:r>
    </w:p>
    <w:p w14:paraId="0B14F718" w14:textId="77777777" w:rsidR="006371B9" w:rsidRPr="00DE0AD0" w:rsidRDefault="006371B9" w:rsidP="00DE0AD0">
      <w:pPr>
        <w:rPr>
          <w:bCs/>
          <w:iCs/>
        </w:rPr>
      </w:pPr>
    </w:p>
    <w:p w14:paraId="70DDBA47" w14:textId="77777777" w:rsidR="003F42E9" w:rsidRPr="00DE0AD0" w:rsidRDefault="003F42E9" w:rsidP="006371B9">
      <w:pPr>
        <w:widowControl w:val="0"/>
        <w:numPr>
          <w:ilvl w:val="0"/>
          <w:numId w:val="22"/>
        </w:numPr>
        <w:overflowPunct w:val="0"/>
        <w:autoSpaceDE w:val="0"/>
        <w:autoSpaceDN w:val="0"/>
        <w:adjustRightInd w:val="0"/>
        <w:ind w:left="567" w:hanging="567"/>
        <w:textAlignment w:val="baseline"/>
      </w:pPr>
      <w:r w:rsidRPr="00DE0AD0">
        <w:t>znovu potvrzuje své pevné odhodlání prosazovat genderovou rovnost, práva žen a právní stát coby nejdůležitější pilíře demokracie, sociální spravedlnosti a inkluzivního růstu, odstranění všech forem násilí páchaného na ženách a dívkách a plnou a účinnou účast žen na hospodářském, politickém a společenském životě;</w:t>
      </w:r>
    </w:p>
    <w:p w14:paraId="05401EFF" w14:textId="77777777" w:rsidR="003F42E9" w:rsidRPr="00DE0AD0" w:rsidRDefault="003F42E9" w:rsidP="006371B9">
      <w:pPr>
        <w:widowControl w:val="0"/>
        <w:numPr>
          <w:ilvl w:val="0"/>
          <w:numId w:val="22"/>
        </w:numPr>
        <w:overflowPunct w:val="0"/>
        <w:autoSpaceDE w:val="0"/>
        <w:autoSpaceDN w:val="0"/>
        <w:adjustRightInd w:val="0"/>
        <w:ind w:left="567" w:hanging="567"/>
        <w:textAlignment w:val="baseline"/>
      </w:pPr>
      <w:r w:rsidRPr="00DE0AD0">
        <w:t xml:space="preserve">poukazuje na to, že </w:t>
      </w:r>
      <w:r w:rsidRPr="00DE0AD0">
        <w:rPr>
          <w:b/>
        </w:rPr>
        <w:t>přístup ke spravedlnosti</w:t>
      </w:r>
      <w:r w:rsidRPr="00DE0AD0">
        <w:t xml:space="preserve"> je jak základním lidským právem jako takovým, tak předpokladem pro uplatňování dalších lidských práv, jako je rovnost žen a mužů. Jeho zajištění vyžaduje: </w:t>
      </w:r>
      <w:r w:rsidRPr="00DE0AD0">
        <w:rPr>
          <w:b/>
        </w:rPr>
        <w:t>odstranění diskriminačních právních předpisů, politik a postupů</w:t>
      </w:r>
      <w:r w:rsidRPr="00DE0AD0">
        <w:t xml:space="preserve">, </w:t>
      </w:r>
      <w:r w:rsidRPr="00DE0AD0">
        <w:rPr>
          <w:b/>
        </w:rPr>
        <w:t>posílení systémů soudnictví zohledňujících genderovou rovnost</w:t>
      </w:r>
      <w:r w:rsidRPr="00DE0AD0">
        <w:t xml:space="preserve">, </w:t>
      </w:r>
      <w:r w:rsidRPr="00DE0AD0">
        <w:rPr>
          <w:b/>
        </w:rPr>
        <w:t>zajištění přístupné, cenově dostupné a kvalitní právní pomoci a zastupování</w:t>
      </w:r>
      <w:r w:rsidRPr="00DE0AD0">
        <w:t xml:space="preserve">, </w:t>
      </w:r>
      <w:r w:rsidRPr="00DE0AD0">
        <w:rPr>
          <w:b/>
        </w:rPr>
        <w:t>zaručení ochrany, bezpečnosti a důvěrnosti</w:t>
      </w:r>
      <w:r w:rsidRPr="00DE0AD0">
        <w:t xml:space="preserve"> pro oběti násilí, </w:t>
      </w:r>
      <w:r w:rsidRPr="00DE0AD0">
        <w:rPr>
          <w:b/>
        </w:rPr>
        <w:t>zlepšení digitálního přístupu k právním předpisům</w:t>
      </w:r>
      <w:r w:rsidRPr="00DE0AD0">
        <w:t xml:space="preserve">, </w:t>
      </w:r>
      <w:r w:rsidRPr="00DE0AD0">
        <w:rPr>
          <w:b/>
        </w:rPr>
        <w:t>odstranění socioekonomických překážek</w:t>
      </w:r>
      <w:r w:rsidRPr="00DE0AD0">
        <w:t xml:space="preserve"> a odpovídajícím způsobem financované vnitrostátní akční plány přístupu ke spravedlnosti, které se zaměří na genderovou rovnost;</w:t>
      </w:r>
    </w:p>
    <w:p w14:paraId="07F1D104" w14:textId="77777777" w:rsidR="003F42E9" w:rsidRPr="00DE0AD0" w:rsidRDefault="003F42E9" w:rsidP="006371B9">
      <w:pPr>
        <w:widowControl w:val="0"/>
        <w:numPr>
          <w:ilvl w:val="0"/>
          <w:numId w:val="22"/>
        </w:numPr>
        <w:overflowPunct w:val="0"/>
        <w:autoSpaceDE w:val="0"/>
        <w:autoSpaceDN w:val="0"/>
        <w:adjustRightInd w:val="0"/>
        <w:ind w:left="567" w:hanging="567"/>
        <w:textAlignment w:val="baseline"/>
      </w:pPr>
      <w:r w:rsidRPr="00DE0AD0">
        <w:t xml:space="preserve">co se týče </w:t>
      </w:r>
      <w:r w:rsidRPr="00DE0AD0">
        <w:rPr>
          <w:b/>
        </w:rPr>
        <w:t>účasti ve veřejném životě a odstranění násilí</w:t>
      </w:r>
      <w:r w:rsidRPr="00DE0AD0">
        <w:t xml:space="preserve">, znovu opakuje, že je třeba zajistit </w:t>
      </w:r>
      <w:r w:rsidRPr="00DE0AD0">
        <w:rPr>
          <w:b/>
        </w:rPr>
        <w:t>rovné zastoupení žen</w:t>
      </w:r>
      <w:r w:rsidRPr="00DE0AD0">
        <w:t xml:space="preserve"> v procesu rozhodování týkajícím se politických, hospodářských a veřejných záležitostí, </w:t>
      </w:r>
      <w:r w:rsidRPr="00DE0AD0">
        <w:rPr>
          <w:b/>
        </w:rPr>
        <w:t>nulovou toleranci vůči genderově podmíněnému násilí</w:t>
      </w:r>
      <w:r w:rsidRPr="00DE0AD0">
        <w:t xml:space="preserve">, </w:t>
      </w:r>
      <w:r w:rsidRPr="00DE0AD0">
        <w:rPr>
          <w:b/>
        </w:rPr>
        <w:t>podporu a ochranu obránců lidských práv a organizací občanské společnosti hájících práva žen</w:t>
      </w:r>
      <w:r w:rsidRPr="00DE0AD0">
        <w:t xml:space="preserve">, podporovat </w:t>
      </w:r>
      <w:r w:rsidRPr="00DE0AD0">
        <w:rPr>
          <w:b/>
        </w:rPr>
        <w:t>bezpečný, inkluzivní a demokratický občanský prostor</w:t>
      </w:r>
      <w:r w:rsidRPr="00DE0AD0">
        <w:t xml:space="preserve"> a meziodvětvové přístupy a </w:t>
      </w:r>
      <w:r w:rsidRPr="00DE0AD0">
        <w:rPr>
          <w:b/>
        </w:rPr>
        <w:t>bojovat proti stereotypům a dezinformacím</w:t>
      </w:r>
      <w:r w:rsidRPr="00DE0AD0">
        <w:t>;</w:t>
      </w:r>
    </w:p>
    <w:p w14:paraId="62EC38A7" w14:textId="77777777" w:rsidR="003F42E9" w:rsidRPr="00DE0AD0" w:rsidRDefault="003F42E9" w:rsidP="006371B9">
      <w:pPr>
        <w:widowControl w:val="0"/>
        <w:numPr>
          <w:ilvl w:val="0"/>
          <w:numId w:val="22"/>
        </w:numPr>
        <w:overflowPunct w:val="0"/>
        <w:autoSpaceDE w:val="0"/>
        <w:autoSpaceDN w:val="0"/>
        <w:adjustRightInd w:val="0"/>
        <w:ind w:left="567" w:hanging="567"/>
        <w:textAlignment w:val="baseline"/>
      </w:pPr>
      <w:r w:rsidRPr="00DE0AD0">
        <w:t xml:space="preserve">zavazuje se, že přispěje k provádění cílů 70. zasedání Komise pro postavení žen tím, že bude </w:t>
      </w:r>
      <w:r w:rsidRPr="00DE0AD0">
        <w:rPr>
          <w:b/>
        </w:rPr>
        <w:t>prosazovat strukturovaný sociální a občanský dialog</w:t>
      </w:r>
      <w:r w:rsidRPr="00DE0AD0">
        <w:t xml:space="preserve"> za účelem podpory reforem soudnictví, </w:t>
      </w:r>
      <w:r w:rsidRPr="00DE0AD0">
        <w:rPr>
          <w:b/>
        </w:rPr>
        <w:t>poukazovat na nezbytnost začleňování hlediska genderové rovnosti a genderového rozpočtování</w:t>
      </w:r>
      <w:r w:rsidRPr="00DE0AD0">
        <w:t xml:space="preserve">, </w:t>
      </w:r>
      <w:r w:rsidRPr="00DE0AD0">
        <w:rPr>
          <w:b/>
        </w:rPr>
        <w:t>podporovat osvětová, vzdělávací a preventivní opatření</w:t>
      </w:r>
      <w:r w:rsidRPr="00DE0AD0">
        <w:t xml:space="preserve">, včetně opatření týkajících se zákonných práv, digitální bezpečnosti a odstraňování stereotypů, a </w:t>
      </w:r>
      <w:r w:rsidRPr="00DE0AD0">
        <w:rPr>
          <w:b/>
        </w:rPr>
        <w:t>stimulovat spolupráci mezi orgány EU, členskými státy, sociálními partnery a občanskou společností</w:t>
      </w:r>
      <w:r w:rsidRPr="00DE0AD0">
        <w:t xml:space="preserve"> s cílem zajistit koordinované celospolečenské přístupy.</w:t>
      </w:r>
    </w:p>
    <w:p w14:paraId="1B465355" w14:textId="77777777" w:rsidR="003F42E9" w:rsidRPr="00DE0AD0" w:rsidRDefault="003F42E9" w:rsidP="00DE0AD0">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F42E9" w:rsidRPr="00DE0AD0" w14:paraId="02900ECF" w14:textId="77777777" w:rsidTr="001B4992">
        <w:tc>
          <w:tcPr>
            <w:tcW w:w="1418" w:type="dxa"/>
          </w:tcPr>
          <w:p w14:paraId="73F7B699" w14:textId="77777777" w:rsidR="003F42E9" w:rsidRPr="00DE0AD0" w:rsidRDefault="003F42E9" w:rsidP="00DE0AD0">
            <w:pPr>
              <w:rPr>
                <w:i/>
              </w:rPr>
            </w:pPr>
            <w:r w:rsidRPr="00DE0AD0">
              <w:rPr>
                <w:b/>
                <w:i/>
              </w:rPr>
              <w:t>Kontakt:</w:t>
            </w:r>
          </w:p>
        </w:tc>
        <w:tc>
          <w:tcPr>
            <w:tcW w:w="5670" w:type="dxa"/>
          </w:tcPr>
          <w:p w14:paraId="0124F9CE" w14:textId="7EEA2367" w:rsidR="003F42E9" w:rsidRPr="00DE0AD0" w:rsidRDefault="003F42E9" w:rsidP="00DE0AD0">
            <w:pPr>
              <w:rPr>
                <w:i/>
              </w:rPr>
            </w:pPr>
            <w:r w:rsidRPr="00DE0AD0">
              <w:rPr>
                <w:i/>
              </w:rPr>
              <w:t xml:space="preserve">Antoni </w:t>
            </w:r>
            <w:r w:rsidR="00670F4D" w:rsidRPr="00DE0AD0">
              <w:rPr>
                <w:i/>
              </w:rPr>
              <w:t>Torras Estruch</w:t>
            </w:r>
          </w:p>
        </w:tc>
      </w:tr>
      <w:tr w:rsidR="003F42E9" w:rsidRPr="00DE0AD0" w14:paraId="7B2C599E" w14:textId="77777777" w:rsidTr="001B4992">
        <w:tc>
          <w:tcPr>
            <w:tcW w:w="1418" w:type="dxa"/>
          </w:tcPr>
          <w:p w14:paraId="6B94CCCD" w14:textId="77777777" w:rsidR="003F42E9" w:rsidRPr="00DE0AD0" w:rsidRDefault="003F42E9" w:rsidP="00DE0AD0">
            <w:pPr>
              <w:rPr>
                <w:i/>
              </w:rPr>
            </w:pPr>
            <w:r w:rsidRPr="00DE0AD0">
              <w:rPr>
                <w:i/>
              </w:rPr>
              <w:t>Tel.:</w:t>
            </w:r>
          </w:p>
        </w:tc>
        <w:tc>
          <w:tcPr>
            <w:tcW w:w="5670" w:type="dxa"/>
          </w:tcPr>
          <w:p w14:paraId="4681C340" w14:textId="77777777" w:rsidR="003F42E9" w:rsidRPr="00DE0AD0" w:rsidRDefault="003F42E9" w:rsidP="00DE0AD0">
            <w:pPr>
              <w:rPr>
                <w:i/>
              </w:rPr>
            </w:pPr>
            <w:r w:rsidRPr="00DE0AD0">
              <w:rPr>
                <w:i/>
              </w:rPr>
              <w:t>Tel.: +32 25468391</w:t>
            </w:r>
          </w:p>
        </w:tc>
      </w:tr>
      <w:tr w:rsidR="003F42E9" w:rsidRPr="00DE0AD0" w14:paraId="5912EB92" w14:textId="77777777" w:rsidTr="001B4992">
        <w:tc>
          <w:tcPr>
            <w:tcW w:w="1418" w:type="dxa"/>
          </w:tcPr>
          <w:p w14:paraId="6F770DC3" w14:textId="77777777" w:rsidR="003F42E9" w:rsidRPr="00DE0AD0" w:rsidRDefault="003F42E9" w:rsidP="00DE0AD0">
            <w:pPr>
              <w:rPr>
                <w:i/>
              </w:rPr>
            </w:pPr>
            <w:r w:rsidRPr="00DE0AD0">
              <w:rPr>
                <w:i/>
              </w:rPr>
              <w:t>E-mail:</w:t>
            </w:r>
          </w:p>
        </w:tc>
        <w:tc>
          <w:tcPr>
            <w:tcW w:w="5670" w:type="dxa"/>
          </w:tcPr>
          <w:p w14:paraId="4557EC59" w14:textId="77777777" w:rsidR="003F42E9" w:rsidRPr="00DE0AD0" w:rsidRDefault="003D4857" w:rsidP="00DE0AD0">
            <w:pPr>
              <w:rPr>
                <w:i/>
                <w:iCs/>
                <w:u w:val="single"/>
              </w:rPr>
            </w:pPr>
            <w:hyperlink r:id="rId20" w:history="1">
              <w:r w:rsidR="003F42E9" w:rsidRPr="00DE0AD0">
                <w:rPr>
                  <w:rStyle w:val="Hyperlink"/>
                  <w:i/>
                </w:rPr>
                <w:t>Antoni.TorrasEstruch@eesc.europa.eu</w:t>
              </w:r>
            </w:hyperlink>
          </w:p>
        </w:tc>
      </w:tr>
    </w:tbl>
    <w:p w14:paraId="4982DD6D" w14:textId="58F31F53" w:rsidR="004D7AC0" w:rsidRPr="00DE0AD0" w:rsidRDefault="004D7AC0" w:rsidP="00DE0AD0">
      <w:pPr>
        <w:pStyle w:val="Heading1"/>
        <w:rPr>
          <w:b/>
        </w:rPr>
      </w:pPr>
      <w:bookmarkStart w:id="1" w:name="_Toc220677677"/>
      <w:r w:rsidRPr="00DE0AD0">
        <w:rPr>
          <w:b/>
        </w:rPr>
        <w:lastRenderedPageBreak/>
        <w:t>HOSPODÁŘSKÁ A MĚNOVÁ UNIE, HOSPODÁŘSKÁ A SOCIÁLNÍ SOUDRŽNOST</w:t>
      </w:r>
      <w:bookmarkEnd w:id="1"/>
    </w:p>
    <w:p w14:paraId="4982DD6E" w14:textId="6E2F865D" w:rsidR="004D7AC0" w:rsidRPr="00296AA0" w:rsidRDefault="004D7AC0" w:rsidP="00DE0AD0"/>
    <w:p w14:paraId="058BB1E8" w14:textId="734C4DF2" w:rsidR="0071441D" w:rsidRPr="00DE0AD0" w:rsidRDefault="003D4857" w:rsidP="00D7622F">
      <w:pPr>
        <w:pStyle w:val="ListParagraph"/>
        <w:numPr>
          <w:ilvl w:val="0"/>
          <w:numId w:val="3"/>
        </w:numPr>
        <w:ind w:left="567" w:hanging="567"/>
      </w:pPr>
      <w:hyperlink r:id="rId21" w:history="1">
        <w:r w:rsidR="0071441D" w:rsidRPr="00DE0AD0">
          <w:rPr>
            <w:rStyle w:val="Hyperlink"/>
            <w:b/>
            <w:i/>
            <w:sz w:val="28"/>
          </w:rPr>
          <w:t>Hospodářská politi</w:t>
        </w:r>
        <w:r w:rsidR="0071441D" w:rsidRPr="00DE0AD0">
          <w:rPr>
            <w:rStyle w:val="Hyperlink"/>
            <w:b/>
            <w:i/>
            <w:sz w:val="28"/>
          </w:rPr>
          <w:t>k</w:t>
        </w:r>
        <w:r w:rsidR="0071441D" w:rsidRPr="00DE0AD0">
          <w:rPr>
            <w:rStyle w:val="Hyperlink"/>
            <w:b/>
            <w:i/>
            <w:sz w:val="28"/>
          </w:rPr>
          <w:t>a eurozóny 2026</w:t>
        </w:r>
      </w:hyperlink>
    </w:p>
    <w:p w14:paraId="5B34C6C7" w14:textId="77777777" w:rsidR="0071441D" w:rsidRPr="00DE0AD0" w:rsidRDefault="0071441D" w:rsidP="00DE0AD0">
      <w:pPr>
        <w:jc w:val="left"/>
        <w:rPr>
          <w:lang w:val="it-IT"/>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71441D" w:rsidRPr="00DE0AD0" w14:paraId="74DF18DC" w14:textId="77777777" w:rsidTr="001B4992">
        <w:tc>
          <w:tcPr>
            <w:tcW w:w="1701" w:type="dxa"/>
          </w:tcPr>
          <w:p w14:paraId="12BAB4A9" w14:textId="77777777" w:rsidR="0071441D" w:rsidRPr="00DE0AD0" w:rsidRDefault="0071441D" w:rsidP="00DE0AD0">
            <w:pPr>
              <w:tabs>
                <w:tab w:val="center" w:pos="284"/>
              </w:tabs>
              <w:ind w:left="266" w:hanging="266"/>
              <w:rPr>
                <w:b/>
              </w:rPr>
            </w:pPr>
            <w:r w:rsidRPr="00DE0AD0">
              <w:rPr>
                <w:b/>
              </w:rPr>
              <w:t>Zpravodaj</w:t>
            </w:r>
          </w:p>
        </w:tc>
        <w:tc>
          <w:tcPr>
            <w:tcW w:w="7621" w:type="dxa"/>
          </w:tcPr>
          <w:p w14:paraId="1BB66F4D" w14:textId="77777777" w:rsidR="0071441D" w:rsidRDefault="0071441D" w:rsidP="00DE0AD0">
            <w:pPr>
              <w:tabs>
                <w:tab w:val="center" w:pos="284"/>
              </w:tabs>
              <w:ind w:left="266" w:hanging="266"/>
            </w:pPr>
            <w:r w:rsidRPr="00DE0AD0">
              <w:t>Javier DOZ ORRIT (skupina Zaměstnanci – ES)</w:t>
            </w:r>
          </w:p>
          <w:p w14:paraId="1FB16E3F" w14:textId="5157431C" w:rsidR="00C51A1A" w:rsidRPr="00DE0AD0" w:rsidRDefault="00C51A1A" w:rsidP="00DE0AD0">
            <w:pPr>
              <w:tabs>
                <w:tab w:val="center" w:pos="284"/>
              </w:tabs>
              <w:ind w:left="266" w:hanging="266"/>
              <w:rPr>
                <w:bCs/>
              </w:rPr>
            </w:pPr>
          </w:p>
        </w:tc>
      </w:tr>
      <w:tr w:rsidR="0071441D" w:rsidRPr="00DE0AD0" w14:paraId="58304006" w14:textId="77777777" w:rsidTr="001B4992">
        <w:tc>
          <w:tcPr>
            <w:tcW w:w="1701" w:type="dxa"/>
          </w:tcPr>
          <w:p w14:paraId="2DC9B60C" w14:textId="77777777" w:rsidR="0071441D" w:rsidRPr="00DE0AD0" w:rsidRDefault="0071441D" w:rsidP="00DE0AD0">
            <w:pPr>
              <w:tabs>
                <w:tab w:val="center" w:pos="284"/>
              </w:tabs>
              <w:ind w:left="266" w:hanging="266"/>
              <w:rPr>
                <w:b/>
              </w:rPr>
            </w:pPr>
            <w:r w:rsidRPr="00DE0AD0">
              <w:rPr>
                <w:b/>
              </w:rPr>
              <w:t>Odkazy</w:t>
            </w:r>
          </w:p>
        </w:tc>
        <w:tc>
          <w:tcPr>
            <w:tcW w:w="7621" w:type="dxa"/>
          </w:tcPr>
          <w:p w14:paraId="2E59A33B" w14:textId="77777777" w:rsidR="0071441D" w:rsidRPr="00DE0AD0" w:rsidRDefault="0071441D" w:rsidP="00DE0AD0">
            <w:pPr>
              <w:tabs>
                <w:tab w:val="center" w:pos="284"/>
              </w:tabs>
              <w:ind w:left="266" w:hanging="266"/>
            </w:pPr>
            <w:r w:rsidRPr="00DE0AD0">
              <w:t>COM(2025) 957 final</w:t>
            </w:r>
          </w:p>
          <w:p w14:paraId="3FD7E31A" w14:textId="77777777" w:rsidR="0071441D" w:rsidRPr="00DE0AD0" w:rsidRDefault="0071441D" w:rsidP="00DE0AD0">
            <w:pPr>
              <w:tabs>
                <w:tab w:val="center" w:pos="284"/>
              </w:tabs>
              <w:ind w:left="266" w:hanging="266"/>
            </w:pPr>
            <w:r w:rsidRPr="00DE0AD0">
              <w:t>EESC-2025-03708-00-00-AC-TRA</w:t>
            </w:r>
          </w:p>
        </w:tc>
      </w:tr>
    </w:tbl>
    <w:p w14:paraId="4E150F61" w14:textId="77777777" w:rsidR="0071441D" w:rsidRPr="00DE0AD0" w:rsidRDefault="0071441D" w:rsidP="00DE0AD0">
      <w:pPr>
        <w:jc w:val="left"/>
        <w:rPr>
          <w:lang w:val="pt-PT"/>
        </w:rPr>
      </w:pPr>
    </w:p>
    <w:p w14:paraId="18FBD6FB" w14:textId="1DCE8410" w:rsidR="0071441D" w:rsidRDefault="0071441D" w:rsidP="00DE0AD0">
      <w:pPr>
        <w:jc w:val="left"/>
        <w:rPr>
          <w:b/>
        </w:rPr>
      </w:pPr>
      <w:r w:rsidRPr="00DE0AD0">
        <w:rPr>
          <w:b/>
        </w:rPr>
        <w:t>Hlavní body</w:t>
      </w:r>
    </w:p>
    <w:p w14:paraId="16AD0AAB" w14:textId="77777777" w:rsidR="006371B9" w:rsidRPr="00DE0AD0" w:rsidRDefault="006371B9" w:rsidP="00DE0AD0">
      <w:pPr>
        <w:jc w:val="left"/>
        <w:rPr>
          <w:b/>
          <w:bCs/>
        </w:rPr>
      </w:pPr>
    </w:p>
    <w:p w14:paraId="10730D64" w14:textId="727F56F2" w:rsidR="0071441D" w:rsidRDefault="0071441D" w:rsidP="00DE0AD0">
      <w:pPr>
        <w:jc w:val="left"/>
      </w:pPr>
      <w:r w:rsidRPr="00DE0AD0">
        <w:t>EHSV:</w:t>
      </w:r>
    </w:p>
    <w:p w14:paraId="1A377C33" w14:textId="77777777" w:rsidR="006371B9" w:rsidRPr="00DE0AD0" w:rsidRDefault="006371B9" w:rsidP="00DE0AD0">
      <w:pPr>
        <w:jc w:val="left"/>
      </w:pPr>
    </w:p>
    <w:p w14:paraId="28D55D44" w14:textId="77777777" w:rsidR="0071441D" w:rsidRPr="00DE0AD0" w:rsidRDefault="0071441D" w:rsidP="006371B9">
      <w:pPr>
        <w:numPr>
          <w:ilvl w:val="0"/>
          <w:numId w:val="23"/>
        </w:numPr>
        <w:ind w:left="567" w:hanging="567"/>
      </w:pPr>
      <w:r w:rsidRPr="00DE0AD0">
        <w:t>je přesvědčen, že pokud bude posílena politická jednota Evropy a její strategická autonomie v oblastech, jako je zahraniční, bezpečnostní a obranná politika, obchodní a průmyslová politika, politika technologického rozvoje atd., podpoří to i růst;</w:t>
      </w:r>
    </w:p>
    <w:p w14:paraId="1C67CC6D" w14:textId="77777777" w:rsidR="0071441D" w:rsidRPr="00DE0AD0" w:rsidRDefault="0071441D" w:rsidP="006371B9">
      <w:pPr>
        <w:numPr>
          <w:ilvl w:val="0"/>
          <w:numId w:val="23"/>
        </w:numPr>
        <w:ind w:left="567" w:hanging="567"/>
      </w:pPr>
      <w:r w:rsidRPr="00DE0AD0">
        <w:t>vyjadřuje však obavy v souvislosti s tím, zda budou mít EU a členské státy dostatečné nástroje – zejména pak rozpočtového charakteru – k provedení doporučení Komise, a opakuje, že je nezbytné mobilizovat všechny nástroje financování – veřejné i soukromé;</w:t>
      </w:r>
    </w:p>
    <w:p w14:paraId="551A3974" w14:textId="77777777" w:rsidR="0071441D" w:rsidRPr="00DE0AD0" w:rsidRDefault="0071441D" w:rsidP="006371B9">
      <w:pPr>
        <w:numPr>
          <w:ilvl w:val="0"/>
          <w:numId w:val="23"/>
        </w:numPr>
        <w:ind w:left="567" w:hanging="567"/>
      </w:pPr>
      <w:r w:rsidRPr="00DE0AD0">
        <w:t>vyjadřuje znepokojení v souvislosti s tím, že obrana je upřednostňována na úkor financování prioritních environmentálních a sociálních cílů, nebo dokonce základní energetické či digitální infrastruktury;</w:t>
      </w:r>
    </w:p>
    <w:p w14:paraId="6A1AF865" w14:textId="77777777" w:rsidR="0071441D" w:rsidRPr="00DE0AD0" w:rsidRDefault="0071441D" w:rsidP="006371B9">
      <w:pPr>
        <w:numPr>
          <w:ilvl w:val="0"/>
          <w:numId w:val="23"/>
        </w:numPr>
        <w:ind w:left="567" w:hanging="567"/>
      </w:pPr>
      <w:r w:rsidRPr="00DE0AD0">
        <w:t>vyzývá k tomu, aby byly v plné míře využívány zdroje Nástroje pro oživení a odolnost (RRF) v zájmu naplnění počátečních i revidovaných cílů a rovněž k realizaci nových investic do evropských společných statků;</w:t>
      </w:r>
    </w:p>
    <w:p w14:paraId="27B8320E" w14:textId="77777777" w:rsidR="0071441D" w:rsidRPr="00DE0AD0" w:rsidRDefault="0071441D" w:rsidP="006371B9">
      <w:pPr>
        <w:numPr>
          <w:ilvl w:val="0"/>
          <w:numId w:val="23"/>
        </w:numPr>
        <w:ind w:left="567" w:hanging="567"/>
      </w:pPr>
      <w:r w:rsidRPr="00DE0AD0">
        <w:t>souhlasí s Komisí, že prioritou musí být odstranění přetrvávajících překážek na vnitřním trhu, avšak podtrhuje, že je také třeba snížit investiční deficit. K tomu je třeba vytvořit fond pro strategické investice do společných evropských statků, podpořit soukromé investice (prostřednictvím obnovy programu InvestEU a urychleného dokončení unie úspor a investic), snížit cenu energií (prostřednictvím propojení soustav, vytvoření energetické unie a rozšíření využívání čistých a obnovitelných energií), posílit evropské programy v oblasti VaVaI a zlepšit vzdělávání a odbornou přípravu lidského kapitálu;</w:t>
      </w:r>
    </w:p>
    <w:p w14:paraId="6065041F" w14:textId="77777777" w:rsidR="0071441D" w:rsidRPr="00DE0AD0" w:rsidRDefault="0071441D" w:rsidP="006371B9">
      <w:pPr>
        <w:numPr>
          <w:ilvl w:val="0"/>
          <w:numId w:val="23"/>
        </w:numPr>
        <w:ind w:left="567" w:hanging="567"/>
      </w:pPr>
      <w:r w:rsidRPr="00DE0AD0">
        <w:t>má za to, že „zjednodušování“ by mělo být vždy v souladu s pracovními právy a s právy spotřebitelů a rovněž s cíli spravedlivé ekologické a digitální transformace. Domnívá se rovněž, že je zásadně důležité bránit regulační autonomii EU před vnějšími tlaky, jejichž cílem je změnit dobrou regulaci, jako je regulace digitálních trhů a umělé inteligence;</w:t>
      </w:r>
    </w:p>
    <w:p w14:paraId="1E5C0C94" w14:textId="77777777" w:rsidR="0071441D" w:rsidRPr="00DE0AD0" w:rsidRDefault="0071441D" w:rsidP="006371B9">
      <w:pPr>
        <w:numPr>
          <w:ilvl w:val="0"/>
          <w:numId w:val="23"/>
        </w:numPr>
        <w:ind w:left="567" w:hanging="567"/>
      </w:pPr>
      <w:r w:rsidRPr="00DE0AD0">
        <w:t xml:space="preserve">je toho názoru, že přístup k důstojnému bydlení je základním právem všech evropských občanů a že Evropský plán dostupného bydlení musí zahrnovat veškerá podpůrná opatření, která může EU členským státům poskytnout v souvislosti s výstavbou sociálního bydlení, počínaje opatřeními finančními; </w:t>
      </w:r>
    </w:p>
    <w:p w14:paraId="4C5B5225" w14:textId="77777777" w:rsidR="0071441D" w:rsidRPr="00DE0AD0" w:rsidRDefault="0071441D" w:rsidP="006371B9">
      <w:pPr>
        <w:numPr>
          <w:ilvl w:val="0"/>
          <w:numId w:val="23"/>
        </w:numPr>
        <w:ind w:left="567" w:hanging="567"/>
      </w:pPr>
      <w:r w:rsidRPr="00DE0AD0">
        <w:t>souhlasí s doporučením podporovat mezinárodní roli eura a za tím účelem také vytvořit digitální euro a doplňuje, že dosažení tohoto cíle by napomohlo také dokončení unie kapitálových trhů a správa společného dluhu v eurech v dostatečné a udržitelné výši;</w:t>
      </w:r>
    </w:p>
    <w:p w14:paraId="666B411D" w14:textId="77777777" w:rsidR="0071441D" w:rsidRPr="00DE0AD0" w:rsidRDefault="0071441D" w:rsidP="006371B9">
      <w:pPr>
        <w:numPr>
          <w:ilvl w:val="0"/>
          <w:numId w:val="23"/>
        </w:numPr>
        <w:ind w:left="567" w:hanging="567"/>
      </w:pPr>
      <w:r w:rsidRPr="00DE0AD0">
        <w:lastRenderedPageBreak/>
        <w:t>opakovaně žádá, aby byla předpisy upravena účast organizované občanské společnosti na evropské správě ekonomických záležitostí prostřednictvím evropského semestru, a vyjadřuje politování nad tím, že se doporučení touto otázkou nezabývá.</w:t>
      </w:r>
    </w:p>
    <w:p w14:paraId="3BADD00D" w14:textId="77777777" w:rsidR="0071441D" w:rsidRPr="00DE0AD0" w:rsidRDefault="0071441D" w:rsidP="00DE0AD0">
      <w:pPr>
        <w:rPr>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D7622F" w:rsidRPr="00DE0AD0" w14:paraId="54641A4D" w14:textId="77777777" w:rsidTr="00D7622F">
        <w:tc>
          <w:tcPr>
            <w:tcW w:w="1418" w:type="dxa"/>
          </w:tcPr>
          <w:p w14:paraId="30E5CECF" w14:textId="6772F3CD" w:rsidR="00D7622F" w:rsidRPr="00DE0AD0" w:rsidRDefault="00D7622F" w:rsidP="00D7622F">
            <w:pPr>
              <w:rPr>
                <w:b/>
                <w:i/>
              </w:rPr>
            </w:pPr>
            <w:r w:rsidRPr="00DE0AD0">
              <w:rPr>
                <w:b/>
                <w:i/>
              </w:rPr>
              <w:t>Kontakt:</w:t>
            </w:r>
          </w:p>
        </w:tc>
        <w:tc>
          <w:tcPr>
            <w:tcW w:w="7904" w:type="dxa"/>
          </w:tcPr>
          <w:p w14:paraId="7C7FF843" w14:textId="10AE07D8" w:rsidR="00D7622F" w:rsidRPr="00DE0AD0" w:rsidRDefault="00D7622F" w:rsidP="00D7622F">
            <w:pPr>
              <w:rPr>
                <w:i/>
              </w:rPr>
            </w:pPr>
            <w:r w:rsidRPr="00DE0AD0">
              <w:rPr>
                <w:i/>
              </w:rPr>
              <w:t xml:space="preserve">Krisztina </w:t>
            </w:r>
            <w:proofErr w:type="spellStart"/>
            <w:r w:rsidR="00670F4D" w:rsidRPr="00DE0AD0">
              <w:rPr>
                <w:i/>
              </w:rPr>
              <w:t>Perlaky</w:t>
            </w:r>
            <w:proofErr w:type="spellEnd"/>
            <w:r w:rsidR="00670F4D" w:rsidRPr="00DE0AD0">
              <w:rPr>
                <w:i/>
              </w:rPr>
              <w:t>-Toth</w:t>
            </w:r>
          </w:p>
        </w:tc>
      </w:tr>
      <w:tr w:rsidR="00D7622F" w:rsidRPr="00DE0AD0" w14:paraId="372B73E7" w14:textId="77777777" w:rsidTr="00D7622F">
        <w:tc>
          <w:tcPr>
            <w:tcW w:w="1418" w:type="dxa"/>
          </w:tcPr>
          <w:p w14:paraId="3CF62E4C" w14:textId="3FFFF197" w:rsidR="00D7622F" w:rsidRPr="00DE0AD0" w:rsidRDefault="00D7622F" w:rsidP="00D7622F">
            <w:pPr>
              <w:rPr>
                <w:i/>
              </w:rPr>
            </w:pPr>
            <w:r w:rsidRPr="00DE0AD0">
              <w:rPr>
                <w:i/>
              </w:rPr>
              <w:t>Tel.:</w:t>
            </w:r>
          </w:p>
        </w:tc>
        <w:tc>
          <w:tcPr>
            <w:tcW w:w="7904" w:type="dxa"/>
          </w:tcPr>
          <w:p w14:paraId="206AAAE9" w14:textId="77777777" w:rsidR="00D7622F" w:rsidRPr="00DE0AD0" w:rsidRDefault="00D7622F" w:rsidP="00D7622F">
            <w:pPr>
              <w:rPr>
                <w:i/>
              </w:rPr>
            </w:pPr>
            <w:r w:rsidRPr="00DE0AD0">
              <w:rPr>
                <w:i/>
              </w:rPr>
              <w:t>+32 2 546 9740</w:t>
            </w:r>
          </w:p>
        </w:tc>
      </w:tr>
      <w:tr w:rsidR="00D7622F" w:rsidRPr="00DE0AD0" w14:paraId="615E09BC" w14:textId="77777777" w:rsidTr="00D7622F">
        <w:tc>
          <w:tcPr>
            <w:tcW w:w="1418" w:type="dxa"/>
          </w:tcPr>
          <w:p w14:paraId="79462AF3" w14:textId="58E3F9D5" w:rsidR="00D7622F" w:rsidRPr="00DE0AD0" w:rsidRDefault="00D7622F" w:rsidP="00D7622F">
            <w:pPr>
              <w:rPr>
                <w:i/>
              </w:rPr>
            </w:pPr>
            <w:r w:rsidRPr="00DE0AD0">
              <w:rPr>
                <w:i/>
              </w:rPr>
              <w:t>E-mail:</w:t>
            </w:r>
          </w:p>
        </w:tc>
        <w:tc>
          <w:tcPr>
            <w:tcW w:w="7904" w:type="dxa"/>
          </w:tcPr>
          <w:p w14:paraId="37981B59" w14:textId="77777777" w:rsidR="00D7622F" w:rsidRPr="00DE0AD0" w:rsidRDefault="003D4857" w:rsidP="00D7622F">
            <w:pPr>
              <w:rPr>
                <w:i/>
              </w:rPr>
            </w:pPr>
            <w:hyperlink r:id="rId22" w:history="1">
              <w:r w:rsidR="00D7622F" w:rsidRPr="00DE0AD0">
                <w:rPr>
                  <w:rStyle w:val="Hyperlink"/>
                  <w:i/>
                </w:rPr>
                <w:t>Krisztina.PerlakyToth@eesc.europa.eu</w:t>
              </w:r>
            </w:hyperlink>
          </w:p>
        </w:tc>
      </w:tr>
    </w:tbl>
    <w:p w14:paraId="30429645" w14:textId="003774CF" w:rsidR="0071441D" w:rsidRPr="00DE0AD0" w:rsidRDefault="0071441D" w:rsidP="00DE0AD0">
      <w:pPr>
        <w:rPr>
          <w:sz w:val="18"/>
          <w:szCs w:val="18"/>
        </w:rPr>
      </w:pPr>
    </w:p>
    <w:p w14:paraId="0FD18256" w14:textId="21A5E3DA" w:rsidR="0071441D" w:rsidRPr="00DE0AD0" w:rsidRDefault="0071441D" w:rsidP="0026661C">
      <w:pPr>
        <w:widowControl w:val="0"/>
        <w:numPr>
          <w:ilvl w:val="0"/>
          <w:numId w:val="2"/>
        </w:numPr>
        <w:overflowPunct w:val="0"/>
        <w:autoSpaceDE w:val="0"/>
        <w:autoSpaceDN w:val="0"/>
        <w:adjustRightInd w:val="0"/>
        <w:ind w:hanging="567"/>
        <w:textAlignment w:val="baseline"/>
        <w:rPr>
          <w:b/>
          <w:i/>
          <w:iCs/>
          <w:sz w:val="28"/>
          <w:szCs w:val="28"/>
        </w:rPr>
      </w:pPr>
      <w:r w:rsidRPr="00DE0AD0">
        <w:rPr>
          <w:sz w:val="18"/>
          <w:szCs w:val="18"/>
        </w:rPr>
        <w:br w:type="page"/>
      </w:r>
      <w:hyperlink r:id="rId23" w:history="1">
        <w:r w:rsidRPr="00DE0AD0">
          <w:rPr>
            <w:rStyle w:val="Hyperlink"/>
            <w:b/>
            <w:bCs/>
            <w:i/>
            <w:iCs/>
            <w:sz w:val="28"/>
            <w:szCs w:val="28"/>
          </w:rPr>
          <w:t>Víceletý finanční</w:t>
        </w:r>
        <w:r w:rsidRPr="00DE0AD0">
          <w:rPr>
            <w:rStyle w:val="Hyperlink"/>
            <w:b/>
            <w:bCs/>
            <w:i/>
            <w:iCs/>
            <w:sz w:val="28"/>
            <w:szCs w:val="28"/>
          </w:rPr>
          <w:t xml:space="preserve"> </w:t>
        </w:r>
        <w:r w:rsidRPr="00DE0AD0">
          <w:rPr>
            <w:rStyle w:val="Hyperlink"/>
            <w:b/>
            <w:bCs/>
            <w:i/>
            <w:iCs/>
            <w:sz w:val="28"/>
            <w:szCs w:val="28"/>
          </w:rPr>
          <w:t>rámec na období 2028–2034</w:t>
        </w:r>
      </w:hyperlink>
    </w:p>
    <w:p w14:paraId="7381E09A" w14:textId="77777777" w:rsidR="0071441D" w:rsidRPr="00DE0AD0" w:rsidRDefault="0071441D" w:rsidP="00DE0AD0">
      <w:pPr>
        <w:widowControl w:val="0"/>
        <w:ind w:left="284"/>
        <w:rPr>
          <w:b/>
          <w:i/>
          <w:iCs/>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71441D" w:rsidRPr="00DE0AD0" w14:paraId="78D685E8" w14:textId="77777777" w:rsidTr="001B4992">
        <w:tc>
          <w:tcPr>
            <w:tcW w:w="1701" w:type="dxa"/>
          </w:tcPr>
          <w:p w14:paraId="58925919" w14:textId="77777777" w:rsidR="0071441D" w:rsidRPr="00DE0AD0" w:rsidRDefault="0071441D" w:rsidP="00DE0AD0">
            <w:pPr>
              <w:tabs>
                <w:tab w:val="center" w:pos="284"/>
              </w:tabs>
              <w:ind w:left="266" w:hanging="266"/>
              <w:rPr>
                <w:b/>
              </w:rPr>
            </w:pPr>
            <w:r w:rsidRPr="00DE0AD0">
              <w:rPr>
                <w:b/>
              </w:rPr>
              <w:t>Zpravodajové</w:t>
            </w:r>
          </w:p>
        </w:tc>
        <w:tc>
          <w:tcPr>
            <w:tcW w:w="7621" w:type="dxa"/>
          </w:tcPr>
          <w:p w14:paraId="0170F651" w14:textId="77777777" w:rsidR="0071441D" w:rsidRPr="00DE0AD0" w:rsidRDefault="0071441D" w:rsidP="00DE0AD0">
            <w:pPr>
              <w:tabs>
                <w:tab w:val="center" w:pos="284"/>
              </w:tabs>
              <w:ind w:left="266" w:hanging="266"/>
              <w:rPr>
                <w:bCs/>
              </w:rPr>
            </w:pPr>
            <w:r w:rsidRPr="00DE0AD0">
              <w:t>Dominika BIEGON (Zaměstnanci – DE)</w:t>
            </w:r>
          </w:p>
          <w:p w14:paraId="65A639EB" w14:textId="77777777" w:rsidR="0071441D" w:rsidRPr="00DE0AD0" w:rsidRDefault="0071441D" w:rsidP="00DE0AD0">
            <w:pPr>
              <w:tabs>
                <w:tab w:val="center" w:pos="284"/>
              </w:tabs>
              <w:ind w:left="266" w:hanging="266"/>
            </w:pPr>
            <w:r w:rsidRPr="00DE0AD0">
              <w:t>Konstantinos DIAMANTOUROS (Zaměstnavatelé – EL)</w:t>
            </w:r>
          </w:p>
          <w:p w14:paraId="3508EAED" w14:textId="77777777" w:rsidR="0071441D" w:rsidRPr="00DE0AD0" w:rsidRDefault="0071441D" w:rsidP="00DE0AD0">
            <w:pPr>
              <w:tabs>
                <w:tab w:val="center" w:pos="284"/>
              </w:tabs>
              <w:ind w:left="266" w:hanging="266"/>
            </w:pPr>
            <w:r w:rsidRPr="00DE0AD0">
              <w:t>Luca JAHIER (Organizace občanské společnosti – IT)</w:t>
            </w:r>
          </w:p>
          <w:p w14:paraId="32296362" w14:textId="77777777" w:rsidR="0071441D" w:rsidRPr="00BB763C" w:rsidRDefault="0071441D" w:rsidP="00DE0AD0">
            <w:pPr>
              <w:tabs>
                <w:tab w:val="center" w:pos="284"/>
              </w:tabs>
              <w:ind w:left="266" w:hanging="266"/>
              <w:rPr>
                <w:bCs/>
              </w:rPr>
            </w:pPr>
          </w:p>
        </w:tc>
      </w:tr>
      <w:tr w:rsidR="0071441D" w:rsidRPr="00DE0AD0" w14:paraId="45E475C7" w14:textId="77777777" w:rsidTr="001B4992">
        <w:tc>
          <w:tcPr>
            <w:tcW w:w="1701" w:type="dxa"/>
          </w:tcPr>
          <w:p w14:paraId="58DC1748" w14:textId="77777777" w:rsidR="0071441D" w:rsidRPr="00DE0AD0" w:rsidRDefault="0071441D" w:rsidP="00DE0AD0">
            <w:pPr>
              <w:tabs>
                <w:tab w:val="center" w:pos="284"/>
              </w:tabs>
              <w:ind w:left="266" w:hanging="266"/>
              <w:rPr>
                <w:b/>
              </w:rPr>
            </w:pPr>
            <w:r w:rsidRPr="00DE0AD0">
              <w:rPr>
                <w:b/>
              </w:rPr>
              <w:t>Odkazy</w:t>
            </w:r>
          </w:p>
        </w:tc>
        <w:tc>
          <w:tcPr>
            <w:tcW w:w="7621" w:type="dxa"/>
          </w:tcPr>
          <w:p w14:paraId="0E7604B1" w14:textId="77777777" w:rsidR="0071441D" w:rsidRPr="00DE0AD0" w:rsidRDefault="0071441D" w:rsidP="00DE0AD0">
            <w:pPr>
              <w:tabs>
                <w:tab w:val="center" w:pos="284"/>
              </w:tabs>
              <w:ind w:left="266" w:hanging="266"/>
            </w:pPr>
            <w:r w:rsidRPr="00DE0AD0">
              <w:t>COM(2025) 570 final</w:t>
            </w:r>
          </w:p>
          <w:p w14:paraId="609EC47A" w14:textId="77777777" w:rsidR="0071441D" w:rsidRPr="00DE0AD0" w:rsidRDefault="0071441D" w:rsidP="00DE0AD0">
            <w:pPr>
              <w:tabs>
                <w:tab w:val="center" w:pos="284"/>
              </w:tabs>
              <w:ind w:left="266" w:hanging="266"/>
              <w:rPr>
                <w:bCs/>
              </w:rPr>
            </w:pPr>
            <w:r w:rsidRPr="00DE0AD0">
              <w:t>EESC-2025-02245-00-00-AC-TRA</w:t>
            </w:r>
          </w:p>
        </w:tc>
      </w:tr>
    </w:tbl>
    <w:p w14:paraId="68873DFD" w14:textId="77777777" w:rsidR="0071441D" w:rsidRPr="00DE0AD0" w:rsidRDefault="0071441D" w:rsidP="00DE0AD0">
      <w:pPr>
        <w:keepNext/>
        <w:keepLines/>
        <w:tabs>
          <w:tab w:val="center" w:pos="284"/>
        </w:tabs>
        <w:ind w:left="266" w:hanging="266"/>
        <w:rPr>
          <w:b/>
          <w:lang w:val="pt-PT"/>
        </w:rPr>
      </w:pPr>
    </w:p>
    <w:p w14:paraId="276205ED" w14:textId="77777777" w:rsidR="0071441D" w:rsidRPr="00DE0AD0" w:rsidRDefault="0071441D" w:rsidP="00DE0AD0">
      <w:pPr>
        <w:keepNext/>
        <w:keepLines/>
        <w:tabs>
          <w:tab w:val="center" w:pos="284"/>
        </w:tabs>
        <w:ind w:left="266" w:hanging="266"/>
        <w:rPr>
          <w:b/>
        </w:rPr>
      </w:pPr>
      <w:r w:rsidRPr="00DE0AD0">
        <w:rPr>
          <w:b/>
        </w:rPr>
        <w:t>Hlavní body</w:t>
      </w:r>
    </w:p>
    <w:p w14:paraId="768A27F7" w14:textId="77777777" w:rsidR="0071441D" w:rsidRPr="00DE0AD0" w:rsidRDefault="0071441D" w:rsidP="00DE0AD0">
      <w:pPr>
        <w:keepNext/>
        <w:keepLines/>
        <w:tabs>
          <w:tab w:val="center" w:pos="284"/>
        </w:tabs>
        <w:ind w:left="266" w:hanging="266"/>
        <w:rPr>
          <w:b/>
        </w:rPr>
      </w:pPr>
    </w:p>
    <w:p w14:paraId="2D2C2AE3" w14:textId="77777777" w:rsidR="0071441D" w:rsidRPr="00DE0AD0" w:rsidRDefault="0071441D" w:rsidP="00DE0AD0">
      <w:pPr>
        <w:rPr>
          <w:bCs/>
          <w:iCs/>
        </w:rPr>
      </w:pPr>
      <w:r w:rsidRPr="00DE0AD0">
        <w:t>EHSV:</w:t>
      </w:r>
    </w:p>
    <w:p w14:paraId="12761F8F" w14:textId="77777777" w:rsidR="0071441D" w:rsidRPr="00DE0AD0" w:rsidRDefault="0071441D" w:rsidP="00DE0AD0">
      <w:pPr>
        <w:rPr>
          <w:bCs/>
          <w:iCs/>
        </w:rPr>
      </w:pPr>
    </w:p>
    <w:p w14:paraId="58A5634D" w14:textId="77777777" w:rsidR="0071441D" w:rsidRPr="00DE0AD0" w:rsidRDefault="0071441D" w:rsidP="006371B9">
      <w:pPr>
        <w:pStyle w:val="Heading2"/>
        <w:numPr>
          <w:ilvl w:val="1"/>
          <w:numId w:val="24"/>
        </w:numPr>
        <w:ind w:left="567" w:hanging="567"/>
      </w:pPr>
      <w:r w:rsidRPr="00DE0AD0">
        <w:t>upozorňuje, že nepatrné zvýšení objemu víceletého finančního rámce (VFR), které navrhuje Komise, je nedostatečné, a zdůrazňuje, že je třeba podstatně navýšit skutečné zdroje;</w:t>
      </w:r>
    </w:p>
    <w:p w14:paraId="5BDF5D35" w14:textId="77777777" w:rsidR="0071441D" w:rsidRPr="00DE0AD0" w:rsidRDefault="0071441D" w:rsidP="006371B9">
      <w:pPr>
        <w:pStyle w:val="Heading2"/>
        <w:numPr>
          <w:ilvl w:val="1"/>
          <w:numId w:val="24"/>
        </w:numPr>
        <w:ind w:left="567" w:hanging="567"/>
      </w:pPr>
      <w:r w:rsidRPr="00DE0AD0">
        <w:t>vítá návrh Komise na nové vlastní zdroje EU, vyzývá však k ambicióznějšímu přístupu, který zajistí efektivnější rozpočet, a zdůrazňuje, že by příjmy měly být spojeny s politikami EU;</w:t>
      </w:r>
    </w:p>
    <w:p w14:paraId="2307AB19" w14:textId="77777777" w:rsidR="0071441D" w:rsidRPr="00DE0AD0" w:rsidRDefault="0071441D" w:rsidP="006371B9">
      <w:pPr>
        <w:pStyle w:val="Heading2"/>
        <w:numPr>
          <w:ilvl w:val="1"/>
          <w:numId w:val="24"/>
        </w:numPr>
        <w:ind w:left="567" w:hanging="567"/>
      </w:pPr>
      <w:r w:rsidRPr="00DE0AD0">
        <w:t>je důrazně proti navrhovanému snížení financování politiky soudržnosti a snížení financování společné zemědělské politiky (SZP) v příštím VFR;</w:t>
      </w:r>
    </w:p>
    <w:p w14:paraId="783BA6AF" w14:textId="77777777" w:rsidR="0071441D" w:rsidRPr="00DE0AD0" w:rsidRDefault="0071441D" w:rsidP="006371B9">
      <w:pPr>
        <w:pStyle w:val="Heading2"/>
        <w:numPr>
          <w:ilvl w:val="1"/>
          <w:numId w:val="24"/>
        </w:numPr>
        <w:ind w:left="567" w:hanging="567"/>
      </w:pPr>
      <w:r w:rsidRPr="00DE0AD0">
        <w:t>mimoto nesouhlasí s plánem sloučit zdroje na politiku soudržnosti, ESF+, SZP, rybolov, migraci a bezpečnost do jediného fondu;</w:t>
      </w:r>
    </w:p>
    <w:p w14:paraId="23768827" w14:textId="77777777" w:rsidR="0071441D" w:rsidRPr="00DE0AD0" w:rsidRDefault="0071441D" w:rsidP="006371B9">
      <w:pPr>
        <w:pStyle w:val="Heading2"/>
        <w:numPr>
          <w:ilvl w:val="1"/>
          <w:numId w:val="24"/>
        </w:numPr>
        <w:ind w:left="567" w:hanging="567"/>
      </w:pPr>
      <w:r w:rsidRPr="00DE0AD0">
        <w:t>zdůrazňuje, že všechny zúčastněné strany musí být účinně zapojeny na všech úrovních rozhodování o přidělování zdrojů, strategických prioritách, programech, ukazatelích a hodnocení. V případech, kdy vlády zúčastněné strany účinně nezapojují, musí být uplatněny náležité záruky a podmínky s cílem zlepšit účast;</w:t>
      </w:r>
    </w:p>
    <w:p w14:paraId="15520E52" w14:textId="77777777" w:rsidR="0071441D" w:rsidRPr="00DE0AD0" w:rsidRDefault="0071441D" w:rsidP="006371B9">
      <w:pPr>
        <w:pStyle w:val="Heading2"/>
        <w:numPr>
          <w:ilvl w:val="1"/>
          <w:numId w:val="24"/>
        </w:numPr>
        <w:ind w:left="567" w:hanging="567"/>
      </w:pPr>
      <w:r w:rsidRPr="00DE0AD0">
        <w:t>je proti jakékoli formě makroekonomické podmíněnosti v plánech národního a regionálního partnerství. Vyplácení finančních prostředků EU nesmí být vázáno na nesouvisející návrhy strukturálních reforem;</w:t>
      </w:r>
    </w:p>
    <w:p w14:paraId="07FC2494" w14:textId="77777777" w:rsidR="0071441D" w:rsidRPr="00DE0AD0" w:rsidRDefault="0071441D" w:rsidP="006371B9">
      <w:pPr>
        <w:pStyle w:val="Heading2"/>
        <w:numPr>
          <w:ilvl w:val="1"/>
          <w:numId w:val="24"/>
        </w:numPr>
        <w:ind w:left="567" w:hanging="567"/>
      </w:pPr>
      <w:r w:rsidRPr="00DE0AD0">
        <w:t>zdůrazňuje, že Evropský sociální fond plus (ESF+) a Fond pro spravedlivou transformaci by měly v příštím VFR zůstat samostatnými nástroji a jejich financování by mělo být navýšeno;</w:t>
      </w:r>
    </w:p>
    <w:p w14:paraId="6F13EB80" w14:textId="77777777" w:rsidR="0071441D" w:rsidRPr="00DE0AD0" w:rsidRDefault="0071441D" w:rsidP="006371B9">
      <w:pPr>
        <w:pStyle w:val="Heading2"/>
        <w:numPr>
          <w:ilvl w:val="1"/>
          <w:numId w:val="24"/>
        </w:numPr>
        <w:ind w:left="567" w:hanging="567"/>
      </w:pPr>
      <w:r w:rsidRPr="00DE0AD0">
        <w:rPr>
          <w:color w:val="222222"/>
          <w:shd w:val="clear" w:color="auto" w:fill="FFFFFF"/>
        </w:rPr>
        <w:t>zdůrazňuje, že odpovídající financování programů zaměřených na občanskou společnost a sdělovací prostředky (AgoraEU, CERV) je nezbytnou demokratickou infrastrukturou, nikoli volitelným výdajem;</w:t>
      </w:r>
    </w:p>
    <w:p w14:paraId="6A3E6E01" w14:textId="77777777" w:rsidR="0071441D" w:rsidRPr="00DE0AD0" w:rsidRDefault="0071441D" w:rsidP="006371B9">
      <w:pPr>
        <w:pStyle w:val="Heading2"/>
        <w:numPr>
          <w:ilvl w:val="1"/>
          <w:numId w:val="24"/>
        </w:numPr>
        <w:ind w:left="567" w:hanging="567"/>
      </w:pPr>
      <w:r w:rsidRPr="00DE0AD0">
        <w:t>vítá silný důraz na konkurenceschopnost v příštím VFR a poukazuje na to, že výzkum a inovace mají ústřední význam pro udržitelný vnitřní růst, strategickou autonomii, vodohospodářskou odolnost a ekologickou a digitální transformaci, a tudíž podporuje vytvoření Evropského fondu pro konkurenceschopnost (ECF) a posílení programu Horizont Evropa navýšením prostředků;</w:t>
      </w:r>
    </w:p>
    <w:p w14:paraId="780F1AC4" w14:textId="77777777" w:rsidR="0071441D" w:rsidRPr="00DE0AD0" w:rsidRDefault="0071441D" w:rsidP="006371B9">
      <w:pPr>
        <w:pStyle w:val="Heading2"/>
        <w:keepNext/>
        <w:keepLines/>
        <w:numPr>
          <w:ilvl w:val="1"/>
          <w:numId w:val="24"/>
        </w:numPr>
        <w:ind w:left="567" w:hanging="567"/>
      </w:pPr>
      <w:r w:rsidRPr="00DE0AD0">
        <w:t>požaduje, aby financování EU poskytované v rámci „nařízení o multifondu“ bylo podmíněno sociálními kritérií, která by byla vypracována ve spolupráci s vnitrostátními sociálními partnery. Pokud jde o ECF, navrhuje EHSV další pobídky pro podniky motivující je k investicím do kvalifikace a odborné přípravy svých pracovníků nebo k investicím do regionů s vysokou nezaměstnaností či do regionů procházejících průmyslovou transformací;</w:t>
      </w:r>
    </w:p>
    <w:p w14:paraId="7682BB73" w14:textId="77777777" w:rsidR="0071441D" w:rsidRPr="00DE0AD0" w:rsidRDefault="0071441D" w:rsidP="006371B9">
      <w:pPr>
        <w:pStyle w:val="Heading2"/>
        <w:numPr>
          <w:ilvl w:val="1"/>
          <w:numId w:val="24"/>
        </w:numPr>
        <w:ind w:left="567" w:hanging="567"/>
      </w:pPr>
      <w:r w:rsidRPr="00DE0AD0">
        <w:t>vítá navýšení rozpočtu nástroje Globální Evropa, jenž má zásadní význam pro posílení obrovského potenciálu vnější činnosti EU.</w:t>
      </w:r>
    </w:p>
    <w:p w14:paraId="105E1A80" w14:textId="77777777" w:rsidR="0071441D" w:rsidRPr="00DE0AD0" w:rsidRDefault="0071441D" w:rsidP="00DE0AD0">
      <w:pPr>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7622F" w:rsidRPr="00DE0AD0" w14:paraId="032AA7CA" w14:textId="77777777" w:rsidTr="00031910">
        <w:tc>
          <w:tcPr>
            <w:tcW w:w="1418" w:type="dxa"/>
          </w:tcPr>
          <w:p w14:paraId="02F38030" w14:textId="704AF08C" w:rsidR="00D7622F" w:rsidRPr="00DE0AD0" w:rsidRDefault="00D7622F" w:rsidP="00D7622F">
            <w:pPr>
              <w:rPr>
                <w:b/>
                <w:i/>
              </w:rPr>
            </w:pPr>
            <w:r w:rsidRPr="00DE0AD0">
              <w:rPr>
                <w:b/>
                <w:i/>
              </w:rPr>
              <w:lastRenderedPageBreak/>
              <w:t>Kontakt:</w:t>
            </w:r>
          </w:p>
        </w:tc>
        <w:tc>
          <w:tcPr>
            <w:tcW w:w="5670" w:type="dxa"/>
          </w:tcPr>
          <w:p w14:paraId="69447ADF" w14:textId="764F73D1" w:rsidR="00D7622F" w:rsidRPr="00DE0AD0" w:rsidRDefault="00D7622F" w:rsidP="00D7622F">
            <w:pPr>
              <w:rPr>
                <w:i/>
              </w:rPr>
            </w:pPr>
            <w:r w:rsidRPr="00DE0AD0">
              <w:rPr>
                <w:i/>
              </w:rPr>
              <w:t xml:space="preserve">Gerald </w:t>
            </w:r>
            <w:r w:rsidR="00670F4D" w:rsidRPr="00DE0AD0">
              <w:rPr>
                <w:i/>
              </w:rPr>
              <w:t>Klec</w:t>
            </w:r>
          </w:p>
        </w:tc>
      </w:tr>
      <w:tr w:rsidR="00D7622F" w:rsidRPr="00DE0AD0" w14:paraId="22E962B0" w14:textId="77777777" w:rsidTr="00031910">
        <w:tc>
          <w:tcPr>
            <w:tcW w:w="1418" w:type="dxa"/>
          </w:tcPr>
          <w:p w14:paraId="79AF70AC" w14:textId="05FB1EED" w:rsidR="00D7622F" w:rsidRPr="00DE0AD0" w:rsidRDefault="00D7622F" w:rsidP="00D7622F">
            <w:pPr>
              <w:rPr>
                <w:i/>
              </w:rPr>
            </w:pPr>
            <w:r w:rsidRPr="00DE0AD0">
              <w:rPr>
                <w:i/>
              </w:rPr>
              <w:t>Tel.:</w:t>
            </w:r>
          </w:p>
        </w:tc>
        <w:tc>
          <w:tcPr>
            <w:tcW w:w="5670" w:type="dxa"/>
          </w:tcPr>
          <w:p w14:paraId="6C736B54" w14:textId="77777777" w:rsidR="00D7622F" w:rsidRPr="00DE0AD0" w:rsidRDefault="00D7622F" w:rsidP="00D7622F">
            <w:pPr>
              <w:rPr>
                <w:i/>
              </w:rPr>
            </w:pPr>
            <w:r w:rsidRPr="00DE0AD0">
              <w:rPr>
                <w:i/>
              </w:rPr>
              <w:t>+32 2</w:t>
            </w:r>
            <w:r w:rsidRPr="00DE0AD0">
              <w:t xml:space="preserve"> </w:t>
            </w:r>
            <w:r w:rsidRPr="00DE0AD0">
              <w:rPr>
                <w:i/>
              </w:rPr>
              <w:t>5469909</w:t>
            </w:r>
          </w:p>
        </w:tc>
      </w:tr>
      <w:tr w:rsidR="00D7622F" w:rsidRPr="00DE0AD0" w14:paraId="37EB1E95" w14:textId="77777777" w:rsidTr="00031910">
        <w:tc>
          <w:tcPr>
            <w:tcW w:w="1418" w:type="dxa"/>
          </w:tcPr>
          <w:p w14:paraId="5B1883C9" w14:textId="0DDE2B83" w:rsidR="00D7622F" w:rsidRPr="00DE0AD0" w:rsidRDefault="00D7622F" w:rsidP="00D7622F">
            <w:pPr>
              <w:rPr>
                <w:i/>
              </w:rPr>
            </w:pPr>
            <w:r w:rsidRPr="00DE0AD0">
              <w:rPr>
                <w:i/>
              </w:rPr>
              <w:t>E-mail:</w:t>
            </w:r>
          </w:p>
        </w:tc>
        <w:tc>
          <w:tcPr>
            <w:tcW w:w="5670" w:type="dxa"/>
          </w:tcPr>
          <w:p w14:paraId="1D78A1FD" w14:textId="77777777" w:rsidR="00D7622F" w:rsidRPr="00DE0AD0" w:rsidRDefault="003D4857" w:rsidP="00D7622F">
            <w:pPr>
              <w:rPr>
                <w:i/>
                <w:iCs/>
              </w:rPr>
            </w:pPr>
            <w:hyperlink r:id="rId24" w:history="1">
              <w:r w:rsidR="00D7622F" w:rsidRPr="00DE0AD0">
                <w:rPr>
                  <w:rStyle w:val="Hyperlink"/>
                  <w:i/>
                </w:rPr>
                <w:t>Gerald.Klec@eesc.europa.eu</w:t>
              </w:r>
            </w:hyperlink>
          </w:p>
        </w:tc>
      </w:tr>
    </w:tbl>
    <w:p w14:paraId="6A88D854" w14:textId="07F71809" w:rsidR="0071441D" w:rsidRPr="00DE0AD0" w:rsidRDefault="0071441D" w:rsidP="00DE0AD0">
      <w:pPr>
        <w:jc w:val="left"/>
        <w:rPr>
          <w:sz w:val="18"/>
          <w:szCs w:val="18"/>
        </w:rPr>
      </w:pPr>
    </w:p>
    <w:p w14:paraId="2D61D7EE" w14:textId="77777777" w:rsidR="0071441D" w:rsidRPr="00DE0AD0" w:rsidRDefault="0071441D" w:rsidP="00DE0AD0">
      <w:pPr>
        <w:jc w:val="left"/>
        <w:rPr>
          <w:sz w:val="18"/>
          <w:szCs w:val="18"/>
        </w:rPr>
      </w:pPr>
      <w:r w:rsidRPr="00DE0AD0">
        <w:rPr>
          <w:sz w:val="18"/>
          <w:szCs w:val="18"/>
        </w:rPr>
        <w:br w:type="page"/>
      </w:r>
    </w:p>
    <w:p w14:paraId="3954E882" w14:textId="233A7E46" w:rsidR="0071441D" w:rsidRPr="00BB763C" w:rsidRDefault="003D4857" w:rsidP="006371B9">
      <w:pPr>
        <w:widowControl w:val="0"/>
        <w:numPr>
          <w:ilvl w:val="0"/>
          <w:numId w:val="2"/>
        </w:numPr>
        <w:overflowPunct w:val="0"/>
        <w:autoSpaceDE w:val="0"/>
        <w:autoSpaceDN w:val="0"/>
        <w:adjustRightInd w:val="0"/>
        <w:ind w:hanging="567"/>
        <w:textAlignment w:val="baseline"/>
        <w:rPr>
          <w:rStyle w:val="Hyperlink"/>
          <w:b/>
          <w:i/>
          <w:iCs/>
          <w:color w:val="auto"/>
          <w:sz w:val="28"/>
          <w:szCs w:val="28"/>
          <w:u w:val="none"/>
        </w:rPr>
      </w:pPr>
      <w:hyperlink r:id="rId25" w:history="1">
        <w:r w:rsidR="0071441D" w:rsidRPr="00DE0AD0">
          <w:rPr>
            <w:rStyle w:val="Hyperlink"/>
            <w:b/>
            <w:i/>
            <w:sz w:val="28"/>
          </w:rPr>
          <w:t>Evropský</w:t>
        </w:r>
        <w:r w:rsidR="0071441D" w:rsidRPr="00DE0AD0">
          <w:rPr>
            <w:rStyle w:val="Hyperlink"/>
            <w:b/>
            <w:i/>
            <w:sz w:val="28"/>
          </w:rPr>
          <w:t xml:space="preserve"> </w:t>
        </w:r>
        <w:r w:rsidR="0071441D" w:rsidRPr="00DE0AD0">
          <w:rPr>
            <w:rStyle w:val="Hyperlink"/>
            <w:b/>
            <w:i/>
            <w:sz w:val="28"/>
          </w:rPr>
          <w:t>fond pro soudržnost, zemědělství a venkovské oblasti, rybolov a námořní záležitosti, prosperitu a bezpečnost</w:t>
        </w:r>
      </w:hyperlink>
    </w:p>
    <w:p w14:paraId="197E0A72" w14:textId="77777777" w:rsidR="00BB763C" w:rsidRPr="00DE0AD0" w:rsidRDefault="00BB763C" w:rsidP="00DF2762">
      <w:pPr>
        <w:widowControl w:val="0"/>
        <w:overflowPunct w:val="0"/>
        <w:autoSpaceDE w:val="0"/>
        <w:autoSpaceDN w:val="0"/>
        <w:adjustRightInd w:val="0"/>
        <w:ind w:left="567"/>
        <w:textAlignment w:val="baseline"/>
        <w:rPr>
          <w:b/>
          <w:i/>
          <w:iCs/>
          <w:sz w:val="28"/>
          <w:szCs w:val="28"/>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614"/>
      </w:tblGrid>
      <w:tr w:rsidR="0071441D" w:rsidRPr="00DE0AD0" w14:paraId="781834D5" w14:textId="77777777" w:rsidTr="001B4992">
        <w:tc>
          <w:tcPr>
            <w:tcW w:w="1701" w:type="dxa"/>
          </w:tcPr>
          <w:p w14:paraId="0968835E" w14:textId="77777777" w:rsidR="0071441D" w:rsidRPr="00DE0AD0" w:rsidRDefault="0071441D" w:rsidP="00DE0AD0">
            <w:pPr>
              <w:tabs>
                <w:tab w:val="center" w:pos="284"/>
              </w:tabs>
              <w:ind w:left="266" w:hanging="266"/>
              <w:rPr>
                <w:b/>
              </w:rPr>
            </w:pPr>
            <w:r w:rsidRPr="00DE0AD0">
              <w:rPr>
                <w:b/>
              </w:rPr>
              <w:t>Zpravodaj</w:t>
            </w:r>
          </w:p>
          <w:p w14:paraId="09847336" w14:textId="77777777" w:rsidR="0071441D" w:rsidRPr="00DE0AD0" w:rsidRDefault="0071441D" w:rsidP="00DE0AD0">
            <w:pPr>
              <w:tabs>
                <w:tab w:val="center" w:pos="284"/>
              </w:tabs>
              <w:ind w:left="266" w:hanging="266"/>
              <w:rPr>
                <w:b/>
              </w:rPr>
            </w:pPr>
            <w:r w:rsidRPr="00DE0AD0">
              <w:rPr>
                <w:b/>
              </w:rPr>
              <w:t>Spoluzpravodaj</w:t>
            </w:r>
          </w:p>
        </w:tc>
        <w:tc>
          <w:tcPr>
            <w:tcW w:w="7621" w:type="dxa"/>
          </w:tcPr>
          <w:p w14:paraId="39448BBA" w14:textId="77777777" w:rsidR="0071441D" w:rsidRPr="00DE0AD0" w:rsidRDefault="0071441D" w:rsidP="00DE0AD0">
            <w:pPr>
              <w:tabs>
                <w:tab w:val="center" w:pos="284"/>
              </w:tabs>
              <w:ind w:left="266" w:hanging="266"/>
            </w:pPr>
            <w:r w:rsidRPr="00DE0AD0">
              <w:t>Florian MARIN (Zaměstnanci – RO)</w:t>
            </w:r>
          </w:p>
          <w:p w14:paraId="15B11F63" w14:textId="77777777" w:rsidR="0071441D" w:rsidRPr="00DE0AD0" w:rsidRDefault="0071441D" w:rsidP="00DE0AD0">
            <w:pPr>
              <w:tabs>
                <w:tab w:val="center" w:pos="284"/>
              </w:tabs>
              <w:ind w:left="266" w:hanging="266"/>
            </w:pPr>
            <w:r w:rsidRPr="00DE0AD0">
              <w:t>David SVENTEK (Zaměstnavatelé – CZ)</w:t>
            </w:r>
          </w:p>
          <w:p w14:paraId="470DD103" w14:textId="77777777" w:rsidR="0071441D" w:rsidRPr="00BB763C" w:rsidRDefault="0071441D" w:rsidP="00DE0AD0">
            <w:pPr>
              <w:tabs>
                <w:tab w:val="center" w:pos="284"/>
              </w:tabs>
              <w:ind w:left="266" w:hanging="266"/>
              <w:rPr>
                <w:bCs/>
              </w:rPr>
            </w:pPr>
          </w:p>
        </w:tc>
      </w:tr>
      <w:tr w:rsidR="0071441D" w:rsidRPr="00DE0AD0" w14:paraId="09FDFAB2" w14:textId="77777777" w:rsidTr="001B4992">
        <w:tc>
          <w:tcPr>
            <w:tcW w:w="1701" w:type="dxa"/>
          </w:tcPr>
          <w:p w14:paraId="53AFB9ED" w14:textId="77777777" w:rsidR="0071441D" w:rsidRPr="00DE0AD0" w:rsidRDefault="0071441D" w:rsidP="00DE0AD0">
            <w:pPr>
              <w:tabs>
                <w:tab w:val="center" w:pos="284"/>
              </w:tabs>
              <w:ind w:left="266" w:hanging="266"/>
              <w:rPr>
                <w:b/>
              </w:rPr>
            </w:pPr>
            <w:r w:rsidRPr="00DE0AD0">
              <w:rPr>
                <w:b/>
              </w:rPr>
              <w:t>Odkazy</w:t>
            </w:r>
          </w:p>
        </w:tc>
        <w:tc>
          <w:tcPr>
            <w:tcW w:w="7621" w:type="dxa"/>
          </w:tcPr>
          <w:p w14:paraId="177C9E54" w14:textId="77777777" w:rsidR="0071441D" w:rsidRPr="00DE0AD0" w:rsidRDefault="0071441D" w:rsidP="00DE0AD0">
            <w:pPr>
              <w:tabs>
                <w:tab w:val="center" w:pos="284"/>
              </w:tabs>
              <w:ind w:left="266" w:hanging="266"/>
            </w:pPr>
            <w:r w:rsidRPr="00DE0AD0">
              <w:t>COM(2025) 565 final – 2025/0240 (COD)</w:t>
            </w:r>
          </w:p>
          <w:p w14:paraId="22D2BF34" w14:textId="77777777" w:rsidR="0071441D" w:rsidRPr="00DE0AD0" w:rsidRDefault="0071441D" w:rsidP="00DE0AD0">
            <w:pPr>
              <w:tabs>
                <w:tab w:val="center" w:pos="284"/>
              </w:tabs>
              <w:ind w:left="266" w:hanging="266"/>
            </w:pPr>
            <w:r w:rsidRPr="00DE0AD0">
              <w:t>EESC-2025-02552-00-00-AC-TRA</w:t>
            </w:r>
          </w:p>
        </w:tc>
      </w:tr>
    </w:tbl>
    <w:p w14:paraId="78586438" w14:textId="77777777" w:rsidR="006371B9" w:rsidRDefault="006371B9" w:rsidP="00DE0AD0">
      <w:pPr>
        <w:keepNext/>
        <w:keepLines/>
        <w:tabs>
          <w:tab w:val="center" w:pos="284"/>
        </w:tabs>
        <w:ind w:left="266" w:hanging="266"/>
        <w:rPr>
          <w:b/>
        </w:rPr>
      </w:pPr>
    </w:p>
    <w:p w14:paraId="6F87391B" w14:textId="12B9AE17" w:rsidR="0071441D" w:rsidRPr="00DE0AD0" w:rsidRDefault="0071441D" w:rsidP="00DE0AD0">
      <w:pPr>
        <w:keepNext/>
        <w:keepLines/>
        <w:tabs>
          <w:tab w:val="center" w:pos="284"/>
        </w:tabs>
        <w:ind w:left="266" w:hanging="266"/>
        <w:rPr>
          <w:b/>
        </w:rPr>
      </w:pPr>
      <w:r w:rsidRPr="00DE0AD0">
        <w:rPr>
          <w:b/>
        </w:rPr>
        <w:t>Hlavní body</w:t>
      </w:r>
    </w:p>
    <w:p w14:paraId="31A6B4B9" w14:textId="77777777" w:rsidR="0071441D" w:rsidRPr="00DE0AD0" w:rsidRDefault="0071441D" w:rsidP="00DE0AD0">
      <w:pPr>
        <w:keepNext/>
        <w:keepLines/>
        <w:tabs>
          <w:tab w:val="center" w:pos="284"/>
        </w:tabs>
        <w:ind w:left="266" w:hanging="266"/>
        <w:rPr>
          <w:b/>
        </w:rPr>
      </w:pPr>
    </w:p>
    <w:p w14:paraId="636FF70B" w14:textId="7209BD90" w:rsidR="0071441D" w:rsidRDefault="0071441D" w:rsidP="00DE0AD0">
      <w:r w:rsidRPr="00DE0AD0">
        <w:t>EHSV:</w:t>
      </w:r>
    </w:p>
    <w:p w14:paraId="7ABA3C03" w14:textId="77777777" w:rsidR="006371B9" w:rsidRPr="00DE0AD0" w:rsidRDefault="006371B9" w:rsidP="00DE0AD0">
      <w:pPr>
        <w:rPr>
          <w:bCs/>
          <w:iCs/>
        </w:rPr>
      </w:pPr>
    </w:p>
    <w:p w14:paraId="59655908" w14:textId="77777777" w:rsidR="0071441D" w:rsidRPr="00DE0AD0" w:rsidRDefault="0071441D" w:rsidP="0000067D">
      <w:pPr>
        <w:pStyle w:val="ListParagraph"/>
        <w:numPr>
          <w:ilvl w:val="0"/>
          <w:numId w:val="25"/>
        </w:numPr>
        <w:overflowPunct w:val="0"/>
        <w:autoSpaceDE w:val="0"/>
        <w:autoSpaceDN w:val="0"/>
        <w:adjustRightInd w:val="0"/>
        <w:ind w:left="567" w:hanging="567"/>
        <w:textAlignment w:val="baseline"/>
        <w:rPr>
          <w:bCs/>
          <w:iCs/>
        </w:rPr>
      </w:pPr>
      <w:r w:rsidRPr="00DE0AD0">
        <w:t>vítá skutečnost, že si Komise přeje zjednodušit předpisy a zajistit větší flexibilitu, domnívá se však, že má-li být stanovené zjednodušení účinné, vyžaduje konkrétní záruky. Aby byla zabezpečena jedinečná povaha a hlavní poslání klíčových politik EU, je třeba zachovat jejich specifické rysy, viditelnost, předvídatelnost a dlouhodobé cíle a zajistit, aby flexibilita nebyla na úkor regionů, komunit, odvětví a nejzranitelnějších skupin;</w:t>
      </w:r>
    </w:p>
    <w:p w14:paraId="2015614C" w14:textId="77777777" w:rsidR="0071441D" w:rsidRPr="00DE0AD0" w:rsidRDefault="0071441D" w:rsidP="0000067D">
      <w:pPr>
        <w:numPr>
          <w:ilvl w:val="0"/>
          <w:numId w:val="25"/>
        </w:numPr>
        <w:overflowPunct w:val="0"/>
        <w:autoSpaceDE w:val="0"/>
        <w:autoSpaceDN w:val="0"/>
        <w:adjustRightInd w:val="0"/>
        <w:ind w:left="567" w:hanging="567"/>
        <w:textAlignment w:val="baseline"/>
        <w:outlineLvl w:val="1"/>
      </w:pPr>
      <w:r w:rsidRPr="00DE0AD0">
        <w:t>je znepokojen tím, že sdružení různorodých investičních potřeb – např. v oblasti zemědělství, rybolovu, soudržnosti a bezpečnosti – pod jeden zastřešující fond by mohlo vytvořit konkurenci mezi prioritami a oslabit dlouhodobé záruky. Je důrazně proti tomuto přístupu, neboť u něj hrozí, že dojde k rozmělnění zdrojů, že bude narušeno úsilí o dosažení klimatické a digitální transformace;</w:t>
      </w:r>
    </w:p>
    <w:p w14:paraId="6F426ED5" w14:textId="77777777" w:rsidR="0071441D" w:rsidRPr="00DE0AD0" w:rsidRDefault="0071441D" w:rsidP="0000067D">
      <w:pPr>
        <w:numPr>
          <w:ilvl w:val="0"/>
          <w:numId w:val="25"/>
        </w:numPr>
        <w:overflowPunct w:val="0"/>
        <w:autoSpaceDE w:val="0"/>
        <w:autoSpaceDN w:val="0"/>
        <w:adjustRightInd w:val="0"/>
        <w:ind w:left="567" w:hanging="567"/>
        <w:textAlignment w:val="baseline"/>
        <w:outlineLvl w:val="1"/>
      </w:pPr>
      <w:r w:rsidRPr="00DE0AD0">
        <w:t>výslovně varuje před tím, že by struktura multifondu mohla podněcovat konflikty v souvislosti s rozdělováním prostředků. Jak na začátku, tak v průběhu budoucího období financování hrozí riziko strukturální konkurence mezi sociálním rozměrem, regionálním rozvojem a rozvojem venkova a bezpečnostní a migrační politikou;</w:t>
      </w:r>
    </w:p>
    <w:p w14:paraId="62A2D37E" w14:textId="77777777" w:rsidR="0071441D" w:rsidRPr="00DE0AD0" w:rsidRDefault="0071441D" w:rsidP="0000067D">
      <w:pPr>
        <w:numPr>
          <w:ilvl w:val="0"/>
          <w:numId w:val="25"/>
        </w:numPr>
        <w:overflowPunct w:val="0"/>
        <w:autoSpaceDE w:val="0"/>
        <w:autoSpaceDN w:val="0"/>
        <w:adjustRightInd w:val="0"/>
        <w:ind w:left="567" w:hanging="567"/>
        <w:textAlignment w:val="baseline"/>
        <w:outlineLvl w:val="1"/>
      </w:pPr>
      <w:r w:rsidRPr="00DE0AD0">
        <w:t>nesouhlasí s přesunem odpovědnosti z regionální úrovně na úroveň celostátní, neboť to podkopává zásadu subsidiarity, teritorialitu, víceúrovňovou správu a důvěru v EU;</w:t>
      </w:r>
    </w:p>
    <w:p w14:paraId="1B987B31" w14:textId="77777777" w:rsidR="0071441D" w:rsidRPr="00DE0AD0" w:rsidRDefault="0071441D" w:rsidP="0000067D">
      <w:pPr>
        <w:numPr>
          <w:ilvl w:val="0"/>
          <w:numId w:val="25"/>
        </w:numPr>
        <w:overflowPunct w:val="0"/>
        <w:autoSpaceDE w:val="0"/>
        <w:autoSpaceDN w:val="0"/>
        <w:adjustRightInd w:val="0"/>
        <w:ind w:left="567" w:hanging="567"/>
        <w:textAlignment w:val="baseline"/>
        <w:outlineLvl w:val="1"/>
      </w:pPr>
      <w:r w:rsidRPr="00DE0AD0">
        <w:t xml:space="preserve">zdůrazňuje, že účinné fungování plánů národního a regionálního partnerství bude vyžadovat výrazné a účinné zapojení místních a regionálních partnerů, sociálních partnerů a organizací občanské společnosti, jakož i zástupců odvětví a průmyslu, a to jak ve fázi programování, tak pokud jde o provádění, řízení, monitorování, hodnocení a kontrolu; </w:t>
      </w:r>
    </w:p>
    <w:p w14:paraId="43BAC84A" w14:textId="77777777" w:rsidR="0071441D" w:rsidRPr="00DE0AD0" w:rsidRDefault="0071441D" w:rsidP="0000067D">
      <w:pPr>
        <w:numPr>
          <w:ilvl w:val="0"/>
          <w:numId w:val="25"/>
        </w:numPr>
        <w:overflowPunct w:val="0"/>
        <w:autoSpaceDE w:val="0"/>
        <w:autoSpaceDN w:val="0"/>
        <w:adjustRightInd w:val="0"/>
        <w:ind w:left="567" w:hanging="567"/>
        <w:textAlignment w:val="baseline"/>
        <w:outlineLvl w:val="1"/>
      </w:pPr>
      <w:r w:rsidRPr="00DE0AD0">
        <w:t>navrhuje, aby vedle kontroly regionální probíhala i kontrola z hlediska sociálních partnerů a organizací občanské společnosti;</w:t>
      </w:r>
    </w:p>
    <w:p w14:paraId="6FA28F47" w14:textId="77777777" w:rsidR="0071441D" w:rsidRPr="00DE0AD0" w:rsidRDefault="0071441D" w:rsidP="0000067D">
      <w:pPr>
        <w:numPr>
          <w:ilvl w:val="0"/>
          <w:numId w:val="25"/>
        </w:numPr>
        <w:overflowPunct w:val="0"/>
        <w:autoSpaceDE w:val="0"/>
        <w:autoSpaceDN w:val="0"/>
        <w:adjustRightInd w:val="0"/>
        <w:ind w:left="567" w:hanging="567"/>
        <w:textAlignment w:val="baseline"/>
        <w:outlineLvl w:val="1"/>
      </w:pPr>
      <w:r w:rsidRPr="00DE0AD0">
        <w:t xml:space="preserve">zdůrazňuje, že se partnerství musí odrážet v každé kapitole daného plánu národního a regionálního partnerství, a vyzdvihuje potřebu vyváženého zastoupení příslušných partnerů v monitorovacích výborech; </w:t>
      </w:r>
    </w:p>
    <w:p w14:paraId="4A5F932C" w14:textId="77777777" w:rsidR="0071441D" w:rsidRPr="00DE0AD0" w:rsidRDefault="0071441D" w:rsidP="0000067D">
      <w:pPr>
        <w:numPr>
          <w:ilvl w:val="0"/>
          <w:numId w:val="25"/>
        </w:numPr>
        <w:overflowPunct w:val="0"/>
        <w:autoSpaceDE w:val="0"/>
        <w:autoSpaceDN w:val="0"/>
        <w:adjustRightInd w:val="0"/>
        <w:ind w:left="567" w:hanging="567"/>
        <w:textAlignment w:val="baseline"/>
        <w:outlineLvl w:val="1"/>
      </w:pPr>
      <w:r w:rsidRPr="00DE0AD0">
        <w:t>vyzývá Evropskou komisi, aby neprodleně provedla revizi evropského kodexu chování v oblasti partnerské spolupráce;</w:t>
      </w:r>
    </w:p>
    <w:p w14:paraId="4F9DECE7" w14:textId="77777777" w:rsidR="0071441D" w:rsidRPr="00DE0AD0" w:rsidRDefault="0071441D" w:rsidP="0000067D">
      <w:pPr>
        <w:numPr>
          <w:ilvl w:val="0"/>
          <w:numId w:val="25"/>
        </w:numPr>
        <w:overflowPunct w:val="0"/>
        <w:autoSpaceDE w:val="0"/>
        <w:autoSpaceDN w:val="0"/>
        <w:adjustRightInd w:val="0"/>
        <w:ind w:left="567" w:hanging="567"/>
        <w:textAlignment w:val="baseline"/>
        <w:outlineLvl w:val="1"/>
      </w:pPr>
      <w:r w:rsidRPr="00DE0AD0">
        <w:t>navrhuje zavést systém sankcí pro případy, kdy nebude zajištěno účinné, smysluplné a průřezové zapojení sociálních partnerů a organizací občanské společnosti;</w:t>
      </w:r>
    </w:p>
    <w:p w14:paraId="789645A9" w14:textId="77777777" w:rsidR="0071441D" w:rsidRPr="00DE0AD0" w:rsidRDefault="0071441D" w:rsidP="006371B9">
      <w:pPr>
        <w:numPr>
          <w:ilvl w:val="0"/>
          <w:numId w:val="25"/>
        </w:numPr>
        <w:overflowPunct w:val="0"/>
        <w:autoSpaceDE w:val="0"/>
        <w:autoSpaceDN w:val="0"/>
        <w:adjustRightInd w:val="0"/>
        <w:textAlignment w:val="baseline"/>
        <w:outlineLvl w:val="1"/>
      </w:pPr>
      <w:r w:rsidRPr="00DE0AD0">
        <w:lastRenderedPageBreak/>
        <w:t>domnívá se, že politiku soudržnosti je třeba dále konsolidovat, neboť je návrhem velmi oslabena. Požaduje záruky na ochranu regionů a měst, zejména v případech, kdy je členské státy mohou vyloučit;</w:t>
      </w:r>
    </w:p>
    <w:p w14:paraId="37FB6C3E" w14:textId="77777777" w:rsidR="0071441D" w:rsidRPr="00DE0AD0" w:rsidRDefault="0071441D" w:rsidP="006371B9">
      <w:pPr>
        <w:numPr>
          <w:ilvl w:val="0"/>
          <w:numId w:val="26"/>
        </w:numPr>
        <w:overflowPunct w:val="0"/>
        <w:autoSpaceDE w:val="0"/>
        <w:autoSpaceDN w:val="0"/>
        <w:adjustRightInd w:val="0"/>
        <w:textAlignment w:val="baseline"/>
        <w:outlineLvl w:val="1"/>
      </w:pPr>
      <w:r w:rsidRPr="00DE0AD0">
        <w:rPr>
          <w:color w:val="000000"/>
        </w:rPr>
        <w:t>zdůrazňuje, že jsou zapotřebí přísnější pravidla, která zaručí zapojení místních subjektů a měst, a že zájmy na nižší než celostátní úrovni nesmí být penalizovány;</w:t>
      </w:r>
    </w:p>
    <w:p w14:paraId="43744623" w14:textId="77777777" w:rsidR="0071441D" w:rsidRPr="00DE0AD0" w:rsidRDefault="0071441D" w:rsidP="006371B9">
      <w:pPr>
        <w:numPr>
          <w:ilvl w:val="0"/>
          <w:numId w:val="26"/>
        </w:numPr>
        <w:overflowPunct w:val="0"/>
        <w:autoSpaceDE w:val="0"/>
        <w:autoSpaceDN w:val="0"/>
        <w:adjustRightInd w:val="0"/>
        <w:textAlignment w:val="baseline"/>
        <w:outlineLvl w:val="1"/>
      </w:pPr>
      <w:r w:rsidRPr="00DE0AD0">
        <w:rPr>
          <w:color w:val="000000"/>
        </w:rPr>
        <w:t>vyzývá k zaměření pozornosti konkrétně na témata potravinového zabezpečení, nerovnosti, důstojného stárnutí a občanské angažovanosti k a podpoře zranitelných skupin, dobrovolníků a subjektů sociální ekonomiky;</w:t>
      </w:r>
    </w:p>
    <w:p w14:paraId="5EB38EB8" w14:textId="77777777" w:rsidR="0071441D" w:rsidRPr="00DE0AD0" w:rsidRDefault="0071441D" w:rsidP="006371B9">
      <w:pPr>
        <w:pStyle w:val="ListParagraph"/>
        <w:keepNext/>
        <w:numPr>
          <w:ilvl w:val="0"/>
          <w:numId w:val="26"/>
        </w:numPr>
        <w:overflowPunct w:val="0"/>
        <w:autoSpaceDE w:val="0"/>
        <w:autoSpaceDN w:val="0"/>
        <w:adjustRightInd w:val="0"/>
        <w:textAlignment w:val="baseline"/>
        <w:outlineLvl w:val="1"/>
      </w:pPr>
      <w:r w:rsidRPr="00DE0AD0">
        <w:rPr>
          <w:color w:val="000000"/>
        </w:rPr>
        <w:t>upozorňuje, že musí být jasně vymezeny sociální cíle, a zdůrazňuje, že vytyčených 14 % finančního krytí, jež mají být použity v sociální oblasti, je třeba zaměřit výhradně na cíle ESF, jako jsou kvalifikace a odborná příprava a také podpora zranitelných a znevýhodněných skupin;</w:t>
      </w:r>
    </w:p>
    <w:p w14:paraId="2977192A" w14:textId="77777777" w:rsidR="0071441D" w:rsidRPr="00DE0AD0" w:rsidRDefault="0071441D" w:rsidP="006371B9">
      <w:pPr>
        <w:pStyle w:val="ListParagraph"/>
        <w:keepNext/>
        <w:numPr>
          <w:ilvl w:val="0"/>
          <w:numId w:val="26"/>
        </w:numPr>
        <w:overflowPunct w:val="0"/>
        <w:autoSpaceDE w:val="0"/>
        <w:autoSpaceDN w:val="0"/>
        <w:adjustRightInd w:val="0"/>
        <w:textAlignment w:val="baseline"/>
        <w:outlineLvl w:val="1"/>
      </w:pPr>
      <w:r w:rsidRPr="00DE0AD0">
        <w:t xml:space="preserve">ostře kritizuje skutečnost, že chybí zvláštní fond pro spravedlivou transformaci, a varuje před slučováním spravedlivé transformace a čisté transformace. </w:t>
      </w:r>
    </w:p>
    <w:p w14:paraId="590D1E72" w14:textId="77777777" w:rsidR="0071441D" w:rsidRPr="00DE0AD0" w:rsidRDefault="0071441D" w:rsidP="00DE0AD0">
      <w:pPr>
        <w:pStyle w:val="ListParagraph"/>
        <w:ind w:left="360"/>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D7622F" w:rsidRPr="00DE0AD0" w14:paraId="366E4B45" w14:textId="77777777" w:rsidTr="00D7622F">
        <w:tc>
          <w:tcPr>
            <w:tcW w:w="1418" w:type="dxa"/>
          </w:tcPr>
          <w:p w14:paraId="72F8CD86" w14:textId="5B1E7D44" w:rsidR="00D7622F" w:rsidRPr="00DE0AD0" w:rsidRDefault="00D7622F" w:rsidP="00D7622F">
            <w:pPr>
              <w:rPr>
                <w:b/>
                <w:i/>
              </w:rPr>
            </w:pPr>
            <w:r w:rsidRPr="00DE0AD0">
              <w:rPr>
                <w:b/>
                <w:i/>
              </w:rPr>
              <w:t>Kontakt:</w:t>
            </w:r>
          </w:p>
        </w:tc>
        <w:tc>
          <w:tcPr>
            <w:tcW w:w="7904" w:type="dxa"/>
          </w:tcPr>
          <w:p w14:paraId="6743FDD9" w14:textId="6B9A3A62" w:rsidR="00D7622F" w:rsidRPr="00DE0AD0" w:rsidRDefault="00D7622F" w:rsidP="00D7622F">
            <w:pPr>
              <w:rPr>
                <w:i/>
              </w:rPr>
            </w:pPr>
            <w:r w:rsidRPr="00DE0AD0">
              <w:rPr>
                <w:i/>
              </w:rPr>
              <w:t xml:space="preserve">Georgios </w:t>
            </w:r>
            <w:r w:rsidR="001F6557" w:rsidRPr="00DE0AD0">
              <w:rPr>
                <w:i/>
              </w:rPr>
              <w:t>Meleas</w:t>
            </w:r>
          </w:p>
        </w:tc>
      </w:tr>
      <w:tr w:rsidR="00D7622F" w:rsidRPr="00DE0AD0" w14:paraId="4F660BB1" w14:textId="77777777" w:rsidTr="00D7622F">
        <w:tc>
          <w:tcPr>
            <w:tcW w:w="1418" w:type="dxa"/>
          </w:tcPr>
          <w:p w14:paraId="4752C379" w14:textId="3BB88B85" w:rsidR="00D7622F" w:rsidRPr="00DE0AD0" w:rsidRDefault="00D7622F" w:rsidP="00D7622F">
            <w:pPr>
              <w:rPr>
                <w:i/>
              </w:rPr>
            </w:pPr>
            <w:r w:rsidRPr="00DE0AD0">
              <w:rPr>
                <w:i/>
              </w:rPr>
              <w:t>Tel.:</w:t>
            </w:r>
          </w:p>
        </w:tc>
        <w:tc>
          <w:tcPr>
            <w:tcW w:w="7904" w:type="dxa"/>
          </w:tcPr>
          <w:p w14:paraId="7FDCA9AB" w14:textId="77777777" w:rsidR="00D7622F" w:rsidRPr="00DE0AD0" w:rsidRDefault="00D7622F" w:rsidP="00D7622F">
            <w:pPr>
              <w:rPr>
                <w:i/>
              </w:rPr>
            </w:pPr>
            <w:r w:rsidRPr="00DE0AD0">
              <w:rPr>
                <w:i/>
              </w:rPr>
              <w:t>+32 2</w:t>
            </w:r>
            <w:r w:rsidRPr="00DE0AD0">
              <w:t xml:space="preserve"> </w:t>
            </w:r>
            <w:r w:rsidRPr="00DE0AD0">
              <w:rPr>
                <w:i/>
              </w:rPr>
              <w:t>546 9795</w:t>
            </w:r>
          </w:p>
        </w:tc>
      </w:tr>
      <w:tr w:rsidR="00D7622F" w:rsidRPr="00DE0AD0" w14:paraId="7713CF74" w14:textId="77777777" w:rsidTr="00D7622F">
        <w:tc>
          <w:tcPr>
            <w:tcW w:w="1418" w:type="dxa"/>
          </w:tcPr>
          <w:p w14:paraId="233C6954" w14:textId="31CD43C9" w:rsidR="00D7622F" w:rsidRPr="00DE0AD0" w:rsidRDefault="00D7622F" w:rsidP="00D7622F">
            <w:pPr>
              <w:rPr>
                <w:i/>
              </w:rPr>
            </w:pPr>
            <w:r w:rsidRPr="00DE0AD0">
              <w:rPr>
                <w:i/>
              </w:rPr>
              <w:t>E-mail:</w:t>
            </w:r>
          </w:p>
        </w:tc>
        <w:tc>
          <w:tcPr>
            <w:tcW w:w="7904" w:type="dxa"/>
          </w:tcPr>
          <w:p w14:paraId="342B2AC0" w14:textId="77777777" w:rsidR="00D7622F" w:rsidRPr="00DE0AD0" w:rsidRDefault="003D4857" w:rsidP="00D7622F">
            <w:pPr>
              <w:rPr>
                <w:i/>
                <w:iCs/>
              </w:rPr>
            </w:pPr>
            <w:hyperlink r:id="rId26" w:history="1">
              <w:r w:rsidR="00D7622F" w:rsidRPr="00DE0AD0">
                <w:rPr>
                  <w:rStyle w:val="Hyperlink"/>
                  <w:i/>
                </w:rPr>
                <w:t>Georgios.Meleas@eesc.europa.eu</w:t>
              </w:r>
            </w:hyperlink>
          </w:p>
        </w:tc>
      </w:tr>
    </w:tbl>
    <w:p w14:paraId="7F9165B0" w14:textId="6D2BAD26" w:rsidR="0071441D" w:rsidRPr="00DE0AD0" w:rsidRDefault="0071441D" w:rsidP="00DE0AD0">
      <w:pPr>
        <w:jc w:val="left"/>
        <w:rPr>
          <w:sz w:val="18"/>
          <w:szCs w:val="18"/>
        </w:rPr>
      </w:pPr>
    </w:p>
    <w:p w14:paraId="3F9E8756" w14:textId="77777777" w:rsidR="0071441D" w:rsidRPr="00DE0AD0" w:rsidRDefault="0071441D" w:rsidP="00DE0AD0">
      <w:pPr>
        <w:jc w:val="left"/>
        <w:rPr>
          <w:sz w:val="18"/>
          <w:szCs w:val="18"/>
        </w:rPr>
      </w:pPr>
      <w:r w:rsidRPr="00DE0AD0">
        <w:rPr>
          <w:sz w:val="18"/>
          <w:szCs w:val="18"/>
        </w:rPr>
        <w:br w:type="page"/>
      </w:r>
    </w:p>
    <w:p w14:paraId="16CF83E6" w14:textId="230BA1C4" w:rsidR="0071441D" w:rsidRPr="00DE0AD0" w:rsidRDefault="003D4857" w:rsidP="002319EB">
      <w:pPr>
        <w:widowControl w:val="0"/>
        <w:numPr>
          <w:ilvl w:val="0"/>
          <w:numId w:val="2"/>
        </w:numPr>
        <w:overflowPunct w:val="0"/>
        <w:autoSpaceDE w:val="0"/>
        <w:autoSpaceDN w:val="0"/>
        <w:adjustRightInd w:val="0"/>
        <w:ind w:hanging="567"/>
        <w:textAlignment w:val="baseline"/>
        <w:rPr>
          <w:b/>
          <w:i/>
          <w:iCs/>
          <w:sz w:val="28"/>
          <w:szCs w:val="28"/>
        </w:rPr>
      </w:pPr>
      <w:hyperlink r:id="rId27" w:history="1">
        <w:r w:rsidR="0071441D" w:rsidRPr="00DE0AD0">
          <w:rPr>
            <w:rStyle w:val="Hyperlink"/>
            <w:b/>
            <w:i/>
            <w:sz w:val="28"/>
          </w:rPr>
          <w:t>Vlastní zd</w:t>
        </w:r>
        <w:r w:rsidR="0071441D" w:rsidRPr="00DE0AD0">
          <w:rPr>
            <w:rStyle w:val="Hyperlink"/>
            <w:b/>
            <w:i/>
            <w:sz w:val="28"/>
          </w:rPr>
          <w:t>r</w:t>
        </w:r>
        <w:r w:rsidR="0071441D" w:rsidRPr="00DE0AD0">
          <w:rPr>
            <w:rStyle w:val="Hyperlink"/>
            <w:b/>
            <w:i/>
            <w:sz w:val="28"/>
          </w:rPr>
          <w:t>oje – návrh na rok 2025</w:t>
        </w:r>
      </w:hyperlink>
    </w:p>
    <w:p w14:paraId="3203BF56" w14:textId="77777777" w:rsidR="0071441D" w:rsidRPr="00DE0AD0" w:rsidRDefault="0071441D" w:rsidP="00DE0AD0">
      <w:pPr>
        <w:widowControl w:val="0"/>
        <w:ind w:left="284"/>
        <w:rPr>
          <w:b/>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479"/>
      </w:tblGrid>
      <w:tr w:rsidR="0071441D" w:rsidRPr="00DE0AD0" w14:paraId="28630DC8" w14:textId="77777777" w:rsidTr="001B4992">
        <w:tc>
          <w:tcPr>
            <w:tcW w:w="1701" w:type="dxa"/>
          </w:tcPr>
          <w:p w14:paraId="54D0033C" w14:textId="77777777" w:rsidR="0071441D" w:rsidRPr="00DE0AD0" w:rsidRDefault="0071441D" w:rsidP="00DE0AD0">
            <w:pPr>
              <w:tabs>
                <w:tab w:val="center" w:pos="284"/>
              </w:tabs>
              <w:ind w:left="266" w:hanging="266"/>
              <w:rPr>
                <w:b/>
              </w:rPr>
            </w:pPr>
            <w:r w:rsidRPr="00DE0AD0">
              <w:rPr>
                <w:b/>
              </w:rPr>
              <w:t>Zpravodajka</w:t>
            </w:r>
          </w:p>
          <w:p w14:paraId="4B18E917" w14:textId="77777777" w:rsidR="0071441D" w:rsidRPr="00DE0AD0" w:rsidRDefault="0071441D" w:rsidP="00DE0AD0">
            <w:pPr>
              <w:tabs>
                <w:tab w:val="center" w:pos="284"/>
              </w:tabs>
              <w:ind w:left="266" w:hanging="266"/>
              <w:rPr>
                <w:b/>
              </w:rPr>
            </w:pPr>
            <w:r w:rsidRPr="00DE0AD0">
              <w:rPr>
                <w:b/>
              </w:rPr>
              <w:t>Spoluzpravodaj</w:t>
            </w:r>
          </w:p>
        </w:tc>
        <w:tc>
          <w:tcPr>
            <w:tcW w:w="7479" w:type="dxa"/>
          </w:tcPr>
          <w:p w14:paraId="15B2FE76" w14:textId="77777777" w:rsidR="0071441D" w:rsidRPr="00DE0AD0" w:rsidRDefault="0071441D" w:rsidP="00DE0AD0">
            <w:pPr>
              <w:tabs>
                <w:tab w:val="center" w:pos="284"/>
              </w:tabs>
              <w:ind w:left="266" w:hanging="266"/>
            </w:pPr>
            <w:r w:rsidRPr="00DE0AD0">
              <w:t>Katrīna ZARIŅA (Zaměstnavatelé – LV)</w:t>
            </w:r>
          </w:p>
          <w:p w14:paraId="2DB91E75" w14:textId="77777777" w:rsidR="0071441D" w:rsidRDefault="0071441D" w:rsidP="00DE0AD0">
            <w:pPr>
              <w:tabs>
                <w:tab w:val="center" w:pos="284"/>
              </w:tabs>
              <w:ind w:left="266" w:hanging="266"/>
            </w:pPr>
            <w:r w:rsidRPr="00DE0AD0">
              <w:t>Petru Sorin DANDEA (Zaměstnanci – RO)</w:t>
            </w:r>
          </w:p>
          <w:p w14:paraId="0ED8A5F3" w14:textId="4AE77D27" w:rsidR="002F7FCC" w:rsidRPr="00DE0AD0" w:rsidRDefault="002F7FCC" w:rsidP="00DE0AD0">
            <w:pPr>
              <w:tabs>
                <w:tab w:val="center" w:pos="284"/>
              </w:tabs>
              <w:ind w:left="266" w:hanging="266"/>
              <w:rPr>
                <w:bCs/>
              </w:rPr>
            </w:pPr>
          </w:p>
        </w:tc>
      </w:tr>
      <w:tr w:rsidR="0071441D" w:rsidRPr="00DE0AD0" w14:paraId="6E981177" w14:textId="77777777" w:rsidTr="001B4992">
        <w:tc>
          <w:tcPr>
            <w:tcW w:w="1701" w:type="dxa"/>
          </w:tcPr>
          <w:p w14:paraId="7B147577" w14:textId="77777777" w:rsidR="0071441D" w:rsidRPr="00DE0AD0" w:rsidRDefault="0071441D" w:rsidP="00DE0AD0">
            <w:pPr>
              <w:tabs>
                <w:tab w:val="center" w:pos="284"/>
              </w:tabs>
              <w:ind w:left="266" w:hanging="266"/>
              <w:rPr>
                <w:b/>
              </w:rPr>
            </w:pPr>
            <w:r w:rsidRPr="00DE0AD0">
              <w:rPr>
                <w:b/>
              </w:rPr>
              <w:t>Odkazy</w:t>
            </w:r>
          </w:p>
        </w:tc>
        <w:tc>
          <w:tcPr>
            <w:tcW w:w="7479" w:type="dxa"/>
          </w:tcPr>
          <w:p w14:paraId="5AEB3ED4" w14:textId="31D22773" w:rsidR="0071441D" w:rsidRPr="00DE0AD0" w:rsidRDefault="0071441D" w:rsidP="00DE0AD0">
            <w:pPr>
              <w:tabs>
                <w:tab w:val="center" w:pos="284"/>
              </w:tabs>
              <w:ind w:left="266" w:hanging="266"/>
            </w:pPr>
            <w:r w:rsidRPr="00DE0AD0">
              <w:t>COM(2025) 574 final – 2025/0574</w:t>
            </w:r>
            <w:r w:rsidR="002F7FCC">
              <w:t xml:space="preserve"> </w:t>
            </w:r>
            <w:r w:rsidRPr="00DE0AD0">
              <w:t>(CNS)</w:t>
            </w:r>
          </w:p>
          <w:p w14:paraId="0DD63ABD" w14:textId="77777777" w:rsidR="0071441D" w:rsidRPr="00DE0AD0" w:rsidRDefault="0071441D" w:rsidP="00DE0AD0">
            <w:pPr>
              <w:tabs>
                <w:tab w:val="center" w:pos="284"/>
              </w:tabs>
              <w:ind w:left="266" w:hanging="266"/>
            </w:pPr>
            <w:r w:rsidRPr="00DE0AD0">
              <w:t>EESC-2025-02595-00-00-AC-TRA</w:t>
            </w:r>
          </w:p>
        </w:tc>
      </w:tr>
    </w:tbl>
    <w:p w14:paraId="5AE2F3E5" w14:textId="77777777" w:rsidR="0071441D" w:rsidRPr="00DE0AD0" w:rsidRDefault="0071441D" w:rsidP="00DE0AD0">
      <w:pPr>
        <w:keepNext/>
        <w:keepLines/>
        <w:tabs>
          <w:tab w:val="center" w:pos="284"/>
        </w:tabs>
        <w:ind w:left="266" w:hanging="266"/>
        <w:rPr>
          <w:b/>
          <w:lang w:val="pt-PT"/>
        </w:rPr>
      </w:pPr>
    </w:p>
    <w:p w14:paraId="4FB38729" w14:textId="77777777" w:rsidR="0071441D" w:rsidRPr="00DE0AD0" w:rsidRDefault="0071441D" w:rsidP="00DE0AD0">
      <w:pPr>
        <w:keepNext/>
        <w:keepLines/>
        <w:tabs>
          <w:tab w:val="center" w:pos="284"/>
        </w:tabs>
        <w:ind w:left="266" w:hanging="266"/>
        <w:rPr>
          <w:b/>
        </w:rPr>
      </w:pPr>
      <w:r w:rsidRPr="00DE0AD0">
        <w:rPr>
          <w:b/>
        </w:rPr>
        <w:t>Hlavní body</w:t>
      </w:r>
    </w:p>
    <w:p w14:paraId="35550A1C" w14:textId="77777777" w:rsidR="0071441D" w:rsidRPr="00DE0AD0" w:rsidRDefault="0071441D" w:rsidP="00DE0AD0">
      <w:pPr>
        <w:keepNext/>
        <w:keepLines/>
        <w:tabs>
          <w:tab w:val="center" w:pos="284"/>
        </w:tabs>
        <w:ind w:left="266" w:hanging="266"/>
        <w:rPr>
          <w:b/>
        </w:rPr>
      </w:pPr>
    </w:p>
    <w:p w14:paraId="1A71A253" w14:textId="6640426A" w:rsidR="0071441D" w:rsidRDefault="0071441D" w:rsidP="00DE0AD0">
      <w:r w:rsidRPr="00DE0AD0">
        <w:t>EHSV:</w:t>
      </w:r>
    </w:p>
    <w:p w14:paraId="4A40BBF7" w14:textId="77777777" w:rsidR="002F7FCC" w:rsidRPr="00DE0AD0" w:rsidRDefault="002F7FCC" w:rsidP="00DE0AD0">
      <w:pPr>
        <w:rPr>
          <w:bCs/>
          <w:iCs/>
        </w:rPr>
      </w:pPr>
    </w:p>
    <w:p w14:paraId="146D0EF1" w14:textId="77777777" w:rsidR="0071441D" w:rsidRPr="00DE0AD0" w:rsidRDefault="0071441D" w:rsidP="00A771E9">
      <w:pPr>
        <w:pStyle w:val="Heading2"/>
        <w:numPr>
          <w:ilvl w:val="0"/>
          <w:numId w:val="27"/>
        </w:numPr>
        <w:ind w:left="567" w:hanging="567"/>
      </w:pPr>
      <w:r w:rsidRPr="00DE0AD0">
        <w:t>zdůrazňuje, že diskuse o nových vlastních zdrojích by neměla zahrnovat pouze technické úpravy, ale měla by se stát strategickou úvahou o tom, jak posílit finanční autonomii, soudržnost a konkurenceschopnost EU,</w:t>
      </w:r>
    </w:p>
    <w:p w14:paraId="36E2DD49" w14:textId="77777777" w:rsidR="0071441D" w:rsidRPr="00DE0AD0" w:rsidRDefault="0071441D" w:rsidP="00A771E9">
      <w:pPr>
        <w:pStyle w:val="Heading2"/>
        <w:numPr>
          <w:ilvl w:val="0"/>
          <w:numId w:val="27"/>
        </w:numPr>
        <w:ind w:left="567" w:hanging="567"/>
      </w:pPr>
      <w:r w:rsidRPr="00DE0AD0">
        <w:t>vybízí Evropskou komisi, aby dále zpřesnila celkovou koncepci navrhovaného balíčku vlastních zdrojů tak, aby byl ambiciózní, vyvážený a zaměřený na budoucnost. Komise by měla: a) vytyčit jasný plán postupného snižování závislosti na příspěvcích založených na HND; b) navrhnout opatření a prosazovat soudržnost a spravedlnost, a zajistit tak, že všechny členské státy budou přispívat úměrně své hospodářské síle;</w:t>
      </w:r>
    </w:p>
    <w:p w14:paraId="38501A07" w14:textId="77777777" w:rsidR="0071441D" w:rsidRPr="00DE0AD0" w:rsidRDefault="0071441D" w:rsidP="00A771E9">
      <w:pPr>
        <w:pStyle w:val="Heading2"/>
        <w:numPr>
          <w:ilvl w:val="0"/>
          <w:numId w:val="27"/>
        </w:numPr>
        <w:ind w:left="567" w:hanging="567"/>
      </w:pPr>
      <w:r w:rsidRPr="00DE0AD0">
        <w:t>c) do všech nových návrhů týkajících se vlastních zdrojů zahrnout hledisko týkající se konkurenceschopnosti a dopadu na malé a střední podniky; d) zachovat určitou míru flexibility v mechanismech reakce na krize,</w:t>
      </w:r>
    </w:p>
    <w:p w14:paraId="74035695" w14:textId="77777777" w:rsidR="0071441D" w:rsidRPr="00DE0AD0" w:rsidRDefault="0071441D" w:rsidP="00A771E9">
      <w:pPr>
        <w:pStyle w:val="Heading2"/>
        <w:numPr>
          <w:ilvl w:val="0"/>
          <w:numId w:val="27"/>
        </w:numPr>
        <w:ind w:left="567" w:hanging="567"/>
      </w:pPr>
      <w:r w:rsidRPr="00DE0AD0">
        <w:t>vyzývá Radu a Evropský parlament, aby prostřednictvím pragmatického, postupného a fakticky podloženého přístupu vytvořily široký a trvalý konsensus. Tyto orgány by měly: a) nejprve uspíšit návrhy, které jsou připraveny k provádění, jako jsou zdroj založený na mechanismu CBAM, modernizovaný příspěvek z plastů a reforma podílu, který si členské státy ponechávají z vybraných cel, a zároveň poskytnout více času na diskusi a analýzu komplexních nástrojů; b) dohodnout se na ustanovení o společném interinstitucionálním přezkumu, aby byly všechny nové vlastní zdroje posouzeny do dvou let od vstupu v platnost; c) zajistit, aby byly do konečného balíčku začleněny mechanismy, které zabrání regresivitě a budou kompenzovat členské státy na vnějších hranicích EU,</w:t>
      </w:r>
    </w:p>
    <w:p w14:paraId="3F1D7C61" w14:textId="77777777" w:rsidR="0071441D" w:rsidRPr="00DE0AD0" w:rsidRDefault="0071441D" w:rsidP="00A771E9">
      <w:pPr>
        <w:pStyle w:val="Heading2"/>
        <w:numPr>
          <w:ilvl w:val="0"/>
          <w:numId w:val="27"/>
        </w:numPr>
        <w:ind w:left="567" w:hanging="567"/>
      </w:pPr>
      <w:r w:rsidRPr="00DE0AD0">
        <w:t>má za to, že v návrhu korporátního zdroje pro Evropu (CORE) není dostatečně ujasněno, jak by prakticky fungoval, a má k návrhu CORE jako celku jisté výhrady,</w:t>
      </w:r>
    </w:p>
    <w:p w14:paraId="69395E97" w14:textId="77777777" w:rsidR="0071441D" w:rsidRPr="00DE0AD0" w:rsidRDefault="0071441D" w:rsidP="00A771E9">
      <w:pPr>
        <w:pStyle w:val="Heading2"/>
        <w:numPr>
          <w:ilvl w:val="0"/>
          <w:numId w:val="27"/>
        </w:numPr>
        <w:ind w:left="567" w:hanging="567"/>
      </w:pPr>
      <w:r w:rsidRPr="00DE0AD0">
        <w:t>vítá pozitivní přínos CBAM i mechanismu týkajícího se elektroodpadu pro udržitelnost a oběhovost,</w:t>
      </w:r>
    </w:p>
    <w:p w14:paraId="58EEC063" w14:textId="77777777" w:rsidR="0071441D" w:rsidRPr="00DE0AD0" w:rsidRDefault="0071441D" w:rsidP="00A771E9">
      <w:pPr>
        <w:pStyle w:val="Heading2"/>
        <w:numPr>
          <w:ilvl w:val="0"/>
          <w:numId w:val="27"/>
        </w:numPr>
        <w:ind w:left="567" w:hanging="567"/>
      </w:pPr>
      <w:r w:rsidRPr="00DE0AD0">
        <w:t>konstatuje, že návrh vlastního zdroje ze spotřební daně z tabáku by měl být pečlivě navržen, aby se zabránilo negativním dopadům v příhraničních regionech a nepodněcoval se nezákonný obchod,</w:t>
      </w:r>
    </w:p>
    <w:p w14:paraId="5A5787A1" w14:textId="77777777" w:rsidR="0071441D" w:rsidRPr="00DE0AD0" w:rsidRDefault="0071441D" w:rsidP="00A771E9">
      <w:pPr>
        <w:pStyle w:val="Heading2"/>
        <w:numPr>
          <w:ilvl w:val="0"/>
          <w:numId w:val="27"/>
        </w:numPr>
        <w:ind w:left="567" w:hanging="567"/>
      </w:pPr>
      <w:r w:rsidRPr="00DE0AD0">
        <w:t>podporuje snížení podílu, který si členské státy ponechávají z vybraných cel, na 10 % jako krok k větší finanční soudržnosti EU za předpokladu, že budou vytvořeny vhodné kompenzační mechanismy,</w:t>
      </w:r>
    </w:p>
    <w:p w14:paraId="6AFB1A61" w14:textId="77777777" w:rsidR="0071441D" w:rsidRPr="00DE0AD0" w:rsidRDefault="0071441D" w:rsidP="00A771E9">
      <w:pPr>
        <w:pStyle w:val="Heading2"/>
        <w:numPr>
          <w:ilvl w:val="0"/>
          <w:numId w:val="27"/>
        </w:numPr>
        <w:ind w:left="567" w:hanging="567"/>
      </w:pPr>
      <w:r w:rsidRPr="00DE0AD0">
        <w:t>vítá zrušení prahové hodnoty de minimis ve výši 150 EUR pro balíky odesílané do EU ze třetích zemí a zavedení manipulačního poplatku z elektronického obchodu od listopadu 2026, přičemž by se tento manipulační poplatek mohl stát novým vlastním zdrojem rozpočtu EU.</w:t>
      </w:r>
    </w:p>
    <w:p w14:paraId="3E2FF4D9" w14:textId="77777777" w:rsidR="0071441D" w:rsidRPr="00DE0AD0" w:rsidRDefault="0071441D" w:rsidP="00DE0AD0">
      <w:pPr>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71441D" w:rsidRPr="00DE0AD0" w14:paraId="5FBB44DA" w14:textId="77777777" w:rsidTr="001B4992">
        <w:tc>
          <w:tcPr>
            <w:tcW w:w="1418" w:type="dxa"/>
          </w:tcPr>
          <w:p w14:paraId="50D0FB2D" w14:textId="77777777" w:rsidR="0071441D" w:rsidRPr="00DE0AD0" w:rsidRDefault="0071441D" w:rsidP="00DE0AD0">
            <w:pPr>
              <w:rPr>
                <w:i/>
              </w:rPr>
            </w:pPr>
            <w:r w:rsidRPr="00DE0AD0">
              <w:rPr>
                <w:b/>
                <w:i/>
              </w:rPr>
              <w:t>Kontakt:</w:t>
            </w:r>
          </w:p>
        </w:tc>
        <w:tc>
          <w:tcPr>
            <w:tcW w:w="7904" w:type="dxa"/>
          </w:tcPr>
          <w:p w14:paraId="7C40DF16" w14:textId="2CE78723" w:rsidR="0071441D" w:rsidRPr="00DE0AD0" w:rsidRDefault="0071441D" w:rsidP="00DE0AD0">
            <w:pPr>
              <w:rPr>
                <w:i/>
              </w:rPr>
            </w:pPr>
            <w:r w:rsidRPr="00DE0AD0">
              <w:rPr>
                <w:i/>
              </w:rPr>
              <w:t xml:space="preserve">Gerald </w:t>
            </w:r>
            <w:r w:rsidR="001F6557" w:rsidRPr="00DE0AD0">
              <w:rPr>
                <w:i/>
              </w:rPr>
              <w:t>Klec</w:t>
            </w:r>
          </w:p>
        </w:tc>
      </w:tr>
      <w:tr w:rsidR="0071441D" w:rsidRPr="00DE0AD0" w14:paraId="500E057C" w14:textId="77777777" w:rsidTr="001B4992">
        <w:tc>
          <w:tcPr>
            <w:tcW w:w="1418" w:type="dxa"/>
          </w:tcPr>
          <w:p w14:paraId="2E4D54C2" w14:textId="77777777" w:rsidR="0071441D" w:rsidRPr="00DE0AD0" w:rsidRDefault="0071441D" w:rsidP="00DE0AD0">
            <w:pPr>
              <w:rPr>
                <w:i/>
              </w:rPr>
            </w:pPr>
            <w:r w:rsidRPr="00DE0AD0">
              <w:rPr>
                <w:i/>
              </w:rPr>
              <w:t>Tel.:</w:t>
            </w:r>
          </w:p>
        </w:tc>
        <w:tc>
          <w:tcPr>
            <w:tcW w:w="7904" w:type="dxa"/>
          </w:tcPr>
          <w:p w14:paraId="67B97017" w14:textId="77777777" w:rsidR="0071441D" w:rsidRPr="00DE0AD0" w:rsidRDefault="0071441D" w:rsidP="00DE0AD0">
            <w:pPr>
              <w:rPr>
                <w:i/>
              </w:rPr>
            </w:pPr>
            <w:r w:rsidRPr="00DE0AD0">
              <w:rPr>
                <w:i/>
              </w:rPr>
              <w:t>+32 2</w:t>
            </w:r>
            <w:r w:rsidRPr="00DE0AD0">
              <w:t xml:space="preserve"> </w:t>
            </w:r>
            <w:r w:rsidRPr="00DE0AD0">
              <w:rPr>
                <w:i/>
              </w:rPr>
              <w:t>546 9909</w:t>
            </w:r>
          </w:p>
        </w:tc>
      </w:tr>
      <w:tr w:rsidR="0071441D" w:rsidRPr="00DE0AD0" w14:paraId="21A711B9" w14:textId="77777777" w:rsidTr="001B4992">
        <w:tc>
          <w:tcPr>
            <w:tcW w:w="1418" w:type="dxa"/>
          </w:tcPr>
          <w:p w14:paraId="44F54BCD" w14:textId="77777777" w:rsidR="0071441D" w:rsidRPr="00DE0AD0" w:rsidRDefault="0071441D" w:rsidP="00DE0AD0">
            <w:pPr>
              <w:rPr>
                <w:i/>
              </w:rPr>
            </w:pPr>
            <w:r w:rsidRPr="00DE0AD0">
              <w:rPr>
                <w:i/>
              </w:rPr>
              <w:t>E-mail:</w:t>
            </w:r>
          </w:p>
        </w:tc>
        <w:tc>
          <w:tcPr>
            <w:tcW w:w="7904" w:type="dxa"/>
          </w:tcPr>
          <w:p w14:paraId="1169C494" w14:textId="77777777" w:rsidR="0071441D" w:rsidRPr="00DE0AD0" w:rsidRDefault="003D4857" w:rsidP="00DE0AD0">
            <w:pPr>
              <w:rPr>
                <w:i/>
                <w:iCs/>
              </w:rPr>
            </w:pPr>
            <w:hyperlink r:id="rId28" w:history="1">
              <w:r w:rsidR="0071441D" w:rsidRPr="00DE0AD0">
                <w:rPr>
                  <w:rStyle w:val="Hyperlink"/>
                  <w:i/>
                </w:rPr>
                <w:t>Gerald.Klec@eesc.europa.eu</w:t>
              </w:r>
            </w:hyperlink>
          </w:p>
        </w:tc>
      </w:tr>
    </w:tbl>
    <w:p w14:paraId="1B10C393" w14:textId="47A7DC1C" w:rsidR="0071441D" w:rsidRPr="00DE0AD0" w:rsidRDefault="0071441D" w:rsidP="00DE0AD0">
      <w:pPr>
        <w:jc w:val="left"/>
        <w:rPr>
          <w:sz w:val="18"/>
          <w:szCs w:val="18"/>
        </w:rPr>
      </w:pPr>
    </w:p>
    <w:p w14:paraId="0DB3F7DD" w14:textId="77777777" w:rsidR="0071441D" w:rsidRPr="00DE0AD0" w:rsidRDefault="0071441D" w:rsidP="00DE0AD0">
      <w:pPr>
        <w:jc w:val="left"/>
        <w:rPr>
          <w:sz w:val="18"/>
          <w:szCs w:val="18"/>
        </w:rPr>
      </w:pPr>
      <w:r w:rsidRPr="00DE0AD0">
        <w:rPr>
          <w:sz w:val="18"/>
          <w:szCs w:val="18"/>
        </w:rPr>
        <w:br w:type="page"/>
      </w:r>
    </w:p>
    <w:p w14:paraId="4982DD99" w14:textId="77777777" w:rsidR="004D7AC0" w:rsidRPr="00DE0AD0" w:rsidRDefault="004D7AC0" w:rsidP="00DE0AD0">
      <w:pPr>
        <w:pStyle w:val="Heading1"/>
        <w:rPr>
          <w:b/>
        </w:rPr>
      </w:pPr>
      <w:bookmarkStart w:id="2" w:name="_Toc75527081"/>
      <w:bookmarkStart w:id="3" w:name="_Toc220677711"/>
      <w:r w:rsidRPr="00DE0AD0">
        <w:rPr>
          <w:b/>
        </w:rPr>
        <w:lastRenderedPageBreak/>
        <w:t>ZAMĚSTNANOST, SOCIÁLNÍ VĚCI, OBČANSTVÍ</w:t>
      </w:r>
      <w:bookmarkEnd w:id="2"/>
      <w:bookmarkEnd w:id="3"/>
    </w:p>
    <w:p w14:paraId="4982DD9A" w14:textId="77777777" w:rsidR="004D7AC0" w:rsidRPr="00DE0AD0" w:rsidRDefault="004D7AC0" w:rsidP="00DE0AD0"/>
    <w:p w14:paraId="7822BD24" w14:textId="6345A07D" w:rsidR="0071441D" w:rsidRPr="00DE0AD0" w:rsidRDefault="003D4857" w:rsidP="006371B9">
      <w:pPr>
        <w:widowControl w:val="0"/>
        <w:numPr>
          <w:ilvl w:val="0"/>
          <w:numId w:val="2"/>
        </w:numPr>
        <w:overflowPunct w:val="0"/>
        <w:autoSpaceDE w:val="0"/>
        <w:autoSpaceDN w:val="0"/>
        <w:adjustRightInd w:val="0"/>
        <w:ind w:hanging="567"/>
        <w:textAlignment w:val="baseline"/>
        <w:rPr>
          <w:sz w:val="24"/>
          <w:szCs w:val="24"/>
        </w:rPr>
      </w:pPr>
      <w:hyperlink r:id="rId29" w:history="1">
        <w:r w:rsidR="0071441D" w:rsidRPr="00DE0AD0">
          <w:rPr>
            <w:rStyle w:val="Hyperlink"/>
            <w:b/>
            <w:i/>
            <w:sz w:val="28"/>
          </w:rPr>
          <w:t>My Voice, My Choice: za bezpe</w:t>
        </w:r>
        <w:r w:rsidR="0071441D" w:rsidRPr="00DE0AD0">
          <w:rPr>
            <w:rStyle w:val="Hyperlink"/>
            <w:b/>
            <w:i/>
            <w:sz w:val="28"/>
          </w:rPr>
          <w:t>č</w:t>
        </w:r>
        <w:r w:rsidR="0071441D" w:rsidRPr="00DE0AD0">
          <w:rPr>
            <w:rStyle w:val="Hyperlink"/>
            <w:b/>
            <w:i/>
            <w:sz w:val="28"/>
          </w:rPr>
          <w:t>né a přístupné interrupce</w:t>
        </w:r>
      </w:hyperlink>
    </w:p>
    <w:p w14:paraId="67BF0822" w14:textId="77777777" w:rsidR="0071441D" w:rsidRPr="002F7FCC" w:rsidRDefault="0071441D" w:rsidP="00DE0AD0">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29"/>
      </w:tblGrid>
      <w:tr w:rsidR="0071441D" w:rsidRPr="00DE0AD0" w14:paraId="253D7C46" w14:textId="77777777" w:rsidTr="001B4992">
        <w:tc>
          <w:tcPr>
            <w:tcW w:w="1701" w:type="dxa"/>
          </w:tcPr>
          <w:p w14:paraId="26A7FC82" w14:textId="77777777" w:rsidR="0071441D" w:rsidRPr="00DE0AD0" w:rsidRDefault="0071441D" w:rsidP="00DE0AD0">
            <w:pPr>
              <w:tabs>
                <w:tab w:val="center" w:pos="284"/>
              </w:tabs>
              <w:ind w:left="266" w:hanging="266"/>
              <w:rPr>
                <w:b/>
              </w:rPr>
            </w:pPr>
            <w:r w:rsidRPr="00DE0AD0">
              <w:rPr>
                <w:b/>
              </w:rPr>
              <w:t>Zpravodaj:</w:t>
            </w:r>
          </w:p>
        </w:tc>
        <w:tc>
          <w:tcPr>
            <w:tcW w:w="6629" w:type="dxa"/>
          </w:tcPr>
          <w:p w14:paraId="158EE03F" w14:textId="77777777" w:rsidR="0071441D" w:rsidRPr="00DE0AD0" w:rsidRDefault="0071441D" w:rsidP="00DE0AD0">
            <w:pPr>
              <w:tabs>
                <w:tab w:val="center" w:pos="284"/>
              </w:tabs>
              <w:ind w:left="266" w:hanging="266"/>
            </w:pPr>
            <w:r w:rsidRPr="00DE0AD0">
              <w:t>José Antonio MORENO DÍAZ (skupina Zaměstnanci – ES)</w:t>
            </w:r>
          </w:p>
        </w:tc>
      </w:tr>
      <w:tr w:rsidR="0071441D" w:rsidRPr="00DE0AD0" w14:paraId="0A8876B5" w14:textId="77777777" w:rsidTr="001B4992">
        <w:tc>
          <w:tcPr>
            <w:tcW w:w="8330" w:type="dxa"/>
            <w:gridSpan w:val="2"/>
          </w:tcPr>
          <w:p w14:paraId="42D5436D" w14:textId="77777777" w:rsidR="0071441D" w:rsidRPr="00DE0AD0" w:rsidRDefault="0071441D" w:rsidP="00DE0AD0">
            <w:pPr>
              <w:tabs>
                <w:tab w:val="center" w:pos="284"/>
              </w:tabs>
              <w:ind w:left="266" w:hanging="266"/>
              <w:rPr>
                <w:lang w:val="es-ES"/>
              </w:rPr>
            </w:pPr>
          </w:p>
        </w:tc>
      </w:tr>
      <w:tr w:rsidR="0071441D" w:rsidRPr="00DE0AD0" w14:paraId="0D959136" w14:textId="77777777" w:rsidTr="001B4992">
        <w:tc>
          <w:tcPr>
            <w:tcW w:w="1701" w:type="dxa"/>
            <w:vMerge w:val="restart"/>
          </w:tcPr>
          <w:p w14:paraId="303EA385" w14:textId="77777777" w:rsidR="0071441D" w:rsidRPr="00DE0AD0" w:rsidRDefault="0071441D" w:rsidP="00DE0AD0">
            <w:pPr>
              <w:tabs>
                <w:tab w:val="center" w:pos="284"/>
              </w:tabs>
              <w:ind w:left="266" w:hanging="266"/>
              <w:rPr>
                <w:b/>
              </w:rPr>
            </w:pPr>
            <w:r w:rsidRPr="00DE0AD0">
              <w:rPr>
                <w:b/>
              </w:rPr>
              <w:t xml:space="preserve">Odkaz: </w:t>
            </w:r>
          </w:p>
        </w:tc>
        <w:tc>
          <w:tcPr>
            <w:tcW w:w="6629" w:type="dxa"/>
          </w:tcPr>
          <w:p w14:paraId="6E13EDC5" w14:textId="77777777" w:rsidR="0071441D" w:rsidRPr="00DE0AD0" w:rsidRDefault="0071441D" w:rsidP="00DE0AD0">
            <w:pPr>
              <w:tabs>
                <w:tab w:val="center" w:pos="284"/>
              </w:tabs>
              <w:ind w:left="266" w:hanging="266"/>
            </w:pPr>
            <w:r w:rsidRPr="00DE0AD0">
              <w:t>stanovisko z vlastní iniciativy</w:t>
            </w:r>
          </w:p>
        </w:tc>
      </w:tr>
      <w:tr w:rsidR="0071441D" w:rsidRPr="00DE0AD0" w14:paraId="1E1A5C88" w14:textId="77777777" w:rsidTr="001B4992">
        <w:tc>
          <w:tcPr>
            <w:tcW w:w="1701" w:type="dxa"/>
            <w:vMerge/>
          </w:tcPr>
          <w:p w14:paraId="3DF074CC" w14:textId="77777777" w:rsidR="0071441D" w:rsidRPr="00DE0AD0" w:rsidRDefault="0071441D" w:rsidP="00DE0AD0">
            <w:pPr>
              <w:tabs>
                <w:tab w:val="center" w:pos="284"/>
              </w:tabs>
              <w:ind w:left="266" w:hanging="266"/>
              <w:rPr>
                <w:b/>
              </w:rPr>
            </w:pPr>
          </w:p>
        </w:tc>
        <w:tc>
          <w:tcPr>
            <w:tcW w:w="6629" w:type="dxa"/>
          </w:tcPr>
          <w:p w14:paraId="4CBD8815" w14:textId="77777777" w:rsidR="0071441D" w:rsidRPr="00DE0AD0" w:rsidRDefault="0071441D" w:rsidP="00DE0AD0">
            <w:pPr>
              <w:tabs>
                <w:tab w:val="center" w:pos="284"/>
              </w:tabs>
              <w:ind w:left="266" w:hanging="266"/>
            </w:pPr>
            <w:r w:rsidRPr="00DE0AD0">
              <w:t>EESC-2025-03118-00-00-AC</w:t>
            </w:r>
          </w:p>
        </w:tc>
      </w:tr>
    </w:tbl>
    <w:p w14:paraId="12E92594" w14:textId="77777777" w:rsidR="002F7FCC" w:rsidRDefault="002F7FCC" w:rsidP="00DE0AD0">
      <w:pPr>
        <w:keepNext/>
        <w:keepLines/>
        <w:tabs>
          <w:tab w:val="center" w:pos="284"/>
        </w:tabs>
        <w:ind w:left="266" w:hanging="266"/>
        <w:rPr>
          <w:b/>
        </w:rPr>
      </w:pPr>
    </w:p>
    <w:p w14:paraId="745C8B25" w14:textId="3CF4B5A4" w:rsidR="0071441D" w:rsidRPr="00DE0AD0" w:rsidRDefault="0071441D" w:rsidP="00DE0AD0">
      <w:pPr>
        <w:keepNext/>
        <w:keepLines/>
        <w:tabs>
          <w:tab w:val="center" w:pos="284"/>
        </w:tabs>
        <w:ind w:left="266" w:hanging="266"/>
        <w:rPr>
          <w:b/>
        </w:rPr>
      </w:pPr>
      <w:r w:rsidRPr="00DE0AD0">
        <w:rPr>
          <w:b/>
        </w:rPr>
        <w:t>Hlavní body</w:t>
      </w:r>
    </w:p>
    <w:p w14:paraId="1D52FE0F" w14:textId="77777777" w:rsidR="0071441D" w:rsidRPr="002F7FCC" w:rsidRDefault="0071441D" w:rsidP="00DE0AD0">
      <w:pPr>
        <w:rPr>
          <w:bCs/>
          <w:iCs/>
        </w:rPr>
      </w:pPr>
    </w:p>
    <w:p w14:paraId="13E9436B" w14:textId="1BAA4C56" w:rsidR="0071441D" w:rsidRDefault="0071441D" w:rsidP="00DE0AD0">
      <w:r w:rsidRPr="00DE0AD0">
        <w:t>EHSV:</w:t>
      </w:r>
    </w:p>
    <w:p w14:paraId="6F3F3171" w14:textId="77777777" w:rsidR="002F7FCC" w:rsidRPr="00DE0AD0" w:rsidRDefault="002F7FCC" w:rsidP="00DE0AD0">
      <w:pPr>
        <w:rPr>
          <w:bCs/>
          <w:iCs/>
        </w:rPr>
      </w:pPr>
    </w:p>
    <w:p w14:paraId="76CC1BA9"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 xml:space="preserve">vyzdvihuje a oceňuje úsilí evropské občanské iniciativy propagované hnutím </w:t>
      </w:r>
      <w:r w:rsidRPr="00DE0AD0">
        <w:rPr>
          <w:b/>
          <w:i/>
        </w:rPr>
        <w:t>My Voice, My Choice</w:t>
      </w:r>
      <w:r w:rsidRPr="00DE0AD0">
        <w:t>;</w:t>
      </w:r>
    </w:p>
    <w:p w14:paraId="0F4E20A7"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 xml:space="preserve">opakuje, že </w:t>
      </w:r>
      <w:r w:rsidRPr="00DE0AD0">
        <w:rPr>
          <w:b/>
          <w:bCs/>
        </w:rPr>
        <w:t>právo na umělé přerušení těhotenství je a musí být lidským právem</w:t>
      </w:r>
      <w:r w:rsidRPr="00DE0AD0">
        <w:t>, které je provázáno s řadou dalších práv – mimo jiné, avšak ne výlučně s právem na zdraví;</w:t>
      </w:r>
    </w:p>
    <w:p w14:paraId="43475CB1"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rPr>
          <w:b/>
        </w:rPr>
        <w:t>vyzývá Evropskou komisi, aby předložila návrh</w:t>
      </w:r>
      <w:r w:rsidRPr="00DE0AD0">
        <w:t>, jak finančně podpořit členské státy s cílem zaručit, aby každá žena v Evropě, která dosud nemá přístup k bezpečnému a legálnímu umělému přerušení těhotenství, mohla těhotenství přerušit bezpečně a v souladu s vnitrostátními právními předpisy svého členského státu;</w:t>
      </w:r>
    </w:p>
    <w:p w14:paraId="23BBCAB8"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 xml:space="preserve">podtrhuje, že </w:t>
      </w:r>
      <w:r w:rsidRPr="00DE0AD0">
        <w:rPr>
          <w:b/>
        </w:rPr>
        <w:t>odepření možnosti vykonat umělé přerušení těhotenství či bránění tomuto kroku představuje genderově podmíněné násilí</w:t>
      </w:r>
      <w:r w:rsidRPr="00DE0AD0">
        <w:t>;</w:t>
      </w:r>
    </w:p>
    <w:p w14:paraId="765CB534"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zdůrazňuje, že přístup k bezpečnému a legálnímu umělému přerušení těhotenství je součástí povinnosti EU chránit důstojnost, integritu a rovnost žen;</w:t>
      </w:r>
    </w:p>
    <w:p w14:paraId="5DA08D37"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 xml:space="preserve">konstatuje že </w:t>
      </w:r>
      <w:r w:rsidRPr="00DE0AD0">
        <w:rPr>
          <w:b/>
        </w:rPr>
        <w:t>rozhodnutí přerušit těhotenství musí náležet výlučně dotčené ženě</w:t>
      </w:r>
      <w:r w:rsidRPr="00DE0AD0">
        <w:t>, jež musí mít možnost rozhodnout se svobodně a nebýt při tom vystavena nátlaku, dezinformacím či stigmatizaci;</w:t>
      </w:r>
    </w:p>
    <w:p w14:paraId="73566499"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zdůrazňuje, že přístup k bezpečnému a legálnímu umělému přerušení těhotenství musí být doplněn politikami a programy, které zajistí informovanou svobodu volby a komplexní sexuální výchovu;</w:t>
      </w:r>
    </w:p>
    <w:p w14:paraId="545E37D1"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připomíná, že komplexní sexuální výchova má zásadní význam pro předcházení nechtěným těhotenstvím, prosazování rovnosti žen a mužů a ochranu před sexuálním násilím;</w:t>
      </w:r>
    </w:p>
    <w:p w14:paraId="3D903F0B"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vyzývá členské státy, aby začlenily komplexní sexuální výchovu odpovídající věku a schopnostem a založenou na vědeckém přístupu do školních osnov;</w:t>
      </w:r>
    </w:p>
    <w:p w14:paraId="61CF54F9"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má za to, že Evropská komise by měla objasnit, jak bude strukturováno financování výkonu tohoto práva z prostředků EU;</w:t>
      </w:r>
    </w:p>
    <w:p w14:paraId="69FBB556" w14:textId="77777777" w:rsidR="0071441D" w:rsidRPr="00DE0AD0" w:rsidRDefault="0071441D" w:rsidP="004347A0">
      <w:pPr>
        <w:widowControl w:val="0"/>
        <w:numPr>
          <w:ilvl w:val="0"/>
          <w:numId w:val="28"/>
        </w:numPr>
        <w:overflowPunct w:val="0"/>
        <w:autoSpaceDE w:val="0"/>
        <w:autoSpaceDN w:val="0"/>
        <w:adjustRightInd w:val="0"/>
        <w:ind w:left="567" w:hanging="567"/>
        <w:textAlignment w:val="baseline"/>
      </w:pPr>
      <w:r w:rsidRPr="00DE0AD0">
        <w:t>doporučuje, aby Evropský institut pro rovnost žen a mužů (EIGE) a Eurostat shromažďovaly stratifikované údaje o sexuálním a reprodukčním zdraví a právech;</w:t>
      </w:r>
    </w:p>
    <w:p w14:paraId="78689F1F" w14:textId="6658B0B6" w:rsidR="0071441D" w:rsidRDefault="0071441D" w:rsidP="004347A0">
      <w:pPr>
        <w:widowControl w:val="0"/>
        <w:numPr>
          <w:ilvl w:val="0"/>
          <w:numId w:val="28"/>
        </w:numPr>
        <w:overflowPunct w:val="0"/>
        <w:autoSpaceDE w:val="0"/>
        <w:autoSpaceDN w:val="0"/>
        <w:adjustRightInd w:val="0"/>
        <w:ind w:left="567" w:hanging="567"/>
        <w:textAlignment w:val="baseline"/>
      </w:pPr>
      <w:r w:rsidRPr="00DE0AD0">
        <w:t>se domnívá, že s ohledem na útoky krajně pravicových a fundamentalistických skupin je tato práva žen třeba posílit.</w:t>
      </w:r>
    </w:p>
    <w:p w14:paraId="73802F46" w14:textId="77777777" w:rsidR="002F7FCC" w:rsidRPr="00DE0AD0" w:rsidRDefault="002F7FCC" w:rsidP="002F7FCC">
      <w:pPr>
        <w:widowControl w:val="0"/>
        <w:overflowPunct w:val="0"/>
        <w:autoSpaceDE w:val="0"/>
        <w:autoSpaceDN w:val="0"/>
        <w:adjustRightInd w:val="0"/>
        <w:ind w:left="644"/>
        <w:textAlignment w:val="base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347A0" w:rsidRPr="00DE0AD0" w14:paraId="6880234C" w14:textId="77777777" w:rsidTr="0078157F">
        <w:tc>
          <w:tcPr>
            <w:tcW w:w="1418" w:type="dxa"/>
          </w:tcPr>
          <w:p w14:paraId="5DB7B6EF" w14:textId="5D44003A" w:rsidR="004347A0" w:rsidRPr="00DE0AD0" w:rsidRDefault="004347A0" w:rsidP="004347A0">
            <w:pPr>
              <w:keepNext/>
              <w:keepLines/>
              <w:rPr>
                <w:b/>
                <w:i/>
              </w:rPr>
            </w:pPr>
            <w:r w:rsidRPr="00DE0AD0">
              <w:rPr>
                <w:b/>
                <w:i/>
              </w:rPr>
              <w:t>Kontakt:</w:t>
            </w:r>
          </w:p>
        </w:tc>
        <w:tc>
          <w:tcPr>
            <w:tcW w:w="5670" w:type="dxa"/>
          </w:tcPr>
          <w:p w14:paraId="76EC7637" w14:textId="60DCDAE2" w:rsidR="004347A0" w:rsidRPr="00DE0AD0" w:rsidRDefault="001F6557" w:rsidP="004347A0">
            <w:pPr>
              <w:keepNext/>
              <w:keepLines/>
              <w:rPr>
                <w:i/>
              </w:rPr>
            </w:pPr>
            <w:r w:rsidRPr="00DE0AD0">
              <w:rPr>
                <w:i/>
              </w:rPr>
              <w:t>Antoni Torras Estruch</w:t>
            </w:r>
          </w:p>
        </w:tc>
      </w:tr>
      <w:tr w:rsidR="004347A0" w:rsidRPr="00DE0AD0" w14:paraId="7B4E178F" w14:textId="77777777" w:rsidTr="0078157F">
        <w:tc>
          <w:tcPr>
            <w:tcW w:w="1418" w:type="dxa"/>
          </w:tcPr>
          <w:p w14:paraId="3686699A" w14:textId="14C9976D" w:rsidR="004347A0" w:rsidRPr="00DE0AD0" w:rsidRDefault="004347A0" w:rsidP="004347A0">
            <w:pPr>
              <w:keepNext/>
              <w:keepLines/>
              <w:rPr>
                <w:i/>
              </w:rPr>
            </w:pPr>
            <w:r w:rsidRPr="00DE0AD0">
              <w:rPr>
                <w:i/>
              </w:rPr>
              <w:t>Tel.:</w:t>
            </w:r>
          </w:p>
        </w:tc>
        <w:tc>
          <w:tcPr>
            <w:tcW w:w="5670" w:type="dxa"/>
          </w:tcPr>
          <w:p w14:paraId="55716C21" w14:textId="77777777" w:rsidR="004347A0" w:rsidRPr="00DE0AD0" w:rsidRDefault="004347A0" w:rsidP="004347A0">
            <w:pPr>
              <w:keepNext/>
              <w:keepLines/>
              <w:rPr>
                <w:i/>
              </w:rPr>
            </w:pPr>
            <w:r w:rsidRPr="00DE0AD0">
              <w:rPr>
                <w:i/>
              </w:rPr>
              <w:t>Tel.: +32 25468391</w:t>
            </w:r>
          </w:p>
        </w:tc>
      </w:tr>
      <w:tr w:rsidR="004347A0" w:rsidRPr="00DE0AD0" w14:paraId="4D26CD65" w14:textId="77777777" w:rsidTr="0078157F">
        <w:tc>
          <w:tcPr>
            <w:tcW w:w="1418" w:type="dxa"/>
          </w:tcPr>
          <w:p w14:paraId="2D768613" w14:textId="14C2E8B9" w:rsidR="004347A0" w:rsidRPr="00DE0AD0" w:rsidRDefault="004347A0" w:rsidP="004347A0">
            <w:pPr>
              <w:rPr>
                <w:i/>
              </w:rPr>
            </w:pPr>
            <w:r w:rsidRPr="00DE0AD0">
              <w:rPr>
                <w:i/>
              </w:rPr>
              <w:t>E-mail:</w:t>
            </w:r>
          </w:p>
        </w:tc>
        <w:tc>
          <w:tcPr>
            <w:tcW w:w="5670" w:type="dxa"/>
          </w:tcPr>
          <w:p w14:paraId="32CF135E" w14:textId="77777777" w:rsidR="004347A0" w:rsidRPr="003476A9" w:rsidRDefault="003D4857" w:rsidP="004347A0">
            <w:pPr>
              <w:rPr>
                <w:i/>
                <w:iCs/>
              </w:rPr>
            </w:pPr>
            <w:hyperlink r:id="rId30" w:history="1">
              <w:r w:rsidR="004347A0" w:rsidRPr="003476A9">
                <w:rPr>
                  <w:rStyle w:val="Hyperlink"/>
                  <w:i/>
                  <w:iCs/>
                </w:rPr>
                <w:t>Antoni.TorrasEstruch@eesc.europa.eu</w:t>
              </w:r>
            </w:hyperlink>
            <w:r w:rsidR="004347A0" w:rsidRPr="003476A9">
              <w:rPr>
                <w:i/>
                <w:iCs/>
              </w:rPr>
              <w:t xml:space="preserve"> </w:t>
            </w:r>
          </w:p>
        </w:tc>
      </w:tr>
    </w:tbl>
    <w:p w14:paraId="369E1872" w14:textId="2686C193" w:rsidR="0071441D" w:rsidRPr="00DE0AD0" w:rsidRDefault="003D4857" w:rsidP="006371B9">
      <w:pPr>
        <w:widowControl w:val="0"/>
        <w:numPr>
          <w:ilvl w:val="0"/>
          <w:numId w:val="2"/>
        </w:numPr>
        <w:overflowPunct w:val="0"/>
        <w:autoSpaceDE w:val="0"/>
        <w:autoSpaceDN w:val="0"/>
        <w:adjustRightInd w:val="0"/>
        <w:ind w:hanging="567"/>
        <w:textAlignment w:val="baseline"/>
        <w:rPr>
          <w:sz w:val="24"/>
          <w:szCs w:val="24"/>
        </w:rPr>
      </w:pPr>
      <w:hyperlink r:id="rId31" w:history="1">
        <w:r w:rsidR="0071441D" w:rsidRPr="00DE0AD0">
          <w:rPr>
            <w:rStyle w:val="Hyperlink"/>
            <w:b/>
            <w:i/>
            <w:sz w:val="28"/>
          </w:rPr>
          <w:t>Návrh nařízení o program</w:t>
        </w:r>
        <w:r w:rsidR="0071441D" w:rsidRPr="00DE0AD0">
          <w:rPr>
            <w:rStyle w:val="Hyperlink"/>
            <w:b/>
            <w:i/>
            <w:sz w:val="28"/>
          </w:rPr>
          <w:t>u</w:t>
        </w:r>
        <w:r w:rsidR="0071441D" w:rsidRPr="00DE0AD0">
          <w:rPr>
            <w:rStyle w:val="Hyperlink"/>
            <w:b/>
            <w:i/>
            <w:sz w:val="28"/>
          </w:rPr>
          <w:t xml:space="preserve"> Erasmus</w:t>
        </w:r>
        <w:r w:rsidR="00296AA0">
          <w:rPr>
            <w:rStyle w:val="Hyperlink"/>
            <w:b/>
            <w:i/>
            <w:sz w:val="28"/>
          </w:rPr>
          <w:t xml:space="preserve"> </w:t>
        </w:r>
        <w:r w:rsidR="0071441D" w:rsidRPr="00DE0AD0">
          <w:rPr>
            <w:rStyle w:val="Hyperlink"/>
            <w:b/>
            <w:i/>
            <w:sz w:val="28"/>
          </w:rPr>
          <w:t>+ (2028-2034)</w:t>
        </w:r>
      </w:hyperlink>
    </w:p>
    <w:p w14:paraId="6A1CA753" w14:textId="77777777" w:rsidR="0071441D" w:rsidRPr="003476A9" w:rsidRDefault="0071441D" w:rsidP="00DE0AD0">
      <w:pPr>
        <w:tabs>
          <w:tab w:val="center" w:pos="284"/>
        </w:tabs>
        <w:ind w:left="266" w:hanging="266"/>
        <w:rPr>
          <w:bC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5988"/>
      </w:tblGrid>
      <w:tr w:rsidR="0071441D" w:rsidRPr="00DE0AD0" w14:paraId="7C5DEDD2" w14:textId="77777777" w:rsidTr="001B4992">
        <w:tc>
          <w:tcPr>
            <w:tcW w:w="2801" w:type="dxa"/>
          </w:tcPr>
          <w:p w14:paraId="684C1A27" w14:textId="77777777" w:rsidR="0071441D" w:rsidRPr="00DE0AD0" w:rsidRDefault="0071441D" w:rsidP="00DE0AD0">
            <w:pPr>
              <w:tabs>
                <w:tab w:val="center" w:pos="284"/>
              </w:tabs>
              <w:ind w:left="266" w:hanging="266"/>
              <w:rPr>
                <w:b/>
              </w:rPr>
            </w:pPr>
            <w:r w:rsidRPr="00DE0AD0">
              <w:rPr>
                <w:b/>
              </w:rPr>
              <w:t>Hlavní zpravodajka:</w:t>
            </w:r>
          </w:p>
          <w:p w14:paraId="4A9445CD" w14:textId="77777777" w:rsidR="0071441D" w:rsidRPr="00DE0AD0" w:rsidRDefault="0071441D" w:rsidP="00DE0AD0">
            <w:pPr>
              <w:tabs>
                <w:tab w:val="center" w:pos="284"/>
              </w:tabs>
              <w:ind w:left="266" w:hanging="266"/>
              <w:rPr>
                <w:b/>
              </w:rPr>
            </w:pPr>
            <w:r w:rsidRPr="00DE0AD0">
              <w:rPr>
                <w:b/>
              </w:rPr>
              <w:t>Hlavní spoluzpravodajka:</w:t>
            </w:r>
          </w:p>
        </w:tc>
        <w:tc>
          <w:tcPr>
            <w:tcW w:w="5988" w:type="dxa"/>
          </w:tcPr>
          <w:p w14:paraId="35469813" w14:textId="77777777" w:rsidR="0071441D" w:rsidRPr="00DE0AD0" w:rsidRDefault="0071441D" w:rsidP="00DE0AD0">
            <w:pPr>
              <w:tabs>
                <w:tab w:val="center" w:pos="284"/>
              </w:tabs>
              <w:ind w:left="266" w:hanging="266"/>
            </w:pPr>
            <w:r w:rsidRPr="00DE0AD0">
              <w:t>Nicoletta MERLO (Zaměstnanci – IT)</w:t>
            </w:r>
          </w:p>
          <w:p w14:paraId="7044D921" w14:textId="77777777" w:rsidR="0071441D" w:rsidRPr="00DE0AD0" w:rsidRDefault="0071441D" w:rsidP="00DE0AD0">
            <w:pPr>
              <w:tabs>
                <w:tab w:val="center" w:pos="284"/>
              </w:tabs>
              <w:ind w:left="266" w:hanging="266"/>
            </w:pPr>
            <w:r w:rsidRPr="00DE0AD0">
              <w:t>Katrīna LEITĀNE (Organizace občanské společnosti – LV)</w:t>
            </w:r>
          </w:p>
          <w:p w14:paraId="1C4ACB17" w14:textId="77777777" w:rsidR="0071441D" w:rsidRPr="00DE0AD0" w:rsidRDefault="0071441D" w:rsidP="00DE0AD0">
            <w:pPr>
              <w:tabs>
                <w:tab w:val="center" w:pos="284"/>
              </w:tabs>
              <w:ind w:left="266" w:hanging="266"/>
            </w:pPr>
          </w:p>
        </w:tc>
      </w:tr>
      <w:tr w:rsidR="0071441D" w:rsidRPr="00DE0AD0" w14:paraId="422373D5" w14:textId="77777777" w:rsidTr="001B4992">
        <w:tc>
          <w:tcPr>
            <w:tcW w:w="2801" w:type="dxa"/>
            <w:vMerge w:val="restart"/>
          </w:tcPr>
          <w:p w14:paraId="3A798188" w14:textId="77777777" w:rsidR="0071441D" w:rsidRPr="00DE0AD0" w:rsidRDefault="0071441D" w:rsidP="00DE0AD0">
            <w:pPr>
              <w:tabs>
                <w:tab w:val="center" w:pos="284"/>
              </w:tabs>
              <w:ind w:left="266" w:hanging="266"/>
              <w:rPr>
                <w:b/>
              </w:rPr>
            </w:pPr>
            <w:r w:rsidRPr="00DE0AD0">
              <w:rPr>
                <w:b/>
              </w:rPr>
              <w:t xml:space="preserve">Odkazy: </w:t>
            </w:r>
          </w:p>
        </w:tc>
        <w:tc>
          <w:tcPr>
            <w:tcW w:w="5988" w:type="dxa"/>
          </w:tcPr>
          <w:p w14:paraId="27DB15FB" w14:textId="40CFDAB5" w:rsidR="00321F49" w:rsidRDefault="00321F49" w:rsidP="00DE0AD0">
            <w:pPr>
              <w:tabs>
                <w:tab w:val="center" w:pos="284"/>
              </w:tabs>
              <w:ind w:left="266" w:hanging="266"/>
            </w:pPr>
            <w:r>
              <w:t>COM(2025) 395 final</w:t>
            </w:r>
          </w:p>
          <w:p w14:paraId="626B1C24" w14:textId="0AB37239" w:rsidR="0071441D" w:rsidRPr="00DE0AD0" w:rsidRDefault="0071441D" w:rsidP="00DE0AD0">
            <w:pPr>
              <w:tabs>
                <w:tab w:val="center" w:pos="284"/>
              </w:tabs>
              <w:ind w:left="266" w:hanging="266"/>
            </w:pPr>
            <w:r w:rsidRPr="00DE0AD0">
              <w:t>COM(2025) 549 final – 2025/0222 (COD)</w:t>
            </w:r>
          </w:p>
        </w:tc>
      </w:tr>
      <w:tr w:rsidR="0071441D" w:rsidRPr="00DE0AD0" w14:paraId="78903251" w14:textId="77777777" w:rsidTr="001B4992">
        <w:tc>
          <w:tcPr>
            <w:tcW w:w="2801" w:type="dxa"/>
            <w:vMerge/>
          </w:tcPr>
          <w:p w14:paraId="651F9BA7" w14:textId="77777777" w:rsidR="0071441D" w:rsidRPr="00DE0AD0" w:rsidRDefault="0071441D" w:rsidP="00DE0AD0">
            <w:pPr>
              <w:tabs>
                <w:tab w:val="center" w:pos="284"/>
              </w:tabs>
              <w:ind w:left="266" w:hanging="266"/>
              <w:rPr>
                <w:b/>
              </w:rPr>
            </w:pPr>
          </w:p>
        </w:tc>
        <w:tc>
          <w:tcPr>
            <w:tcW w:w="5988" w:type="dxa"/>
          </w:tcPr>
          <w:p w14:paraId="08A33761" w14:textId="77777777" w:rsidR="0071441D" w:rsidRPr="00DE0AD0" w:rsidRDefault="0071441D" w:rsidP="00DE0AD0">
            <w:pPr>
              <w:tabs>
                <w:tab w:val="center" w:pos="284"/>
              </w:tabs>
              <w:ind w:left="266" w:hanging="266"/>
            </w:pPr>
            <w:r w:rsidRPr="00DE0AD0">
              <w:t>EESC-2025-02919-00-00-AC-TRA</w:t>
            </w:r>
          </w:p>
        </w:tc>
      </w:tr>
    </w:tbl>
    <w:p w14:paraId="4EE74277" w14:textId="77777777" w:rsidR="0071441D" w:rsidRPr="00DE0AD0" w:rsidRDefault="0071441D" w:rsidP="00DE0AD0">
      <w:pPr>
        <w:tabs>
          <w:tab w:val="center" w:pos="284"/>
        </w:tabs>
        <w:ind w:left="266" w:hanging="266"/>
      </w:pPr>
    </w:p>
    <w:p w14:paraId="18ED9E95" w14:textId="77777777" w:rsidR="0071441D" w:rsidRPr="00DE0AD0" w:rsidRDefault="0071441D" w:rsidP="00DE0AD0">
      <w:pPr>
        <w:keepNext/>
        <w:keepLines/>
        <w:tabs>
          <w:tab w:val="center" w:pos="284"/>
        </w:tabs>
        <w:ind w:left="266" w:hanging="266"/>
        <w:rPr>
          <w:b/>
        </w:rPr>
      </w:pPr>
      <w:r w:rsidRPr="00DE0AD0">
        <w:rPr>
          <w:b/>
        </w:rPr>
        <w:t>Hlavní body</w:t>
      </w:r>
    </w:p>
    <w:p w14:paraId="6EE97B50" w14:textId="77777777" w:rsidR="0071441D" w:rsidRPr="00DE0AD0" w:rsidRDefault="0071441D" w:rsidP="00DE0AD0">
      <w:pPr>
        <w:keepNext/>
        <w:keepLines/>
        <w:tabs>
          <w:tab w:val="center" w:pos="284"/>
        </w:tabs>
        <w:ind w:left="266" w:hanging="266"/>
        <w:rPr>
          <w:b/>
        </w:rPr>
      </w:pPr>
    </w:p>
    <w:p w14:paraId="0E2CAD51" w14:textId="77777777" w:rsidR="0071441D" w:rsidRPr="00DE0AD0" w:rsidRDefault="0071441D" w:rsidP="00DE0AD0">
      <w:pPr>
        <w:rPr>
          <w:bCs/>
          <w:iCs/>
        </w:rPr>
      </w:pPr>
      <w:r w:rsidRPr="00DE0AD0">
        <w:t>EHSV:</w:t>
      </w:r>
    </w:p>
    <w:p w14:paraId="6301BCA3" w14:textId="77777777" w:rsidR="0071441D" w:rsidRPr="00DE0AD0" w:rsidRDefault="0071441D" w:rsidP="00DE0AD0">
      <w:pPr>
        <w:rPr>
          <w:bCs/>
          <w:iCs/>
        </w:rPr>
      </w:pPr>
    </w:p>
    <w:p w14:paraId="54AEAC9A" w14:textId="77777777" w:rsidR="0071441D" w:rsidRPr="00DE0AD0" w:rsidRDefault="0071441D" w:rsidP="006371B9">
      <w:pPr>
        <w:widowControl w:val="0"/>
        <w:numPr>
          <w:ilvl w:val="0"/>
          <w:numId w:val="16"/>
        </w:numPr>
        <w:overflowPunct w:val="0"/>
        <w:autoSpaceDE w:val="0"/>
        <w:autoSpaceDN w:val="0"/>
        <w:adjustRightInd w:val="0"/>
        <w:ind w:left="567" w:hanging="567"/>
        <w:textAlignment w:val="baseline"/>
      </w:pPr>
      <w:r w:rsidRPr="00DE0AD0">
        <w:t>zdůrazňuje potřebu jasné struktury v rámci programu Erasmus+, která zajistí jednoznačné rozlišování mezi oblastmi mládeže, vzdělávání a odborné přípravy a sportu, přičemž každá z nich bude mít svá vlastní opatření a definice;</w:t>
      </w:r>
    </w:p>
    <w:p w14:paraId="4C2085A8" w14:textId="77777777" w:rsidR="0071441D" w:rsidRPr="00DE0AD0" w:rsidRDefault="0071441D" w:rsidP="006371B9">
      <w:pPr>
        <w:widowControl w:val="0"/>
        <w:numPr>
          <w:ilvl w:val="0"/>
          <w:numId w:val="16"/>
        </w:numPr>
        <w:overflowPunct w:val="0"/>
        <w:autoSpaceDE w:val="0"/>
        <w:autoSpaceDN w:val="0"/>
        <w:adjustRightInd w:val="0"/>
        <w:ind w:left="567" w:hanging="567"/>
        <w:textAlignment w:val="baseline"/>
      </w:pPr>
      <w:r w:rsidRPr="00DE0AD0">
        <w:t>požaduje, aby bylo minimálně 15 % celkového rozpočtu přiděleno na mládež a minimálně 26,2 % na odborné vzdělávání a přípravu (OVP);</w:t>
      </w:r>
    </w:p>
    <w:p w14:paraId="16B46596" w14:textId="77777777" w:rsidR="0071441D" w:rsidRPr="00DE0AD0" w:rsidRDefault="0071441D" w:rsidP="006371B9">
      <w:pPr>
        <w:widowControl w:val="0"/>
        <w:numPr>
          <w:ilvl w:val="0"/>
          <w:numId w:val="16"/>
        </w:numPr>
        <w:overflowPunct w:val="0"/>
        <w:autoSpaceDE w:val="0"/>
        <w:autoSpaceDN w:val="0"/>
        <w:adjustRightInd w:val="0"/>
        <w:ind w:left="567" w:hanging="567"/>
        <w:textAlignment w:val="baseline"/>
      </w:pPr>
      <w:r w:rsidRPr="00DE0AD0">
        <w:t>varuje před restrukturalizací, která by mohla snížit viditelnost klíčových opatření, a prosazuje opatření „podpora rozvoje politiky“ jako samostatnou složku pilíře „spolupráce mezi organizacemi a institucemi“ s cílem podpořit účast mládeže a demokratické zapojení;</w:t>
      </w:r>
    </w:p>
    <w:p w14:paraId="21A9E005" w14:textId="77777777" w:rsidR="0071441D" w:rsidRPr="00DE0AD0" w:rsidRDefault="0071441D" w:rsidP="006371B9">
      <w:pPr>
        <w:widowControl w:val="0"/>
        <w:numPr>
          <w:ilvl w:val="0"/>
          <w:numId w:val="16"/>
        </w:numPr>
        <w:overflowPunct w:val="0"/>
        <w:autoSpaceDE w:val="0"/>
        <w:autoSpaceDN w:val="0"/>
        <w:adjustRightInd w:val="0"/>
        <w:ind w:left="567" w:hanging="567"/>
        <w:textAlignment w:val="baseline"/>
      </w:pPr>
      <w:r w:rsidRPr="00DE0AD0">
        <w:t>vyzdvihuje význam důkladného monitorování, participativní správy a zachování jedinečné identity Evropského sboru solidarity při zachování přístupnosti pro mladé lidi s omezenými příležitostmi;</w:t>
      </w:r>
    </w:p>
    <w:p w14:paraId="0D03DFF5" w14:textId="77777777" w:rsidR="0071441D" w:rsidRPr="00DE0AD0" w:rsidRDefault="0071441D" w:rsidP="006371B9">
      <w:pPr>
        <w:widowControl w:val="0"/>
        <w:numPr>
          <w:ilvl w:val="0"/>
          <w:numId w:val="16"/>
        </w:numPr>
        <w:overflowPunct w:val="0"/>
        <w:autoSpaceDE w:val="0"/>
        <w:autoSpaceDN w:val="0"/>
        <w:adjustRightInd w:val="0"/>
        <w:ind w:left="567" w:hanging="567"/>
        <w:textAlignment w:val="baseline"/>
      </w:pPr>
      <w:r w:rsidRPr="00DE0AD0">
        <w:t>vyzývá k inkluzivitě nad rámec EU, k trvalé podpoře profesní mobility a k cílenému oslovování znevýhodněných skupin, zejména NEET;</w:t>
      </w:r>
    </w:p>
    <w:p w14:paraId="68B3800F" w14:textId="77777777" w:rsidR="0071441D" w:rsidRPr="00DE0AD0" w:rsidRDefault="0071441D" w:rsidP="006371B9">
      <w:pPr>
        <w:widowControl w:val="0"/>
        <w:numPr>
          <w:ilvl w:val="0"/>
          <w:numId w:val="16"/>
        </w:numPr>
        <w:overflowPunct w:val="0"/>
        <w:autoSpaceDE w:val="0"/>
        <w:autoSpaceDN w:val="0"/>
        <w:adjustRightInd w:val="0"/>
        <w:ind w:left="567" w:hanging="567"/>
        <w:textAlignment w:val="baseline"/>
      </w:pPr>
      <w:r w:rsidRPr="00DE0AD0">
        <w:t>upozorňuje na nutnost posílit socioekonomický dopad programu Erasmus+ tím, že se upřednostní mobilita v rámci učení, zvýší se financování OVP a podpoří se spolupráce mezi poskytovateli vzdělávání a trhem práce v zájmu podpory inovací v oblasti rozvoje dovedností.</w:t>
      </w:r>
    </w:p>
    <w:p w14:paraId="4944B948" w14:textId="77777777" w:rsidR="0071441D" w:rsidRPr="00DE0AD0" w:rsidRDefault="0071441D" w:rsidP="00DE0AD0">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71441D" w:rsidRPr="00DE0AD0" w14:paraId="2C8DD0A1" w14:textId="77777777" w:rsidTr="001B4992">
        <w:tc>
          <w:tcPr>
            <w:tcW w:w="1418" w:type="dxa"/>
          </w:tcPr>
          <w:p w14:paraId="6C84E655" w14:textId="77777777" w:rsidR="0071441D" w:rsidRPr="00DE0AD0" w:rsidRDefault="0071441D" w:rsidP="00DE0AD0">
            <w:pPr>
              <w:rPr>
                <w:i/>
              </w:rPr>
            </w:pPr>
            <w:r w:rsidRPr="00DE0AD0">
              <w:rPr>
                <w:b/>
                <w:i/>
              </w:rPr>
              <w:t>Kontakt:</w:t>
            </w:r>
          </w:p>
        </w:tc>
        <w:tc>
          <w:tcPr>
            <w:tcW w:w="5670" w:type="dxa"/>
          </w:tcPr>
          <w:p w14:paraId="4185294A" w14:textId="77777777" w:rsidR="0071441D" w:rsidRPr="00DE0AD0" w:rsidRDefault="0071441D" w:rsidP="00DE0AD0">
            <w:pPr>
              <w:rPr>
                <w:i/>
              </w:rPr>
            </w:pPr>
            <w:r w:rsidRPr="00DE0AD0">
              <w:rPr>
                <w:i/>
              </w:rPr>
              <w:t>Valeria Atzori</w:t>
            </w:r>
          </w:p>
        </w:tc>
      </w:tr>
      <w:tr w:rsidR="0071441D" w:rsidRPr="00DE0AD0" w14:paraId="7720A26C" w14:textId="77777777" w:rsidTr="001B4992">
        <w:tc>
          <w:tcPr>
            <w:tcW w:w="1418" w:type="dxa"/>
          </w:tcPr>
          <w:p w14:paraId="578974AC" w14:textId="77777777" w:rsidR="0071441D" w:rsidRPr="00DE0AD0" w:rsidRDefault="0071441D" w:rsidP="00DE0AD0">
            <w:pPr>
              <w:rPr>
                <w:i/>
              </w:rPr>
            </w:pPr>
            <w:r w:rsidRPr="00DE0AD0">
              <w:rPr>
                <w:i/>
              </w:rPr>
              <w:t>Tel.:</w:t>
            </w:r>
          </w:p>
        </w:tc>
        <w:tc>
          <w:tcPr>
            <w:tcW w:w="5670" w:type="dxa"/>
          </w:tcPr>
          <w:p w14:paraId="4F4DCF90" w14:textId="77777777" w:rsidR="0071441D" w:rsidRPr="00DE0AD0" w:rsidRDefault="0071441D" w:rsidP="00DE0AD0">
            <w:pPr>
              <w:rPr>
                <w:i/>
              </w:rPr>
            </w:pPr>
            <w:r w:rsidRPr="00DE0AD0">
              <w:rPr>
                <w:i/>
              </w:rPr>
              <w:t>+32 25468774</w:t>
            </w:r>
          </w:p>
        </w:tc>
      </w:tr>
      <w:tr w:rsidR="0071441D" w:rsidRPr="00DE0AD0" w14:paraId="06F00CAF" w14:textId="77777777" w:rsidTr="001B4992">
        <w:tc>
          <w:tcPr>
            <w:tcW w:w="1418" w:type="dxa"/>
          </w:tcPr>
          <w:p w14:paraId="3A0404A4" w14:textId="77777777" w:rsidR="0071441D" w:rsidRPr="00DE0AD0" w:rsidRDefault="0071441D" w:rsidP="00DE0AD0">
            <w:pPr>
              <w:rPr>
                <w:i/>
              </w:rPr>
            </w:pPr>
            <w:r w:rsidRPr="00DE0AD0">
              <w:rPr>
                <w:i/>
              </w:rPr>
              <w:t>E-mail:</w:t>
            </w:r>
          </w:p>
        </w:tc>
        <w:tc>
          <w:tcPr>
            <w:tcW w:w="5670" w:type="dxa"/>
          </w:tcPr>
          <w:p w14:paraId="4732E7B6" w14:textId="77777777" w:rsidR="0071441D" w:rsidRPr="00DE0AD0" w:rsidRDefault="003D4857" w:rsidP="00DE0AD0">
            <w:pPr>
              <w:rPr>
                <w:i/>
                <w:iCs/>
              </w:rPr>
            </w:pPr>
            <w:hyperlink r:id="rId32" w:history="1">
              <w:r w:rsidR="0071441D" w:rsidRPr="00DE0AD0">
                <w:rPr>
                  <w:rStyle w:val="Hyperlink"/>
                  <w:i/>
                </w:rPr>
                <w:t>Valeria.Atzori@eesc.europa.eu</w:t>
              </w:r>
            </w:hyperlink>
          </w:p>
        </w:tc>
      </w:tr>
    </w:tbl>
    <w:p w14:paraId="422347B4" w14:textId="77777777" w:rsidR="0071441D" w:rsidRPr="00DE0AD0" w:rsidRDefault="0071441D" w:rsidP="00DE0AD0">
      <w:pPr>
        <w:jc w:val="center"/>
      </w:pPr>
    </w:p>
    <w:p w14:paraId="32EA5228" w14:textId="77777777" w:rsidR="00536BA5" w:rsidRPr="00DE0AD0" w:rsidRDefault="00536BA5" w:rsidP="00DE0AD0">
      <w:pPr>
        <w:jc w:val="left"/>
      </w:pPr>
      <w:r w:rsidRPr="00DE0AD0">
        <w:br w:type="page"/>
      </w:r>
    </w:p>
    <w:p w14:paraId="625E9A34" w14:textId="37F2B5E4" w:rsidR="00536BA5" w:rsidRPr="00DE0AD0" w:rsidRDefault="003D4857" w:rsidP="006371B9">
      <w:pPr>
        <w:widowControl w:val="0"/>
        <w:numPr>
          <w:ilvl w:val="0"/>
          <w:numId w:val="2"/>
        </w:numPr>
        <w:overflowPunct w:val="0"/>
        <w:autoSpaceDE w:val="0"/>
        <w:autoSpaceDN w:val="0"/>
        <w:adjustRightInd w:val="0"/>
        <w:ind w:hanging="567"/>
        <w:textAlignment w:val="baseline"/>
        <w:rPr>
          <w:b/>
          <w:bCs/>
          <w:i/>
          <w:iCs/>
          <w:sz w:val="28"/>
          <w:szCs w:val="28"/>
        </w:rPr>
      </w:pPr>
      <w:hyperlink r:id="rId33" w:history="1">
        <w:r w:rsidR="00536BA5" w:rsidRPr="00DE0AD0">
          <w:rPr>
            <w:rStyle w:val="Hyperlink"/>
            <w:b/>
            <w:i/>
            <w:sz w:val="28"/>
          </w:rPr>
          <w:t>Zřízení Evropského sociálního fondu jako součásti plánu národního a regionálního partnerství</w:t>
        </w:r>
      </w:hyperlink>
    </w:p>
    <w:p w14:paraId="624E9647" w14:textId="77777777" w:rsidR="00536BA5" w:rsidRPr="00DE0AD0" w:rsidRDefault="00536BA5" w:rsidP="00DE0AD0">
      <w:pPr>
        <w:tabs>
          <w:tab w:val="center" w:pos="284"/>
        </w:tabs>
        <w:ind w:left="266" w:hanging="266"/>
        <w:rPr>
          <w:b/>
        </w:rPr>
      </w:pPr>
    </w:p>
    <w:tbl>
      <w:tblPr>
        <w:tblStyle w:val="TableGrid"/>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59"/>
      </w:tblGrid>
      <w:tr w:rsidR="00536BA5" w:rsidRPr="00DE0AD0" w14:paraId="13CF641D" w14:textId="77777777" w:rsidTr="001B4992">
        <w:tc>
          <w:tcPr>
            <w:tcW w:w="1321" w:type="pct"/>
          </w:tcPr>
          <w:p w14:paraId="7BE81661" w14:textId="77777777" w:rsidR="00536BA5" w:rsidRPr="00DE0AD0" w:rsidRDefault="00536BA5" w:rsidP="00DE0AD0">
            <w:pPr>
              <w:rPr>
                <w:b/>
              </w:rPr>
            </w:pPr>
            <w:r w:rsidRPr="00DE0AD0">
              <w:rPr>
                <w:b/>
              </w:rPr>
              <w:t xml:space="preserve">Zpravodajka </w:t>
            </w:r>
          </w:p>
        </w:tc>
        <w:tc>
          <w:tcPr>
            <w:tcW w:w="3679" w:type="pct"/>
          </w:tcPr>
          <w:p w14:paraId="11AF795B" w14:textId="77777777" w:rsidR="00536BA5" w:rsidRPr="00DE0AD0" w:rsidRDefault="00536BA5" w:rsidP="00DE0AD0">
            <w:pPr>
              <w:ind w:left="-113"/>
            </w:pPr>
            <w:r w:rsidRPr="00DE0AD0">
              <w:t>Nicoletta MERLO (Zaměstnanci – IT)</w:t>
            </w:r>
          </w:p>
        </w:tc>
      </w:tr>
      <w:tr w:rsidR="00536BA5" w:rsidRPr="00DE0AD0" w14:paraId="40C9AC94" w14:textId="77777777" w:rsidTr="001B4992">
        <w:tc>
          <w:tcPr>
            <w:tcW w:w="5000" w:type="pct"/>
            <w:gridSpan w:val="2"/>
          </w:tcPr>
          <w:p w14:paraId="16406E06" w14:textId="77777777" w:rsidR="00536BA5" w:rsidRPr="00DE0AD0" w:rsidRDefault="00536BA5" w:rsidP="00DE0AD0">
            <w:pPr>
              <w:rPr>
                <w:lang w:val="en-US"/>
              </w:rPr>
            </w:pPr>
          </w:p>
        </w:tc>
      </w:tr>
      <w:tr w:rsidR="00536BA5" w:rsidRPr="00DE0AD0" w14:paraId="52E13826" w14:textId="77777777" w:rsidTr="001B4992">
        <w:tc>
          <w:tcPr>
            <w:tcW w:w="1321" w:type="pct"/>
            <w:vMerge w:val="restart"/>
          </w:tcPr>
          <w:p w14:paraId="13EE7FC9" w14:textId="77777777" w:rsidR="00536BA5" w:rsidRPr="00DE0AD0" w:rsidRDefault="00536BA5" w:rsidP="00DE0AD0">
            <w:pPr>
              <w:rPr>
                <w:b/>
              </w:rPr>
            </w:pPr>
            <w:r w:rsidRPr="00DE0AD0">
              <w:rPr>
                <w:b/>
              </w:rPr>
              <w:t>Odkaz</w:t>
            </w:r>
          </w:p>
        </w:tc>
        <w:tc>
          <w:tcPr>
            <w:tcW w:w="3679" w:type="pct"/>
          </w:tcPr>
          <w:p w14:paraId="65D5C8CA" w14:textId="584941C4" w:rsidR="00035EC7" w:rsidRDefault="00035EC7" w:rsidP="00DE0AD0">
            <w:pPr>
              <w:ind w:left="-113"/>
            </w:pPr>
            <w:r>
              <w:t>COM(2025) 558 final</w:t>
            </w:r>
          </w:p>
          <w:p w14:paraId="3FA90994" w14:textId="2AC1BF54" w:rsidR="00536BA5" w:rsidRPr="00DE0AD0" w:rsidRDefault="00536BA5" w:rsidP="00DE0AD0">
            <w:pPr>
              <w:ind w:left="-113"/>
            </w:pPr>
            <w:r w:rsidRPr="00DE0AD0">
              <w:t>EESC-2025-03058-00-00-AC-TRA</w:t>
            </w:r>
          </w:p>
        </w:tc>
      </w:tr>
      <w:tr w:rsidR="00536BA5" w:rsidRPr="00DE0AD0" w14:paraId="5BCC4B45" w14:textId="77777777" w:rsidTr="001B4992">
        <w:tc>
          <w:tcPr>
            <w:tcW w:w="1321" w:type="pct"/>
            <w:vMerge/>
          </w:tcPr>
          <w:p w14:paraId="2533EB4A" w14:textId="77777777" w:rsidR="00536BA5" w:rsidRPr="00DE0AD0" w:rsidRDefault="00536BA5" w:rsidP="00DE0AD0">
            <w:pPr>
              <w:tabs>
                <w:tab w:val="center" w:pos="284"/>
              </w:tabs>
              <w:ind w:left="266" w:hanging="266"/>
              <w:rPr>
                <w:b/>
                <w:lang w:val="en-US"/>
              </w:rPr>
            </w:pPr>
          </w:p>
        </w:tc>
        <w:tc>
          <w:tcPr>
            <w:tcW w:w="3679" w:type="pct"/>
          </w:tcPr>
          <w:p w14:paraId="53D6356C" w14:textId="77777777" w:rsidR="00536BA5" w:rsidRPr="00DE0AD0" w:rsidRDefault="00536BA5" w:rsidP="00DE0AD0">
            <w:pPr>
              <w:tabs>
                <w:tab w:val="center" w:pos="284"/>
              </w:tabs>
              <w:ind w:left="266" w:hanging="266"/>
              <w:rPr>
                <w:lang w:val="en-US"/>
              </w:rPr>
            </w:pPr>
          </w:p>
        </w:tc>
      </w:tr>
    </w:tbl>
    <w:p w14:paraId="47708A81" w14:textId="77777777" w:rsidR="00536BA5" w:rsidRPr="00DE0AD0" w:rsidRDefault="00536BA5" w:rsidP="00DE0AD0">
      <w:pPr>
        <w:keepNext/>
        <w:keepLines/>
        <w:tabs>
          <w:tab w:val="center" w:pos="284"/>
        </w:tabs>
        <w:ind w:left="266" w:hanging="266"/>
        <w:rPr>
          <w:b/>
        </w:rPr>
      </w:pPr>
      <w:r w:rsidRPr="00DE0AD0">
        <w:rPr>
          <w:b/>
        </w:rPr>
        <w:t>Hlavní body</w:t>
      </w:r>
    </w:p>
    <w:p w14:paraId="437E5B0B" w14:textId="77777777" w:rsidR="00536BA5" w:rsidRPr="00DE0AD0" w:rsidRDefault="00536BA5" w:rsidP="00DE0AD0">
      <w:pPr>
        <w:keepNext/>
        <w:keepLines/>
        <w:tabs>
          <w:tab w:val="center" w:pos="284"/>
        </w:tabs>
        <w:ind w:left="266" w:hanging="266"/>
        <w:rPr>
          <w:b/>
          <w:sz w:val="16"/>
          <w:szCs w:val="16"/>
        </w:rPr>
      </w:pPr>
    </w:p>
    <w:p w14:paraId="61778937" w14:textId="77777777" w:rsidR="00536BA5" w:rsidRPr="00DE0AD0" w:rsidRDefault="00536BA5" w:rsidP="00DE0AD0">
      <w:pPr>
        <w:rPr>
          <w:bCs/>
          <w:iCs/>
        </w:rPr>
      </w:pPr>
      <w:r w:rsidRPr="00DE0AD0">
        <w:t>EHSV:</w:t>
      </w:r>
    </w:p>
    <w:p w14:paraId="41D7E31D" w14:textId="77777777" w:rsidR="00536BA5" w:rsidRPr="00DE0AD0" w:rsidRDefault="00536BA5" w:rsidP="00DE0AD0">
      <w:pPr>
        <w:rPr>
          <w:bCs/>
          <w:iCs/>
          <w:lang w:val="en-US"/>
        </w:rPr>
      </w:pPr>
    </w:p>
    <w:p w14:paraId="1230AB1A" w14:textId="77777777" w:rsidR="00536BA5" w:rsidRPr="00DE0AD0" w:rsidRDefault="00536BA5" w:rsidP="004347A0">
      <w:pPr>
        <w:pStyle w:val="ListParagraph"/>
        <w:numPr>
          <w:ilvl w:val="0"/>
          <w:numId w:val="29"/>
        </w:numPr>
        <w:ind w:left="567" w:hanging="567"/>
      </w:pPr>
      <w:r w:rsidRPr="00DE0AD0">
        <w:t>vyzývá k tomu, aby byly navýšeny sociální výdaje v rámci plánů národního a regionálního partnerství, a to z 14 % na 20 %, a aby bylo alespoň 14 % prostředků z Evropského sociálního fondu (ESF) vyčleněno na posílení sociálního rozměru EU;</w:t>
      </w:r>
    </w:p>
    <w:p w14:paraId="7020B692" w14:textId="77777777" w:rsidR="00536BA5" w:rsidRPr="00DE0AD0" w:rsidRDefault="00536BA5" w:rsidP="004347A0">
      <w:pPr>
        <w:pStyle w:val="ListParagraph"/>
        <w:numPr>
          <w:ilvl w:val="0"/>
          <w:numId w:val="29"/>
        </w:numPr>
        <w:ind w:left="567" w:hanging="567"/>
      </w:pPr>
      <w:r w:rsidRPr="00DE0AD0">
        <w:t>zdůrazňuje, že je nezbytné zachovat specifickou strukturu ESF, jehož povinnou součástí musí být národní a regionální programy, aby tak zůstala zachována jeho přidaná hodnota;</w:t>
      </w:r>
    </w:p>
    <w:p w14:paraId="3208ECBC" w14:textId="77777777" w:rsidR="00536BA5" w:rsidRPr="00DE0AD0" w:rsidRDefault="00536BA5" w:rsidP="004347A0">
      <w:pPr>
        <w:pStyle w:val="ListParagraph"/>
        <w:numPr>
          <w:ilvl w:val="0"/>
          <w:numId w:val="29"/>
        </w:numPr>
        <w:ind w:left="567" w:hanging="567"/>
      </w:pPr>
      <w:r w:rsidRPr="00DE0AD0">
        <w:t>žádá, aby byly podstatně zjednodušeny postupy v souvislosti s ESF a aby byla posílena administrativní kapacita s cílem zajistit, že budou moci být prostředky tohoto fondu snáze a lépe využívány;</w:t>
      </w:r>
    </w:p>
    <w:p w14:paraId="1B6EBF24" w14:textId="77777777" w:rsidR="00536BA5" w:rsidRPr="00DE0AD0" w:rsidRDefault="00536BA5" w:rsidP="004347A0">
      <w:pPr>
        <w:pStyle w:val="ListParagraph"/>
        <w:numPr>
          <w:ilvl w:val="0"/>
          <w:numId w:val="29"/>
        </w:numPr>
        <w:ind w:left="567" w:hanging="567"/>
        <w:jc w:val="left"/>
      </w:pPr>
      <w:r w:rsidRPr="00DE0AD0">
        <w:t>vyzývá k tomu, aby bylo alespoň 1 % prostředků z ESF vyčleněno na podporu budování kapacit sociálních partnerů a organizací občanské společnosti na regionální i celostátní úrovni;</w:t>
      </w:r>
    </w:p>
    <w:p w14:paraId="02A78F90" w14:textId="77777777" w:rsidR="00536BA5" w:rsidRPr="00DE0AD0" w:rsidRDefault="00536BA5" w:rsidP="004347A0">
      <w:pPr>
        <w:pStyle w:val="ListParagraph"/>
        <w:numPr>
          <w:ilvl w:val="0"/>
          <w:numId w:val="29"/>
        </w:numPr>
        <w:ind w:left="567" w:hanging="567"/>
      </w:pPr>
      <w:r w:rsidRPr="00DE0AD0">
        <w:t>žádá, aby byli náležitě a trvale zapojeni sociální partneři a občanská společnost a aby jim bylo mj. rovněž zaručeno plné hlasovací právo v monitorovacích výborech;</w:t>
      </w:r>
    </w:p>
    <w:p w14:paraId="713B45BA" w14:textId="77777777" w:rsidR="00536BA5" w:rsidRPr="00DE0AD0" w:rsidRDefault="00536BA5" w:rsidP="004347A0">
      <w:pPr>
        <w:pStyle w:val="ListParagraph"/>
        <w:numPr>
          <w:ilvl w:val="0"/>
          <w:numId w:val="29"/>
        </w:numPr>
        <w:ind w:left="567" w:hanging="567"/>
      </w:pPr>
      <w:r w:rsidRPr="00DE0AD0">
        <w:t>opětovně vyzdvihuje význam víceúrovňové správy a přímé vazby regionálních programů na Komisi, aby si ESF zachoval výrazný územní rozměr;</w:t>
      </w:r>
    </w:p>
    <w:p w14:paraId="09EED62E" w14:textId="77777777" w:rsidR="00536BA5" w:rsidRPr="00DE0AD0" w:rsidRDefault="00536BA5" w:rsidP="004347A0">
      <w:pPr>
        <w:pStyle w:val="ListParagraph"/>
        <w:numPr>
          <w:ilvl w:val="0"/>
          <w:numId w:val="29"/>
        </w:numPr>
        <w:ind w:left="567" w:hanging="567"/>
      </w:pPr>
      <w:r w:rsidRPr="00DE0AD0">
        <w:t>vyslovuje se pro to, aby byla zajištěna rozsáhlejší doplňkovost mezi fondy EU, zejména tím, že bude mezi ESF a Evropským fondem pro regionální rozvoj (EFRR) uplatňován důrazný přístup založený na financování z různých fondů;</w:t>
      </w:r>
    </w:p>
    <w:p w14:paraId="2A9B5297" w14:textId="77777777" w:rsidR="00536BA5" w:rsidRPr="00DE0AD0" w:rsidRDefault="00536BA5" w:rsidP="004347A0">
      <w:pPr>
        <w:pStyle w:val="ListParagraph"/>
        <w:numPr>
          <w:ilvl w:val="0"/>
          <w:numId w:val="29"/>
        </w:numPr>
        <w:ind w:left="567" w:hanging="567"/>
      </w:pPr>
      <w:r w:rsidRPr="00DE0AD0">
        <w:t>vyzývá k tomu, aby se rozsáhle investovalo do vzdělávání, odborné přípravy a celoživotního učení, přičemž je nutné věnovat velkou pozornost oblasti přírodních věd, technologií, inženýrství a matematiky (STEM) a zeleným a digitálním dovednostem;</w:t>
      </w:r>
    </w:p>
    <w:p w14:paraId="23BC4752" w14:textId="77777777" w:rsidR="00536BA5" w:rsidRPr="00DE0AD0" w:rsidRDefault="00536BA5" w:rsidP="004347A0">
      <w:pPr>
        <w:pStyle w:val="ListParagraph"/>
        <w:numPr>
          <w:ilvl w:val="0"/>
          <w:numId w:val="29"/>
        </w:numPr>
        <w:ind w:left="567" w:hanging="567"/>
      </w:pPr>
      <w:r w:rsidRPr="00DE0AD0">
        <w:t>žádá, aby bylo alespoň 20 % prostředků z ESF vyčleněno na financování posílených záruk pro mladé lidi a na podporu kvalitních pracovních příležitostí pro mladé lidi;</w:t>
      </w:r>
    </w:p>
    <w:p w14:paraId="0908CDD0" w14:textId="77777777" w:rsidR="00536BA5" w:rsidRPr="00DE0AD0" w:rsidRDefault="00536BA5" w:rsidP="004347A0">
      <w:pPr>
        <w:pStyle w:val="ListParagraph"/>
        <w:numPr>
          <w:ilvl w:val="0"/>
          <w:numId w:val="29"/>
        </w:numPr>
        <w:ind w:left="567" w:hanging="567"/>
      </w:pPr>
      <w:r w:rsidRPr="00DE0AD0">
        <w:t>žádá, aby byly navýšeny investice do sociálního začleňování, snižování chudoby a kvalitních sociálních služeb, včetně komunitní péče a cenově dostupného bydlení, a to z 25 % na 30 %;</w:t>
      </w:r>
    </w:p>
    <w:p w14:paraId="31CC60CE" w14:textId="77777777" w:rsidR="00536BA5" w:rsidRPr="00DE0AD0" w:rsidRDefault="00536BA5" w:rsidP="004347A0">
      <w:pPr>
        <w:pStyle w:val="ListParagraph"/>
        <w:numPr>
          <w:ilvl w:val="0"/>
          <w:numId w:val="29"/>
        </w:numPr>
        <w:ind w:left="567" w:hanging="567"/>
      </w:pPr>
      <w:r w:rsidRPr="00DE0AD0">
        <w:t>zdůrazňuje, že je nutné jasněji a přístupněji komunikovat a informovat o ESF, aby občané a zainteresované strany věděli, jaké možnosti jim přináší.</w:t>
      </w:r>
    </w:p>
    <w:p w14:paraId="08AA9A2D" w14:textId="77777777" w:rsidR="00536BA5" w:rsidRPr="00DE0AD0" w:rsidRDefault="00536BA5" w:rsidP="00DE0AD0">
      <w:pPr>
        <w:pStyle w:val="ListParagraph"/>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4499"/>
      </w:tblGrid>
      <w:tr w:rsidR="00536BA5" w:rsidRPr="00DE0AD0" w14:paraId="7D56A308" w14:textId="77777777" w:rsidTr="001B4992">
        <w:tc>
          <w:tcPr>
            <w:tcW w:w="1556" w:type="pct"/>
          </w:tcPr>
          <w:p w14:paraId="13E973F0" w14:textId="77777777" w:rsidR="00536BA5" w:rsidRPr="00DE0AD0" w:rsidRDefault="00536BA5" w:rsidP="00DE0AD0">
            <w:pPr>
              <w:rPr>
                <w:i/>
              </w:rPr>
            </w:pPr>
            <w:r w:rsidRPr="00DE0AD0">
              <w:rPr>
                <w:b/>
                <w:i/>
              </w:rPr>
              <w:t>Kontakt:</w:t>
            </w:r>
          </w:p>
        </w:tc>
        <w:tc>
          <w:tcPr>
            <w:tcW w:w="3444" w:type="pct"/>
          </w:tcPr>
          <w:p w14:paraId="7E116B84" w14:textId="441D23EA" w:rsidR="00536BA5" w:rsidRPr="00DE0AD0" w:rsidRDefault="00536BA5" w:rsidP="00DE0AD0">
            <w:pPr>
              <w:rPr>
                <w:i/>
              </w:rPr>
            </w:pPr>
            <w:r w:rsidRPr="00DE0AD0">
              <w:rPr>
                <w:i/>
              </w:rPr>
              <w:t xml:space="preserve">Bartek </w:t>
            </w:r>
            <w:r w:rsidR="004347A0" w:rsidRPr="00DE0AD0">
              <w:rPr>
                <w:i/>
              </w:rPr>
              <w:t>Bednarowicz</w:t>
            </w:r>
          </w:p>
        </w:tc>
      </w:tr>
      <w:tr w:rsidR="00536BA5" w:rsidRPr="00DE0AD0" w14:paraId="6C0B642C" w14:textId="77777777" w:rsidTr="001B4992">
        <w:tc>
          <w:tcPr>
            <w:tcW w:w="1556" w:type="pct"/>
          </w:tcPr>
          <w:p w14:paraId="7FB96250" w14:textId="77777777" w:rsidR="00536BA5" w:rsidRPr="00DE0AD0" w:rsidRDefault="00536BA5" w:rsidP="00DE0AD0">
            <w:pPr>
              <w:rPr>
                <w:i/>
              </w:rPr>
            </w:pPr>
            <w:r w:rsidRPr="00DE0AD0">
              <w:rPr>
                <w:i/>
              </w:rPr>
              <w:t>Tel.:</w:t>
            </w:r>
          </w:p>
        </w:tc>
        <w:tc>
          <w:tcPr>
            <w:tcW w:w="3444" w:type="pct"/>
          </w:tcPr>
          <w:p w14:paraId="05FD935F" w14:textId="77777777" w:rsidR="00536BA5" w:rsidRPr="00DE0AD0" w:rsidRDefault="00536BA5" w:rsidP="00DE0AD0">
            <w:pPr>
              <w:rPr>
                <w:i/>
              </w:rPr>
            </w:pPr>
            <w:r w:rsidRPr="00DE0AD0">
              <w:rPr>
                <w:i/>
              </w:rPr>
              <w:t>+32 2546 9229</w:t>
            </w:r>
          </w:p>
        </w:tc>
      </w:tr>
      <w:tr w:rsidR="00536BA5" w:rsidRPr="00DE0AD0" w14:paraId="215F79F9" w14:textId="77777777" w:rsidTr="001B4992">
        <w:tc>
          <w:tcPr>
            <w:tcW w:w="1556" w:type="pct"/>
          </w:tcPr>
          <w:p w14:paraId="0C0EE2D3" w14:textId="77777777" w:rsidR="00536BA5" w:rsidRPr="00DE0AD0" w:rsidRDefault="00536BA5" w:rsidP="00DE0AD0">
            <w:pPr>
              <w:rPr>
                <w:i/>
              </w:rPr>
            </w:pPr>
            <w:r w:rsidRPr="00DE0AD0">
              <w:rPr>
                <w:i/>
              </w:rPr>
              <w:t>E-mail:</w:t>
            </w:r>
          </w:p>
        </w:tc>
        <w:tc>
          <w:tcPr>
            <w:tcW w:w="3444" w:type="pct"/>
          </w:tcPr>
          <w:p w14:paraId="32206F6D" w14:textId="77777777" w:rsidR="00536BA5" w:rsidRPr="00DE0AD0" w:rsidRDefault="003D4857" w:rsidP="00DE0AD0">
            <w:pPr>
              <w:rPr>
                <w:i/>
              </w:rPr>
            </w:pPr>
            <w:hyperlink r:id="rId34" w:history="1">
              <w:r w:rsidR="00536BA5" w:rsidRPr="00DE0AD0">
                <w:rPr>
                  <w:rStyle w:val="Hyperlink"/>
                  <w:i/>
                </w:rPr>
                <w:t>Bartek.Bednarowicz@eesc.europa.eu</w:t>
              </w:r>
            </w:hyperlink>
          </w:p>
        </w:tc>
      </w:tr>
    </w:tbl>
    <w:p w14:paraId="66D702F9" w14:textId="77777777" w:rsidR="00536BA5" w:rsidRPr="00DE0AD0" w:rsidRDefault="00536BA5" w:rsidP="00DE0AD0">
      <w:pPr>
        <w:pStyle w:val="ListParagraph"/>
        <w:ind w:left="0"/>
      </w:pPr>
    </w:p>
    <w:p w14:paraId="6199E92A" w14:textId="77777777" w:rsidR="00536BA5" w:rsidRPr="00DE0AD0" w:rsidRDefault="00536BA5" w:rsidP="00DE0AD0">
      <w:pPr>
        <w:jc w:val="left"/>
      </w:pPr>
      <w:r w:rsidRPr="00DE0AD0">
        <w:br w:type="page"/>
      </w:r>
    </w:p>
    <w:p w14:paraId="4982DDC6" w14:textId="77777777" w:rsidR="004D7AC0" w:rsidRPr="00DE0AD0" w:rsidRDefault="004D7AC0" w:rsidP="00DE0AD0">
      <w:pPr>
        <w:pStyle w:val="Heading1"/>
        <w:rPr>
          <w:b/>
        </w:rPr>
      </w:pPr>
      <w:bookmarkStart w:id="4" w:name="_Toc24617160"/>
      <w:bookmarkStart w:id="5" w:name="_Toc75527082"/>
      <w:bookmarkStart w:id="6" w:name="_Toc220677712"/>
      <w:r w:rsidRPr="00DE0AD0">
        <w:rPr>
          <w:b/>
        </w:rPr>
        <w:lastRenderedPageBreak/>
        <w:t>DOPRAVA, ENERGETIKA, INFRASTRUKTURA A INFORMAČNÍ SPOLEČNOST</w:t>
      </w:r>
      <w:bookmarkEnd w:id="4"/>
      <w:bookmarkEnd w:id="5"/>
      <w:bookmarkEnd w:id="6"/>
    </w:p>
    <w:p w14:paraId="4982DDF2" w14:textId="64CB47F8" w:rsidR="004D7AC0" w:rsidRPr="00DE0AD0" w:rsidRDefault="004D7AC0" w:rsidP="00DE0AD0">
      <w:pPr>
        <w:jc w:val="left"/>
      </w:pPr>
    </w:p>
    <w:p w14:paraId="28B36ACF" w14:textId="66AEBA5D" w:rsidR="0071441D" w:rsidRPr="00DE0AD0" w:rsidRDefault="003D4857" w:rsidP="006371B9">
      <w:pPr>
        <w:widowControl w:val="0"/>
        <w:numPr>
          <w:ilvl w:val="0"/>
          <w:numId w:val="2"/>
        </w:numPr>
        <w:overflowPunct w:val="0"/>
        <w:autoSpaceDE w:val="0"/>
        <w:autoSpaceDN w:val="0"/>
        <w:adjustRightInd w:val="0"/>
        <w:ind w:hanging="567"/>
        <w:textAlignment w:val="baseline"/>
        <w:rPr>
          <w:rStyle w:val="Hyperlink"/>
          <w:sz w:val="20"/>
        </w:rPr>
      </w:pPr>
      <w:hyperlink r:id="rId35" w:history="1">
        <w:r w:rsidR="0071441D" w:rsidRPr="00DE0AD0">
          <w:rPr>
            <w:rStyle w:val="Hyperlink"/>
            <w:b/>
            <w:i/>
            <w:sz w:val="28"/>
          </w:rPr>
          <w:t>Dvoustranná dohoda o silniční dopravě mezi Rakouskem a Švýcarskem</w:t>
        </w:r>
      </w:hyperlink>
    </w:p>
    <w:p w14:paraId="06155787" w14:textId="77777777" w:rsidR="0071441D" w:rsidRPr="00DE0AD0" w:rsidRDefault="0071441D" w:rsidP="00DE0AD0">
      <w:pPr>
        <w:widowControl w:val="0"/>
        <w:ind w:left="567"/>
        <w:rPr>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71441D" w:rsidRPr="00DE0AD0" w14:paraId="7E4E75BD" w14:textId="77777777" w:rsidTr="001B4992">
        <w:tc>
          <w:tcPr>
            <w:tcW w:w="1701" w:type="dxa"/>
          </w:tcPr>
          <w:p w14:paraId="7BCB7EBA" w14:textId="77777777" w:rsidR="0071441D" w:rsidRPr="00DE0AD0" w:rsidRDefault="0071441D" w:rsidP="00DE0AD0">
            <w:pPr>
              <w:tabs>
                <w:tab w:val="center" w:pos="284"/>
              </w:tabs>
              <w:ind w:left="596" w:hanging="709"/>
              <w:rPr>
                <w:b/>
              </w:rPr>
            </w:pPr>
            <w:r w:rsidRPr="00DE0AD0">
              <w:rPr>
                <w:b/>
              </w:rPr>
              <w:t>Odkazy</w:t>
            </w:r>
          </w:p>
        </w:tc>
        <w:tc>
          <w:tcPr>
            <w:tcW w:w="7621" w:type="dxa"/>
          </w:tcPr>
          <w:p w14:paraId="78CA2731" w14:textId="455F6836" w:rsidR="0071441D" w:rsidRPr="002F7FCC" w:rsidRDefault="0071441D" w:rsidP="00775D85">
            <w:pPr>
              <w:tabs>
                <w:tab w:val="center" w:pos="284"/>
              </w:tabs>
              <w:ind w:left="720" w:hanging="720"/>
              <w:rPr>
                <w:bCs/>
              </w:rPr>
            </w:pPr>
            <w:r w:rsidRPr="00DE0AD0">
              <w:t>stanovisko kategorie C</w:t>
            </w:r>
          </w:p>
        </w:tc>
      </w:tr>
      <w:tr w:rsidR="0071441D" w:rsidRPr="00DE0AD0" w14:paraId="2D6CCBA6" w14:textId="77777777" w:rsidTr="001B4992">
        <w:tc>
          <w:tcPr>
            <w:tcW w:w="1701" w:type="dxa"/>
          </w:tcPr>
          <w:p w14:paraId="2307C614" w14:textId="77777777" w:rsidR="0071441D" w:rsidRPr="00DE0AD0" w:rsidRDefault="0071441D" w:rsidP="00DE0AD0">
            <w:pPr>
              <w:tabs>
                <w:tab w:val="center" w:pos="284"/>
              </w:tabs>
              <w:ind w:left="596" w:hanging="709"/>
              <w:rPr>
                <w:b/>
              </w:rPr>
            </w:pPr>
          </w:p>
        </w:tc>
        <w:tc>
          <w:tcPr>
            <w:tcW w:w="7621" w:type="dxa"/>
          </w:tcPr>
          <w:p w14:paraId="7C46AED3" w14:textId="6F809D38" w:rsidR="0071441D" w:rsidRPr="00DE0AD0" w:rsidRDefault="0071441D" w:rsidP="00DE0AD0">
            <w:pPr>
              <w:tabs>
                <w:tab w:val="center" w:pos="284"/>
              </w:tabs>
              <w:ind w:left="720" w:hanging="720"/>
              <w:rPr>
                <w:bCs/>
              </w:rPr>
            </w:pPr>
            <w:r w:rsidRPr="00DE0AD0">
              <w:t>COM(2025) 773 final – 2025/0407</w:t>
            </w:r>
            <w:r w:rsidR="002F7FCC">
              <w:t xml:space="preserve"> </w:t>
            </w:r>
            <w:r w:rsidRPr="00DE0AD0">
              <w:t>(COD)</w:t>
            </w:r>
          </w:p>
          <w:p w14:paraId="3EADD262" w14:textId="77777777" w:rsidR="0071441D" w:rsidRPr="00DE0AD0" w:rsidRDefault="0071441D" w:rsidP="00DE0AD0">
            <w:pPr>
              <w:tabs>
                <w:tab w:val="center" w:pos="284"/>
              </w:tabs>
              <w:ind w:left="720" w:hanging="720"/>
            </w:pPr>
            <w:r w:rsidRPr="00DE0AD0">
              <w:t>EESC-2026-00125-00-00-AC-TRA</w:t>
            </w:r>
          </w:p>
        </w:tc>
      </w:tr>
    </w:tbl>
    <w:p w14:paraId="41CD752C" w14:textId="77777777" w:rsidR="0071441D" w:rsidRPr="00DE0AD0" w:rsidRDefault="0071441D" w:rsidP="00DE0AD0">
      <w:pPr>
        <w:keepNext/>
        <w:keepLines/>
        <w:tabs>
          <w:tab w:val="center" w:pos="284"/>
        </w:tabs>
        <w:ind w:left="720" w:hanging="720"/>
        <w:rPr>
          <w:b/>
          <w:lang w:val="pt-PT"/>
        </w:rPr>
      </w:pPr>
    </w:p>
    <w:p w14:paraId="0C87E695" w14:textId="6FE4C499" w:rsidR="0071441D" w:rsidRPr="00DE0AD0" w:rsidRDefault="0071441D" w:rsidP="006371B9">
      <w:pPr>
        <w:pStyle w:val="ListParagraph"/>
        <w:numPr>
          <w:ilvl w:val="0"/>
          <w:numId w:val="6"/>
        </w:numPr>
        <w:overflowPunct w:val="0"/>
        <w:autoSpaceDE w:val="0"/>
        <w:autoSpaceDN w:val="0"/>
        <w:adjustRightInd w:val="0"/>
        <w:ind w:left="567" w:hanging="567"/>
        <w:textAlignment w:val="baseline"/>
      </w:pPr>
      <w:r w:rsidRPr="00DE0AD0">
        <w:t xml:space="preserve">Vzhledem k tomu, že Výbor považuje obsah návrhu za uspokojivý a k danému tématu se vyjádřil již ve stanovisku </w:t>
      </w:r>
      <w:r w:rsidRPr="00DE0AD0">
        <w:rPr>
          <w:i/>
        </w:rPr>
        <w:t>TEN/698 Dvoustranné dohody o silniční dopravě mezi Švýcarskem</w:t>
      </w:r>
      <w:r w:rsidR="004347A0">
        <w:rPr>
          <w:i/>
        </w:rPr>
        <w:t> </w:t>
      </w:r>
      <w:r w:rsidRPr="00DE0AD0">
        <w:rPr>
          <w:i/>
        </w:rPr>
        <w:t xml:space="preserve">a Německem a Švýcarskem a Itálií </w:t>
      </w:r>
      <w:r w:rsidRPr="00DE0AD0">
        <w:t>(</w:t>
      </w:r>
      <w:hyperlink r:id="rId36" w:history="1">
        <w:r w:rsidRPr="00DE0AD0">
          <w:rPr>
            <w:rStyle w:val="Hyperlink"/>
          </w:rPr>
          <w:t>Úř. věst. C 14, 15.1.2020, s. 118</w:t>
        </w:r>
      </w:hyperlink>
      <w:r w:rsidRPr="00DE0AD0">
        <w:t>) přijatém dne</w:t>
      </w:r>
      <w:r w:rsidR="003476A9">
        <w:t> </w:t>
      </w:r>
      <w:r w:rsidRPr="00DE0AD0">
        <w:t>25. září 2019, rozhodl se zaujmout k navrhovanému znění příznivé stanovisko a odkázat na svůj postoj vyjádřený ve výše uvedeném dokumentu.</w:t>
      </w:r>
    </w:p>
    <w:p w14:paraId="54A5995A" w14:textId="77777777" w:rsidR="0071441D" w:rsidRPr="00DE0AD0" w:rsidRDefault="0071441D" w:rsidP="00DE0AD0">
      <w:pPr>
        <w:widowControl w:val="0"/>
        <w:ind w:left="720" w:hanging="72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4347A0" w:rsidRPr="00DE0AD0" w14:paraId="11F2E9D8" w14:textId="77777777" w:rsidTr="004347A0">
        <w:tc>
          <w:tcPr>
            <w:tcW w:w="1418" w:type="dxa"/>
          </w:tcPr>
          <w:p w14:paraId="055A0D10" w14:textId="1731A359" w:rsidR="004347A0" w:rsidRPr="00DE0AD0" w:rsidRDefault="004347A0" w:rsidP="004347A0">
            <w:pPr>
              <w:ind w:left="720" w:hanging="720"/>
              <w:rPr>
                <w:b/>
                <w:i/>
              </w:rPr>
            </w:pPr>
            <w:r w:rsidRPr="00DE0AD0">
              <w:rPr>
                <w:b/>
                <w:i/>
              </w:rPr>
              <w:t>Kontakt:</w:t>
            </w:r>
          </w:p>
        </w:tc>
        <w:tc>
          <w:tcPr>
            <w:tcW w:w="7904" w:type="dxa"/>
          </w:tcPr>
          <w:p w14:paraId="3AB0211B" w14:textId="6B3A9CEE" w:rsidR="004347A0" w:rsidRPr="00DE0AD0" w:rsidRDefault="004347A0" w:rsidP="004347A0">
            <w:pPr>
              <w:ind w:left="720" w:hanging="720"/>
              <w:rPr>
                <w:i/>
              </w:rPr>
            </w:pPr>
            <w:r w:rsidRPr="00DE0AD0">
              <w:rPr>
                <w:i/>
              </w:rPr>
              <w:t>Aleksandra Šarman Grilc</w:t>
            </w:r>
          </w:p>
        </w:tc>
      </w:tr>
      <w:tr w:rsidR="004347A0" w:rsidRPr="00DE0AD0" w14:paraId="446D6C4F" w14:textId="77777777" w:rsidTr="004347A0">
        <w:tc>
          <w:tcPr>
            <w:tcW w:w="1418" w:type="dxa"/>
          </w:tcPr>
          <w:p w14:paraId="0FAE3186" w14:textId="665456AF" w:rsidR="004347A0" w:rsidRPr="00DE0AD0" w:rsidRDefault="004347A0" w:rsidP="004347A0">
            <w:pPr>
              <w:ind w:left="720" w:hanging="720"/>
              <w:rPr>
                <w:i/>
              </w:rPr>
            </w:pPr>
            <w:r w:rsidRPr="00DE0AD0">
              <w:rPr>
                <w:i/>
              </w:rPr>
              <w:t>Tel.:</w:t>
            </w:r>
          </w:p>
        </w:tc>
        <w:tc>
          <w:tcPr>
            <w:tcW w:w="7904" w:type="dxa"/>
          </w:tcPr>
          <w:p w14:paraId="711EC4B6" w14:textId="77777777" w:rsidR="004347A0" w:rsidRPr="00DE0AD0" w:rsidRDefault="004347A0" w:rsidP="004347A0">
            <w:pPr>
              <w:ind w:left="720" w:hanging="720"/>
              <w:rPr>
                <w:i/>
              </w:rPr>
            </w:pPr>
            <w:r w:rsidRPr="00DE0AD0">
              <w:rPr>
                <w:i/>
              </w:rPr>
              <w:t>+32 25468333</w:t>
            </w:r>
          </w:p>
        </w:tc>
      </w:tr>
      <w:tr w:rsidR="004347A0" w:rsidRPr="00DE0AD0" w14:paraId="74B81948" w14:textId="77777777" w:rsidTr="004347A0">
        <w:tc>
          <w:tcPr>
            <w:tcW w:w="1418" w:type="dxa"/>
          </w:tcPr>
          <w:p w14:paraId="4D5AA8AB" w14:textId="4C8E711C" w:rsidR="004347A0" w:rsidRPr="00DE0AD0" w:rsidRDefault="004347A0" w:rsidP="004347A0">
            <w:pPr>
              <w:ind w:left="720" w:hanging="720"/>
              <w:rPr>
                <w:i/>
              </w:rPr>
            </w:pPr>
            <w:r w:rsidRPr="00DE0AD0">
              <w:rPr>
                <w:i/>
              </w:rPr>
              <w:t>E-mail:</w:t>
            </w:r>
          </w:p>
        </w:tc>
        <w:tc>
          <w:tcPr>
            <w:tcW w:w="7904" w:type="dxa"/>
          </w:tcPr>
          <w:p w14:paraId="32D6C7B4" w14:textId="77777777" w:rsidR="004347A0" w:rsidRPr="00DE0AD0" w:rsidRDefault="003D4857" w:rsidP="004347A0">
            <w:pPr>
              <w:ind w:left="720" w:hanging="720"/>
              <w:rPr>
                <w:i/>
                <w:iCs/>
              </w:rPr>
            </w:pPr>
            <w:hyperlink r:id="rId37" w:history="1">
              <w:r w:rsidR="004347A0" w:rsidRPr="00DE0AD0">
                <w:rPr>
                  <w:rStyle w:val="Hyperlink"/>
                  <w:i/>
                </w:rPr>
                <w:t>Aleksandra.SarmanGrilc@eesc.europa.eu</w:t>
              </w:r>
            </w:hyperlink>
            <w:r w:rsidR="004347A0" w:rsidRPr="00DE0AD0">
              <w:rPr>
                <w:i/>
              </w:rPr>
              <w:t xml:space="preserve"> </w:t>
            </w:r>
          </w:p>
        </w:tc>
      </w:tr>
    </w:tbl>
    <w:p w14:paraId="6594D24D" w14:textId="6BC9EBBB" w:rsidR="0071441D" w:rsidRPr="00DE0AD0" w:rsidRDefault="0071441D" w:rsidP="00DE0AD0">
      <w:pPr>
        <w:jc w:val="left"/>
      </w:pPr>
    </w:p>
    <w:p w14:paraId="3C656104" w14:textId="77777777" w:rsidR="0071441D" w:rsidRPr="00DE0AD0" w:rsidRDefault="0071441D" w:rsidP="00DE0AD0">
      <w:pPr>
        <w:jc w:val="left"/>
      </w:pPr>
      <w:r w:rsidRPr="00DE0AD0">
        <w:br w:type="page"/>
      </w:r>
    </w:p>
    <w:p w14:paraId="6F41ED1D" w14:textId="0D04300B" w:rsidR="0071441D" w:rsidRPr="00DE0AD0" w:rsidRDefault="003D4857" w:rsidP="006371B9">
      <w:pPr>
        <w:widowControl w:val="0"/>
        <w:numPr>
          <w:ilvl w:val="0"/>
          <w:numId w:val="2"/>
        </w:numPr>
        <w:overflowPunct w:val="0"/>
        <w:autoSpaceDE w:val="0"/>
        <w:autoSpaceDN w:val="0"/>
        <w:adjustRightInd w:val="0"/>
        <w:ind w:hanging="567"/>
        <w:textAlignment w:val="baseline"/>
        <w:rPr>
          <w:sz w:val="20"/>
        </w:rPr>
      </w:pPr>
      <w:hyperlink r:id="rId38" w:history="1">
        <w:r w:rsidR="0071441D" w:rsidRPr="00DE0AD0">
          <w:rPr>
            <w:rStyle w:val="Hyperlink"/>
            <w:b/>
            <w:i/>
            <w:sz w:val="28"/>
          </w:rPr>
          <w:t>Nástroj pro propojení Evropy na období 2028–2034</w:t>
        </w:r>
      </w:hyperlink>
    </w:p>
    <w:p w14:paraId="4F3263F3" w14:textId="77777777" w:rsidR="0071441D" w:rsidRPr="00DE0AD0" w:rsidRDefault="0071441D" w:rsidP="00DE0AD0">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5387"/>
      </w:tblGrid>
      <w:tr w:rsidR="0071441D" w:rsidRPr="00DE0AD0" w14:paraId="7538E0DF" w14:textId="77777777" w:rsidTr="001B4992">
        <w:tc>
          <w:tcPr>
            <w:tcW w:w="1701" w:type="dxa"/>
          </w:tcPr>
          <w:p w14:paraId="5B314934" w14:textId="77777777" w:rsidR="0071441D" w:rsidRPr="00DE0AD0" w:rsidRDefault="0071441D" w:rsidP="00DE0AD0">
            <w:pPr>
              <w:tabs>
                <w:tab w:val="center" w:pos="284"/>
              </w:tabs>
              <w:ind w:left="266" w:hanging="266"/>
              <w:rPr>
                <w:b/>
              </w:rPr>
            </w:pPr>
            <w:r w:rsidRPr="00DE0AD0">
              <w:rPr>
                <w:b/>
              </w:rPr>
              <w:t>Zpravodaj</w:t>
            </w:r>
          </w:p>
        </w:tc>
        <w:tc>
          <w:tcPr>
            <w:tcW w:w="5387" w:type="dxa"/>
          </w:tcPr>
          <w:p w14:paraId="0CD22743" w14:textId="77777777" w:rsidR="0071441D" w:rsidRPr="00DE0AD0" w:rsidRDefault="0071441D" w:rsidP="00DE0AD0">
            <w:pPr>
              <w:tabs>
                <w:tab w:val="center" w:pos="284"/>
              </w:tabs>
              <w:ind w:left="266" w:hanging="266"/>
            </w:pPr>
            <w:r w:rsidRPr="00DE0AD0">
              <w:t>Mateusz SZYMAŃSKI (skupina Zaměstnanci – PL)</w:t>
            </w:r>
          </w:p>
        </w:tc>
      </w:tr>
      <w:tr w:rsidR="0071441D" w:rsidRPr="00DE0AD0" w14:paraId="68D6DA30" w14:textId="77777777" w:rsidTr="001B4992">
        <w:tc>
          <w:tcPr>
            <w:tcW w:w="1701" w:type="dxa"/>
          </w:tcPr>
          <w:p w14:paraId="2217B94F" w14:textId="77777777" w:rsidR="0071441D" w:rsidRPr="00DE0AD0" w:rsidRDefault="0071441D" w:rsidP="00DE0AD0">
            <w:pPr>
              <w:tabs>
                <w:tab w:val="center" w:pos="284"/>
              </w:tabs>
              <w:ind w:left="266" w:hanging="266"/>
              <w:rPr>
                <w:b/>
              </w:rPr>
            </w:pPr>
            <w:r w:rsidRPr="00DE0AD0">
              <w:rPr>
                <w:b/>
              </w:rPr>
              <w:t>Spoluzpravodaj</w:t>
            </w:r>
          </w:p>
        </w:tc>
        <w:tc>
          <w:tcPr>
            <w:tcW w:w="5387" w:type="dxa"/>
          </w:tcPr>
          <w:p w14:paraId="032CCD91" w14:textId="77777777" w:rsidR="0071441D" w:rsidRPr="00DE0AD0" w:rsidRDefault="0071441D" w:rsidP="00DE0AD0">
            <w:pPr>
              <w:tabs>
                <w:tab w:val="center" w:pos="284"/>
              </w:tabs>
              <w:ind w:left="266" w:hanging="266"/>
            </w:pPr>
            <w:r w:rsidRPr="00DE0AD0">
              <w:t>Tomas ARVIDSSON (skupina Zaměstnavatelé – SE)</w:t>
            </w:r>
          </w:p>
        </w:tc>
      </w:tr>
      <w:tr w:rsidR="0071441D" w:rsidRPr="00DE0AD0" w14:paraId="02BB5D6B" w14:textId="77777777" w:rsidTr="001B4992">
        <w:tc>
          <w:tcPr>
            <w:tcW w:w="7088" w:type="dxa"/>
            <w:gridSpan w:val="2"/>
          </w:tcPr>
          <w:p w14:paraId="157D4B38" w14:textId="77777777" w:rsidR="0071441D" w:rsidRPr="00DE0AD0" w:rsidRDefault="0071441D" w:rsidP="00DE0AD0">
            <w:pPr>
              <w:tabs>
                <w:tab w:val="center" w:pos="284"/>
              </w:tabs>
              <w:ind w:left="266" w:hanging="266"/>
              <w:rPr>
                <w:lang w:val="en-US"/>
              </w:rPr>
            </w:pPr>
          </w:p>
        </w:tc>
      </w:tr>
      <w:tr w:rsidR="0071441D" w:rsidRPr="00DE0AD0" w14:paraId="79312EE9" w14:textId="77777777" w:rsidTr="001B4992">
        <w:tc>
          <w:tcPr>
            <w:tcW w:w="1701" w:type="dxa"/>
            <w:vMerge w:val="restart"/>
          </w:tcPr>
          <w:p w14:paraId="68FB7C94" w14:textId="77777777" w:rsidR="0071441D" w:rsidRPr="00DE0AD0" w:rsidRDefault="0071441D" w:rsidP="00DE0AD0">
            <w:pPr>
              <w:tabs>
                <w:tab w:val="center" w:pos="284"/>
              </w:tabs>
              <w:ind w:left="266" w:hanging="266"/>
              <w:rPr>
                <w:b/>
              </w:rPr>
            </w:pPr>
            <w:r w:rsidRPr="00DE0AD0">
              <w:rPr>
                <w:b/>
              </w:rPr>
              <w:t>Odkazy</w:t>
            </w:r>
          </w:p>
        </w:tc>
        <w:tc>
          <w:tcPr>
            <w:tcW w:w="5387" w:type="dxa"/>
          </w:tcPr>
          <w:p w14:paraId="12E72824" w14:textId="77777777" w:rsidR="0071441D" w:rsidRPr="00DE0AD0" w:rsidRDefault="0071441D" w:rsidP="00DE0AD0">
            <w:pPr>
              <w:tabs>
                <w:tab w:val="center" w:pos="284"/>
              </w:tabs>
              <w:ind w:left="266" w:hanging="266"/>
            </w:pPr>
            <w:r w:rsidRPr="00DE0AD0">
              <w:t>COM(2025) 547 final – 2025/0221 (COD)</w:t>
            </w:r>
          </w:p>
          <w:p w14:paraId="48FBA68C" w14:textId="77777777" w:rsidR="0071441D" w:rsidRPr="00DE0AD0" w:rsidRDefault="0071441D" w:rsidP="00DE0AD0">
            <w:pPr>
              <w:tabs>
                <w:tab w:val="center" w:pos="284"/>
              </w:tabs>
              <w:ind w:left="266" w:hanging="266"/>
            </w:pPr>
            <w:r w:rsidRPr="00DE0AD0">
              <w:t>EESC-2025-03183-00-00-AC</w:t>
            </w:r>
          </w:p>
        </w:tc>
      </w:tr>
      <w:tr w:rsidR="0071441D" w:rsidRPr="00DE0AD0" w14:paraId="2E61B218" w14:textId="77777777" w:rsidTr="001B4992">
        <w:tc>
          <w:tcPr>
            <w:tcW w:w="1701" w:type="dxa"/>
            <w:vMerge/>
          </w:tcPr>
          <w:p w14:paraId="6EE1899E" w14:textId="77777777" w:rsidR="0071441D" w:rsidRPr="00DE0AD0" w:rsidRDefault="0071441D" w:rsidP="00DE0AD0">
            <w:pPr>
              <w:tabs>
                <w:tab w:val="center" w:pos="284"/>
              </w:tabs>
              <w:ind w:left="266" w:hanging="266"/>
              <w:rPr>
                <w:b/>
                <w:lang w:val="pt-PT"/>
              </w:rPr>
            </w:pPr>
          </w:p>
        </w:tc>
        <w:tc>
          <w:tcPr>
            <w:tcW w:w="5387" w:type="dxa"/>
          </w:tcPr>
          <w:p w14:paraId="5D695EAB" w14:textId="77777777" w:rsidR="0071441D" w:rsidRPr="00DE0AD0" w:rsidRDefault="0071441D" w:rsidP="00DE0AD0">
            <w:pPr>
              <w:tabs>
                <w:tab w:val="center" w:pos="284"/>
              </w:tabs>
              <w:ind w:left="266" w:hanging="266"/>
              <w:rPr>
                <w:lang w:val="pt-PT"/>
              </w:rPr>
            </w:pPr>
          </w:p>
        </w:tc>
      </w:tr>
    </w:tbl>
    <w:p w14:paraId="74FA12BD" w14:textId="77777777" w:rsidR="0071441D" w:rsidRPr="00DE0AD0" w:rsidRDefault="0071441D" w:rsidP="00DE0AD0">
      <w:pPr>
        <w:keepNext/>
        <w:keepLines/>
        <w:tabs>
          <w:tab w:val="center" w:pos="284"/>
        </w:tabs>
        <w:ind w:left="266" w:hanging="266"/>
        <w:rPr>
          <w:b/>
        </w:rPr>
      </w:pPr>
      <w:bookmarkStart w:id="7" w:name="_Hlk215320928"/>
      <w:r w:rsidRPr="00DE0AD0">
        <w:rPr>
          <w:b/>
        </w:rPr>
        <w:t>Hlavní body</w:t>
      </w:r>
    </w:p>
    <w:p w14:paraId="38ADDC90" w14:textId="77777777" w:rsidR="0071441D" w:rsidRPr="00DE0AD0" w:rsidRDefault="0071441D" w:rsidP="00DE0AD0">
      <w:pPr>
        <w:keepNext/>
        <w:keepLines/>
        <w:tabs>
          <w:tab w:val="center" w:pos="284"/>
        </w:tabs>
        <w:ind w:left="266" w:hanging="266"/>
        <w:rPr>
          <w:b/>
        </w:rPr>
      </w:pPr>
    </w:p>
    <w:p w14:paraId="00F35C8E" w14:textId="77777777" w:rsidR="0071441D" w:rsidRPr="00DE0AD0" w:rsidRDefault="0071441D" w:rsidP="00DE0AD0">
      <w:pPr>
        <w:rPr>
          <w:bCs/>
          <w:iCs/>
        </w:rPr>
      </w:pPr>
      <w:r w:rsidRPr="00DE0AD0">
        <w:t>EHSV:</w:t>
      </w:r>
    </w:p>
    <w:p w14:paraId="133257B4" w14:textId="77777777" w:rsidR="0071441D" w:rsidRPr="00DE0AD0" w:rsidRDefault="0071441D" w:rsidP="00DE0AD0">
      <w:pPr>
        <w:widowControl w:val="0"/>
        <w:ind w:left="709"/>
        <w:rPr>
          <w:bCs/>
          <w:iCs/>
        </w:rPr>
      </w:pPr>
    </w:p>
    <w:p w14:paraId="0D5B5D00" w14:textId="77777777" w:rsidR="0071441D" w:rsidRPr="00DE0AD0" w:rsidRDefault="0071441D" w:rsidP="00F96BD8">
      <w:pPr>
        <w:widowControl w:val="0"/>
        <w:numPr>
          <w:ilvl w:val="0"/>
          <w:numId w:val="32"/>
        </w:numPr>
        <w:overflowPunct w:val="0"/>
        <w:autoSpaceDE w:val="0"/>
        <w:autoSpaceDN w:val="0"/>
        <w:adjustRightInd w:val="0"/>
        <w:ind w:left="567" w:hanging="567"/>
        <w:textAlignment w:val="baseline"/>
      </w:pPr>
      <w:r w:rsidRPr="00DE0AD0">
        <w:t xml:space="preserve">vítá uznání potřeby investic, zejména naléhavé nezbytnosti posílit odolnost EU a zlepšit bezpečnost. </w:t>
      </w:r>
      <w:r w:rsidRPr="00DE0AD0">
        <w:rPr>
          <w:b/>
        </w:rPr>
        <w:t>Výbor požaduje navýšení finančních prostředků Nástroje pro propojení Evropy 3 (CEF 3) alespoň na 100 miliard eur</w:t>
      </w:r>
      <w:r w:rsidRPr="00DE0AD0">
        <w:t xml:space="preserve">; </w:t>
      </w:r>
    </w:p>
    <w:p w14:paraId="050B885B" w14:textId="77777777" w:rsidR="0071441D" w:rsidRPr="00DE0AD0" w:rsidRDefault="0071441D" w:rsidP="00F96BD8">
      <w:pPr>
        <w:widowControl w:val="0"/>
        <w:numPr>
          <w:ilvl w:val="0"/>
          <w:numId w:val="32"/>
        </w:numPr>
        <w:overflowPunct w:val="0"/>
        <w:autoSpaceDE w:val="0"/>
        <w:autoSpaceDN w:val="0"/>
        <w:adjustRightInd w:val="0"/>
        <w:ind w:left="567" w:hanging="567"/>
        <w:textAlignment w:val="baseline"/>
      </w:pPr>
      <w:r w:rsidRPr="00DE0AD0">
        <w:t xml:space="preserve">považuje za vhodné zahrnout do příštího programového období </w:t>
      </w:r>
      <w:r w:rsidRPr="00DE0AD0">
        <w:rPr>
          <w:b/>
        </w:rPr>
        <w:t>investice prováděné za hranicemi EU</w:t>
      </w:r>
      <w:r w:rsidRPr="00DE0AD0">
        <w:t>, a to prostřednictvím rozšíření koridorů sítě TEN-T do kandidátských zemí;</w:t>
      </w:r>
    </w:p>
    <w:p w14:paraId="267AC17F" w14:textId="77777777" w:rsidR="0071441D" w:rsidRPr="00DE0AD0" w:rsidRDefault="0071441D" w:rsidP="00F96BD8">
      <w:pPr>
        <w:widowControl w:val="0"/>
        <w:numPr>
          <w:ilvl w:val="0"/>
          <w:numId w:val="32"/>
        </w:numPr>
        <w:overflowPunct w:val="0"/>
        <w:autoSpaceDE w:val="0"/>
        <w:autoSpaceDN w:val="0"/>
        <w:adjustRightInd w:val="0"/>
        <w:ind w:left="567" w:hanging="567"/>
        <w:textAlignment w:val="baseline"/>
      </w:pPr>
      <w:r w:rsidRPr="00DE0AD0">
        <w:t xml:space="preserve">zdůrazňuje, že v zájmu zajištění </w:t>
      </w:r>
      <w:r w:rsidRPr="00DE0AD0">
        <w:rPr>
          <w:b/>
        </w:rPr>
        <w:t>územní soudržnosti</w:t>
      </w:r>
      <w:r w:rsidRPr="00DE0AD0">
        <w:t xml:space="preserve"> a plného využití jednotného trhu by měl program upřednostňovat </w:t>
      </w:r>
      <w:r w:rsidRPr="00DE0AD0">
        <w:rPr>
          <w:b/>
          <w:bCs/>
        </w:rPr>
        <w:t>investice v</w:t>
      </w:r>
      <w:r w:rsidRPr="00DE0AD0">
        <w:t> </w:t>
      </w:r>
      <w:r w:rsidRPr="00DE0AD0">
        <w:rPr>
          <w:b/>
        </w:rPr>
        <w:t>regionech se zásadními nedostatky v infrastruktuře</w:t>
      </w:r>
      <w:r w:rsidRPr="00DE0AD0">
        <w:t xml:space="preserve">, podporovat projekty zaměřené na </w:t>
      </w:r>
      <w:r w:rsidRPr="00DE0AD0">
        <w:rPr>
          <w:b/>
        </w:rPr>
        <w:t>zajištění kritické infrastruktury a odstranění úzkých míst</w:t>
      </w:r>
      <w:r w:rsidRPr="00DE0AD0">
        <w:t>, zejména v </w:t>
      </w:r>
      <w:r w:rsidRPr="00DE0AD0">
        <w:rPr>
          <w:b/>
        </w:rPr>
        <w:t>zemích přijímajících podporu v rámci politiky soudržnosti a v regionech sousedících s Ruskem a Běloruskem</w:t>
      </w:r>
      <w:r w:rsidRPr="00DE0AD0">
        <w:t>, což jsou státy, které jsou vůči zemím EU otevřeně nepřátelské;</w:t>
      </w:r>
    </w:p>
    <w:p w14:paraId="4E5DEA55" w14:textId="77777777" w:rsidR="0071441D" w:rsidRPr="00DE0AD0" w:rsidRDefault="0071441D" w:rsidP="00F96BD8">
      <w:pPr>
        <w:widowControl w:val="0"/>
        <w:numPr>
          <w:ilvl w:val="0"/>
          <w:numId w:val="38"/>
        </w:numPr>
        <w:overflowPunct w:val="0"/>
        <w:autoSpaceDE w:val="0"/>
        <w:autoSpaceDN w:val="0"/>
        <w:adjustRightInd w:val="0"/>
        <w:ind w:left="567" w:hanging="567"/>
        <w:textAlignment w:val="baseline"/>
      </w:pPr>
      <w:r w:rsidRPr="00DE0AD0">
        <w:t>domnívá se, že by neměly být zcela vyloučeny ani investice prováděné v rámci jednoho členského státu, pokud splňují potřeby a cíle CEF a mají zásadní význam pro sítě TEN-T a TEN-E;</w:t>
      </w:r>
    </w:p>
    <w:p w14:paraId="03F3A220" w14:textId="77777777" w:rsidR="0071441D" w:rsidRPr="00DE0AD0" w:rsidRDefault="0071441D" w:rsidP="00F96BD8">
      <w:pPr>
        <w:widowControl w:val="0"/>
        <w:numPr>
          <w:ilvl w:val="0"/>
          <w:numId w:val="38"/>
        </w:numPr>
        <w:overflowPunct w:val="0"/>
        <w:autoSpaceDE w:val="0"/>
        <w:autoSpaceDN w:val="0"/>
        <w:adjustRightInd w:val="0"/>
        <w:ind w:left="567" w:hanging="567"/>
      </w:pPr>
      <w:r w:rsidRPr="00DE0AD0">
        <w:t xml:space="preserve">navrhuje, aby byly vyčleněny finanční prostředky, které umožní dokončení zahájeného projektu CEF, a aby bylo </w:t>
      </w:r>
      <w:r w:rsidRPr="00DE0AD0">
        <w:rPr>
          <w:b/>
        </w:rPr>
        <w:t>specifikováno, které projekty budou upřednostňovány</w:t>
      </w:r>
      <w:r w:rsidRPr="00DE0AD0">
        <w:t xml:space="preserve">. </w:t>
      </w:r>
      <w:r w:rsidRPr="00DE0AD0">
        <w:rPr>
          <w:b/>
        </w:rPr>
        <w:t>Kritéria financování by měla být vázána na sociální a environmentální kritéria a že měla by zajistit evropskou přidanou hodnotu</w:t>
      </w:r>
      <w:r w:rsidRPr="00DE0AD0">
        <w:t>;</w:t>
      </w:r>
    </w:p>
    <w:p w14:paraId="349F5C53" w14:textId="77777777" w:rsidR="0071441D" w:rsidRPr="00DE0AD0" w:rsidRDefault="0071441D" w:rsidP="00F96BD8">
      <w:pPr>
        <w:widowControl w:val="0"/>
        <w:numPr>
          <w:ilvl w:val="0"/>
          <w:numId w:val="38"/>
        </w:numPr>
        <w:overflowPunct w:val="0"/>
        <w:autoSpaceDE w:val="0"/>
        <w:autoSpaceDN w:val="0"/>
        <w:adjustRightInd w:val="0"/>
        <w:ind w:left="567" w:hanging="567"/>
        <w:textAlignment w:val="baseline"/>
      </w:pPr>
      <w:r w:rsidRPr="00DE0AD0">
        <w:t xml:space="preserve">požaduje </w:t>
      </w:r>
      <w:r w:rsidRPr="00DE0AD0">
        <w:rPr>
          <w:b/>
        </w:rPr>
        <w:t>zavést postupy pro hodnocení v polovině období a pro následné hodnocení</w:t>
      </w:r>
      <w:r w:rsidRPr="00DE0AD0">
        <w:t>, pokud jde o výdaje realizované prostřednictvím CEF, jakož i </w:t>
      </w:r>
      <w:r w:rsidRPr="00DE0AD0">
        <w:rPr>
          <w:b/>
        </w:rPr>
        <w:t>pravidla pro monitorování</w:t>
      </w:r>
      <w:r w:rsidRPr="00DE0AD0">
        <w:t xml:space="preserve">. Je nezbytné </w:t>
      </w:r>
      <w:r w:rsidRPr="00DE0AD0">
        <w:rPr>
          <w:b/>
        </w:rPr>
        <w:t>zjednodušit proces podávání žádostí a urychlit vyplácení</w:t>
      </w:r>
      <w:r w:rsidRPr="00DE0AD0">
        <w:t xml:space="preserve"> finančních prostředků, neboť je nutné uspíšit provádění investic.</w:t>
      </w:r>
    </w:p>
    <w:bookmarkEnd w:id="7"/>
    <w:p w14:paraId="60A5A68E" w14:textId="77777777" w:rsidR="0071441D" w:rsidRPr="00DE0AD0" w:rsidRDefault="0071441D" w:rsidP="00DE0AD0">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71441D" w:rsidRPr="00DE0AD0" w14:paraId="7089AFCA" w14:textId="77777777" w:rsidTr="001B4992">
        <w:tc>
          <w:tcPr>
            <w:tcW w:w="1418" w:type="dxa"/>
          </w:tcPr>
          <w:p w14:paraId="4DF37D96" w14:textId="77777777" w:rsidR="0071441D" w:rsidRPr="00DE0AD0" w:rsidRDefault="0071441D" w:rsidP="00DE0AD0">
            <w:pPr>
              <w:rPr>
                <w:i/>
              </w:rPr>
            </w:pPr>
            <w:r w:rsidRPr="00DE0AD0">
              <w:rPr>
                <w:b/>
                <w:i/>
              </w:rPr>
              <w:t>Kontakt:</w:t>
            </w:r>
          </w:p>
        </w:tc>
        <w:tc>
          <w:tcPr>
            <w:tcW w:w="5670" w:type="dxa"/>
          </w:tcPr>
          <w:p w14:paraId="1125C1D5" w14:textId="77777777" w:rsidR="0071441D" w:rsidRPr="00DE0AD0" w:rsidRDefault="0071441D" w:rsidP="00DE0AD0">
            <w:pPr>
              <w:rPr>
                <w:i/>
              </w:rPr>
            </w:pPr>
            <w:r w:rsidRPr="00DE0AD0">
              <w:rPr>
                <w:i/>
              </w:rPr>
              <w:t>Giorgia Bordignon</w:t>
            </w:r>
          </w:p>
        </w:tc>
      </w:tr>
      <w:tr w:rsidR="0071441D" w:rsidRPr="00DE0AD0" w14:paraId="2A266E2E" w14:textId="77777777" w:rsidTr="001B4992">
        <w:tc>
          <w:tcPr>
            <w:tcW w:w="1418" w:type="dxa"/>
          </w:tcPr>
          <w:p w14:paraId="6D29C70D" w14:textId="77777777" w:rsidR="0071441D" w:rsidRPr="00DE0AD0" w:rsidRDefault="0071441D" w:rsidP="00DE0AD0">
            <w:pPr>
              <w:rPr>
                <w:i/>
              </w:rPr>
            </w:pPr>
            <w:r w:rsidRPr="00DE0AD0">
              <w:rPr>
                <w:i/>
              </w:rPr>
              <w:t>Tel.:</w:t>
            </w:r>
          </w:p>
        </w:tc>
        <w:tc>
          <w:tcPr>
            <w:tcW w:w="5670" w:type="dxa"/>
          </w:tcPr>
          <w:p w14:paraId="76C62280" w14:textId="77777777" w:rsidR="0071441D" w:rsidRPr="00DE0AD0" w:rsidRDefault="0071441D" w:rsidP="00DE0AD0">
            <w:pPr>
              <w:rPr>
                <w:i/>
              </w:rPr>
            </w:pPr>
            <w:r w:rsidRPr="00DE0AD0">
              <w:rPr>
                <w:i/>
              </w:rPr>
              <w:t>+32 25468535</w:t>
            </w:r>
          </w:p>
        </w:tc>
      </w:tr>
      <w:tr w:rsidR="0071441D" w:rsidRPr="00DE0AD0" w14:paraId="3ED6093A" w14:textId="77777777" w:rsidTr="001B4992">
        <w:tc>
          <w:tcPr>
            <w:tcW w:w="1418" w:type="dxa"/>
          </w:tcPr>
          <w:p w14:paraId="1F5DA0EC" w14:textId="77777777" w:rsidR="0071441D" w:rsidRPr="00DE0AD0" w:rsidRDefault="0071441D" w:rsidP="00DE0AD0">
            <w:pPr>
              <w:rPr>
                <w:i/>
              </w:rPr>
            </w:pPr>
            <w:r w:rsidRPr="00DE0AD0">
              <w:rPr>
                <w:i/>
              </w:rPr>
              <w:t>E-mail:</w:t>
            </w:r>
          </w:p>
        </w:tc>
        <w:tc>
          <w:tcPr>
            <w:tcW w:w="5670" w:type="dxa"/>
          </w:tcPr>
          <w:p w14:paraId="65F338C7" w14:textId="77777777" w:rsidR="0071441D" w:rsidRPr="00DE0AD0" w:rsidRDefault="003D4857" w:rsidP="00DE0AD0">
            <w:pPr>
              <w:rPr>
                <w:i/>
              </w:rPr>
            </w:pPr>
            <w:hyperlink r:id="rId39" w:history="1">
              <w:r w:rsidR="0071441D" w:rsidRPr="00DE0AD0">
                <w:rPr>
                  <w:rStyle w:val="Hyperlink"/>
                  <w:i/>
                </w:rPr>
                <w:t>GiorgiaAndrea.Bordignon@eesc.europa.eu</w:t>
              </w:r>
            </w:hyperlink>
          </w:p>
        </w:tc>
      </w:tr>
    </w:tbl>
    <w:p w14:paraId="6182A391" w14:textId="60469AB4" w:rsidR="0071441D" w:rsidRPr="00DE0AD0" w:rsidRDefault="0071441D" w:rsidP="00DE0AD0">
      <w:pPr>
        <w:jc w:val="left"/>
      </w:pPr>
    </w:p>
    <w:p w14:paraId="0FA9C72E" w14:textId="77777777" w:rsidR="0071441D" w:rsidRPr="00DE0AD0" w:rsidRDefault="0071441D" w:rsidP="00DE0AD0">
      <w:pPr>
        <w:jc w:val="left"/>
      </w:pPr>
      <w:r w:rsidRPr="00DE0AD0">
        <w:br w:type="page"/>
      </w:r>
    </w:p>
    <w:p w14:paraId="4982DDF3" w14:textId="77777777" w:rsidR="004D7AC0" w:rsidRPr="00DE0AD0" w:rsidRDefault="004D7AC0" w:rsidP="00DE0AD0">
      <w:pPr>
        <w:pStyle w:val="Heading1"/>
        <w:rPr>
          <w:b/>
        </w:rPr>
      </w:pPr>
      <w:bookmarkStart w:id="8" w:name="_Toc75527083"/>
      <w:bookmarkStart w:id="9" w:name="_Toc220677713"/>
      <w:r w:rsidRPr="00DE0AD0">
        <w:rPr>
          <w:b/>
        </w:rPr>
        <w:lastRenderedPageBreak/>
        <w:t>JEDNOTNÝ TRH, VÝROBA A SPOTŘEBA</w:t>
      </w:r>
      <w:bookmarkEnd w:id="8"/>
      <w:bookmarkEnd w:id="9"/>
    </w:p>
    <w:p w14:paraId="4982DE1E" w14:textId="5D4EED4D" w:rsidR="004D7AC0" w:rsidRPr="00DE0AD0" w:rsidRDefault="004D7AC0" w:rsidP="00DE0AD0">
      <w:pPr>
        <w:jc w:val="left"/>
      </w:pPr>
    </w:p>
    <w:p w14:paraId="0099053E" w14:textId="14BEE972" w:rsidR="00564145" w:rsidRPr="005B137E" w:rsidRDefault="003D4857" w:rsidP="005B137E">
      <w:pPr>
        <w:pStyle w:val="ListParagraph"/>
        <w:widowControl w:val="0"/>
        <w:numPr>
          <w:ilvl w:val="0"/>
          <w:numId w:val="44"/>
        </w:numPr>
        <w:ind w:left="567" w:hanging="567"/>
        <w:rPr>
          <w:b/>
        </w:rPr>
      </w:pPr>
      <w:hyperlink r:id="rId40" w:tgtFrame="_blank" w:history="1">
        <w:r w:rsidR="00564145" w:rsidRPr="005B137E">
          <w:rPr>
            <w:rStyle w:val="Hyperlink"/>
            <w:b/>
            <w:i/>
            <w:sz w:val="28"/>
          </w:rPr>
          <w:t>Prodloužení prozatímního nařízení / Pohlavní zneužívání dětí on-line</w:t>
        </w:r>
      </w:hyperlink>
    </w:p>
    <w:p w14:paraId="096ACA48" w14:textId="77777777" w:rsidR="00564145" w:rsidRPr="00DE0AD0" w:rsidRDefault="00564145" w:rsidP="00DE0AD0">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564145" w:rsidRPr="00DE0AD0" w14:paraId="45ECC5F0" w14:textId="77777777" w:rsidTr="001B4992">
        <w:tc>
          <w:tcPr>
            <w:tcW w:w="9039" w:type="dxa"/>
            <w:gridSpan w:val="2"/>
          </w:tcPr>
          <w:p w14:paraId="60DEECD2" w14:textId="77777777" w:rsidR="00564145" w:rsidRPr="00DE0AD0" w:rsidRDefault="00564145" w:rsidP="00DE0AD0">
            <w:pPr>
              <w:tabs>
                <w:tab w:val="center" w:pos="284"/>
              </w:tabs>
              <w:ind w:left="266" w:hanging="266"/>
              <w:rPr>
                <w:b/>
              </w:rPr>
            </w:pPr>
            <w:r w:rsidRPr="00DE0AD0">
              <w:rPr>
                <w:b/>
              </w:rPr>
              <w:t>Stanovisko kategorie C</w:t>
            </w:r>
          </w:p>
          <w:p w14:paraId="63301043" w14:textId="77777777" w:rsidR="00564145" w:rsidRPr="00BE3088" w:rsidRDefault="00564145" w:rsidP="00DE0AD0">
            <w:pPr>
              <w:tabs>
                <w:tab w:val="center" w:pos="284"/>
              </w:tabs>
              <w:ind w:left="266" w:hanging="266"/>
            </w:pPr>
          </w:p>
        </w:tc>
      </w:tr>
      <w:tr w:rsidR="00564145" w:rsidRPr="00DE0AD0" w14:paraId="5820F08E" w14:textId="77777777" w:rsidTr="001B4992">
        <w:tc>
          <w:tcPr>
            <w:tcW w:w="2235" w:type="dxa"/>
            <w:vMerge w:val="restart"/>
          </w:tcPr>
          <w:p w14:paraId="27725BBC" w14:textId="77777777" w:rsidR="00564145" w:rsidRPr="00DE0AD0" w:rsidRDefault="00564145" w:rsidP="00DE0AD0">
            <w:pPr>
              <w:tabs>
                <w:tab w:val="center" w:pos="284"/>
              </w:tabs>
              <w:ind w:left="266" w:hanging="266"/>
              <w:rPr>
                <w:b/>
              </w:rPr>
            </w:pPr>
            <w:r w:rsidRPr="00DE0AD0">
              <w:rPr>
                <w:b/>
              </w:rPr>
              <w:t>Odkazy</w:t>
            </w:r>
          </w:p>
        </w:tc>
        <w:tc>
          <w:tcPr>
            <w:tcW w:w="6804" w:type="dxa"/>
          </w:tcPr>
          <w:p w14:paraId="628C0253" w14:textId="1923EB75" w:rsidR="00B13B70" w:rsidRDefault="0072178B" w:rsidP="00DE0AD0">
            <w:pPr>
              <w:tabs>
                <w:tab w:val="center" w:pos="284"/>
              </w:tabs>
              <w:ind w:left="266" w:hanging="266"/>
            </w:pPr>
            <w:r w:rsidRPr="00DE0AD0">
              <w:t>stanovisko kategorie C</w:t>
            </w:r>
          </w:p>
          <w:p w14:paraId="69360313" w14:textId="6A7340DB" w:rsidR="00564145" w:rsidRPr="00DE0AD0" w:rsidRDefault="00564145" w:rsidP="00DE0AD0">
            <w:pPr>
              <w:tabs>
                <w:tab w:val="center" w:pos="284"/>
              </w:tabs>
              <w:ind w:left="266" w:hanging="266"/>
            </w:pPr>
            <w:r w:rsidRPr="00DE0AD0">
              <w:t>COM(2025) 797 final – 2025/0429 (COD)</w:t>
            </w:r>
          </w:p>
        </w:tc>
      </w:tr>
      <w:tr w:rsidR="00564145" w:rsidRPr="00DE0AD0" w14:paraId="0871E55A" w14:textId="77777777" w:rsidTr="001B4992">
        <w:tc>
          <w:tcPr>
            <w:tcW w:w="2235" w:type="dxa"/>
            <w:vMerge/>
          </w:tcPr>
          <w:p w14:paraId="02B94CB5" w14:textId="77777777" w:rsidR="00564145" w:rsidRPr="00DE0AD0" w:rsidRDefault="00564145" w:rsidP="00DE0AD0">
            <w:pPr>
              <w:tabs>
                <w:tab w:val="center" w:pos="284"/>
              </w:tabs>
              <w:ind w:left="266" w:hanging="266"/>
              <w:rPr>
                <w:b/>
              </w:rPr>
            </w:pPr>
          </w:p>
        </w:tc>
        <w:tc>
          <w:tcPr>
            <w:tcW w:w="6804" w:type="dxa"/>
          </w:tcPr>
          <w:p w14:paraId="19C07C6B" w14:textId="77777777" w:rsidR="00564145" w:rsidRPr="00DE0AD0" w:rsidRDefault="00564145" w:rsidP="00DE0AD0">
            <w:pPr>
              <w:tabs>
                <w:tab w:val="center" w:pos="284"/>
              </w:tabs>
              <w:ind w:left="266" w:hanging="266"/>
            </w:pPr>
            <w:r w:rsidRPr="00DE0AD0">
              <w:t>EESC-2026-00083-00-00-AC-TRA</w:t>
            </w:r>
          </w:p>
        </w:tc>
      </w:tr>
    </w:tbl>
    <w:p w14:paraId="147854F6" w14:textId="77777777" w:rsidR="00564145" w:rsidRPr="00DE0AD0" w:rsidRDefault="00564145" w:rsidP="00DE0AD0">
      <w:pPr>
        <w:tabs>
          <w:tab w:val="center" w:pos="284"/>
        </w:tabs>
        <w:ind w:left="266" w:hanging="266"/>
      </w:pPr>
    </w:p>
    <w:p w14:paraId="561E7068" w14:textId="77777777" w:rsidR="00564145" w:rsidRPr="00DE0AD0" w:rsidRDefault="00564145" w:rsidP="00DE0AD0">
      <w:pPr>
        <w:rPr>
          <w:bCs/>
          <w:iCs/>
        </w:rPr>
      </w:pPr>
      <w:r w:rsidRPr="00DE0AD0">
        <w:t>EHSV se rozhodl zaujmout k navrhovanému znění příznivé stanovisko.</w:t>
      </w:r>
    </w:p>
    <w:p w14:paraId="68CB368C" w14:textId="77777777" w:rsidR="00564145" w:rsidRPr="00DE0AD0" w:rsidRDefault="00564145" w:rsidP="00DE0AD0">
      <w:pPr>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21"/>
      </w:tblGrid>
      <w:tr w:rsidR="00564145" w:rsidRPr="00DE0AD0" w14:paraId="081DEFC2" w14:textId="77777777" w:rsidTr="001B4992">
        <w:tc>
          <w:tcPr>
            <w:tcW w:w="1418" w:type="dxa"/>
          </w:tcPr>
          <w:p w14:paraId="56F880DC" w14:textId="77777777" w:rsidR="00564145" w:rsidRPr="00DE0AD0" w:rsidRDefault="00564145" w:rsidP="00DE0AD0">
            <w:pPr>
              <w:rPr>
                <w:i/>
              </w:rPr>
            </w:pPr>
            <w:r w:rsidRPr="00DE0AD0">
              <w:rPr>
                <w:b/>
                <w:i/>
              </w:rPr>
              <w:t>Kontakt:</w:t>
            </w:r>
          </w:p>
        </w:tc>
        <w:tc>
          <w:tcPr>
            <w:tcW w:w="7621" w:type="dxa"/>
          </w:tcPr>
          <w:p w14:paraId="16745642" w14:textId="77777777" w:rsidR="00564145" w:rsidRPr="00DE0AD0" w:rsidRDefault="00564145" w:rsidP="00DE0AD0">
            <w:pPr>
              <w:rPr>
                <w:i/>
              </w:rPr>
            </w:pPr>
            <w:r w:rsidRPr="00DE0AD0">
              <w:rPr>
                <w:i/>
              </w:rPr>
              <w:t>Alice Tétu</w:t>
            </w:r>
          </w:p>
        </w:tc>
      </w:tr>
      <w:tr w:rsidR="00564145" w:rsidRPr="00DE0AD0" w14:paraId="31C2FE0A" w14:textId="77777777" w:rsidTr="001B4992">
        <w:tc>
          <w:tcPr>
            <w:tcW w:w="1418" w:type="dxa"/>
          </w:tcPr>
          <w:p w14:paraId="7F83876A" w14:textId="77777777" w:rsidR="00564145" w:rsidRPr="00DE0AD0" w:rsidRDefault="00564145" w:rsidP="00DE0AD0">
            <w:pPr>
              <w:rPr>
                <w:i/>
              </w:rPr>
            </w:pPr>
            <w:r w:rsidRPr="00DE0AD0">
              <w:rPr>
                <w:i/>
              </w:rPr>
              <w:t>Tel.:</w:t>
            </w:r>
          </w:p>
        </w:tc>
        <w:tc>
          <w:tcPr>
            <w:tcW w:w="7621" w:type="dxa"/>
          </w:tcPr>
          <w:p w14:paraId="73EEF892" w14:textId="77777777" w:rsidR="00564145" w:rsidRPr="00DE0AD0" w:rsidRDefault="00564145" w:rsidP="00DE0AD0">
            <w:pPr>
              <w:rPr>
                <w:i/>
              </w:rPr>
            </w:pPr>
            <w:r w:rsidRPr="00DE0AD0">
              <w:rPr>
                <w:i/>
              </w:rPr>
              <w:t>+32 254 68286</w:t>
            </w:r>
          </w:p>
        </w:tc>
      </w:tr>
      <w:tr w:rsidR="00564145" w:rsidRPr="00DE0AD0" w14:paraId="392900AE" w14:textId="77777777" w:rsidTr="001B4992">
        <w:tc>
          <w:tcPr>
            <w:tcW w:w="1418" w:type="dxa"/>
          </w:tcPr>
          <w:p w14:paraId="209888FF" w14:textId="77777777" w:rsidR="00564145" w:rsidRPr="00DE0AD0" w:rsidRDefault="00564145" w:rsidP="00DE0AD0">
            <w:pPr>
              <w:rPr>
                <w:i/>
              </w:rPr>
            </w:pPr>
            <w:r w:rsidRPr="00DE0AD0">
              <w:rPr>
                <w:i/>
              </w:rPr>
              <w:t>E-mail:</w:t>
            </w:r>
          </w:p>
        </w:tc>
        <w:tc>
          <w:tcPr>
            <w:tcW w:w="7621" w:type="dxa"/>
          </w:tcPr>
          <w:p w14:paraId="16CC5D6E" w14:textId="77777777" w:rsidR="00564145" w:rsidRPr="00DE0AD0" w:rsidRDefault="003D4857" w:rsidP="00DE0AD0">
            <w:pPr>
              <w:rPr>
                <w:i/>
              </w:rPr>
            </w:pPr>
            <w:hyperlink r:id="rId41" w:history="1">
              <w:r w:rsidR="00564145" w:rsidRPr="00DE0AD0">
                <w:rPr>
                  <w:rStyle w:val="Hyperlink"/>
                  <w:i/>
                </w:rPr>
                <w:t>Alice.Tetu@eesc.europa.eu</w:t>
              </w:r>
            </w:hyperlink>
          </w:p>
        </w:tc>
      </w:tr>
    </w:tbl>
    <w:p w14:paraId="750BE421" w14:textId="77777777" w:rsidR="00564145" w:rsidRPr="00DE0AD0" w:rsidRDefault="00564145" w:rsidP="00DE0AD0">
      <w:pPr>
        <w:jc w:val="center"/>
      </w:pPr>
    </w:p>
    <w:p w14:paraId="37F27E9C" w14:textId="402D796B" w:rsidR="00564145" w:rsidRPr="00DE0AD0" w:rsidRDefault="00564145" w:rsidP="00DE0AD0">
      <w:pPr>
        <w:jc w:val="left"/>
      </w:pPr>
      <w:r w:rsidRPr="00DE0AD0">
        <w:br w:type="page"/>
      </w:r>
    </w:p>
    <w:p w14:paraId="7D0CDDD6" w14:textId="77777777" w:rsidR="00564145" w:rsidRPr="00DE0AD0" w:rsidRDefault="00564145" w:rsidP="00DE0AD0">
      <w:pPr>
        <w:widowControl w:val="0"/>
        <w:jc w:val="center"/>
        <w:rPr>
          <w:bCs/>
          <w:iCs/>
        </w:rPr>
      </w:pPr>
    </w:p>
    <w:p w14:paraId="71A74B0F" w14:textId="73898C57" w:rsidR="00564145" w:rsidRPr="003A44F6" w:rsidRDefault="003D4857" w:rsidP="003A44F6">
      <w:pPr>
        <w:pStyle w:val="ListParagraph"/>
        <w:widowControl w:val="0"/>
        <w:numPr>
          <w:ilvl w:val="0"/>
          <w:numId w:val="45"/>
        </w:numPr>
        <w:overflowPunct w:val="0"/>
        <w:autoSpaceDE w:val="0"/>
        <w:autoSpaceDN w:val="0"/>
        <w:adjustRightInd w:val="0"/>
        <w:ind w:left="567" w:hanging="567"/>
        <w:textAlignment w:val="baseline"/>
        <w:rPr>
          <w:i/>
          <w:iCs/>
          <w:sz w:val="28"/>
          <w:szCs w:val="28"/>
        </w:rPr>
      </w:pPr>
      <w:hyperlink r:id="rId42" w:history="1">
        <w:r w:rsidR="00564145" w:rsidRPr="003A44F6">
          <w:rPr>
            <w:rStyle w:val="Hyperlink"/>
            <w:b/>
            <w:i/>
            <w:sz w:val="28"/>
          </w:rPr>
          <w:t>Program pro jednotn</w:t>
        </w:r>
        <w:r w:rsidR="00564145" w:rsidRPr="003A44F6">
          <w:rPr>
            <w:rStyle w:val="Hyperlink"/>
            <w:b/>
            <w:i/>
            <w:sz w:val="28"/>
          </w:rPr>
          <w:t>ý</w:t>
        </w:r>
        <w:r w:rsidR="00564145" w:rsidRPr="003A44F6">
          <w:rPr>
            <w:rStyle w:val="Hyperlink"/>
            <w:b/>
            <w:i/>
            <w:sz w:val="28"/>
          </w:rPr>
          <w:t xml:space="preserve"> trh a cla na období 2028–2034</w:t>
        </w:r>
      </w:hyperlink>
    </w:p>
    <w:p w14:paraId="39F76314" w14:textId="77777777" w:rsidR="00564145" w:rsidRPr="00DE0AD0" w:rsidRDefault="00564145" w:rsidP="00DE0AD0">
      <w:pPr>
        <w:tabs>
          <w:tab w:val="center" w:pos="284"/>
        </w:tabs>
        <w:ind w:left="266" w:hanging="266"/>
        <w:rPr>
          <w:b/>
          <w:lang w:val="en-US"/>
        </w:rPr>
      </w:pPr>
    </w:p>
    <w:tbl>
      <w:tblPr>
        <w:tblStyle w:val="TableGrid"/>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238"/>
      </w:tblGrid>
      <w:tr w:rsidR="00564145" w:rsidRPr="00DE0AD0" w14:paraId="3B2D4C23" w14:textId="77777777" w:rsidTr="001B4992">
        <w:trPr>
          <w:trHeight w:val="406"/>
        </w:trPr>
        <w:tc>
          <w:tcPr>
            <w:tcW w:w="1229" w:type="pct"/>
          </w:tcPr>
          <w:p w14:paraId="62A0CE01" w14:textId="77777777" w:rsidR="00564145" w:rsidRPr="00DE0AD0" w:rsidRDefault="00564145" w:rsidP="00DE0AD0">
            <w:pPr>
              <w:tabs>
                <w:tab w:val="center" w:pos="284"/>
              </w:tabs>
              <w:ind w:left="266" w:hanging="266"/>
              <w:rPr>
                <w:b/>
              </w:rPr>
            </w:pPr>
            <w:r w:rsidRPr="00DE0AD0">
              <w:rPr>
                <w:b/>
              </w:rPr>
              <w:t>Zpravodaj</w:t>
            </w:r>
          </w:p>
        </w:tc>
        <w:tc>
          <w:tcPr>
            <w:tcW w:w="3771" w:type="pct"/>
          </w:tcPr>
          <w:p w14:paraId="6FFFD01B" w14:textId="77777777" w:rsidR="00564145" w:rsidRDefault="00564145" w:rsidP="00DE0AD0">
            <w:pPr>
              <w:tabs>
                <w:tab w:val="center" w:pos="0"/>
              </w:tabs>
              <w:ind w:left="266" w:hanging="266"/>
            </w:pPr>
            <w:r w:rsidRPr="00DE0AD0">
              <w:t>Vasco DE MELLO (Zaměstnavatelé – PT)</w:t>
            </w:r>
          </w:p>
          <w:p w14:paraId="4E0BF11A" w14:textId="479D1372" w:rsidR="002F7FCC" w:rsidRPr="00DE0AD0" w:rsidRDefault="002F7FCC" w:rsidP="00DE0AD0">
            <w:pPr>
              <w:tabs>
                <w:tab w:val="center" w:pos="0"/>
              </w:tabs>
              <w:ind w:left="266" w:hanging="266"/>
            </w:pPr>
          </w:p>
        </w:tc>
      </w:tr>
      <w:tr w:rsidR="00564145" w:rsidRPr="00DE0AD0" w14:paraId="225F468F" w14:textId="77777777" w:rsidTr="001B4992">
        <w:tc>
          <w:tcPr>
            <w:tcW w:w="1229" w:type="pct"/>
          </w:tcPr>
          <w:p w14:paraId="53CE9E73" w14:textId="77777777" w:rsidR="00564145" w:rsidRPr="00DE0AD0" w:rsidRDefault="00564145" w:rsidP="00DE0AD0">
            <w:pPr>
              <w:tabs>
                <w:tab w:val="center" w:pos="284"/>
              </w:tabs>
              <w:ind w:left="266" w:hanging="266"/>
              <w:rPr>
                <w:b/>
              </w:rPr>
            </w:pPr>
            <w:r w:rsidRPr="00DE0AD0">
              <w:rPr>
                <w:b/>
              </w:rPr>
              <w:t>Odkazy</w:t>
            </w:r>
          </w:p>
        </w:tc>
        <w:tc>
          <w:tcPr>
            <w:tcW w:w="3771" w:type="pct"/>
          </w:tcPr>
          <w:p w14:paraId="38A18369" w14:textId="77777777" w:rsidR="00564145" w:rsidRPr="00DE0AD0" w:rsidRDefault="00564145" w:rsidP="00DE0AD0">
            <w:r w:rsidRPr="00DE0AD0">
              <w:t>COM(2025) 590 final – 2025/0590 (COD)</w:t>
            </w:r>
          </w:p>
          <w:p w14:paraId="273B209F" w14:textId="77777777" w:rsidR="00564145" w:rsidRPr="00DE0AD0" w:rsidRDefault="00564145" w:rsidP="00DE0AD0">
            <w:r w:rsidRPr="00DE0AD0">
              <w:t>EESC-2025-03307-00-00-AC</w:t>
            </w:r>
          </w:p>
        </w:tc>
      </w:tr>
    </w:tbl>
    <w:p w14:paraId="3C22AAC6" w14:textId="77777777" w:rsidR="00564145" w:rsidRPr="00DE0AD0" w:rsidRDefault="00564145" w:rsidP="00DE0AD0">
      <w:pPr>
        <w:keepNext/>
        <w:keepLines/>
        <w:tabs>
          <w:tab w:val="center" w:pos="284"/>
        </w:tabs>
        <w:ind w:left="266" w:hanging="266"/>
        <w:rPr>
          <w:b/>
          <w:lang w:val="pt-PT"/>
        </w:rPr>
      </w:pPr>
    </w:p>
    <w:p w14:paraId="18FE4B11" w14:textId="77777777" w:rsidR="00564145" w:rsidRPr="00DE0AD0" w:rsidRDefault="00564145" w:rsidP="00DE0AD0">
      <w:pPr>
        <w:keepNext/>
        <w:keepLines/>
        <w:tabs>
          <w:tab w:val="center" w:pos="284"/>
        </w:tabs>
        <w:ind w:left="266" w:hanging="266"/>
        <w:rPr>
          <w:b/>
        </w:rPr>
      </w:pPr>
      <w:r w:rsidRPr="00DE0AD0">
        <w:rPr>
          <w:b/>
        </w:rPr>
        <w:t>Hlavní body</w:t>
      </w:r>
    </w:p>
    <w:p w14:paraId="6E929C8C" w14:textId="77777777" w:rsidR="00564145" w:rsidRPr="00DE0AD0" w:rsidRDefault="00564145" w:rsidP="00DE0AD0">
      <w:pPr>
        <w:keepNext/>
        <w:keepLines/>
        <w:tabs>
          <w:tab w:val="center" w:pos="284"/>
        </w:tabs>
        <w:ind w:left="266" w:hanging="266"/>
        <w:rPr>
          <w:bCs/>
        </w:rPr>
      </w:pPr>
    </w:p>
    <w:p w14:paraId="098C8ABE" w14:textId="77777777" w:rsidR="00564145" w:rsidRPr="00DE0AD0" w:rsidRDefault="00564145" w:rsidP="00DE0AD0">
      <w:pPr>
        <w:rPr>
          <w:bCs/>
          <w:iCs/>
        </w:rPr>
      </w:pPr>
      <w:r w:rsidRPr="00DE0AD0">
        <w:t>EHSV:</w:t>
      </w:r>
    </w:p>
    <w:p w14:paraId="6FB35371" w14:textId="77777777" w:rsidR="00564145" w:rsidRPr="00DE0AD0" w:rsidRDefault="00564145" w:rsidP="00DE0AD0">
      <w:pPr>
        <w:rPr>
          <w:bCs/>
          <w:iCs/>
        </w:rPr>
      </w:pPr>
    </w:p>
    <w:p w14:paraId="4D950DA3" w14:textId="77777777" w:rsidR="00564145" w:rsidRPr="00DE0AD0" w:rsidRDefault="00564145" w:rsidP="002362BA">
      <w:pPr>
        <w:pStyle w:val="NormalWeb"/>
        <w:numPr>
          <w:ilvl w:val="0"/>
          <w:numId w:val="33"/>
        </w:numPr>
        <w:spacing w:before="0" w:beforeAutospacing="0" w:after="0" w:afterAutospacing="0" w:line="288" w:lineRule="auto"/>
        <w:ind w:left="567" w:hanging="567"/>
        <w:jc w:val="both"/>
        <w:rPr>
          <w:sz w:val="22"/>
          <w:szCs w:val="22"/>
        </w:rPr>
      </w:pPr>
      <w:r w:rsidRPr="00DE0AD0">
        <w:rPr>
          <w:sz w:val="22"/>
        </w:rPr>
        <w:t xml:space="preserve">má za to, že program </w:t>
      </w:r>
      <w:r w:rsidRPr="00DE0AD0">
        <w:rPr>
          <w:b/>
          <w:bCs/>
          <w:sz w:val="22"/>
        </w:rPr>
        <w:t>má správnou strategii, neboť obsahuje opatření a podporu</w:t>
      </w:r>
      <w:r w:rsidRPr="00DE0AD0">
        <w:rPr>
          <w:sz w:val="22"/>
        </w:rPr>
        <w:t xml:space="preserve"> zaměřené na posílení a zlepšení spolupráce mezi Komisí a členskými státy i vzájemné spolupráce mezi členskými státy v otázkách týkajících se jednotného trhu, celní unie, daní a boje proti podvodům;</w:t>
      </w:r>
    </w:p>
    <w:p w14:paraId="6A38FC28" w14:textId="77777777" w:rsidR="00564145" w:rsidRPr="00DE0AD0" w:rsidRDefault="00564145" w:rsidP="002362BA">
      <w:pPr>
        <w:pStyle w:val="NormalWeb"/>
        <w:numPr>
          <w:ilvl w:val="0"/>
          <w:numId w:val="33"/>
        </w:numPr>
        <w:spacing w:before="0" w:beforeAutospacing="0" w:after="0" w:afterAutospacing="0" w:line="288" w:lineRule="auto"/>
        <w:ind w:left="567" w:hanging="567"/>
        <w:jc w:val="both"/>
        <w:rPr>
          <w:sz w:val="22"/>
          <w:szCs w:val="22"/>
        </w:rPr>
      </w:pPr>
      <w:r w:rsidRPr="00DE0AD0">
        <w:rPr>
          <w:sz w:val="22"/>
        </w:rPr>
        <w:t>vyzývá Evropskou komisi, aby členské státy vybídla k </w:t>
      </w:r>
      <w:r w:rsidRPr="00DE0AD0">
        <w:rPr>
          <w:b/>
          <w:bCs/>
          <w:sz w:val="22"/>
        </w:rPr>
        <w:t>posílení lidských zdrojů v oblasti celní správy a daňových úřadů, jež vybírají cla a daně</w:t>
      </w:r>
      <w:r w:rsidRPr="00DE0AD0">
        <w:rPr>
          <w:sz w:val="22"/>
        </w:rPr>
        <w:t>, a to zejména v těch členských státech, které dovážejí nejvíce zboží z Asie, a pokud jde o zásilky doručované prostřednictvím digitálních platforem sídlících v Asii;</w:t>
      </w:r>
    </w:p>
    <w:p w14:paraId="272E717C" w14:textId="77777777" w:rsidR="00564145" w:rsidRPr="00DE0AD0" w:rsidRDefault="00564145" w:rsidP="002362BA">
      <w:pPr>
        <w:pStyle w:val="NormalWeb"/>
        <w:numPr>
          <w:ilvl w:val="0"/>
          <w:numId w:val="33"/>
        </w:numPr>
        <w:spacing w:before="0" w:beforeAutospacing="0" w:after="0" w:afterAutospacing="0" w:line="288" w:lineRule="auto"/>
        <w:ind w:left="567" w:hanging="567"/>
        <w:jc w:val="both"/>
        <w:rPr>
          <w:sz w:val="22"/>
          <w:szCs w:val="22"/>
        </w:rPr>
      </w:pPr>
      <w:r w:rsidRPr="00DE0AD0">
        <w:rPr>
          <w:b/>
          <w:bCs/>
          <w:sz w:val="22"/>
        </w:rPr>
        <w:t>vyzývá k tomu, aby zjednodušení právních předpisů EU</w:t>
      </w:r>
      <w:r w:rsidRPr="00DE0AD0">
        <w:rPr>
          <w:sz w:val="22"/>
        </w:rPr>
        <w:t xml:space="preserve"> bylo doprovázeno také zjednodušením právních předpisů jednotlivých členských států, tak aby tyto vnitrostátní předpisy nekomplikovaly ani občanům, ani podnikům uplatňování pravidel;</w:t>
      </w:r>
    </w:p>
    <w:p w14:paraId="3BC46B8D" w14:textId="77777777" w:rsidR="00564145" w:rsidRPr="00DE0AD0" w:rsidRDefault="00564145" w:rsidP="002362BA">
      <w:pPr>
        <w:pStyle w:val="NormalWeb"/>
        <w:numPr>
          <w:ilvl w:val="0"/>
          <w:numId w:val="33"/>
        </w:numPr>
        <w:spacing w:before="0" w:beforeAutospacing="0" w:after="0" w:afterAutospacing="0" w:line="288" w:lineRule="auto"/>
        <w:ind w:left="567" w:hanging="567"/>
        <w:jc w:val="both"/>
        <w:rPr>
          <w:sz w:val="22"/>
          <w:szCs w:val="22"/>
        </w:rPr>
      </w:pPr>
      <w:r w:rsidRPr="00DE0AD0">
        <w:rPr>
          <w:b/>
          <w:bCs/>
          <w:sz w:val="22"/>
        </w:rPr>
        <w:t>doporučuje, aby digitalizace postupů</w:t>
      </w:r>
      <w:r w:rsidRPr="00DE0AD0">
        <w:rPr>
          <w:sz w:val="22"/>
        </w:rPr>
        <w:t>, kterými se mají řídit občané a podniky, neznamenala zvýšení složitosti a nárůst povinností občanů či podniků v oblasti podávání zpráv či povinností jiného rázu;</w:t>
      </w:r>
    </w:p>
    <w:p w14:paraId="795EE154" w14:textId="77777777" w:rsidR="00564145" w:rsidRPr="00DE0AD0" w:rsidRDefault="00564145" w:rsidP="002362BA">
      <w:pPr>
        <w:pStyle w:val="NormalWeb"/>
        <w:numPr>
          <w:ilvl w:val="0"/>
          <w:numId w:val="33"/>
        </w:numPr>
        <w:spacing w:before="0" w:beforeAutospacing="0" w:after="0" w:afterAutospacing="0" w:line="288" w:lineRule="auto"/>
        <w:ind w:left="567" w:hanging="567"/>
        <w:jc w:val="both"/>
        <w:rPr>
          <w:bCs/>
          <w:iCs/>
        </w:rPr>
      </w:pPr>
      <w:r w:rsidRPr="00DE0AD0">
        <w:rPr>
          <w:b/>
          <w:bCs/>
          <w:sz w:val="22"/>
        </w:rPr>
        <w:t>se domnívá, že je důležité podporovat sdružení spotřebitelů</w:t>
      </w:r>
      <w:r w:rsidRPr="00DE0AD0">
        <w:rPr>
          <w:sz w:val="22"/>
        </w:rPr>
        <w:t>, neboť tyto organizace plní klíčovou úlohu, a to jak v rámci subjektů zabývajících se řešením spotřebitelských sporů, tak pokud jde o dohled nad souladem výrobků prodávaných na vnitřním trhu s předpisy, a rovněž v rámci boje proti finanční negramotnosti.</w:t>
      </w:r>
    </w:p>
    <w:p w14:paraId="72E9B2E7" w14:textId="77777777" w:rsidR="00564145" w:rsidRPr="00DE0AD0" w:rsidRDefault="00564145" w:rsidP="00DE0AD0">
      <w:pPr>
        <w:rPr>
          <w:bCs/>
          <w:iCs/>
        </w:rPr>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8"/>
      </w:tblGrid>
      <w:tr w:rsidR="00564145" w:rsidRPr="00DE0AD0" w14:paraId="1B40FFB0" w14:textId="77777777" w:rsidTr="001B4992">
        <w:tc>
          <w:tcPr>
            <w:tcW w:w="1059" w:type="pct"/>
          </w:tcPr>
          <w:p w14:paraId="0A814175" w14:textId="3979DF30" w:rsidR="00564145" w:rsidRPr="00DE0AD0" w:rsidRDefault="00564145" w:rsidP="00DE0AD0">
            <w:pPr>
              <w:rPr>
                <w:i/>
              </w:rPr>
            </w:pPr>
            <w:r w:rsidRPr="00DE0AD0">
              <w:rPr>
                <w:b/>
                <w:i/>
              </w:rPr>
              <w:t>Kontakt</w:t>
            </w:r>
            <w:r w:rsidR="003A44F6">
              <w:rPr>
                <w:b/>
                <w:i/>
              </w:rPr>
              <w:t>:</w:t>
            </w:r>
          </w:p>
        </w:tc>
        <w:tc>
          <w:tcPr>
            <w:tcW w:w="3941" w:type="pct"/>
          </w:tcPr>
          <w:p w14:paraId="1BB8CA99" w14:textId="51A990D4" w:rsidR="00564145" w:rsidRPr="00DE0AD0" w:rsidRDefault="00564145" w:rsidP="00DE0AD0">
            <w:pPr>
              <w:rPr>
                <w:i/>
              </w:rPr>
            </w:pPr>
            <w:r w:rsidRPr="00DE0AD0">
              <w:rPr>
                <w:i/>
              </w:rPr>
              <w:t xml:space="preserve">Marco </w:t>
            </w:r>
            <w:r w:rsidR="003A44F6" w:rsidRPr="00DE0AD0">
              <w:rPr>
                <w:i/>
              </w:rPr>
              <w:t>Manfroni</w:t>
            </w:r>
          </w:p>
        </w:tc>
      </w:tr>
      <w:tr w:rsidR="00564145" w:rsidRPr="00DE0AD0" w14:paraId="4DC8E9C5" w14:textId="77777777" w:rsidTr="001B4992">
        <w:tc>
          <w:tcPr>
            <w:tcW w:w="1059" w:type="pct"/>
          </w:tcPr>
          <w:p w14:paraId="279DCDF1" w14:textId="1374049D" w:rsidR="00564145" w:rsidRPr="00DE0AD0" w:rsidRDefault="00564145" w:rsidP="00DE0AD0">
            <w:pPr>
              <w:rPr>
                <w:i/>
              </w:rPr>
            </w:pPr>
            <w:r w:rsidRPr="00DE0AD0">
              <w:rPr>
                <w:i/>
              </w:rPr>
              <w:t>Tel.</w:t>
            </w:r>
            <w:r w:rsidR="003A44F6">
              <w:rPr>
                <w:i/>
              </w:rPr>
              <w:t>:</w:t>
            </w:r>
          </w:p>
        </w:tc>
        <w:tc>
          <w:tcPr>
            <w:tcW w:w="3941" w:type="pct"/>
          </w:tcPr>
          <w:p w14:paraId="6BF26992" w14:textId="77777777" w:rsidR="00564145" w:rsidRPr="00DE0AD0" w:rsidRDefault="00564145" w:rsidP="00DE0AD0">
            <w:pPr>
              <w:rPr>
                <w:i/>
              </w:rPr>
            </w:pPr>
            <w:r w:rsidRPr="00DE0AD0">
              <w:rPr>
                <w:i/>
              </w:rPr>
              <w:t>+ 32 25469140</w:t>
            </w:r>
          </w:p>
        </w:tc>
      </w:tr>
      <w:tr w:rsidR="00564145" w:rsidRPr="00DE0AD0" w14:paraId="7E1427A6" w14:textId="77777777" w:rsidTr="001B4992">
        <w:tc>
          <w:tcPr>
            <w:tcW w:w="1059" w:type="pct"/>
          </w:tcPr>
          <w:p w14:paraId="2FBCFB6A" w14:textId="64E1BC25" w:rsidR="00564145" w:rsidRPr="00DE0AD0" w:rsidRDefault="00564145" w:rsidP="00DE0AD0">
            <w:pPr>
              <w:rPr>
                <w:i/>
              </w:rPr>
            </w:pPr>
            <w:r w:rsidRPr="00DE0AD0">
              <w:rPr>
                <w:i/>
              </w:rPr>
              <w:t>E-mail</w:t>
            </w:r>
            <w:r w:rsidR="003A44F6">
              <w:rPr>
                <w:i/>
              </w:rPr>
              <w:t>:</w:t>
            </w:r>
          </w:p>
        </w:tc>
        <w:tc>
          <w:tcPr>
            <w:tcW w:w="3941" w:type="pct"/>
          </w:tcPr>
          <w:p w14:paraId="0005EAFA" w14:textId="77777777" w:rsidR="00564145" w:rsidRPr="00DE0AD0" w:rsidRDefault="003D4857" w:rsidP="00DE0AD0">
            <w:pPr>
              <w:rPr>
                <w:i/>
                <w:iCs/>
              </w:rPr>
            </w:pPr>
            <w:hyperlink r:id="rId43" w:history="1">
              <w:r w:rsidR="00564145" w:rsidRPr="00DE0AD0">
                <w:rPr>
                  <w:rStyle w:val="Hyperlink"/>
                  <w:i/>
                </w:rPr>
                <w:t>Marco.Manfroni@eesc.europa.eu</w:t>
              </w:r>
            </w:hyperlink>
          </w:p>
        </w:tc>
      </w:tr>
    </w:tbl>
    <w:p w14:paraId="2B97E3DA" w14:textId="4903F037" w:rsidR="00564145" w:rsidRPr="00DE0AD0" w:rsidRDefault="00564145" w:rsidP="00DE0AD0">
      <w:pPr>
        <w:jc w:val="left"/>
      </w:pPr>
    </w:p>
    <w:p w14:paraId="372339E3" w14:textId="77777777" w:rsidR="00564145" w:rsidRPr="00DE0AD0" w:rsidRDefault="00564145" w:rsidP="00DE0AD0">
      <w:pPr>
        <w:jc w:val="left"/>
      </w:pPr>
      <w:r w:rsidRPr="00DE0AD0">
        <w:br w:type="page"/>
      </w:r>
    </w:p>
    <w:p w14:paraId="5D708404" w14:textId="717A0334" w:rsidR="00564145" w:rsidRPr="00B64DCF" w:rsidRDefault="003D4857" w:rsidP="00B64DCF">
      <w:pPr>
        <w:pStyle w:val="ListParagraph"/>
        <w:widowControl w:val="0"/>
        <w:numPr>
          <w:ilvl w:val="0"/>
          <w:numId w:val="45"/>
        </w:numPr>
        <w:overflowPunct w:val="0"/>
        <w:autoSpaceDE w:val="0"/>
        <w:autoSpaceDN w:val="0"/>
        <w:adjustRightInd w:val="0"/>
        <w:ind w:left="567" w:hanging="567"/>
        <w:textAlignment w:val="baseline"/>
        <w:rPr>
          <w:rStyle w:val="Hyperlink"/>
          <w:b/>
        </w:rPr>
      </w:pPr>
      <w:hyperlink r:id="rId44" w:tgtFrame="_blank" w:history="1">
        <w:r w:rsidR="00564145" w:rsidRPr="00B64DCF">
          <w:rPr>
            <w:rStyle w:val="Hyperlink"/>
            <w:b/>
            <w:i/>
            <w:sz w:val="28"/>
          </w:rPr>
          <w:t>Kvantová stra</w:t>
        </w:r>
        <w:r w:rsidR="00564145" w:rsidRPr="00B64DCF">
          <w:rPr>
            <w:rStyle w:val="Hyperlink"/>
            <w:b/>
            <w:i/>
            <w:sz w:val="28"/>
          </w:rPr>
          <w:t>t</w:t>
        </w:r>
        <w:r w:rsidR="00564145" w:rsidRPr="00B64DCF">
          <w:rPr>
            <w:rStyle w:val="Hyperlink"/>
            <w:b/>
            <w:i/>
            <w:sz w:val="28"/>
          </w:rPr>
          <w:t>egie</w:t>
        </w:r>
      </w:hyperlink>
    </w:p>
    <w:p w14:paraId="40858364" w14:textId="77777777" w:rsidR="00564145" w:rsidRPr="00DE0AD0" w:rsidRDefault="00564145" w:rsidP="00DE0AD0">
      <w:pPr>
        <w:widowControl w:val="0"/>
        <w:ind w:left="266"/>
        <w:rPr>
          <w:b/>
        </w:rPr>
      </w:pP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6820"/>
      </w:tblGrid>
      <w:tr w:rsidR="00564145" w:rsidRPr="00DE0AD0" w14:paraId="46484B4D" w14:textId="77777777" w:rsidTr="001B4992">
        <w:tc>
          <w:tcPr>
            <w:tcW w:w="1148" w:type="pct"/>
          </w:tcPr>
          <w:p w14:paraId="5D0E696B" w14:textId="77777777" w:rsidR="00564145" w:rsidRPr="00DE0AD0" w:rsidRDefault="00564145" w:rsidP="00DE0AD0">
            <w:pPr>
              <w:tabs>
                <w:tab w:val="center" w:pos="284"/>
              </w:tabs>
              <w:ind w:left="266" w:hanging="376"/>
              <w:rPr>
                <w:b/>
              </w:rPr>
            </w:pPr>
            <w:r w:rsidRPr="00DE0AD0">
              <w:rPr>
                <w:b/>
              </w:rPr>
              <w:t>Zpravodaj</w:t>
            </w:r>
          </w:p>
        </w:tc>
        <w:tc>
          <w:tcPr>
            <w:tcW w:w="3852" w:type="pct"/>
          </w:tcPr>
          <w:p w14:paraId="0CEF22C3" w14:textId="77777777" w:rsidR="00564145" w:rsidRPr="00DE0AD0" w:rsidRDefault="00564145" w:rsidP="00DE0AD0">
            <w:pPr>
              <w:tabs>
                <w:tab w:val="center" w:pos="284"/>
              </w:tabs>
              <w:ind w:left="266" w:hanging="266"/>
            </w:pPr>
            <w:r w:rsidRPr="00DE0AD0">
              <w:t>Maurizio MENSI (Organizace občanské společnosti – IT)</w:t>
            </w:r>
          </w:p>
          <w:p w14:paraId="4D15541A" w14:textId="77777777" w:rsidR="00564145" w:rsidRPr="00DE0AD0" w:rsidRDefault="00564145" w:rsidP="00DE0AD0">
            <w:pPr>
              <w:tabs>
                <w:tab w:val="center" w:pos="284"/>
              </w:tabs>
              <w:ind w:left="266" w:hanging="266"/>
              <w:rPr>
                <w:lang w:val="en-US"/>
              </w:rPr>
            </w:pPr>
          </w:p>
        </w:tc>
      </w:tr>
      <w:tr w:rsidR="00564145" w:rsidRPr="00DE0AD0" w14:paraId="6C3819B8" w14:textId="77777777" w:rsidTr="001B4992">
        <w:tc>
          <w:tcPr>
            <w:tcW w:w="1148" w:type="pct"/>
            <w:vMerge w:val="restart"/>
          </w:tcPr>
          <w:p w14:paraId="5E7DAB5A" w14:textId="77777777" w:rsidR="00564145" w:rsidRPr="00DE0AD0" w:rsidRDefault="00564145" w:rsidP="00DE0AD0">
            <w:pPr>
              <w:tabs>
                <w:tab w:val="center" w:pos="284"/>
              </w:tabs>
              <w:ind w:left="266" w:hanging="376"/>
              <w:rPr>
                <w:b/>
              </w:rPr>
            </w:pPr>
            <w:r w:rsidRPr="00DE0AD0">
              <w:rPr>
                <w:b/>
              </w:rPr>
              <w:t>Odkazy</w:t>
            </w:r>
          </w:p>
        </w:tc>
        <w:tc>
          <w:tcPr>
            <w:tcW w:w="3852" w:type="pct"/>
          </w:tcPr>
          <w:p w14:paraId="1623887E" w14:textId="77777777" w:rsidR="00564145" w:rsidRPr="00DE0AD0" w:rsidRDefault="00564145" w:rsidP="00DE0AD0">
            <w:pPr>
              <w:tabs>
                <w:tab w:val="center" w:pos="284"/>
              </w:tabs>
              <w:ind w:left="266" w:hanging="266"/>
            </w:pPr>
            <w:r w:rsidRPr="00DE0AD0">
              <w:t>COM(2025) 363 final</w:t>
            </w:r>
          </w:p>
        </w:tc>
      </w:tr>
      <w:tr w:rsidR="00564145" w:rsidRPr="00DE0AD0" w14:paraId="522BFAA4" w14:textId="77777777" w:rsidTr="001B4992">
        <w:tc>
          <w:tcPr>
            <w:tcW w:w="1148" w:type="pct"/>
            <w:vMerge/>
          </w:tcPr>
          <w:p w14:paraId="3F3FA0C7" w14:textId="77777777" w:rsidR="00564145" w:rsidRPr="00DE0AD0" w:rsidRDefault="00564145" w:rsidP="00DE0AD0">
            <w:pPr>
              <w:tabs>
                <w:tab w:val="center" w:pos="284"/>
              </w:tabs>
              <w:ind w:left="266" w:hanging="266"/>
              <w:rPr>
                <w:b/>
                <w:lang w:val="en-US"/>
              </w:rPr>
            </w:pPr>
          </w:p>
        </w:tc>
        <w:tc>
          <w:tcPr>
            <w:tcW w:w="3852" w:type="pct"/>
          </w:tcPr>
          <w:p w14:paraId="0707D2BB" w14:textId="77777777" w:rsidR="00564145" w:rsidRPr="00DE0AD0" w:rsidRDefault="00564145" w:rsidP="00DE0AD0">
            <w:pPr>
              <w:tabs>
                <w:tab w:val="center" w:pos="284"/>
              </w:tabs>
              <w:ind w:left="266" w:hanging="266"/>
            </w:pPr>
            <w:r w:rsidRPr="00DE0AD0">
              <w:t>EESC-2025-02334-00-00-AC</w:t>
            </w:r>
          </w:p>
        </w:tc>
      </w:tr>
    </w:tbl>
    <w:p w14:paraId="7C3B53F2" w14:textId="77777777" w:rsidR="00564145" w:rsidRPr="00DE0AD0" w:rsidRDefault="00564145" w:rsidP="00DE0AD0">
      <w:pPr>
        <w:tabs>
          <w:tab w:val="center" w:pos="284"/>
        </w:tabs>
        <w:ind w:left="266" w:hanging="266"/>
      </w:pPr>
    </w:p>
    <w:p w14:paraId="0B105A1C" w14:textId="77777777" w:rsidR="00564145" w:rsidRPr="00DE0AD0" w:rsidRDefault="00564145" w:rsidP="00DE0AD0">
      <w:pPr>
        <w:keepNext/>
        <w:keepLines/>
        <w:tabs>
          <w:tab w:val="center" w:pos="284"/>
        </w:tabs>
        <w:ind w:left="266" w:hanging="266"/>
        <w:rPr>
          <w:b/>
        </w:rPr>
      </w:pPr>
      <w:r w:rsidRPr="00DE0AD0">
        <w:rPr>
          <w:b/>
        </w:rPr>
        <w:t>Hlavní body</w:t>
      </w:r>
    </w:p>
    <w:p w14:paraId="0D5DACEE" w14:textId="77777777" w:rsidR="00564145" w:rsidRPr="00DE0AD0" w:rsidRDefault="00564145" w:rsidP="00DE0AD0">
      <w:pPr>
        <w:keepNext/>
        <w:keepLines/>
        <w:tabs>
          <w:tab w:val="center" w:pos="284"/>
        </w:tabs>
        <w:ind w:left="266" w:hanging="266"/>
        <w:rPr>
          <w:b/>
        </w:rPr>
      </w:pPr>
    </w:p>
    <w:p w14:paraId="5DBFE83F" w14:textId="77777777" w:rsidR="00564145" w:rsidRPr="00DE0AD0" w:rsidRDefault="00564145" w:rsidP="00DE0AD0">
      <w:pPr>
        <w:rPr>
          <w:bCs/>
          <w:iCs/>
        </w:rPr>
      </w:pPr>
      <w:r w:rsidRPr="00DE0AD0">
        <w:t>EHSV:</w:t>
      </w:r>
    </w:p>
    <w:p w14:paraId="263DA529" w14:textId="77777777" w:rsidR="00564145" w:rsidRPr="00DE0AD0" w:rsidRDefault="00564145" w:rsidP="00DE0AD0">
      <w:pPr>
        <w:rPr>
          <w:bCs/>
          <w:iCs/>
        </w:rPr>
      </w:pPr>
    </w:p>
    <w:p w14:paraId="25F5DB6E" w14:textId="77777777" w:rsidR="00564145" w:rsidRPr="00DE0AD0" w:rsidRDefault="00564145" w:rsidP="00020C13">
      <w:pPr>
        <w:pStyle w:val="ListParagraph"/>
        <w:numPr>
          <w:ilvl w:val="0"/>
          <w:numId w:val="34"/>
        </w:numPr>
        <w:ind w:left="567" w:hanging="567"/>
        <w:contextualSpacing w:val="0"/>
      </w:pPr>
      <w:r w:rsidRPr="00DE0AD0">
        <w:t xml:space="preserve">zdůrazňuje potřebu </w:t>
      </w:r>
      <w:r w:rsidRPr="00DE0AD0">
        <w:rPr>
          <w:b/>
          <w:bCs/>
        </w:rPr>
        <w:t>cíleného financování</w:t>
      </w:r>
      <w:r w:rsidRPr="00DE0AD0">
        <w:t xml:space="preserve">, </w:t>
      </w:r>
      <w:r w:rsidRPr="00DE0AD0">
        <w:rPr>
          <w:b/>
          <w:bCs/>
        </w:rPr>
        <w:t>přístupu k růstovému kapitálu</w:t>
      </w:r>
      <w:r w:rsidRPr="00DE0AD0">
        <w:t xml:space="preserve"> a </w:t>
      </w:r>
      <w:r w:rsidRPr="00DE0AD0">
        <w:rPr>
          <w:b/>
          <w:bCs/>
        </w:rPr>
        <w:t>podpory ze strany velkých společností</w:t>
      </w:r>
      <w:r w:rsidRPr="00DE0AD0">
        <w:t xml:space="preserve"> s cílem zajistit konkurenceschopný a integrovaný evropský kvantový ekosystém;</w:t>
      </w:r>
    </w:p>
    <w:p w14:paraId="63EFD404" w14:textId="77777777" w:rsidR="00564145" w:rsidRPr="00DE0AD0" w:rsidRDefault="00564145" w:rsidP="00020C13">
      <w:pPr>
        <w:pStyle w:val="ListParagraph"/>
        <w:numPr>
          <w:ilvl w:val="0"/>
          <w:numId w:val="34"/>
        </w:numPr>
        <w:ind w:left="567" w:hanging="567"/>
        <w:contextualSpacing w:val="0"/>
      </w:pPr>
      <w:r w:rsidRPr="00DE0AD0">
        <w:t>vyzývá k </w:t>
      </w:r>
      <w:r w:rsidRPr="00DE0AD0">
        <w:rPr>
          <w:b/>
          <w:bCs/>
        </w:rPr>
        <w:t>rozšíření veřejných kvantových infrastruktur</w:t>
      </w:r>
      <w:r w:rsidRPr="00DE0AD0">
        <w:t xml:space="preserve"> a vytvoření kvantových testovacích pracovišť s otevřeným přístupem s cílem umožnit experimentování, přenos technologií a široké zapojení, a to i ze strany malých a středních podniků a výzkumných ústavů;</w:t>
      </w:r>
    </w:p>
    <w:p w14:paraId="02A57B1E" w14:textId="77777777" w:rsidR="00564145" w:rsidRPr="00DE0AD0" w:rsidRDefault="00564145" w:rsidP="00020C13">
      <w:pPr>
        <w:pStyle w:val="ListParagraph"/>
        <w:numPr>
          <w:ilvl w:val="0"/>
          <w:numId w:val="34"/>
        </w:numPr>
        <w:ind w:left="567" w:hanging="567"/>
        <w:contextualSpacing w:val="0"/>
      </w:pPr>
      <w:r w:rsidRPr="00DE0AD0">
        <w:t xml:space="preserve">klade důraz na </w:t>
      </w:r>
      <w:r w:rsidRPr="00DE0AD0">
        <w:rPr>
          <w:b/>
          <w:bCs/>
        </w:rPr>
        <w:t>strategické využívání</w:t>
      </w:r>
      <w:r w:rsidRPr="00DE0AD0">
        <w:t xml:space="preserve"> kvantových technologií, které mohou napomoci transformaci takových odvětví, jako je </w:t>
      </w:r>
      <w:r w:rsidRPr="00DE0AD0">
        <w:rPr>
          <w:b/>
          <w:bCs/>
        </w:rPr>
        <w:t>obrana</w:t>
      </w:r>
      <w:r w:rsidRPr="00DE0AD0">
        <w:t xml:space="preserve">, </w:t>
      </w:r>
      <w:r w:rsidRPr="00DE0AD0">
        <w:rPr>
          <w:b/>
          <w:bCs/>
        </w:rPr>
        <w:t>bezpečnost</w:t>
      </w:r>
      <w:r w:rsidRPr="00DE0AD0">
        <w:t xml:space="preserve">, </w:t>
      </w:r>
      <w:r w:rsidRPr="00DE0AD0">
        <w:rPr>
          <w:b/>
          <w:bCs/>
        </w:rPr>
        <w:t>vesmír</w:t>
      </w:r>
      <w:r w:rsidRPr="00DE0AD0">
        <w:t xml:space="preserve">, </w:t>
      </w:r>
      <w:r w:rsidRPr="00DE0AD0">
        <w:rPr>
          <w:b/>
          <w:bCs/>
        </w:rPr>
        <w:t>zdravotnictví</w:t>
      </w:r>
      <w:r w:rsidRPr="00DE0AD0">
        <w:t xml:space="preserve">, </w:t>
      </w:r>
      <w:r w:rsidRPr="00DE0AD0">
        <w:rPr>
          <w:b/>
          <w:bCs/>
        </w:rPr>
        <w:t>vědy o živé přírodě</w:t>
      </w:r>
      <w:r w:rsidRPr="00DE0AD0">
        <w:t xml:space="preserve"> a </w:t>
      </w:r>
      <w:r w:rsidRPr="00DE0AD0">
        <w:rPr>
          <w:b/>
          <w:bCs/>
        </w:rPr>
        <w:t>automobilový průmysl</w:t>
      </w:r>
      <w:r w:rsidRPr="00DE0AD0">
        <w:t>, a podtrhuje význam pevných rámců duševního vlastnictví pro ochranu inovací EU;</w:t>
      </w:r>
    </w:p>
    <w:p w14:paraId="2170E353" w14:textId="77777777" w:rsidR="00564145" w:rsidRPr="00DE0AD0" w:rsidRDefault="00564145" w:rsidP="00020C13">
      <w:pPr>
        <w:pStyle w:val="ListParagraph"/>
        <w:numPr>
          <w:ilvl w:val="0"/>
          <w:numId w:val="34"/>
        </w:numPr>
        <w:ind w:left="567" w:hanging="567"/>
        <w:contextualSpacing w:val="0"/>
      </w:pPr>
      <w:r w:rsidRPr="00DE0AD0">
        <w:t xml:space="preserve">naléhavě vyzývá k posílení </w:t>
      </w:r>
      <w:r w:rsidRPr="00DE0AD0">
        <w:rPr>
          <w:b/>
          <w:bCs/>
        </w:rPr>
        <w:t>investic do rozvoje dovedností a talentů</w:t>
      </w:r>
      <w:r w:rsidRPr="00DE0AD0">
        <w:t>, včetně zřízení evropské akademie pro oblast kvantových dovedností a zavedení stipendií pro doktorandy, s cílem udržet si vysoce kvalifikované odborníky a urychlit aplikaci výzkumu v praxi;</w:t>
      </w:r>
    </w:p>
    <w:p w14:paraId="02CDAE31" w14:textId="77777777" w:rsidR="00564145" w:rsidRPr="00DE0AD0" w:rsidRDefault="00564145" w:rsidP="00020C13">
      <w:pPr>
        <w:pStyle w:val="ListParagraph"/>
        <w:numPr>
          <w:ilvl w:val="0"/>
          <w:numId w:val="34"/>
        </w:numPr>
        <w:ind w:left="567" w:hanging="567"/>
        <w:contextualSpacing w:val="0"/>
      </w:pPr>
      <w:r w:rsidRPr="00DE0AD0">
        <w:t xml:space="preserve">vyzdvihuje, že je třeba zavést </w:t>
      </w:r>
      <w:r w:rsidRPr="00DE0AD0">
        <w:rPr>
          <w:b/>
          <w:bCs/>
        </w:rPr>
        <w:t>efektivní monitorovací nástroje</w:t>
      </w:r>
      <w:r w:rsidRPr="00DE0AD0">
        <w:t xml:space="preserve">, </w:t>
      </w:r>
      <w:r w:rsidRPr="00DE0AD0">
        <w:rPr>
          <w:b/>
          <w:bCs/>
        </w:rPr>
        <w:t>jasné klíčové ukazatele výkonnosti</w:t>
      </w:r>
      <w:r w:rsidRPr="00DE0AD0">
        <w:t xml:space="preserve"> a </w:t>
      </w:r>
      <w:r w:rsidRPr="00DE0AD0">
        <w:rPr>
          <w:b/>
          <w:bCs/>
        </w:rPr>
        <w:t>inkluzivní řízení v rámci EU</w:t>
      </w:r>
      <w:r w:rsidRPr="00DE0AD0">
        <w:t>, aby se zajistilo, že bude sledován pokrok, dosahováno maximálních možných výsledků a budou harmonizovány investice napříč členskými státy;</w:t>
      </w:r>
    </w:p>
    <w:p w14:paraId="27A03969" w14:textId="77777777" w:rsidR="00564145" w:rsidRPr="00DE0AD0" w:rsidRDefault="00564145" w:rsidP="00020C13">
      <w:pPr>
        <w:pStyle w:val="ListParagraph"/>
        <w:numPr>
          <w:ilvl w:val="0"/>
          <w:numId w:val="34"/>
        </w:numPr>
        <w:ind w:left="567" w:hanging="567"/>
        <w:contextualSpacing w:val="0"/>
      </w:pPr>
      <w:r w:rsidRPr="00DE0AD0">
        <w:t>vyzývá k </w:t>
      </w:r>
      <w:r w:rsidRPr="00DE0AD0">
        <w:rPr>
          <w:b/>
          <w:bCs/>
        </w:rPr>
        <w:t>podpoře koordinovaného a integrovaného evropského kvantového ekosystému</w:t>
      </w:r>
      <w:r w:rsidRPr="00DE0AD0">
        <w:t>, který zastřeší výzkum, inovace, infrastrukturu, talenty a řízení s cílem posílit technologickou suverenitu Evropy a konkurenceschopnost evropského průmyslu.</w:t>
      </w:r>
    </w:p>
    <w:p w14:paraId="48C7400C" w14:textId="77777777" w:rsidR="00564145" w:rsidRPr="00DE0AD0" w:rsidRDefault="00564145" w:rsidP="00DE0AD0">
      <w:pPr>
        <w:widowControl w:val="0"/>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4497"/>
      </w:tblGrid>
      <w:tr w:rsidR="002362BA" w:rsidRPr="00DE0AD0" w14:paraId="6F45D159" w14:textId="77777777" w:rsidTr="002362BA">
        <w:tc>
          <w:tcPr>
            <w:tcW w:w="1557" w:type="pct"/>
          </w:tcPr>
          <w:p w14:paraId="7254751E" w14:textId="527C46A1" w:rsidR="002362BA" w:rsidRPr="00DE0AD0" w:rsidRDefault="002362BA" w:rsidP="002362BA">
            <w:pPr>
              <w:rPr>
                <w:b/>
                <w:i/>
              </w:rPr>
            </w:pPr>
            <w:r w:rsidRPr="00DE0AD0">
              <w:rPr>
                <w:b/>
                <w:i/>
              </w:rPr>
              <w:t>Kontakt:</w:t>
            </w:r>
          </w:p>
        </w:tc>
        <w:tc>
          <w:tcPr>
            <w:tcW w:w="3443" w:type="pct"/>
          </w:tcPr>
          <w:p w14:paraId="19F88CFF" w14:textId="77777777" w:rsidR="002362BA" w:rsidRPr="00DE0AD0" w:rsidRDefault="002362BA" w:rsidP="002362BA">
            <w:pPr>
              <w:rPr>
                <w:i/>
              </w:rPr>
            </w:pPr>
            <w:r w:rsidRPr="00DE0AD0">
              <w:rPr>
                <w:i/>
              </w:rPr>
              <w:t>Yousra Asbouni El Ouahabi</w:t>
            </w:r>
          </w:p>
        </w:tc>
      </w:tr>
      <w:tr w:rsidR="002362BA" w:rsidRPr="00DE0AD0" w14:paraId="19EEC096" w14:textId="77777777" w:rsidTr="002362BA">
        <w:tc>
          <w:tcPr>
            <w:tcW w:w="1557" w:type="pct"/>
          </w:tcPr>
          <w:p w14:paraId="71198CA8" w14:textId="04AE6329" w:rsidR="002362BA" w:rsidRPr="00DE0AD0" w:rsidRDefault="002362BA" w:rsidP="002362BA">
            <w:pPr>
              <w:rPr>
                <w:i/>
              </w:rPr>
            </w:pPr>
            <w:r w:rsidRPr="00DE0AD0">
              <w:rPr>
                <w:i/>
              </w:rPr>
              <w:t>Tel.:</w:t>
            </w:r>
          </w:p>
        </w:tc>
        <w:tc>
          <w:tcPr>
            <w:tcW w:w="3443" w:type="pct"/>
          </w:tcPr>
          <w:p w14:paraId="34C58E3E" w14:textId="77777777" w:rsidR="002362BA" w:rsidRPr="00DE0AD0" w:rsidRDefault="002362BA" w:rsidP="002362BA">
            <w:pPr>
              <w:rPr>
                <w:i/>
              </w:rPr>
            </w:pPr>
            <w:r w:rsidRPr="00DE0AD0">
              <w:rPr>
                <w:i/>
              </w:rPr>
              <w:t>+32 25468485</w:t>
            </w:r>
          </w:p>
        </w:tc>
      </w:tr>
      <w:tr w:rsidR="002362BA" w:rsidRPr="00DE0AD0" w14:paraId="61D4883F" w14:textId="77777777" w:rsidTr="002362BA">
        <w:tc>
          <w:tcPr>
            <w:tcW w:w="1557" w:type="pct"/>
          </w:tcPr>
          <w:p w14:paraId="400FF457" w14:textId="311ED91D" w:rsidR="002362BA" w:rsidRPr="00DE0AD0" w:rsidRDefault="002362BA" w:rsidP="002362BA">
            <w:pPr>
              <w:rPr>
                <w:i/>
              </w:rPr>
            </w:pPr>
            <w:r w:rsidRPr="00DE0AD0">
              <w:rPr>
                <w:i/>
              </w:rPr>
              <w:t>E-mail:</w:t>
            </w:r>
          </w:p>
        </w:tc>
        <w:tc>
          <w:tcPr>
            <w:tcW w:w="3443" w:type="pct"/>
          </w:tcPr>
          <w:p w14:paraId="0F12DDD2" w14:textId="77777777" w:rsidR="002362BA" w:rsidRPr="00DE0AD0" w:rsidRDefault="003D4857" w:rsidP="002362BA">
            <w:pPr>
              <w:rPr>
                <w:i/>
                <w:iCs/>
              </w:rPr>
            </w:pPr>
            <w:hyperlink r:id="rId45" w:history="1">
              <w:r w:rsidR="002362BA" w:rsidRPr="00DE0AD0">
                <w:rPr>
                  <w:rStyle w:val="Hyperlink"/>
                  <w:i/>
                </w:rPr>
                <w:t>Yousra.AsbouniElOuahabi@eesc.europa.eu</w:t>
              </w:r>
            </w:hyperlink>
          </w:p>
        </w:tc>
      </w:tr>
    </w:tbl>
    <w:p w14:paraId="028BD200" w14:textId="21DF82F8" w:rsidR="00564145" w:rsidRPr="00DE0AD0" w:rsidRDefault="00564145" w:rsidP="00DE0AD0">
      <w:pPr>
        <w:jc w:val="left"/>
      </w:pPr>
    </w:p>
    <w:p w14:paraId="16B03AB7" w14:textId="77777777" w:rsidR="00564145" w:rsidRPr="00DE0AD0" w:rsidRDefault="00564145" w:rsidP="00DE0AD0">
      <w:pPr>
        <w:jc w:val="left"/>
      </w:pPr>
      <w:r w:rsidRPr="00DE0AD0">
        <w:br w:type="page"/>
      </w:r>
    </w:p>
    <w:bookmarkStart w:id="10" w:name="_Hlk221261804"/>
    <w:bookmarkStart w:id="11" w:name="_Hlk221262173"/>
    <w:p w14:paraId="1ACF1ABE" w14:textId="010AC00E" w:rsidR="00564145" w:rsidRPr="000E0CB1" w:rsidRDefault="003D4857" w:rsidP="000E0CB1">
      <w:pPr>
        <w:pStyle w:val="ListParagraph"/>
        <w:widowControl w:val="0"/>
        <w:numPr>
          <w:ilvl w:val="0"/>
          <w:numId w:val="46"/>
        </w:numPr>
        <w:overflowPunct w:val="0"/>
        <w:autoSpaceDE w:val="0"/>
        <w:autoSpaceDN w:val="0"/>
        <w:adjustRightInd w:val="0"/>
        <w:ind w:left="567" w:hanging="567"/>
        <w:textAlignment w:val="baseline"/>
        <w:rPr>
          <w:sz w:val="20"/>
        </w:rPr>
      </w:pPr>
      <w:r>
        <w:lastRenderedPageBreak/>
        <w:fldChar w:fldCharType="begin"/>
      </w:r>
      <w:r>
        <w:instrText xml:space="preserve"> HYPERLINK "https://www.eesc.europa.eu/cs/our-work/opinions-information-reports/opinions/apply-ai-strategy-strengthening-ai-continent" \t "_blank" </w:instrText>
      </w:r>
      <w:r>
        <w:fldChar w:fldCharType="separate"/>
      </w:r>
      <w:r w:rsidR="00564145" w:rsidRPr="000E0CB1">
        <w:rPr>
          <w:rStyle w:val="Hyperlink"/>
          <w:b/>
          <w:i/>
          <w:sz w:val="28"/>
        </w:rPr>
        <w:t>Strategie pro využívání umělé i</w:t>
      </w:r>
      <w:r w:rsidR="00564145" w:rsidRPr="000E0CB1">
        <w:rPr>
          <w:rStyle w:val="Hyperlink"/>
          <w:b/>
          <w:i/>
          <w:sz w:val="28"/>
        </w:rPr>
        <w:t>n</w:t>
      </w:r>
      <w:r w:rsidR="00564145" w:rsidRPr="000E0CB1">
        <w:rPr>
          <w:rStyle w:val="Hyperlink"/>
          <w:b/>
          <w:i/>
          <w:sz w:val="28"/>
        </w:rPr>
        <w:t>teligence</w:t>
      </w:r>
      <w:r>
        <w:rPr>
          <w:rStyle w:val="Hyperlink"/>
          <w:b/>
          <w:i/>
          <w:sz w:val="28"/>
        </w:rPr>
        <w:fldChar w:fldCharType="end"/>
      </w:r>
      <w:bookmarkEnd w:id="10"/>
    </w:p>
    <w:p w14:paraId="164198A8" w14:textId="77777777" w:rsidR="00564145" w:rsidRPr="002F7FCC" w:rsidRDefault="00564145" w:rsidP="00DE0AD0">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564145" w:rsidRPr="002F7FCC" w14:paraId="3DAD764A" w14:textId="77777777" w:rsidTr="001B4992">
        <w:tc>
          <w:tcPr>
            <w:tcW w:w="1701" w:type="dxa"/>
          </w:tcPr>
          <w:p w14:paraId="6D8A3042" w14:textId="77777777" w:rsidR="00564145" w:rsidRPr="002F7FCC" w:rsidRDefault="00564145" w:rsidP="00DE0AD0">
            <w:pPr>
              <w:tabs>
                <w:tab w:val="center" w:pos="284"/>
              </w:tabs>
              <w:ind w:left="266" w:hanging="266"/>
              <w:rPr>
                <w:b/>
              </w:rPr>
            </w:pPr>
            <w:r w:rsidRPr="002F7FCC">
              <w:rPr>
                <w:b/>
              </w:rPr>
              <w:t>Zpravodaj</w:t>
            </w:r>
          </w:p>
        </w:tc>
        <w:tc>
          <w:tcPr>
            <w:tcW w:w="5387" w:type="dxa"/>
          </w:tcPr>
          <w:p w14:paraId="696A3BE6" w14:textId="77777777" w:rsidR="00564145" w:rsidRPr="002F7FCC" w:rsidRDefault="00564145" w:rsidP="00DE0AD0">
            <w:pPr>
              <w:tabs>
                <w:tab w:val="center" w:pos="284"/>
              </w:tabs>
              <w:ind w:left="266" w:hanging="266"/>
            </w:pPr>
            <w:r w:rsidRPr="002F7FCC">
              <w:t>Rudolf KOLBE (Organizace občanské společnosti – AT)</w:t>
            </w:r>
          </w:p>
          <w:p w14:paraId="2B88E45C" w14:textId="77777777" w:rsidR="00564145" w:rsidRPr="002F7FCC" w:rsidRDefault="00564145" w:rsidP="00DE0AD0">
            <w:pPr>
              <w:tabs>
                <w:tab w:val="center" w:pos="284"/>
              </w:tabs>
              <w:ind w:left="266" w:hanging="266"/>
            </w:pPr>
            <w:r w:rsidRPr="002F7FCC">
              <w:t>Miroslav HAJNOŠ (Zaměstnanci – SK)</w:t>
            </w:r>
          </w:p>
        </w:tc>
      </w:tr>
      <w:tr w:rsidR="00564145" w:rsidRPr="002F7FCC" w14:paraId="047D46E8" w14:textId="77777777" w:rsidTr="001B4992">
        <w:tc>
          <w:tcPr>
            <w:tcW w:w="7088" w:type="dxa"/>
            <w:gridSpan w:val="2"/>
          </w:tcPr>
          <w:p w14:paraId="429FB8B1" w14:textId="77777777" w:rsidR="00564145" w:rsidRPr="002F7FCC" w:rsidRDefault="00564145" w:rsidP="00DE0AD0">
            <w:pPr>
              <w:tabs>
                <w:tab w:val="center" w:pos="284"/>
              </w:tabs>
              <w:ind w:left="266" w:hanging="266"/>
              <w:rPr>
                <w:lang w:val="en-US"/>
              </w:rPr>
            </w:pPr>
          </w:p>
        </w:tc>
      </w:tr>
      <w:tr w:rsidR="00564145" w:rsidRPr="002F7FCC" w14:paraId="3C6B5BC8" w14:textId="77777777" w:rsidTr="001B4992">
        <w:tc>
          <w:tcPr>
            <w:tcW w:w="1701" w:type="dxa"/>
            <w:vMerge w:val="restart"/>
          </w:tcPr>
          <w:p w14:paraId="5515D546" w14:textId="77777777" w:rsidR="00564145" w:rsidRPr="002F7FCC" w:rsidRDefault="00564145" w:rsidP="00DE0AD0">
            <w:pPr>
              <w:tabs>
                <w:tab w:val="center" w:pos="284"/>
              </w:tabs>
              <w:ind w:left="266" w:hanging="266"/>
              <w:rPr>
                <w:b/>
              </w:rPr>
            </w:pPr>
            <w:r w:rsidRPr="002F7FCC">
              <w:rPr>
                <w:b/>
              </w:rPr>
              <w:t>Odkazy</w:t>
            </w:r>
          </w:p>
        </w:tc>
        <w:tc>
          <w:tcPr>
            <w:tcW w:w="5387" w:type="dxa"/>
          </w:tcPr>
          <w:p w14:paraId="41A3B19A" w14:textId="77777777" w:rsidR="00564145" w:rsidRPr="002F7FCC" w:rsidRDefault="00564145" w:rsidP="00DE0AD0">
            <w:pPr>
              <w:tabs>
                <w:tab w:val="center" w:pos="284"/>
              </w:tabs>
              <w:ind w:left="266" w:hanging="266"/>
            </w:pPr>
            <w:r w:rsidRPr="002F7FCC">
              <w:t>COM(2025) 723 final</w:t>
            </w:r>
          </w:p>
          <w:p w14:paraId="3FE12C40" w14:textId="77777777" w:rsidR="00564145" w:rsidRPr="002F7FCC" w:rsidRDefault="00564145" w:rsidP="00DE0AD0">
            <w:pPr>
              <w:tabs>
                <w:tab w:val="center" w:pos="284"/>
              </w:tabs>
              <w:ind w:left="266" w:hanging="266"/>
            </w:pPr>
            <w:r w:rsidRPr="002F7FCC">
              <w:t>EESC-2025-03470-00-00-AC</w:t>
            </w:r>
          </w:p>
        </w:tc>
      </w:tr>
      <w:tr w:rsidR="00564145" w:rsidRPr="002F7FCC" w14:paraId="7598F65B" w14:textId="77777777" w:rsidTr="001B4992">
        <w:tc>
          <w:tcPr>
            <w:tcW w:w="1701" w:type="dxa"/>
            <w:vMerge/>
          </w:tcPr>
          <w:p w14:paraId="7DACDAE6" w14:textId="77777777" w:rsidR="00564145" w:rsidRPr="002F7FCC" w:rsidRDefault="00564145" w:rsidP="00DE0AD0">
            <w:pPr>
              <w:tabs>
                <w:tab w:val="center" w:pos="284"/>
              </w:tabs>
              <w:ind w:left="266" w:hanging="266"/>
              <w:rPr>
                <w:b/>
                <w:lang w:val="en-US"/>
              </w:rPr>
            </w:pPr>
          </w:p>
        </w:tc>
        <w:tc>
          <w:tcPr>
            <w:tcW w:w="5387" w:type="dxa"/>
          </w:tcPr>
          <w:p w14:paraId="6B56A230" w14:textId="77777777" w:rsidR="00564145" w:rsidRPr="002F7FCC" w:rsidRDefault="00564145" w:rsidP="00DE0AD0">
            <w:pPr>
              <w:tabs>
                <w:tab w:val="center" w:pos="284"/>
              </w:tabs>
              <w:ind w:left="266" w:hanging="266"/>
              <w:rPr>
                <w:lang w:val="en-US"/>
              </w:rPr>
            </w:pPr>
          </w:p>
        </w:tc>
      </w:tr>
    </w:tbl>
    <w:p w14:paraId="0830090F" w14:textId="77777777" w:rsidR="00564145" w:rsidRPr="002F7FCC" w:rsidRDefault="00564145" w:rsidP="00DE0AD0">
      <w:pPr>
        <w:tabs>
          <w:tab w:val="center" w:pos="284"/>
        </w:tabs>
        <w:ind w:left="266" w:hanging="266"/>
      </w:pPr>
    </w:p>
    <w:p w14:paraId="35D82BA3" w14:textId="77777777" w:rsidR="00564145" w:rsidRPr="002F7FCC" w:rsidRDefault="00564145" w:rsidP="00DE0AD0">
      <w:pPr>
        <w:keepNext/>
        <w:keepLines/>
        <w:tabs>
          <w:tab w:val="center" w:pos="284"/>
        </w:tabs>
        <w:ind w:left="266" w:hanging="266"/>
        <w:rPr>
          <w:b/>
        </w:rPr>
      </w:pPr>
      <w:r w:rsidRPr="002F7FCC">
        <w:rPr>
          <w:b/>
        </w:rPr>
        <w:t>Hlavní body</w:t>
      </w:r>
    </w:p>
    <w:p w14:paraId="410EE5FB" w14:textId="77777777" w:rsidR="00564145" w:rsidRPr="002F7FCC" w:rsidRDefault="00564145" w:rsidP="00DE0AD0">
      <w:pPr>
        <w:keepNext/>
        <w:keepLines/>
        <w:tabs>
          <w:tab w:val="center" w:pos="284"/>
        </w:tabs>
        <w:ind w:left="266" w:hanging="266"/>
        <w:rPr>
          <w:b/>
        </w:rPr>
      </w:pPr>
    </w:p>
    <w:p w14:paraId="739998E2" w14:textId="77777777" w:rsidR="00564145" w:rsidRPr="002F7FCC" w:rsidRDefault="00564145" w:rsidP="00DE0AD0">
      <w:pPr>
        <w:rPr>
          <w:bCs/>
          <w:iCs/>
        </w:rPr>
      </w:pPr>
      <w:r w:rsidRPr="002F7FCC">
        <w:t>EHSV:</w:t>
      </w:r>
    </w:p>
    <w:p w14:paraId="668B19F9" w14:textId="77777777" w:rsidR="00564145" w:rsidRPr="002F7FCC" w:rsidRDefault="00564145" w:rsidP="00DE0AD0">
      <w:pPr>
        <w:rPr>
          <w:bCs/>
          <w:iCs/>
        </w:rPr>
      </w:pPr>
    </w:p>
    <w:p w14:paraId="017059AD" w14:textId="77777777" w:rsidR="00564145" w:rsidRPr="00DE0AD0" w:rsidRDefault="00564145" w:rsidP="00007004">
      <w:pPr>
        <w:pStyle w:val="ListParagraph"/>
        <w:numPr>
          <w:ilvl w:val="0"/>
          <w:numId w:val="35"/>
        </w:numPr>
        <w:ind w:left="567" w:hanging="567"/>
      </w:pPr>
      <w:r w:rsidRPr="00DE0AD0">
        <w:t xml:space="preserve">vyzývá k přijetí konkrétních a rychle proveditelných opatření, která by zejména malým a středním podnikům a scaleupům pomohla </w:t>
      </w:r>
      <w:r w:rsidRPr="00DE0AD0">
        <w:rPr>
          <w:b/>
        </w:rPr>
        <w:t>uvádět řešení využívající umělou inteligenci rychleji na trh</w:t>
      </w:r>
      <w:r w:rsidRPr="00DE0AD0">
        <w:t>, a to zajištěním jednoduššího přístupu k financování, snížením administrativní zátěže, stanovením jasnějších pravidel duševního vlastnictví a podporováním přeshraniční expanze na jednotném trhu;</w:t>
      </w:r>
    </w:p>
    <w:p w14:paraId="4E2CEAC2" w14:textId="77777777" w:rsidR="00564145" w:rsidRPr="00DE0AD0" w:rsidRDefault="00564145" w:rsidP="00007004">
      <w:pPr>
        <w:pStyle w:val="ListParagraph"/>
        <w:numPr>
          <w:ilvl w:val="0"/>
          <w:numId w:val="35"/>
        </w:numPr>
        <w:ind w:left="567" w:hanging="567"/>
      </w:pPr>
      <w:r w:rsidRPr="00DE0AD0">
        <w:t xml:space="preserve">zdůrazňuje význam </w:t>
      </w:r>
      <w:r w:rsidRPr="00DE0AD0">
        <w:rPr>
          <w:b/>
        </w:rPr>
        <w:t>regionálních klastrů kompetencí</w:t>
      </w:r>
      <w:r w:rsidRPr="00DE0AD0">
        <w:t>, využití evropských center pro digitální inovace a zapojení nedostatečně zastoupených odvětví, jako jsou finance, cestovní ruch a elektronický obchod, s cílem zajistit komplexní a inkluzivní přístup k umělé inteligenci;</w:t>
      </w:r>
    </w:p>
    <w:p w14:paraId="2C36F510" w14:textId="77777777" w:rsidR="00564145" w:rsidRPr="00DE0AD0" w:rsidRDefault="00564145" w:rsidP="00007004">
      <w:pPr>
        <w:pStyle w:val="ListParagraph"/>
        <w:numPr>
          <w:ilvl w:val="0"/>
          <w:numId w:val="35"/>
        </w:numPr>
        <w:ind w:left="567" w:hanging="567"/>
      </w:pPr>
      <w:r w:rsidRPr="00DE0AD0">
        <w:t xml:space="preserve">naléhavě vyzývá k investicím do </w:t>
      </w:r>
      <w:r w:rsidRPr="00DE0AD0">
        <w:rPr>
          <w:b/>
        </w:rPr>
        <w:t>dovedností a gramotnosti v oblasti umělé inteligence</w:t>
      </w:r>
      <w:r w:rsidRPr="00DE0AD0">
        <w:t>, včetně stanovení jasných definic pro prohlubování dovedností a získávání dovedností průřezových, s cílem podpořit bezpečné a účinné zavedení umělé inteligence v klíčových odvětvích, jako je zdravotní péče, obrana a bezpečnost a veřejný sektor;</w:t>
      </w:r>
    </w:p>
    <w:p w14:paraId="53642AEC" w14:textId="77777777" w:rsidR="00564145" w:rsidRPr="00DE0AD0" w:rsidRDefault="00564145" w:rsidP="00007004">
      <w:pPr>
        <w:pStyle w:val="ListParagraph"/>
        <w:numPr>
          <w:ilvl w:val="0"/>
          <w:numId w:val="35"/>
        </w:numPr>
        <w:ind w:left="567" w:hanging="567"/>
      </w:pPr>
      <w:r w:rsidRPr="00DE0AD0">
        <w:t xml:space="preserve">zdůrazňuje, že je třeba dbát na </w:t>
      </w:r>
      <w:r w:rsidRPr="00DE0AD0">
        <w:rPr>
          <w:b/>
        </w:rPr>
        <w:t>jasnost a přiměřenost právních předpisů</w:t>
      </w:r>
      <w:r w:rsidRPr="00DE0AD0">
        <w:t>, zlepšení rámcových podmínek pro sdílení dat a ochranu duševní vlastnictví a také na inkluzivní řízení s vyváženým zastoupením zúčastněných stran, a zajistit tak, aby povinnosti malých a středních podniků a inovativních začínajících podniků byly úměrné;</w:t>
      </w:r>
    </w:p>
    <w:p w14:paraId="44CF7DD8" w14:textId="519DE7B9" w:rsidR="00564145" w:rsidRPr="00DE0AD0" w:rsidRDefault="00564145" w:rsidP="00007004">
      <w:pPr>
        <w:pStyle w:val="ListParagraph"/>
        <w:numPr>
          <w:ilvl w:val="0"/>
          <w:numId w:val="35"/>
        </w:numPr>
        <w:ind w:left="567" w:hanging="567"/>
      </w:pPr>
      <w:r w:rsidRPr="00DE0AD0">
        <w:t xml:space="preserve">vyzývá k zajištění </w:t>
      </w:r>
      <w:r w:rsidRPr="00DE0AD0">
        <w:rPr>
          <w:b/>
        </w:rPr>
        <w:t>dlouhodobého financování a ke strategickému zadávání veřejných zakázek</w:t>
      </w:r>
      <w:r w:rsidRPr="00DE0AD0">
        <w:t>, včetně předvídatelné podpory stanovené ve víceletém finančním rámci na</w:t>
      </w:r>
      <w:r w:rsidR="000E0CB1">
        <w:t> </w:t>
      </w:r>
      <w:r w:rsidRPr="00DE0AD0">
        <w:t>období</w:t>
      </w:r>
      <w:r w:rsidR="000E0CB1">
        <w:t> </w:t>
      </w:r>
      <w:r w:rsidRPr="00DE0AD0">
        <w:t>2028–2034, s cílem posílit evropský ekosystém umělé inteligence, digitální suverenitu a průmyslovou základnu a zároveň zajistit transparentnost a spravedlivou hospodářskou soutěž.</w:t>
      </w:r>
    </w:p>
    <w:p w14:paraId="671BA6B3" w14:textId="77777777" w:rsidR="00564145" w:rsidRPr="00DE0AD0" w:rsidRDefault="00564145" w:rsidP="00DE0AD0">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07004" w:rsidRPr="00DE0AD0" w14:paraId="0550A8BF" w14:textId="77777777" w:rsidTr="00274458">
        <w:tc>
          <w:tcPr>
            <w:tcW w:w="1418" w:type="dxa"/>
          </w:tcPr>
          <w:p w14:paraId="4EB86525" w14:textId="6A08F2F8" w:rsidR="00007004" w:rsidRPr="00DE0AD0" w:rsidRDefault="00007004" w:rsidP="00007004">
            <w:pPr>
              <w:rPr>
                <w:b/>
                <w:i/>
              </w:rPr>
            </w:pPr>
            <w:r w:rsidRPr="00DE0AD0">
              <w:rPr>
                <w:b/>
                <w:i/>
              </w:rPr>
              <w:t>Kontakt:</w:t>
            </w:r>
          </w:p>
        </w:tc>
        <w:tc>
          <w:tcPr>
            <w:tcW w:w="5670" w:type="dxa"/>
          </w:tcPr>
          <w:p w14:paraId="195C4F08" w14:textId="77777777" w:rsidR="00007004" w:rsidRPr="00DE0AD0" w:rsidRDefault="00007004" w:rsidP="00007004">
            <w:pPr>
              <w:rPr>
                <w:i/>
              </w:rPr>
            </w:pPr>
            <w:r w:rsidRPr="00DE0AD0">
              <w:rPr>
                <w:i/>
              </w:rPr>
              <w:t>Asbouni El Ouahabi Yousra</w:t>
            </w:r>
          </w:p>
        </w:tc>
      </w:tr>
      <w:tr w:rsidR="00007004" w:rsidRPr="00DE0AD0" w14:paraId="10770416" w14:textId="77777777" w:rsidTr="00274458">
        <w:tc>
          <w:tcPr>
            <w:tcW w:w="1418" w:type="dxa"/>
          </w:tcPr>
          <w:p w14:paraId="7850577F" w14:textId="745E16B1" w:rsidR="00007004" w:rsidRPr="00DE0AD0" w:rsidRDefault="00007004" w:rsidP="00007004">
            <w:pPr>
              <w:rPr>
                <w:i/>
              </w:rPr>
            </w:pPr>
            <w:r w:rsidRPr="00DE0AD0">
              <w:rPr>
                <w:i/>
              </w:rPr>
              <w:t>Tel.:</w:t>
            </w:r>
          </w:p>
        </w:tc>
        <w:tc>
          <w:tcPr>
            <w:tcW w:w="5670" w:type="dxa"/>
          </w:tcPr>
          <w:p w14:paraId="2BDB2068" w14:textId="77777777" w:rsidR="00007004" w:rsidRPr="00DE0AD0" w:rsidRDefault="00007004" w:rsidP="00007004">
            <w:pPr>
              <w:rPr>
                <w:i/>
              </w:rPr>
            </w:pPr>
            <w:r w:rsidRPr="00DE0AD0">
              <w:rPr>
                <w:i/>
              </w:rPr>
              <w:t>+ 32 25468485</w:t>
            </w:r>
          </w:p>
        </w:tc>
      </w:tr>
      <w:tr w:rsidR="00007004" w:rsidRPr="00DE0AD0" w14:paraId="1BF3A7EF" w14:textId="77777777" w:rsidTr="00274458">
        <w:tc>
          <w:tcPr>
            <w:tcW w:w="1418" w:type="dxa"/>
          </w:tcPr>
          <w:p w14:paraId="678C8EBB" w14:textId="58997524" w:rsidR="00007004" w:rsidRPr="00DE0AD0" w:rsidRDefault="00007004" w:rsidP="00007004">
            <w:pPr>
              <w:rPr>
                <w:i/>
              </w:rPr>
            </w:pPr>
            <w:r w:rsidRPr="00DE0AD0">
              <w:rPr>
                <w:i/>
              </w:rPr>
              <w:t>E-mail:</w:t>
            </w:r>
          </w:p>
        </w:tc>
        <w:tc>
          <w:tcPr>
            <w:tcW w:w="5670" w:type="dxa"/>
          </w:tcPr>
          <w:p w14:paraId="434A7EEA" w14:textId="0F77F41B" w:rsidR="00007004" w:rsidRPr="00DE0AD0" w:rsidRDefault="003D4857" w:rsidP="00643F40">
            <w:pPr>
              <w:rPr>
                <w:i/>
                <w:lang w:val="en-US"/>
              </w:rPr>
            </w:pPr>
            <w:hyperlink r:id="rId46" w:history="1">
              <w:r w:rsidR="00007004" w:rsidRPr="00DE0AD0">
                <w:rPr>
                  <w:rStyle w:val="Hyperlink"/>
                  <w:i/>
                </w:rPr>
                <w:t>Yousra.AsbouniElOuahabi@eesc.europa.eu</w:t>
              </w:r>
            </w:hyperlink>
          </w:p>
        </w:tc>
      </w:tr>
      <w:bookmarkEnd w:id="11"/>
    </w:tbl>
    <w:p w14:paraId="4D6E7731" w14:textId="66CE84CE" w:rsidR="00564145" w:rsidRPr="00DE0AD0" w:rsidRDefault="00564145" w:rsidP="00DE0AD0">
      <w:pPr>
        <w:jc w:val="left"/>
      </w:pPr>
    </w:p>
    <w:p w14:paraId="1BC9B30C" w14:textId="77777777" w:rsidR="00564145" w:rsidRPr="00DE0AD0" w:rsidRDefault="00564145" w:rsidP="00DE0AD0">
      <w:pPr>
        <w:jc w:val="left"/>
      </w:pPr>
      <w:r w:rsidRPr="00DE0AD0">
        <w:br w:type="page"/>
      </w:r>
    </w:p>
    <w:p w14:paraId="23E68F87" w14:textId="748AC754" w:rsidR="00564145" w:rsidRPr="00DE0AD0" w:rsidRDefault="003D4857" w:rsidP="002F7FCC">
      <w:pPr>
        <w:widowControl w:val="0"/>
        <w:numPr>
          <w:ilvl w:val="0"/>
          <w:numId w:val="10"/>
        </w:numPr>
        <w:overflowPunct w:val="0"/>
        <w:autoSpaceDE w:val="0"/>
        <w:autoSpaceDN w:val="0"/>
        <w:adjustRightInd w:val="0"/>
        <w:ind w:left="567" w:hanging="567"/>
        <w:textAlignment w:val="baseline"/>
        <w:rPr>
          <w:sz w:val="20"/>
        </w:rPr>
      </w:pPr>
      <w:hyperlink r:id="rId47" w:history="1">
        <w:r w:rsidR="00564145" w:rsidRPr="00DE0AD0">
          <w:rPr>
            <w:rStyle w:val="Hyperlink"/>
            <w:b/>
            <w:i/>
            <w:sz w:val="28"/>
          </w:rPr>
          <w:t>Horizont Evro</w:t>
        </w:r>
        <w:r w:rsidR="00564145" w:rsidRPr="00DE0AD0">
          <w:rPr>
            <w:rStyle w:val="Hyperlink"/>
            <w:b/>
            <w:i/>
            <w:sz w:val="28"/>
          </w:rPr>
          <w:t>p</w:t>
        </w:r>
        <w:r w:rsidR="00564145" w:rsidRPr="00DE0AD0">
          <w:rPr>
            <w:rStyle w:val="Hyperlink"/>
            <w:b/>
            <w:i/>
            <w:sz w:val="28"/>
          </w:rPr>
          <w:t>a</w:t>
        </w:r>
      </w:hyperlink>
    </w:p>
    <w:p w14:paraId="5F1D0269" w14:textId="77777777" w:rsidR="00564145" w:rsidRPr="00DE0AD0" w:rsidRDefault="00564145" w:rsidP="00DE0AD0">
      <w:pPr>
        <w:tabs>
          <w:tab w:val="center" w:pos="284"/>
        </w:tabs>
        <w:ind w:left="266" w:hanging="266"/>
      </w:pP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961"/>
      </w:tblGrid>
      <w:tr w:rsidR="00564145" w:rsidRPr="00DE0AD0" w14:paraId="066A1437" w14:textId="77777777" w:rsidTr="001B4992">
        <w:tc>
          <w:tcPr>
            <w:tcW w:w="2127" w:type="dxa"/>
          </w:tcPr>
          <w:p w14:paraId="76F26436" w14:textId="77777777" w:rsidR="00564145" w:rsidRPr="00DE0AD0" w:rsidRDefault="00564145" w:rsidP="00DE0AD0">
            <w:pPr>
              <w:tabs>
                <w:tab w:val="center" w:pos="284"/>
              </w:tabs>
              <w:ind w:left="266" w:hanging="266"/>
              <w:rPr>
                <w:b/>
              </w:rPr>
            </w:pPr>
            <w:r w:rsidRPr="00DE0AD0">
              <w:rPr>
                <w:b/>
              </w:rPr>
              <w:t>Zpravodaj</w:t>
            </w:r>
          </w:p>
        </w:tc>
        <w:tc>
          <w:tcPr>
            <w:tcW w:w="4961" w:type="dxa"/>
          </w:tcPr>
          <w:p w14:paraId="4BFB654D" w14:textId="77777777" w:rsidR="00564145" w:rsidRPr="00DE0AD0" w:rsidRDefault="00564145" w:rsidP="00DE0AD0">
            <w:pPr>
              <w:tabs>
                <w:tab w:val="center" w:pos="284"/>
              </w:tabs>
              <w:ind w:left="266" w:hanging="266"/>
            </w:pPr>
            <w:r w:rsidRPr="00DE0AD0">
              <w:t>Christophe LEFÈVRE (Zaměstnanci – FR)</w:t>
            </w:r>
          </w:p>
        </w:tc>
      </w:tr>
      <w:tr w:rsidR="00564145" w:rsidRPr="00DE0AD0" w14:paraId="5579250F" w14:textId="77777777" w:rsidTr="001B4992">
        <w:tc>
          <w:tcPr>
            <w:tcW w:w="7088" w:type="dxa"/>
            <w:gridSpan w:val="2"/>
          </w:tcPr>
          <w:p w14:paraId="2E964245" w14:textId="77777777" w:rsidR="00564145" w:rsidRPr="00DE0AD0" w:rsidRDefault="00564145" w:rsidP="00DE0AD0">
            <w:pPr>
              <w:tabs>
                <w:tab w:val="center" w:pos="284"/>
              </w:tabs>
              <w:ind w:left="266" w:hanging="266"/>
            </w:pPr>
          </w:p>
        </w:tc>
      </w:tr>
      <w:tr w:rsidR="00564145" w:rsidRPr="00DE0AD0" w14:paraId="6707E250" w14:textId="77777777" w:rsidTr="001B4992">
        <w:tc>
          <w:tcPr>
            <w:tcW w:w="2127" w:type="dxa"/>
            <w:vMerge w:val="restart"/>
          </w:tcPr>
          <w:p w14:paraId="238FA20B" w14:textId="77777777" w:rsidR="00564145" w:rsidRPr="00DE0AD0" w:rsidRDefault="00564145" w:rsidP="00DE0AD0">
            <w:pPr>
              <w:tabs>
                <w:tab w:val="center" w:pos="284"/>
              </w:tabs>
              <w:ind w:left="266" w:hanging="266"/>
              <w:rPr>
                <w:b/>
              </w:rPr>
            </w:pPr>
            <w:r w:rsidRPr="00DE0AD0">
              <w:rPr>
                <w:b/>
              </w:rPr>
              <w:t>Odkazy</w:t>
            </w:r>
          </w:p>
        </w:tc>
        <w:tc>
          <w:tcPr>
            <w:tcW w:w="4961" w:type="dxa"/>
          </w:tcPr>
          <w:p w14:paraId="3B832F5F" w14:textId="77777777" w:rsidR="00564145" w:rsidRDefault="00564145" w:rsidP="00DE0AD0">
            <w:pPr>
              <w:tabs>
                <w:tab w:val="center" w:pos="284"/>
              </w:tabs>
              <w:ind w:left="266" w:hanging="266"/>
            </w:pPr>
            <w:r w:rsidRPr="00DE0AD0">
              <w:t>COM(2025) 543 final – 2025/0543 (COD)</w:t>
            </w:r>
          </w:p>
          <w:p w14:paraId="5848418F" w14:textId="3277097B" w:rsidR="00F92AF7" w:rsidRPr="00DE0AD0" w:rsidRDefault="00F92AF7" w:rsidP="00DE0AD0">
            <w:pPr>
              <w:tabs>
                <w:tab w:val="center" w:pos="284"/>
              </w:tabs>
              <w:ind w:left="266" w:hanging="266"/>
            </w:pPr>
            <w:r>
              <w:t>COM(2025) 544 final</w:t>
            </w:r>
          </w:p>
        </w:tc>
      </w:tr>
      <w:tr w:rsidR="00564145" w:rsidRPr="00DE0AD0" w14:paraId="21BA2CDB" w14:textId="77777777" w:rsidTr="001B4992">
        <w:tc>
          <w:tcPr>
            <w:tcW w:w="2127" w:type="dxa"/>
            <w:vMerge/>
          </w:tcPr>
          <w:p w14:paraId="34820F53" w14:textId="77777777" w:rsidR="00564145" w:rsidRPr="00DE0AD0" w:rsidRDefault="00564145" w:rsidP="00DE0AD0">
            <w:pPr>
              <w:tabs>
                <w:tab w:val="center" w:pos="284"/>
              </w:tabs>
              <w:ind w:left="266" w:hanging="266"/>
              <w:rPr>
                <w:b/>
                <w:lang w:val="en-US"/>
              </w:rPr>
            </w:pPr>
          </w:p>
        </w:tc>
        <w:tc>
          <w:tcPr>
            <w:tcW w:w="4961" w:type="dxa"/>
          </w:tcPr>
          <w:p w14:paraId="7C92AB15" w14:textId="77777777" w:rsidR="00564145" w:rsidRPr="00DE0AD0" w:rsidRDefault="00564145" w:rsidP="00DE0AD0">
            <w:pPr>
              <w:tabs>
                <w:tab w:val="center" w:pos="284"/>
              </w:tabs>
              <w:ind w:left="266" w:hanging="266"/>
            </w:pPr>
            <w:r w:rsidRPr="00DE0AD0">
              <w:t>EESC-2025-02760-00-00-AC</w:t>
            </w:r>
          </w:p>
        </w:tc>
      </w:tr>
    </w:tbl>
    <w:p w14:paraId="43010130" w14:textId="77777777" w:rsidR="002F7FCC" w:rsidRDefault="002F7FCC" w:rsidP="00DE0AD0">
      <w:pPr>
        <w:keepNext/>
        <w:keepLines/>
        <w:tabs>
          <w:tab w:val="center" w:pos="284"/>
        </w:tabs>
        <w:ind w:left="266" w:hanging="266"/>
        <w:rPr>
          <w:b/>
        </w:rPr>
      </w:pPr>
    </w:p>
    <w:p w14:paraId="7E579A82" w14:textId="4F6A7B17" w:rsidR="00564145" w:rsidRPr="00DE0AD0" w:rsidRDefault="00564145" w:rsidP="00DE0AD0">
      <w:pPr>
        <w:keepNext/>
        <w:keepLines/>
        <w:tabs>
          <w:tab w:val="center" w:pos="284"/>
        </w:tabs>
        <w:ind w:left="266" w:hanging="266"/>
        <w:rPr>
          <w:b/>
        </w:rPr>
      </w:pPr>
      <w:r w:rsidRPr="00DE0AD0">
        <w:rPr>
          <w:b/>
        </w:rPr>
        <w:t>Hlavní body</w:t>
      </w:r>
    </w:p>
    <w:p w14:paraId="01CF5BFA" w14:textId="77777777" w:rsidR="00564145" w:rsidRPr="00DE0AD0" w:rsidRDefault="00564145" w:rsidP="00DE0AD0">
      <w:pPr>
        <w:keepNext/>
        <w:keepLines/>
        <w:tabs>
          <w:tab w:val="center" w:pos="284"/>
        </w:tabs>
        <w:ind w:left="266" w:hanging="266"/>
      </w:pPr>
    </w:p>
    <w:p w14:paraId="0B0824EB" w14:textId="46A48C1A" w:rsidR="00564145" w:rsidRDefault="00564145" w:rsidP="00DE0AD0">
      <w:r w:rsidRPr="00DE0AD0">
        <w:t>EHSV:</w:t>
      </w:r>
    </w:p>
    <w:p w14:paraId="319F9D3C" w14:textId="77777777" w:rsidR="00A816F6" w:rsidRPr="00DE0AD0" w:rsidRDefault="00A816F6" w:rsidP="00DE0AD0">
      <w:pPr>
        <w:rPr>
          <w:bCs/>
          <w:iCs/>
        </w:rPr>
      </w:pPr>
    </w:p>
    <w:p w14:paraId="527D0D76" w14:textId="77777777" w:rsidR="00564145" w:rsidRPr="00DE0AD0" w:rsidRDefault="00564145" w:rsidP="00A816F6">
      <w:pPr>
        <w:pStyle w:val="ListParagraph"/>
        <w:numPr>
          <w:ilvl w:val="0"/>
          <w:numId w:val="36"/>
        </w:numPr>
        <w:ind w:left="567" w:hanging="567"/>
      </w:pPr>
      <w:r w:rsidRPr="00DE0AD0">
        <w:t xml:space="preserve">domnívá se, že </w:t>
      </w:r>
      <w:r w:rsidRPr="00DE0AD0">
        <w:rPr>
          <w:b/>
        </w:rPr>
        <w:t>orientační rozpočet ve výši 175 002 000 000 EUR navržený na období 2028–2034 je povzbudivý</w:t>
      </w:r>
      <w:r w:rsidRPr="00DE0AD0">
        <w:t xml:space="preserve"> a vysílá silný signál ve prospěch vědecké excelence a záměru investovat do výzkumu a inovací a do přelomových technologií. EHSV však doporučuje, aby sloužil pouze jako </w:t>
      </w:r>
      <w:r w:rsidRPr="00DE0AD0">
        <w:rPr>
          <w:b/>
        </w:rPr>
        <w:t>minimální referenční částka pro diskuse</w:t>
      </w:r>
      <w:r w:rsidRPr="00DE0AD0">
        <w:t xml:space="preserve"> mezi Radou a Evropským parlamentem;</w:t>
      </w:r>
    </w:p>
    <w:p w14:paraId="227A3A48" w14:textId="77777777" w:rsidR="00564145" w:rsidRPr="00DE0AD0" w:rsidRDefault="00564145" w:rsidP="00A816F6">
      <w:pPr>
        <w:widowControl w:val="0"/>
        <w:numPr>
          <w:ilvl w:val="0"/>
          <w:numId w:val="36"/>
        </w:numPr>
        <w:overflowPunct w:val="0"/>
        <w:autoSpaceDE w:val="0"/>
        <w:autoSpaceDN w:val="0"/>
        <w:adjustRightInd w:val="0"/>
        <w:ind w:left="567" w:hanging="567"/>
        <w:textAlignment w:val="baseline"/>
        <w:rPr>
          <w:bCs/>
          <w:iCs/>
        </w:rPr>
      </w:pPr>
      <w:r w:rsidRPr="00DE0AD0">
        <w:t xml:space="preserve">považuje za nezbytné, aby byla </w:t>
      </w:r>
      <w:r w:rsidRPr="00DE0AD0">
        <w:rPr>
          <w:b/>
        </w:rPr>
        <w:t>posílena kontrola nad využíváním fondů</w:t>
      </w:r>
      <w:r w:rsidRPr="00DE0AD0">
        <w:t xml:space="preserve"> a aby byly identifikovány překážky jejich využívání nebo faktory, které vedou k jejich nedostatečnému využívání v některých zemích;</w:t>
      </w:r>
    </w:p>
    <w:p w14:paraId="461A9F38" w14:textId="77777777" w:rsidR="00564145" w:rsidRPr="00DE0AD0" w:rsidRDefault="00564145" w:rsidP="00A816F6">
      <w:pPr>
        <w:widowControl w:val="0"/>
        <w:numPr>
          <w:ilvl w:val="0"/>
          <w:numId w:val="36"/>
        </w:numPr>
        <w:overflowPunct w:val="0"/>
        <w:autoSpaceDE w:val="0"/>
        <w:autoSpaceDN w:val="0"/>
        <w:adjustRightInd w:val="0"/>
        <w:ind w:left="567" w:hanging="567"/>
        <w:textAlignment w:val="baseline"/>
        <w:rPr>
          <w:bCs/>
          <w:iCs/>
        </w:rPr>
      </w:pPr>
      <w:r w:rsidRPr="00DE0AD0">
        <w:t xml:space="preserve">doporučuje </w:t>
      </w:r>
      <w:r w:rsidRPr="00DE0AD0">
        <w:rPr>
          <w:b/>
        </w:rPr>
        <w:t>zachovat a řádně provádět plánované sladění mezi programem Horizont Evropa a Evropským fondem pro konkurenceschopnost</w:t>
      </w:r>
      <w:r w:rsidRPr="00DE0AD0">
        <w:t>, zejména mezi čtyřmi oblastmi politiky fondu a odpovídajícími činnostmi v rámci pilíře II programu Horizont Evropa pro konkurenceschopnost;</w:t>
      </w:r>
    </w:p>
    <w:p w14:paraId="065AF0A1" w14:textId="77777777" w:rsidR="00564145" w:rsidRPr="00DE0AD0" w:rsidRDefault="00564145" w:rsidP="00A816F6">
      <w:pPr>
        <w:widowControl w:val="0"/>
        <w:numPr>
          <w:ilvl w:val="0"/>
          <w:numId w:val="36"/>
        </w:numPr>
        <w:overflowPunct w:val="0"/>
        <w:autoSpaceDE w:val="0"/>
        <w:autoSpaceDN w:val="0"/>
        <w:adjustRightInd w:val="0"/>
        <w:ind w:left="567" w:hanging="567"/>
        <w:textAlignment w:val="baseline"/>
        <w:rPr>
          <w:bCs/>
          <w:iCs/>
        </w:rPr>
      </w:pPr>
      <w:r w:rsidRPr="00DE0AD0">
        <w:t xml:space="preserve">doporučuje, aby </w:t>
      </w:r>
      <w:r w:rsidRPr="00DE0AD0">
        <w:rPr>
          <w:b/>
        </w:rPr>
        <w:t>se</w:t>
      </w:r>
      <w:r w:rsidRPr="00DE0AD0">
        <w:t xml:space="preserve"> v zájmu podpory celého inovačního cyklu – od základního výzkumu až po uvedení na trh – </w:t>
      </w:r>
      <w:r w:rsidRPr="00DE0AD0">
        <w:rPr>
          <w:b/>
        </w:rPr>
        <w:t>při postupech hodnocení a výběru projektů vycházelo nejen z vědecké excelence, ale také z</w:t>
      </w:r>
      <w:r w:rsidRPr="00DE0AD0">
        <w:t xml:space="preserve"> dalších </w:t>
      </w:r>
      <w:r w:rsidRPr="00DE0AD0">
        <w:rPr>
          <w:b/>
        </w:rPr>
        <w:t>hodnoticích kritérií umožňujících lépe pochopit obchodní význam, dopad na průmysl a přínos pro strategickou autonomii Evropy</w:t>
      </w:r>
      <w:r w:rsidRPr="00DE0AD0">
        <w:t xml:space="preserve"> a konkurenceschopnost evropského průmyslu;</w:t>
      </w:r>
    </w:p>
    <w:p w14:paraId="69CDF653" w14:textId="77777777" w:rsidR="00564145" w:rsidRPr="00DE0AD0" w:rsidRDefault="00564145" w:rsidP="00A816F6">
      <w:pPr>
        <w:widowControl w:val="0"/>
        <w:numPr>
          <w:ilvl w:val="0"/>
          <w:numId w:val="36"/>
        </w:numPr>
        <w:overflowPunct w:val="0"/>
        <w:autoSpaceDE w:val="0"/>
        <w:autoSpaceDN w:val="0"/>
        <w:adjustRightInd w:val="0"/>
        <w:ind w:left="567" w:hanging="567"/>
        <w:textAlignment w:val="baseline"/>
        <w:rPr>
          <w:bCs/>
          <w:iCs/>
        </w:rPr>
      </w:pPr>
      <w:r w:rsidRPr="00DE0AD0">
        <w:t xml:space="preserve">doporučuje </w:t>
      </w:r>
      <w:r w:rsidRPr="00DE0AD0">
        <w:rPr>
          <w:b/>
        </w:rPr>
        <w:t>zachovat čtyřleté funkční období</w:t>
      </w:r>
      <w:r w:rsidRPr="00DE0AD0">
        <w:t xml:space="preserve"> předsedy Evropské rady pro výzkum (</w:t>
      </w:r>
      <w:r w:rsidRPr="00DE0AD0">
        <w:rPr>
          <w:b/>
        </w:rPr>
        <w:t>ERV</w:t>
      </w:r>
      <w:r w:rsidRPr="00DE0AD0">
        <w:t>), které lze jednou prodloužit, namísto jeho zkrácení na dva roky;</w:t>
      </w:r>
    </w:p>
    <w:p w14:paraId="1D6FC3F1" w14:textId="46442844" w:rsidR="00564145" w:rsidRPr="00DE0AD0" w:rsidRDefault="00564145" w:rsidP="00A816F6">
      <w:pPr>
        <w:widowControl w:val="0"/>
        <w:numPr>
          <w:ilvl w:val="0"/>
          <w:numId w:val="36"/>
        </w:numPr>
        <w:overflowPunct w:val="0"/>
        <w:autoSpaceDE w:val="0"/>
        <w:autoSpaceDN w:val="0"/>
        <w:adjustRightInd w:val="0"/>
        <w:ind w:left="567" w:hanging="567"/>
        <w:textAlignment w:val="baseline"/>
      </w:pPr>
      <w:r w:rsidRPr="00DE0AD0">
        <w:t xml:space="preserve">domnívá se, že pilíř I věnovaný výzkumu a vědecké excelenci v rámci akce </w:t>
      </w:r>
      <w:r w:rsidR="00090B6C">
        <w:br/>
      </w:r>
      <w:r w:rsidRPr="00DE0AD0">
        <w:t>„Marie Curie-Skłodowska“ (MSCA) v článku 9 návrhu rozhodnutí Rady o programu Horizont</w:t>
      </w:r>
      <w:r w:rsidR="00090B6C">
        <w:t> </w:t>
      </w:r>
      <w:r w:rsidRPr="00DE0AD0">
        <w:t>Evropa a v článku 13 návrhu nařízení, kterým se zavádí rámcový program Horizont</w:t>
      </w:r>
      <w:r w:rsidR="00090B6C">
        <w:t> </w:t>
      </w:r>
      <w:r w:rsidRPr="00DE0AD0">
        <w:t xml:space="preserve">Evropa, by neměl podléhat žádnému politickému zaměření, a doporučuje </w:t>
      </w:r>
      <w:r w:rsidRPr="00DE0AD0">
        <w:rPr>
          <w:b/>
        </w:rPr>
        <w:t>zachovat přístup zdola nahoru („directionality“)</w:t>
      </w:r>
      <w:r w:rsidRPr="00DE0AD0">
        <w:t xml:space="preserve"> namísto přístupu shora dolů, který navrhuje Komise;</w:t>
      </w:r>
    </w:p>
    <w:p w14:paraId="63BCBCB4" w14:textId="77777777" w:rsidR="00564145" w:rsidRPr="00DE0AD0" w:rsidRDefault="00564145" w:rsidP="00A816F6">
      <w:pPr>
        <w:keepNext/>
        <w:keepLines/>
        <w:widowControl w:val="0"/>
        <w:numPr>
          <w:ilvl w:val="0"/>
          <w:numId w:val="36"/>
        </w:numPr>
        <w:overflowPunct w:val="0"/>
        <w:autoSpaceDE w:val="0"/>
        <w:autoSpaceDN w:val="0"/>
        <w:adjustRightInd w:val="0"/>
        <w:ind w:left="567" w:hanging="567"/>
        <w:textAlignment w:val="baseline"/>
      </w:pPr>
      <w:r w:rsidRPr="00DE0AD0">
        <w:t xml:space="preserve">doporučuje, aby </w:t>
      </w:r>
      <w:r w:rsidRPr="00DE0AD0">
        <w:rPr>
          <w:b/>
        </w:rPr>
        <w:t>se postupovalo</w:t>
      </w:r>
      <w:r w:rsidRPr="00DE0AD0">
        <w:t xml:space="preserve"> mimořádně </w:t>
      </w:r>
      <w:r w:rsidRPr="00DE0AD0">
        <w:rPr>
          <w:b/>
        </w:rPr>
        <w:t>obezřetně, pokud jde o podmínku týkající se vyčlenění prostředků ve výši 3 % HDP, která je stanovena v pilíři IV „Evropský výzkumný prostor“</w:t>
      </w:r>
      <w:r w:rsidRPr="00DE0AD0">
        <w:t xml:space="preserve"> v návrhu nařízení, pro financování opatření zaměřených na budování kapacit od roku 2030, neboť hrozí, že to bude mít dopad na příjemce v zemích se slabšími kapacitami v oblasti výzkumu a inovací.</w:t>
      </w:r>
    </w:p>
    <w:p w14:paraId="5AA04285" w14:textId="77777777" w:rsidR="00564145" w:rsidRPr="00DE0AD0" w:rsidRDefault="00564145" w:rsidP="00DE0AD0">
      <w:pPr>
        <w:widowControl w:val="0"/>
        <w:ind w:left="567" w:hanging="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2"/>
      </w:tblGrid>
      <w:tr w:rsidR="005E2E28" w:rsidRPr="00DE0AD0" w14:paraId="46BC7F41" w14:textId="77777777" w:rsidTr="00546BF8">
        <w:tc>
          <w:tcPr>
            <w:tcW w:w="2127" w:type="dxa"/>
          </w:tcPr>
          <w:p w14:paraId="1EDAC0D9" w14:textId="04A5BC5C" w:rsidR="005E2E28" w:rsidRPr="00DE0AD0" w:rsidRDefault="005E2E28" w:rsidP="005E2E28">
            <w:pPr>
              <w:rPr>
                <w:b/>
                <w:i/>
              </w:rPr>
            </w:pPr>
            <w:r w:rsidRPr="00DE0AD0">
              <w:rPr>
                <w:b/>
                <w:i/>
              </w:rPr>
              <w:t>Kontakt:</w:t>
            </w:r>
          </w:p>
        </w:tc>
        <w:tc>
          <w:tcPr>
            <w:tcW w:w="4252" w:type="dxa"/>
          </w:tcPr>
          <w:p w14:paraId="0C2D73B4" w14:textId="0B12B86D" w:rsidR="005E2E28" w:rsidRPr="00DE0AD0" w:rsidRDefault="005E2E28" w:rsidP="005E2E28">
            <w:pPr>
              <w:rPr>
                <w:i/>
              </w:rPr>
            </w:pPr>
            <w:r w:rsidRPr="00DE0AD0">
              <w:rPr>
                <w:i/>
              </w:rPr>
              <w:t>Jana Valant</w:t>
            </w:r>
          </w:p>
        </w:tc>
      </w:tr>
      <w:tr w:rsidR="005E2E28" w:rsidRPr="00DE0AD0" w14:paraId="4FAA8DC2" w14:textId="77777777" w:rsidTr="00546BF8">
        <w:tc>
          <w:tcPr>
            <w:tcW w:w="2127" w:type="dxa"/>
          </w:tcPr>
          <w:p w14:paraId="2A1A6317" w14:textId="6537B544" w:rsidR="005E2E28" w:rsidRPr="00DE0AD0" w:rsidRDefault="005E2E28" w:rsidP="005E2E28">
            <w:pPr>
              <w:rPr>
                <w:i/>
              </w:rPr>
            </w:pPr>
            <w:r w:rsidRPr="00DE0AD0">
              <w:rPr>
                <w:i/>
              </w:rPr>
              <w:t>Tel.:</w:t>
            </w:r>
          </w:p>
        </w:tc>
        <w:tc>
          <w:tcPr>
            <w:tcW w:w="4252" w:type="dxa"/>
          </w:tcPr>
          <w:p w14:paraId="43C74B8F" w14:textId="77777777" w:rsidR="005E2E28" w:rsidRPr="00DE0AD0" w:rsidRDefault="005E2E28" w:rsidP="005E2E28">
            <w:pPr>
              <w:rPr>
                <w:i/>
              </w:rPr>
            </w:pPr>
            <w:r w:rsidRPr="00DE0AD0">
              <w:rPr>
                <w:i/>
              </w:rPr>
              <w:t>+32 2 546 8924</w:t>
            </w:r>
          </w:p>
        </w:tc>
      </w:tr>
      <w:tr w:rsidR="005E2E28" w:rsidRPr="00DE0AD0" w14:paraId="6106D067" w14:textId="77777777" w:rsidTr="00546BF8">
        <w:tc>
          <w:tcPr>
            <w:tcW w:w="2127" w:type="dxa"/>
          </w:tcPr>
          <w:p w14:paraId="3DBE38E3" w14:textId="2531D31D" w:rsidR="005E2E28" w:rsidRPr="00DE0AD0" w:rsidRDefault="005E2E28" w:rsidP="005E2E28">
            <w:pPr>
              <w:rPr>
                <w:i/>
              </w:rPr>
            </w:pPr>
            <w:r w:rsidRPr="00DE0AD0">
              <w:rPr>
                <w:i/>
              </w:rPr>
              <w:t>E-mail:</w:t>
            </w:r>
          </w:p>
        </w:tc>
        <w:tc>
          <w:tcPr>
            <w:tcW w:w="4252" w:type="dxa"/>
          </w:tcPr>
          <w:p w14:paraId="5A85FB4E" w14:textId="77777777" w:rsidR="005E2E28" w:rsidRPr="00DE0AD0" w:rsidRDefault="003D4857" w:rsidP="005E2E28">
            <w:pPr>
              <w:rPr>
                <w:i/>
              </w:rPr>
            </w:pPr>
            <w:hyperlink r:id="rId48" w:history="1">
              <w:r w:rsidR="005E2E28" w:rsidRPr="00DE0AD0">
                <w:rPr>
                  <w:rStyle w:val="Hyperlink"/>
                  <w:i/>
                </w:rPr>
                <w:t>Jana.Valant@eesc.europa.eu</w:t>
              </w:r>
            </w:hyperlink>
          </w:p>
        </w:tc>
      </w:tr>
    </w:tbl>
    <w:p w14:paraId="635874DA" w14:textId="77777777" w:rsidR="00564145" w:rsidRPr="00DE0AD0" w:rsidRDefault="00564145" w:rsidP="00DE0AD0">
      <w:pPr>
        <w:jc w:val="left"/>
      </w:pPr>
      <w:r w:rsidRPr="00DE0AD0">
        <w:br w:type="page"/>
      </w:r>
    </w:p>
    <w:p w14:paraId="4982DE1F" w14:textId="77777777" w:rsidR="004D7AC0" w:rsidRPr="00DE0AD0" w:rsidRDefault="004D7AC0" w:rsidP="00DE0AD0">
      <w:pPr>
        <w:pStyle w:val="Heading1"/>
        <w:rPr>
          <w:b/>
        </w:rPr>
      </w:pPr>
      <w:bookmarkStart w:id="12" w:name="_Toc70322234"/>
      <w:bookmarkStart w:id="13" w:name="_Toc75527084"/>
      <w:bookmarkStart w:id="14" w:name="_Toc220677714"/>
      <w:r w:rsidRPr="00DE0AD0">
        <w:rPr>
          <w:b/>
        </w:rPr>
        <w:lastRenderedPageBreak/>
        <w:t>ZEMĚDĚLSTVÍ, ROZVOJ VENKOVA, ŽIVOTNÍ PROSTŘEDÍ</w:t>
      </w:r>
      <w:bookmarkEnd w:id="12"/>
      <w:bookmarkEnd w:id="13"/>
      <w:bookmarkEnd w:id="14"/>
    </w:p>
    <w:p w14:paraId="088C5D6C" w14:textId="1BD5A930" w:rsidR="00DF1CA2" w:rsidRPr="00DE0AD0" w:rsidRDefault="00DF1CA2" w:rsidP="00DE0AD0">
      <w:pPr>
        <w:jc w:val="left"/>
      </w:pPr>
    </w:p>
    <w:p w14:paraId="5F7882FF" w14:textId="3244A124" w:rsidR="001F6962" w:rsidRPr="00BB639C" w:rsidRDefault="003D4857" w:rsidP="00EC79D6">
      <w:pPr>
        <w:pStyle w:val="ListParagraph"/>
        <w:widowControl w:val="0"/>
        <w:numPr>
          <w:ilvl w:val="0"/>
          <w:numId w:val="37"/>
        </w:numPr>
        <w:overflowPunct w:val="0"/>
        <w:autoSpaceDE w:val="0"/>
        <w:autoSpaceDN w:val="0"/>
        <w:adjustRightInd w:val="0"/>
        <w:ind w:left="567" w:hanging="567"/>
        <w:textAlignment w:val="baseline"/>
        <w:rPr>
          <w:b/>
          <w:bCs/>
          <w:i/>
          <w:iCs/>
          <w:sz w:val="28"/>
          <w:szCs w:val="28"/>
        </w:rPr>
      </w:pPr>
      <w:hyperlink r:id="rId49" w:history="1">
        <w:r w:rsidR="00BB639C" w:rsidRPr="00BB639C">
          <w:rPr>
            <w:rStyle w:val="Hyperlink"/>
            <w:b/>
            <w:bCs/>
            <w:i/>
            <w:iCs/>
            <w:sz w:val="28"/>
            <w:szCs w:val="28"/>
          </w:rPr>
          <w:t>Francie - Meziamerická úmluva o ochraně a zacho</w:t>
        </w:r>
        <w:r w:rsidR="00BB639C" w:rsidRPr="00BB639C">
          <w:rPr>
            <w:rStyle w:val="Hyperlink"/>
            <w:b/>
            <w:bCs/>
            <w:i/>
            <w:iCs/>
            <w:sz w:val="28"/>
            <w:szCs w:val="28"/>
          </w:rPr>
          <w:t>v</w:t>
        </w:r>
        <w:r w:rsidR="00BB639C" w:rsidRPr="00BB639C">
          <w:rPr>
            <w:rStyle w:val="Hyperlink"/>
            <w:b/>
            <w:bCs/>
            <w:i/>
            <w:iCs/>
            <w:sz w:val="28"/>
            <w:szCs w:val="28"/>
          </w:rPr>
          <w:t xml:space="preserve">ání </w:t>
        </w:r>
        <w:r w:rsidR="00BB639C" w:rsidRPr="00BB639C">
          <w:rPr>
            <w:rStyle w:val="Hyperlink"/>
            <w:b/>
            <w:bCs/>
            <w:i/>
            <w:iCs/>
            <w:sz w:val="28"/>
            <w:szCs w:val="28"/>
          </w:rPr>
          <w:t>mořských želv</w:t>
        </w:r>
      </w:hyperlink>
    </w:p>
    <w:p w14:paraId="2D465125" w14:textId="77777777" w:rsidR="001F6962" w:rsidRPr="00DE0AD0" w:rsidRDefault="001F6962" w:rsidP="00DE0AD0">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1F6962" w:rsidRPr="00DE0AD0" w14:paraId="62D1E22D" w14:textId="77777777" w:rsidTr="001B4992">
        <w:tc>
          <w:tcPr>
            <w:tcW w:w="1077" w:type="pct"/>
            <w:vMerge w:val="restart"/>
          </w:tcPr>
          <w:p w14:paraId="7DA3D07B" w14:textId="77777777" w:rsidR="001F6962" w:rsidRPr="00DE0AD0" w:rsidRDefault="001F6962" w:rsidP="00DE0AD0">
            <w:pPr>
              <w:tabs>
                <w:tab w:val="center" w:pos="284"/>
              </w:tabs>
              <w:ind w:left="266" w:hanging="266"/>
              <w:rPr>
                <w:b/>
              </w:rPr>
            </w:pPr>
            <w:r w:rsidRPr="00DE0AD0">
              <w:rPr>
                <w:b/>
              </w:rPr>
              <w:t>Odkazy</w:t>
            </w:r>
          </w:p>
        </w:tc>
        <w:tc>
          <w:tcPr>
            <w:tcW w:w="3923" w:type="pct"/>
          </w:tcPr>
          <w:p w14:paraId="5AB8128D" w14:textId="03A3FE67" w:rsidR="00BB639C" w:rsidRDefault="0072178B" w:rsidP="00DE0AD0">
            <w:pPr>
              <w:tabs>
                <w:tab w:val="center" w:pos="284"/>
              </w:tabs>
              <w:ind w:left="266" w:right="-3091" w:hanging="266"/>
            </w:pPr>
            <w:r w:rsidRPr="00DE0AD0">
              <w:t>stanovisko kategorie C</w:t>
            </w:r>
          </w:p>
          <w:p w14:paraId="1081E8EF" w14:textId="2EED252E" w:rsidR="001F6962" w:rsidRPr="00DE0AD0" w:rsidRDefault="001F6962" w:rsidP="00DE0AD0">
            <w:pPr>
              <w:tabs>
                <w:tab w:val="center" w:pos="284"/>
              </w:tabs>
              <w:ind w:left="266" w:right="-3091" w:hanging="266"/>
            </w:pPr>
            <w:r w:rsidRPr="00DE0AD0">
              <w:t>COM(2025) 689 final</w:t>
            </w:r>
          </w:p>
        </w:tc>
      </w:tr>
      <w:tr w:rsidR="001F6962" w:rsidRPr="00DE0AD0" w14:paraId="6E64DC4F" w14:textId="77777777" w:rsidTr="001B4992">
        <w:tc>
          <w:tcPr>
            <w:tcW w:w="1077" w:type="pct"/>
            <w:vMerge/>
          </w:tcPr>
          <w:p w14:paraId="28DED1E2" w14:textId="77777777" w:rsidR="001F6962" w:rsidRPr="00DE0AD0" w:rsidRDefault="001F6962" w:rsidP="00DE0AD0">
            <w:pPr>
              <w:tabs>
                <w:tab w:val="center" w:pos="284"/>
              </w:tabs>
              <w:ind w:left="266" w:hanging="266"/>
              <w:rPr>
                <w:b/>
                <w:lang w:val="en-US"/>
              </w:rPr>
            </w:pPr>
          </w:p>
        </w:tc>
        <w:tc>
          <w:tcPr>
            <w:tcW w:w="3923" w:type="pct"/>
          </w:tcPr>
          <w:p w14:paraId="07269669" w14:textId="77777777" w:rsidR="001F6962" w:rsidRPr="00DE0AD0" w:rsidRDefault="001F6962" w:rsidP="00DE0AD0">
            <w:pPr>
              <w:tabs>
                <w:tab w:val="center" w:pos="284"/>
              </w:tabs>
              <w:ind w:left="266" w:right="-3091" w:hanging="266"/>
            </w:pPr>
            <w:r w:rsidRPr="00DE0AD0">
              <w:t>EESC-2025-03864-00-00-AC-TRA</w:t>
            </w:r>
          </w:p>
        </w:tc>
      </w:tr>
    </w:tbl>
    <w:p w14:paraId="2E64BC4F" w14:textId="77777777" w:rsidR="001F6962" w:rsidRPr="00DE0AD0" w:rsidRDefault="001F6962" w:rsidP="00DE0AD0">
      <w:pPr>
        <w:tabs>
          <w:tab w:val="center" w:pos="284"/>
        </w:tabs>
        <w:ind w:left="266" w:hanging="266"/>
        <w:rPr>
          <w:b/>
        </w:rPr>
      </w:pPr>
    </w:p>
    <w:p w14:paraId="73EFE5F6" w14:textId="2B899CBE" w:rsidR="000B6665" w:rsidRDefault="000B6665" w:rsidP="000B6665">
      <w:pPr>
        <w:keepNext/>
        <w:keepLines/>
        <w:rPr>
          <w:b/>
        </w:rPr>
      </w:pPr>
      <w:r>
        <w:t xml:space="preserve">Vzhledem k tomu, že </w:t>
      </w:r>
      <w:r w:rsidR="005D3366">
        <w:t xml:space="preserve">se </w:t>
      </w:r>
      <w:r w:rsidRPr="00DE0AD0">
        <w:t>EHSV domnívá, že obsah návrhu je uspokojivý, a nemá k němu žádné připomínky, rozhodl se proto zaujmout k navrhovanému znění příznivé stanovisko.</w:t>
      </w:r>
    </w:p>
    <w:p w14:paraId="3E4CFEA7" w14:textId="77777777" w:rsidR="000B6665" w:rsidRPr="00DE0AD0" w:rsidRDefault="000B6665" w:rsidP="00DE0AD0">
      <w:pPr>
        <w:keepNext/>
        <w:keepLines/>
        <w:tabs>
          <w:tab w:val="center" w:pos="284"/>
        </w:tabs>
        <w:ind w:left="266" w:hanging="266"/>
        <w:rPr>
          <w:b/>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6"/>
      </w:tblGrid>
      <w:tr w:rsidR="00086F33" w:rsidRPr="00DE0AD0" w14:paraId="464BEE6A" w14:textId="77777777" w:rsidTr="00086F33">
        <w:tc>
          <w:tcPr>
            <w:tcW w:w="1078" w:type="pct"/>
          </w:tcPr>
          <w:p w14:paraId="24924CFE" w14:textId="0DECC5CD" w:rsidR="00086F33" w:rsidRPr="00DE0AD0" w:rsidRDefault="00086F33" w:rsidP="00086F33">
            <w:pPr>
              <w:rPr>
                <w:b/>
                <w:i/>
              </w:rPr>
            </w:pPr>
            <w:r w:rsidRPr="00DE0AD0">
              <w:rPr>
                <w:b/>
                <w:i/>
              </w:rPr>
              <w:t>Kontakt:</w:t>
            </w:r>
          </w:p>
        </w:tc>
        <w:tc>
          <w:tcPr>
            <w:tcW w:w="3922" w:type="pct"/>
          </w:tcPr>
          <w:p w14:paraId="608AC246" w14:textId="29640EA5" w:rsidR="00086F33" w:rsidRPr="00DE0AD0" w:rsidRDefault="00086F33" w:rsidP="00086F33">
            <w:pPr>
              <w:rPr>
                <w:i/>
              </w:rPr>
            </w:pPr>
            <w:r w:rsidRPr="00DE0AD0">
              <w:rPr>
                <w:i/>
              </w:rPr>
              <w:t xml:space="preserve">Arturo Iniguez </w:t>
            </w:r>
            <w:proofErr w:type="spellStart"/>
            <w:r w:rsidRPr="00DE0AD0">
              <w:rPr>
                <w:i/>
              </w:rPr>
              <w:t>Yuste</w:t>
            </w:r>
            <w:proofErr w:type="spellEnd"/>
          </w:p>
        </w:tc>
      </w:tr>
      <w:tr w:rsidR="00086F33" w:rsidRPr="00DE0AD0" w14:paraId="2BFB18D3" w14:textId="77777777" w:rsidTr="00086F33">
        <w:tc>
          <w:tcPr>
            <w:tcW w:w="1078" w:type="pct"/>
          </w:tcPr>
          <w:p w14:paraId="73B6CCB6" w14:textId="4F6D027E" w:rsidR="00086F33" w:rsidRPr="00DE0AD0" w:rsidRDefault="00086F33" w:rsidP="00086F33">
            <w:pPr>
              <w:rPr>
                <w:i/>
              </w:rPr>
            </w:pPr>
            <w:r w:rsidRPr="00DE0AD0">
              <w:rPr>
                <w:i/>
              </w:rPr>
              <w:t>Tel.:</w:t>
            </w:r>
          </w:p>
        </w:tc>
        <w:tc>
          <w:tcPr>
            <w:tcW w:w="3922" w:type="pct"/>
          </w:tcPr>
          <w:p w14:paraId="0D55B485" w14:textId="77777777" w:rsidR="00086F33" w:rsidRPr="00DE0AD0" w:rsidRDefault="00086F33" w:rsidP="00086F33">
            <w:pPr>
              <w:rPr>
                <w:i/>
              </w:rPr>
            </w:pPr>
            <w:r w:rsidRPr="00DE0AD0">
              <w:rPr>
                <w:i/>
              </w:rPr>
              <w:t>+32 2 546 8768</w:t>
            </w:r>
          </w:p>
        </w:tc>
      </w:tr>
      <w:tr w:rsidR="00086F33" w:rsidRPr="00DE0AD0" w14:paraId="5EA38411" w14:textId="77777777" w:rsidTr="00086F33">
        <w:tc>
          <w:tcPr>
            <w:tcW w:w="1078" w:type="pct"/>
          </w:tcPr>
          <w:p w14:paraId="73F64FEA" w14:textId="24057E62" w:rsidR="00086F33" w:rsidRPr="00DE0AD0" w:rsidRDefault="00086F33" w:rsidP="00086F33">
            <w:pPr>
              <w:rPr>
                <w:i/>
              </w:rPr>
            </w:pPr>
            <w:r w:rsidRPr="00DE0AD0">
              <w:rPr>
                <w:i/>
              </w:rPr>
              <w:t>E-mail:</w:t>
            </w:r>
          </w:p>
        </w:tc>
        <w:tc>
          <w:tcPr>
            <w:tcW w:w="3922" w:type="pct"/>
          </w:tcPr>
          <w:p w14:paraId="6485087D" w14:textId="77777777" w:rsidR="00086F33" w:rsidRPr="00DE0AD0" w:rsidRDefault="003D4857" w:rsidP="00086F33">
            <w:pPr>
              <w:rPr>
                <w:i/>
                <w:iCs/>
              </w:rPr>
            </w:pPr>
            <w:hyperlink r:id="rId50" w:history="1">
              <w:r w:rsidR="00086F33" w:rsidRPr="00DE0AD0">
                <w:rPr>
                  <w:rStyle w:val="Hyperlink"/>
                  <w:i/>
                </w:rPr>
                <w:t>Arturo.Iniguez@eesc.europa.eu</w:t>
              </w:r>
            </w:hyperlink>
          </w:p>
        </w:tc>
      </w:tr>
    </w:tbl>
    <w:p w14:paraId="420E6627" w14:textId="77777777" w:rsidR="001F6962" w:rsidRPr="00DE0AD0" w:rsidRDefault="001F6962" w:rsidP="00DE0AD0">
      <w:pPr>
        <w:tabs>
          <w:tab w:val="center" w:pos="284"/>
        </w:tabs>
        <w:ind w:left="266" w:hanging="266"/>
        <w:rPr>
          <w:b/>
        </w:rPr>
      </w:pPr>
    </w:p>
    <w:p w14:paraId="6EC844BE" w14:textId="67682CEA" w:rsidR="001F6962" w:rsidRPr="00DE0AD0" w:rsidRDefault="001F6962" w:rsidP="00DE0AD0">
      <w:pPr>
        <w:jc w:val="left"/>
      </w:pPr>
      <w:r w:rsidRPr="00DE0AD0">
        <w:br w:type="page"/>
      </w:r>
    </w:p>
    <w:p w14:paraId="1B8AD23E" w14:textId="31EE75CB" w:rsidR="001F6962" w:rsidRPr="0079484B" w:rsidRDefault="003D4857" w:rsidP="0079484B">
      <w:pPr>
        <w:pStyle w:val="ListParagraph"/>
        <w:widowControl w:val="0"/>
        <w:numPr>
          <w:ilvl w:val="0"/>
          <w:numId w:val="39"/>
        </w:numPr>
        <w:overflowPunct w:val="0"/>
        <w:autoSpaceDE w:val="0"/>
        <w:autoSpaceDN w:val="0"/>
        <w:adjustRightInd w:val="0"/>
        <w:ind w:left="567" w:hanging="567"/>
        <w:textAlignment w:val="baseline"/>
        <w:rPr>
          <w:b/>
        </w:rPr>
      </w:pPr>
      <w:hyperlink r:id="rId51" w:history="1">
        <w:r w:rsidR="001F6962" w:rsidRPr="0079484B">
          <w:rPr>
            <w:rStyle w:val="Hyperlink"/>
            <w:b/>
            <w:i/>
            <w:sz w:val="28"/>
          </w:rPr>
          <w:t>Změna týkající se rezervy tržní stabil</w:t>
        </w:r>
        <w:r w:rsidR="001F6962" w:rsidRPr="0079484B">
          <w:rPr>
            <w:rStyle w:val="Hyperlink"/>
            <w:b/>
            <w:i/>
            <w:sz w:val="28"/>
          </w:rPr>
          <w:t>i</w:t>
        </w:r>
        <w:r w:rsidR="001F6962" w:rsidRPr="0079484B">
          <w:rPr>
            <w:rStyle w:val="Hyperlink"/>
            <w:b/>
            <w:i/>
            <w:sz w:val="28"/>
          </w:rPr>
          <w:t>ty pro budovy, silniční dopravu a další odvětví</w:t>
        </w:r>
      </w:hyperlink>
    </w:p>
    <w:p w14:paraId="37B045E7" w14:textId="77777777" w:rsidR="001F6962" w:rsidRPr="00DE0AD0" w:rsidRDefault="001F6962" w:rsidP="00DE0AD0">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1F6962" w:rsidRPr="00DE0AD0" w14:paraId="2085DDED" w14:textId="77777777" w:rsidTr="001B4992">
        <w:tc>
          <w:tcPr>
            <w:tcW w:w="1077" w:type="pct"/>
            <w:vMerge w:val="restart"/>
          </w:tcPr>
          <w:p w14:paraId="00767D4C" w14:textId="77777777" w:rsidR="001F6962" w:rsidRPr="00DE0AD0" w:rsidRDefault="001F6962" w:rsidP="00DE0AD0">
            <w:pPr>
              <w:tabs>
                <w:tab w:val="center" w:pos="284"/>
              </w:tabs>
              <w:ind w:left="266" w:hanging="266"/>
              <w:rPr>
                <w:b/>
              </w:rPr>
            </w:pPr>
            <w:r w:rsidRPr="00DE0AD0">
              <w:rPr>
                <w:b/>
              </w:rPr>
              <w:t>Odkazy</w:t>
            </w:r>
          </w:p>
        </w:tc>
        <w:tc>
          <w:tcPr>
            <w:tcW w:w="3923" w:type="pct"/>
          </w:tcPr>
          <w:p w14:paraId="3AB3A6A4" w14:textId="0937DA22" w:rsidR="00ED40A4" w:rsidRDefault="0072178B" w:rsidP="00DE0AD0">
            <w:pPr>
              <w:tabs>
                <w:tab w:val="center" w:pos="284"/>
              </w:tabs>
              <w:ind w:left="266" w:right="-3091" w:hanging="266"/>
            </w:pPr>
            <w:r w:rsidRPr="00DE0AD0">
              <w:t>stanovisko kategorie C</w:t>
            </w:r>
          </w:p>
          <w:p w14:paraId="5CB17FEF" w14:textId="6931E88F" w:rsidR="001F6962" w:rsidRPr="00DE0AD0" w:rsidRDefault="001F6962" w:rsidP="00DE0AD0">
            <w:pPr>
              <w:tabs>
                <w:tab w:val="center" w:pos="284"/>
              </w:tabs>
              <w:ind w:left="266" w:right="-3091" w:hanging="266"/>
            </w:pPr>
            <w:r w:rsidRPr="00DE0AD0">
              <w:t>COM(2025) 738 final – 2025/0380 (COD)</w:t>
            </w:r>
          </w:p>
        </w:tc>
      </w:tr>
      <w:tr w:rsidR="001F6962" w:rsidRPr="00DE0AD0" w14:paraId="305A5532" w14:textId="77777777" w:rsidTr="001B4992">
        <w:tc>
          <w:tcPr>
            <w:tcW w:w="1077" w:type="pct"/>
            <w:vMerge/>
          </w:tcPr>
          <w:p w14:paraId="4A9F93D4" w14:textId="77777777" w:rsidR="001F6962" w:rsidRPr="00DE0AD0" w:rsidRDefault="001F6962" w:rsidP="00DE0AD0">
            <w:pPr>
              <w:tabs>
                <w:tab w:val="center" w:pos="284"/>
              </w:tabs>
              <w:ind w:left="266" w:hanging="266"/>
              <w:rPr>
                <w:b/>
                <w:lang w:val="en-US"/>
              </w:rPr>
            </w:pPr>
          </w:p>
        </w:tc>
        <w:tc>
          <w:tcPr>
            <w:tcW w:w="3923" w:type="pct"/>
          </w:tcPr>
          <w:p w14:paraId="66F717D6" w14:textId="77777777" w:rsidR="001F6962" w:rsidRPr="00DE0AD0" w:rsidRDefault="001F6962" w:rsidP="00DE0AD0">
            <w:pPr>
              <w:tabs>
                <w:tab w:val="center" w:pos="284"/>
              </w:tabs>
              <w:ind w:left="266" w:right="-3091" w:hanging="266"/>
            </w:pPr>
            <w:r w:rsidRPr="00DE0AD0">
              <w:t>EESC-2026-00103-00-00-AC-TRA</w:t>
            </w:r>
          </w:p>
        </w:tc>
      </w:tr>
    </w:tbl>
    <w:p w14:paraId="14831A96" w14:textId="004C96AD" w:rsidR="001F6962" w:rsidRDefault="001F6962" w:rsidP="00DE0AD0">
      <w:pPr>
        <w:tabs>
          <w:tab w:val="center" w:pos="284"/>
        </w:tabs>
        <w:ind w:left="266" w:hanging="266"/>
        <w:rPr>
          <w:b/>
        </w:rPr>
      </w:pPr>
    </w:p>
    <w:p w14:paraId="153D115D" w14:textId="289B924F" w:rsidR="000B6665" w:rsidRDefault="000B6665" w:rsidP="000B6665">
      <w:pPr>
        <w:rPr>
          <w:b/>
        </w:rPr>
      </w:pPr>
      <w:r>
        <w:t xml:space="preserve">Vzhledem k tomu, že </w:t>
      </w:r>
      <w:r w:rsidRPr="00DE0AD0">
        <w:t>EHS</w:t>
      </w:r>
      <w:r>
        <w:t xml:space="preserve">V </w:t>
      </w:r>
      <w:r w:rsidRPr="00DE0AD0">
        <w:t>souhlasí s obsahem návrhu a nemá k němu žádné připomínky, rozhodl se proto zaujmout k navrhovanému znění příznivé stanovisko.</w:t>
      </w:r>
    </w:p>
    <w:p w14:paraId="18F5269E" w14:textId="77777777" w:rsidR="000B6665" w:rsidRPr="00DE0AD0" w:rsidRDefault="000B6665" w:rsidP="00DE0AD0">
      <w:pPr>
        <w:tabs>
          <w:tab w:val="center" w:pos="284"/>
        </w:tabs>
        <w:ind w:left="266" w:hanging="266"/>
        <w:rPr>
          <w:b/>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6"/>
      </w:tblGrid>
      <w:tr w:rsidR="001F6962" w:rsidRPr="00DE0AD0" w14:paraId="3B0AFEF6" w14:textId="77777777" w:rsidTr="001B4992">
        <w:tc>
          <w:tcPr>
            <w:tcW w:w="1078" w:type="pct"/>
          </w:tcPr>
          <w:p w14:paraId="2C878B1D" w14:textId="77777777" w:rsidR="001F6962" w:rsidRPr="00DE0AD0" w:rsidRDefault="001F6962" w:rsidP="00DE0AD0">
            <w:pPr>
              <w:rPr>
                <w:i/>
              </w:rPr>
            </w:pPr>
            <w:r w:rsidRPr="00DE0AD0">
              <w:rPr>
                <w:b/>
                <w:i/>
              </w:rPr>
              <w:t>Kontakt:</w:t>
            </w:r>
          </w:p>
        </w:tc>
        <w:tc>
          <w:tcPr>
            <w:tcW w:w="3922" w:type="pct"/>
          </w:tcPr>
          <w:p w14:paraId="66F0B2DF" w14:textId="362EAEC2" w:rsidR="001F6962" w:rsidRPr="00DE0AD0" w:rsidRDefault="001F6962" w:rsidP="00DE0AD0">
            <w:pPr>
              <w:rPr>
                <w:i/>
              </w:rPr>
            </w:pPr>
            <w:r w:rsidRPr="00DE0AD0">
              <w:rPr>
                <w:i/>
              </w:rPr>
              <w:t xml:space="preserve">Gaizka </w:t>
            </w:r>
            <w:r w:rsidR="0079484B" w:rsidRPr="00DE0AD0">
              <w:rPr>
                <w:i/>
              </w:rPr>
              <w:t xml:space="preserve">Malo Elcoro-Iribe </w:t>
            </w:r>
          </w:p>
        </w:tc>
      </w:tr>
      <w:tr w:rsidR="001F6962" w:rsidRPr="00DE0AD0" w14:paraId="62C39173" w14:textId="77777777" w:rsidTr="001B4992">
        <w:tc>
          <w:tcPr>
            <w:tcW w:w="1078" w:type="pct"/>
          </w:tcPr>
          <w:p w14:paraId="2FE3F710" w14:textId="77777777" w:rsidR="001F6962" w:rsidRPr="00DE0AD0" w:rsidRDefault="001F6962" w:rsidP="00DE0AD0">
            <w:pPr>
              <w:rPr>
                <w:i/>
              </w:rPr>
            </w:pPr>
            <w:r w:rsidRPr="00DE0AD0">
              <w:rPr>
                <w:i/>
              </w:rPr>
              <w:t>Tel.:</w:t>
            </w:r>
          </w:p>
        </w:tc>
        <w:tc>
          <w:tcPr>
            <w:tcW w:w="3922" w:type="pct"/>
          </w:tcPr>
          <w:p w14:paraId="5789F688" w14:textId="77777777" w:rsidR="001F6962" w:rsidRPr="00DE0AD0" w:rsidRDefault="001F6962" w:rsidP="00DE0AD0">
            <w:pPr>
              <w:rPr>
                <w:i/>
              </w:rPr>
            </w:pPr>
            <w:r w:rsidRPr="00DE0AD0">
              <w:rPr>
                <w:i/>
              </w:rPr>
              <w:t>+32 25468526</w:t>
            </w:r>
          </w:p>
        </w:tc>
      </w:tr>
      <w:tr w:rsidR="001F6962" w:rsidRPr="00DE0AD0" w14:paraId="7FA4DCBD" w14:textId="77777777" w:rsidTr="001B4992">
        <w:tc>
          <w:tcPr>
            <w:tcW w:w="1078" w:type="pct"/>
          </w:tcPr>
          <w:p w14:paraId="03AFE503" w14:textId="77777777" w:rsidR="001F6962" w:rsidRPr="00DE0AD0" w:rsidRDefault="001F6962" w:rsidP="00DE0AD0">
            <w:pPr>
              <w:rPr>
                <w:i/>
              </w:rPr>
            </w:pPr>
            <w:r w:rsidRPr="00DE0AD0">
              <w:rPr>
                <w:i/>
              </w:rPr>
              <w:t>E-mail:</w:t>
            </w:r>
          </w:p>
        </w:tc>
        <w:tc>
          <w:tcPr>
            <w:tcW w:w="3922" w:type="pct"/>
          </w:tcPr>
          <w:p w14:paraId="0DF15DB7" w14:textId="77777777" w:rsidR="001F6962" w:rsidRPr="00DE0AD0" w:rsidRDefault="003D4857" w:rsidP="00DE0AD0">
            <w:pPr>
              <w:rPr>
                <w:i/>
                <w:iCs/>
              </w:rPr>
            </w:pPr>
            <w:hyperlink r:id="rId52" w:history="1">
              <w:r w:rsidR="001F6962" w:rsidRPr="00DE0AD0">
                <w:rPr>
                  <w:rStyle w:val="Hyperlink"/>
                  <w:i/>
                </w:rPr>
                <w:t>Gaizka.MaloElcoro-Iribe@eesc.europa.eu</w:t>
              </w:r>
            </w:hyperlink>
            <w:r w:rsidR="001F6962" w:rsidRPr="00DE0AD0">
              <w:rPr>
                <w:i/>
              </w:rPr>
              <w:t xml:space="preserve"> </w:t>
            </w:r>
          </w:p>
        </w:tc>
      </w:tr>
    </w:tbl>
    <w:p w14:paraId="72B545C1" w14:textId="77777777" w:rsidR="001F6962" w:rsidRPr="00DE0AD0" w:rsidRDefault="001F6962" w:rsidP="00DE0AD0">
      <w:pPr>
        <w:tabs>
          <w:tab w:val="center" w:pos="284"/>
        </w:tabs>
        <w:ind w:left="266" w:hanging="266"/>
        <w:rPr>
          <w:b/>
        </w:rPr>
      </w:pPr>
    </w:p>
    <w:p w14:paraId="22900592" w14:textId="3AFA786A" w:rsidR="001F6962" w:rsidRPr="00DE0AD0" w:rsidRDefault="001F6962" w:rsidP="00DE0AD0">
      <w:pPr>
        <w:jc w:val="left"/>
      </w:pPr>
      <w:r w:rsidRPr="00DE0AD0">
        <w:br w:type="page"/>
      </w:r>
    </w:p>
    <w:p w14:paraId="6303425C" w14:textId="2FCF7B40" w:rsidR="001F6962" w:rsidRPr="0079484B" w:rsidRDefault="003D4857" w:rsidP="0079484B">
      <w:pPr>
        <w:pStyle w:val="ListParagraph"/>
        <w:widowControl w:val="0"/>
        <w:numPr>
          <w:ilvl w:val="0"/>
          <w:numId w:val="40"/>
        </w:numPr>
        <w:overflowPunct w:val="0"/>
        <w:autoSpaceDE w:val="0"/>
        <w:autoSpaceDN w:val="0"/>
        <w:adjustRightInd w:val="0"/>
        <w:ind w:left="567" w:hanging="567"/>
        <w:textAlignment w:val="baseline"/>
        <w:rPr>
          <w:b/>
        </w:rPr>
      </w:pPr>
      <w:hyperlink r:id="rId53" w:history="1">
        <w:r w:rsidR="001F6962" w:rsidRPr="0079484B">
          <w:rPr>
            <w:rStyle w:val="Hyperlink"/>
            <w:b/>
            <w:i/>
            <w:sz w:val="28"/>
          </w:rPr>
          <w:t>Změna týkající se ochrany údajů v so</w:t>
        </w:r>
        <w:r w:rsidR="001F6962" w:rsidRPr="0079484B">
          <w:rPr>
            <w:rStyle w:val="Hyperlink"/>
            <w:b/>
            <w:i/>
            <w:sz w:val="28"/>
          </w:rPr>
          <w:t>u</w:t>
        </w:r>
        <w:r w:rsidR="001F6962" w:rsidRPr="0079484B">
          <w:rPr>
            <w:rStyle w:val="Hyperlink"/>
            <w:b/>
            <w:i/>
            <w:sz w:val="28"/>
          </w:rPr>
          <w:t>vislosti s biocidními přípravky</w:t>
        </w:r>
      </w:hyperlink>
    </w:p>
    <w:p w14:paraId="0F15B2D8" w14:textId="77777777" w:rsidR="001F6962" w:rsidRPr="00DE0AD0" w:rsidRDefault="001F6962" w:rsidP="00DE0AD0">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1F6962" w:rsidRPr="00DE0AD0" w14:paraId="7C88E04D" w14:textId="77777777" w:rsidTr="001B4992">
        <w:tc>
          <w:tcPr>
            <w:tcW w:w="1077" w:type="pct"/>
            <w:vMerge w:val="restart"/>
          </w:tcPr>
          <w:p w14:paraId="4E7ABFC4" w14:textId="77777777" w:rsidR="001F6962" w:rsidRPr="00DE0AD0" w:rsidRDefault="001F6962" w:rsidP="00DE0AD0">
            <w:pPr>
              <w:tabs>
                <w:tab w:val="center" w:pos="284"/>
              </w:tabs>
              <w:ind w:left="266" w:hanging="266"/>
              <w:rPr>
                <w:b/>
              </w:rPr>
            </w:pPr>
            <w:r w:rsidRPr="00DE0AD0">
              <w:rPr>
                <w:b/>
              </w:rPr>
              <w:t>Odkazy</w:t>
            </w:r>
          </w:p>
        </w:tc>
        <w:tc>
          <w:tcPr>
            <w:tcW w:w="3923" w:type="pct"/>
          </w:tcPr>
          <w:p w14:paraId="2D74C820" w14:textId="35E1A50C" w:rsidR="00F10515" w:rsidRDefault="0072178B" w:rsidP="00DE0AD0">
            <w:pPr>
              <w:tabs>
                <w:tab w:val="center" w:pos="284"/>
              </w:tabs>
              <w:ind w:left="266" w:right="-3091" w:hanging="266"/>
            </w:pPr>
            <w:r w:rsidRPr="00DE0AD0">
              <w:t>stanovisko kategorie C</w:t>
            </w:r>
          </w:p>
          <w:p w14:paraId="561B9DFD" w14:textId="01C63F3D" w:rsidR="001F6962" w:rsidRPr="00DE0AD0" w:rsidRDefault="001F6962" w:rsidP="00DE0AD0">
            <w:pPr>
              <w:tabs>
                <w:tab w:val="center" w:pos="284"/>
              </w:tabs>
              <w:ind w:left="266" w:right="-3091" w:hanging="266"/>
            </w:pPr>
            <w:r w:rsidRPr="00DE0AD0">
              <w:t>COM(2025) 1020 final – 2025/0408 (COD)</w:t>
            </w:r>
          </w:p>
        </w:tc>
      </w:tr>
      <w:tr w:rsidR="001F6962" w:rsidRPr="00DE0AD0" w14:paraId="43DFE025" w14:textId="77777777" w:rsidTr="001B4992">
        <w:tc>
          <w:tcPr>
            <w:tcW w:w="1077" w:type="pct"/>
            <w:vMerge/>
          </w:tcPr>
          <w:p w14:paraId="2A11F1AB" w14:textId="77777777" w:rsidR="001F6962" w:rsidRPr="00DE0AD0" w:rsidRDefault="001F6962" w:rsidP="00DE0AD0">
            <w:pPr>
              <w:tabs>
                <w:tab w:val="center" w:pos="284"/>
              </w:tabs>
              <w:ind w:left="266" w:hanging="266"/>
              <w:rPr>
                <w:b/>
                <w:lang w:val="en-US"/>
              </w:rPr>
            </w:pPr>
          </w:p>
        </w:tc>
        <w:tc>
          <w:tcPr>
            <w:tcW w:w="3923" w:type="pct"/>
          </w:tcPr>
          <w:p w14:paraId="0D71052A" w14:textId="77777777" w:rsidR="001F6962" w:rsidRPr="00DE0AD0" w:rsidRDefault="001F6962" w:rsidP="00DE0AD0">
            <w:pPr>
              <w:tabs>
                <w:tab w:val="center" w:pos="284"/>
              </w:tabs>
              <w:ind w:left="266" w:right="-3091" w:hanging="266"/>
            </w:pPr>
            <w:r w:rsidRPr="00DE0AD0">
              <w:t>EESC-2026-00101-00-00-AC-TRA</w:t>
            </w:r>
          </w:p>
        </w:tc>
      </w:tr>
    </w:tbl>
    <w:p w14:paraId="19735FD9" w14:textId="56A0E710" w:rsidR="00643F40" w:rsidRDefault="00643F40" w:rsidP="00DE0AD0"/>
    <w:p w14:paraId="75CD43E6" w14:textId="165CA8F1" w:rsidR="00775D85" w:rsidRDefault="00775D85" w:rsidP="00DE0AD0">
      <w:r>
        <w:t xml:space="preserve">Vzhledem k tomu, že </w:t>
      </w:r>
      <w:r w:rsidR="005F29F6">
        <w:t xml:space="preserve">se </w:t>
      </w:r>
      <w:r w:rsidRPr="00DE0AD0">
        <w:t>EHSV</w:t>
      </w:r>
      <w:r>
        <w:t xml:space="preserve"> </w:t>
      </w:r>
      <w:r w:rsidRPr="00DE0AD0">
        <w:t xml:space="preserve">domnívá, že obsah návrhu je zcela uspokojivý, a nemá k němu žádné připomínky, rozhodl </w:t>
      </w:r>
      <w:r w:rsidR="00C06BC8">
        <w:t xml:space="preserve">se proto </w:t>
      </w:r>
      <w:r w:rsidRPr="00DE0AD0">
        <w:t>zaujmout k navrhovanému znění příznivé stanovisko.</w:t>
      </w:r>
    </w:p>
    <w:p w14:paraId="1B687ED7" w14:textId="77777777" w:rsidR="00775D85" w:rsidRDefault="00775D85" w:rsidP="00DE0AD0"/>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6"/>
      </w:tblGrid>
      <w:tr w:rsidR="001F6962" w:rsidRPr="00DE0AD0" w14:paraId="6A2C174A" w14:textId="77777777" w:rsidTr="001B4992">
        <w:tc>
          <w:tcPr>
            <w:tcW w:w="1078" w:type="pct"/>
          </w:tcPr>
          <w:p w14:paraId="48E79F62" w14:textId="77777777" w:rsidR="001F6962" w:rsidRPr="00DE0AD0" w:rsidRDefault="001F6962" w:rsidP="00DE0AD0">
            <w:pPr>
              <w:rPr>
                <w:i/>
              </w:rPr>
            </w:pPr>
            <w:r w:rsidRPr="00DE0AD0">
              <w:rPr>
                <w:b/>
                <w:i/>
              </w:rPr>
              <w:t>Kontakt:</w:t>
            </w:r>
          </w:p>
        </w:tc>
        <w:tc>
          <w:tcPr>
            <w:tcW w:w="3922" w:type="pct"/>
          </w:tcPr>
          <w:p w14:paraId="78DA4F96" w14:textId="4525AEFE" w:rsidR="001F6962" w:rsidRPr="00DE0AD0" w:rsidRDefault="001F6962" w:rsidP="00DE0AD0">
            <w:pPr>
              <w:rPr>
                <w:i/>
              </w:rPr>
            </w:pPr>
            <w:r w:rsidRPr="00DE0AD0">
              <w:rPr>
                <w:i/>
              </w:rPr>
              <w:t xml:space="preserve">Martine </w:t>
            </w:r>
            <w:r w:rsidR="0079484B" w:rsidRPr="00DE0AD0">
              <w:rPr>
                <w:i/>
              </w:rPr>
              <w:t xml:space="preserve">Delanoy </w:t>
            </w:r>
          </w:p>
        </w:tc>
      </w:tr>
      <w:tr w:rsidR="001F6962" w:rsidRPr="00DE0AD0" w14:paraId="14518374" w14:textId="77777777" w:rsidTr="001B4992">
        <w:tc>
          <w:tcPr>
            <w:tcW w:w="1078" w:type="pct"/>
          </w:tcPr>
          <w:p w14:paraId="38865E01" w14:textId="77777777" w:rsidR="001F6962" w:rsidRPr="00DE0AD0" w:rsidRDefault="001F6962" w:rsidP="00DE0AD0">
            <w:pPr>
              <w:rPr>
                <w:i/>
              </w:rPr>
            </w:pPr>
            <w:r w:rsidRPr="00DE0AD0">
              <w:rPr>
                <w:i/>
              </w:rPr>
              <w:t>Tel.:</w:t>
            </w:r>
          </w:p>
        </w:tc>
        <w:tc>
          <w:tcPr>
            <w:tcW w:w="3922" w:type="pct"/>
          </w:tcPr>
          <w:p w14:paraId="15D12A54" w14:textId="77777777" w:rsidR="001F6962" w:rsidRPr="00DE0AD0" w:rsidRDefault="001F6962" w:rsidP="00DE0AD0">
            <w:pPr>
              <w:rPr>
                <w:i/>
              </w:rPr>
            </w:pPr>
            <w:r w:rsidRPr="00DE0AD0">
              <w:rPr>
                <w:i/>
              </w:rPr>
              <w:t>+32 25469802</w:t>
            </w:r>
          </w:p>
        </w:tc>
      </w:tr>
      <w:tr w:rsidR="001F6962" w:rsidRPr="00DE0AD0" w14:paraId="4381B072" w14:textId="77777777" w:rsidTr="001B4992">
        <w:tc>
          <w:tcPr>
            <w:tcW w:w="1078" w:type="pct"/>
          </w:tcPr>
          <w:p w14:paraId="162CAFB1" w14:textId="77777777" w:rsidR="001F6962" w:rsidRPr="00DE0AD0" w:rsidRDefault="001F6962" w:rsidP="00DE0AD0">
            <w:pPr>
              <w:rPr>
                <w:i/>
              </w:rPr>
            </w:pPr>
            <w:r w:rsidRPr="00DE0AD0">
              <w:rPr>
                <w:i/>
              </w:rPr>
              <w:t>E-mail:</w:t>
            </w:r>
          </w:p>
        </w:tc>
        <w:tc>
          <w:tcPr>
            <w:tcW w:w="3922" w:type="pct"/>
          </w:tcPr>
          <w:p w14:paraId="4B5CD5C4" w14:textId="77777777" w:rsidR="001F6962" w:rsidRPr="00DE0AD0" w:rsidRDefault="003D4857" w:rsidP="00DE0AD0">
            <w:pPr>
              <w:rPr>
                <w:i/>
                <w:iCs/>
              </w:rPr>
            </w:pPr>
            <w:hyperlink r:id="rId54" w:history="1">
              <w:r w:rsidR="001F6962" w:rsidRPr="00DE0AD0">
                <w:rPr>
                  <w:rStyle w:val="Hyperlink"/>
                  <w:i/>
                </w:rPr>
                <w:t>Martine.Delanoy@eesc.europa.eu</w:t>
              </w:r>
            </w:hyperlink>
          </w:p>
        </w:tc>
      </w:tr>
    </w:tbl>
    <w:p w14:paraId="35EA56D2" w14:textId="7FCE9AE8" w:rsidR="001F6962" w:rsidRPr="00DE0AD0" w:rsidRDefault="001F6962" w:rsidP="00DE0AD0">
      <w:pPr>
        <w:jc w:val="left"/>
      </w:pPr>
    </w:p>
    <w:p w14:paraId="3419BDD4" w14:textId="77777777" w:rsidR="001F6962" w:rsidRPr="00DE0AD0" w:rsidRDefault="001F6962" w:rsidP="00DE0AD0">
      <w:pPr>
        <w:jc w:val="left"/>
      </w:pPr>
      <w:r w:rsidRPr="00DE0AD0">
        <w:br w:type="page"/>
      </w:r>
    </w:p>
    <w:p w14:paraId="20F7778C" w14:textId="507A7AB9" w:rsidR="00BC192C" w:rsidRPr="00DE0AD0" w:rsidRDefault="003D4857" w:rsidP="006371B9">
      <w:pPr>
        <w:widowControl w:val="0"/>
        <w:numPr>
          <w:ilvl w:val="0"/>
          <w:numId w:val="14"/>
        </w:numPr>
        <w:overflowPunct w:val="0"/>
        <w:autoSpaceDE w:val="0"/>
        <w:autoSpaceDN w:val="0"/>
        <w:adjustRightInd w:val="0"/>
        <w:ind w:left="567" w:hanging="567"/>
        <w:textAlignment w:val="baseline"/>
        <w:rPr>
          <w:b/>
          <w:bCs/>
          <w:i/>
          <w:iCs/>
          <w:sz w:val="28"/>
          <w:szCs w:val="28"/>
        </w:rPr>
      </w:pPr>
      <w:hyperlink r:id="rId55" w:history="1">
        <w:r w:rsidR="00BC192C" w:rsidRPr="00DE0AD0">
          <w:rPr>
            <w:rStyle w:val="Hyperlink"/>
            <w:b/>
            <w:i/>
            <w:sz w:val="28"/>
          </w:rPr>
          <w:t xml:space="preserve">Revize nařízení o společné organizaci </w:t>
        </w:r>
        <w:r w:rsidR="00BC192C" w:rsidRPr="00DE0AD0">
          <w:rPr>
            <w:rStyle w:val="Hyperlink"/>
            <w:b/>
            <w:i/>
            <w:sz w:val="28"/>
          </w:rPr>
          <w:t>t</w:t>
        </w:r>
        <w:r w:rsidR="00BC192C" w:rsidRPr="00DE0AD0">
          <w:rPr>
            <w:rStyle w:val="Hyperlink"/>
            <w:b/>
            <w:i/>
            <w:sz w:val="28"/>
          </w:rPr>
          <w:t>rhů</w:t>
        </w:r>
      </w:hyperlink>
    </w:p>
    <w:p w14:paraId="50B1F087" w14:textId="77777777" w:rsidR="00BC192C" w:rsidRPr="00DE0AD0" w:rsidRDefault="00BC192C" w:rsidP="00DE0AD0">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BC192C" w:rsidRPr="00DE0AD0" w14:paraId="78862B54" w14:textId="77777777" w:rsidTr="001B4992">
        <w:tc>
          <w:tcPr>
            <w:tcW w:w="1077" w:type="pct"/>
          </w:tcPr>
          <w:p w14:paraId="55654D7F" w14:textId="77777777" w:rsidR="00BC192C" w:rsidRPr="00DE0AD0" w:rsidRDefault="00BC192C" w:rsidP="00DE0AD0">
            <w:pPr>
              <w:tabs>
                <w:tab w:val="center" w:pos="284"/>
              </w:tabs>
              <w:ind w:left="266" w:hanging="266"/>
              <w:rPr>
                <w:b/>
              </w:rPr>
            </w:pPr>
            <w:r w:rsidRPr="00DE0AD0">
              <w:rPr>
                <w:b/>
              </w:rPr>
              <w:t>Zpravodaj</w:t>
            </w:r>
          </w:p>
        </w:tc>
        <w:tc>
          <w:tcPr>
            <w:tcW w:w="3923" w:type="pct"/>
          </w:tcPr>
          <w:p w14:paraId="2A5AF4E7" w14:textId="77777777" w:rsidR="00BC192C" w:rsidRPr="00DE0AD0" w:rsidRDefault="00BC192C" w:rsidP="00DE0AD0">
            <w:pPr>
              <w:tabs>
                <w:tab w:val="center" w:pos="284"/>
              </w:tabs>
              <w:ind w:left="266" w:right="-3091" w:hanging="266"/>
            </w:pPr>
            <w:r w:rsidRPr="00DE0AD0">
              <w:t>Felipe MEDINA (Zaměstnavatelé – ES)</w:t>
            </w:r>
          </w:p>
          <w:p w14:paraId="7E720DBE" w14:textId="77777777" w:rsidR="00BC192C" w:rsidRPr="00DE0AD0" w:rsidRDefault="00BC192C" w:rsidP="00DE0AD0">
            <w:pPr>
              <w:tabs>
                <w:tab w:val="center" w:pos="284"/>
              </w:tabs>
              <w:ind w:left="266" w:right="-3091" w:hanging="266"/>
            </w:pPr>
          </w:p>
        </w:tc>
      </w:tr>
      <w:tr w:rsidR="00BC192C" w:rsidRPr="00DE0AD0" w14:paraId="64B3FDD6" w14:textId="77777777" w:rsidTr="001B4992">
        <w:tc>
          <w:tcPr>
            <w:tcW w:w="1077" w:type="pct"/>
          </w:tcPr>
          <w:p w14:paraId="4E3938B7" w14:textId="77777777" w:rsidR="00BC192C" w:rsidRPr="00DE0AD0" w:rsidRDefault="00BC192C" w:rsidP="00DE0AD0">
            <w:pPr>
              <w:tabs>
                <w:tab w:val="center" w:pos="284"/>
              </w:tabs>
              <w:ind w:left="266" w:hanging="266"/>
              <w:rPr>
                <w:b/>
              </w:rPr>
            </w:pPr>
            <w:r w:rsidRPr="00DE0AD0">
              <w:rPr>
                <w:b/>
              </w:rPr>
              <w:t>Odkaz</w:t>
            </w:r>
          </w:p>
        </w:tc>
        <w:tc>
          <w:tcPr>
            <w:tcW w:w="3923" w:type="pct"/>
          </w:tcPr>
          <w:p w14:paraId="38B81594" w14:textId="01F52CE2" w:rsidR="00F10515" w:rsidRDefault="00F10515" w:rsidP="00DE0AD0">
            <w:pPr>
              <w:tabs>
                <w:tab w:val="center" w:pos="284"/>
              </w:tabs>
              <w:ind w:left="266" w:right="-3091" w:hanging="266"/>
            </w:pPr>
            <w:r>
              <w:t>COM(2025) 553 final</w:t>
            </w:r>
          </w:p>
          <w:p w14:paraId="0441A06C" w14:textId="2C64F92E" w:rsidR="00BC192C" w:rsidRPr="00DE0AD0" w:rsidRDefault="00BC192C" w:rsidP="00DE0AD0">
            <w:pPr>
              <w:tabs>
                <w:tab w:val="center" w:pos="284"/>
              </w:tabs>
              <w:ind w:left="266" w:right="-3091" w:hanging="266"/>
            </w:pPr>
            <w:r w:rsidRPr="00DE0AD0">
              <w:t>EESC-2025-03145-00-00-AC</w:t>
            </w:r>
          </w:p>
        </w:tc>
      </w:tr>
    </w:tbl>
    <w:p w14:paraId="681DFA31" w14:textId="77777777" w:rsidR="00BC192C" w:rsidRPr="00DE0AD0" w:rsidRDefault="00BC192C" w:rsidP="00DE0AD0">
      <w:pPr>
        <w:tabs>
          <w:tab w:val="center" w:pos="284"/>
        </w:tabs>
        <w:ind w:left="266" w:hanging="266"/>
        <w:rPr>
          <w:b/>
        </w:rPr>
      </w:pPr>
    </w:p>
    <w:p w14:paraId="611428E1" w14:textId="77777777" w:rsidR="00BC192C" w:rsidRPr="00DE0AD0" w:rsidRDefault="00BC192C" w:rsidP="00DE0AD0">
      <w:pPr>
        <w:keepNext/>
        <w:keepLines/>
        <w:tabs>
          <w:tab w:val="center" w:pos="284"/>
        </w:tabs>
        <w:ind w:left="266" w:hanging="266"/>
        <w:rPr>
          <w:b/>
        </w:rPr>
      </w:pPr>
      <w:r w:rsidRPr="00DE0AD0">
        <w:rPr>
          <w:b/>
        </w:rPr>
        <w:t>Hlavní body</w:t>
      </w:r>
    </w:p>
    <w:p w14:paraId="5D711BF9" w14:textId="77777777" w:rsidR="00BC192C" w:rsidRPr="00DE0AD0" w:rsidRDefault="00BC192C" w:rsidP="00DE0AD0">
      <w:pPr>
        <w:keepNext/>
        <w:keepLines/>
        <w:tabs>
          <w:tab w:val="center" w:pos="284"/>
        </w:tabs>
        <w:ind w:left="266" w:hanging="266"/>
        <w:rPr>
          <w:b/>
        </w:rPr>
      </w:pPr>
    </w:p>
    <w:p w14:paraId="574B104C" w14:textId="77777777" w:rsidR="00BC192C" w:rsidRPr="00DE0AD0" w:rsidRDefault="00BC192C" w:rsidP="00DE0AD0">
      <w:r w:rsidRPr="00DE0AD0">
        <w:t>EHSV:</w:t>
      </w:r>
    </w:p>
    <w:p w14:paraId="75BD2293" w14:textId="77777777" w:rsidR="00BC192C" w:rsidRPr="00DE0AD0" w:rsidRDefault="00BC192C" w:rsidP="00DE0AD0"/>
    <w:p w14:paraId="73E461FA" w14:textId="77777777" w:rsidR="00BC192C" w:rsidRPr="00DE0AD0" w:rsidRDefault="00BC192C" w:rsidP="006371B9">
      <w:pPr>
        <w:pStyle w:val="ListParagraph"/>
        <w:widowControl w:val="0"/>
        <w:numPr>
          <w:ilvl w:val="0"/>
          <w:numId w:val="17"/>
        </w:numPr>
        <w:overflowPunct w:val="0"/>
        <w:autoSpaceDE w:val="0"/>
        <w:autoSpaceDN w:val="0"/>
        <w:adjustRightInd w:val="0"/>
        <w:ind w:left="567" w:hanging="567"/>
        <w:textAlignment w:val="baseline"/>
      </w:pPr>
      <w:r w:rsidRPr="00DE0AD0">
        <w:t>vítá změny, které Evropská komise (EK) předložila v návrhu COM(2025) 553 final týkajícím se přezkumu společné organizace zemědělských trhů;</w:t>
      </w:r>
    </w:p>
    <w:p w14:paraId="1B8FA856" w14:textId="77777777" w:rsidR="00BC192C" w:rsidRPr="00DE0AD0" w:rsidRDefault="00BC192C" w:rsidP="006371B9">
      <w:pPr>
        <w:pStyle w:val="ListParagraph"/>
        <w:widowControl w:val="0"/>
        <w:numPr>
          <w:ilvl w:val="0"/>
          <w:numId w:val="17"/>
        </w:numPr>
        <w:overflowPunct w:val="0"/>
        <w:autoSpaceDE w:val="0"/>
        <w:autoSpaceDN w:val="0"/>
        <w:adjustRightInd w:val="0"/>
        <w:ind w:left="567" w:hanging="567"/>
        <w:textAlignment w:val="baseline"/>
      </w:pPr>
      <w:r w:rsidRPr="00DE0AD0">
        <w:t xml:space="preserve">poukazuje na to, že existuje </w:t>
      </w:r>
      <w:r w:rsidRPr="00DE0AD0">
        <w:rPr>
          <w:b/>
        </w:rPr>
        <w:t>nesoulad mezi ambicemi vyjádřenými v návrzích</w:t>
      </w:r>
      <w:r w:rsidRPr="00DE0AD0">
        <w:t xml:space="preserve">, které dávají členským státům možnost doplňovat nové odvětvové intervence, </w:t>
      </w:r>
      <w:r w:rsidRPr="00DE0AD0">
        <w:rPr>
          <w:b/>
        </w:rPr>
        <w:t>a skutečností, že navrhovaný rozpočet vyčleněný na SZP je nižší než stávající rozpočet</w:t>
      </w:r>
      <w:r w:rsidRPr="00DE0AD0">
        <w:t xml:space="preserve"> a že členské státy se vyzývají ke spolufinancování intervencí, což nyní v případě ovoce a zeleniny neplatí. To může rovněž ohrozit fungování vnitřního trhu;</w:t>
      </w:r>
    </w:p>
    <w:p w14:paraId="7139B019" w14:textId="77777777" w:rsidR="00BC192C" w:rsidRPr="00DE0AD0" w:rsidRDefault="00BC192C" w:rsidP="006371B9">
      <w:pPr>
        <w:pStyle w:val="ListParagraph"/>
        <w:widowControl w:val="0"/>
        <w:numPr>
          <w:ilvl w:val="0"/>
          <w:numId w:val="17"/>
        </w:numPr>
        <w:overflowPunct w:val="0"/>
        <w:autoSpaceDE w:val="0"/>
        <w:autoSpaceDN w:val="0"/>
        <w:adjustRightInd w:val="0"/>
        <w:ind w:left="567" w:hanging="567"/>
        <w:textAlignment w:val="baseline"/>
      </w:pPr>
      <w:r w:rsidRPr="00DE0AD0">
        <w:t xml:space="preserve">uznává, že EK vyvíjí snahy o </w:t>
      </w:r>
      <w:r w:rsidRPr="00DE0AD0">
        <w:rPr>
          <w:b/>
        </w:rPr>
        <w:t>zjednodušení nařízení o společné organizaci zemědělských trhů</w:t>
      </w:r>
      <w:r w:rsidRPr="00DE0AD0">
        <w:t>, co se týče různých aspektů. Jejím cílem je usnadnit jeho porozumění, podpořit jeho rozvoj a provádění, a tím zlepšit fungování různých opatření, aby bylo možné posílit postavení zemědělců a dalších hospodářských subjektů v rámci zemědělsko-potravinářského řetězce. Stávající odvětvové intervence budou probíhat i po skončení stávajícího rozpočtového období, a že jsou proto zapotřebí přechodná ustanovení;</w:t>
      </w:r>
    </w:p>
    <w:p w14:paraId="4D25AC83" w14:textId="77777777" w:rsidR="00BC192C" w:rsidRPr="00DE0AD0" w:rsidRDefault="00BC192C" w:rsidP="006371B9">
      <w:pPr>
        <w:pStyle w:val="ListParagraph"/>
        <w:widowControl w:val="0"/>
        <w:numPr>
          <w:ilvl w:val="0"/>
          <w:numId w:val="17"/>
        </w:numPr>
        <w:overflowPunct w:val="0"/>
        <w:autoSpaceDE w:val="0"/>
        <w:autoSpaceDN w:val="0"/>
        <w:adjustRightInd w:val="0"/>
        <w:ind w:left="567" w:hanging="567"/>
        <w:textAlignment w:val="baseline"/>
      </w:pPr>
      <w:r w:rsidRPr="00DE0AD0">
        <w:t>poukazuje na to, že je třeba jasně uznat z</w:t>
      </w:r>
      <w:r w:rsidRPr="00DE0AD0">
        <w:rPr>
          <w:b/>
        </w:rPr>
        <w:t>ásadní a strategickou povahu zemědělsko-potravinářského odvětví</w:t>
      </w:r>
      <w:r w:rsidRPr="00DE0AD0">
        <w:t>. Protokoly pro nepředvídané události určené pro případ krizí a výjimečných situací, které mají vypracovat členské státy, by měly tuto zásadu obsahovat, přičemž je třeba zajistit, aby byly veřejné orgány během krizí povinny usnadňovat činnost všech hospodářských subjektů v tomto odvětví. To má zásadní význam pro zajištění dodávek potravin za všech okolností a pro lepší ujištění evropských občanů, a zároveň se tím zabrání zbytečnému hromadění potravin a souvisejícím problémům ohledně bezpečnosti;</w:t>
      </w:r>
    </w:p>
    <w:p w14:paraId="3957FA21" w14:textId="77777777" w:rsidR="00BC192C" w:rsidRPr="00DE0AD0" w:rsidRDefault="00BC192C" w:rsidP="006371B9">
      <w:pPr>
        <w:pStyle w:val="ListParagraph"/>
        <w:widowControl w:val="0"/>
        <w:numPr>
          <w:ilvl w:val="0"/>
          <w:numId w:val="17"/>
        </w:numPr>
        <w:overflowPunct w:val="0"/>
        <w:autoSpaceDE w:val="0"/>
        <w:autoSpaceDN w:val="0"/>
        <w:adjustRightInd w:val="0"/>
        <w:ind w:left="567" w:hanging="567"/>
        <w:textAlignment w:val="baseline"/>
        <w:rPr>
          <w:spacing w:val="-4"/>
        </w:rPr>
      </w:pPr>
      <w:r w:rsidRPr="00DE0AD0">
        <w:t xml:space="preserve">znovu zdůrazňuje, že </w:t>
      </w:r>
      <w:r w:rsidRPr="00DE0AD0">
        <w:rPr>
          <w:b/>
        </w:rPr>
        <w:t>je třeba, aby bylo</w:t>
      </w:r>
      <w:r w:rsidRPr="00DE0AD0">
        <w:t xml:space="preserve"> složení potravinářských výrobků </w:t>
      </w:r>
      <w:r w:rsidRPr="00DE0AD0">
        <w:rPr>
          <w:b/>
        </w:rPr>
        <w:t>transparentní</w:t>
      </w:r>
      <w:r w:rsidRPr="00DE0AD0">
        <w:t xml:space="preserve"> a tyto informace byly spotřebitelům snadno dostupné. EHSV rovněž oceňuje úsilí EK, pokud jde o názvy masných výrobků, avšak varuje před tím, že by jistá opatření zaměřená na ochranu konkrétních výrobních odvětví mohla mít negativní dopad na jiná stejně důležitá odvětví;</w:t>
      </w:r>
    </w:p>
    <w:p w14:paraId="7F2383F9" w14:textId="77777777" w:rsidR="00BC192C" w:rsidRPr="00DE0AD0" w:rsidRDefault="00BC192C" w:rsidP="006371B9">
      <w:pPr>
        <w:pStyle w:val="ListParagraph"/>
        <w:keepNext/>
        <w:keepLines/>
        <w:widowControl w:val="0"/>
        <w:numPr>
          <w:ilvl w:val="0"/>
          <w:numId w:val="17"/>
        </w:numPr>
        <w:overflowPunct w:val="0"/>
        <w:autoSpaceDE w:val="0"/>
        <w:autoSpaceDN w:val="0"/>
        <w:adjustRightInd w:val="0"/>
        <w:ind w:left="567" w:hanging="567"/>
        <w:textAlignment w:val="baseline"/>
      </w:pPr>
      <w:r w:rsidRPr="00DE0AD0">
        <w:t xml:space="preserve">žádá EK, aby </w:t>
      </w:r>
      <w:r w:rsidRPr="00DE0AD0">
        <w:rPr>
          <w:b/>
        </w:rPr>
        <w:t>povolila používání celé rostliny konopí</w:t>
      </w:r>
      <w:r w:rsidRPr="00DE0AD0">
        <w:t>, včetně květů, a aby zjednodušila kontroly tím, že budou upřednostňovány správní kontroly, přičemž kontroly na místě budou omezeny. EHSV se zasazuje o účinnou, přiměřenou a fakticky podloženou regulaci, a proto vyzývá Komisi, aby tyto změny znovu zvážila a zaujala přístup založený na posouzení rizik, který umožní používání listů a stonků konopí jako krmiva za předpokladu, že pocházejí z odrůd v souladu s ustanoveními SZP (s obsahem THC &lt; 0,3 %).</w:t>
      </w:r>
    </w:p>
    <w:p w14:paraId="108AEC4F" w14:textId="77777777" w:rsidR="00BC192C" w:rsidRPr="00DE0AD0" w:rsidRDefault="00BC192C" w:rsidP="00DE0AD0">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BC192C" w:rsidRPr="00DE0AD0" w14:paraId="44ECA05D" w14:textId="77777777" w:rsidTr="001B4992">
        <w:tc>
          <w:tcPr>
            <w:tcW w:w="1077" w:type="pct"/>
          </w:tcPr>
          <w:p w14:paraId="3C984820" w14:textId="77777777" w:rsidR="00BC192C" w:rsidRPr="00DE0AD0" w:rsidRDefault="00BC192C" w:rsidP="00DE0AD0">
            <w:pPr>
              <w:rPr>
                <w:i/>
                <w:iCs/>
              </w:rPr>
            </w:pPr>
            <w:r w:rsidRPr="00DE0AD0">
              <w:rPr>
                <w:b/>
                <w:i/>
              </w:rPr>
              <w:t>Kontakt:</w:t>
            </w:r>
          </w:p>
        </w:tc>
        <w:tc>
          <w:tcPr>
            <w:tcW w:w="3923" w:type="pct"/>
          </w:tcPr>
          <w:p w14:paraId="3913BAA8" w14:textId="77777777" w:rsidR="00BC192C" w:rsidRPr="00DE0AD0" w:rsidRDefault="00BC192C" w:rsidP="00DE0AD0">
            <w:pPr>
              <w:rPr>
                <w:i/>
                <w:iCs/>
              </w:rPr>
            </w:pPr>
            <w:r w:rsidRPr="00DE0AD0">
              <w:rPr>
                <w:i/>
              </w:rPr>
              <w:t>Myrto Kolyva</w:t>
            </w:r>
          </w:p>
        </w:tc>
      </w:tr>
      <w:tr w:rsidR="00BC192C" w:rsidRPr="00DE0AD0" w14:paraId="43D6C43B" w14:textId="77777777" w:rsidTr="001B4992">
        <w:tc>
          <w:tcPr>
            <w:tcW w:w="1077" w:type="pct"/>
          </w:tcPr>
          <w:p w14:paraId="44D0E7C0" w14:textId="77777777" w:rsidR="00BC192C" w:rsidRPr="00DE0AD0" w:rsidRDefault="00BC192C" w:rsidP="00DE0AD0">
            <w:pPr>
              <w:rPr>
                <w:i/>
              </w:rPr>
            </w:pPr>
            <w:r w:rsidRPr="00DE0AD0">
              <w:rPr>
                <w:i/>
              </w:rPr>
              <w:t>Tel.:</w:t>
            </w:r>
          </w:p>
        </w:tc>
        <w:tc>
          <w:tcPr>
            <w:tcW w:w="3923" w:type="pct"/>
          </w:tcPr>
          <w:p w14:paraId="1D579408" w14:textId="77777777" w:rsidR="00BC192C" w:rsidRPr="00DE0AD0" w:rsidRDefault="00BC192C" w:rsidP="00DE0AD0">
            <w:pPr>
              <w:rPr>
                <w:i/>
              </w:rPr>
            </w:pPr>
            <w:r w:rsidRPr="00DE0AD0">
              <w:rPr>
                <w:i/>
              </w:rPr>
              <w:t>+32 25468718</w:t>
            </w:r>
          </w:p>
        </w:tc>
      </w:tr>
      <w:tr w:rsidR="00BC192C" w:rsidRPr="00DE0AD0" w14:paraId="57193578" w14:textId="77777777" w:rsidTr="001B4992">
        <w:tc>
          <w:tcPr>
            <w:tcW w:w="1077" w:type="pct"/>
          </w:tcPr>
          <w:p w14:paraId="2132F6A8" w14:textId="77777777" w:rsidR="00BC192C" w:rsidRPr="00DE0AD0" w:rsidRDefault="00BC192C" w:rsidP="00DE0AD0">
            <w:pPr>
              <w:rPr>
                <w:i/>
              </w:rPr>
            </w:pPr>
            <w:r w:rsidRPr="00DE0AD0">
              <w:rPr>
                <w:i/>
              </w:rPr>
              <w:t>E-mail:</w:t>
            </w:r>
          </w:p>
        </w:tc>
        <w:tc>
          <w:tcPr>
            <w:tcW w:w="3923" w:type="pct"/>
          </w:tcPr>
          <w:p w14:paraId="3B2D6219" w14:textId="77777777" w:rsidR="00BC192C" w:rsidRPr="00DE0AD0" w:rsidRDefault="003D4857" w:rsidP="00DE0AD0">
            <w:pPr>
              <w:rPr>
                <w:i/>
                <w:iCs/>
              </w:rPr>
            </w:pPr>
            <w:hyperlink r:id="rId56" w:history="1">
              <w:r w:rsidR="00BC192C" w:rsidRPr="00DE0AD0">
                <w:rPr>
                  <w:rStyle w:val="Hyperlink"/>
                  <w:i/>
                </w:rPr>
                <w:t>Myrto.Kolyva@eesc.europa.eu</w:t>
              </w:r>
            </w:hyperlink>
          </w:p>
        </w:tc>
      </w:tr>
    </w:tbl>
    <w:p w14:paraId="27E97C1F" w14:textId="35C78A95" w:rsidR="00845B97" w:rsidRDefault="00845B97">
      <w:pPr>
        <w:spacing w:after="160" w:line="259" w:lineRule="auto"/>
        <w:jc w:val="left"/>
      </w:pPr>
    </w:p>
    <w:p w14:paraId="3EE77627" w14:textId="6BA8D838" w:rsidR="00845B97" w:rsidRPr="00053DC6" w:rsidRDefault="003D4857" w:rsidP="00845B97">
      <w:pPr>
        <w:pStyle w:val="ListParagraph"/>
        <w:numPr>
          <w:ilvl w:val="0"/>
          <w:numId w:val="41"/>
        </w:numPr>
        <w:spacing w:line="276" w:lineRule="auto"/>
        <w:ind w:left="567" w:hanging="567"/>
        <w:rPr>
          <w:i/>
          <w:iCs/>
        </w:rPr>
      </w:pPr>
      <w:hyperlink r:id="rId57" w:history="1">
        <w:r w:rsidR="00845B97">
          <w:rPr>
            <w:rStyle w:val="Hyperlink"/>
            <w:b/>
            <w:i/>
            <w:sz w:val="28"/>
          </w:rPr>
          <w:t>Revize společné rybářské p</w:t>
        </w:r>
        <w:r w:rsidR="00845B97">
          <w:rPr>
            <w:rStyle w:val="Hyperlink"/>
            <w:b/>
            <w:i/>
            <w:sz w:val="28"/>
          </w:rPr>
          <w:t>o</w:t>
        </w:r>
        <w:r w:rsidR="00845B97">
          <w:rPr>
            <w:rStyle w:val="Hyperlink"/>
            <w:b/>
            <w:i/>
            <w:sz w:val="28"/>
          </w:rPr>
          <w:t>litiky</w:t>
        </w:r>
      </w:hyperlink>
    </w:p>
    <w:p w14:paraId="50AC82AB" w14:textId="77777777" w:rsidR="00845B97" w:rsidRPr="00845B97" w:rsidRDefault="00845B97" w:rsidP="00845B97">
      <w:pPr>
        <w:widowControl w:val="0"/>
        <w:ind w:left="567"/>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845B97" w:rsidRPr="00845B97" w14:paraId="38A3D78C" w14:textId="77777777" w:rsidTr="000F0F9B">
        <w:tc>
          <w:tcPr>
            <w:tcW w:w="1701" w:type="dxa"/>
          </w:tcPr>
          <w:p w14:paraId="051DC56C" w14:textId="77777777" w:rsidR="00845B97" w:rsidRPr="00845B97" w:rsidRDefault="00845B97" w:rsidP="000F0F9B">
            <w:pPr>
              <w:tabs>
                <w:tab w:val="center" w:pos="284"/>
              </w:tabs>
              <w:ind w:left="266" w:hanging="266"/>
              <w:rPr>
                <w:b/>
              </w:rPr>
            </w:pPr>
            <w:r w:rsidRPr="00845B97">
              <w:rPr>
                <w:b/>
              </w:rPr>
              <w:t>Zpravodaj</w:t>
            </w:r>
          </w:p>
        </w:tc>
        <w:tc>
          <w:tcPr>
            <w:tcW w:w="6096" w:type="dxa"/>
          </w:tcPr>
          <w:p w14:paraId="622B77E8" w14:textId="77777777" w:rsidR="00845B97" w:rsidRPr="00845B97" w:rsidRDefault="00845B97" w:rsidP="000F0F9B">
            <w:pPr>
              <w:tabs>
                <w:tab w:val="center" w:pos="284"/>
              </w:tabs>
              <w:ind w:left="266" w:hanging="266"/>
              <w:rPr>
                <w:b/>
                <w:bCs/>
                <w:spacing w:val="-4"/>
              </w:rPr>
            </w:pPr>
            <w:r w:rsidRPr="00845B97">
              <w:rPr>
                <w:bCs/>
              </w:rPr>
              <w:t>Javier GARAT PÉREZ</w:t>
            </w:r>
            <w:r w:rsidRPr="00845B97">
              <w:t xml:space="preserve"> (Organizace občanské společnosti – ES)</w:t>
            </w:r>
          </w:p>
        </w:tc>
      </w:tr>
      <w:tr w:rsidR="00845B97" w:rsidRPr="00845B97" w14:paraId="53203982" w14:textId="77777777" w:rsidTr="000F0F9B">
        <w:tc>
          <w:tcPr>
            <w:tcW w:w="7797" w:type="dxa"/>
            <w:gridSpan w:val="2"/>
          </w:tcPr>
          <w:p w14:paraId="0090EEA7" w14:textId="77777777" w:rsidR="00845B97" w:rsidRPr="00845B97" w:rsidRDefault="00845B97" w:rsidP="000F0F9B">
            <w:pPr>
              <w:tabs>
                <w:tab w:val="left" w:pos="2690"/>
              </w:tabs>
              <w:spacing w:line="160" w:lineRule="exact"/>
              <w:ind w:left="266" w:hanging="266"/>
              <w:rPr>
                <w:lang w:val="fr-BE"/>
              </w:rPr>
            </w:pPr>
          </w:p>
        </w:tc>
      </w:tr>
      <w:tr w:rsidR="00845B97" w:rsidRPr="00845B97" w14:paraId="23E509E2" w14:textId="77777777" w:rsidTr="000F0F9B">
        <w:tc>
          <w:tcPr>
            <w:tcW w:w="1701" w:type="dxa"/>
          </w:tcPr>
          <w:p w14:paraId="164B1CF4" w14:textId="77777777" w:rsidR="00845B97" w:rsidRPr="00845B97" w:rsidRDefault="00845B97" w:rsidP="000F0F9B">
            <w:pPr>
              <w:tabs>
                <w:tab w:val="center" w:pos="284"/>
              </w:tabs>
              <w:ind w:left="266" w:hanging="266"/>
              <w:rPr>
                <w:b/>
              </w:rPr>
            </w:pPr>
            <w:r w:rsidRPr="00845B97">
              <w:rPr>
                <w:b/>
              </w:rPr>
              <w:t>Odkaz</w:t>
            </w:r>
          </w:p>
        </w:tc>
        <w:tc>
          <w:tcPr>
            <w:tcW w:w="6096" w:type="dxa"/>
          </w:tcPr>
          <w:p w14:paraId="6404C633" w14:textId="14FB8BBA" w:rsidR="00F10515" w:rsidRDefault="00F10515" w:rsidP="000F0F9B">
            <w:pPr>
              <w:tabs>
                <w:tab w:val="center" w:pos="284"/>
              </w:tabs>
              <w:ind w:left="266" w:hanging="266"/>
            </w:pPr>
            <w:r>
              <w:t>COM(2025) 559 final</w:t>
            </w:r>
          </w:p>
          <w:p w14:paraId="5AA26AB8" w14:textId="4D57DA23" w:rsidR="00845B97" w:rsidRPr="00845B97" w:rsidRDefault="00845B97" w:rsidP="000F0F9B">
            <w:pPr>
              <w:tabs>
                <w:tab w:val="center" w:pos="284"/>
              </w:tabs>
              <w:ind w:left="266" w:hanging="266"/>
            </w:pPr>
            <w:r w:rsidRPr="00845B97">
              <w:t>EESC-2025-03</w:t>
            </w:r>
            <w:r w:rsidR="0093456F">
              <w:t>072</w:t>
            </w:r>
            <w:r w:rsidRPr="00845B97">
              <w:t>00-00-AC</w:t>
            </w:r>
          </w:p>
        </w:tc>
      </w:tr>
    </w:tbl>
    <w:p w14:paraId="24B8F24E" w14:textId="77777777" w:rsidR="00845B97" w:rsidRPr="00845B97" w:rsidRDefault="00845B97" w:rsidP="00845B97">
      <w:pPr>
        <w:keepNext/>
        <w:keepLines/>
        <w:tabs>
          <w:tab w:val="center" w:pos="284"/>
        </w:tabs>
        <w:ind w:left="266" w:hanging="266"/>
        <w:rPr>
          <w:bCs/>
        </w:rPr>
      </w:pPr>
    </w:p>
    <w:p w14:paraId="66344D96" w14:textId="77777777" w:rsidR="00845B97" w:rsidRPr="00845B97" w:rsidRDefault="00845B97" w:rsidP="00845B97">
      <w:pPr>
        <w:keepNext/>
        <w:keepLines/>
        <w:tabs>
          <w:tab w:val="center" w:pos="284"/>
        </w:tabs>
        <w:spacing w:line="276" w:lineRule="auto"/>
        <w:ind w:left="266" w:hanging="266"/>
        <w:rPr>
          <w:b/>
        </w:rPr>
      </w:pPr>
      <w:r w:rsidRPr="00845B97">
        <w:rPr>
          <w:b/>
        </w:rPr>
        <w:t>Hlavní body</w:t>
      </w:r>
    </w:p>
    <w:p w14:paraId="7F91569E" w14:textId="77777777" w:rsidR="00845B97" w:rsidRPr="00845B97" w:rsidRDefault="00845B97" w:rsidP="00845B97">
      <w:pPr>
        <w:keepNext/>
        <w:keepLines/>
        <w:tabs>
          <w:tab w:val="center" w:pos="284"/>
        </w:tabs>
        <w:spacing w:line="276" w:lineRule="auto"/>
        <w:ind w:left="266" w:hanging="266"/>
        <w:rPr>
          <w:bCs/>
        </w:rPr>
      </w:pPr>
    </w:p>
    <w:p w14:paraId="05B4F785" w14:textId="477BBDFA" w:rsidR="00845B97" w:rsidRDefault="00845B97" w:rsidP="00845B97">
      <w:pPr>
        <w:spacing w:line="240" w:lineRule="auto"/>
      </w:pPr>
      <w:r w:rsidRPr="00845B97">
        <w:t>EHSV:</w:t>
      </w:r>
    </w:p>
    <w:p w14:paraId="7133ED5E" w14:textId="77777777" w:rsidR="00845B97" w:rsidRPr="00845B97" w:rsidRDefault="00845B97" w:rsidP="00845B97">
      <w:pPr>
        <w:spacing w:line="240" w:lineRule="auto"/>
        <w:rPr>
          <w:bCs/>
          <w:iCs/>
        </w:rPr>
      </w:pPr>
    </w:p>
    <w:p w14:paraId="0A885035" w14:textId="77777777" w:rsidR="00845B97" w:rsidRPr="00845B97" w:rsidRDefault="00845B97" w:rsidP="00845B97">
      <w:pPr>
        <w:pStyle w:val="ListParagraph"/>
        <w:numPr>
          <w:ilvl w:val="0"/>
          <w:numId w:val="42"/>
        </w:numPr>
        <w:spacing w:after="200" w:line="276" w:lineRule="auto"/>
        <w:ind w:left="567" w:hanging="567"/>
      </w:pPr>
      <w:r w:rsidRPr="00845B97">
        <w:t xml:space="preserve">požaduje, aby </w:t>
      </w:r>
      <w:r w:rsidRPr="00845B97">
        <w:rPr>
          <w:b/>
          <w:bCs/>
        </w:rPr>
        <w:t>bylo</w:t>
      </w:r>
      <w:r w:rsidRPr="00845B97">
        <w:t xml:space="preserve"> v souladu se současným rozpočtem na období 2021–2027 </w:t>
      </w:r>
      <w:r w:rsidRPr="00845B97">
        <w:rPr>
          <w:b/>
          <w:bCs/>
        </w:rPr>
        <w:t>povinně a se zárukami vyčleněno 6,1 miliardy EUR na provádění společné rybářské politiky</w:t>
      </w:r>
      <w:r w:rsidRPr="00845B97">
        <w:t xml:space="preserve"> (SRP), aby tak byla zachována jedna z mála výlučných pravomocí EU a aby se zabránilo konkurenci s jinými odvětvími. Rybolovu by měla být věnována </w:t>
      </w:r>
      <w:r w:rsidRPr="00845B97">
        <w:rPr>
          <w:b/>
          <w:bCs/>
        </w:rPr>
        <w:t>zvláštní kapitola</w:t>
      </w:r>
      <w:r w:rsidRPr="00845B97">
        <w:t>, která musí zajistit přiměřené veřejné investice a právní jistotu pro provozovatele;</w:t>
      </w:r>
    </w:p>
    <w:p w14:paraId="2A79BF25" w14:textId="77777777" w:rsidR="00845B97" w:rsidRPr="00845B97" w:rsidRDefault="00845B97" w:rsidP="00845B97">
      <w:pPr>
        <w:pStyle w:val="ListParagraph"/>
        <w:numPr>
          <w:ilvl w:val="0"/>
          <w:numId w:val="42"/>
        </w:numPr>
        <w:spacing w:after="200" w:line="276" w:lineRule="auto"/>
        <w:ind w:left="567" w:hanging="567"/>
      </w:pPr>
      <w:r w:rsidRPr="00845B97">
        <w:t xml:space="preserve">je znepokojen zjevným upřednostňováním dosahování cílů Evropského paktu pro oceány, jenž má nezávazný charakter, namísto toho, aby bylo prioritou stanoveno naplňování </w:t>
      </w:r>
      <w:r w:rsidRPr="00845B97">
        <w:rPr>
          <w:b/>
          <w:bCs/>
        </w:rPr>
        <w:t>cílů SRP</w:t>
      </w:r>
      <w:r w:rsidRPr="00845B97">
        <w:t>, což je úkol</w:t>
      </w:r>
      <w:r w:rsidRPr="00845B97">
        <w:rPr>
          <w:b/>
          <w:bCs/>
        </w:rPr>
        <w:t xml:space="preserve"> stanovený Smlouvou o fungování EU a nařízením o SRP</w:t>
      </w:r>
      <w:r w:rsidRPr="00845B97">
        <w:t>;</w:t>
      </w:r>
    </w:p>
    <w:p w14:paraId="1BA6C9A2" w14:textId="77777777" w:rsidR="00845B97" w:rsidRPr="00845B97" w:rsidRDefault="00845B97" w:rsidP="00845B97">
      <w:pPr>
        <w:pStyle w:val="ListParagraph"/>
        <w:numPr>
          <w:ilvl w:val="0"/>
          <w:numId w:val="42"/>
        </w:numPr>
        <w:spacing w:after="200" w:line="276" w:lineRule="auto"/>
        <w:ind w:left="567" w:hanging="567"/>
      </w:pPr>
      <w:r w:rsidRPr="00845B97">
        <w:t xml:space="preserve">vítá návrh </w:t>
      </w:r>
      <w:r w:rsidRPr="00845B97">
        <w:rPr>
          <w:b/>
          <w:bCs/>
        </w:rPr>
        <w:t>posílit soudržnost a synergie se souvisejícími iniciativami a fondy</w:t>
      </w:r>
      <w:r w:rsidRPr="00845B97">
        <w:t>, aby se zabránilo zdvojování úsilí a maximalizoval se dopad veřejných investic. Naléhavě však vyzývá Evropskou komisi (EK), aby zajistila, že vlády budou provádět investice nezbytné pro splnění cílů SRP;</w:t>
      </w:r>
    </w:p>
    <w:p w14:paraId="68920180" w14:textId="77777777" w:rsidR="00845B97" w:rsidRPr="00845B97" w:rsidRDefault="00845B97" w:rsidP="00845B97">
      <w:pPr>
        <w:pStyle w:val="ListParagraph"/>
        <w:numPr>
          <w:ilvl w:val="0"/>
          <w:numId w:val="42"/>
        </w:numPr>
        <w:spacing w:after="200" w:line="276" w:lineRule="auto"/>
        <w:ind w:left="567" w:hanging="567"/>
      </w:pPr>
      <w:r w:rsidRPr="00845B97">
        <w:t>zdůrazňuje, že je nutné zajistit flexibilnější definici drobného pobřežního rybolovu, která by byla založena na kritériích stanovených organizací FAO a regionálními organizacemi pro řízení rybolovu;</w:t>
      </w:r>
    </w:p>
    <w:p w14:paraId="44506770" w14:textId="77777777" w:rsidR="00845B97" w:rsidRPr="00845B97" w:rsidRDefault="00845B97" w:rsidP="00845B97">
      <w:pPr>
        <w:pStyle w:val="ListParagraph"/>
        <w:numPr>
          <w:ilvl w:val="0"/>
          <w:numId w:val="42"/>
        </w:numPr>
        <w:spacing w:after="200" w:line="276" w:lineRule="auto"/>
        <w:ind w:left="567" w:hanging="567"/>
      </w:pPr>
      <w:r w:rsidRPr="00845B97">
        <w:t xml:space="preserve">konstatuje, že je nezbytné, aby členské státy vypracovaly plány a opatření pro </w:t>
      </w:r>
      <w:r w:rsidRPr="00845B97">
        <w:rPr>
          <w:b/>
          <w:bCs/>
        </w:rPr>
        <w:t>modernizaci a obnovu plavidel</w:t>
      </w:r>
      <w:r w:rsidRPr="00845B97">
        <w:t xml:space="preserve"> zaměřené na zlepšení energetické účinnosti, bezpečnosti na palubě a pracovních podmínek, aniž by se současně zvyšovala rybolovná kapacita;</w:t>
      </w:r>
    </w:p>
    <w:p w14:paraId="5B9D08A8" w14:textId="77777777" w:rsidR="00845B97" w:rsidRPr="00845B97" w:rsidRDefault="00845B97" w:rsidP="00845B97">
      <w:pPr>
        <w:pStyle w:val="ListParagraph"/>
        <w:numPr>
          <w:ilvl w:val="0"/>
          <w:numId w:val="42"/>
        </w:numPr>
        <w:spacing w:after="200" w:line="276" w:lineRule="auto"/>
        <w:ind w:left="567" w:hanging="567"/>
      </w:pPr>
      <w:r w:rsidRPr="00845B97">
        <w:t xml:space="preserve">vítá záměr EK </w:t>
      </w:r>
      <w:r w:rsidRPr="00845B97">
        <w:rPr>
          <w:b/>
          <w:bCs/>
        </w:rPr>
        <w:t>vytvořit jednoduchou strukturu</w:t>
      </w:r>
      <w:r w:rsidRPr="00845B97">
        <w:t xml:space="preserve"> bez příliš normativního předběžného definování podrobných opatření či norem způsobilosti na úrovni EU. Výbor naléhavě vyzývá členské státy, aby při vypracovávání svých plánů národního a regionálního partnerství zachovaly tento flexibilní charakter a pokračovaly v úsilí o zjednodušení. Vyzývá rovněž k vytvoření </w:t>
      </w:r>
      <w:r w:rsidRPr="00845B97">
        <w:rPr>
          <w:b/>
          <w:bCs/>
        </w:rPr>
        <w:t>pokynů na základě zásady „významně nepoškozovat“</w:t>
      </w:r>
      <w:r w:rsidRPr="00845B97">
        <w:t>, které by byly použitelné ve všech odvětvích;</w:t>
      </w:r>
    </w:p>
    <w:p w14:paraId="3261EE1F" w14:textId="77777777" w:rsidR="00845B97" w:rsidRPr="00845B97" w:rsidRDefault="00845B97" w:rsidP="00845B97">
      <w:pPr>
        <w:pStyle w:val="ListParagraph"/>
        <w:numPr>
          <w:ilvl w:val="0"/>
          <w:numId w:val="42"/>
        </w:numPr>
        <w:spacing w:after="200" w:line="276" w:lineRule="auto"/>
        <w:ind w:left="567" w:hanging="567"/>
      </w:pPr>
      <w:r w:rsidRPr="00845B97">
        <w:t>souhlasí s tím, že je třeba zachovat určitý stupeň flexibility při určování míry podpory, aby členské státy mohly přizpůsobit své plány národního a regionálního partnerství specifickým charakteristickým rysům svých odvětví a regionů;</w:t>
      </w:r>
    </w:p>
    <w:p w14:paraId="71F8F3F9" w14:textId="77777777" w:rsidR="00845B97" w:rsidRPr="00845B97" w:rsidRDefault="00845B97" w:rsidP="00845B97">
      <w:pPr>
        <w:pStyle w:val="ListParagraph"/>
        <w:numPr>
          <w:ilvl w:val="0"/>
          <w:numId w:val="42"/>
        </w:numPr>
        <w:spacing w:line="276" w:lineRule="auto"/>
        <w:ind w:left="567" w:hanging="567"/>
      </w:pPr>
      <w:r w:rsidRPr="00845B97">
        <w:t xml:space="preserve">vítá nové zjednodušení a způsob, jakým je formulováno ustanovení týkající se operací způsobilých pro obdržení </w:t>
      </w:r>
      <w:r w:rsidRPr="00845B97">
        <w:rPr>
          <w:b/>
          <w:bCs/>
        </w:rPr>
        <w:t>veřejné podpory</w:t>
      </w:r>
      <w:r w:rsidRPr="00845B97">
        <w:t>.</w:t>
      </w:r>
    </w:p>
    <w:p w14:paraId="76B49A0E" w14:textId="77777777" w:rsidR="00845B97" w:rsidRPr="00845B97" w:rsidRDefault="00845B97" w:rsidP="00845B97">
      <w:pPr>
        <w:spacing w:line="240" w:lineRule="auto"/>
      </w:pPr>
    </w:p>
    <w:tbl>
      <w:tblPr>
        <w:tblStyle w:val="TableGrid"/>
        <w:tblW w:w="7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549"/>
      </w:tblGrid>
      <w:tr w:rsidR="00845B97" w:rsidRPr="00845B97" w14:paraId="024E8A28" w14:textId="77777777" w:rsidTr="00845B97">
        <w:trPr>
          <w:trHeight w:val="300"/>
        </w:trPr>
        <w:tc>
          <w:tcPr>
            <w:tcW w:w="1755" w:type="dxa"/>
          </w:tcPr>
          <w:p w14:paraId="2E938C58" w14:textId="55397366" w:rsidR="00845B97" w:rsidRPr="00845B97" w:rsidRDefault="00845B97" w:rsidP="00845B97">
            <w:pPr>
              <w:spacing w:line="240" w:lineRule="auto"/>
              <w:jc w:val="left"/>
              <w:rPr>
                <w:b/>
                <w:i/>
              </w:rPr>
            </w:pPr>
            <w:r w:rsidRPr="00DE0AD0">
              <w:rPr>
                <w:b/>
                <w:i/>
              </w:rPr>
              <w:t>Kontakt:</w:t>
            </w:r>
          </w:p>
        </w:tc>
        <w:tc>
          <w:tcPr>
            <w:tcW w:w="5549" w:type="dxa"/>
          </w:tcPr>
          <w:p w14:paraId="1A7E8204" w14:textId="24581B9B" w:rsidR="00845B97" w:rsidRPr="00845B97" w:rsidRDefault="00845B97" w:rsidP="00845B97">
            <w:pPr>
              <w:spacing w:line="240" w:lineRule="auto"/>
              <w:rPr>
                <w:i/>
                <w:iCs/>
              </w:rPr>
            </w:pPr>
            <w:r w:rsidRPr="00845B97">
              <w:rPr>
                <w:i/>
                <w:iCs/>
              </w:rPr>
              <w:t xml:space="preserve">Arturo </w:t>
            </w:r>
            <w:proofErr w:type="spellStart"/>
            <w:r w:rsidRPr="00845B97">
              <w:rPr>
                <w:i/>
                <w:iCs/>
              </w:rPr>
              <w:t>Iñiguez</w:t>
            </w:r>
            <w:proofErr w:type="spellEnd"/>
          </w:p>
        </w:tc>
      </w:tr>
      <w:tr w:rsidR="00845B97" w:rsidRPr="00845B97" w14:paraId="271B5DF9" w14:textId="77777777" w:rsidTr="00845B97">
        <w:trPr>
          <w:trHeight w:val="300"/>
        </w:trPr>
        <w:tc>
          <w:tcPr>
            <w:tcW w:w="1755" w:type="dxa"/>
          </w:tcPr>
          <w:p w14:paraId="44C48C87" w14:textId="180CE2DA" w:rsidR="00845B97" w:rsidRPr="00845B97" w:rsidRDefault="00845B97" w:rsidP="00845B97">
            <w:pPr>
              <w:spacing w:line="240" w:lineRule="auto"/>
              <w:jc w:val="left"/>
              <w:rPr>
                <w:i/>
              </w:rPr>
            </w:pPr>
            <w:r w:rsidRPr="00DE0AD0">
              <w:rPr>
                <w:i/>
              </w:rPr>
              <w:t>Tel.:</w:t>
            </w:r>
          </w:p>
        </w:tc>
        <w:tc>
          <w:tcPr>
            <w:tcW w:w="5549" w:type="dxa"/>
          </w:tcPr>
          <w:p w14:paraId="767FFD0A" w14:textId="77777777" w:rsidR="00845B97" w:rsidRPr="00845B97" w:rsidRDefault="00845B97" w:rsidP="00845B97">
            <w:pPr>
              <w:spacing w:line="240" w:lineRule="auto"/>
              <w:rPr>
                <w:i/>
                <w:iCs/>
              </w:rPr>
            </w:pPr>
            <w:r w:rsidRPr="00845B97">
              <w:rPr>
                <w:i/>
              </w:rPr>
              <w:t>+32 25468768</w:t>
            </w:r>
          </w:p>
        </w:tc>
      </w:tr>
      <w:tr w:rsidR="00845B97" w:rsidRPr="00602AAE" w14:paraId="7252DE28" w14:textId="77777777" w:rsidTr="00845B97">
        <w:trPr>
          <w:trHeight w:val="300"/>
        </w:trPr>
        <w:tc>
          <w:tcPr>
            <w:tcW w:w="1755" w:type="dxa"/>
          </w:tcPr>
          <w:p w14:paraId="6C09E915" w14:textId="41679405" w:rsidR="00845B97" w:rsidRDefault="00845B97" w:rsidP="00845B97">
            <w:pPr>
              <w:spacing w:line="240" w:lineRule="auto"/>
              <w:jc w:val="left"/>
              <w:rPr>
                <w:i/>
              </w:rPr>
            </w:pPr>
            <w:r w:rsidRPr="00DE0AD0">
              <w:rPr>
                <w:i/>
              </w:rPr>
              <w:t>E-mail:</w:t>
            </w:r>
          </w:p>
        </w:tc>
        <w:tc>
          <w:tcPr>
            <w:tcW w:w="5549" w:type="dxa"/>
          </w:tcPr>
          <w:p w14:paraId="368DA07E" w14:textId="77777777" w:rsidR="00845B97" w:rsidRPr="00602AAE" w:rsidRDefault="003D4857" w:rsidP="00845B97">
            <w:pPr>
              <w:spacing w:line="240" w:lineRule="auto"/>
              <w:rPr>
                <w:i/>
                <w:iCs/>
                <w:color w:val="0000FF"/>
                <w:u w:val="single"/>
              </w:rPr>
            </w:pPr>
            <w:hyperlink r:id="rId58" w:history="1">
              <w:r w:rsidR="00845B97">
                <w:rPr>
                  <w:rStyle w:val="Hyperlink"/>
                  <w:i/>
                </w:rPr>
                <w:t>Arturo.Iniguez@eesc.europa.eu</w:t>
              </w:r>
            </w:hyperlink>
          </w:p>
        </w:tc>
      </w:tr>
    </w:tbl>
    <w:p w14:paraId="4180D9D4" w14:textId="4EE7A673" w:rsidR="00BC192C" w:rsidRPr="00DE0AD0" w:rsidRDefault="00BC192C" w:rsidP="00DE0AD0">
      <w:pPr>
        <w:jc w:val="left"/>
      </w:pPr>
      <w:r w:rsidRPr="00DE0AD0">
        <w:br w:type="page"/>
      </w:r>
    </w:p>
    <w:p w14:paraId="4BF80AE0" w14:textId="4F671A61" w:rsidR="00BC192C" w:rsidRPr="00DE0AD0" w:rsidRDefault="003D4857" w:rsidP="006371B9">
      <w:pPr>
        <w:widowControl w:val="0"/>
        <w:numPr>
          <w:ilvl w:val="0"/>
          <w:numId w:val="18"/>
        </w:numPr>
        <w:overflowPunct w:val="0"/>
        <w:autoSpaceDE w:val="0"/>
        <w:autoSpaceDN w:val="0"/>
        <w:adjustRightInd w:val="0"/>
        <w:ind w:hanging="567"/>
        <w:textAlignment w:val="baseline"/>
        <w:rPr>
          <w:sz w:val="20"/>
        </w:rPr>
      </w:pPr>
      <w:hyperlink r:id="rId59" w:history="1">
        <w:r w:rsidR="00BC192C" w:rsidRPr="00DE0AD0">
          <w:rPr>
            <w:rStyle w:val="Hyperlink"/>
            <w:b/>
            <w:i/>
            <w:sz w:val="28"/>
          </w:rPr>
          <w:t>Společná zemědělská polit</w:t>
        </w:r>
        <w:r w:rsidR="00BC192C" w:rsidRPr="00DE0AD0">
          <w:rPr>
            <w:rStyle w:val="Hyperlink"/>
            <w:b/>
            <w:i/>
            <w:sz w:val="28"/>
          </w:rPr>
          <w:t>i</w:t>
        </w:r>
        <w:r w:rsidR="00BC192C" w:rsidRPr="00DE0AD0">
          <w:rPr>
            <w:rStyle w:val="Hyperlink"/>
            <w:b/>
            <w:i/>
            <w:sz w:val="28"/>
          </w:rPr>
          <w:t>ka (SZP) po roce 2027</w:t>
        </w:r>
      </w:hyperlink>
    </w:p>
    <w:p w14:paraId="05C60FC5" w14:textId="77777777" w:rsidR="00BC192C" w:rsidRPr="00DE0AD0" w:rsidRDefault="00BC192C" w:rsidP="00DE0AD0">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BC192C" w:rsidRPr="00DE0AD0" w14:paraId="54471900" w14:textId="77777777" w:rsidTr="001B4992">
        <w:tc>
          <w:tcPr>
            <w:tcW w:w="1077" w:type="pct"/>
          </w:tcPr>
          <w:p w14:paraId="1A579B43" w14:textId="77777777" w:rsidR="00BC192C" w:rsidRPr="00DE0AD0" w:rsidRDefault="00BC192C" w:rsidP="00DE0AD0">
            <w:pPr>
              <w:tabs>
                <w:tab w:val="center" w:pos="284"/>
              </w:tabs>
              <w:ind w:left="266" w:hanging="266"/>
              <w:rPr>
                <w:b/>
              </w:rPr>
            </w:pPr>
            <w:r w:rsidRPr="00DE0AD0">
              <w:rPr>
                <w:b/>
              </w:rPr>
              <w:t>Zpravodaj</w:t>
            </w:r>
          </w:p>
        </w:tc>
        <w:tc>
          <w:tcPr>
            <w:tcW w:w="3923" w:type="pct"/>
          </w:tcPr>
          <w:p w14:paraId="2DEC10A3" w14:textId="77777777" w:rsidR="00BC192C" w:rsidRPr="00DE0AD0" w:rsidRDefault="00BC192C" w:rsidP="00DE0AD0">
            <w:pPr>
              <w:tabs>
                <w:tab w:val="center" w:pos="284"/>
              </w:tabs>
              <w:ind w:left="266" w:right="-3091" w:hanging="266"/>
            </w:pPr>
            <w:r w:rsidRPr="00DE0AD0">
              <w:t>Joe HEALY (Organizace občanské společnosti – IE)</w:t>
            </w:r>
          </w:p>
        </w:tc>
      </w:tr>
      <w:tr w:rsidR="00BC192C" w:rsidRPr="00DE0AD0" w14:paraId="6DBAA2B8" w14:textId="77777777" w:rsidTr="001B4992">
        <w:tc>
          <w:tcPr>
            <w:tcW w:w="1077" w:type="pct"/>
          </w:tcPr>
          <w:p w14:paraId="46970265" w14:textId="77777777" w:rsidR="00BC192C" w:rsidRPr="00DE0AD0" w:rsidRDefault="00BC192C" w:rsidP="00DE0AD0">
            <w:pPr>
              <w:tabs>
                <w:tab w:val="center" w:pos="284"/>
              </w:tabs>
              <w:ind w:left="266" w:hanging="266"/>
              <w:rPr>
                <w:b/>
              </w:rPr>
            </w:pPr>
            <w:r w:rsidRPr="00DE0AD0">
              <w:rPr>
                <w:b/>
              </w:rPr>
              <w:t>Spoluzpravodaj</w:t>
            </w:r>
          </w:p>
        </w:tc>
        <w:tc>
          <w:tcPr>
            <w:tcW w:w="3923" w:type="pct"/>
          </w:tcPr>
          <w:p w14:paraId="2A43BE06" w14:textId="77777777" w:rsidR="00BC192C" w:rsidRPr="00DE0AD0" w:rsidRDefault="00BC192C" w:rsidP="00DE0AD0">
            <w:pPr>
              <w:tabs>
                <w:tab w:val="center" w:pos="284"/>
              </w:tabs>
              <w:ind w:left="266" w:right="-3091" w:hanging="266"/>
            </w:pPr>
            <w:r w:rsidRPr="00DE0AD0">
              <w:t>Arnold PUECH D'ALISSAC (Zaměstnavatelé – FR)</w:t>
            </w:r>
          </w:p>
          <w:p w14:paraId="03DDC426" w14:textId="77777777" w:rsidR="00BC192C" w:rsidRPr="00DE0AD0" w:rsidRDefault="00BC192C" w:rsidP="00DE0AD0">
            <w:pPr>
              <w:tabs>
                <w:tab w:val="center" w:pos="284"/>
              </w:tabs>
              <w:ind w:left="266" w:right="-3091" w:hanging="266"/>
            </w:pPr>
          </w:p>
        </w:tc>
      </w:tr>
      <w:tr w:rsidR="00BC192C" w:rsidRPr="00DE0AD0" w14:paraId="1879F38F" w14:textId="77777777" w:rsidTr="001B4992">
        <w:tc>
          <w:tcPr>
            <w:tcW w:w="1077" w:type="pct"/>
          </w:tcPr>
          <w:p w14:paraId="2C016089" w14:textId="77777777" w:rsidR="00BC192C" w:rsidRPr="00DE0AD0" w:rsidRDefault="00BC192C" w:rsidP="00DE0AD0">
            <w:pPr>
              <w:tabs>
                <w:tab w:val="center" w:pos="284"/>
              </w:tabs>
              <w:ind w:left="266" w:hanging="266"/>
              <w:rPr>
                <w:b/>
              </w:rPr>
            </w:pPr>
            <w:r w:rsidRPr="00DE0AD0">
              <w:rPr>
                <w:b/>
              </w:rPr>
              <w:t>Odkaz</w:t>
            </w:r>
          </w:p>
        </w:tc>
        <w:tc>
          <w:tcPr>
            <w:tcW w:w="3923" w:type="pct"/>
          </w:tcPr>
          <w:p w14:paraId="74122AB6" w14:textId="0CD4B364" w:rsidR="00B97667" w:rsidRDefault="00B97667" w:rsidP="00DE0AD0">
            <w:pPr>
              <w:tabs>
                <w:tab w:val="center" w:pos="284"/>
              </w:tabs>
              <w:ind w:left="266" w:right="-3091" w:hanging="266"/>
            </w:pPr>
            <w:r>
              <w:t>COM(2025) 560 final</w:t>
            </w:r>
          </w:p>
          <w:p w14:paraId="4BE12CA1" w14:textId="68CF4EE2" w:rsidR="00BC192C" w:rsidRPr="00DE0AD0" w:rsidRDefault="00BC192C" w:rsidP="00DE0AD0">
            <w:pPr>
              <w:tabs>
                <w:tab w:val="center" w:pos="284"/>
              </w:tabs>
              <w:ind w:left="266" w:right="-3091" w:hanging="266"/>
            </w:pPr>
            <w:r w:rsidRPr="00DE0AD0">
              <w:t>EESC-2025-02581-00-00-AC-TRA</w:t>
            </w:r>
          </w:p>
        </w:tc>
      </w:tr>
    </w:tbl>
    <w:p w14:paraId="19816AFA" w14:textId="77777777" w:rsidR="00BC192C" w:rsidRPr="00DE0AD0" w:rsidRDefault="00BC192C" w:rsidP="00DE0AD0">
      <w:pPr>
        <w:tabs>
          <w:tab w:val="center" w:pos="284"/>
        </w:tabs>
        <w:ind w:left="266" w:hanging="266"/>
        <w:rPr>
          <w:b/>
        </w:rPr>
      </w:pPr>
    </w:p>
    <w:p w14:paraId="14F1AAE0" w14:textId="77777777" w:rsidR="00BC192C" w:rsidRPr="00DE0AD0" w:rsidRDefault="00BC192C" w:rsidP="00DE0AD0">
      <w:pPr>
        <w:keepNext/>
        <w:keepLines/>
        <w:tabs>
          <w:tab w:val="center" w:pos="284"/>
        </w:tabs>
        <w:ind w:left="266" w:hanging="266"/>
        <w:rPr>
          <w:b/>
        </w:rPr>
      </w:pPr>
      <w:r w:rsidRPr="00DE0AD0">
        <w:rPr>
          <w:b/>
        </w:rPr>
        <w:t>Hlavní body</w:t>
      </w:r>
    </w:p>
    <w:p w14:paraId="163513BE" w14:textId="77777777" w:rsidR="00BC192C" w:rsidRPr="00DE0AD0" w:rsidRDefault="00BC192C" w:rsidP="00DE0AD0">
      <w:pPr>
        <w:keepNext/>
        <w:keepLines/>
        <w:tabs>
          <w:tab w:val="center" w:pos="284"/>
        </w:tabs>
        <w:ind w:left="266" w:hanging="266"/>
        <w:rPr>
          <w:b/>
        </w:rPr>
      </w:pPr>
    </w:p>
    <w:p w14:paraId="0D4314A0" w14:textId="3EF049E0" w:rsidR="00BC192C" w:rsidRPr="00DE0AD0" w:rsidRDefault="00834038" w:rsidP="00DE0AD0">
      <w:r w:rsidRPr="00DE0AD0">
        <w:t>EHSV:</w:t>
      </w:r>
    </w:p>
    <w:p w14:paraId="617B053B" w14:textId="77777777" w:rsidR="00BC192C" w:rsidRPr="00DE0AD0" w:rsidRDefault="00BC192C" w:rsidP="00DE0AD0">
      <w:pPr>
        <w:rPr>
          <w:color w:val="000000" w:themeColor="text1"/>
        </w:rPr>
      </w:pPr>
    </w:p>
    <w:p w14:paraId="478490BC" w14:textId="77777777" w:rsidR="00BC192C" w:rsidRPr="00DE0AD0" w:rsidRDefault="00BC192C" w:rsidP="006371B9">
      <w:pPr>
        <w:pStyle w:val="ListParagraph"/>
        <w:numPr>
          <w:ilvl w:val="0"/>
          <w:numId w:val="19"/>
        </w:numPr>
        <w:ind w:left="567" w:hanging="567"/>
        <w:rPr>
          <w:color w:val="000000" w:themeColor="text1"/>
        </w:rPr>
      </w:pPr>
      <w:r w:rsidRPr="00DE0AD0">
        <w:rPr>
          <w:color w:val="000000" w:themeColor="text1"/>
        </w:rPr>
        <w:t xml:space="preserve">odmítá návrh Komise. Nestanoví totiž pro zemědělství v EU žádné směry do budoucna, jasné cíle ani dlouhodobou vizi a nepřinese nic jiného než jen výrazné snížení rozpočtu SZP; </w:t>
      </w:r>
    </w:p>
    <w:p w14:paraId="43B15024" w14:textId="77777777" w:rsidR="00BC192C" w:rsidRPr="00DE0AD0" w:rsidRDefault="00BC192C" w:rsidP="006371B9">
      <w:pPr>
        <w:pStyle w:val="ListParagraph"/>
        <w:numPr>
          <w:ilvl w:val="0"/>
          <w:numId w:val="19"/>
        </w:numPr>
        <w:ind w:left="567" w:hanging="567"/>
        <w:rPr>
          <w:color w:val="000000" w:themeColor="text1"/>
        </w:rPr>
      </w:pPr>
      <w:r w:rsidRPr="00DE0AD0">
        <w:rPr>
          <w:color w:val="000000" w:themeColor="text1"/>
        </w:rPr>
        <w:t xml:space="preserve">upozorňuje na rizika spojená s tím, že v rámci nové struktury rozpočtu si budou oblast zemědělství a oblast soudržnosti konkurovat při získávání prostředků na investice; </w:t>
      </w:r>
    </w:p>
    <w:p w14:paraId="045C58BD" w14:textId="77777777" w:rsidR="00BC192C" w:rsidRPr="00DE0AD0" w:rsidRDefault="00BC192C" w:rsidP="006371B9">
      <w:pPr>
        <w:pStyle w:val="ListParagraph"/>
        <w:numPr>
          <w:ilvl w:val="0"/>
          <w:numId w:val="19"/>
        </w:numPr>
        <w:ind w:left="567" w:hanging="567"/>
      </w:pPr>
      <w:r w:rsidRPr="00DE0AD0">
        <w:t xml:space="preserve">žádá, aby byl na SZP vyčleněn samostatný a účelově vázaný rozpočet, který by měl být navýšen tak, aby opět odpovídal 0,5 % HDP EU, a řádně upravován na základě inflace. V rámci tohoto rozpočtu je třeba vyčlenit ambicióznější podíl účelově vázaných prostředků pro venkovské oblasti a větší množství prostředků na strategie generační obměny a zavést cílená opatření na podporu mladých zemědělců zahajujících zemědělskou činnost a zemědělkyň; </w:t>
      </w:r>
    </w:p>
    <w:p w14:paraId="65C4EE19" w14:textId="77777777" w:rsidR="00BC192C" w:rsidRPr="00DE0AD0" w:rsidRDefault="00BC192C" w:rsidP="006371B9">
      <w:pPr>
        <w:pStyle w:val="ListParagraph"/>
        <w:numPr>
          <w:ilvl w:val="0"/>
          <w:numId w:val="19"/>
        </w:numPr>
        <w:ind w:left="567" w:hanging="567"/>
        <w:rPr>
          <w:color w:val="000000" w:themeColor="text1"/>
        </w:rPr>
      </w:pPr>
      <w:r w:rsidRPr="00DE0AD0">
        <w:t>domnívá se, že je třeba stanovit spravedlivou a přiměřenou maximální výši přímých plateb pro jednotlivé aktivní zemědělce, a podporuje povinné omezení této částky na 100 000 EUR, jak navrhla Evropská komise. Dále pak se domnívá, že by Komise při přidělování přímých plateb neměla diskriminovat skutečně aktivní zemědělce na základě toho, že spadají do vyšší věkové kategorie nebo pobírají důchod, a spíše by v tomto směru měla pobízet k zavedení cílených finančních programů, v jejichž rámci bude podporováno převádění vlastnictví zemědělských podniků provozovaných staršími zemědělci a zemědělci v důchodu do rukou mladých zemědělců;</w:t>
      </w:r>
    </w:p>
    <w:p w14:paraId="4EEF3210" w14:textId="77777777" w:rsidR="00BC192C" w:rsidRPr="00DE0AD0" w:rsidRDefault="00BC192C" w:rsidP="006371B9">
      <w:pPr>
        <w:pStyle w:val="ListParagraph"/>
        <w:numPr>
          <w:ilvl w:val="0"/>
          <w:numId w:val="19"/>
        </w:numPr>
        <w:ind w:left="567" w:hanging="567"/>
      </w:pPr>
      <w:r w:rsidRPr="00DE0AD0">
        <w:t xml:space="preserve">zdůrazňuje, že je nutné zahrnout do SZP zásadu rovnocennosti norem, aby byla zohledněna skutečnost, že evropští zemědělci dodržují mnohem vyšší environmentální, sociální a zdravotní normy, než jaké platí v jiných zemích; </w:t>
      </w:r>
    </w:p>
    <w:p w14:paraId="496068C1" w14:textId="77777777" w:rsidR="00BC192C" w:rsidRPr="00DE0AD0" w:rsidRDefault="00BC192C" w:rsidP="006371B9">
      <w:pPr>
        <w:pStyle w:val="ListParagraph"/>
        <w:numPr>
          <w:ilvl w:val="0"/>
          <w:numId w:val="19"/>
        </w:numPr>
        <w:ind w:left="567" w:hanging="567"/>
      </w:pPr>
      <w:r w:rsidRPr="00DE0AD0">
        <w:t xml:space="preserve">vybízí k tomu, aby byly prostřednictvím opatření v podobě dobrovolných a dostatečně financovaných iniciativ uplatňovány ochranné klimatické a environmentální postupy založené na vědeckých poznatcích a udržitelné a ucelené výrobní systémy, k nimž patří například ekologické a regenerativní zemědělství a další agroekologické systémy; </w:t>
      </w:r>
    </w:p>
    <w:p w14:paraId="129F7EE5" w14:textId="77777777" w:rsidR="00BC192C" w:rsidRPr="00DE0AD0" w:rsidRDefault="00BC192C" w:rsidP="006371B9">
      <w:pPr>
        <w:pStyle w:val="ListParagraph"/>
        <w:keepNext/>
        <w:keepLines/>
        <w:numPr>
          <w:ilvl w:val="0"/>
          <w:numId w:val="19"/>
        </w:numPr>
        <w:ind w:left="567" w:hanging="567"/>
      </w:pPr>
      <w:r w:rsidRPr="00DE0AD0">
        <w:t xml:space="preserve">domnívá se, že je třeba posílit potravinový řetězec EU, pokud jde o obnovení rovnováhy sil v tomto řetězci, zákaz prodeje pod cenou a odolnost vůči krizím, a to zavedením dodatečných nástrojů krizového řízení a vylepšením těch stávajících a využíváním systémů pojištění proti přírodním katastrofám; </w:t>
      </w:r>
    </w:p>
    <w:p w14:paraId="0BD3D54F" w14:textId="77777777" w:rsidR="00BC192C" w:rsidRPr="00DE0AD0" w:rsidRDefault="00BC192C" w:rsidP="006371B9">
      <w:pPr>
        <w:pStyle w:val="ListParagraph"/>
        <w:numPr>
          <w:ilvl w:val="0"/>
          <w:numId w:val="19"/>
        </w:numPr>
        <w:ind w:left="567" w:hanging="567"/>
      </w:pPr>
      <w:r w:rsidRPr="00DE0AD0">
        <w:t>konstatuje, že je nutné posílit sociální podmíněnost a zajistit jasné provázání s návrhy týkajícími se SZP. Kontroly a sankce uplatňované v rámci sociální podmíněnosti se musí bez výjimky vztahovat na všechny zemědělské podniky, přičemž její celkovou integritu nesmí oslabit ukládání pokut na základě vnitrostátního práva.</w:t>
      </w:r>
    </w:p>
    <w:p w14:paraId="58AB016D" w14:textId="77777777" w:rsidR="00BC192C" w:rsidRPr="00DE0AD0" w:rsidRDefault="00BC192C" w:rsidP="00DE0AD0">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287"/>
      </w:tblGrid>
      <w:tr w:rsidR="00BC192C" w:rsidRPr="00DE0AD0" w14:paraId="5EDF07B3" w14:textId="77777777" w:rsidTr="001B4992">
        <w:tc>
          <w:tcPr>
            <w:tcW w:w="1077" w:type="pct"/>
          </w:tcPr>
          <w:p w14:paraId="3362A89C" w14:textId="77777777" w:rsidR="00BC192C" w:rsidRPr="00DE0AD0" w:rsidRDefault="00BC192C" w:rsidP="0079484B">
            <w:pPr>
              <w:keepNext/>
              <w:keepLines/>
              <w:rPr>
                <w:i/>
              </w:rPr>
            </w:pPr>
            <w:r w:rsidRPr="00DE0AD0">
              <w:rPr>
                <w:b/>
                <w:i/>
              </w:rPr>
              <w:lastRenderedPageBreak/>
              <w:t>Kontakt:</w:t>
            </w:r>
          </w:p>
        </w:tc>
        <w:tc>
          <w:tcPr>
            <w:tcW w:w="3923" w:type="pct"/>
          </w:tcPr>
          <w:p w14:paraId="6AEB45BB" w14:textId="2E8708F9" w:rsidR="00BC192C" w:rsidRPr="00DE0AD0" w:rsidRDefault="00BC192C" w:rsidP="0079484B">
            <w:pPr>
              <w:keepNext/>
              <w:keepLines/>
              <w:rPr>
                <w:i/>
              </w:rPr>
            </w:pPr>
            <w:r w:rsidRPr="00DE0AD0">
              <w:rPr>
                <w:i/>
              </w:rPr>
              <w:t xml:space="preserve">Arturo </w:t>
            </w:r>
            <w:r w:rsidR="0079484B" w:rsidRPr="00DE0AD0">
              <w:rPr>
                <w:i/>
              </w:rPr>
              <w:t>Iniguez, Martine Delanoy</w:t>
            </w:r>
          </w:p>
        </w:tc>
      </w:tr>
      <w:tr w:rsidR="00BC192C" w:rsidRPr="00DE0AD0" w14:paraId="7752E767" w14:textId="77777777" w:rsidTr="001B4992">
        <w:tc>
          <w:tcPr>
            <w:tcW w:w="1077" w:type="pct"/>
          </w:tcPr>
          <w:p w14:paraId="2D37461B" w14:textId="77777777" w:rsidR="00BC192C" w:rsidRPr="00DE0AD0" w:rsidRDefault="00BC192C" w:rsidP="0079484B">
            <w:pPr>
              <w:keepNext/>
              <w:keepLines/>
              <w:rPr>
                <w:i/>
              </w:rPr>
            </w:pPr>
            <w:r w:rsidRPr="00DE0AD0">
              <w:rPr>
                <w:i/>
              </w:rPr>
              <w:t>Tel.:</w:t>
            </w:r>
          </w:p>
        </w:tc>
        <w:tc>
          <w:tcPr>
            <w:tcW w:w="3923" w:type="pct"/>
          </w:tcPr>
          <w:p w14:paraId="3C8938C0" w14:textId="77777777" w:rsidR="00BC192C" w:rsidRPr="00DE0AD0" w:rsidRDefault="00BC192C" w:rsidP="0079484B">
            <w:pPr>
              <w:keepNext/>
              <w:keepLines/>
              <w:rPr>
                <w:i/>
              </w:rPr>
            </w:pPr>
            <w:r w:rsidRPr="00DE0AD0">
              <w:rPr>
                <w:i/>
              </w:rPr>
              <w:t>+3225468768, +3225469802</w:t>
            </w:r>
          </w:p>
        </w:tc>
      </w:tr>
      <w:tr w:rsidR="00BC192C" w:rsidRPr="00DE0AD0" w14:paraId="59511D7E" w14:textId="77777777" w:rsidTr="001B4992">
        <w:tc>
          <w:tcPr>
            <w:tcW w:w="1077" w:type="pct"/>
          </w:tcPr>
          <w:p w14:paraId="42844976" w14:textId="77777777" w:rsidR="00BC192C" w:rsidRPr="00DE0AD0" w:rsidRDefault="00BC192C" w:rsidP="00DE0AD0">
            <w:pPr>
              <w:rPr>
                <w:i/>
              </w:rPr>
            </w:pPr>
            <w:r w:rsidRPr="00DE0AD0">
              <w:rPr>
                <w:i/>
              </w:rPr>
              <w:t>E-mail:</w:t>
            </w:r>
          </w:p>
        </w:tc>
        <w:tc>
          <w:tcPr>
            <w:tcW w:w="3923" w:type="pct"/>
          </w:tcPr>
          <w:p w14:paraId="68031532" w14:textId="77777777" w:rsidR="00BC192C" w:rsidRPr="00DE0AD0" w:rsidRDefault="003D4857" w:rsidP="00DE0AD0">
            <w:pPr>
              <w:rPr>
                <w:i/>
              </w:rPr>
            </w:pPr>
            <w:hyperlink r:id="rId60" w:history="1">
              <w:r w:rsidR="00BC192C" w:rsidRPr="00DE0AD0">
                <w:rPr>
                  <w:rStyle w:val="Hyperlink"/>
                  <w:i/>
                </w:rPr>
                <w:t>Arturo.Iniguez@eesc.europa.eu</w:t>
              </w:r>
            </w:hyperlink>
            <w:r w:rsidR="00BC192C" w:rsidRPr="00DE0AD0">
              <w:rPr>
                <w:i/>
              </w:rPr>
              <w:t xml:space="preserve">, </w:t>
            </w:r>
            <w:hyperlink r:id="rId61" w:history="1">
              <w:r w:rsidR="00BC192C" w:rsidRPr="00DE0AD0">
                <w:rPr>
                  <w:rStyle w:val="Hyperlink"/>
                  <w:i/>
                </w:rPr>
                <w:t>Martine.Delanoy@eesc.europa.eu</w:t>
              </w:r>
            </w:hyperlink>
          </w:p>
        </w:tc>
      </w:tr>
    </w:tbl>
    <w:p w14:paraId="02C1481C" w14:textId="479E9653" w:rsidR="00BC192C" w:rsidRPr="00DE0AD0" w:rsidRDefault="00BC192C" w:rsidP="00DE0AD0">
      <w:pPr>
        <w:jc w:val="left"/>
      </w:pPr>
    </w:p>
    <w:p w14:paraId="29F9D4A8" w14:textId="77777777" w:rsidR="00BC192C" w:rsidRPr="00DE0AD0" w:rsidRDefault="00BC192C" w:rsidP="00DE0AD0">
      <w:pPr>
        <w:jc w:val="left"/>
      </w:pPr>
      <w:r w:rsidRPr="00DE0AD0">
        <w:br w:type="page"/>
      </w:r>
    </w:p>
    <w:p w14:paraId="528C73AA" w14:textId="46DE726B" w:rsidR="006D2C8A" w:rsidRPr="00DE0AD0" w:rsidRDefault="006D2C8A" w:rsidP="00DE0AD0">
      <w:pPr>
        <w:pStyle w:val="Heading1"/>
        <w:rPr>
          <w:b/>
        </w:rPr>
      </w:pPr>
      <w:bookmarkStart w:id="15" w:name="_Toc220677723"/>
      <w:r w:rsidRPr="00DE0AD0">
        <w:rPr>
          <w:b/>
          <w:color w:val="222A35" w:themeColor="text2" w:themeShade="80"/>
        </w:rPr>
        <w:lastRenderedPageBreak/>
        <w:t>PORADNÍ KOMISE PRO PRŮMYSLOVÉ ZMĚNY</w:t>
      </w:r>
      <w:bookmarkEnd w:id="15"/>
    </w:p>
    <w:p w14:paraId="713E272F" w14:textId="106975A8" w:rsidR="006D2C8A" w:rsidRPr="00DE0AD0" w:rsidRDefault="006D2C8A" w:rsidP="00DE0AD0"/>
    <w:p w14:paraId="775ADA57" w14:textId="2B324A31" w:rsidR="00BC192C" w:rsidRPr="006C5394" w:rsidRDefault="003D4857" w:rsidP="006C5394">
      <w:pPr>
        <w:pStyle w:val="ListParagraph"/>
        <w:widowControl w:val="0"/>
        <w:numPr>
          <w:ilvl w:val="0"/>
          <w:numId w:val="43"/>
        </w:numPr>
        <w:ind w:left="567" w:hanging="567"/>
        <w:rPr>
          <w:b/>
          <w:i/>
          <w:iCs/>
          <w:sz w:val="28"/>
          <w:szCs w:val="28"/>
        </w:rPr>
      </w:pPr>
      <w:hyperlink r:id="rId62" w:history="1">
        <w:r w:rsidR="006C5394" w:rsidRPr="006C5394">
          <w:rPr>
            <w:rStyle w:val="Hyperlink"/>
            <w:b/>
            <w:i/>
            <w:iCs/>
            <w:sz w:val="28"/>
            <w:szCs w:val="28"/>
          </w:rPr>
          <w:t>Strategie EU v oblasti lékařských protiopatření</w:t>
        </w:r>
        <w:r w:rsidR="006C5394" w:rsidRPr="006C5394">
          <w:rPr>
            <w:rStyle w:val="Hyperlink"/>
            <w:b/>
            <w:i/>
            <w:iCs/>
            <w:sz w:val="28"/>
            <w:szCs w:val="28"/>
          </w:rPr>
          <w:t xml:space="preserve"> </w:t>
        </w:r>
        <w:r w:rsidR="006C5394" w:rsidRPr="006C5394">
          <w:rPr>
            <w:rStyle w:val="Hyperlink"/>
            <w:b/>
            <w:i/>
            <w:iCs/>
            <w:sz w:val="28"/>
            <w:szCs w:val="28"/>
          </w:rPr>
          <w:t>a vytváření zásob</w:t>
        </w:r>
      </w:hyperlink>
    </w:p>
    <w:p w14:paraId="737744F2" w14:textId="77777777" w:rsidR="00BC192C" w:rsidRPr="00DE0AD0" w:rsidRDefault="00BC192C" w:rsidP="00DE0AD0">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331"/>
      </w:tblGrid>
      <w:tr w:rsidR="00BC192C" w:rsidRPr="00DE0AD0" w14:paraId="3E7FA124" w14:textId="77777777" w:rsidTr="001B4992">
        <w:tc>
          <w:tcPr>
            <w:tcW w:w="1708" w:type="dxa"/>
          </w:tcPr>
          <w:p w14:paraId="419CF62B" w14:textId="77777777" w:rsidR="00BC192C" w:rsidRPr="00DE0AD0" w:rsidRDefault="00BC192C" w:rsidP="00DE0AD0">
            <w:pPr>
              <w:tabs>
                <w:tab w:val="center" w:pos="284"/>
              </w:tabs>
              <w:ind w:left="266" w:hanging="266"/>
              <w:rPr>
                <w:b/>
              </w:rPr>
            </w:pPr>
            <w:r w:rsidRPr="00DE0AD0">
              <w:rPr>
                <w:b/>
              </w:rPr>
              <w:t>Zpravodaj</w:t>
            </w:r>
          </w:p>
        </w:tc>
        <w:tc>
          <w:tcPr>
            <w:tcW w:w="7331" w:type="dxa"/>
          </w:tcPr>
          <w:p w14:paraId="3D9CAC02" w14:textId="5F0BDE03" w:rsidR="00BC192C" w:rsidRPr="00DE0AD0" w:rsidRDefault="00BC192C" w:rsidP="00DE0AD0">
            <w:pPr>
              <w:tabs>
                <w:tab w:val="center" w:pos="284"/>
              </w:tabs>
              <w:ind w:left="266" w:hanging="266"/>
            </w:pPr>
            <w:r w:rsidRPr="00DE0AD0">
              <w:t xml:space="preserve">Paulo BARROS VALE </w:t>
            </w:r>
            <w:r w:rsidR="00B97667" w:rsidRPr="00DE0AD0">
              <w:t xml:space="preserve">(Zaměstnavatelé – </w:t>
            </w:r>
            <w:r w:rsidR="00B97667">
              <w:t>PT</w:t>
            </w:r>
            <w:r w:rsidR="00B97667" w:rsidRPr="00DE0AD0">
              <w:t>)</w:t>
            </w:r>
          </w:p>
        </w:tc>
      </w:tr>
      <w:tr w:rsidR="00BC192C" w:rsidRPr="00DE0AD0" w14:paraId="35A06211" w14:textId="77777777" w:rsidTr="001B4992">
        <w:tc>
          <w:tcPr>
            <w:tcW w:w="1708" w:type="dxa"/>
          </w:tcPr>
          <w:p w14:paraId="4155C8CE" w14:textId="77777777" w:rsidR="00BC192C" w:rsidRPr="00DE0AD0" w:rsidRDefault="00BC192C" w:rsidP="00DE0AD0">
            <w:pPr>
              <w:tabs>
                <w:tab w:val="center" w:pos="284"/>
              </w:tabs>
              <w:ind w:left="266" w:hanging="266"/>
              <w:rPr>
                <w:b/>
              </w:rPr>
            </w:pPr>
            <w:r w:rsidRPr="00DE0AD0">
              <w:rPr>
                <w:b/>
              </w:rPr>
              <w:t>Spoluzpravodaj</w:t>
            </w:r>
          </w:p>
        </w:tc>
        <w:tc>
          <w:tcPr>
            <w:tcW w:w="7331" w:type="dxa"/>
          </w:tcPr>
          <w:p w14:paraId="130561CD" w14:textId="0512D9DA" w:rsidR="00BC192C" w:rsidRPr="00DE0AD0" w:rsidRDefault="00BC192C" w:rsidP="00DE0AD0">
            <w:pPr>
              <w:tabs>
                <w:tab w:val="center" w:pos="284"/>
              </w:tabs>
              <w:ind w:left="266" w:hanging="266"/>
            </w:pPr>
            <w:r w:rsidRPr="00DE0AD0">
              <w:t>Nicos EPISTITHIOU (</w:t>
            </w:r>
            <w:r w:rsidR="00B97667">
              <w:t>AT</w:t>
            </w:r>
            <w:r w:rsidRPr="00DE0AD0">
              <w:t>–kat. 2)</w:t>
            </w:r>
          </w:p>
          <w:p w14:paraId="5085BC94" w14:textId="77777777" w:rsidR="00BC192C" w:rsidRPr="00DE0AD0" w:rsidRDefault="00BC192C" w:rsidP="00DE0AD0">
            <w:pPr>
              <w:tabs>
                <w:tab w:val="center" w:pos="284"/>
              </w:tabs>
              <w:ind w:left="266" w:hanging="266"/>
            </w:pPr>
          </w:p>
        </w:tc>
      </w:tr>
      <w:tr w:rsidR="00BC192C" w:rsidRPr="00DE0AD0" w14:paraId="4CE96CC3" w14:textId="77777777" w:rsidTr="001B4992">
        <w:tc>
          <w:tcPr>
            <w:tcW w:w="1708" w:type="dxa"/>
            <w:vMerge w:val="restart"/>
          </w:tcPr>
          <w:p w14:paraId="64DEFA05" w14:textId="77777777" w:rsidR="00BC192C" w:rsidRPr="00DE0AD0" w:rsidRDefault="00BC192C" w:rsidP="00DE0AD0">
            <w:pPr>
              <w:tabs>
                <w:tab w:val="center" w:pos="284"/>
              </w:tabs>
              <w:ind w:left="266" w:hanging="266"/>
              <w:rPr>
                <w:b/>
              </w:rPr>
            </w:pPr>
            <w:r w:rsidRPr="00DE0AD0">
              <w:rPr>
                <w:b/>
              </w:rPr>
              <w:t>Odkaz</w:t>
            </w:r>
          </w:p>
        </w:tc>
        <w:tc>
          <w:tcPr>
            <w:tcW w:w="7331" w:type="dxa"/>
          </w:tcPr>
          <w:p w14:paraId="47590F9D" w14:textId="4EC4BCBB" w:rsidR="00B97667" w:rsidRDefault="00B97667" w:rsidP="00DE0AD0">
            <w:pPr>
              <w:tabs>
                <w:tab w:val="center" w:pos="284"/>
              </w:tabs>
              <w:ind w:left="266" w:hanging="266"/>
            </w:pPr>
            <w:r>
              <w:t>COM(2025) 529 final</w:t>
            </w:r>
          </w:p>
          <w:p w14:paraId="592A7578" w14:textId="4A4154A5" w:rsidR="00BC192C" w:rsidRPr="00DE0AD0" w:rsidRDefault="00BC192C" w:rsidP="00DE0AD0">
            <w:pPr>
              <w:tabs>
                <w:tab w:val="center" w:pos="284"/>
              </w:tabs>
              <w:ind w:left="266" w:hanging="266"/>
            </w:pPr>
            <w:r w:rsidRPr="00DE0AD0">
              <w:t>EESC-2025-02727-00-00-AC-TRA</w:t>
            </w:r>
          </w:p>
        </w:tc>
      </w:tr>
      <w:tr w:rsidR="00BC192C" w:rsidRPr="00DE0AD0" w14:paraId="6A950031" w14:textId="77777777" w:rsidTr="001B4992">
        <w:tc>
          <w:tcPr>
            <w:tcW w:w="1708" w:type="dxa"/>
            <w:vMerge/>
          </w:tcPr>
          <w:p w14:paraId="31FE4B75" w14:textId="77777777" w:rsidR="00BC192C" w:rsidRPr="00DE0AD0" w:rsidRDefault="00BC192C" w:rsidP="00DE0AD0">
            <w:pPr>
              <w:tabs>
                <w:tab w:val="center" w:pos="284"/>
              </w:tabs>
              <w:ind w:left="266" w:hanging="266"/>
              <w:rPr>
                <w:b/>
                <w:lang w:val="en-US"/>
              </w:rPr>
            </w:pPr>
          </w:p>
        </w:tc>
        <w:tc>
          <w:tcPr>
            <w:tcW w:w="7331" w:type="dxa"/>
          </w:tcPr>
          <w:p w14:paraId="03A1A073" w14:textId="77777777" w:rsidR="00BC192C" w:rsidRPr="00DE0AD0" w:rsidRDefault="00BC192C" w:rsidP="00DE0AD0">
            <w:pPr>
              <w:tabs>
                <w:tab w:val="center" w:pos="284"/>
              </w:tabs>
              <w:ind w:left="266" w:hanging="266"/>
              <w:rPr>
                <w:lang w:val="en-US"/>
              </w:rPr>
            </w:pPr>
          </w:p>
        </w:tc>
      </w:tr>
    </w:tbl>
    <w:p w14:paraId="22565FE3" w14:textId="77777777" w:rsidR="00BC192C" w:rsidRPr="00DE0AD0" w:rsidRDefault="00BC192C" w:rsidP="00DE0AD0">
      <w:pPr>
        <w:keepNext/>
        <w:keepLines/>
        <w:tabs>
          <w:tab w:val="center" w:pos="284"/>
        </w:tabs>
        <w:ind w:left="266" w:hanging="266"/>
        <w:rPr>
          <w:b/>
        </w:rPr>
      </w:pPr>
      <w:r w:rsidRPr="00DE0AD0">
        <w:rPr>
          <w:b/>
        </w:rPr>
        <w:t>Hlavní body</w:t>
      </w:r>
    </w:p>
    <w:p w14:paraId="66A9571D" w14:textId="77777777" w:rsidR="00BC192C" w:rsidRPr="00DE0AD0" w:rsidRDefault="00BC192C" w:rsidP="00DE0AD0">
      <w:pPr>
        <w:tabs>
          <w:tab w:val="center" w:pos="284"/>
        </w:tabs>
        <w:ind w:left="266" w:hanging="266"/>
        <w:rPr>
          <w:b/>
        </w:rPr>
      </w:pPr>
    </w:p>
    <w:p w14:paraId="097FD09A" w14:textId="77777777" w:rsidR="00BC192C" w:rsidRPr="00DE0AD0" w:rsidRDefault="00BC192C" w:rsidP="00DE0AD0">
      <w:pPr>
        <w:keepNext/>
        <w:keepLines/>
        <w:tabs>
          <w:tab w:val="center" w:pos="284"/>
        </w:tabs>
        <w:ind w:left="266" w:hanging="266"/>
        <w:rPr>
          <w:bCs/>
        </w:rPr>
      </w:pPr>
      <w:r w:rsidRPr="00DE0AD0">
        <w:t>EHSV:</w:t>
      </w:r>
    </w:p>
    <w:p w14:paraId="077247FD" w14:textId="77777777" w:rsidR="00BC192C" w:rsidRPr="00DE0AD0" w:rsidRDefault="00BC192C" w:rsidP="00DE0AD0">
      <w:pPr>
        <w:tabs>
          <w:tab w:val="center" w:pos="284"/>
        </w:tabs>
        <w:ind w:left="266" w:hanging="266"/>
        <w:rPr>
          <w:bCs/>
        </w:rPr>
      </w:pPr>
    </w:p>
    <w:p w14:paraId="4640768C" w14:textId="77777777" w:rsidR="00BC192C" w:rsidRPr="00DE0AD0" w:rsidRDefault="00BC192C" w:rsidP="006371B9">
      <w:pPr>
        <w:numPr>
          <w:ilvl w:val="0"/>
          <w:numId w:val="20"/>
        </w:numPr>
        <w:ind w:left="567" w:hanging="567"/>
        <w:rPr>
          <w:sz w:val="24"/>
        </w:rPr>
      </w:pPr>
      <w:r w:rsidRPr="00DE0AD0">
        <w:t>vítá skutečnost, že se Komise snaží posílit připravenost a odolnost EU prostřednictvím strategií v oblasti lékařských protiopatření a vytváření zásob, a doporučuje zajistit v tomto ohledu transparentní řízení a mobilizaci a také průběžnou koordinaci mezi členskými státy a s daným odvětvím a občanskou společností;</w:t>
      </w:r>
    </w:p>
    <w:p w14:paraId="3210B732" w14:textId="77777777" w:rsidR="00BC192C" w:rsidRPr="00DE0AD0" w:rsidRDefault="00BC192C" w:rsidP="006371B9">
      <w:pPr>
        <w:numPr>
          <w:ilvl w:val="0"/>
          <w:numId w:val="20"/>
        </w:numPr>
        <w:ind w:left="567" w:hanging="567"/>
      </w:pPr>
      <w:r w:rsidRPr="00DE0AD0">
        <w:t>vyzývá k tomu, aby bylo v příštím víceletém finančním rámci (VFR) na lékařská protiopatření a na strategické zásoby vyčleněno náležité množství prostředků, díky nimž bude možné podpořit partnerství veřejného a soukromého sektoru a zamezit duplicitě mezi členskými státy;</w:t>
      </w:r>
    </w:p>
    <w:p w14:paraId="4650C6F1" w14:textId="77777777" w:rsidR="00BC192C" w:rsidRPr="00DE0AD0" w:rsidRDefault="00BC192C" w:rsidP="006371B9">
      <w:pPr>
        <w:numPr>
          <w:ilvl w:val="0"/>
          <w:numId w:val="20"/>
        </w:numPr>
        <w:ind w:left="567" w:hanging="567"/>
      </w:pPr>
      <w:r w:rsidRPr="00DE0AD0">
        <w:t>žádá, aby byly zajištěny stabilní hospodářské, právní a pracovní podmínky s cílem vytvořit v Evropě atraktivní prostředí pro výrobu léčiv a aby byl za tímto účelem mj. zřízen zvláštní fond EU pro farmaceutické odvětví, který by sloužil k podpoře rozvoje zařízení, výzkumu a vývoje, regulačních nákladů a investic do výroby farmakologicky účinných látek a léčivých přípravků;</w:t>
      </w:r>
    </w:p>
    <w:p w14:paraId="23ECD3DC" w14:textId="77777777" w:rsidR="00BC192C" w:rsidRPr="00DE0AD0" w:rsidRDefault="00BC192C" w:rsidP="006371B9">
      <w:pPr>
        <w:numPr>
          <w:ilvl w:val="0"/>
          <w:numId w:val="20"/>
        </w:numPr>
        <w:ind w:left="567" w:hanging="567"/>
      </w:pPr>
      <w:r w:rsidRPr="00DE0AD0">
        <w:t>vyslovuje se pro to, aby byl na evropské úrovni zřízen subjekt pro podporu inovací v oblasti zdraví (po vzoru organizace CERN), který bude podporovat výzkum a podnikání a bude spolupracovat s Úřadem pro připravenost a reakci na mimořádné situace v oblasti zdraví (HERA) a s dalšími agenturami EU;</w:t>
      </w:r>
    </w:p>
    <w:p w14:paraId="4F885D43" w14:textId="77777777" w:rsidR="00BC192C" w:rsidRPr="00DE0AD0" w:rsidRDefault="00BC192C" w:rsidP="006371B9">
      <w:pPr>
        <w:keepNext/>
        <w:keepLines/>
        <w:numPr>
          <w:ilvl w:val="0"/>
          <w:numId w:val="20"/>
        </w:numPr>
        <w:ind w:left="567" w:hanging="567"/>
      </w:pPr>
      <w:r w:rsidRPr="00DE0AD0">
        <w:t>vyzývá k vypracování konkrétního operačního plánu pro vytváření zásob v rámci EU, ke stanovení jasného přídělu prostředků, k transparentnímu vymezení úkolů na úrovni EU a na úrovni členských států, zajištění rozsáhlé odborné přípravy pracovníků, monitorování a poskytnutí spravedlivých pobídek tomuto odvětví, včetně malých a středních podniků;</w:t>
      </w:r>
    </w:p>
    <w:p w14:paraId="3D6EB1FA" w14:textId="77777777" w:rsidR="00BC192C" w:rsidRPr="00DE0AD0" w:rsidRDefault="00BC192C" w:rsidP="006371B9">
      <w:pPr>
        <w:numPr>
          <w:ilvl w:val="0"/>
          <w:numId w:val="21"/>
        </w:numPr>
        <w:ind w:left="567" w:hanging="567"/>
      </w:pPr>
      <w:r w:rsidRPr="00DE0AD0">
        <w:t>zdůrazňuje, že je nutné vytvořit transparentní ekonomický rámec a zaručit koordinaci v oblasti logistiky, flexibilní pravidla přepravy a spravedlivé sdílení nákladů, aby tak bylo možné rychle distribuovat kriticky důležité zboží;</w:t>
      </w:r>
    </w:p>
    <w:p w14:paraId="5AAE871B" w14:textId="77777777" w:rsidR="00BC192C" w:rsidRPr="00DE0AD0" w:rsidRDefault="00BC192C" w:rsidP="0079484B">
      <w:pPr>
        <w:keepNext/>
        <w:keepLines/>
        <w:numPr>
          <w:ilvl w:val="0"/>
          <w:numId w:val="21"/>
        </w:numPr>
        <w:ind w:left="567" w:hanging="567"/>
      </w:pPr>
      <w:r w:rsidRPr="00DE0AD0">
        <w:t>poukazuje na to, že je nutné zapojit sociální partnery, občanskou společnost a specializované dodavatele s cílem zajistit transparentnost a odbornost, přičemž je třeba položit důraz na to, aby si EU vytvářela své vlastní bezpečnostní zásoby, a podporovat skladování, chladicí řetězec a infrastrukturu dvojího užití;</w:t>
      </w:r>
    </w:p>
    <w:p w14:paraId="7481F4FE" w14:textId="77777777" w:rsidR="00BC192C" w:rsidRPr="00DE0AD0" w:rsidRDefault="00BC192C" w:rsidP="006371B9">
      <w:pPr>
        <w:numPr>
          <w:ilvl w:val="0"/>
          <w:numId w:val="21"/>
        </w:numPr>
        <w:ind w:left="567" w:hanging="567"/>
      </w:pPr>
      <w:r w:rsidRPr="00DE0AD0">
        <w:t>upozorňuje, že je nutné investovat do rozvoje dovedností pracovníků prostřednictvím celoživotního učení, harmonizovat vzdělávací programy, pravidelně provádět simulace a formálně uznat profese v oboru veřejného zdraví, aby se tak zajistilo odolné nakládání se zásobami a posílila reakce na krize;</w:t>
      </w:r>
    </w:p>
    <w:p w14:paraId="38A09A7A" w14:textId="77777777" w:rsidR="00BC192C" w:rsidRPr="00DE0AD0" w:rsidRDefault="00BC192C" w:rsidP="006371B9">
      <w:pPr>
        <w:numPr>
          <w:ilvl w:val="0"/>
          <w:numId w:val="21"/>
        </w:numPr>
        <w:ind w:left="567" w:hanging="567"/>
      </w:pPr>
      <w:r w:rsidRPr="00DE0AD0">
        <w:lastRenderedPageBreak/>
        <w:t>domnívá se, že je třeba postupovat při vytváření zásob udržitelným způsobem a vycházet z poptávky. Za tímto účelem je třeba zajistit digitální sledování v reálném čase, stanovit specifické limity pro jednotlivé výrobky a dbát na cenovou dostupnost, aby tak byla v oblasti připravenosti zaručena spravedlnost, transparentnost a přístupnost.</w:t>
      </w:r>
    </w:p>
    <w:p w14:paraId="04530ADF" w14:textId="77777777" w:rsidR="00BC192C" w:rsidRPr="00DE0AD0" w:rsidRDefault="00BC192C" w:rsidP="00DE0AD0"/>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4499"/>
      </w:tblGrid>
      <w:tr w:rsidR="00BC192C" w:rsidRPr="00DE0AD0" w14:paraId="4460CF42" w14:textId="77777777" w:rsidTr="001B4992">
        <w:tc>
          <w:tcPr>
            <w:tcW w:w="1556" w:type="pct"/>
          </w:tcPr>
          <w:p w14:paraId="00D4CA9B" w14:textId="77777777" w:rsidR="00BC192C" w:rsidRPr="00DE0AD0" w:rsidRDefault="00BC192C" w:rsidP="00DE0AD0">
            <w:pPr>
              <w:rPr>
                <w:i/>
              </w:rPr>
            </w:pPr>
            <w:r w:rsidRPr="00DE0AD0">
              <w:rPr>
                <w:b/>
                <w:i/>
              </w:rPr>
              <w:t>Kontakt:</w:t>
            </w:r>
          </w:p>
        </w:tc>
        <w:tc>
          <w:tcPr>
            <w:tcW w:w="3444" w:type="pct"/>
          </w:tcPr>
          <w:p w14:paraId="7E6D5B9F" w14:textId="77777777" w:rsidR="00BC192C" w:rsidRPr="00DE0AD0" w:rsidRDefault="00BC192C" w:rsidP="00DE0AD0">
            <w:pPr>
              <w:rPr>
                <w:bCs/>
                <w:i/>
              </w:rPr>
            </w:pPr>
            <w:r w:rsidRPr="00DE0AD0">
              <w:rPr>
                <w:bCs/>
                <w:i/>
              </w:rPr>
              <w:t>Tomas Vinardell Laia</w:t>
            </w:r>
          </w:p>
        </w:tc>
      </w:tr>
      <w:tr w:rsidR="00BC192C" w:rsidRPr="00DE0AD0" w14:paraId="75ECF042" w14:textId="77777777" w:rsidTr="001B4992">
        <w:tc>
          <w:tcPr>
            <w:tcW w:w="1556" w:type="pct"/>
          </w:tcPr>
          <w:p w14:paraId="50FBFCF4" w14:textId="77777777" w:rsidR="00BC192C" w:rsidRPr="00DE0AD0" w:rsidRDefault="00BC192C" w:rsidP="00DE0AD0">
            <w:pPr>
              <w:rPr>
                <w:i/>
              </w:rPr>
            </w:pPr>
            <w:r w:rsidRPr="00DE0AD0">
              <w:rPr>
                <w:i/>
              </w:rPr>
              <w:t>Tel.:</w:t>
            </w:r>
          </w:p>
        </w:tc>
        <w:tc>
          <w:tcPr>
            <w:tcW w:w="3444" w:type="pct"/>
          </w:tcPr>
          <w:p w14:paraId="6E23FEA5" w14:textId="77777777" w:rsidR="00BC192C" w:rsidRPr="00DE0AD0" w:rsidRDefault="00BC192C" w:rsidP="00DE0AD0">
            <w:pPr>
              <w:rPr>
                <w:i/>
              </w:rPr>
            </w:pPr>
            <w:r w:rsidRPr="00DE0AD0">
              <w:rPr>
                <w:i/>
              </w:rPr>
              <w:t>+32 25469149</w:t>
            </w:r>
          </w:p>
        </w:tc>
      </w:tr>
      <w:tr w:rsidR="00BC192C" w:rsidRPr="00DE0AD0" w14:paraId="59810319" w14:textId="77777777" w:rsidTr="001B4992">
        <w:tc>
          <w:tcPr>
            <w:tcW w:w="1556" w:type="pct"/>
          </w:tcPr>
          <w:p w14:paraId="1DC9F89C" w14:textId="77777777" w:rsidR="00BC192C" w:rsidRPr="00DE0AD0" w:rsidRDefault="00BC192C" w:rsidP="00DE0AD0">
            <w:pPr>
              <w:rPr>
                <w:i/>
              </w:rPr>
            </w:pPr>
            <w:r w:rsidRPr="00DE0AD0">
              <w:rPr>
                <w:i/>
              </w:rPr>
              <w:t>E-mail:</w:t>
            </w:r>
          </w:p>
        </w:tc>
        <w:tc>
          <w:tcPr>
            <w:tcW w:w="3444" w:type="pct"/>
          </w:tcPr>
          <w:p w14:paraId="68532A0C" w14:textId="77777777" w:rsidR="00BC192C" w:rsidRPr="00DE0AD0" w:rsidRDefault="003D4857" w:rsidP="00DE0AD0">
            <w:pPr>
              <w:rPr>
                <w:i/>
              </w:rPr>
            </w:pPr>
            <w:hyperlink r:id="rId63" w:history="1">
              <w:r w:rsidR="00BC192C" w:rsidRPr="00DE0AD0">
                <w:rPr>
                  <w:rStyle w:val="Hyperlink"/>
                  <w:i/>
                </w:rPr>
                <w:t>Laia.TomasVinardell@eesc.europa.eu</w:t>
              </w:r>
            </w:hyperlink>
            <w:r w:rsidR="00BC192C" w:rsidRPr="00DE0AD0">
              <w:rPr>
                <w:i/>
              </w:rPr>
              <w:t xml:space="preserve"> </w:t>
            </w:r>
          </w:p>
        </w:tc>
      </w:tr>
    </w:tbl>
    <w:p w14:paraId="65773254" w14:textId="6B70F1EA" w:rsidR="003C3D98" w:rsidRDefault="003C3D98" w:rsidP="00DE0AD0"/>
    <w:p w14:paraId="5705CDDE" w14:textId="77777777" w:rsidR="0079484B" w:rsidRDefault="0079484B">
      <w:pPr>
        <w:overflowPunct w:val="0"/>
        <w:autoSpaceDE w:val="0"/>
        <w:autoSpaceDN w:val="0"/>
        <w:adjustRightInd w:val="0"/>
        <w:jc w:val="center"/>
        <w:textAlignment w:val="baseline"/>
        <w:rPr>
          <w:lang w:val="nl-BE"/>
        </w:rPr>
      </w:pPr>
      <w:r>
        <w:rPr>
          <w:lang w:val="nl-BE"/>
        </w:rPr>
        <w:t>_____________</w:t>
      </w:r>
    </w:p>
    <w:p w14:paraId="14B7ABCC" w14:textId="77777777" w:rsidR="0079484B" w:rsidRPr="00AE57B9" w:rsidRDefault="0079484B">
      <w:pPr>
        <w:rPr>
          <w:lang w:val="nl-BE"/>
        </w:rPr>
      </w:pPr>
    </w:p>
    <w:p w14:paraId="66FD9644" w14:textId="4154386F" w:rsidR="0079484B" w:rsidRPr="00DE0AD0" w:rsidRDefault="0079484B" w:rsidP="00DE0AD0"/>
    <w:sectPr w:rsidR="0079484B" w:rsidRPr="00DE0AD0" w:rsidSect="00DE7CC7">
      <w:headerReference w:type="even" r:id="rId64"/>
      <w:headerReference w:type="default" r:id="rId65"/>
      <w:footerReference w:type="even" r:id="rId66"/>
      <w:footerReference w:type="default" r:id="rId67"/>
      <w:headerReference w:type="first" r:id="rId68"/>
      <w:footerReference w:type="first" r:id="rId6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4690" w14:textId="77777777" w:rsidR="007A23FD" w:rsidRDefault="007A23FD" w:rsidP="00B518C9">
      <w:pPr>
        <w:spacing w:line="240" w:lineRule="auto"/>
      </w:pPr>
      <w:r>
        <w:separator/>
      </w:r>
    </w:p>
  </w:endnote>
  <w:endnote w:type="continuationSeparator" w:id="0">
    <w:p w14:paraId="5ACA2097" w14:textId="77777777" w:rsidR="007A23FD" w:rsidRDefault="007A23F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217D" w14:textId="77777777" w:rsidR="00DE7CC7" w:rsidRPr="00DE7CC7" w:rsidRDefault="00DE7CC7" w:rsidP="00DE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96DC296" w:rsidR="00B518C9" w:rsidRPr="00DE7CC7" w:rsidRDefault="00DE7CC7" w:rsidP="00DE7CC7">
    <w:pPr>
      <w:pStyle w:val="Footer"/>
    </w:pPr>
    <w:r>
      <w:t xml:space="preserve">EESC-2025-04233-00-01-TCD-TRA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rsidR="003D4857">
      <w:fldChar w:fldCharType="begin"/>
    </w:r>
    <w:r w:rsidR="003D4857">
      <w:instrText xml:space="preserve"> NUMPAGES </w:instrText>
    </w:r>
    <w:r w:rsidR="003D4857">
      <w:fldChar w:fldCharType="separate"/>
    </w:r>
    <w:r w:rsidR="003D4857">
      <w:rPr>
        <w:noProof/>
      </w:rPr>
      <w:instrText>30</w:instrText>
    </w:r>
    <w:r w:rsidR="003D4857">
      <w:rPr>
        <w:noProof/>
      </w:rPr>
      <w:fldChar w:fldCharType="end"/>
    </w:r>
    <w:r>
      <w:instrText xml:space="preserve"> -0 </w:instrText>
    </w:r>
    <w:r>
      <w:fldChar w:fldCharType="separate"/>
    </w:r>
    <w:r w:rsidR="003D4857">
      <w:rPr>
        <w:noProof/>
      </w:rPr>
      <w:t>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6532" w14:textId="77777777" w:rsidR="00DE7CC7" w:rsidRPr="00DE7CC7" w:rsidRDefault="00DE7CC7" w:rsidP="00DE7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297F" w14:textId="77777777" w:rsidR="00CB6673" w:rsidRPr="00DE7CC7" w:rsidRDefault="00CB6673" w:rsidP="00DE7C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E746" w14:textId="04A481A6" w:rsidR="00CB6673" w:rsidRPr="00DE7CC7" w:rsidRDefault="00DE7CC7" w:rsidP="00DE7CC7">
    <w:pPr>
      <w:pStyle w:val="Footer"/>
    </w:pPr>
    <w:r>
      <w:t xml:space="preserve">EESC-2025-04233-00-01-TCD-TRA (EN) </w:t>
    </w:r>
    <w:r>
      <w:fldChar w:fldCharType="begin"/>
    </w:r>
    <w:r>
      <w:instrText xml:space="preserve"> PAGE  \* Arabic  \* MERGEFORMAT </w:instrText>
    </w:r>
    <w:r>
      <w:fldChar w:fldCharType="separate"/>
    </w:r>
    <w:r>
      <w:rPr>
        <w:noProof/>
      </w:rPr>
      <w:t>27</w:t>
    </w:r>
    <w:r>
      <w:fldChar w:fldCharType="end"/>
    </w:r>
    <w:r>
      <w:t>/</w:t>
    </w:r>
    <w:r>
      <w:fldChar w:fldCharType="begin"/>
    </w:r>
    <w:r>
      <w:instrText xml:space="preserve"> = </w:instrText>
    </w:r>
    <w:r w:rsidR="003D4857">
      <w:fldChar w:fldCharType="begin"/>
    </w:r>
    <w:r w:rsidR="003D4857">
      <w:instrText xml:space="preserve"> NUMPAGES </w:instrText>
    </w:r>
    <w:r w:rsidR="003D4857">
      <w:fldChar w:fldCharType="separate"/>
    </w:r>
    <w:r w:rsidR="003D4857">
      <w:rPr>
        <w:noProof/>
      </w:rPr>
      <w:instrText>30</w:instrText>
    </w:r>
    <w:r w:rsidR="003D4857">
      <w:rPr>
        <w:noProof/>
      </w:rPr>
      <w:fldChar w:fldCharType="end"/>
    </w:r>
    <w:r>
      <w:instrText xml:space="preserve"> -0 </w:instrText>
    </w:r>
    <w:r>
      <w:fldChar w:fldCharType="separate"/>
    </w:r>
    <w:r w:rsidR="003D4857">
      <w:rPr>
        <w:noProof/>
      </w:rP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5D" w14:textId="77777777" w:rsidR="00CB6673" w:rsidRPr="00DE7CC7" w:rsidRDefault="00CB6673" w:rsidP="00DE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378E" w14:textId="77777777" w:rsidR="007A23FD" w:rsidRDefault="007A23FD" w:rsidP="00B518C9">
      <w:pPr>
        <w:spacing w:line="240" w:lineRule="auto"/>
      </w:pPr>
      <w:r>
        <w:separator/>
      </w:r>
    </w:p>
  </w:footnote>
  <w:footnote w:type="continuationSeparator" w:id="0">
    <w:p w14:paraId="2E9445D2" w14:textId="77777777" w:rsidR="007A23FD" w:rsidRDefault="007A23F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60CF" w14:textId="77777777" w:rsidR="00DE7CC7" w:rsidRPr="00DE7CC7" w:rsidRDefault="00DE7CC7" w:rsidP="00DE7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CC1B" w14:textId="77777777" w:rsidR="00DE7CC7" w:rsidRPr="00DE7CC7" w:rsidRDefault="00DE7CC7" w:rsidP="00DE7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1279" w14:textId="77777777" w:rsidR="00DE7CC7" w:rsidRPr="00DE7CC7" w:rsidRDefault="00DE7CC7" w:rsidP="00DE7C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BC9" w14:textId="77777777" w:rsidR="00CB6673" w:rsidRPr="00DE7CC7" w:rsidRDefault="00CB6673" w:rsidP="00DE7C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5CCD" w14:textId="3AD71050" w:rsidR="00CB6673" w:rsidRPr="00DE7CC7" w:rsidRDefault="00CB6673" w:rsidP="00DE7C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0C0" w14:textId="77777777" w:rsidR="00CB6673" w:rsidRPr="00DE7CC7" w:rsidRDefault="00CB6673" w:rsidP="00DE7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7B03FD6"/>
    <w:lvl w:ilvl="0">
      <w:start w:val="1"/>
      <w:numFmt w:val="decimal"/>
      <w:pStyle w:val="Heading1"/>
      <w:lvlText w:val="%1."/>
      <w:legacy w:legacy="1" w:legacySpace="0" w:legacyIndent="0"/>
      <w:lvlJc w:val="left"/>
      <w:rPr>
        <w:b/>
        <w:bCs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1B6D8C4"/>
    <w:lvl w:ilvl="0">
      <w:numFmt w:val="decimal"/>
      <w:lvlText w:val="*"/>
      <w:lvlJc w:val="left"/>
    </w:lvl>
  </w:abstractNum>
  <w:abstractNum w:abstractNumId="2" w15:restartNumberingAfterBreak="0">
    <w:nsid w:val="002F26F6"/>
    <w:multiLevelType w:val="hybridMultilevel"/>
    <w:tmpl w:val="DD28F5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19C5AB8"/>
    <w:multiLevelType w:val="hybridMultilevel"/>
    <w:tmpl w:val="15DCFA98"/>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2B33459"/>
    <w:multiLevelType w:val="hybridMultilevel"/>
    <w:tmpl w:val="D29E830A"/>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40F43"/>
    <w:multiLevelType w:val="hybridMultilevel"/>
    <w:tmpl w:val="37EE209A"/>
    <w:lvl w:ilvl="0" w:tplc="FE4C725C">
      <w:start w:val="1"/>
      <w:numFmt w:val="bullet"/>
      <w:lvlText w:val=""/>
      <w:lvlJc w:val="left"/>
      <w:pPr>
        <w:ind w:left="644" w:hanging="360"/>
      </w:pPr>
      <w:rPr>
        <w:rFonts w:ascii="Symbol" w:hAnsi="Symbol" w:hint="default"/>
        <w:color w:val="auto"/>
        <w:sz w:val="22"/>
        <w:szCs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A74B79"/>
    <w:multiLevelType w:val="hybridMultilevel"/>
    <w:tmpl w:val="42AC35E2"/>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F223D6B"/>
    <w:multiLevelType w:val="hybridMultilevel"/>
    <w:tmpl w:val="025252AE"/>
    <w:lvl w:ilvl="0" w:tplc="0678857A">
      <w:start w:val="1"/>
      <w:numFmt w:val="bullet"/>
      <w:lvlText w:val=""/>
      <w:lvlJc w:val="left"/>
      <w:pPr>
        <w:ind w:left="644" w:hanging="360"/>
      </w:pPr>
      <w:rPr>
        <w:rFonts w:ascii="Symbol" w:hAnsi="Symbol" w:hint="default"/>
        <w:color w:val="auto"/>
        <w:sz w:val="28"/>
        <w:szCs w:val="28"/>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06DA1EAA"/>
    <w:lvl w:ilvl="0" w:tplc="B05E914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EF67A8A"/>
    <w:multiLevelType w:val="hybridMultilevel"/>
    <w:tmpl w:val="BE66D0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B93327"/>
    <w:multiLevelType w:val="hybridMultilevel"/>
    <w:tmpl w:val="354859EE"/>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0713607"/>
    <w:multiLevelType w:val="hybridMultilevel"/>
    <w:tmpl w:val="54C0B620"/>
    <w:lvl w:ilvl="0" w:tplc="5B5E973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67101"/>
    <w:multiLevelType w:val="hybridMultilevel"/>
    <w:tmpl w:val="F8EE601C"/>
    <w:lvl w:ilvl="0" w:tplc="0678857A">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2B521F38"/>
    <w:multiLevelType w:val="hybridMultilevel"/>
    <w:tmpl w:val="CFD6DFFA"/>
    <w:lvl w:ilvl="0" w:tplc="3512451E">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03178E6"/>
    <w:multiLevelType w:val="hybridMultilevel"/>
    <w:tmpl w:val="C72EAB5A"/>
    <w:lvl w:ilvl="0" w:tplc="0678857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0740096"/>
    <w:multiLevelType w:val="hybridMultilevel"/>
    <w:tmpl w:val="6C46126A"/>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7" w15:restartNumberingAfterBreak="0">
    <w:nsid w:val="39826381"/>
    <w:multiLevelType w:val="hybridMultilevel"/>
    <w:tmpl w:val="EACC3082"/>
    <w:lvl w:ilvl="0" w:tplc="40CC65F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72AAC"/>
    <w:multiLevelType w:val="hybridMultilevel"/>
    <w:tmpl w:val="9FF271E6"/>
    <w:lvl w:ilvl="0" w:tplc="0678857A">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403C7B2A"/>
    <w:multiLevelType w:val="hybridMultilevel"/>
    <w:tmpl w:val="DE749876"/>
    <w:lvl w:ilvl="0" w:tplc="746254BC">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22E2A91"/>
    <w:multiLevelType w:val="hybridMultilevel"/>
    <w:tmpl w:val="196A73FA"/>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1532D"/>
    <w:multiLevelType w:val="hybridMultilevel"/>
    <w:tmpl w:val="7A769A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CC4AEF"/>
    <w:multiLevelType w:val="hybridMultilevel"/>
    <w:tmpl w:val="05E81280"/>
    <w:lvl w:ilvl="0" w:tplc="0678857A">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4CAD52EC"/>
    <w:multiLevelType w:val="hybridMultilevel"/>
    <w:tmpl w:val="7F9C266A"/>
    <w:lvl w:ilvl="0" w:tplc="0678857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DEA42FE"/>
    <w:multiLevelType w:val="hybridMultilevel"/>
    <w:tmpl w:val="BF0A5F6C"/>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54D008C6"/>
    <w:multiLevelType w:val="hybridMultilevel"/>
    <w:tmpl w:val="7D78DF02"/>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260BF"/>
    <w:multiLevelType w:val="hybridMultilevel"/>
    <w:tmpl w:val="2A4AB712"/>
    <w:lvl w:ilvl="0" w:tplc="A364DA54">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71F2B"/>
    <w:multiLevelType w:val="hybridMultilevel"/>
    <w:tmpl w:val="E5DA7876"/>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22C4C"/>
    <w:multiLevelType w:val="hybridMultilevel"/>
    <w:tmpl w:val="60DE7C2E"/>
    <w:lvl w:ilvl="0" w:tplc="97DEC1F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111D7"/>
    <w:multiLevelType w:val="hybridMultilevel"/>
    <w:tmpl w:val="4EF69BB2"/>
    <w:lvl w:ilvl="0" w:tplc="0678857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E7508AA"/>
    <w:multiLevelType w:val="hybridMultilevel"/>
    <w:tmpl w:val="31C24010"/>
    <w:lvl w:ilvl="0" w:tplc="1716EBF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37ED0"/>
    <w:multiLevelType w:val="hybridMultilevel"/>
    <w:tmpl w:val="68CE0F6E"/>
    <w:lvl w:ilvl="0" w:tplc="58A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36B3B"/>
    <w:multiLevelType w:val="hybridMultilevel"/>
    <w:tmpl w:val="00147836"/>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F4733"/>
    <w:multiLevelType w:val="hybridMultilevel"/>
    <w:tmpl w:val="80AA6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A7429C5"/>
    <w:multiLevelType w:val="hybridMultilevel"/>
    <w:tmpl w:val="29343996"/>
    <w:lvl w:ilvl="0" w:tplc="0678857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C01245D"/>
    <w:multiLevelType w:val="hybridMultilevel"/>
    <w:tmpl w:val="8550EBE4"/>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DB464C7"/>
    <w:multiLevelType w:val="hybridMultilevel"/>
    <w:tmpl w:val="D2A0F622"/>
    <w:lvl w:ilvl="0" w:tplc="067885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F2E7C85"/>
    <w:multiLevelType w:val="hybridMultilevel"/>
    <w:tmpl w:val="9BD817A4"/>
    <w:lvl w:ilvl="0" w:tplc="0678857A">
      <w:start w:val="1"/>
      <w:numFmt w:val="bullet"/>
      <w:lvlText w:val=""/>
      <w:lvlJc w:val="left"/>
      <w:pPr>
        <w:ind w:left="720" w:hanging="360"/>
      </w:pPr>
      <w:rPr>
        <w:rFonts w:ascii="Symbol" w:hAnsi="Symbol" w:hint="default"/>
      </w:rPr>
    </w:lvl>
    <w:lvl w:ilvl="1" w:tplc="5874D532">
      <w:start w:val="1"/>
      <w:numFmt w:val="bullet"/>
      <w:lvlText w:val="o"/>
      <w:lvlJc w:val="left"/>
      <w:pPr>
        <w:ind w:left="1440" w:hanging="360"/>
      </w:pPr>
      <w:rPr>
        <w:rFonts w:ascii="Courier New" w:hAnsi="Courier New" w:hint="default"/>
      </w:rPr>
    </w:lvl>
    <w:lvl w:ilvl="2" w:tplc="5B36ABB6">
      <w:start w:val="1"/>
      <w:numFmt w:val="bullet"/>
      <w:lvlText w:val=""/>
      <w:lvlJc w:val="left"/>
      <w:pPr>
        <w:ind w:left="2160" w:hanging="360"/>
      </w:pPr>
      <w:rPr>
        <w:rFonts w:ascii="Wingdings" w:hAnsi="Wingdings" w:hint="default"/>
      </w:rPr>
    </w:lvl>
    <w:lvl w:ilvl="3" w:tplc="D4BCBF06">
      <w:start w:val="1"/>
      <w:numFmt w:val="bullet"/>
      <w:lvlText w:val=""/>
      <w:lvlJc w:val="left"/>
      <w:pPr>
        <w:ind w:left="2880" w:hanging="360"/>
      </w:pPr>
      <w:rPr>
        <w:rFonts w:ascii="Symbol" w:hAnsi="Symbol" w:hint="default"/>
      </w:rPr>
    </w:lvl>
    <w:lvl w:ilvl="4" w:tplc="E632C71E">
      <w:start w:val="1"/>
      <w:numFmt w:val="bullet"/>
      <w:lvlText w:val="o"/>
      <w:lvlJc w:val="left"/>
      <w:pPr>
        <w:ind w:left="3600" w:hanging="360"/>
      </w:pPr>
      <w:rPr>
        <w:rFonts w:ascii="Courier New" w:hAnsi="Courier New" w:hint="default"/>
      </w:rPr>
    </w:lvl>
    <w:lvl w:ilvl="5" w:tplc="66A407E6">
      <w:start w:val="1"/>
      <w:numFmt w:val="bullet"/>
      <w:lvlText w:val=""/>
      <w:lvlJc w:val="left"/>
      <w:pPr>
        <w:ind w:left="4320" w:hanging="360"/>
      </w:pPr>
      <w:rPr>
        <w:rFonts w:ascii="Wingdings" w:hAnsi="Wingdings" w:hint="default"/>
      </w:rPr>
    </w:lvl>
    <w:lvl w:ilvl="6" w:tplc="57780284">
      <w:start w:val="1"/>
      <w:numFmt w:val="bullet"/>
      <w:lvlText w:val=""/>
      <w:lvlJc w:val="left"/>
      <w:pPr>
        <w:ind w:left="5040" w:hanging="360"/>
      </w:pPr>
      <w:rPr>
        <w:rFonts w:ascii="Symbol" w:hAnsi="Symbol" w:hint="default"/>
      </w:rPr>
    </w:lvl>
    <w:lvl w:ilvl="7" w:tplc="F776FA76">
      <w:start w:val="1"/>
      <w:numFmt w:val="bullet"/>
      <w:lvlText w:val="o"/>
      <w:lvlJc w:val="left"/>
      <w:pPr>
        <w:ind w:left="5760" w:hanging="360"/>
      </w:pPr>
      <w:rPr>
        <w:rFonts w:ascii="Courier New" w:hAnsi="Courier New" w:hint="default"/>
      </w:rPr>
    </w:lvl>
    <w:lvl w:ilvl="8" w:tplc="48AAEF00">
      <w:start w:val="1"/>
      <w:numFmt w:val="bullet"/>
      <w:lvlText w:val=""/>
      <w:lvlJc w:val="left"/>
      <w:pPr>
        <w:ind w:left="6480" w:hanging="360"/>
      </w:pPr>
      <w:rPr>
        <w:rFonts w:ascii="Wingdings" w:hAnsi="Wingdings" w:hint="default"/>
      </w:rPr>
    </w:lvl>
  </w:abstractNum>
  <w:abstractNum w:abstractNumId="41" w15:restartNumberingAfterBreak="0">
    <w:nsid w:val="7583730E"/>
    <w:multiLevelType w:val="hybridMultilevel"/>
    <w:tmpl w:val="608084E8"/>
    <w:lvl w:ilvl="0" w:tplc="DDE088C8">
      <w:start w:val="1"/>
      <w:numFmt w:val="bullet"/>
      <w:lvlText w:val=""/>
      <w:lvlJc w:val="left"/>
      <w:pPr>
        <w:ind w:left="720" w:hanging="360"/>
      </w:pPr>
      <w:rPr>
        <w:rFonts w:ascii="Symbol" w:hAnsi="Symbol" w:hint="default"/>
        <w:color w:val="auto"/>
      </w:rPr>
    </w:lvl>
    <w:lvl w:ilvl="1" w:tplc="0678857A">
      <w:start w:val="1"/>
      <w:numFmt w:val="bullet"/>
      <w:lvlText w:val=""/>
      <w:lvlJc w:val="left"/>
      <w:pPr>
        <w:ind w:left="72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6F577C5"/>
    <w:multiLevelType w:val="hybridMultilevel"/>
    <w:tmpl w:val="BE4E413C"/>
    <w:lvl w:ilvl="0" w:tplc="2682CAC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4E3A"/>
    <w:multiLevelType w:val="hybridMultilevel"/>
    <w:tmpl w:val="875C5530"/>
    <w:lvl w:ilvl="0" w:tplc="0678857A">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3"/>
  </w:num>
  <w:num w:numId="4">
    <w:abstractNumId w:val="25"/>
  </w:num>
  <w:num w:numId="5">
    <w:abstractNumId w:val="35"/>
  </w:num>
  <w:num w:numId="6">
    <w:abstractNumId w:val="23"/>
  </w:num>
  <w:num w:numId="7">
    <w:abstractNumId w:val="38"/>
  </w:num>
  <w:num w:numId="8">
    <w:abstractNumId w:val="21"/>
  </w:num>
  <w:num w:numId="9">
    <w:abstractNumId w:val="34"/>
  </w:num>
  <w:num w:numId="10">
    <w:abstractNumId w:val="1"/>
    <w:lvlOverride w:ilvl="0">
      <w:lvl w:ilvl="0">
        <w:start w:val="1"/>
        <w:numFmt w:val="bullet"/>
        <w:lvlText w:val=""/>
        <w:legacy w:legacy="1" w:legacySpace="0" w:legacyIndent="283"/>
        <w:lvlJc w:val="left"/>
        <w:pPr>
          <w:ind w:left="851" w:hanging="283"/>
        </w:pPr>
        <w:rPr>
          <w:rFonts w:ascii="Symbol" w:hAnsi="Symbol" w:hint="default"/>
          <w:color w:val="auto"/>
          <w:sz w:val="28"/>
          <w:szCs w:val="28"/>
        </w:rPr>
      </w:lvl>
    </w:lvlOverride>
  </w:num>
  <w:num w:numId="11">
    <w:abstractNumId w:val="9"/>
  </w:num>
  <w:num w:numId="12">
    <w:abstractNumId w:val="24"/>
  </w:num>
  <w:num w:numId="13">
    <w:abstractNumId w:val="20"/>
  </w:num>
  <w:num w:numId="14">
    <w:abstractNumId w:val="16"/>
  </w:num>
  <w:num w:numId="15">
    <w:abstractNumId w:val="8"/>
  </w:num>
  <w:num w:numId="16">
    <w:abstractNumId w:val="10"/>
  </w:num>
  <w:num w:numId="17">
    <w:abstractNumId w:val="12"/>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19">
    <w:abstractNumId w:val="40"/>
  </w:num>
  <w:num w:numId="20">
    <w:abstractNumId w:val="22"/>
  </w:num>
  <w:num w:numId="21">
    <w:abstractNumId w:val="18"/>
  </w:num>
  <w:num w:numId="22">
    <w:abstractNumId w:val="14"/>
  </w:num>
  <w:num w:numId="23">
    <w:abstractNumId w:val="26"/>
  </w:num>
  <w:num w:numId="24">
    <w:abstractNumId w:val="41"/>
  </w:num>
  <w:num w:numId="25">
    <w:abstractNumId w:val="15"/>
  </w:num>
  <w:num w:numId="26">
    <w:abstractNumId w:val="28"/>
  </w:num>
  <w:num w:numId="27">
    <w:abstractNumId w:val="43"/>
  </w:num>
  <w:num w:numId="28">
    <w:abstractNumId w:val="6"/>
  </w:num>
  <w:num w:numId="29">
    <w:abstractNumId w:val="39"/>
  </w:num>
  <w:num w:numId="30">
    <w:abstractNumId w:val="5"/>
  </w:num>
  <w:num w:numId="31">
    <w:abstractNumId w:val="3"/>
  </w:num>
  <w:num w:numId="32">
    <w:abstractNumId w:val="33"/>
  </w:num>
  <w:num w:numId="33">
    <w:abstractNumId w:val="37"/>
  </w:num>
  <w:num w:numId="34">
    <w:abstractNumId w:val="30"/>
  </w:num>
  <w:num w:numId="35">
    <w:abstractNumId w:val="36"/>
  </w:num>
  <w:num w:numId="36">
    <w:abstractNumId w:val="4"/>
  </w:num>
  <w:num w:numId="37">
    <w:abstractNumId w:val="42"/>
  </w:num>
  <w:num w:numId="38">
    <w:abstractNumId w:val="7"/>
  </w:num>
  <w:num w:numId="39">
    <w:abstractNumId w:val="11"/>
  </w:num>
  <w:num w:numId="40">
    <w:abstractNumId w:val="17"/>
  </w:num>
  <w:num w:numId="41">
    <w:abstractNumId w:val="19"/>
  </w:num>
  <w:num w:numId="42">
    <w:abstractNumId w:val="32"/>
  </w:num>
  <w:num w:numId="43">
    <w:abstractNumId w:val="2"/>
  </w:num>
  <w:num w:numId="44">
    <w:abstractNumId w:val="29"/>
  </w:num>
  <w:num w:numId="45">
    <w:abstractNumId w:val="27"/>
  </w:num>
  <w:num w:numId="46">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67D"/>
    <w:rsid w:val="00007004"/>
    <w:rsid w:val="00010A4D"/>
    <w:rsid w:val="00012E64"/>
    <w:rsid w:val="00017D54"/>
    <w:rsid w:val="00020C13"/>
    <w:rsid w:val="00020D21"/>
    <w:rsid w:val="00035EC7"/>
    <w:rsid w:val="00044FB3"/>
    <w:rsid w:val="00050772"/>
    <w:rsid w:val="000521F5"/>
    <w:rsid w:val="00063DFF"/>
    <w:rsid w:val="00067C7B"/>
    <w:rsid w:val="00071681"/>
    <w:rsid w:val="0007736E"/>
    <w:rsid w:val="0008407D"/>
    <w:rsid w:val="00085BCB"/>
    <w:rsid w:val="00086EA4"/>
    <w:rsid w:val="00086F33"/>
    <w:rsid w:val="00090B6C"/>
    <w:rsid w:val="0009204A"/>
    <w:rsid w:val="0009375F"/>
    <w:rsid w:val="000A01ED"/>
    <w:rsid w:val="000A0991"/>
    <w:rsid w:val="000A6FBB"/>
    <w:rsid w:val="000B153B"/>
    <w:rsid w:val="000B2C0F"/>
    <w:rsid w:val="000B5048"/>
    <w:rsid w:val="000B6665"/>
    <w:rsid w:val="000C31E1"/>
    <w:rsid w:val="000C49B7"/>
    <w:rsid w:val="000C7282"/>
    <w:rsid w:val="000D394D"/>
    <w:rsid w:val="000E0CB1"/>
    <w:rsid w:val="000E2545"/>
    <w:rsid w:val="000F1E60"/>
    <w:rsid w:val="00110DDD"/>
    <w:rsid w:val="00121797"/>
    <w:rsid w:val="0012298C"/>
    <w:rsid w:val="00143563"/>
    <w:rsid w:val="001452AB"/>
    <w:rsid w:val="00145E70"/>
    <w:rsid w:val="00153657"/>
    <w:rsid w:val="00157438"/>
    <w:rsid w:val="00160F71"/>
    <w:rsid w:val="00161322"/>
    <w:rsid w:val="00164573"/>
    <w:rsid w:val="00170C1F"/>
    <w:rsid w:val="00174CDF"/>
    <w:rsid w:val="0017523E"/>
    <w:rsid w:val="0018211C"/>
    <w:rsid w:val="001979DF"/>
    <w:rsid w:val="001A7210"/>
    <w:rsid w:val="001B22C0"/>
    <w:rsid w:val="001B4437"/>
    <w:rsid w:val="001C1A5A"/>
    <w:rsid w:val="001E391D"/>
    <w:rsid w:val="001E4AD9"/>
    <w:rsid w:val="001F6557"/>
    <w:rsid w:val="001F6962"/>
    <w:rsid w:val="001F7A4C"/>
    <w:rsid w:val="0020048F"/>
    <w:rsid w:val="002059F6"/>
    <w:rsid w:val="00206A70"/>
    <w:rsid w:val="00207785"/>
    <w:rsid w:val="00207931"/>
    <w:rsid w:val="00207CB5"/>
    <w:rsid w:val="0022396F"/>
    <w:rsid w:val="00225236"/>
    <w:rsid w:val="002319EB"/>
    <w:rsid w:val="002362BA"/>
    <w:rsid w:val="00260F68"/>
    <w:rsid w:val="0026661C"/>
    <w:rsid w:val="00274F3B"/>
    <w:rsid w:val="00286E07"/>
    <w:rsid w:val="00290C09"/>
    <w:rsid w:val="002914C0"/>
    <w:rsid w:val="002928E5"/>
    <w:rsid w:val="00293E88"/>
    <w:rsid w:val="00295E78"/>
    <w:rsid w:val="00296AA0"/>
    <w:rsid w:val="002A5636"/>
    <w:rsid w:val="002A7012"/>
    <w:rsid w:val="002B7981"/>
    <w:rsid w:val="002C3E2F"/>
    <w:rsid w:val="002C494F"/>
    <w:rsid w:val="002F5945"/>
    <w:rsid w:val="002F6197"/>
    <w:rsid w:val="002F7FCC"/>
    <w:rsid w:val="00304B0D"/>
    <w:rsid w:val="003066BE"/>
    <w:rsid w:val="00307F78"/>
    <w:rsid w:val="00311E5B"/>
    <w:rsid w:val="00321F49"/>
    <w:rsid w:val="003227CC"/>
    <w:rsid w:val="00337357"/>
    <w:rsid w:val="003476A9"/>
    <w:rsid w:val="00350062"/>
    <w:rsid w:val="00350F7B"/>
    <w:rsid w:val="00373DC9"/>
    <w:rsid w:val="003822FE"/>
    <w:rsid w:val="00395F2C"/>
    <w:rsid w:val="003A0D87"/>
    <w:rsid w:val="003A3164"/>
    <w:rsid w:val="003A44F6"/>
    <w:rsid w:val="003A638A"/>
    <w:rsid w:val="003B20A0"/>
    <w:rsid w:val="003B6E5F"/>
    <w:rsid w:val="003C14DE"/>
    <w:rsid w:val="003C3D98"/>
    <w:rsid w:val="003C404F"/>
    <w:rsid w:val="003C4E9F"/>
    <w:rsid w:val="003D4857"/>
    <w:rsid w:val="003F326D"/>
    <w:rsid w:val="003F42E9"/>
    <w:rsid w:val="003F4FAE"/>
    <w:rsid w:val="003F560D"/>
    <w:rsid w:val="003F79EF"/>
    <w:rsid w:val="004136CF"/>
    <w:rsid w:val="0043191A"/>
    <w:rsid w:val="004347A0"/>
    <w:rsid w:val="00434EA7"/>
    <w:rsid w:val="0043723D"/>
    <w:rsid w:val="00437387"/>
    <w:rsid w:val="00473015"/>
    <w:rsid w:val="00487166"/>
    <w:rsid w:val="004A5CD7"/>
    <w:rsid w:val="004A631F"/>
    <w:rsid w:val="004C4048"/>
    <w:rsid w:val="004D4457"/>
    <w:rsid w:val="004D7AC0"/>
    <w:rsid w:val="004E2C88"/>
    <w:rsid w:val="004E45AE"/>
    <w:rsid w:val="004E70CF"/>
    <w:rsid w:val="004F4B0E"/>
    <w:rsid w:val="00512E92"/>
    <w:rsid w:val="00532089"/>
    <w:rsid w:val="00536BA5"/>
    <w:rsid w:val="005547CA"/>
    <w:rsid w:val="005559ED"/>
    <w:rsid w:val="005565A0"/>
    <w:rsid w:val="00557D1F"/>
    <w:rsid w:val="00560FCF"/>
    <w:rsid w:val="00560FD9"/>
    <w:rsid w:val="00564145"/>
    <w:rsid w:val="00574AE9"/>
    <w:rsid w:val="00576A37"/>
    <w:rsid w:val="00586B4B"/>
    <w:rsid w:val="005A0BDA"/>
    <w:rsid w:val="005A13AE"/>
    <w:rsid w:val="005B137E"/>
    <w:rsid w:val="005B3E63"/>
    <w:rsid w:val="005C3B4E"/>
    <w:rsid w:val="005D3366"/>
    <w:rsid w:val="005D3769"/>
    <w:rsid w:val="005D3B72"/>
    <w:rsid w:val="005E1B10"/>
    <w:rsid w:val="005E2E28"/>
    <w:rsid w:val="005E5CC8"/>
    <w:rsid w:val="005E65F1"/>
    <w:rsid w:val="005E7651"/>
    <w:rsid w:val="005F29F6"/>
    <w:rsid w:val="006036EC"/>
    <w:rsid w:val="00607388"/>
    <w:rsid w:val="00621588"/>
    <w:rsid w:val="00625CA3"/>
    <w:rsid w:val="0063270F"/>
    <w:rsid w:val="0063478E"/>
    <w:rsid w:val="006347E9"/>
    <w:rsid w:val="006371B9"/>
    <w:rsid w:val="00641262"/>
    <w:rsid w:val="00643832"/>
    <w:rsid w:val="00643F40"/>
    <w:rsid w:val="00653DB4"/>
    <w:rsid w:val="0066204A"/>
    <w:rsid w:val="00663B69"/>
    <w:rsid w:val="00663D1D"/>
    <w:rsid w:val="006665CE"/>
    <w:rsid w:val="00670F4D"/>
    <w:rsid w:val="00673030"/>
    <w:rsid w:val="00674DC9"/>
    <w:rsid w:val="00685669"/>
    <w:rsid w:val="00686452"/>
    <w:rsid w:val="00693AFD"/>
    <w:rsid w:val="006A1852"/>
    <w:rsid w:val="006A1964"/>
    <w:rsid w:val="006A30A7"/>
    <w:rsid w:val="006A607A"/>
    <w:rsid w:val="006C3BF1"/>
    <w:rsid w:val="006C5394"/>
    <w:rsid w:val="006D00D2"/>
    <w:rsid w:val="006D0FA5"/>
    <w:rsid w:val="006D2C8A"/>
    <w:rsid w:val="006D2D64"/>
    <w:rsid w:val="006E058A"/>
    <w:rsid w:val="006E42C3"/>
    <w:rsid w:val="006E6BA2"/>
    <w:rsid w:val="006F198A"/>
    <w:rsid w:val="006F3BD2"/>
    <w:rsid w:val="0070112B"/>
    <w:rsid w:val="0071441D"/>
    <w:rsid w:val="0071703D"/>
    <w:rsid w:val="0072001A"/>
    <w:rsid w:val="0072178B"/>
    <w:rsid w:val="00722D37"/>
    <w:rsid w:val="00732FD3"/>
    <w:rsid w:val="00735536"/>
    <w:rsid w:val="00747082"/>
    <w:rsid w:val="007506C2"/>
    <w:rsid w:val="00754027"/>
    <w:rsid w:val="0075452F"/>
    <w:rsid w:val="0076170A"/>
    <w:rsid w:val="00761E3F"/>
    <w:rsid w:val="00766B1A"/>
    <w:rsid w:val="007757F6"/>
    <w:rsid w:val="00775D85"/>
    <w:rsid w:val="007772BB"/>
    <w:rsid w:val="00787993"/>
    <w:rsid w:val="00790212"/>
    <w:rsid w:val="00793264"/>
    <w:rsid w:val="0079484B"/>
    <w:rsid w:val="007977EB"/>
    <w:rsid w:val="007A1ECF"/>
    <w:rsid w:val="007A23FD"/>
    <w:rsid w:val="007A4A04"/>
    <w:rsid w:val="007A5C3E"/>
    <w:rsid w:val="007C5067"/>
    <w:rsid w:val="007C5687"/>
    <w:rsid w:val="007D38CF"/>
    <w:rsid w:val="007D4AF0"/>
    <w:rsid w:val="007D4BC5"/>
    <w:rsid w:val="007D4F80"/>
    <w:rsid w:val="007E5208"/>
    <w:rsid w:val="007F5784"/>
    <w:rsid w:val="007F59F8"/>
    <w:rsid w:val="00800D55"/>
    <w:rsid w:val="0080305A"/>
    <w:rsid w:val="00811AE6"/>
    <w:rsid w:val="008140AB"/>
    <w:rsid w:val="00834038"/>
    <w:rsid w:val="00845B97"/>
    <w:rsid w:val="00845F24"/>
    <w:rsid w:val="0084634B"/>
    <w:rsid w:val="00850BA4"/>
    <w:rsid w:val="00852896"/>
    <w:rsid w:val="00874920"/>
    <w:rsid w:val="008776D6"/>
    <w:rsid w:val="0088219D"/>
    <w:rsid w:val="00887AAF"/>
    <w:rsid w:val="008923EE"/>
    <w:rsid w:val="008A001E"/>
    <w:rsid w:val="008A069D"/>
    <w:rsid w:val="008A129B"/>
    <w:rsid w:val="008B10AA"/>
    <w:rsid w:val="008B1374"/>
    <w:rsid w:val="008B365F"/>
    <w:rsid w:val="008B7128"/>
    <w:rsid w:val="008C1E36"/>
    <w:rsid w:val="008F0A57"/>
    <w:rsid w:val="008F2ED1"/>
    <w:rsid w:val="008F720A"/>
    <w:rsid w:val="00903E48"/>
    <w:rsid w:val="0090676E"/>
    <w:rsid w:val="00920DBD"/>
    <w:rsid w:val="0093269E"/>
    <w:rsid w:val="00933DDE"/>
    <w:rsid w:val="0093456F"/>
    <w:rsid w:val="00954942"/>
    <w:rsid w:val="00960878"/>
    <w:rsid w:val="00971406"/>
    <w:rsid w:val="009757DF"/>
    <w:rsid w:val="00985931"/>
    <w:rsid w:val="009A26EA"/>
    <w:rsid w:val="009B2765"/>
    <w:rsid w:val="009B30A2"/>
    <w:rsid w:val="009C4B2A"/>
    <w:rsid w:val="009C5987"/>
    <w:rsid w:val="009E37FC"/>
    <w:rsid w:val="009F0424"/>
    <w:rsid w:val="00A0115F"/>
    <w:rsid w:val="00A01E18"/>
    <w:rsid w:val="00A07FDA"/>
    <w:rsid w:val="00A137BD"/>
    <w:rsid w:val="00A14EE2"/>
    <w:rsid w:val="00A20E9D"/>
    <w:rsid w:val="00A22B61"/>
    <w:rsid w:val="00A272B2"/>
    <w:rsid w:val="00A31FBE"/>
    <w:rsid w:val="00A44552"/>
    <w:rsid w:val="00A447ED"/>
    <w:rsid w:val="00A50553"/>
    <w:rsid w:val="00A671D1"/>
    <w:rsid w:val="00A704FE"/>
    <w:rsid w:val="00A71787"/>
    <w:rsid w:val="00A72AF4"/>
    <w:rsid w:val="00A73D45"/>
    <w:rsid w:val="00A771E9"/>
    <w:rsid w:val="00A816F6"/>
    <w:rsid w:val="00A819B2"/>
    <w:rsid w:val="00A84144"/>
    <w:rsid w:val="00A94759"/>
    <w:rsid w:val="00AA0B9B"/>
    <w:rsid w:val="00AB27C4"/>
    <w:rsid w:val="00AB5F92"/>
    <w:rsid w:val="00AC3091"/>
    <w:rsid w:val="00AC4073"/>
    <w:rsid w:val="00AD2B01"/>
    <w:rsid w:val="00AD3765"/>
    <w:rsid w:val="00AE1443"/>
    <w:rsid w:val="00AE4A74"/>
    <w:rsid w:val="00AF009E"/>
    <w:rsid w:val="00AF66DD"/>
    <w:rsid w:val="00B12AD6"/>
    <w:rsid w:val="00B13B70"/>
    <w:rsid w:val="00B16290"/>
    <w:rsid w:val="00B203DA"/>
    <w:rsid w:val="00B22D81"/>
    <w:rsid w:val="00B31D9D"/>
    <w:rsid w:val="00B35D40"/>
    <w:rsid w:val="00B417D4"/>
    <w:rsid w:val="00B5012B"/>
    <w:rsid w:val="00B50BBC"/>
    <w:rsid w:val="00B518C9"/>
    <w:rsid w:val="00B56DC5"/>
    <w:rsid w:val="00B609BB"/>
    <w:rsid w:val="00B6140C"/>
    <w:rsid w:val="00B62C90"/>
    <w:rsid w:val="00B64DCF"/>
    <w:rsid w:val="00B74D18"/>
    <w:rsid w:val="00B76E22"/>
    <w:rsid w:val="00B84F37"/>
    <w:rsid w:val="00B90BB4"/>
    <w:rsid w:val="00B9454C"/>
    <w:rsid w:val="00B97667"/>
    <w:rsid w:val="00B97735"/>
    <w:rsid w:val="00BA33D2"/>
    <w:rsid w:val="00BA4FAE"/>
    <w:rsid w:val="00BA7DA9"/>
    <w:rsid w:val="00BB639C"/>
    <w:rsid w:val="00BB763C"/>
    <w:rsid w:val="00BC192C"/>
    <w:rsid w:val="00BC3DCE"/>
    <w:rsid w:val="00BD0A76"/>
    <w:rsid w:val="00BD13B3"/>
    <w:rsid w:val="00BD6D59"/>
    <w:rsid w:val="00BE3088"/>
    <w:rsid w:val="00BE54B3"/>
    <w:rsid w:val="00BF4B8A"/>
    <w:rsid w:val="00C008B4"/>
    <w:rsid w:val="00C0422F"/>
    <w:rsid w:val="00C06BC8"/>
    <w:rsid w:val="00C1318C"/>
    <w:rsid w:val="00C178B4"/>
    <w:rsid w:val="00C17ABD"/>
    <w:rsid w:val="00C26C67"/>
    <w:rsid w:val="00C351BC"/>
    <w:rsid w:val="00C51A1A"/>
    <w:rsid w:val="00C6005D"/>
    <w:rsid w:val="00C6788D"/>
    <w:rsid w:val="00C7363B"/>
    <w:rsid w:val="00C73CDB"/>
    <w:rsid w:val="00C821A5"/>
    <w:rsid w:val="00CB1912"/>
    <w:rsid w:val="00CB6673"/>
    <w:rsid w:val="00CD57F4"/>
    <w:rsid w:val="00D032F4"/>
    <w:rsid w:val="00D04D79"/>
    <w:rsid w:val="00D0590F"/>
    <w:rsid w:val="00D12BF6"/>
    <w:rsid w:val="00D27336"/>
    <w:rsid w:val="00D43613"/>
    <w:rsid w:val="00D44E5F"/>
    <w:rsid w:val="00D508F7"/>
    <w:rsid w:val="00D56FF8"/>
    <w:rsid w:val="00D60502"/>
    <w:rsid w:val="00D6433F"/>
    <w:rsid w:val="00D7076A"/>
    <w:rsid w:val="00D72442"/>
    <w:rsid w:val="00D7556E"/>
    <w:rsid w:val="00D7622F"/>
    <w:rsid w:val="00D81D76"/>
    <w:rsid w:val="00D81F5E"/>
    <w:rsid w:val="00D92269"/>
    <w:rsid w:val="00D933A9"/>
    <w:rsid w:val="00DA024B"/>
    <w:rsid w:val="00DA78A0"/>
    <w:rsid w:val="00DB4519"/>
    <w:rsid w:val="00DB7317"/>
    <w:rsid w:val="00DC6E9C"/>
    <w:rsid w:val="00DC7468"/>
    <w:rsid w:val="00DD5495"/>
    <w:rsid w:val="00DE0AD0"/>
    <w:rsid w:val="00DE176A"/>
    <w:rsid w:val="00DE7CC7"/>
    <w:rsid w:val="00DF1CA2"/>
    <w:rsid w:val="00DF2762"/>
    <w:rsid w:val="00E00A6B"/>
    <w:rsid w:val="00E05F14"/>
    <w:rsid w:val="00E11D35"/>
    <w:rsid w:val="00E252C6"/>
    <w:rsid w:val="00E25FBD"/>
    <w:rsid w:val="00E3707D"/>
    <w:rsid w:val="00E44B28"/>
    <w:rsid w:val="00E47697"/>
    <w:rsid w:val="00E5346F"/>
    <w:rsid w:val="00E60037"/>
    <w:rsid w:val="00E62AC9"/>
    <w:rsid w:val="00E630B2"/>
    <w:rsid w:val="00E6376A"/>
    <w:rsid w:val="00E720D2"/>
    <w:rsid w:val="00E77899"/>
    <w:rsid w:val="00E77A18"/>
    <w:rsid w:val="00EA1872"/>
    <w:rsid w:val="00EA21B5"/>
    <w:rsid w:val="00EA487B"/>
    <w:rsid w:val="00EA5D3A"/>
    <w:rsid w:val="00EA637B"/>
    <w:rsid w:val="00EC6483"/>
    <w:rsid w:val="00EC725B"/>
    <w:rsid w:val="00EC79D6"/>
    <w:rsid w:val="00ED40A4"/>
    <w:rsid w:val="00EE45AC"/>
    <w:rsid w:val="00EF1F75"/>
    <w:rsid w:val="00F10515"/>
    <w:rsid w:val="00F14ED2"/>
    <w:rsid w:val="00F27BB3"/>
    <w:rsid w:val="00F47E37"/>
    <w:rsid w:val="00F53C93"/>
    <w:rsid w:val="00F83C17"/>
    <w:rsid w:val="00F923F1"/>
    <w:rsid w:val="00F92AF7"/>
    <w:rsid w:val="00F93AFB"/>
    <w:rsid w:val="00F94D46"/>
    <w:rsid w:val="00F96BD8"/>
    <w:rsid w:val="00F96D7F"/>
    <w:rsid w:val="00FA584E"/>
    <w:rsid w:val="00FA6D2E"/>
    <w:rsid w:val="00FB2DAD"/>
    <w:rsid w:val="00FB69EB"/>
    <w:rsid w:val="00FC1076"/>
    <w:rsid w:val="00FC456F"/>
    <w:rsid w:val="00FC6384"/>
    <w:rsid w:val="00FD7E5A"/>
    <w:rsid w:val="00FE0765"/>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uiPriority w:val="5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character" w:customStyle="1" w:styleId="UnresolvedMention1">
    <w:name w:val="Unresolved Mention1"/>
    <w:basedOn w:val="DefaultParagraphFont"/>
    <w:uiPriority w:val="99"/>
    <w:semiHidden/>
    <w:unhideWhenUsed/>
    <w:rsid w:val="009F0424"/>
    <w:rPr>
      <w:color w:val="605E5C"/>
      <w:shd w:val="clear" w:color="auto" w:fill="E1DFDD"/>
    </w:rPr>
  </w:style>
  <w:style w:type="table" w:customStyle="1" w:styleId="TableGrid1">
    <w:name w:val="Table Grid1"/>
    <w:basedOn w:val="TableNormal"/>
    <w:next w:val="TableGrid"/>
    <w:rsid w:val="003A0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A7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A4F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20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3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43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C40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73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C49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2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773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D5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20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EE45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7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A5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93E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44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71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7F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7D38CF"/>
    <w:pPr>
      <w:spacing w:after="100"/>
      <w:ind w:left="220"/>
    </w:pPr>
  </w:style>
  <w:style w:type="table" w:customStyle="1" w:styleId="TableGrid21">
    <w:name w:val="Table Grid21"/>
    <w:basedOn w:val="TableNormal"/>
    <w:next w:val="TableGrid"/>
    <w:rsid w:val="00DA02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2A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4145"/>
    <w:pPr>
      <w:spacing w:before="100" w:beforeAutospacing="1" w:after="100" w:afterAutospacing="1" w:line="240" w:lineRule="auto"/>
      <w:jc w:val="left"/>
    </w:pPr>
    <w:rPr>
      <w:sz w:val="24"/>
      <w:szCs w:val="24"/>
      <w:lang w:eastAsia="fr-B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56414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orgios.Meleas@eesc.europa.eu" TargetMode="External"/><Relationship Id="rId21" Type="http://schemas.openxmlformats.org/officeDocument/2006/relationships/hyperlink" Target="https://www.eesc.europa.eu/cs/our-work/opinions-information-reports/opinions/euro-area-economic-policy-2026" TargetMode="External"/><Relationship Id="rId42" Type="http://schemas.openxmlformats.org/officeDocument/2006/relationships/hyperlink" Target="https://www.eesc.europa.eu/cs/our-work/opinions-information-reports/opinions/single-market-and-customs-programme-2028-2034" TargetMode="External"/><Relationship Id="rId47" Type="http://schemas.openxmlformats.org/officeDocument/2006/relationships/hyperlink" Target="https://www.eesc.europa.eu/cs/our-work/opinions-information-reports/opinions/horizon-europe-0" TargetMode="External"/><Relationship Id="rId63" Type="http://schemas.openxmlformats.org/officeDocument/2006/relationships/hyperlink" Target="mailto:Laia.TomasVinardell@eesc.europa.eu" TargetMode="External"/><Relationship Id="rId68" Type="http://schemas.openxmlformats.org/officeDocument/2006/relationships/header" Target="header6.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eesc.europa.eu/cs/our-work/opinions-information-reports/opinions/my-voice-my-choice-safe-and-accessible-abortion" TargetMode="External"/><Relationship Id="rId11" Type="http://schemas.openxmlformats.org/officeDocument/2006/relationships/hyperlink" Target="https://www.eesc.europa.eu/cs/our-work/opinions-information-reports/plenary-session-summaries" TargetMode="External"/><Relationship Id="rId24" Type="http://schemas.openxmlformats.org/officeDocument/2006/relationships/hyperlink" Target="mailto:Gerald.Klec@eesc.europa.eu" TargetMode="External"/><Relationship Id="rId32" Type="http://schemas.openxmlformats.org/officeDocument/2006/relationships/hyperlink" Target="mailto:Valeria.Atzori@eesc.europa.eu" TargetMode="External"/><Relationship Id="rId37" Type="http://schemas.openxmlformats.org/officeDocument/2006/relationships/hyperlink" Target="mailto:Aleksandra.SarmanGrilc@eesc.europa.eu" TargetMode="External"/><Relationship Id="rId40" Type="http://schemas.openxmlformats.org/officeDocument/2006/relationships/hyperlink" Target="https://www.eesc.europa.eu/cs/our-work/opinions-information-reports/opinions/extension-interim-rules-online-child-sexual-abuse" TargetMode="External"/><Relationship Id="rId45" Type="http://schemas.openxmlformats.org/officeDocument/2006/relationships/hyperlink" Target="mailto:Yousra.AsbouniElOuahabi@eesc.europa.eu" TargetMode="External"/><Relationship Id="rId53" Type="http://schemas.openxmlformats.org/officeDocument/2006/relationships/hyperlink" Target="https://www.eesc.europa.eu/cs/our-work/opinions-information-reports/opinions/amendment-data-protection-biocidal-products" TargetMode="External"/><Relationship Id="rId58" Type="http://schemas.openxmlformats.org/officeDocument/2006/relationships/hyperlink" Target="mailto:Arturo.Iniguez@eesc.europa.eu" TargetMode="External"/><Relationship Id="rId66" Type="http://schemas.openxmlformats.org/officeDocument/2006/relationships/footer" Target="footer4.xml"/><Relationship Id="rId5" Type="http://schemas.openxmlformats.org/officeDocument/2006/relationships/styles" Target="styles.xml"/><Relationship Id="rId61" Type="http://schemas.openxmlformats.org/officeDocument/2006/relationships/hyperlink" Target="mailto:Martine.Delanoy@eesc.europa.eu" TargetMode="External"/><Relationship Id="rId19" Type="http://schemas.openxmlformats.org/officeDocument/2006/relationships/hyperlink" Target="https://www.eesc.europa.eu/cs/documents/resolution/eesc-contribution-eus-priorities-70th-session-united-nations-commission-status-women" TargetMode="External"/><Relationship Id="rId14" Type="http://schemas.openxmlformats.org/officeDocument/2006/relationships/header" Target="header2.xml"/><Relationship Id="rId22" Type="http://schemas.openxmlformats.org/officeDocument/2006/relationships/hyperlink" Target="mailto:Krisztina.PerlakyToth@eesc.europa.eu" TargetMode="External"/><Relationship Id="rId27" Type="http://schemas.openxmlformats.org/officeDocument/2006/relationships/hyperlink" Target="https://www.eesc.europa.eu/cs/our-work/opinions-information-reports/opinions/own-resources-2025-proposal" TargetMode="External"/><Relationship Id="rId30" Type="http://schemas.openxmlformats.org/officeDocument/2006/relationships/hyperlink" Target="mailto:Antoni.TorrasEstruch@eesc.europa.eu" TargetMode="External"/><Relationship Id="rId35" Type="http://schemas.openxmlformats.org/officeDocument/2006/relationships/hyperlink" Target="https://www.eesc.europa.eu/cs/our-work/opinions-information-reports/opinions/bilateral-road-transport-agreement-between-austria-and-switzerland" TargetMode="External"/><Relationship Id="rId43" Type="http://schemas.openxmlformats.org/officeDocument/2006/relationships/hyperlink" Target="mailto:Marco.Manfroni@eesc.europa.eu" TargetMode="External"/><Relationship Id="rId48" Type="http://schemas.openxmlformats.org/officeDocument/2006/relationships/hyperlink" Target="mailto:Jana.Valant@eesc.europa.eu" TargetMode="External"/><Relationship Id="rId56" Type="http://schemas.openxmlformats.org/officeDocument/2006/relationships/hyperlink" Target="mailto:Myrto.Kolyva@eesc.europa.eu" TargetMode="External"/><Relationship Id="rId64" Type="http://schemas.openxmlformats.org/officeDocument/2006/relationships/header" Target="header4.xml"/><Relationship Id="rId69" Type="http://schemas.openxmlformats.org/officeDocument/2006/relationships/footer" Target="footer6.xml"/><Relationship Id="rId8" Type="http://schemas.openxmlformats.org/officeDocument/2006/relationships/footnotes" Target="footnotes.xml"/><Relationship Id="rId51" Type="http://schemas.openxmlformats.org/officeDocument/2006/relationships/hyperlink" Target="https://www.eesc.europa.eu/cs/our-work/opinions-information-reports/opinions/amendment-market-stability-reserve-buildings-road-transport-and-additional-sectors" TargetMode="External"/><Relationship Id="rId72"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hyperlink" Target="https://dmsearch.eesc.europa.eu/search/opinion" TargetMode="External"/><Relationship Id="rId17" Type="http://schemas.openxmlformats.org/officeDocument/2006/relationships/header" Target="header3.xml"/><Relationship Id="rId25" Type="http://schemas.openxmlformats.org/officeDocument/2006/relationships/hyperlink" Target="https://www.eesc.europa.eu/cs/our-work/opinions-information-reports/opinions/eu-fund-cohesion-agriculture-and-rural-fisheries-and-maritime-prosperity-and-security" TargetMode="External"/><Relationship Id="rId33" Type="http://schemas.openxmlformats.org/officeDocument/2006/relationships/hyperlink" Target="https://www.eesc.europa.eu/cs/our-work/opinions-information-reports/opinions/establishing-european-social-fund-part-national-and-regional-partnership-plan" TargetMode="External"/><Relationship Id="rId38" Type="http://schemas.openxmlformats.org/officeDocument/2006/relationships/hyperlink" Target="https://www.eesc.europa.eu/cs/our-work/opinions-information-reports/opinions/connecting-europe-facility-2028-2034" TargetMode="External"/><Relationship Id="rId46" Type="http://schemas.openxmlformats.org/officeDocument/2006/relationships/hyperlink" Target="mailto:Yousra.AsbouniElOuahabi@eesc.europa.eu" TargetMode="External"/><Relationship Id="rId59" Type="http://schemas.openxmlformats.org/officeDocument/2006/relationships/hyperlink" Target="https://www.eesc.europa.eu/cs/our-work/opinions-information-reports/opinions/common-agricultural-policy-cap-post-2027" TargetMode="External"/><Relationship Id="rId67" Type="http://schemas.openxmlformats.org/officeDocument/2006/relationships/footer" Target="footer5.xml"/><Relationship Id="rId20" Type="http://schemas.openxmlformats.org/officeDocument/2006/relationships/hyperlink" Target="mailto:Antoni.TorrasEstruch@eesc.europa.eu" TargetMode="External"/><Relationship Id="rId41" Type="http://schemas.openxmlformats.org/officeDocument/2006/relationships/hyperlink" Target="mailto:Alice.Tetu@eesc.europa.eu" TargetMode="External"/><Relationship Id="rId54" Type="http://schemas.openxmlformats.org/officeDocument/2006/relationships/hyperlink" Target="mailto:Martine.Delanoy@eesc.europa.eu" TargetMode="External"/><Relationship Id="rId62" Type="http://schemas.openxmlformats.org/officeDocument/2006/relationships/hyperlink" Target="https://www.eesc.europa.eu/cs/our-work/opinions-information-reports/opinions/eu-medical-countermeasures-and-stockpiling-strategie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eesc.europa.eu/cs/our-work/opinions-information-reports/opinions/multiannual-financial-framework-2028-2034" TargetMode="External"/><Relationship Id="rId28" Type="http://schemas.openxmlformats.org/officeDocument/2006/relationships/hyperlink" Target="mailto:Gerald.Klec@eesc.europa.eu" TargetMode="External"/><Relationship Id="rId36" Type="http://schemas.openxmlformats.org/officeDocument/2006/relationships/hyperlink" Target="https://eur-lex.europa.eu/legal-content/CS/TXT/?uri=CELEX%3A52019AE3047&amp;qid=1768437686704" TargetMode="External"/><Relationship Id="rId49" Type="http://schemas.openxmlformats.org/officeDocument/2006/relationships/hyperlink" Target="https://www.eesc.europa.eu/cs/our-work/opinions-information-reports/opinions/france-inter-american-convention-protection-and-conservation-sea-turtles" TargetMode="External"/><Relationship Id="rId57" Type="http://schemas.openxmlformats.org/officeDocument/2006/relationships/hyperlink" Target="https://www.eesc.europa.eu/cs/our-work/opinions-information-reports/opinions/revision-common-fisheries-policy" TargetMode="External"/><Relationship Id="rId10" Type="http://schemas.openxmlformats.org/officeDocument/2006/relationships/image" Target="media/image1.jpeg"/><Relationship Id="rId31" Type="http://schemas.openxmlformats.org/officeDocument/2006/relationships/hyperlink" Target="https://www.eesc.europa.eu/cs/our-work/opinions-information-reports/opinions/proposal-regulation-erasmus" TargetMode="External"/><Relationship Id="rId44" Type="http://schemas.openxmlformats.org/officeDocument/2006/relationships/hyperlink" Target="https://www.eesc.europa.eu/cs/our-work/opinions-information-reports/opinions/quantum-strategy" TargetMode="External"/><Relationship Id="rId52" Type="http://schemas.openxmlformats.org/officeDocument/2006/relationships/hyperlink" Target="mailto:Gaizka.MaloElcoro-Iribe@eesc.europa.eu" TargetMode="External"/><Relationship Id="rId60" Type="http://schemas.openxmlformats.org/officeDocument/2006/relationships/hyperlink" Target="mailto:Arturo.Iniguez@eesc.europa.eu" TargetMode="External"/><Relationship Id="rId65"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mailto:GiorgiaAndrea.Bordignon@eesc.europa.eu" TargetMode="External"/><Relationship Id="rId34" Type="http://schemas.openxmlformats.org/officeDocument/2006/relationships/hyperlink" Target="mailto:Bartek.Bednarowicz@eesc.europa.eu" TargetMode="External"/><Relationship Id="rId50" Type="http://schemas.openxmlformats.org/officeDocument/2006/relationships/hyperlink" Target="mailto:Arturo.Iniguez@eesc.europa.eu" TargetMode="External"/><Relationship Id="rId55" Type="http://schemas.openxmlformats.org/officeDocument/2006/relationships/hyperlink" Target="https://www.eesc.europa.eu/cs/our-work/opinions-information-reports/opinions/revision-common-market-organisation-cmo-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A6WAAD5KZT2Q-1415362569-3039</_dlc_DocId>
    <_dlc_DocIdUrl xmlns="1a33af13-4045-4f88-9d7b-618e30f79918">
      <Url>http://dm/eesc/2025/_layouts/15/DocIdRedir.aspx?ID=A6WAAD5KZT2Q-1415362569-3039</Url>
      <Description>A6WAAD5KZT2Q-1415362569-3039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2026-02-06T12:00:00+00:00</ProductionDate>
    <DocumentNumber xmlns="03db1768-8e83-4c4e-a8fb-1eb1d05ab6cf">4233</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MeetingDate xmlns="1a33af13-4045-4f88-9d7b-618e30f79918">2026-02-18T12:00:00+00:00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299637</FicheNumber>
    <OriginalSender xmlns="1a33af13-4045-4f88-9d7b-618e30f79918">
      <UserInfo>
        <DisplayName>Kupcakova Linda</DisplayName>
        <AccountId>1533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603</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4a86bcb4-3079-4d0d-a1eb-bd925b132791"/>
  </ds:schemaRefs>
</ds:datastoreItem>
</file>

<file path=customXml/itemProps2.xml><?xml version="1.0" encoding="utf-8"?>
<ds:datastoreItem xmlns:ds="http://schemas.openxmlformats.org/officeDocument/2006/customXml" ds:itemID="{9EAA5C29-84F6-48DE-8155-E36B770FDF56}"/>
</file>

<file path=customXml/itemProps3.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4.xml><?xml version="1.0" encoding="utf-8"?>
<ds:datastoreItem xmlns:ds="http://schemas.openxmlformats.org/officeDocument/2006/customXml" ds:itemID="{2CDFEBA4-8500-4873-8632-3CC01F0BA814}"/>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7556</Words>
  <Characters>43071</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- 602. PLENÁRNÍ ZASEDÁNÍ - LEDEN 2026</dc:title>
  <dc:subject>ADMIN</dc:subject>
  <dc:creator/>
  <cp:keywords>COR-EESC-2022-02583-00-00-ADMIN-TRA-EN</cp:keywords>
  <dc:description>Rapporteur:  - Original language: EN - Date of document: 20/05/2022 - Date of meeting:  - External documents:  - Administrator:  SUCIU Serban</dc:description>
  <cp:lastModifiedBy/>
  <cp:revision>13</cp:revision>
  <dcterms:created xsi:type="dcterms:W3CDTF">2026-02-05T15:33:00Z</dcterms:created>
  <dcterms:modified xsi:type="dcterms:W3CDTF">2026-02-06T08:43:00Z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30/01/2026, 02/05/2022, 02/05/2022, 28/06/2021</vt:lpwstr>
  </property>
  <property fmtid="{D5CDD505-2E9C-101B-9397-08002B2CF9AE}" pid="4" name="Pref_Time">
    <vt:lpwstr>12:04:43, 12:28:29, 12:25:37, 08:41:48</vt:lpwstr>
  </property>
  <property fmtid="{D5CDD505-2E9C-101B-9397-08002B2CF9AE}" pid="5" name="Pref_User">
    <vt:lpwstr>pacup, enied, enied, enied</vt:lpwstr>
  </property>
  <property fmtid="{D5CDD505-2E9C-101B-9397-08002B2CF9AE}" pid="6" name="Pref_FileName">
    <vt:lpwstr>EESC-2025-04233-00-00-TCD-ORI.docx, Summary of opinions.docx, COR-EESC-2022-02370-00-00-ADMIN-ORI.docx, Synthese des avis Template.docx</vt:lpwstr>
  </property>
  <property fmtid="{D5CDD505-2E9C-101B-9397-08002B2CF9AE}" pid="7" name="ContentTypeId">
    <vt:lpwstr>0x010100EA97B91038054C99906057A708A1480A007FAFB00F4882C04A82CD69E07FC3C83E</vt:lpwstr>
  </property>
  <property fmtid="{D5CDD505-2E9C-101B-9397-08002B2CF9AE}" pid="8" name="_dlc_DocIdItemGuid">
    <vt:lpwstr>40aecc97-0fba-4758-a4ac-af4b88e0492d</vt:lpwstr>
  </property>
  <property fmtid="{D5CDD505-2E9C-101B-9397-08002B2CF9AE}" pid="9" name="AvailableTranslations">
    <vt:lpwstr>31;#SL|98a412ae-eb01-49e9-ae3d-585a81724cfc;#23;#DE|f6b31e5a-26fa-4935-b661-318e46daf27e;#27;#NL|55c6556c-b4f4-441d-9acf-c498d4f838bd;#34;#IT|0774613c-01ed-4e5d-a25d-11d2388de825;#12;#FR|d2afafd3-4c81-4f60-8f52-ee33f2f54ff3;#28;#SV|c2ed69e7-a339-43d7-8f22-d93680a92aa0;#37;#HU|6b229040-c589-4408-b4c1-4285663d20a8;#5;#EN|f2175f21-25d7-44a3-96da-d6a61b075e1b;#41;#ET|ff6c3f4c-b02c-4c3c-ab07-2c37995a7a0a;#35;#FI|87606a43-d45f-42d6-b8c9-e1a3457db5b7;#39;#LV|46f7e311-5d9f-4663-b433-18aeccb7ace7;#47;#BG|1a1b3951-7821-4e6a-85f5-5673fc08bd2c;#33;#PT|50ccc04a-eadd-42ae-a0cb-acaf45f812ba;#29;#CS|72f9705b-0217-4fd3-bea2-cbc7ed80e26e;#36;#RO|feb747a2-64cd-4299-af12-4833ddc30497;#30;#LT|a7ff5ce7-6123-4f68-865a-a57c31810414;#46;#SK|46d9fce0-ef79-4f71-b89b-cd6aa82426b8;#24;#PL|1e03da61-4678-4e07-b136-b5024ca9197b;#42;#EL|6d4f4d51-af9b-4650-94b4-4276bee85c91;#50;#HR|2f555653-ed1a-4fe6-8362-9082d95989e5;#16;#ES|e7a6b05b-ae16-40c8-add9-68b64b03aeba;#40;#DA|5d49c027-8956-412b-aa16-e85a0f96ad0e</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4233</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35;#FI|87606a43-d45f-42d6-b8c9-e1a3457db5b7;#34;#IT|0774613c-01ed-4e5d-a25d-11d2388de825;#33;#PT|50ccc04a-eadd-42ae-a0cb-acaf45f812ba;#31;#SL|98a412ae-eb01-49e9-ae3d-585a81724cfc;#67;#SPL-CES|32d8cb1f-c9ec-4365-95c7-8385a18618ac;#24;#PL|1e03da61-4678-4e07-b136-b5024ca9197b;#23;#DE|f6b31e5a-26fa-4935-b661-318e46daf27e;#19;#TCD|cd9d6eb6-3f4f-424a-b2d1-57c9d450eaaf;#15;#Unrestricted|826e22d7-d029-4ec0-a450-0c28ff673572;#13;#TRA|150d2a88-1431-44e6-a8ca-0bb753ab8672;#12;#FR|d2afafd3-4c81-4f60-8f52-ee33f2f54ff3;#50;#HR|2f555653-ed1a-4fe6-8362-9082d95989e5;#8;#Final|ea5e6674-7b27-4bac-b091-73adbb394efe;#5;#EN|f2175f21-25d7-44a3-96da-d6a61b075e1b;#41;#ET|ff6c3f4c-b02c-4c3c-ab07-2c37995a7a0a;#40;#DA|5d49c027-8956-412b-aa16-e85a0f96ad0e;#1;#EESC|422833ec-8d7e-4e65-8e4e-8bed07ffb729;#30;#LT|a7ff5ce7-6123-4f68-865a-a57c31810414</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299637</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29;#CS|72f9705b-0217-4fd3-bea2-cbc7ed80e26e</vt:lpwstr>
  </property>
  <property fmtid="{D5CDD505-2E9C-101B-9397-08002B2CF9AE}" pid="33" name="AvailableTranslations_0">
    <vt:lpwstr>SL|98a412ae-eb01-49e9-ae3d-585a81724cfc;DE|f6b31e5a-26fa-4935-b661-318e46daf27e;IT|0774613c-01ed-4e5d-a25d-11d2388de825;FR|d2afafd3-4c81-4f60-8f52-ee33f2f54ff3;EN|f2175f21-25d7-44a3-96da-d6a61b075e1b;ET|ff6c3f4c-b02c-4c3c-ab07-2c37995a7a0a;FI|87606a43-d45f-42d6-b8c9-e1a3457db5b7;PT|50ccc04a-eadd-42ae-a0cb-acaf45f812ba;LT|a7ff5ce7-6123-4f68-865a-a57c31810414;PL|1e03da61-4678-4e07-b136-b5024ca9197b;EL|6d4f4d51-af9b-4650-94b4-4276bee85c91;HR|2f555653-ed1a-4fe6-8362-9082d95989e5;DA|5d49c027-8956-412b-aa16-e85a0f96ad0e</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603</vt:i4>
  </property>
  <property fmtid="{D5CDD505-2E9C-101B-9397-08002B2CF9AE}" pid="40" name="MeetingDate">
    <vt:filetime>2026-02-18T12:00:00Z</vt:filetime>
  </property>
</Properties>
</file>