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F026EE" w:rsidRDefault="00077C4F" w:rsidP="00F026EE">
      <w:pPr>
        <w:widowControl w:val="0"/>
        <w:spacing w:before="120" w:after="120"/>
        <w:rPr>
          <w:rFonts w:ascii="Times New Roman" w:hAnsi="Times New Roman"/>
          <w:b/>
          <w:sz w:val="2"/>
          <w:szCs w:val="2"/>
          <w:u w:val="single"/>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2959229">
        <w:trPr>
          <w:jc w:val="center"/>
        </w:trPr>
        <w:tc>
          <w:tcPr>
            <w:tcW w:w="9711" w:type="dxa"/>
          </w:tcPr>
          <w:p w14:paraId="3A4EDC3A" w14:textId="1184D727" w:rsidR="001C4138" w:rsidRPr="004F6117" w:rsidRDefault="008D4543" w:rsidP="00F026EE">
            <w:pPr>
              <w:widowControl w:val="0"/>
              <w:spacing w:before="120" w:after="120"/>
              <w:rPr>
                <w:rFonts w:ascii="Times New Roman" w:hAnsi="Times New Roman"/>
                <w:b/>
                <w:sz w:val="24"/>
                <w:szCs w:val="24"/>
              </w:rPr>
            </w:pPr>
            <w:r w:rsidRPr="008D4543">
              <w:rPr>
                <w:rFonts w:ascii="Times New Roman" w:hAnsi="Times New Roman"/>
                <w:b/>
                <w:sz w:val="24"/>
                <w:szCs w:val="24"/>
              </w:rPr>
              <w:t>Additional considerations on the Euro area economic policy 2025</w:t>
            </w:r>
            <w:r w:rsidR="006557A3">
              <w:rPr>
                <w:rFonts w:ascii="Times New Roman" w:hAnsi="Times New Roman"/>
                <w:b/>
                <w:sz w:val="24"/>
                <w:szCs w:val="24"/>
              </w:rPr>
              <w:br/>
            </w:r>
            <w:r w:rsidR="00B22CBC">
              <w:rPr>
                <w:rFonts w:ascii="Times New Roman" w:hAnsi="Times New Roman"/>
                <w:b/>
                <w:sz w:val="24"/>
                <w:szCs w:val="24"/>
              </w:rPr>
              <w:t>(own-initiative opinion</w:t>
            </w:r>
            <w:r w:rsidR="006557A3">
              <w:rPr>
                <w:rFonts w:ascii="Times New Roman" w:hAnsi="Times New Roman"/>
                <w:b/>
                <w:sz w:val="24"/>
                <w:szCs w:val="24"/>
              </w:rPr>
              <w:t>)</w:t>
            </w:r>
            <w:r w:rsidR="00247674">
              <w:rPr>
                <w:rFonts w:ascii="Times New Roman" w:hAnsi="Times New Roman"/>
                <w:b/>
                <w:sz w:val="24"/>
                <w:szCs w:val="24"/>
              </w:rPr>
              <w:br/>
            </w:r>
            <w:r w:rsidR="001C4138" w:rsidRPr="00915265">
              <w:rPr>
                <w:rFonts w:ascii="Times New Roman" w:hAnsi="Times New Roman"/>
                <w:b/>
                <w:sz w:val="24"/>
                <w:szCs w:val="24"/>
              </w:rPr>
              <w:t>EESC-202</w:t>
            </w:r>
            <w:r w:rsidR="00A57B76" w:rsidRPr="00915265">
              <w:rPr>
                <w:rFonts w:ascii="Times New Roman" w:hAnsi="Times New Roman"/>
                <w:b/>
                <w:sz w:val="24"/>
                <w:szCs w:val="24"/>
              </w:rPr>
              <w:t>5</w:t>
            </w:r>
            <w:r w:rsidR="001C4138" w:rsidRPr="00915265">
              <w:rPr>
                <w:rFonts w:ascii="Times New Roman" w:hAnsi="Times New Roman"/>
                <w:b/>
                <w:sz w:val="24"/>
                <w:szCs w:val="24"/>
              </w:rPr>
              <w:t>-</w:t>
            </w:r>
            <w:r w:rsidR="00B22CBC">
              <w:rPr>
                <w:rFonts w:ascii="Times New Roman" w:hAnsi="Times New Roman"/>
                <w:b/>
                <w:sz w:val="24"/>
                <w:szCs w:val="24"/>
              </w:rPr>
              <w:t>01656</w:t>
            </w:r>
            <w:r w:rsidR="001C4138" w:rsidRPr="00915265">
              <w:rPr>
                <w:rFonts w:ascii="Times New Roman" w:hAnsi="Times New Roman"/>
                <w:b/>
                <w:sz w:val="24"/>
                <w:szCs w:val="24"/>
              </w:rPr>
              <w:t xml:space="preserve"> ‒ </w:t>
            </w:r>
            <w:r w:rsidR="00F30CF1" w:rsidRPr="00915265">
              <w:rPr>
                <w:rFonts w:ascii="Times New Roman" w:hAnsi="Times New Roman"/>
                <w:b/>
                <w:sz w:val="24"/>
                <w:szCs w:val="24"/>
              </w:rPr>
              <w:t>ECO</w:t>
            </w:r>
            <w:r w:rsidR="005746AA" w:rsidRPr="00915265">
              <w:rPr>
                <w:rFonts w:ascii="Times New Roman" w:hAnsi="Times New Roman"/>
                <w:b/>
                <w:sz w:val="24"/>
                <w:szCs w:val="24"/>
              </w:rPr>
              <w:t>/</w:t>
            </w:r>
            <w:r>
              <w:rPr>
                <w:rFonts w:ascii="Times New Roman" w:hAnsi="Times New Roman"/>
                <w:b/>
                <w:sz w:val="24"/>
                <w:szCs w:val="24"/>
              </w:rPr>
              <w:t>673</w:t>
            </w:r>
            <w:r w:rsidR="001C4138" w:rsidRPr="00915265">
              <w:rPr>
                <w:rFonts w:ascii="Times New Roman" w:hAnsi="Times New Roman"/>
                <w:b/>
                <w:sz w:val="24"/>
                <w:szCs w:val="24"/>
              </w:rPr>
              <w:br/>
            </w:r>
            <w:r w:rsidR="00A57B76" w:rsidRPr="00915265">
              <w:rPr>
                <w:rFonts w:ascii="Times New Roman" w:hAnsi="Times New Roman"/>
                <w:b/>
                <w:sz w:val="24"/>
                <w:szCs w:val="24"/>
              </w:rPr>
              <w:t>599</w:t>
            </w:r>
            <w:r w:rsidR="00A57B76" w:rsidRPr="00915265">
              <w:rPr>
                <w:rFonts w:ascii="Times New Roman" w:hAnsi="Times New Roman"/>
                <w:b/>
                <w:sz w:val="24"/>
                <w:szCs w:val="24"/>
                <w:vertAlign w:val="superscript"/>
              </w:rPr>
              <w:t>th</w:t>
            </w:r>
            <w:r w:rsidR="001C4138" w:rsidRPr="00915265">
              <w:rPr>
                <w:b/>
                <w:lang w:val="en-IE"/>
              </w:rPr>
              <w:t xml:space="preserve"> </w:t>
            </w:r>
            <w:r w:rsidR="001C4138" w:rsidRPr="00915265">
              <w:rPr>
                <w:rFonts w:ascii="Times New Roman" w:hAnsi="Times New Roman"/>
                <w:b/>
                <w:sz w:val="24"/>
                <w:szCs w:val="24"/>
              </w:rPr>
              <w:t xml:space="preserve">Plenary Session – </w:t>
            </w:r>
            <w:r w:rsidR="00A57B76" w:rsidRPr="00915265">
              <w:rPr>
                <w:rFonts w:ascii="Times New Roman" w:hAnsi="Times New Roman"/>
                <w:b/>
                <w:sz w:val="24"/>
                <w:szCs w:val="24"/>
              </w:rPr>
              <w:t>September 2025</w:t>
            </w:r>
            <w:r w:rsidR="001C4138" w:rsidRPr="00915265">
              <w:rPr>
                <w:rFonts w:ascii="Times New Roman" w:hAnsi="Times New Roman"/>
                <w:b/>
                <w:sz w:val="24"/>
                <w:szCs w:val="24"/>
              </w:rPr>
              <w:br/>
              <w:t xml:space="preserve">Rapporteur: </w:t>
            </w:r>
            <w:r w:rsidRPr="008D4543">
              <w:rPr>
                <w:rFonts w:ascii="Times New Roman" w:hAnsi="Times New Roman"/>
                <w:b/>
                <w:sz w:val="24"/>
                <w:szCs w:val="24"/>
              </w:rPr>
              <w:t xml:space="preserve">Juraj SIPKO </w:t>
            </w:r>
            <w:r w:rsidR="001C4138" w:rsidRPr="00915265">
              <w:rPr>
                <w:rFonts w:ascii="Times New Roman" w:hAnsi="Times New Roman"/>
                <w:b/>
                <w:sz w:val="24"/>
                <w:szCs w:val="24"/>
              </w:rPr>
              <w:t>(</w:t>
            </w:r>
            <w:r w:rsidR="00B22CBC" w:rsidRPr="00B22CBC">
              <w:rPr>
                <w:rFonts w:ascii="Times New Roman" w:hAnsi="Times New Roman"/>
                <w:b/>
                <w:sz w:val="24"/>
                <w:szCs w:val="24"/>
              </w:rPr>
              <w:t>SK-III</w:t>
            </w:r>
            <w:r w:rsidR="001C4138" w:rsidRPr="00915265">
              <w:rPr>
                <w:rFonts w:ascii="Times New Roman" w:hAnsi="Times New Roman"/>
                <w:b/>
                <w:sz w:val="24"/>
                <w:szCs w:val="24"/>
              </w:rPr>
              <w:t>)</w:t>
            </w:r>
            <w:r w:rsidR="001C4138" w:rsidRPr="00807B48">
              <w:rPr>
                <w:rFonts w:ascii="Times New Roman" w:hAnsi="Times New Roman"/>
                <w:b/>
                <w:sz w:val="24"/>
                <w:szCs w:val="24"/>
              </w:rPr>
              <w:br/>
              <w:t xml:space="preserve">DG </w:t>
            </w:r>
            <w:r w:rsidR="00A57B76">
              <w:rPr>
                <w:rFonts w:ascii="Times New Roman" w:hAnsi="Times New Roman"/>
                <w:b/>
                <w:sz w:val="24"/>
                <w:szCs w:val="24"/>
              </w:rPr>
              <w:t>ECFIN</w:t>
            </w:r>
            <w:r w:rsidR="001C4138" w:rsidRPr="00807B48">
              <w:rPr>
                <w:rFonts w:ascii="Times New Roman" w:hAnsi="Times New Roman"/>
                <w:b/>
                <w:sz w:val="24"/>
                <w:szCs w:val="24"/>
              </w:rPr>
              <w:t xml:space="preserve"> – Commissioner </w:t>
            </w:r>
            <w:r w:rsidR="00B22CBC">
              <w:rPr>
                <w:rFonts w:ascii="Times New Roman" w:hAnsi="Times New Roman"/>
                <w:b/>
                <w:sz w:val="24"/>
                <w:szCs w:val="24"/>
              </w:rPr>
              <w:t>DOMBROVSKIS</w:t>
            </w:r>
          </w:p>
        </w:tc>
      </w:tr>
      <w:tr w:rsidR="00734613" w:rsidRPr="00442552" w14:paraId="1937071F" w14:textId="77777777" w:rsidTr="02959229">
        <w:trPr>
          <w:jc w:val="center"/>
        </w:trPr>
        <w:tc>
          <w:tcPr>
            <w:tcW w:w="9711" w:type="dxa"/>
          </w:tcPr>
          <w:p w14:paraId="1E50B4DB" w14:textId="68DCD906" w:rsidR="00734613" w:rsidRPr="00695797" w:rsidRDefault="004F6117" w:rsidP="00F026EE">
            <w:pPr>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w:t>
            </w:r>
            <w:r w:rsidR="00B22CBC">
              <w:rPr>
                <w:rFonts w:ascii="Times New Roman" w:hAnsi="Times New Roman"/>
                <w:b/>
                <w:sz w:val="24"/>
                <w:szCs w:val="24"/>
              </w:rPr>
              <w:t xml:space="preserve">(EESC) </w:t>
            </w:r>
            <w:r w:rsidRPr="004F6117">
              <w:rPr>
                <w:rFonts w:ascii="Times New Roman" w:hAnsi="Times New Roman"/>
                <w:b/>
                <w:sz w:val="24"/>
                <w:szCs w:val="24"/>
              </w:rPr>
              <w:t xml:space="preserve">on points </w:t>
            </w:r>
            <w:r>
              <w:rPr>
                <w:rFonts w:ascii="Times New Roman" w:hAnsi="Times New Roman"/>
                <w:b/>
                <w:sz w:val="24"/>
                <w:szCs w:val="24"/>
              </w:rPr>
              <w:br/>
            </w:r>
            <w:r w:rsidRPr="004F6117">
              <w:rPr>
                <w:rFonts w:ascii="Times New Roman" w:hAnsi="Times New Roman"/>
                <w:b/>
                <w:sz w:val="24"/>
                <w:szCs w:val="24"/>
              </w:rPr>
              <w:t>of the European Economic and Social Committee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2959229">
        <w:trPr>
          <w:jc w:val="center"/>
        </w:trPr>
        <w:tc>
          <w:tcPr>
            <w:tcW w:w="9711" w:type="dxa"/>
          </w:tcPr>
          <w:p w14:paraId="24E99A4D" w14:textId="3F4A6A3C" w:rsidR="00734613" w:rsidRPr="003F6CF8" w:rsidRDefault="003F6CF8" w:rsidP="00F026EE">
            <w:pPr>
              <w:widowControl w:val="0"/>
              <w:spacing w:before="120" w:after="120"/>
              <w:jc w:val="both"/>
              <w:rPr>
                <w:rFonts w:cs="Calibri"/>
              </w:rPr>
            </w:pPr>
            <w:proofErr w:type="gramStart"/>
            <w:r w:rsidRPr="004850AF">
              <w:rPr>
                <w:rFonts w:ascii="Times New Roman" w:hAnsi="Times New Roman"/>
                <w:sz w:val="24"/>
                <w:szCs w:val="24"/>
              </w:rPr>
              <w:t>With regard to</w:t>
            </w:r>
            <w:proofErr w:type="gramEnd"/>
            <w:r w:rsidRPr="004850AF">
              <w:rPr>
                <w:rFonts w:ascii="Times New Roman" w:hAnsi="Times New Roman"/>
                <w:sz w:val="24"/>
                <w:szCs w:val="24"/>
              </w:rPr>
              <w:t xml:space="preserve"> point </w:t>
            </w:r>
            <w:r w:rsidR="23FA6BF3" w:rsidRPr="004850AF">
              <w:rPr>
                <w:rFonts w:ascii="Times New Roman" w:hAnsi="Times New Roman"/>
                <w:sz w:val="24"/>
                <w:szCs w:val="24"/>
              </w:rPr>
              <w:t>1.11</w:t>
            </w:r>
            <w:r w:rsidRPr="004850AF">
              <w:rPr>
                <w:rFonts w:ascii="Times New Roman" w:hAnsi="Times New Roman"/>
                <w:sz w:val="24"/>
                <w:szCs w:val="24"/>
              </w:rPr>
              <w:t xml:space="preserve"> of the </w:t>
            </w:r>
            <w:r w:rsidR="00B22CBC">
              <w:rPr>
                <w:rFonts w:ascii="Times New Roman" w:hAnsi="Times New Roman"/>
                <w:sz w:val="24"/>
                <w:szCs w:val="24"/>
              </w:rPr>
              <w:t xml:space="preserve">Committee’s </w:t>
            </w:r>
            <w:r w:rsidRPr="004850AF">
              <w:rPr>
                <w:rFonts w:ascii="Times New Roman" w:hAnsi="Times New Roman"/>
                <w:sz w:val="24"/>
                <w:szCs w:val="24"/>
              </w:rPr>
              <w:t>opinion, the Commission notes the following:</w:t>
            </w:r>
          </w:p>
          <w:p w14:paraId="2A9D53BD" w14:textId="68CFE6D3" w:rsidR="00734613" w:rsidRPr="004850AF" w:rsidRDefault="003F6CF8" w:rsidP="00F026EE">
            <w:pPr>
              <w:pStyle w:val="ListParagraph"/>
              <w:widowControl w:val="0"/>
              <w:numPr>
                <w:ilvl w:val="0"/>
                <w:numId w:val="1"/>
              </w:numPr>
              <w:spacing w:before="120" w:after="120"/>
              <w:jc w:val="both"/>
              <w:rPr>
                <w:rFonts w:ascii="Times New Roman" w:hAnsi="Times New Roman"/>
                <w:sz w:val="24"/>
                <w:szCs w:val="24"/>
              </w:rPr>
            </w:pPr>
            <w:r w:rsidRPr="004850AF">
              <w:rPr>
                <w:rFonts w:ascii="Times New Roman" w:hAnsi="Times New Roman"/>
                <w:sz w:val="24"/>
                <w:szCs w:val="24"/>
              </w:rPr>
              <w:t>The Commission</w:t>
            </w:r>
            <w:r w:rsidR="23FA6BF3" w:rsidRPr="004850AF">
              <w:rPr>
                <w:rFonts w:ascii="Times New Roman" w:hAnsi="Times New Roman"/>
                <w:sz w:val="24"/>
                <w:szCs w:val="24"/>
              </w:rPr>
              <w:t xml:space="preserve"> fully agree</w:t>
            </w:r>
            <w:r w:rsidRPr="004850AF">
              <w:rPr>
                <w:rFonts w:ascii="Times New Roman" w:hAnsi="Times New Roman"/>
                <w:sz w:val="24"/>
                <w:szCs w:val="24"/>
              </w:rPr>
              <w:t>s</w:t>
            </w:r>
            <w:r w:rsidR="23FA6BF3" w:rsidRPr="004850AF">
              <w:rPr>
                <w:rFonts w:ascii="Times New Roman" w:hAnsi="Times New Roman"/>
                <w:sz w:val="24"/>
                <w:szCs w:val="24"/>
              </w:rPr>
              <w:t xml:space="preserve"> </w:t>
            </w:r>
            <w:r>
              <w:rPr>
                <w:rFonts w:ascii="Times New Roman" w:hAnsi="Times New Roman"/>
                <w:sz w:val="24"/>
                <w:szCs w:val="24"/>
              </w:rPr>
              <w:t xml:space="preserve">with the EESC finding </w:t>
            </w:r>
            <w:r w:rsidR="23FA6BF3" w:rsidRPr="004850AF">
              <w:rPr>
                <w:rFonts w:ascii="Times New Roman" w:hAnsi="Times New Roman"/>
                <w:sz w:val="24"/>
                <w:szCs w:val="24"/>
              </w:rPr>
              <w:t xml:space="preserve">that </w:t>
            </w:r>
            <w:r>
              <w:rPr>
                <w:rFonts w:ascii="Times New Roman" w:hAnsi="Times New Roman"/>
                <w:sz w:val="24"/>
                <w:szCs w:val="24"/>
              </w:rPr>
              <w:t>Member States</w:t>
            </w:r>
            <w:r w:rsidR="23FA6BF3" w:rsidRPr="004850AF">
              <w:rPr>
                <w:rFonts w:ascii="Times New Roman" w:hAnsi="Times New Roman"/>
                <w:sz w:val="24"/>
                <w:szCs w:val="24"/>
              </w:rPr>
              <w:t xml:space="preserve"> need to preserve or improve fiscal sustainability, especially in view of the challenges rightly identifie</w:t>
            </w:r>
            <w:r>
              <w:rPr>
                <w:rFonts w:ascii="Times New Roman" w:hAnsi="Times New Roman"/>
                <w:sz w:val="24"/>
                <w:szCs w:val="24"/>
              </w:rPr>
              <w:t>d</w:t>
            </w:r>
            <w:r w:rsidR="23FA6BF3" w:rsidRPr="004850AF">
              <w:rPr>
                <w:rFonts w:ascii="Times New Roman" w:hAnsi="Times New Roman"/>
                <w:sz w:val="24"/>
                <w:szCs w:val="24"/>
              </w:rPr>
              <w:t xml:space="preserve">, namely several known trends that put pressure on public finances, from the short to the long term. </w:t>
            </w:r>
            <w:r w:rsidR="004850AF">
              <w:rPr>
                <w:rFonts w:ascii="Times New Roman" w:hAnsi="Times New Roman"/>
                <w:sz w:val="24"/>
                <w:szCs w:val="24"/>
              </w:rPr>
              <w:t>The Commission</w:t>
            </w:r>
            <w:r w:rsidR="23FA6BF3" w:rsidRPr="004850AF">
              <w:rPr>
                <w:rFonts w:ascii="Times New Roman" w:hAnsi="Times New Roman"/>
                <w:sz w:val="24"/>
                <w:szCs w:val="24"/>
              </w:rPr>
              <w:t xml:space="preserve"> also fully concur</w:t>
            </w:r>
            <w:r w:rsidR="004056B7">
              <w:rPr>
                <w:rFonts w:ascii="Times New Roman" w:hAnsi="Times New Roman"/>
                <w:sz w:val="24"/>
                <w:szCs w:val="24"/>
              </w:rPr>
              <w:t>s</w:t>
            </w:r>
            <w:r w:rsidR="23FA6BF3" w:rsidRPr="004850AF">
              <w:rPr>
                <w:rFonts w:ascii="Times New Roman" w:hAnsi="Times New Roman"/>
                <w:sz w:val="24"/>
                <w:szCs w:val="24"/>
              </w:rPr>
              <w:t xml:space="preserve"> with the EESC </w:t>
            </w:r>
            <w:r>
              <w:rPr>
                <w:rFonts w:ascii="Times New Roman" w:hAnsi="Times New Roman"/>
                <w:sz w:val="24"/>
                <w:szCs w:val="24"/>
              </w:rPr>
              <w:t xml:space="preserve">view </w:t>
            </w:r>
            <w:r w:rsidR="23FA6BF3" w:rsidRPr="004850AF">
              <w:rPr>
                <w:rFonts w:ascii="Times New Roman" w:hAnsi="Times New Roman"/>
                <w:sz w:val="24"/>
                <w:szCs w:val="24"/>
              </w:rPr>
              <w:t>that Member States need to use favourable economic times to build fiscal buffers so that they can face future crises.</w:t>
            </w:r>
          </w:p>
          <w:p w14:paraId="1A0AA7D9" w14:textId="375E13FE" w:rsidR="00734613" w:rsidRPr="004850AF" w:rsidRDefault="23FA6BF3" w:rsidP="00F026EE">
            <w:pPr>
              <w:pStyle w:val="ListParagraph"/>
              <w:widowControl w:val="0"/>
              <w:numPr>
                <w:ilvl w:val="0"/>
                <w:numId w:val="1"/>
              </w:numPr>
              <w:spacing w:before="120" w:after="120"/>
              <w:jc w:val="both"/>
              <w:rPr>
                <w:rFonts w:ascii="Times New Roman" w:hAnsi="Times New Roman"/>
                <w:sz w:val="24"/>
                <w:szCs w:val="24"/>
              </w:rPr>
            </w:pPr>
            <w:r w:rsidRPr="004850AF">
              <w:rPr>
                <w:rFonts w:ascii="Times New Roman" w:hAnsi="Times New Roman"/>
                <w:sz w:val="24"/>
                <w:szCs w:val="24"/>
              </w:rPr>
              <w:t>The new EU fiscal framewor</w:t>
            </w:r>
            <w:r w:rsidR="001B0C89">
              <w:rPr>
                <w:rFonts w:ascii="Times New Roman" w:hAnsi="Times New Roman"/>
                <w:sz w:val="24"/>
                <w:szCs w:val="24"/>
              </w:rPr>
              <w:t>k</w:t>
            </w:r>
            <w:r w:rsidRPr="004850AF">
              <w:rPr>
                <w:rFonts w:ascii="Times New Roman" w:hAnsi="Times New Roman"/>
                <w:sz w:val="24"/>
                <w:szCs w:val="24"/>
              </w:rPr>
              <w:t xml:space="preserve"> was designed precisely for that. First</w:t>
            </w:r>
            <w:r w:rsidR="004056B7">
              <w:rPr>
                <w:rFonts w:ascii="Times New Roman" w:hAnsi="Times New Roman"/>
                <w:sz w:val="24"/>
                <w:szCs w:val="24"/>
              </w:rPr>
              <w:t>ly</w:t>
            </w:r>
            <w:r w:rsidRPr="004850AF">
              <w:rPr>
                <w:rFonts w:ascii="Times New Roman" w:hAnsi="Times New Roman"/>
                <w:sz w:val="24"/>
                <w:szCs w:val="24"/>
              </w:rPr>
              <w:t>, it relies on medium-term debt projections that factor in the expected economic growth, interest expenditure and cost of population ageing. Second</w:t>
            </w:r>
            <w:r w:rsidR="004056B7">
              <w:rPr>
                <w:rFonts w:ascii="Times New Roman" w:hAnsi="Times New Roman"/>
                <w:sz w:val="24"/>
                <w:szCs w:val="24"/>
              </w:rPr>
              <w:t>ly</w:t>
            </w:r>
            <w:r w:rsidRPr="004850AF">
              <w:rPr>
                <w:rFonts w:ascii="Times New Roman" w:hAnsi="Times New Roman"/>
                <w:sz w:val="24"/>
                <w:szCs w:val="24"/>
              </w:rPr>
              <w:t>, net expenditure growth was chosen as the unique operational indicator in the new framework, among others because it has the right built-in countercyclical properties. Third</w:t>
            </w:r>
            <w:r w:rsidR="004056B7">
              <w:rPr>
                <w:rFonts w:ascii="Times New Roman" w:hAnsi="Times New Roman"/>
                <w:sz w:val="24"/>
                <w:szCs w:val="24"/>
              </w:rPr>
              <w:t>ly</w:t>
            </w:r>
            <w:r w:rsidRPr="007C7574">
              <w:rPr>
                <w:rFonts w:ascii="Times New Roman" w:hAnsi="Times New Roman"/>
                <w:sz w:val="24"/>
                <w:szCs w:val="24"/>
              </w:rPr>
              <w:t>, specific simulations in a dedicated Commission Institutional Paper last June</w:t>
            </w:r>
            <w:r w:rsidR="003F6CF8" w:rsidRPr="007C7574">
              <w:rPr>
                <w:rStyle w:val="FootnoteReference"/>
                <w:rFonts w:ascii="Times New Roman" w:hAnsi="Times New Roman"/>
                <w:sz w:val="24"/>
                <w:szCs w:val="24"/>
              </w:rPr>
              <w:footnoteReference w:id="1"/>
            </w:r>
            <w:r w:rsidRPr="007C7574">
              <w:rPr>
                <w:rFonts w:ascii="Times New Roman" w:hAnsi="Times New Roman"/>
                <w:sz w:val="24"/>
                <w:szCs w:val="24"/>
              </w:rPr>
              <w:t xml:space="preserve"> gauged</w:t>
            </w:r>
            <w:r w:rsidRPr="004850AF">
              <w:rPr>
                <w:rFonts w:ascii="Times New Roman" w:hAnsi="Times New Roman"/>
                <w:sz w:val="24"/>
                <w:szCs w:val="24"/>
              </w:rPr>
              <w:t xml:space="preserve"> the potential impact of 1.5% of GDP higher defence expenditure on budget deficits and debt by 2028, for the 16 Member States that have requested the activation of the national escape clause. That clause, which is part of the fiscal framework, provides exceptional temporary leeway to Member States to step up defence expenditure while preserving fiscal sustainability by gradually adapting their budgets.</w:t>
            </w:r>
          </w:p>
          <w:p w14:paraId="5A36B863" w14:textId="3DE07BA1" w:rsidR="00734613" w:rsidRPr="004850AF" w:rsidRDefault="23FA6BF3" w:rsidP="00F026EE">
            <w:pPr>
              <w:pStyle w:val="ListParagraph"/>
              <w:widowControl w:val="0"/>
              <w:numPr>
                <w:ilvl w:val="0"/>
                <w:numId w:val="1"/>
              </w:numPr>
              <w:spacing w:before="120" w:after="120"/>
              <w:jc w:val="both"/>
              <w:rPr>
                <w:rFonts w:ascii="Times New Roman" w:hAnsi="Times New Roman"/>
                <w:sz w:val="24"/>
                <w:szCs w:val="24"/>
              </w:rPr>
            </w:pPr>
            <w:r w:rsidRPr="004850AF">
              <w:rPr>
                <w:rFonts w:ascii="Times New Roman" w:hAnsi="Times New Roman"/>
                <w:sz w:val="24"/>
                <w:szCs w:val="24"/>
              </w:rPr>
              <w:t>In addition to fiscal sustainability, the EU fiscal framework also supports growth and the green and digital transition by allowing Member States to extend from 4 to 7 years the period over which they spread the necessary budgetary adjustment, provided they implement relevant structural reforms and investment.</w:t>
            </w:r>
          </w:p>
          <w:p w14:paraId="7FF5DA13" w14:textId="5031F0FC" w:rsidR="003F6CF8" w:rsidRPr="00B22CBC" w:rsidRDefault="23FA6BF3" w:rsidP="00F026EE">
            <w:pPr>
              <w:pStyle w:val="ListParagraph"/>
              <w:widowControl w:val="0"/>
              <w:numPr>
                <w:ilvl w:val="0"/>
                <w:numId w:val="1"/>
              </w:numPr>
              <w:spacing w:before="120" w:after="120"/>
              <w:jc w:val="both"/>
              <w:rPr>
                <w:rFonts w:ascii="Times New Roman" w:hAnsi="Times New Roman"/>
                <w:sz w:val="24"/>
                <w:szCs w:val="24"/>
              </w:rPr>
            </w:pPr>
            <w:r w:rsidRPr="004850AF">
              <w:rPr>
                <w:rFonts w:ascii="Times New Roman" w:hAnsi="Times New Roman"/>
                <w:sz w:val="24"/>
                <w:szCs w:val="24"/>
              </w:rPr>
              <w:t>For all these reasons, the EU fiscal rules are fit for the purpose. This is only the first year of implementation of the medium-term plans, and now is the time to make the new EU fiscal framework deliver.</w:t>
            </w:r>
          </w:p>
          <w:p w14:paraId="30D14481" w14:textId="7BAB4890" w:rsidR="0049246C" w:rsidRPr="00B22CBC" w:rsidRDefault="000F5C16" w:rsidP="00F026EE">
            <w:pPr>
              <w:pStyle w:val="paragraph"/>
              <w:widowControl w:val="0"/>
              <w:spacing w:before="120" w:beforeAutospacing="0" w:after="120" w:afterAutospacing="0" w:line="276" w:lineRule="auto"/>
              <w:jc w:val="both"/>
              <w:textAlignment w:val="baseline"/>
              <w:rPr>
                <w:rFonts w:ascii="Times New Roman" w:hAnsi="Times New Roman"/>
              </w:rPr>
            </w:pPr>
            <w:r w:rsidRPr="004850AF">
              <w:rPr>
                <w:rFonts w:ascii="Times New Roman" w:eastAsia="Calibri" w:hAnsi="Times New Roman" w:cs="Times New Roman"/>
                <w:lang w:eastAsia="en-US"/>
              </w:rPr>
              <w:lastRenderedPageBreak/>
              <w:t xml:space="preserve">Regarding point 4.1, the Commission shares </w:t>
            </w:r>
            <w:r w:rsidR="004056B7">
              <w:rPr>
                <w:rFonts w:ascii="Times New Roman" w:eastAsia="Calibri" w:hAnsi="Times New Roman" w:cs="Times New Roman"/>
                <w:lang w:eastAsia="en-US"/>
              </w:rPr>
              <w:t xml:space="preserve">the </w:t>
            </w:r>
            <w:r w:rsidRPr="004850AF">
              <w:rPr>
                <w:rFonts w:ascii="Times New Roman" w:eastAsia="Calibri" w:hAnsi="Times New Roman" w:cs="Times New Roman"/>
                <w:lang w:eastAsia="en-US"/>
              </w:rPr>
              <w:t>EESC</w:t>
            </w:r>
            <w:r w:rsidR="001B0C89">
              <w:rPr>
                <w:rFonts w:ascii="Times New Roman" w:eastAsia="Calibri" w:hAnsi="Times New Roman" w:cs="Times New Roman"/>
                <w:lang w:eastAsia="en-US"/>
              </w:rPr>
              <w:t>’</w:t>
            </w:r>
            <w:r w:rsidRPr="004850AF">
              <w:rPr>
                <w:rFonts w:ascii="Times New Roman" w:eastAsia="Calibri" w:hAnsi="Times New Roman" w:cs="Times New Roman"/>
                <w:lang w:eastAsia="en-US"/>
              </w:rPr>
              <w:t xml:space="preserve">s concerns that engagement of private capital is critical for the financing of economic growth in the EU. Mobilising resources for sectors displaying potential for high productivity growth requires the removal of bottlenecks to capital and labour reallocation. In this context, open, integrated and well-functioning capital markets are important to support the flow of private investments into innovation and to provide adequate financing to match that investment challenge. Therefore, given the abundant stock of savings in the EU and lacking opportunities to employ them to reinforce investment, progress </w:t>
            </w:r>
            <w:r w:rsidR="004056B7">
              <w:rPr>
                <w:rFonts w:ascii="Times New Roman" w:eastAsia="Calibri" w:hAnsi="Times New Roman" w:cs="Times New Roman"/>
                <w:lang w:eastAsia="en-US"/>
              </w:rPr>
              <w:t>in setting up the</w:t>
            </w:r>
            <w:r w:rsidRPr="004850AF">
              <w:rPr>
                <w:rFonts w:ascii="Times New Roman" w:eastAsia="Calibri" w:hAnsi="Times New Roman" w:cs="Times New Roman"/>
                <w:lang w:eastAsia="en-US"/>
              </w:rPr>
              <w:t xml:space="preserve"> Savings and Investments Union is essential, including for</w:t>
            </w:r>
            <w:r w:rsidR="004056B7">
              <w:rPr>
                <w:rFonts w:ascii="Times New Roman" w:eastAsia="Calibri" w:hAnsi="Times New Roman" w:cs="Times New Roman"/>
                <w:lang w:eastAsia="en-US"/>
              </w:rPr>
              <w:t xml:space="preserve"> the</w:t>
            </w:r>
            <w:r w:rsidRPr="004850AF">
              <w:rPr>
                <w:rFonts w:ascii="Times New Roman" w:eastAsia="Calibri" w:hAnsi="Times New Roman" w:cs="Times New Roman"/>
                <w:lang w:eastAsia="en-US"/>
              </w:rPr>
              <w:t xml:space="preserve"> provision of adequate financing for investment opportunities, not only in the private sector, but also for public investment needs. </w:t>
            </w:r>
          </w:p>
        </w:tc>
      </w:tr>
    </w:tbl>
    <w:p w14:paraId="6AF07B14" w14:textId="26AEAB66" w:rsidR="004F6117" w:rsidRPr="004F6117" w:rsidRDefault="004F6117" w:rsidP="005746AA">
      <w:pPr>
        <w:rPr>
          <w:rFonts w:ascii="Times New Roman" w:hAnsi="Times New Roman"/>
          <w:b/>
          <w:strike/>
          <w:sz w:val="24"/>
          <w:szCs w:val="24"/>
          <w:u w:val="single"/>
        </w:rPr>
      </w:pPr>
    </w:p>
    <w:sectPr w:rsidR="004F6117" w:rsidRPr="004F6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991A" w14:textId="77777777" w:rsidR="00FF63EA" w:rsidRDefault="00FF63EA" w:rsidP="00FF63EA">
      <w:pPr>
        <w:spacing w:after="0" w:line="240" w:lineRule="auto"/>
      </w:pPr>
      <w:r>
        <w:separator/>
      </w:r>
    </w:p>
  </w:endnote>
  <w:endnote w:type="continuationSeparator" w:id="0">
    <w:p w14:paraId="4F20E001" w14:textId="77777777" w:rsidR="00FF63EA" w:rsidRDefault="00FF63EA"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pto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41E3" w14:textId="77777777" w:rsidR="00FF63EA" w:rsidRDefault="00FF63EA" w:rsidP="00FF63EA">
      <w:pPr>
        <w:spacing w:after="0" w:line="240" w:lineRule="auto"/>
      </w:pPr>
      <w:r>
        <w:separator/>
      </w:r>
    </w:p>
  </w:footnote>
  <w:footnote w:type="continuationSeparator" w:id="0">
    <w:p w14:paraId="2E5903DE" w14:textId="77777777" w:rsidR="00FF63EA" w:rsidRDefault="00FF63EA" w:rsidP="00FF63EA">
      <w:pPr>
        <w:spacing w:after="0" w:line="240" w:lineRule="auto"/>
      </w:pPr>
      <w:r>
        <w:continuationSeparator/>
      </w:r>
    </w:p>
  </w:footnote>
  <w:footnote w:id="1">
    <w:p w14:paraId="11477CA6" w14:textId="1D94B240" w:rsidR="007C7574" w:rsidRPr="00B22CBC" w:rsidRDefault="003F6CF8" w:rsidP="00F026EE">
      <w:pPr>
        <w:pStyle w:val="FootnoteText"/>
        <w:widowControl w:val="0"/>
        <w:spacing w:after="0" w:line="240" w:lineRule="auto"/>
        <w:ind w:left="142" w:right="-142" w:hanging="284"/>
        <w:jc w:val="both"/>
        <w:rPr>
          <w:rFonts w:ascii="Times New Roman" w:hAnsi="Times New Roman"/>
          <w:b/>
          <w:bCs/>
          <w:lang w:val="en-IE"/>
        </w:rPr>
      </w:pPr>
      <w:r w:rsidRPr="00B22CBC">
        <w:rPr>
          <w:rStyle w:val="FootnoteReference"/>
          <w:rFonts w:ascii="Times New Roman" w:hAnsi="Times New Roman"/>
        </w:rPr>
        <w:footnoteRef/>
      </w:r>
      <w:r w:rsidRPr="00B22CBC">
        <w:rPr>
          <w:rFonts w:ascii="Times New Roman" w:hAnsi="Times New Roman"/>
        </w:rPr>
        <w:t xml:space="preserve"> </w:t>
      </w:r>
      <w:r w:rsidR="00B22CBC" w:rsidRPr="00B22CBC">
        <w:rPr>
          <w:rFonts w:ascii="Times New Roman" w:hAnsi="Times New Roman"/>
        </w:rPr>
        <w:tab/>
      </w:r>
      <w:r w:rsidR="007C7574" w:rsidRPr="00B22CBC">
        <w:rPr>
          <w:rFonts w:ascii="Times New Roman" w:hAnsi="Times New Roman"/>
          <w:lang w:val="en-US"/>
        </w:rPr>
        <w:t>European Commission (2025), ‘</w:t>
      </w:r>
      <w:r w:rsidR="007C7574" w:rsidRPr="00B22CBC">
        <w:rPr>
          <w:rFonts w:ascii="Times New Roman" w:hAnsi="Times New Roman"/>
          <w:lang w:val="en-IE"/>
        </w:rPr>
        <w:t xml:space="preserve">Assessment of the Fiscal Sustainability Condition for Member States Requesting the Activation of the National Escape Clause,’ European Economy-Institutional Paper 321, available at </w:t>
      </w:r>
      <w:hyperlink r:id="rId1" w:history="1">
        <w:r w:rsidR="007C7574" w:rsidRPr="00B22CBC">
          <w:rPr>
            <w:rStyle w:val="Hyperlink"/>
            <w:rFonts w:ascii="Times New Roman" w:hAnsi="Times New Roman"/>
            <w:lang w:val="en-IE"/>
          </w:rPr>
          <w:t>https://economy-finance.ec.europa.eu/publications/assessment-fiscal-sustainability-condition-member-states-requesting-activation-national-escape_en</w:t>
        </w:r>
      </w:hyperlink>
      <w:r w:rsidR="007C7574" w:rsidRPr="00B22CBC">
        <w:rPr>
          <w:rFonts w:ascii="Times New Roman" w:hAnsi="Times New Roman"/>
          <w:lang w:val="en-IE"/>
        </w:rPr>
        <w:t>.</w:t>
      </w:r>
    </w:p>
    <w:p w14:paraId="6C07E954" w14:textId="65602716" w:rsidR="003F6CF8" w:rsidRPr="007C7574" w:rsidRDefault="003F6CF8">
      <w:pPr>
        <w:pStyle w:val="FootnoteText"/>
        <w:rPr>
          <w:rFonts w:ascii="Times New Roman" w:hAnsi="Times New Roman"/>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8328"/>
    <w:multiLevelType w:val="hybridMultilevel"/>
    <w:tmpl w:val="477479A8"/>
    <w:lvl w:ilvl="0" w:tplc="90464DE4">
      <w:start w:val="1"/>
      <w:numFmt w:val="bullet"/>
      <w:lvlText w:val="-"/>
      <w:lvlJc w:val="left"/>
      <w:pPr>
        <w:ind w:left="720" w:hanging="360"/>
      </w:pPr>
      <w:rPr>
        <w:rFonts w:ascii="&quot;Aptos&quot;,sans-serif" w:hAnsi="&quot;Aptos&quot;,sans-serif" w:hint="default"/>
      </w:rPr>
    </w:lvl>
    <w:lvl w:ilvl="1" w:tplc="AB740460">
      <w:start w:val="1"/>
      <w:numFmt w:val="bullet"/>
      <w:lvlText w:val="o"/>
      <w:lvlJc w:val="left"/>
      <w:pPr>
        <w:ind w:left="1440" w:hanging="360"/>
      </w:pPr>
      <w:rPr>
        <w:rFonts w:ascii="Courier New" w:hAnsi="Courier New" w:hint="default"/>
      </w:rPr>
    </w:lvl>
    <w:lvl w:ilvl="2" w:tplc="590A62F4">
      <w:start w:val="1"/>
      <w:numFmt w:val="bullet"/>
      <w:lvlText w:val=""/>
      <w:lvlJc w:val="left"/>
      <w:pPr>
        <w:ind w:left="2160" w:hanging="360"/>
      </w:pPr>
      <w:rPr>
        <w:rFonts w:ascii="Wingdings" w:hAnsi="Wingdings" w:hint="default"/>
      </w:rPr>
    </w:lvl>
    <w:lvl w:ilvl="3" w:tplc="AA9C9A20">
      <w:start w:val="1"/>
      <w:numFmt w:val="bullet"/>
      <w:lvlText w:val=""/>
      <w:lvlJc w:val="left"/>
      <w:pPr>
        <w:ind w:left="2880" w:hanging="360"/>
      </w:pPr>
      <w:rPr>
        <w:rFonts w:ascii="Symbol" w:hAnsi="Symbol" w:hint="default"/>
      </w:rPr>
    </w:lvl>
    <w:lvl w:ilvl="4" w:tplc="3578B0B0">
      <w:start w:val="1"/>
      <w:numFmt w:val="bullet"/>
      <w:lvlText w:val="o"/>
      <w:lvlJc w:val="left"/>
      <w:pPr>
        <w:ind w:left="3600" w:hanging="360"/>
      </w:pPr>
      <w:rPr>
        <w:rFonts w:ascii="Courier New" w:hAnsi="Courier New" w:hint="default"/>
      </w:rPr>
    </w:lvl>
    <w:lvl w:ilvl="5" w:tplc="BD18C2BA">
      <w:start w:val="1"/>
      <w:numFmt w:val="bullet"/>
      <w:lvlText w:val=""/>
      <w:lvlJc w:val="left"/>
      <w:pPr>
        <w:ind w:left="4320" w:hanging="360"/>
      </w:pPr>
      <w:rPr>
        <w:rFonts w:ascii="Wingdings" w:hAnsi="Wingdings" w:hint="default"/>
      </w:rPr>
    </w:lvl>
    <w:lvl w:ilvl="6" w:tplc="F65E23CE">
      <w:start w:val="1"/>
      <w:numFmt w:val="bullet"/>
      <w:lvlText w:val=""/>
      <w:lvlJc w:val="left"/>
      <w:pPr>
        <w:ind w:left="5040" w:hanging="360"/>
      </w:pPr>
      <w:rPr>
        <w:rFonts w:ascii="Symbol" w:hAnsi="Symbol" w:hint="default"/>
      </w:rPr>
    </w:lvl>
    <w:lvl w:ilvl="7" w:tplc="128492B8">
      <w:start w:val="1"/>
      <w:numFmt w:val="bullet"/>
      <w:lvlText w:val="o"/>
      <w:lvlJc w:val="left"/>
      <w:pPr>
        <w:ind w:left="5760" w:hanging="360"/>
      </w:pPr>
      <w:rPr>
        <w:rFonts w:ascii="Courier New" w:hAnsi="Courier New" w:hint="default"/>
      </w:rPr>
    </w:lvl>
    <w:lvl w:ilvl="8" w:tplc="0B0A00DE">
      <w:start w:val="1"/>
      <w:numFmt w:val="bullet"/>
      <w:lvlText w:val=""/>
      <w:lvlJc w:val="left"/>
      <w:pPr>
        <w:ind w:left="6480" w:hanging="360"/>
      </w:pPr>
      <w:rPr>
        <w:rFonts w:ascii="Wingdings" w:hAnsi="Wingdings" w:hint="default"/>
      </w:rPr>
    </w:lvl>
  </w:abstractNum>
  <w:num w:numId="1" w16cid:durableId="178160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368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77C4F"/>
    <w:rsid w:val="00012A37"/>
    <w:rsid w:val="00041156"/>
    <w:rsid w:val="00046B15"/>
    <w:rsid w:val="00050DC7"/>
    <w:rsid w:val="00076109"/>
    <w:rsid w:val="00077C4F"/>
    <w:rsid w:val="000B53D0"/>
    <w:rsid w:val="000E0A00"/>
    <w:rsid w:val="000F5C16"/>
    <w:rsid w:val="000F5FD8"/>
    <w:rsid w:val="001167C0"/>
    <w:rsid w:val="00135C2A"/>
    <w:rsid w:val="001437FB"/>
    <w:rsid w:val="001B0C89"/>
    <w:rsid w:val="001B0E0B"/>
    <w:rsid w:val="001B0E20"/>
    <w:rsid w:val="001C4138"/>
    <w:rsid w:val="001F2EC6"/>
    <w:rsid w:val="001F65D0"/>
    <w:rsid w:val="00217E59"/>
    <w:rsid w:val="00247674"/>
    <w:rsid w:val="002F03FA"/>
    <w:rsid w:val="003004D2"/>
    <w:rsid w:val="003349A3"/>
    <w:rsid w:val="0036074A"/>
    <w:rsid w:val="00377967"/>
    <w:rsid w:val="00386143"/>
    <w:rsid w:val="003B58DC"/>
    <w:rsid w:val="003F686E"/>
    <w:rsid w:val="003F6CF8"/>
    <w:rsid w:val="004056B7"/>
    <w:rsid w:val="00442552"/>
    <w:rsid w:val="00453504"/>
    <w:rsid w:val="00455A1C"/>
    <w:rsid w:val="004675B5"/>
    <w:rsid w:val="004770D6"/>
    <w:rsid w:val="004850AF"/>
    <w:rsid w:val="0049246C"/>
    <w:rsid w:val="004F6117"/>
    <w:rsid w:val="004F63F1"/>
    <w:rsid w:val="004F651E"/>
    <w:rsid w:val="00506743"/>
    <w:rsid w:val="0052596B"/>
    <w:rsid w:val="0055008B"/>
    <w:rsid w:val="00554D8D"/>
    <w:rsid w:val="005570E3"/>
    <w:rsid w:val="00573835"/>
    <w:rsid w:val="005746AA"/>
    <w:rsid w:val="00581306"/>
    <w:rsid w:val="005C3105"/>
    <w:rsid w:val="005D70A1"/>
    <w:rsid w:val="006557A3"/>
    <w:rsid w:val="00692C2F"/>
    <w:rsid w:val="00695797"/>
    <w:rsid w:val="00696A5E"/>
    <w:rsid w:val="006B3B69"/>
    <w:rsid w:val="00734613"/>
    <w:rsid w:val="00751910"/>
    <w:rsid w:val="00751E60"/>
    <w:rsid w:val="007547B5"/>
    <w:rsid w:val="0076567A"/>
    <w:rsid w:val="00795A9E"/>
    <w:rsid w:val="007A606D"/>
    <w:rsid w:val="007B323E"/>
    <w:rsid w:val="007C2214"/>
    <w:rsid w:val="007C7574"/>
    <w:rsid w:val="00807B48"/>
    <w:rsid w:val="008135CA"/>
    <w:rsid w:val="0081584F"/>
    <w:rsid w:val="008703BF"/>
    <w:rsid w:val="008925CE"/>
    <w:rsid w:val="008C3191"/>
    <w:rsid w:val="008C4D41"/>
    <w:rsid w:val="008D4543"/>
    <w:rsid w:val="00915265"/>
    <w:rsid w:val="00981F45"/>
    <w:rsid w:val="00994D12"/>
    <w:rsid w:val="009B128B"/>
    <w:rsid w:val="009E1BD3"/>
    <w:rsid w:val="00A16F07"/>
    <w:rsid w:val="00A203B1"/>
    <w:rsid w:val="00A21204"/>
    <w:rsid w:val="00A57B76"/>
    <w:rsid w:val="00A62C7B"/>
    <w:rsid w:val="00A7709A"/>
    <w:rsid w:val="00AD763E"/>
    <w:rsid w:val="00AE1842"/>
    <w:rsid w:val="00AE3C7C"/>
    <w:rsid w:val="00B22CBC"/>
    <w:rsid w:val="00B31306"/>
    <w:rsid w:val="00B42814"/>
    <w:rsid w:val="00B64B34"/>
    <w:rsid w:val="00B734F1"/>
    <w:rsid w:val="00B83936"/>
    <w:rsid w:val="00BC69FC"/>
    <w:rsid w:val="00BD6EB7"/>
    <w:rsid w:val="00BE7D7A"/>
    <w:rsid w:val="00BF23A6"/>
    <w:rsid w:val="00C54D27"/>
    <w:rsid w:val="00C76EEB"/>
    <w:rsid w:val="00C95E2E"/>
    <w:rsid w:val="00D01F5A"/>
    <w:rsid w:val="00D1716E"/>
    <w:rsid w:val="00D64E05"/>
    <w:rsid w:val="00D70F03"/>
    <w:rsid w:val="00D92FD3"/>
    <w:rsid w:val="00DA3B6E"/>
    <w:rsid w:val="00DB7581"/>
    <w:rsid w:val="00DC70C1"/>
    <w:rsid w:val="00E17E6E"/>
    <w:rsid w:val="00E37DB0"/>
    <w:rsid w:val="00E508F0"/>
    <w:rsid w:val="00E83C12"/>
    <w:rsid w:val="00E904C8"/>
    <w:rsid w:val="00EA1BBF"/>
    <w:rsid w:val="00EB29A9"/>
    <w:rsid w:val="00EB77D2"/>
    <w:rsid w:val="00EE7546"/>
    <w:rsid w:val="00F026EE"/>
    <w:rsid w:val="00F30CF1"/>
    <w:rsid w:val="00F315E4"/>
    <w:rsid w:val="00F316C8"/>
    <w:rsid w:val="00F41AA3"/>
    <w:rsid w:val="00F632DE"/>
    <w:rsid w:val="00F735E4"/>
    <w:rsid w:val="00FB7834"/>
    <w:rsid w:val="00FD4B6A"/>
    <w:rsid w:val="00FF03A8"/>
    <w:rsid w:val="00FF63EA"/>
    <w:rsid w:val="02959229"/>
    <w:rsid w:val="23FA6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2959229"/>
    <w:pPr>
      <w:ind w:left="720"/>
      <w:contextualSpacing/>
    </w:pPr>
  </w:style>
  <w:style w:type="paragraph" w:customStyle="1" w:styleId="paragraph">
    <w:name w:val="paragraph"/>
    <w:basedOn w:val="Normal"/>
    <w:rsid w:val="000F5C16"/>
    <w:pPr>
      <w:spacing w:before="100" w:beforeAutospacing="1" w:after="100" w:afterAutospacing="1" w:line="240" w:lineRule="auto"/>
    </w:pPr>
    <w:rPr>
      <w:rFonts w:ascii="Aptos" w:eastAsia="Aptos" w:hAnsi="Aptos" w:cs="Aptos"/>
      <w:sz w:val="24"/>
      <w:szCs w:val="24"/>
      <w:lang w:eastAsia="en-GB"/>
    </w:rPr>
  </w:style>
  <w:style w:type="character" w:customStyle="1" w:styleId="normaltextrun">
    <w:name w:val="normaltextrun"/>
    <w:basedOn w:val="DefaultParagraphFont"/>
    <w:rsid w:val="000F5C16"/>
  </w:style>
  <w:style w:type="character" w:customStyle="1" w:styleId="eop">
    <w:name w:val="eop"/>
    <w:basedOn w:val="DefaultParagraphFont"/>
    <w:rsid w:val="000F5C16"/>
  </w:style>
  <w:style w:type="paragraph" w:styleId="Revision">
    <w:name w:val="Revision"/>
    <w:hidden/>
    <w:uiPriority w:val="99"/>
    <w:semiHidden/>
    <w:rsid w:val="003F6CF8"/>
    <w:rPr>
      <w:sz w:val="22"/>
      <w:szCs w:val="22"/>
      <w:lang w:eastAsia="en-US"/>
    </w:rPr>
  </w:style>
  <w:style w:type="character" w:styleId="CommentReference">
    <w:name w:val="annotation reference"/>
    <w:basedOn w:val="DefaultParagraphFont"/>
    <w:uiPriority w:val="99"/>
    <w:semiHidden/>
    <w:unhideWhenUsed/>
    <w:rsid w:val="003F6CF8"/>
    <w:rPr>
      <w:sz w:val="16"/>
      <w:szCs w:val="16"/>
    </w:rPr>
  </w:style>
  <w:style w:type="paragraph" w:styleId="CommentText">
    <w:name w:val="annotation text"/>
    <w:basedOn w:val="Normal"/>
    <w:link w:val="CommentTextChar"/>
    <w:uiPriority w:val="99"/>
    <w:unhideWhenUsed/>
    <w:rsid w:val="003F6CF8"/>
    <w:rPr>
      <w:sz w:val="20"/>
      <w:szCs w:val="20"/>
    </w:rPr>
  </w:style>
  <w:style w:type="character" w:customStyle="1" w:styleId="CommentTextChar">
    <w:name w:val="Comment Text Char"/>
    <w:basedOn w:val="DefaultParagraphFont"/>
    <w:link w:val="CommentText"/>
    <w:uiPriority w:val="99"/>
    <w:rsid w:val="003F6CF8"/>
    <w:rPr>
      <w:lang w:eastAsia="en-US"/>
    </w:rPr>
  </w:style>
  <w:style w:type="paragraph" w:styleId="CommentSubject">
    <w:name w:val="annotation subject"/>
    <w:basedOn w:val="CommentText"/>
    <w:next w:val="CommentText"/>
    <w:link w:val="CommentSubjectChar"/>
    <w:uiPriority w:val="99"/>
    <w:semiHidden/>
    <w:unhideWhenUsed/>
    <w:rsid w:val="003F6CF8"/>
    <w:rPr>
      <w:b/>
      <w:bCs/>
    </w:rPr>
  </w:style>
  <w:style w:type="character" w:customStyle="1" w:styleId="CommentSubjectChar">
    <w:name w:val="Comment Subject Char"/>
    <w:basedOn w:val="CommentTextChar"/>
    <w:link w:val="CommentSubject"/>
    <w:uiPriority w:val="99"/>
    <w:semiHidden/>
    <w:rsid w:val="003F6CF8"/>
    <w:rPr>
      <w:b/>
      <w:bCs/>
      <w:lang w:eastAsia="en-US"/>
    </w:rPr>
  </w:style>
  <w:style w:type="paragraph" w:styleId="FootnoteText">
    <w:name w:val="footnote text"/>
    <w:basedOn w:val="Normal"/>
    <w:link w:val="FootnoteTextChar"/>
    <w:uiPriority w:val="99"/>
    <w:semiHidden/>
    <w:unhideWhenUsed/>
    <w:rsid w:val="003F6CF8"/>
    <w:rPr>
      <w:sz w:val="20"/>
      <w:szCs w:val="20"/>
    </w:rPr>
  </w:style>
  <w:style w:type="character" w:customStyle="1" w:styleId="FootnoteTextChar">
    <w:name w:val="Footnote Text Char"/>
    <w:basedOn w:val="DefaultParagraphFont"/>
    <w:link w:val="FootnoteText"/>
    <w:uiPriority w:val="99"/>
    <w:semiHidden/>
    <w:rsid w:val="003F6CF8"/>
    <w:rPr>
      <w:lang w:eastAsia="en-US"/>
    </w:rPr>
  </w:style>
  <w:style w:type="character" w:styleId="FootnoteReference">
    <w:name w:val="footnote reference"/>
    <w:basedOn w:val="DefaultParagraphFont"/>
    <w:uiPriority w:val="99"/>
    <w:semiHidden/>
    <w:unhideWhenUsed/>
    <w:rsid w:val="003F6CF8"/>
    <w:rPr>
      <w:vertAlign w:val="superscript"/>
    </w:rPr>
  </w:style>
  <w:style w:type="character" w:styleId="Hyperlink">
    <w:name w:val="Hyperlink"/>
    <w:basedOn w:val="DefaultParagraphFont"/>
    <w:uiPriority w:val="99"/>
    <w:unhideWhenUsed/>
    <w:rsid w:val="007C7574"/>
    <w:rPr>
      <w:color w:val="0563C1" w:themeColor="hyperlink"/>
      <w:u w:val="single"/>
    </w:rPr>
  </w:style>
  <w:style w:type="character" w:styleId="UnresolvedMention">
    <w:name w:val="Unresolved Mention"/>
    <w:basedOn w:val="DefaultParagraphFont"/>
    <w:uiPriority w:val="99"/>
    <w:semiHidden/>
    <w:unhideWhenUsed/>
    <w:rsid w:val="007C7574"/>
    <w:rPr>
      <w:color w:val="605E5C"/>
      <w:shd w:val="clear" w:color="auto" w:fill="E1DFDD"/>
    </w:rPr>
  </w:style>
  <w:style w:type="character" w:styleId="FollowedHyperlink">
    <w:name w:val="FollowedHyperlink"/>
    <w:basedOn w:val="DefaultParagraphFont"/>
    <w:uiPriority w:val="99"/>
    <w:semiHidden/>
    <w:unhideWhenUsed/>
    <w:rsid w:val="00B22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6689">
      <w:bodyDiv w:val="1"/>
      <w:marLeft w:val="0"/>
      <w:marRight w:val="0"/>
      <w:marTop w:val="0"/>
      <w:marBottom w:val="0"/>
      <w:divBdr>
        <w:top w:val="none" w:sz="0" w:space="0" w:color="auto"/>
        <w:left w:val="none" w:sz="0" w:space="0" w:color="auto"/>
        <w:bottom w:val="none" w:sz="0" w:space="0" w:color="auto"/>
        <w:right w:val="none" w:sz="0" w:space="0" w:color="auto"/>
      </w:divBdr>
    </w:div>
    <w:div w:id="1090201037">
      <w:bodyDiv w:val="1"/>
      <w:marLeft w:val="0"/>
      <w:marRight w:val="0"/>
      <w:marTop w:val="0"/>
      <w:marBottom w:val="0"/>
      <w:divBdr>
        <w:top w:val="none" w:sz="0" w:space="0" w:color="auto"/>
        <w:left w:val="none" w:sz="0" w:space="0" w:color="auto"/>
        <w:bottom w:val="none" w:sz="0" w:space="0" w:color="auto"/>
        <w:right w:val="none" w:sz="0" w:space="0" w:color="auto"/>
      </w:divBdr>
    </w:div>
    <w:div w:id="1918781450">
      <w:bodyDiv w:val="1"/>
      <w:marLeft w:val="0"/>
      <w:marRight w:val="0"/>
      <w:marTop w:val="0"/>
      <w:marBottom w:val="0"/>
      <w:divBdr>
        <w:top w:val="none" w:sz="0" w:space="0" w:color="auto"/>
        <w:left w:val="none" w:sz="0" w:space="0" w:color="auto"/>
        <w:bottom w:val="none" w:sz="0" w:space="0" w:color="auto"/>
        <w:right w:val="none" w:sz="0" w:space="0" w:color="auto"/>
      </w:divBdr>
    </w:div>
    <w:div w:id="1956063446">
      <w:bodyDiv w:val="1"/>
      <w:marLeft w:val="0"/>
      <w:marRight w:val="0"/>
      <w:marTop w:val="0"/>
      <w:marBottom w:val="0"/>
      <w:divBdr>
        <w:top w:val="none" w:sz="0" w:space="0" w:color="auto"/>
        <w:left w:val="none" w:sz="0" w:space="0" w:color="auto"/>
        <w:bottom w:val="none" w:sz="0" w:space="0" w:color="auto"/>
        <w:right w:val="none" w:sz="0" w:space="0" w:color="auto"/>
      </w:divBdr>
    </w:div>
    <w:div w:id="19939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conomy-finance.ec.europa.eu/publications/assessment-fiscal-sustainability-condition-member-states-requesting-activation-national-escap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7becd5482c8679e1aa2fb623440b367e">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3f51a100c4ef731b3d4ee98c3189788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1D13-9DCC-4E0B-965B-9A9819E3C27A}">
  <ds:schemaRefs>
    <ds:schemaRef ds:uri="http://schemas.microsoft.com/sharepoint/v3/contenttype/forms"/>
  </ds:schemaRefs>
</ds:datastoreItem>
</file>

<file path=customXml/itemProps2.xml><?xml version="1.0" encoding="utf-8"?>
<ds:datastoreItem xmlns:ds="http://schemas.openxmlformats.org/officeDocument/2006/customXml" ds:itemID="{495DD26D-2CC7-492F-A22E-203DF9B06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7F1E31-8FE5-4D2B-8CFB-F13FBE63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178F8-EF6D-4584-9758-7BD63CC8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2688</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2026-02-06T10:21:00Z</dcterms:created>
  <dcterms:modified xsi:type="dcterms:W3CDTF">2026-02-06T10:21:00Z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0x0101001EF5110FB1CEE74294A4AD2C62020E74</vt:lpwstr>
  </property>
</Properties>
</file>