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6E7427" w:rsidRDefault="00077C4F" w:rsidP="00007516">
      <w:pPr>
        <w:rPr>
          <w:rFonts w:ascii="Times New Roman" w:hAnsi="Times New Roman"/>
          <w:b/>
          <w:sz w:val="24"/>
          <w:szCs w:val="24"/>
          <w:u w:val="single"/>
        </w:rPr>
      </w:pPr>
    </w:p>
    <w:tbl>
      <w:tblPr>
        <w:tblW w:w="971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11"/>
      </w:tblGrid>
      <w:tr w:rsidR="001C4138" w:rsidRPr="00D86905" w14:paraId="7E6372DC" w14:textId="77777777" w:rsidTr="769FCCFB">
        <w:trPr>
          <w:jc w:val="center"/>
        </w:trPr>
        <w:tc>
          <w:tcPr>
            <w:tcW w:w="9711" w:type="dxa"/>
          </w:tcPr>
          <w:p w14:paraId="3A4EDC3A" w14:textId="6E9726F3" w:rsidR="001C4138" w:rsidRPr="00D86905" w:rsidRDefault="00F90053" w:rsidP="00D86905">
            <w:pPr>
              <w:spacing w:before="120" w:after="120"/>
              <w:rPr>
                <w:rFonts w:ascii="Times New Roman" w:hAnsi="Times New Roman"/>
                <w:b/>
                <w:sz w:val="24"/>
                <w:szCs w:val="24"/>
              </w:rPr>
            </w:pPr>
            <w:r w:rsidRPr="00D86905">
              <w:rPr>
                <w:rFonts w:ascii="Times New Roman" w:hAnsi="Times New Roman"/>
                <w:b/>
                <w:sz w:val="24"/>
                <w:szCs w:val="24"/>
              </w:rPr>
              <w:t>Innovation gap in the EU/Horizon 2020 and Horizon Europe</w:t>
            </w:r>
            <w:r w:rsidR="001C4138" w:rsidRPr="00D86905">
              <w:rPr>
                <w:rFonts w:ascii="Times New Roman" w:hAnsi="Times New Roman"/>
                <w:b/>
                <w:sz w:val="24"/>
                <w:szCs w:val="24"/>
              </w:rPr>
              <w:br/>
            </w:r>
            <w:r w:rsidRPr="00D86905">
              <w:rPr>
                <w:rFonts w:ascii="Times New Roman" w:hAnsi="Times New Roman"/>
                <w:b/>
                <w:sz w:val="24"/>
                <w:szCs w:val="24"/>
                <w:lang w:val="en-IE"/>
              </w:rPr>
              <w:t>EESC</w:t>
            </w:r>
            <w:r w:rsidR="00D86905" w:rsidRPr="00D86905">
              <w:rPr>
                <w:rFonts w:ascii="Times New Roman" w:hAnsi="Times New Roman"/>
                <w:b/>
                <w:sz w:val="24"/>
                <w:szCs w:val="24"/>
                <w:lang w:val="en-IE"/>
              </w:rPr>
              <w:t xml:space="preserve"> </w:t>
            </w:r>
            <w:r w:rsidRPr="00D86905">
              <w:rPr>
                <w:rFonts w:ascii="Times New Roman" w:hAnsi="Times New Roman"/>
                <w:b/>
                <w:sz w:val="24"/>
                <w:szCs w:val="24"/>
                <w:lang w:val="en-IE"/>
              </w:rPr>
              <w:t xml:space="preserve">2024-01786 </w:t>
            </w:r>
            <w:r w:rsidR="00D86905" w:rsidRPr="00D86905">
              <w:rPr>
                <w:rFonts w:ascii="Times New Roman" w:hAnsi="Times New Roman"/>
                <w:b/>
                <w:sz w:val="24"/>
                <w:szCs w:val="24"/>
              </w:rPr>
              <w:t>–</w:t>
            </w:r>
            <w:r w:rsidRPr="00D86905">
              <w:rPr>
                <w:rFonts w:ascii="Times New Roman" w:hAnsi="Times New Roman"/>
                <w:b/>
                <w:sz w:val="24"/>
                <w:szCs w:val="24"/>
                <w:lang w:val="en-IE"/>
              </w:rPr>
              <w:t xml:space="preserve"> INT/1069 </w:t>
            </w:r>
            <w:r w:rsidR="001C4138" w:rsidRPr="00D86905">
              <w:rPr>
                <w:rFonts w:ascii="Times New Roman" w:hAnsi="Times New Roman"/>
                <w:b/>
                <w:sz w:val="24"/>
                <w:szCs w:val="24"/>
              </w:rPr>
              <w:br/>
            </w:r>
            <w:r w:rsidRPr="00D86905">
              <w:rPr>
                <w:rFonts w:ascii="Times New Roman" w:hAnsi="Times New Roman"/>
                <w:b/>
                <w:sz w:val="24"/>
                <w:szCs w:val="24"/>
              </w:rPr>
              <w:t>590</w:t>
            </w:r>
            <w:proofErr w:type="spellStart"/>
            <w:r w:rsidR="001C4138" w:rsidRPr="00D86905">
              <w:rPr>
                <w:rFonts w:ascii="Times New Roman" w:hAnsi="Times New Roman"/>
                <w:b/>
                <w:sz w:val="24"/>
                <w:szCs w:val="24"/>
                <w:vertAlign w:val="superscript"/>
                <w:lang w:val="en-IE"/>
              </w:rPr>
              <w:t>th</w:t>
            </w:r>
            <w:proofErr w:type="spellEnd"/>
            <w:r w:rsidR="001C4138" w:rsidRPr="00D86905">
              <w:rPr>
                <w:rFonts w:ascii="Times New Roman" w:hAnsi="Times New Roman"/>
                <w:b/>
                <w:sz w:val="24"/>
                <w:szCs w:val="24"/>
                <w:lang w:val="en-IE"/>
              </w:rPr>
              <w:t xml:space="preserve"> </w:t>
            </w:r>
            <w:r w:rsidR="001C4138" w:rsidRPr="00D86905">
              <w:rPr>
                <w:rFonts w:ascii="Times New Roman" w:hAnsi="Times New Roman"/>
                <w:b/>
                <w:sz w:val="24"/>
                <w:szCs w:val="24"/>
              </w:rPr>
              <w:t xml:space="preserve">Plenary Session – </w:t>
            </w:r>
            <w:r w:rsidRPr="00D86905">
              <w:rPr>
                <w:rFonts w:ascii="Times New Roman" w:hAnsi="Times New Roman"/>
                <w:b/>
                <w:sz w:val="24"/>
                <w:szCs w:val="24"/>
              </w:rPr>
              <w:t>September 2024</w:t>
            </w:r>
            <w:r w:rsidR="001C4138" w:rsidRPr="00D86905">
              <w:rPr>
                <w:rFonts w:ascii="Times New Roman" w:hAnsi="Times New Roman"/>
                <w:b/>
                <w:sz w:val="24"/>
                <w:szCs w:val="24"/>
              </w:rPr>
              <w:br/>
              <w:t xml:space="preserve">Rapporteur: </w:t>
            </w:r>
            <w:r w:rsidR="006326E4" w:rsidRPr="00D86905">
              <w:rPr>
                <w:rFonts w:ascii="Times New Roman" w:hAnsi="Times New Roman"/>
                <w:b/>
                <w:sz w:val="24"/>
                <w:szCs w:val="24"/>
              </w:rPr>
              <w:t xml:space="preserve">Georgi STOEV </w:t>
            </w:r>
            <w:r w:rsidRPr="00D86905">
              <w:rPr>
                <w:rFonts w:ascii="Times New Roman" w:hAnsi="Times New Roman"/>
                <w:b/>
                <w:sz w:val="24"/>
                <w:szCs w:val="24"/>
              </w:rPr>
              <w:t>(</w:t>
            </w:r>
            <w:r w:rsidR="006326E4" w:rsidRPr="00D86905">
              <w:rPr>
                <w:rFonts w:ascii="Times New Roman" w:hAnsi="Times New Roman"/>
                <w:b/>
                <w:sz w:val="24"/>
                <w:szCs w:val="24"/>
              </w:rPr>
              <w:t>BG</w:t>
            </w:r>
            <w:r w:rsidR="004A24E1" w:rsidRPr="00A37C20">
              <w:rPr>
                <w:rFonts w:ascii="Times New Roman" w:hAnsi="Times New Roman"/>
                <w:b/>
                <w:sz w:val="24"/>
                <w:szCs w:val="24"/>
              </w:rPr>
              <w:t>-</w:t>
            </w:r>
            <w:r w:rsidR="004A24E1">
              <w:rPr>
                <w:rFonts w:ascii="Times New Roman" w:hAnsi="Times New Roman"/>
                <w:b/>
                <w:sz w:val="24"/>
                <w:szCs w:val="24"/>
              </w:rPr>
              <w:t>I</w:t>
            </w:r>
            <w:r w:rsidRPr="00D86905">
              <w:rPr>
                <w:rFonts w:ascii="Times New Roman" w:hAnsi="Times New Roman"/>
                <w:b/>
                <w:sz w:val="24"/>
                <w:szCs w:val="24"/>
              </w:rPr>
              <w:t>)</w:t>
            </w:r>
            <w:r w:rsidR="001C4138" w:rsidRPr="00D86905">
              <w:rPr>
                <w:rFonts w:ascii="Times New Roman" w:hAnsi="Times New Roman"/>
                <w:b/>
                <w:sz w:val="24"/>
                <w:szCs w:val="24"/>
              </w:rPr>
              <w:br/>
            </w:r>
            <w:r w:rsidRPr="00D86905">
              <w:rPr>
                <w:rFonts w:ascii="Times New Roman" w:hAnsi="Times New Roman"/>
                <w:b/>
                <w:sz w:val="24"/>
                <w:szCs w:val="24"/>
              </w:rPr>
              <w:t xml:space="preserve">DG RTD – Commissioner </w:t>
            </w:r>
            <w:r w:rsidR="00713E3E" w:rsidRPr="00D86905">
              <w:rPr>
                <w:rFonts w:ascii="Times New Roman" w:hAnsi="Times New Roman"/>
                <w:b/>
                <w:sz w:val="24"/>
                <w:szCs w:val="24"/>
              </w:rPr>
              <w:t>ZAHARIEVA</w:t>
            </w:r>
          </w:p>
        </w:tc>
      </w:tr>
      <w:tr w:rsidR="00734613" w:rsidRPr="00D86905" w14:paraId="1937071F" w14:textId="77777777" w:rsidTr="769FCCFB">
        <w:trPr>
          <w:jc w:val="center"/>
        </w:trPr>
        <w:tc>
          <w:tcPr>
            <w:tcW w:w="9711" w:type="dxa"/>
          </w:tcPr>
          <w:p w14:paraId="1E50B4DB" w14:textId="45589BF5" w:rsidR="00734613" w:rsidRPr="00D86905" w:rsidRDefault="004F6117" w:rsidP="00D86905">
            <w:pPr>
              <w:spacing w:before="120" w:after="120"/>
              <w:jc w:val="center"/>
              <w:rPr>
                <w:rFonts w:ascii="Times New Roman" w:hAnsi="Times New Roman"/>
                <w:b/>
                <w:sz w:val="24"/>
                <w:szCs w:val="24"/>
              </w:rPr>
            </w:pPr>
            <w:r w:rsidRPr="00D86905">
              <w:rPr>
                <w:rFonts w:ascii="Times New Roman" w:hAnsi="Times New Roman"/>
                <w:b/>
                <w:sz w:val="24"/>
                <w:szCs w:val="24"/>
              </w:rPr>
              <w:t xml:space="preserve">European Commission position on points </w:t>
            </w:r>
            <w:r w:rsidRPr="00D86905">
              <w:rPr>
                <w:rFonts w:ascii="Times New Roman" w:hAnsi="Times New Roman"/>
                <w:b/>
                <w:sz w:val="24"/>
                <w:szCs w:val="24"/>
              </w:rPr>
              <w:br/>
              <w:t xml:space="preserve">of the European Economic and Social Committee </w:t>
            </w:r>
            <w:r w:rsidR="00D86905">
              <w:rPr>
                <w:rFonts w:ascii="Times New Roman" w:hAnsi="Times New Roman"/>
                <w:b/>
                <w:sz w:val="24"/>
                <w:szCs w:val="24"/>
              </w:rPr>
              <w:t xml:space="preserve">(EESC) </w:t>
            </w:r>
            <w:r w:rsidRPr="00D86905">
              <w:rPr>
                <w:rFonts w:ascii="Times New Roman" w:hAnsi="Times New Roman"/>
                <w:b/>
                <w:sz w:val="24"/>
                <w:szCs w:val="24"/>
              </w:rPr>
              <w:t>opinion</w:t>
            </w:r>
            <w:r w:rsidR="00E83C12" w:rsidRPr="00D86905">
              <w:rPr>
                <w:rFonts w:ascii="Times New Roman" w:hAnsi="Times New Roman"/>
                <w:b/>
                <w:sz w:val="24"/>
                <w:szCs w:val="24"/>
              </w:rPr>
              <w:t xml:space="preserve"> considered as essential</w:t>
            </w:r>
          </w:p>
        </w:tc>
      </w:tr>
      <w:tr w:rsidR="00734613" w:rsidRPr="00D86905" w14:paraId="673DDC1B" w14:textId="77777777" w:rsidTr="769FCCFB">
        <w:trPr>
          <w:jc w:val="center"/>
        </w:trPr>
        <w:tc>
          <w:tcPr>
            <w:tcW w:w="9711" w:type="dxa"/>
          </w:tcPr>
          <w:p w14:paraId="7C6D3587" w14:textId="5D29DE0B" w:rsidR="000362E9" w:rsidRPr="00D86905" w:rsidRDefault="000362E9" w:rsidP="00D86905">
            <w:pPr>
              <w:spacing w:before="120" w:after="120"/>
              <w:jc w:val="both"/>
              <w:rPr>
                <w:rFonts w:ascii="Times New Roman" w:eastAsia="Times New Roman" w:hAnsi="Times New Roman"/>
                <w:sz w:val="24"/>
                <w:szCs w:val="24"/>
                <w:lang w:val="en-IE" w:eastAsia="en-IE"/>
              </w:rPr>
            </w:pPr>
            <w:r w:rsidRPr="00D86905">
              <w:rPr>
                <w:rFonts w:ascii="Times New Roman" w:eastAsia="Times New Roman" w:hAnsi="Times New Roman"/>
                <w:sz w:val="24"/>
                <w:szCs w:val="24"/>
                <w:lang w:val="en-IE" w:eastAsia="en-IE"/>
              </w:rPr>
              <w:t>The Commission concurs with the European Economic and Social Committee’s (EESC) assessment that, to bridge the innovation gap, it is essential to ensure universal access to research and innovation funding across all Member States, improve the availability of research support infrastructures, and strengthen the capacity of experts involved in policy making at the national level. Additionally, efforts must be made to address the co</w:t>
            </w:r>
            <w:r w:rsidR="00091BF2" w:rsidRPr="00D86905">
              <w:rPr>
                <w:rFonts w:ascii="Times New Roman" w:eastAsia="Times New Roman" w:hAnsi="Times New Roman"/>
                <w:sz w:val="24"/>
                <w:szCs w:val="24"/>
                <w:lang w:val="en-IE" w:eastAsia="en-IE"/>
              </w:rPr>
              <w:t>-</w:t>
            </w:r>
            <w:r w:rsidRPr="00D86905">
              <w:rPr>
                <w:rFonts w:ascii="Times New Roman" w:eastAsia="Times New Roman" w:hAnsi="Times New Roman"/>
                <w:sz w:val="24"/>
                <w:szCs w:val="24"/>
                <w:lang w:val="en-IE" w:eastAsia="en-IE"/>
              </w:rPr>
              <w:t xml:space="preserve">financing challenges faced by different Member States. Only through coordinated actions at all levels </w:t>
            </w:r>
            <w:r w:rsidR="0072062E" w:rsidRPr="00D86905">
              <w:rPr>
                <w:rFonts w:ascii="Times New Roman" w:eastAsia="Times New Roman" w:hAnsi="Times New Roman"/>
                <w:sz w:val="24"/>
                <w:szCs w:val="24"/>
                <w:lang w:val="en-IE" w:eastAsia="en-IE"/>
              </w:rPr>
              <w:t>–</w:t>
            </w:r>
            <w:r w:rsidRPr="00D86905">
              <w:rPr>
                <w:rFonts w:ascii="Times New Roman" w:eastAsia="Times New Roman" w:hAnsi="Times New Roman"/>
                <w:sz w:val="24"/>
                <w:szCs w:val="24"/>
                <w:lang w:val="en-IE" w:eastAsia="en-IE"/>
              </w:rPr>
              <w:t xml:space="preserve"> national, regional, and EU</w:t>
            </w:r>
            <w:r w:rsidR="00595632" w:rsidRPr="00D86905">
              <w:rPr>
                <w:rFonts w:ascii="Times New Roman" w:eastAsia="Times New Roman" w:hAnsi="Times New Roman"/>
                <w:sz w:val="24"/>
                <w:szCs w:val="24"/>
                <w:lang w:val="en-IE" w:eastAsia="en-IE"/>
              </w:rPr>
              <w:t xml:space="preserve"> –</w:t>
            </w:r>
            <w:r w:rsidRPr="00D86905">
              <w:rPr>
                <w:rFonts w:ascii="Times New Roman" w:eastAsia="Times New Roman" w:hAnsi="Times New Roman"/>
                <w:sz w:val="24"/>
                <w:szCs w:val="24"/>
                <w:lang w:val="en-IE" w:eastAsia="en-IE"/>
              </w:rPr>
              <w:t xml:space="preserve"> </w:t>
            </w:r>
            <w:proofErr w:type="gramStart"/>
            <w:r w:rsidRPr="00D86905">
              <w:rPr>
                <w:rFonts w:ascii="Times New Roman" w:eastAsia="Times New Roman" w:hAnsi="Times New Roman"/>
                <w:sz w:val="24"/>
                <w:szCs w:val="24"/>
                <w:lang w:val="en-IE" w:eastAsia="en-IE"/>
              </w:rPr>
              <w:t>and</w:t>
            </w:r>
            <w:r w:rsidR="00595632" w:rsidRPr="00D86905">
              <w:rPr>
                <w:rFonts w:ascii="Times New Roman" w:eastAsia="Times New Roman" w:hAnsi="Times New Roman"/>
                <w:sz w:val="24"/>
                <w:szCs w:val="24"/>
                <w:lang w:val="en-IE" w:eastAsia="en-IE"/>
              </w:rPr>
              <w:t xml:space="preserve"> </w:t>
            </w:r>
            <w:r w:rsidRPr="00D86905">
              <w:rPr>
                <w:rFonts w:ascii="Times New Roman" w:eastAsia="Times New Roman" w:hAnsi="Times New Roman"/>
                <w:sz w:val="24"/>
                <w:szCs w:val="24"/>
                <w:lang w:val="en-IE" w:eastAsia="en-IE"/>
              </w:rPr>
              <w:t xml:space="preserve"> across</w:t>
            </w:r>
            <w:proofErr w:type="gramEnd"/>
            <w:r w:rsidRPr="00D86905">
              <w:rPr>
                <w:rFonts w:ascii="Times New Roman" w:eastAsia="Times New Roman" w:hAnsi="Times New Roman"/>
                <w:sz w:val="24"/>
                <w:szCs w:val="24"/>
                <w:lang w:val="en-IE" w:eastAsia="en-IE"/>
              </w:rPr>
              <w:t xml:space="preserve"> all policy areas, the EU can effectively close the innovation and productivity gaps within the Union and in relation to global competitors.</w:t>
            </w:r>
          </w:p>
          <w:p w14:paraId="6B463C2F" w14:textId="66A82596" w:rsidR="004755F7" w:rsidRPr="00D86905" w:rsidRDefault="004755F7" w:rsidP="00D86905">
            <w:pPr>
              <w:spacing w:before="120" w:after="120"/>
              <w:jc w:val="both"/>
              <w:rPr>
                <w:rFonts w:ascii="Times New Roman" w:eastAsia="Times New Roman" w:hAnsi="Times New Roman"/>
                <w:sz w:val="24"/>
                <w:szCs w:val="24"/>
                <w:lang w:val="en-IE" w:eastAsia="en-IE"/>
              </w:rPr>
            </w:pPr>
            <w:r w:rsidRPr="00D86905">
              <w:rPr>
                <w:rFonts w:ascii="Times New Roman" w:eastAsia="Times New Roman" w:hAnsi="Times New Roman"/>
                <w:sz w:val="24"/>
                <w:szCs w:val="24"/>
                <w:lang w:val="en-IE" w:eastAsia="en-IE"/>
              </w:rPr>
              <w:t>In January 2025, the Commission presented the Competitiveness Compass, a new roadmap to restore Europe’s dynamism and boost our economic growth. The Compass builds on the analysis of</w:t>
            </w:r>
            <w:r w:rsidR="00EE56F4" w:rsidRPr="00D86905">
              <w:rPr>
                <w:rFonts w:ascii="Times New Roman" w:eastAsia="Times New Roman" w:hAnsi="Times New Roman"/>
                <w:sz w:val="24"/>
                <w:szCs w:val="24"/>
                <w:lang w:val="en-IE" w:eastAsia="en-IE"/>
              </w:rPr>
              <w:t xml:space="preserve"> </w:t>
            </w:r>
            <w:hyperlink r:id="rId11" w:history="1">
              <w:r w:rsidRPr="00D86905">
                <w:rPr>
                  <w:rFonts w:ascii="Times New Roman" w:eastAsia="Times New Roman" w:hAnsi="Times New Roman"/>
                  <w:sz w:val="24"/>
                  <w:szCs w:val="24"/>
                  <w:lang w:val="en-IE" w:eastAsia="en-IE"/>
                </w:rPr>
                <w:t>Mario Draghi’s report on the future of European competitiveness</w:t>
              </w:r>
            </w:hyperlink>
            <w:r w:rsidR="00EE56F4" w:rsidRPr="00D86905">
              <w:rPr>
                <w:rFonts w:ascii="Times New Roman" w:eastAsia="Times New Roman" w:hAnsi="Times New Roman"/>
                <w:sz w:val="24"/>
                <w:szCs w:val="24"/>
                <w:lang w:val="en-IE" w:eastAsia="en-IE"/>
              </w:rPr>
              <w:t xml:space="preserve"> </w:t>
            </w:r>
            <w:r w:rsidRPr="00D86905">
              <w:rPr>
                <w:rFonts w:ascii="Times New Roman" w:eastAsia="Times New Roman" w:hAnsi="Times New Roman"/>
                <w:sz w:val="24"/>
                <w:szCs w:val="24"/>
                <w:lang w:val="en-IE" w:eastAsia="en-IE"/>
              </w:rPr>
              <w:t>and provides a strategic framework to drive the Commission' work during this mandate.</w:t>
            </w:r>
            <w:r w:rsidR="00EE56F4" w:rsidRPr="00D86905">
              <w:rPr>
                <w:rFonts w:ascii="Times New Roman" w:eastAsia="Times New Roman" w:hAnsi="Times New Roman"/>
                <w:sz w:val="24"/>
                <w:szCs w:val="24"/>
                <w:lang w:val="en-IE" w:eastAsia="en-IE"/>
              </w:rPr>
              <w:t xml:space="preserve"> </w:t>
            </w:r>
            <w:r w:rsidRPr="00D86905">
              <w:rPr>
                <w:rFonts w:ascii="Times New Roman" w:eastAsia="Times New Roman" w:hAnsi="Times New Roman"/>
                <w:sz w:val="24"/>
                <w:szCs w:val="24"/>
                <w:lang w:val="en-IE" w:eastAsia="en-IE"/>
              </w:rPr>
              <w:t>The Compass spells out how the European Union will boost innovation by: creating a friendly environment for young companies to start and expand, with a dedicated</w:t>
            </w:r>
            <w:r w:rsidR="00EE56F4" w:rsidRPr="00D86905">
              <w:rPr>
                <w:rFonts w:ascii="Times New Roman" w:eastAsia="Times New Roman" w:hAnsi="Times New Roman"/>
                <w:sz w:val="24"/>
                <w:szCs w:val="24"/>
                <w:lang w:val="en-IE" w:eastAsia="en-IE"/>
              </w:rPr>
              <w:t xml:space="preserve"> </w:t>
            </w:r>
            <w:r w:rsidRPr="00D86905">
              <w:rPr>
                <w:rFonts w:ascii="Times New Roman" w:eastAsia="Times New Roman" w:hAnsi="Times New Roman"/>
                <w:sz w:val="24"/>
                <w:szCs w:val="24"/>
                <w:lang w:val="en-IE" w:eastAsia="en-IE"/>
              </w:rPr>
              <w:t>EU Start-up and Scale-up Strategy, helping big companies adopt new technologies such as artificial intelligence (AI) and robotics, thanks to an</w:t>
            </w:r>
            <w:r w:rsidR="00EE56F4" w:rsidRPr="00D86905">
              <w:rPr>
                <w:rFonts w:ascii="Times New Roman" w:eastAsia="Times New Roman" w:hAnsi="Times New Roman"/>
                <w:sz w:val="24"/>
                <w:szCs w:val="24"/>
                <w:lang w:val="en-IE" w:eastAsia="en-IE"/>
              </w:rPr>
              <w:t xml:space="preserve"> </w:t>
            </w:r>
            <w:r w:rsidRPr="00D86905">
              <w:rPr>
                <w:rFonts w:ascii="Times New Roman" w:eastAsia="Times New Roman" w:hAnsi="Times New Roman"/>
                <w:sz w:val="24"/>
                <w:szCs w:val="24"/>
                <w:lang w:val="en-IE" w:eastAsia="en-IE"/>
              </w:rPr>
              <w:t>“Apply AI” initiative, making it easier for companies to operate across the EU by simplifying rules and laws, with a proposal for a</w:t>
            </w:r>
            <w:r w:rsidR="00EE56F4" w:rsidRPr="00D86905">
              <w:rPr>
                <w:rFonts w:ascii="Times New Roman" w:eastAsia="Times New Roman" w:hAnsi="Times New Roman"/>
                <w:sz w:val="24"/>
                <w:szCs w:val="24"/>
                <w:lang w:val="en-IE" w:eastAsia="en-IE"/>
              </w:rPr>
              <w:t xml:space="preserve"> </w:t>
            </w:r>
            <w:r w:rsidRPr="00D86905">
              <w:rPr>
                <w:rFonts w:ascii="Times New Roman" w:eastAsia="Times New Roman" w:hAnsi="Times New Roman"/>
                <w:sz w:val="24"/>
                <w:szCs w:val="24"/>
                <w:lang w:val="en-IE" w:eastAsia="en-IE"/>
              </w:rPr>
              <w:t>28th legal regime</w:t>
            </w:r>
            <w:r w:rsidR="00EE56F4" w:rsidRPr="00D86905">
              <w:rPr>
                <w:rFonts w:ascii="Times New Roman" w:eastAsia="Times New Roman" w:hAnsi="Times New Roman"/>
                <w:sz w:val="24"/>
                <w:szCs w:val="24"/>
                <w:lang w:val="en-IE" w:eastAsia="en-IE"/>
              </w:rPr>
              <w:t xml:space="preserve"> </w:t>
            </w:r>
            <w:r w:rsidRPr="00D86905">
              <w:rPr>
                <w:rFonts w:ascii="Times New Roman" w:eastAsia="Times New Roman" w:hAnsi="Times New Roman"/>
                <w:sz w:val="24"/>
                <w:szCs w:val="24"/>
                <w:lang w:val="en-IE" w:eastAsia="en-IE"/>
              </w:rPr>
              <w:t>that will guarantee one set of rules across the EU, supporting the development of new technologies, with</w:t>
            </w:r>
            <w:r w:rsidR="00EE56F4" w:rsidRPr="00D86905">
              <w:rPr>
                <w:rFonts w:ascii="Times New Roman" w:eastAsia="Times New Roman" w:hAnsi="Times New Roman"/>
                <w:sz w:val="24"/>
                <w:szCs w:val="24"/>
                <w:lang w:val="en-IE" w:eastAsia="en-IE"/>
              </w:rPr>
              <w:t xml:space="preserve"> </w:t>
            </w:r>
            <w:r w:rsidRPr="00D86905">
              <w:rPr>
                <w:rFonts w:ascii="Times New Roman" w:eastAsia="Times New Roman" w:hAnsi="Times New Roman"/>
                <w:sz w:val="24"/>
                <w:szCs w:val="24"/>
                <w:lang w:val="en-IE" w:eastAsia="en-IE"/>
              </w:rPr>
              <w:t>action plans for advanced materials, quantum, biotech, robotics and space technologies.</w:t>
            </w:r>
          </w:p>
          <w:p w14:paraId="1768DAA3" w14:textId="62A9B7A1" w:rsidR="000362E9" w:rsidRPr="00D86905" w:rsidRDefault="000362E9" w:rsidP="00D86905">
            <w:pPr>
              <w:pStyle w:val="NormalWeb"/>
              <w:spacing w:before="120" w:beforeAutospacing="0" w:after="120" w:afterAutospacing="0" w:line="276" w:lineRule="auto"/>
              <w:jc w:val="both"/>
            </w:pPr>
            <w:r w:rsidRPr="00D86905">
              <w:t>The recent Commission Communication on the implementation of the European Research Area</w:t>
            </w:r>
            <w:r w:rsidRPr="00D86905">
              <w:rPr>
                <w:rStyle w:val="FootnoteReference"/>
              </w:rPr>
              <w:footnoteReference w:id="2"/>
            </w:r>
            <w:r w:rsidRPr="00D86905">
              <w:t xml:space="preserve"> (ERA) reviews progress made under the four strategic objectives agreed with Member States: (1) prioritizing investments and reforms, (2) improving access to excellence, (3) translating </w:t>
            </w:r>
            <w:r w:rsidR="00654A9F">
              <w:t>Research and Innovation</w:t>
            </w:r>
            <w:r w:rsidRPr="00D86905">
              <w:t xml:space="preserve"> results into the economy, and (4) deepening the ERA. It also identifies areas where further work is needed. Specifically, in relation to the third priority, the ERA framework has facilitated collaboration with Member States to develop targeted guidance for the economic exploitation of research results and technology roadmaps. However, Europe still faces a critical shortfall in venture capital to scale breakthrough innovations.</w:t>
            </w:r>
          </w:p>
          <w:p w14:paraId="5A5BE911" w14:textId="5B256F21" w:rsidR="000362E9" w:rsidRPr="00D86905" w:rsidRDefault="000362E9" w:rsidP="00D86905">
            <w:pPr>
              <w:pStyle w:val="NormalWeb"/>
              <w:spacing w:before="120" w:beforeAutospacing="0" w:after="120" w:afterAutospacing="0" w:line="276" w:lineRule="auto"/>
              <w:jc w:val="both"/>
            </w:pPr>
            <w:r w:rsidRPr="00D86905">
              <w:t xml:space="preserve">To improve the environment for innovative companies, further action is needed to support their growth and increase the deployment and adoption of breakthrough digital and green technologies </w:t>
            </w:r>
            <w:r w:rsidRPr="00D86905">
              <w:lastRenderedPageBreak/>
              <w:t>across the economy. More can be done to extract economic value from European R&amp;I investments by reducing remaining regulatory, legal, and administrative barriers that make Europe less attractive to investors and innovators. These barriers include: (i) divergent national rules related to start</w:t>
            </w:r>
            <w:r w:rsidR="0072062E" w:rsidRPr="00D86905">
              <w:t>-</w:t>
            </w:r>
            <w:r w:rsidRPr="00D86905">
              <w:t>ups and scale-ups; (ii) regulatory environments that hinder innovation, including the insufficient use of regulatory sandboxes; (iii) fragmented intellectual property rights (IPR) and standardization policies; (iv) limited use of innovation procurement among public buyers; (v) challenges in attracting and retaining talent; and (vi) significant disparities in innovation performance across the EU’s regions</w:t>
            </w:r>
            <w:r w:rsidR="00AF6E8E" w:rsidRPr="00D86905">
              <w:t>.</w:t>
            </w:r>
          </w:p>
          <w:p w14:paraId="47D3C8D1" w14:textId="77777777" w:rsidR="008E3615" w:rsidRPr="00D86905" w:rsidRDefault="008E3615" w:rsidP="00D86905">
            <w:pPr>
              <w:pStyle w:val="Heading3"/>
              <w:numPr>
                <w:ilvl w:val="0"/>
                <w:numId w:val="0"/>
              </w:numPr>
              <w:spacing w:before="120" w:after="120" w:line="276" w:lineRule="auto"/>
              <w:rPr>
                <w:b/>
                <w:bCs/>
                <w:sz w:val="24"/>
                <w:szCs w:val="24"/>
                <w:lang w:val="en-GB"/>
              </w:rPr>
            </w:pPr>
            <w:r w:rsidRPr="00D86905">
              <w:rPr>
                <w:b/>
                <w:bCs/>
                <w:sz w:val="24"/>
                <w:szCs w:val="24"/>
                <w:lang w:val="en-GB"/>
              </w:rPr>
              <w:t>On the Need to Provide Support to All Innovators and Types of Innovation</w:t>
            </w:r>
          </w:p>
          <w:p w14:paraId="22CBD198" w14:textId="547CB372" w:rsidR="008E3615" w:rsidRPr="00D86905" w:rsidRDefault="008E3615" w:rsidP="00D86905">
            <w:pPr>
              <w:pStyle w:val="NormalWeb"/>
              <w:spacing w:before="120" w:beforeAutospacing="0" w:after="120" w:afterAutospacing="0" w:line="276" w:lineRule="auto"/>
              <w:jc w:val="both"/>
            </w:pPr>
            <w:r w:rsidRPr="00D86905">
              <w:t>The Commission recognizes that Horizon Europe supports all types of innovation, including incremental innovations, which are addressed across various pillars of the programme, with particular emphasis on Pillar 2 (Global Challenges and European Industrial Competitiveness) and Pillar 3 (Innovative Europe). Within Pillar 3, the European Innovation Council (EIC) specifically targets small and medium-sized enterprises (SMEs) with high-risk deep-tech innovations that are not easily financed by the market. The EIC provides a combination of grants, equity investments, and Business Acceleration Services to help these SMEs to scale their breakthroughs.</w:t>
            </w:r>
          </w:p>
          <w:p w14:paraId="00347BA1" w14:textId="0B48159C" w:rsidR="008E3615" w:rsidRPr="00D86905" w:rsidRDefault="008E3615" w:rsidP="00D86905">
            <w:pPr>
              <w:pStyle w:val="NormalWeb"/>
              <w:spacing w:before="120" w:beforeAutospacing="0" w:after="120" w:afterAutospacing="0" w:line="276" w:lineRule="auto"/>
              <w:jc w:val="both"/>
            </w:pPr>
            <w:r w:rsidRPr="00D86905">
              <w:t>Additionally, the</w:t>
            </w:r>
            <w:r w:rsidRPr="00D86905">
              <w:rPr>
                <w:b/>
                <w:bCs/>
              </w:rPr>
              <w:t xml:space="preserve"> </w:t>
            </w:r>
            <w:r w:rsidRPr="00D86905">
              <w:rPr>
                <w:rStyle w:val="Strong"/>
                <w:b w:val="0"/>
                <w:bCs w:val="0"/>
              </w:rPr>
              <w:t>European Innovation Ecosystems</w:t>
            </w:r>
            <w:r w:rsidRPr="00D86905">
              <w:t xml:space="preserve"> component of Horizon</w:t>
            </w:r>
            <w:r w:rsidR="0072062E" w:rsidRPr="00D86905">
              <w:t xml:space="preserve"> Europe</w:t>
            </w:r>
            <w:r w:rsidRPr="00D86905">
              <w:t xml:space="preserve"> aims to create more connected, inclusive, and efficient innovation ecosystems, as outlined in the New European Innovation Agenda</w:t>
            </w:r>
            <w:r w:rsidRPr="00D86905">
              <w:rPr>
                <w:rStyle w:val="FootnoteReference"/>
              </w:rPr>
              <w:footnoteReference w:id="3"/>
            </w:r>
            <w:r w:rsidRPr="00D86905">
              <w:t>. This initiative strengthens the links between resources (such as funding, equipment, and facilities), organizations (including national and regional authorities, higher education institutions, research and technology organizations, companies), investors, and policymakers. Importantly, the bottom-up nature of the European Innovation Ecosystems allows innovation stakeholders to take the lead in determining the priorities they wish to address.</w:t>
            </w:r>
          </w:p>
          <w:p w14:paraId="787786EF" w14:textId="77777777" w:rsidR="008E3615" w:rsidRPr="00D86905" w:rsidRDefault="008E3615" w:rsidP="00D86905">
            <w:pPr>
              <w:pStyle w:val="NormalWeb"/>
              <w:spacing w:before="120" w:beforeAutospacing="0" w:after="120" w:afterAutospacing="0" w:line="276" w:lineRule="auto"/>
              <w:jc w:val="both"/>
            </w:pPr>
            <w:r w:rsidRPr="00D86905">
              <w:t>The systemic approach of this instrument complements the European Innovation Council by creating the necessary framework conditions that are conducive to the success of start-ups and scale-ups.</w:t>
            </w:r>
          </w:p>
          <w:p w14:paraId="57FE0330" w14:textId="06CB3501" w:rsidR="008E3615" w:rsidRPr="00D86905" w:rsidRDefault="008E3615" w:rsidP="00D86905">
            <w:pPr>
              <w:pStyle w:val="NormalWeb"/>
              <w:spacing w:before="120" w:beforeAutospacing="0" w:after="120" w:afterAutospacing="0" w:line="276" w:lineRule="auto"/>
              <w:jc w:val="both"/>
            </w:pPr>
            <w:r w:rsidRPr="00D86905">
              <w:t xml:space="preserve">Moreover, the </w:t>
            </w:r>
            <w:r w:rsidRPr="00D86905">
              <w:rPr>
                <w:rStyle w:val="Strong"/>
                <w:b w:val="0"/>
                <w:bCs w:val="0"/>
              </w:rPr>
              <w:t>European Institute of Innovation and Technology (EIT)</w:t>
            </w:r>
            <w:r w:rsidRPr="00D86905">
              <w:rPr>
                <w:b/>
                <w:bCs/>
              </w:rPr>
              <w:t>,</w:t>
            </w:r>
            <w:r w:rsidRPr="00D86905">
              <w:t xml:space="preserve"> also part of Horizon Europe Pillar 3, now includes over 2,400 leading partners, such as higher education institutions, research centr</w:t>
            </w:r>
            <w:r w:rsidR="0072062E" w:rsidRPr="00D86905">
              <w:t>e</w:t>
            </w:r>
            <w:r w:rsidRPr="00D86905">
              <w:t>s, and companies, contributing to a vibrant and diverse innovation landscape.</w:t>
            </w:r>
          </w:p>
          <w:p w14:paraId="0C8C4B8A" w14:textId="77777777" w:rsidR="008E3615" w:rsidRPr="00D86905" w:rsidRDefault="008E3615" w:rsidP="00436F8E">
            <w:pPr>
              <w:pStyle w:val="Heading3"/>
              <w:numPr>
                <w:ilvl w:val="0"/>
                <w:numId w:val="0"/>
              </w:numPr>
              <w:spacing w:before="120" w:after="120" w:line="276" w:lineRule="auto"/>
              <w:ind w:left="638" w:hanging="638"/>
              <w:rPr>
                <w:b/>
                <w:bCs/>
                <w:sz w:val="24"/>
                <w:szCs w:val="24"/>
                <w:lang w:val="en-IE" w:eastAsia="en-IE"/>
              </w:rPr>
            </w:pPr>
            <w:r w:rsidRPr="00D86905">
              <w:rPr>
                <w:b/>
                <w:bCs/>
                <w:sz w:val="24"/>
                <w:szCs w:val="24"/>
              </w:rPr>
              <w:t>On the Measures to Close the Innovation Gap in Europe</w:t>
            </w:r>
          </w:p>
          <w:p w14:paraId="7D3A9823" w14:textId="6680BCA2" w:rsidR="008E3615" w:rsidRPr="00D86905" w:rsidRDefault="008E3615" w:rsidP="00D86905">
            <w:pPr>
              <w:pStyle w:val="NormalWeb"/>
              <w:spacing w:before="120" w:beforeAutospacing="0" w:after="120" w:afterAutospacing="0" w:line="276" w:lineRule="auto"/>
              <w:jc w:val="both"/>
            </w:pPr>
            <w:r w:rsidRPr="00D86905">
              <w:t xml:space="preserve">The Commission agrees with the </w:t>
            </w:r>
            <w:r w:rsidR="00713E3E" w:rsidRPr="00D86905">
              <w:t xml:space="preserve">EESC’s </w:t>
            </w:r>
            <w:r w:rsidRPr="00D86905">
              <w:t>call to address the innovation gap</w:t>
            </w:r>
            <w:r w:rsidR="00007516" w:rsidRPr="00D86905">
              <w:t xml:space="preserve"> </w:t>
            </w:r>
            <w:r w:rsidRPr="00D86905">
              <w:t>among EU Member States, particularly in Widening Countries.</w:t>
            </w:r>
          </w:p>
          <w:p w14:paraId="4BEB80F5" w14:textId="33A19849" w:rsidR="008E3615" w:rsidRPr="00D86905" w:rsidRDefault="008E3615" w:rsidP="00D86905">
            <w:pPr>
              <w:pStyle w:val="NormalWeb"/>
              <w:spacing w:before="120" w:beforeAutospacing="0" w:after="120" w:afterAutospacing="0" w:line="276" w:lineRule="auto"/>
              <w:jc w:val="both"/>
            </w:pPr>
            <w:r w:rsidRPr="00D86905">
              <w:t>The Commission notes significant progress in the participation of Widening Countries in the Horizon Europe framework programme. Their participation has increased from 15% in Horizon 2020 to 20% in Horizon Europe. Widening countries have experienced the highest growth in both high-quality applications and success rates among all country groups</w:t>
            </w:r>
            <w:r w:rsidR="00713E3E" w:rsidRPr="00D86905">
              <w:t>: over one in five applications from these countries are successful, compared to a success rate of under 15% in Horizon 2020.</w:t>
            </w:r>
            <w:r w:rsidRPr="00D86905">
              <w:t xml:space="preserve"> Additionally, the number of applicants from these countries has risen, now accounting for 20% of </w:t>
            </w:r>
            <w:r w:rsidRPr="00D86905">
              <w:lastRenderedPageBreak/>
              <w:t xml:space="preserve">unique applicants, 19% of applications, and 16% of requested EU funding. These figures represent an improvement compared to the overall Horizon </w:t>
            </w:r>
            <w:r w:rsidR="00BC37AC" w:rsidRPr="00D86905">
              <w:t>2020</w:t>
            </w:r>
            <w:r w:rsidRPr="00D86905">
              <w:t xml:space="preserve"> statistics (18%, </w:t>
            </w:r>
            <w:r w:rsidR="007F4FF9" w:rsidRPr="00D86905">
              <w:t>1</w:t>
            </w:r>
            <w:r w:rsidRPr="00D86905">
              <w:t>6%, and 12%, respectively). Moreover, many beneficiaries from Widening countries are newcomers to Research and Innovation (R&amp;I) Framework Programmes, with these entities being more likely programme newcomers compared to their counterparts in non-Widening countries.</w:t>
            </w:r>
          </w:p>
          <w:p w14:paraId="24BF15CA" w14:textId="4017209F" w:rsidR="008E3615" w:rsidRPr="00D86905" w:rsidRDefault="008E3615" w:rsidP="00D86905">
            <w:pPr>
              <w:pStyle w:val="NormalWeb"/>
              <w:spacing w:before="120" w:beforeAutospacing="0" w:after="120" w:afterAutospacing="0" w:line="276" w:lineRule="auto"/>
              <w:jc w:val="both"/>
            </w:pPr>
            <w:r w:rsidRPr="00D86905">
              <w:t xml:space="preserve">The "Widening Participation and Spreading Excellence" component of Horizon Europe specifically addresses the R&amp;I gap, aiming to move toward a more integrated and cohesive European R&amp;I ecosystem, in line with the third priority area of the ERA Pact for R&amp;I. Disparities between leading and less advanced countries in terms of R&amp;I performance can be tackled through structural policy reforms at the national and regional levels. These reforms can focus on improving the attractiveness of research careers, enhancing internationalisation, increasing the effectiveness of R&amp;I management and governance, and better aligning national activities with EU initiatives (e.g., </w:t>
            </w:r>
            <w:r w:rsidR="00EA4BAC" w:rsidRPr="00D86905">
              <w:t>S</w:t>
            </w:r>
            <w:r w:rsidRPr="00D86905">
              <w:t xml:space="preserve">eals of </w:t>
            </w:r>
            <w:r w:rsidR="00EA4BAC" w:rsidRPr="00D86905">
              <w:t>E</w:t>
            </w:r>
            <w:r w:rsidRPr="00D86905">
              <w:t>xcellence). This part of Horizon Europe includes a range of complementary actions to build R&amp;I capacities in Widening countries, as well as through national and regional R&amp;I reforms and investments, enabling these countries to advance in European and global competitiveness. It ultimately contributes to developing a pan-European innovation ecosystem and boosting the EU's overall innovation capacity.</w:t>
            </w:r>
          </w:p>
          <w:p w14:paraId="51B3B79B" w14:textId="57C14173" w:rsidR="008E3615" w:rsidRPr="00D86905" w:rsidRDefault="008E3615" w:rsidP="00D86905">
            <w:pPr>
              <w:pStyle w:val="NormalWeb"/>
              <w:spacing w:before="120" w:beforeAutospacing="0" w:after="120" w:afterAutospacing="0" w:line="276" w:lineRule="auto"/>
              <w:jc w:val="both"/>
            </w:pPr>
            <w:r w:rsidRPr="00D86905">
              <w:t xml:space="preserve">To further close the innovation gap, the </w:t>
            </w:r>
            <w:r w:rsidRPr="00D86905">
              <w:rPr>
                <w:rStyle w:val="Strong"/>
                <w:b w:val="0"/>
                <w:bCs w:val="0"/>
              </w:rPr>
              <w:t>European Innovation Ecosystems</w:t>
            </w:r>
            <w:r w:rsidRPr="00D86905">
              <w:t xml:space="preserve"> component of Horizon Europe and the </w:t>
            </w:r>
            <w:r w:rsidRPr="00D86905">
              <w:rPr>
                <w:rStyle w:val="Strong"/>
                <w:b w:val="0"/>
                <w:bCs w:val="0"/>
              </w:rPr>
              <w:t>Interregional Innovation Investments (I3)</w:t>
            </w:r>
            <w:r w:rsidRPr="00D86905">
              <w:t xml:space="preserve"> Instrument under the European Regional Development Fund (ERDF) support interregional collaboration projects in key EU priority areas. </w:t>
            </w:r>
            <w:r w:rsidR="00007516" w:rsidRPr="00D86905">
              <w:t>The Regional Innovation Valleys</w:t>
            </w:r>
            <w:r w:rsidRPr="00D86905">
              <w:t xml:space="preserve"> initiative involves 149 regions</w:t>
            </w:r>
            <w:r w:rsidR="00007516" w:rsidRPr="00D86905">
              <w:t xml:space="preserve"> </w:t>
            </w:r>
            <w:r w:rsidRPr="00D86905">
              <w:t xml:space="preserve">which are committed to strengthening their R&amp;I ecosystems. These regions work on enhancing the coordination and directionality of their R&amp;I policies and investments towards key EU priorities, as well as engaging in R&amp;I collaboration between more and less advanced regions </w:t>
            </w:r>
            <w:r w:rsidR="00007516" w:rsidRPr="00D86905">
              <w:t>built on the</w:t>
            </w:r>
            <w:r w:rsidRPr="00D86905">
              <w:t xml:space="preserve"> smart specialisation</w:t>
            </w:r>
            <w:r w:rsidR="00007516" w:rsidRPr="00D86905">
              <w:t xml:space="preserve"> strategies</w:t>
            </w:r>
            <w:r w:rsidRPr="00D86905">
              <w:t xml:space="preserve"> (S3).</w:t>
            </w:r>
          </w:p>
          <w:p w14:paraId="76978B40" w14:textId="1ECA798C" w:rsidR="008E3615" w:rsidRPr="00D86905" w:rsidRDefault="00007516" w:rsidP="00D86905">
            <w:pPr>
              <w:pStyle w:val="NormalWeb"/>
              <w:spacing w:before="120" w:beforeAutospacing="0" w:after="120" w:afterAutospacing="0" w:line="276" w:lineRule="auto"/>
              <w:jc w:val="both"/>
            </w:pPr>
            <w:r w:rsidRPr="00D86905">
              <w:t>Besides, t</w:t>
            </w:r>
            <w:r w:rsidR="008E3615" w:rsidRPr="00D86905">
              <w:t xml:space="preserve">he </w:t>
            </w:r>
            <w:r w:rsidR="008E3615" w:rsidRPr="00D86905">
              <w:rPr>
                <w:rStyle w:val="Strong"/>
                <w:b w:val="0"/>
                <w:bCs w:val="0"/>
              </w:rPr>
              <w:t>European Institute of Innovation and Technology (EIT)</w:t>
            </w:r>
            <w:r w:rsidR="008E3615" w:rsidRPr="00D86905">
              <w:t xml:space="preserve"> launched its </w:t>
            </w:r>
            <w:r w:rsidR="008E3615" w:rsidRPr="00D86905">
              <w:rPr>
                <w:rStyle w:val="Strong"/>
                <w:b w:val="0"/>
                <w:bCs w:val="0"/>
              </w:rPr>
              <w:t>Regional Innovation Scheme</w:t>
            </w:r>
            <w:r w:rsidR="008E3615" w:rsidRPr="00D86905">
              <w:t xml:space="preserve"> in 2014 to help countries boost their innovation capacity. The EIT Hubs in regions classified as 'moderate' or 'emerging' innovation countries, according to the European Innovation Scoreboard, help to: i) spearhead the on</w:t>
            </w:r>
            <w:r w:rsidR="00091BF2" w:rsidRPr="00D86905">
              <w:t xml:space="preserve"> </w:t>
            </w:r>
            <w:r w:rsidR="008E3615" w:rsidRPr="00D86905">
              <w:t>the</w:t>
            </w:r>
            <w:r w:rsidR="00091BF2" w:rsidRPr="00D86905">
              <w:t xml:space="preserve"> </w:t>
            </w:r>
            <w:r w:rsidR="008E3615" w:rsidRPr="00D86905">
              <w:t>ground implementation of innovation activities; ii) foster closer interactions between local innovation actors; and iii) link local ecosystems to the broader, pan-European innovation network facilitated by the EIT. Additionally, EIT Hubs play a crucial role in integrating new partners and participants from local innovation ecosystems into EIT Community activities.</w:t>
            </w:r>
          </w:p>
          <w:p w14:paraId="2EC5FD34" w14:textId="4766D1E3" w:rsidR="008E3615" w:rsidRPr="00D86905" w:rsidRDefault="008E3615" w:rsidP="00D86905">
            <w:pPr>
              <w:pStyle w:val="NormalWeb"/>
              <w:spacing w:before="120" w:beforeAutospacing="0" w:after="120" w:afterAutospacing="0" w:line="276" w:lineRule="auto"/>
              <w:jc w:val="both"/>
            </w:pPr>
            <w:r w:rsidRPr="00D86905">
              <w:t xml:space="preserve">Beyond Horizon Europe, other EU funding programmes are mobilizing substantial resources to address Europe's innovation gap. The </w:t>
            </w:r>
            <w:r w:rsidR="00654A9F">
              <w:t>European Regional Development Fund (</w:t>
            </w:r>
            <w:r w:rsidRPr="00D86905">
              <w:rPr>
                <w:rStyle w:val="Strong"/>
                <w:b w:val="0"/>
                <w:bCs w:val="0"/>
              </w:rPr>
              <w:t>ERDF</w:t>
            </w:r>
            <w:r w:rsidR="00654A9F">
              <w:rPr>
                <w:rStyle w:val="Strong"/>
                <w:b w:val="0"/>
                <w:bCs w:val="0"/>
              </w:rPr>
              <w:t>)</w:t>
            </w:r>
            <w:r w:rsidRPr="00D86905">
              <w:t xml:space="preserve">, with EUR 36.5 billion allocated for R&amp;I and innovation-related skills, supports national and regional programmes underpinned by place-based smart specialisation strategies (S3). The ERDF is one of the main EU-level public funding sources for building R&amp;I capacities and strengthening innovation ecosystems, particularly in regions classified as moderate and emerging innovators according to the </w:t>
            </w:r>
            <w:r w:rsidRPr="00D86905">
              <w:rPr>
                <w:rStyle w:val="Strong"/>
                <w:b w:val="0"/>
                <w:bCs w:val="0"/>
              </w:rPr>
              <w:t>Regional Innovation Scoreboard</w:t>
            </w:r>
            <w:r w:rsidRPr="00D86905">
              <w:rPr>
                <w:b/>
                <w:bCs/>
              </w:rPr>
              <w:t>.</w:t>
            </w:r>
            <w:r w:rsidRPr="00D86905">
              <w:t xml:space="preserve"> The ERDF is therefore highly complementary to Horizon Europe. Through the S3 approach, Cohesion Policy also drives reforms to improve national and regional innovation systems, thus enhancing the national and regional frameworks in </w:t>
            </w:r>
            <w:r w:rsidRPr="00D86905">
              <w:lastRenderedPageBreak/>
              <w:t>which innovation investments occur.</w:t>
            </w:r>
          </w:p>
          <w:p w14:paraId="7C8F7D8B" w14:textId="48094D0D" w:rsidR="008E3615" w:rsidRPr="00D86905" w:rsidRDefault="008E3615" w:rsidP="00D86905">
            <w:pPr>
              <w:pStyle w:val="NormalWeb"/>
              <w:spacing w:before="120" w:beforeAutospacing="0" w:after="120" w:afterAutospacing="0" w:line="276" w:lineRule="auto"/>
              <w:jc w:val="both"/>
            </w:pPr>
            <w:r w:rsidRPr="00D86905">
              <w:t xml:space="preserve">In many Member States, Cohesion Policy investments in R&amp;I constitute a significant share of total R&amp;I investment. For example, in Lithuania, Poland, and Latvia, more than 30% of R&amp;I investment comes from Cohesion Policy; in Estonia, Slovakia, Hungary, Bulgaria, and Croatia, over 20%; and in Portugal, Cyprus, Czech Republic, Romania, Malta, and Slovenia, more than 10%. These investments play a critical role in addressing the existing innovation divide. Furthermore, the </w:t>
            </w:r>
            <w:r w:rsidRPr="00D86905">
              <w:rPr>
                <w:rStyle w:val="Strong"/>
                <w:b w:val="0"/>
                <w:bCs w:val="0"/>
              </w:rPr>
              <w:t>Recovery and Resilience Facility</w:t>
            </w:r>
            <w:r w:rsidRPr="00D86905">
              <w:t>, which will mobilize EUR 5</w:t>
            </w:r>
            <w:r w:rsidR="00664727" w:rsidRPr="00D86905">
              <w:t>5</w:t>
            </w:r>
            <w:r w:rsidRPr="00D86905">
              <w:t>.</w:t>
            </w:r>
            <w:r w:rsidR="00664727" w:rsidRPr="00D86905">
              <w:t>6</w:t>
            </w:r>
            <w:r w:rsidRPr="00D86905">
              <w:t xml:space="preserve"> billion in R&amp;I investments, will help countries that are </w:t>
            </w:r>
            <w:proofErr w:type="gramStart"/>
            <w:r w:rsidRPr="00D86905">
              <w:t>lagging behind</w:t>
            </w:r>
            <w:proofErr w:type="gramEnd"/>
            <w:r w:rsidRPr="00D86905">
              <w:t xml:space="preserve"> in innovation investment and performance, contributing to bridging the innovation gap.</w:t>
            </w:r>
          </w:p>
          <w:p w14:paraId="3A06EB33" w14:textId="77777777" w:rsidR="00007516" w:rsidRPr="00D86905" w:rsidRDefault="00007516" w:rsidP="00436F8E">
            <w:pPr>
              <w:pStyle w:val="Heading3"/>
              <w:numPr>
                <w:ilvl w:val="0"/>
                <w:numId w:val="0"/>
              </w:numPr>
              <w:spacing w:before="120" w:after="120" w:line="276" w:lineRule="auto"/>
              <w:rPr>
                <w:sz w:val="24"/>
                <w:szCs w:val="24"/>
                <w:lang w:val="en-IE" w:eastAsia="en-IE"/>
              </w:rPr>
            </w:pPr>
            <w:r w:rsidRPr="00D86905">
              <w:rPr>
                <w:b/>
                <w:bCs/>
                <w:sz w:val="24"/>
                <w:szCs w:val="24"/>
              </w:rPr>
              <w:t>On Simplification, Administrative Burden, Coordination, and Access for SMEs</w:t>
            </w:r>
          </w:p>
          <w:p w14:paraId="3679D2E1" w14:textId="20A1621E" w:rsidR="00007516" w:rsidRPr="00D86905" w:rsidRDefault="00007516" w:rsidP="00D86905">
            <w:pPr>
              <w:pStyle w:val="NormalWeb"/>
              <w:spacing w:before="120" w:beforeAutospacing="0" w:after="120" w:afterAutospacing="0" w:line="276" w:lineRule="auto"/>
              <w:jc w:val="both"/>
            </w:pPr>
            <w:r w:rsidRPr="00D86905">
              <w:t>Horizon Europe has made significant strides in simplifying the application process compared to its predecessor, Horizon 2020. Notably, the introduction of lump-sum funding has reduced the administrative burden by eliminating the need for beneficiaries to report actual costs, which was a major source of complexity. As of September 2024, approximately 27% of Horizon Europe funds are allocated through lump sums, with plans to increase this share to 50% by 2027</w:t>
            </w:r>
            <w:r w:rsidR="0069765C" w:rsidRPr="00D86905">
              <w:t xml:space="preserve"> where it has clear advantages for beneficiaries</w:t>
            </w:r>
            <w:r w:rsidRPr="00D86905">
              <w:t>. Feedback has been overwhelmingly positive, especially from SMEs and newcomers to the programme. These groups, who often struggle with the complexities of cost reporting due to their limited experience, find lump-sum funding particularly beneficial.</w:t>
            </w:r>
          </w:p>
          <w:p w14:paraId="7A9BC2EC" w14:textId="62087E4A" w:rsidR="00007516" w:rsidRPr="00D86905" w:rsidRDefault="00007516" w:rsidP="00D86905">
            <w:pPr>
              <w:pStyle w:val="NormalWeb"/>
              <w:spacing w:before="120" w:beforeAutospacing="0" w:after="120" w:afterAutospacing="0" w:line="276" w:lineRule="auto"/>
              <w:jc w:val="both"/>
            </w:pPr>
            <w:r w:rsidRPr="00D86905">
              <w:t xml:space="preserve">In addition to this, several initiatives have been introduced to make R&amp;I funding more open, accessible, and </w:t>
            </w:r>
            <w:proofErr w:type="gramStart"/>
            <w:r w:rsidRPr="00D86905">
              <w:t>client-centric</w:t>
            </w:r>
            <w:proofErr w:type="gramEnd"/>
            <w:r w:rsidRPr="00D86905">
              <w:t>. A notable example is the recent revamp of the Funding &amp; Tenders Portal, which has improved user experience and navigation for applicants.</w:t>
            </w:r>
          </w:p>
          <w:p w14:paraId="4491D8FC" w14:textId="136A60DB" w:rsidR="00007516" w:rsidRPr="00D86905" w:rsidRDefault="00007516" w:rsidP="00D86905">
            <w:pPr>
              <w:pStyle w:val="NormalWeb"/>
              <w:spacing w:before="120" w:beforeAutospacing="0" w:after="120" w:afterAutospacing="0" w:line="276" w:lineRule="auto"/>
              <w:jc w:val="both"/>
            </w:pPr>
            <w:r w:rsidRPr="00D86905">
              <w:t xml:space="preserve">Regarding SME access to Horizon Europe, since the programme's launch, SMEs have received over 20% of the total funding, amounting to approximately </w:t>
            </w:r>
            <w:r w:rsidR="00713E3E" w:rsidRPr="00D86905">
              <w:t xml:space="preserve">EUR </w:t>
            </w:r>
            <w:r w:rsidRPr="00D86905">
              <w:t>6.6 billion as of the end of 2023. This marks a significant increase compared to Horizon 2020, with the growth largely driven by the EIC</w:t>
            </w:r>
            <w:r w:rsidR="00EA4BAC" w:rsidRPr="00D86905">
              <w:t>’s</w:t>
            </w:r>
            <w:r w:rsidRPr="00D86905">
              <w:t xml:space="preserve"> focus on SMEs. Nearly 75% of the EIC's budget has been allocated to support these businesses. However, it is important to note that the majority of SME support still comes from collaborative projects, particularly within Cluster 4 and Cluster 5 under Pillar II. Overall, the combination of simplification measures and targeted initiatives aims to create a more accessible and SME-friendly funding environment.</w:t>
            </w:r>
          </w:p>
          <w:p w14:paraId="2A3E2220" w14:textId="77777777" w:rsidR="00007516" w:rsidRPr="00D86905" w:rsidRDefault="00007516" w:rsidP="00D86905">
            <w:pPr>
              <w:pStyle w:val="NormalWeb"/>
              <w:spacing w:before="120" w:beforeAutospacing="0" w:after="120" w:afterAutospacing="0" w:line="276" w:lineRule="auto"/>
              <w:jc w:val="both"/>
            </w:pPr>
            <w:r w:rsidRPr="00D86905">
              <w:t xml:space="preserve">To further improve coordination in innovation policy across Europe, the </w:t>
            </w:r>
            <w:r w:rsidRPr="00D86905">
              <w:rPr>
                <w:rStyle w:val="Strong"/>
                <w:b w:val="0"/>
                <w:bCs w:val="0"/>
              </w:rPr>
              <w:t>European Innovation Council Forum (EIC Forum)</w:t>
            </w:r>
            <w:r w:rsidRPr="00D86905">
              <w:t xml:space="preserve"> has been established under Pillar 3 of Horizon Europe. This forum promotes coordination and fosters dialogue on the development of the EU's innovation ecosystem. It has become an essential platform for exchanging best practices between Member States, Associated Countries, and the European Commission. Additionally, the forum supports the collection, discussion, and testing of new ideas from innovation stakeholders, facilitating their potential uptake and scaling at the European level.</w:t>
            </w:r>
          </w:p>
          <w:p w14:paraId="01545FE4" w14:textId="77777777" w:rsidR="00007516" w:rsidRPr="00D86905" w:rsidRDefault="00007516" w:rsidP="00D86905">
            <w:pPr>
              <w:pStyle w:val="Heading3"/>
              <w:numPr>
                <w:ilvl w:val="0"/>
                <w:numId w:val="0"/>
              </w:numPr>
              <w:spacing w:before="120" w:after="120" w:line="276" w:lineRule="auto"/>
              <w:rPr>
                <w:b/>
                <w:bCs/>
                <w:sz w:val="24"/>
                <w:szCs w:val="24"/>
                <w:lang w:val="en-IE" w:eastAsia="en-IE"/>
              </w:rPr>
            </w:pPr>
            <w:r w:rsidRPr="00D86905">
              <w:rPr>
                <w:b/>
                <w:bCs/>
                <w:sz w:val="24"/>
                <w:szCs w:val="24"/>
              </w:rPr>
              <w:t>On Access to Adequate and Geographically Balanced Research Infrastructures</w:t>
            </w:r>
          </w:p>
          <w:p w14:paraId="1CEF70F7" w14:textId="77777777" w:rsidR="00007516" w:rsidRPr="00D86905" w:rsidRDefault="00007516" w:rsidP="00D86905">
            <w:pPr>
              <w:pStyle w:val="NormalWeb"/>
              <w:spacing w:before="120" w:beforeAutospacing="0" w:after="120" w:afterAutospacing="0" w:line="276" w:lineRule="auto"/>
              <w:jc w:val="both"/>
            </w:pPr>
            <w:r w:rsidRPr="00D86905">
              <w:t xml:space="preserve">Research and technology infrastructures are crucial for providing the scientific and technological capacities, services, and expertise necessary for advancing Europe's research, innovation, and industrial ecosystems. These infrastructures enable collaboration across Europe, foster scientific </w:t>
            </w:r>
            <w:r w:rsidRPr="00D86905">
              <w:lastRenderedPageBreak/>
              <w:t>discovery, drive technological development, and support innovation and market creation.</w:t>
            </w:r>
          </w:p>
          <w:p w14:paraId="28CD83FB" w14:textId="77777777" w:rsidR="00007516" w:rsidRPr="00D86905" w:rsidRDefault="00007516" w:rsidP="00D86905">
            <w:pPr>
              <w:pStyle w:val="NormalWeb"/>
              <w:spacing w:before="120" w:beforeAutospacing="0" w:after="120" w:afterAutospacing="0" w:line="276" w:lineRule="auto"/>
              <w:jc w:val="both"/>
            </w:pPr>
            <w:r w:rsidRPr="00D86905">
              <w:t xml:space="preserve">Building on the outcomes of the ERA Policy Agenda Actions 8 and 12, the Commission plans to present a strategy aimed at strengthening the European infrastructure ecosystem. This strategy will ensure that researchers and innovators across Europe have </w:t>
            </w:r>
            <w:r w:rsidRPr="00D86905">
              <w:rPr>
                <w:rStyle w:val="Strong"/>
                <w:b w:val="0"/>
                <w:bCs w:val="0"/>
              </w:rPr>
              <w:t>transnational</w:t>
            </w:r>
            <w:r w:rsidRPr="00D86905">
              <w:rPr>
                <w:b/>
                <w:bCs/>
              </w:rPr>
              <w:t xml:space="preserve"> </w:t>
            </w:r>
            <w:r w:rsidRPr="00D86905">
              <w:t>access to state-of-the-art facilities and services that promote scientific and technological excellence, while enhancing industrial competitiveness.</w:t>
            </w:r>
          </w:p>
          <w:p w14:paraId="0CA70147" w14:textId="77777777" w:rsidR="0071272E" w:rsidRPr="00D86905" w:rsidRDefault="0071272E" w:rsidP="00D86905">
            <w:pPr>
              <w:pStyle w:val="Heading3"/>
              <w:numPr>
                <w:ilvl w:val="0"/>
                <w:numId w:val="0"/>
              </w:numPr>
              <w:spacing w:before="120" w:after="120" w:line="276" w:lineRule="auto"/>
              <w:rPr>
                <w:b/>
                <w:bCs/>
                <w:sz w:val="24"/>
                <w:szCs w:val="24"/>
              </w:rPr>
            </w:pPr>
            <w:r w:rsidRPr="00D86905">
              <w:rPr>
                <w:b/>
                <w:bCs/>
                <w:sz w:val="24"/>
                <w:szCs w:val="24"/>
              </w:rPr>
              <w:t>On Innovation Procurement</w:t>
            </w:r>
          </w:p>
          <w:p w14:paraId="7DE8B9C6" w14:textId="4060E6DE" w:rsidR="0071272E" w:rsidRPr="00D86905" w:rsidRDefault="0071272E" w:rsidP="00D86905">
            <w:pPr>
              <w:pStyle w:val="NormalWeb"/>
              <w:spacing w:before="120" w:beforeAutospacing="0" w:after="120" w:afterAutospacing="0" w:line="276" w:lineRule="auto"/>
              <w:jc w:val="both"/>
              <w:rPr>
                <w:b/>
                <w:bCs/>
              </w:rPr>
            </w:pPr>
            <w:r w:rsidRPr="00D86905">
              <w:t xml:space="preserve">The Commission agrees with the </w:t>
            </w:r>
            <w:r w:rsidR="00713E3E" w:rsidRPr="00D86905">
              <w:t xml:space="preserve">EESC’s </w:t>
            </w:r>
            <w:r w:rsidRPr="00D86905">
              <w:t xml:space="preserve">assessment that further efforts are required by Member States to accelerate innovation procurement in Europe. The European Commission has already taken several steps in this direction to raise awareness among policymakers. These include benchmarking progress across Europe on innovation procurement policy frameworks and investments, as well as facilitating discussions through the </w:t>
            </w:r>
            <w:r w:rsidRPr="00D86905">
              <w:rPr>
                <w:rStyle w:val="Strong"/>
                <w:b w:val="0"/>
                <w:bCs w:val="0"/>
              </w:rPr>
              <w:t>EIC Forum working group on innovation procurement</w:t>
            </w:r>
            <w:r w:rsidRPr="00D86905">
              <w:rPr>
                <w:b/>
                <w:bCs/>
              </w:rPr>
              <w:t>.</w:t>
            </w:r>
          </w:p>
          <w:p w14:paraId="642BD33B" w14:textId="77777777" w:rsidR="0071272E" w:rsidRPr="00D86905" w:rsidRDefault="0071272E" w:rsidP="00D86905">
            <w:pPr>
              <w:pStyle w:val="NormalWeb"/>
              <w:spacing w:before="120" w:beforeAutospacing="0" w:after="120" w:afterAutospacing="0" w:line="276" w:lineRule="auto"/>
              <w:jc w:val="both"/>
              <w:rPr>
                <w:b/>
                <w:bCs/>
              </w:rPr>
            </w:pPr>
            <w:r w:rsidRPr="00D86905">
              <w:t xml:space="preserve">Additionally, the Commission has worked to </w:t>
            </w:r>
            <w:r w:rsidRPr="00D86905">
              <w:rPr>
                <w:rStyle w:val="Strong"/>
                <w:b w:val="0"/>
                <w:bCs w:val="0"/>
              </w:rPr>
              <w:t>de-risk and promote transnational joint innovation procurements</w:t>
            </w:r>
            <w:r w:rsidRPr="00D86905">
              <w:t xml:space="preserve"> by providing co-financing for such initiatives. The Commission also highlights successful cases of innovation procurement through the </w:t>
            </w:r>
            <w:r w:rsidRPr="00D86905">
              <w:rPr>
                <w:rStyle w:val="Strong"/>
                <w:b w:val="0"/>
                <w:bCs w:val="0"/>
              </w:rPr>
              <w:t>European Innovation Procurement Awards</w:t>
            </w:r>
            <w:r w:rsidRPr="00D86905">
              <w:t xml:space="preserve"> and offers local support to public buyers across Europe via </w:t>
            </w:r>
            <w:r w:rsidRPr="00D86905">
              <w:rPr>
                <w:rStyle w:val="Strong"/>
                <w:b w:val="0"/>
                <w:bCs w:val="0"/>
              </w:rPr>
              <w:t>European Assistance for Innovation Procurement</w:t>
            </w:r>
            <w:r w:rsidRPr="00D86905">
              <w:rPr>
                <w:b/>
                <w:bCs/>
              </w:rPr>
              <w:t>.</w:t>
            </w:r>
          </w:p>
          <w:p w14:paraId="30D14481" w14:textId="5642DB3D" w:rsidR="0049246C" w:rsidRPr="00D86905" w:rsidRDefault="0071272E" w:rsidP="00D86905">
            <w:pPr>
              <w:pStyle w:val="NormalWeb"/>
              <w:spacing w:before="120" w:beforeAutospacing="0" w:after="120" w:afterAutospacing="0" w:line="276" w:lineRule="auto"/>
              <w:jc w:val="both"/>
            </w:pPr>
            <w:r w:rsidRPr="00D86905">
              <w:t>Benchmarking results show that while these efforts have led to some progress</w:t>
            </w:r>
            <w:r w:rsidR="00F073E1" w:rsidRPr="00D86905">
              <w:t xml:space="preserve"> </w:t>
            </w:r>
            <w:r w:rsidRPr="00D86905">
              <w:t>such as improvements in national policy frameworks and investment levels</w:t>
            </w:r>
            <w:r w:rsidR="00F073E1" w:rsidRPr="00D86905">
              <w:t xml:space="preserve">, </w:t>
            </w:r>
            <w:r w:rsidRPr="00D86905">
              <w:t>they have not yet been sufficient to boost innovation procurement to the levels seen in the US or Asia.</w:t>
            </w:r>
          </w:p>
        </w:tc>
      </w:tr>
    </w:tbl>
    <w:p w14:paraId="6AF07B14" w14:textId="26AEAB66" w:rsidR="004F6117" w:rsidRPr="00D86905" w:rsidRDefault="004F6117" w:rsidP="00D86905">
      <w:pPr>
        <w:spacing w:before="120" w:after="120"/>
        <w:jc w:val="both"/>
        <w:rPr>
          <w:rFonts w:ascii="Times New Roman" w:hAnsi="Times New Roman"/>
          <w:b/>
          <w:strike/>
          <w:sz w:val="24"/>
          <w:szCs w:val="24"/>
          <w:u w:val="single"/>
        </w:rPr>
      </w:pPr>
    </w:p>
    <w:sectPr w:rsidR="004F6117" w:rsidRPr="00D869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7B41B" w14:textId="77777777" w:rsidR="006E3B28" w:rsidRDefault="006E3B28" w:rsidP="00FF63EA">
      <w:pPr>
        <w:spacing w:after="0" w:line="240" w:lineRule="auto"/>
      </w:pPr>
      <w:r>
        <w:separator/>
      </w:r>
    </w:p>
  </w:endnote>
  <w:endnote w:type="continuationSeparator" w:id="0">
    <w:p w14:paraId="572F6683" w14:textId="77777777" w:rsidR="006E3B28" w:rsidRDefault="006E3B28" w:rsidP="00FF63EA">
      <w:pPr>
        <w:spacing w:after="0" w:line="240" w:lineRule="auto"/>
      </w:pPr>
      <w:r>
        <w:continuationSeparator/>
      </w:r>
    </w:p>
  </w:endnote>
  <w:endnote w:type="continuationNotice" w:id="1">
    <w:p w14:paraId="55018F03" w14:textId="77777777" w:rsidR="006E3B28" w:rsidRDefault="006E3B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10151" w14:textId="77777777" w:rsidR="006E3B28" w:rsidRDefault="006E3B28" w:rsidP="00FF63EA">
      <w:pPr>
        <w:spacing w:after="0" w:line="240" w:lineRule="auto"/>
      </w:pPr>
      <w:r>
        <w:separator/>
      </w:r>
    </w:p>
  </w:footnote>
  <w:footnote w:type="continuationSeparator" w:id="0">
    <w:p w14:paraId="61AA87B7" w14:textId="77777777" w:rsidR="006E3B28" w:rsidRDefault="006E3B28" w:rsidP="00FF63EA">
      <w:pPr>
        <w:spacing w:after="0" w:line="240" w:lineRule="auto"/>
      </w:pPr>
      <w:r>
        <w:continuationSeparator/>
      </w:r>
    </w:p>
  </w:footnote>
  <w:footnote w:type="continuationNotice" w:id="1">
    <w:p w14:paraId="4453BE6E" w14:textId="77777777" w:rsidR="006E3B28" w:rsidRDefault="006E3B28">
      <w:pPr>
        <w:spacing w:after="0" w:line="240" w:lineRule="auto"/>
      </w:pPr>
    </w:p>
  </w:footnote>
  <w:footnote w:id="2">
    <w:p w14:paraId="70B31262" w14:textId="6338C8A6" w:rsidR="000362E9" w:rsidRPr="00436F8E" w:rsidRDefault="000362E9">
      <w:pPr>
        <w:pStyle w:val="FootnoteText"/>
        <w:rPr>
          <w:sz w:val="20"/>
          <w:szCs w:val="20"/>
          <w:lang w:val="en-IE"/>
        </w:rPr>
      </w:pPr>
      <w:r w:rsidRPr="00436F8E">
        <w:rPr>
          <w:rStyle w:val="FootnoteReference"/>
          <w:sz w:val="20"/>
          <w:szCs w:val="20"/>
        </w:rPr>
        <w:footnoteRef/>
      </w:r>
      <w:r w:rsidRPr="00436F8E">
        <w:rPr>
          <w:sz w:val="20"/>
          <w:szCs w:val="20"/>
        </w:rPr>
        <w:t xml:space="preserve"> </w:t>
      </w:r>
      <w:r w:rsidR="00654A9F">
        <w:rPr>
          <w:sz w:val="20"/>
          <w:szCs w:val="20"/>
        </w:rPr>
        <w:tab/>
      </w:r>
      <w:proofErr w:type="gramStart"/>
      <w:r w:rsidRPr="00436F8E">
        <w:rPr>
          <w:sz w:val="20"/>
          <w:szCs w:val="20"/>
          <w:lang w:val="en-IE"/>
        </w:rPr>
        <w:t>COM(</w:t>
      </w:r>
      <w:proofErr w:type="gramEnd"/>
      <w:r w:rsidRPr="00436F8E">
        <w:rPr>
          <w:sz w:val="20"/>
          <w:szCs w:val="20"/>
          <w:lang w:val="en-IE"/>
        </w:rPr>
        <w:t xml:space="preserve">2024) 490 </w:t>
      </w:r>
      <w:r w:rsidR="008253AE">
        <w:rPr>
          <w:sz w:val="20"/>
          <w:szCs w:val="20"/>
          <w:lang w:val="en-IE"/>
        </w:rPr>
        <w:t>final (</w:t>
      </w:r>
      <w:hyperlink r:id="rId1" w:history="1">
        <w:r w:rsidR="008253AE" w:rsidRPr="00BD7F51">
          <w:rPr>
            <w:rStyle w:val="Hyperlink"/>
            <w:sz w:val="20"/>
            <w:szCs w:val="20"/>
            <w:lang w:val="en-IE"/>
          </w:rPr>
          <w:t>https://eur-lex.europa.eu/legal-content/EN/TXT/?uri=celex:52024DC0490</w:t>
        </w:r>
      </w:hyperlink>
      <w:r w:rsidR="008253AE">
        <w:rPr>
          <w:sz w:val="20"/>
          <w:szCs w:val="20"/>
          <w:lang w:val="en-IE"/>
        </w:rPr>
        <w:t>).</w:t>
      </w:r>
    </w:p>
  </w:footnote>
  <w:footnote w:id="3">
    <w:p w14:paraId="0363BC1C" w14:textId="1476625F" w:rsidR="008E3615" w:rsidRPr="008253AE" w:rsidRDefault="008E3615">
      <w:pPr>
        <w:pStyle w:val="FootnoteText"/>
        <w:rPr>
          <w:sz w:val="20"/>
          <w:szCs w:val="20"/>
          <w:lang w:val="fr-BE"/>
        </w:rPr>
      </w:pPr>
      <w:r w:rsidRPr="00436F8E">
        <w:rPr>
          <w:rStyle w:val="FootnoteReference"/>
          <w:sz w:val="20"/>
          <w:szCs w:val="20"/>
        </w:rPr>
        <w:footnoteRef/>
      </w:r>
      <w:r w:rsidRPr="008253AE">
        <w:rPr>
          <w:sz w:val="20"/>
          <w:szCs w:val="20"/>
          <w:lang w:val="fr-BE"/>
        </w:rPr>
        <w:t xml:space="preserve"> </w:t>
      </w:r>
      <w:r w:rsidR="00654A9F" w:rsidRPr="008253AE">
        <w:rPr>
          <w:sz w:val="20"/>
          <w:szCs w:val="20"/>
          <w:lang w:val="fr-BE"/>
        </w:rPr>
        <w:tab/>
      </w:r>
      <w:hyperlink r:id="rId2" w:history="1">
        <w:r w:rsidRPr="008253AE">
          <w:rPr>
            <w:rStyle w:val="Hyperlink"/>
            <w:sz w:val="20"/>
            <w:szCs w:val="20"/>
            <w:lang w:val="fr-BE"/>
          </w:rPr>
          <w:t>EUR-Lex - 52022DC0332 - EN - EUR-Lex</w:t>
        </w:r>
      </w:hyperlink>
      <w:r w:rsidR="008253AE" w:rsidRPr="008253AE">
        <w:rPr>
          <w:lang w:val="fr-B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6964B32"/>
    <w:multiLevelType w:val="hybridMultilevel"/>
    <w:tmpl w:val="1F5A391A"/>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1E2B65"/>
    <w:multiLevelType w:val="multilevel"/>
    <w:tmpl w:val="E58CB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AD48ED"/>
    <w:multiLevelType w:val="multilevel"/>
    <w:tmpl w:val="D768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AA1319"/>
    <w:multiLevelType w:val="hybridMultilevel"/>
    <w:tmpl w:val="5A1C4AEE"/>
    <w:lvl w:ilvl="0" w:tplc="17D811C0">
      <w:start w:val="1"/>
      <w:numFmt w:val="bullet"/>
      <w:lvlText w:val="-"/>
      <w:lvlJc w:val="left"/>
      <w:pPr>
        <w:ind w:left="720" w:hanging="360"/>
      </w:pPr>
      <w:rPr>
        <w:rFonts w:ascii="&quot;Times New Roman&quot;,serif" w:hAnsi="&quot;Times New Roman&quot;,serif" w:hint="default"/>
      </w:rPr>
    </w:lvl>
    <w:lvl w:ilvl="1" w:tplc="62B2CFC6">
      <w:start w:val="1"/>
      <w:numFmt w:val="bullet"/>
      <w:lvlText w:val="o"/>
      <w:lvlJc w:val="left"/>
      <w:pPr>
        <w:ind w:left="1440" w:hanging="360"/>
      </w:pPr>
      <w:rPr>
        <w:rFonts w:ascii="Courier New" w:hAnsi="Courier New" w:hint="default"/>
      </w:rPr>
    </w:lvl>
    <w:lvl w:ilvl="2" w:tplc="698210CE">
      <w:start w:val="1"/>
      <w:numFmt w:val="bullet"/>
      <w:lvlText w:val=""/>
      <w:lvlJc w:val="left"/>
      <w:pPr>
        <w:ind w:left="2160" w:hanging="360"/>
      </w:pPr>
      <w:rPr>
        <w:rFonts w:ascii="Wingdings" w:hAnsi="Wingdings" w:hint="default"/>
      </w:rPr>
    </w:lvl>
    <w:lvl w:ilvl="3" w:tplc="0A26994E">
      <w:start w:val="1"/>
      <w:numFmt w:val="bullet"/>
      <w:lvlText w:val=""/>
      <w:lvlJc w:val="left"/>
      <w:pPr>
        <w:ind w:left="2880" w:hanging="360"/>
      </w:pPr>
      <w:rPr>
        <w:rFonts w:ascii="Symbol" w:hAnsi="Symbol" w:hint="default"/>
      </w:rPr>
    </w:lvl>
    <w:lvl w:ilvl="4" w:tplc="ECA4EF80">
      <w:start w:val="1"/>
      <w:numFmt w:val="bullet"/>
      <w:lvlText w:val="o"/>
      <w:lvlJc w:val="left"/>
      <w:pPr>
        <w:ind w:left="3600" w:hanging="360"/>
      </w:pPr>
      <w:rPr>
        <w:rFonts w:ascii="Courier New" w:hAnsi="Courier New" w:hint="default"/>
      </w:rPr>
    </w:lvl>
    <w:lvl w:ilvl="5" w:tplc="A5B24922">
      <w:start w:val="1"/>
      <w:numFmt w:val="bullet"/>
      <w:lvlText w:val=""/>
      <w:lvlJc w:val="left"/>
      <w:pPr>
        <w:ind w:left="4320" w:hanging="360"/>
      </w:pPr>
      <w:rPr>
        <w:rFonts w:ascii="Wingdings" w:hAnsi="Wingdings" w:hint="default"/>
      </w:rPr>
    </w:lvl>
    <w:lvl w:ilvl="6" w:tplc="0CC08D44">
      <w:start w:val="1"/>
      <w:numFmt w:val="bullet"/>
      <w:lvlText w:val=""/>
      <w:lvlJc w:val="left"/>
      <w:pPr>
        <w:ind w:left="5040" w:hanging="360"/>
      </w:pPr>
      <w:rPr>
        <w:rFonts w:ascii="Symbol" w:hAnsi="Symbol" w:hint="default"/>
      </w:rPr>
    </w:lvl>
    <w:lvl w:ilvl="7" w:tplc="CCCC6836">
      <w:start w:val="1"/>
      <w:numFmt w:val="bullet"/>
      <w:lvlText w:val="o"/>
      <w:lvlJc w:val="left"/>
      <w:pPr>
        <w:ind w:left="5760" w:hanging="360"/>
      </w:pPr>
      <w:rPr>
        <w:rFonts w:ascii="Courier New" w:hAnsi="Courier New" w:hint="default"/>
      </w:rPr>
    </w:lvl>
    <w:lvl w:ilvl="8" w:tplc="634E265E">
      <w:start w:val="1"/>
      <w:numFmt w:val="bullet"/>
      <w:lvlText w:val=""/>
      <w:lvlJc w:val="left"/>
      <w:pPr>
        <w:ind w:left="6480" w:hanging="360"/>
      </w:pPr>
      <w:rPr>
        <w:rFonts w:ascii="Wingdings" w:hAnsi="Wingdings" w:hint="default"/>
      </w:rPr>
    </w:lvl>
  </w:abstractNum>
  <w:num w:numId="1" w16cid:durableId="1934699476">
    <w:abstractNumId w:val="5"/>
  </w:num>
  <w:num w:numId="2" w16cid:durableId="846748398">
    <w:abstractNumId w:val="2"/>
  </w:num>
  <w:num w:numId="3" w16cid:durableId="150564387">
    <w:abstractNumId w:val="1"/>
  </w:num>
  <w:num w:numId="4" w16cid:durableId="1958641041">
    <w:abstractNumId w:val="0"/>
  </w:num>
  <w:num w:numId="5" w16cid:durableId="428428014">
    <w:abstractNumId w:val="3"/>
  </w:num>
  <w:num w:numId="6" w16cid:durableId="616106424">
    <w:abstractNumId w:val="0"/>
  </w:num>
  <w:num w:numId="7" w16cid:durableId="1462576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77C4F"/>
    <w:rsid w:val="00007516"/>
    <w:rsid w:val="00012A37"/>
    <w:rsid w:val="0001486B"/>
    <w:rsid w:val="000362E9"/>
    <w:rsid w:val="00037075"/>
    <w:rsid w:val="00046B15"/>
    <w:rsid w:val="00050DC7"/>
    <w:rsid w:val="000623B2"/>
    <w:rsid w:val="000734F0"/>
    <w:rsid w:val="00076109"/>
    <w:rsid w:val="00077C4F"/>
    <w:rsid w:val="000870C5"/>
    <w:rsid w:val="00091BF2"/>
    <w:rsid w:val="000A65C5"/>
    <w:rsid w:val="000D216E"/>
    <w:rsid w:val="000F5FD8"/>
    <w:rsid w:val="001167C0"/>
    <w:rsid w:val="00135C2A"/>
    <w:rsid w:val="0016515D"/>
    <w:rsid w:val="00182259"/>
    <w:rsid w:val="00195581"/>
    <w:rsid w:val="001A6E65"/>
    <w:rsid w:val="001B0E0B"/>
    <w:rsid w:val="001C4138"/>
    <w:rsid w:val="001F2EC6"/>
    <w:rsid w:val="001F65D0"/>
    <w:rsid w:val="00201A5F"/>
    <w:rsid w:val="00207D80"/>
    <w:rsid w:val="00217E59"/>
    <w:rsid w:val="0022393A"/>
    <w:rsid w:val="00234EA4"/>
    <w:rsid w:val="00257A7C"/>
    <w:rsid w:val="00270695"/>
    <w:rsid w:val="002C483C"/>
    <w:rsid w:val="002D4888"/>
    <w:rsid w:val="002E2006"/>
    <w:rsid w:val="002F03FA"/>
    <w:rsid w:val="003004D2"/>
    <w:rsid w:val="00323AAF"/>
    <w:rsid w:val="003349A3"/>
    <w:rsid w:val="00354D16"/>
    <w:rsid w:val="00376CA5"/>
    <w:rsid w:val="00377967"/>
    <w:rsid w:val="00380685"/>
    <w:rsid w:val="0038121C"/>
    <w:rsid w:val="00386143"/>
    <w:rsid w:val="003908E9"/>
    <w:rsid w:val="003B58DC"/>
    <w:rsid w:val="003C00CA"/>
    <w:rsid w:val="003F686E"/>
    <w:rsid w:val="003F6B1F"/>
    <w:rsid w:val="00424E70"/>
    <w:rsid w:val="00436F8E"/>
    <w:rsid w:val="0044004D"/>
    <w:rsid w:val="00442552"/>
    <w:rsid w:val="00454438"/>
    <w:rsid w:val="00455A1C"/>
    <w:rsid w:val="00456999"/>
    <w:rsid w:val="00457D68"/>
    <w:rsid w:val="0046603E"/>
    <w:rsid w:val="004675B5"/>
    <w:rsid w:val="004755F7"/>
    <w:rsid w:val="004770D6"/>
    <w:rsid w:val="0049246C"/>
    <w:rsid w:val="004A11A0"/>
    <w:rsid w:val="004A24E1"/>
    <w:rsid w:val="004E457C"/>
    <w:rsid w:val="004F00C3"/>
    <w:rsid w:val="004F6117"/>
    <w:rsid w:val="004F63F1"/>
    <w:rsid w:val="004F651E"/>
    <w:rsid w:val="0052596B"/>
    <w:rsid w:val="00536D6C"/>
    <w:rsid w:val="005375E6"/>
    <w:rsid w:val="00537FB4"/>
    <w:rsid w:val="00554D8D"/>
    <w:rsid w:val="00573835"/>
    <w:rsid w:val="00581306"/>
    <w:rsid w:val="00590312"/>
    <w:rsid w:val="00595632"/>
    <w:rsid w:val="005B26A4"/>
    <w:rsid w:val="005C3105"/>
    <w:rsid w:val="005C6ABA"/>
    <w:rsid w:val="005E3CB8"/>
    <w:rsid w:val="005F3C74"/>
    <w:rsid w:val="00610CEA"/>
    <w:rsid w:val="006110AE"/>
    <w:rsid w:val="006326E4"/>
    <w:rsid w:val="006526A2"/>
    <w:rsid w:val="00652CAA"/>
    <w:rsid w:val="00654A9F"/>
    <w:rsid w:val="00664727"/>
    <w:rsid w:val="006817A0"/>
    <w:rsid w:val="00692C2F"/>
    <w:rsid w:val="00695797"/>
    <w:rsid w:val="00696A5E"/>
    <w:rsid w:val="0069765C"/>
    <w:rsid w:val="006B3B69"/>
    <w:rsid w:val="006D1B9F"/>
    <w:rsid w:val="006D7404"/>
    <w:rsid w:val="006E3B28"/>
    <w:rsid w:val="006E7427"/>
    <w:rsid w:val="006F63D7"/>
    <w:rsid w:val="00705E2B"/>
    <w:rsid w:val="0071272E"/>
    <w:rsid w:val="00713E3E"/>
    <w:rsid w:val="0072062E"/>
    <w:rsid w:val="00734613"/>
    <w:rsid w:val="007361CA"/>
    <w:rsid w:val="00750142"/>
    <w:rsid w:val="00751910"/>
    <w:rsid w:val="00751E60"/>
    <w:rsid w:val="007547B5"/>
    <w:rsid w:val="0076480F"/>
    <w:rsid w:val="00795A9E"/>
    <w:rsid w:val="007A0817"/>
    <w:rsid w:val="007A359E"/>
    <w:rsid w:val="007A606D"/>
    <w:rsid w:val="007B4B23"/>
    <w:rsid w:val="007C2214"/>
    <w:rsid w:val="007E374F"/>
    <w:rsid w:val="007F4FF9"/>
    <w:rsid w:val="007F6544"/>
    <w:rsid w:val="00806C90"/>
    <w:rsid w:val="00807B48"/>
    <w:rsid w:val="008135CA"/>
    <w:rsid w:val="0081444B"/>
    <w:rsid w:val="0081584F"/>
    <w:rsid w:val="008253AE"/>
    <w:rsid w:val="0083343B"/>
    <w:rsid w:val="00833478"/>
    <w:rsid w:val="00845C48"/>
    <w:rsid w:val="00853328"/>
    <w:rsid w:val="008703BF"/>
    <w:rsid w:val="008925CE"/>
    <w:rsid w:val="00893D3C"/>
    <w:rsid w:val="008A104C"/>
    <w:rsid w:val="008B54AD"/>
    <w:rsid w:val="008C4D41"/>
    <w:rsid w:val="008C5D06"/>
    <w:rsid w:val="008C73D5"/>
    <w:rsid w:val="008D3854"/>
    <w:rsid w:val="008E1B6F"/>
    <w:rsid w:val="008E3615"/>
    <w:rsid w:val="008E7086"/>
    <w:rsid w:val="00937378"/>
    <w:rsid w:val="00981F45"/>
    <w:rsid w:val="00994D12"/>
    <w:rsid w:val="009B128B"/>
    <w:rsid w:val="009B238D"/>
    <w:rsid w:val="009D1CFD"/>
    <w:rsid w:val="009E0A7D"/>
    <w:rsid w:val="009E5C7A"/>
    <w:rsid w:val="00A1061A"/>
    <w:rsid w:val="00A16F07"/>
    <w:rsid w:val="00A23BF7"/>
    <w:rsid w:val="00A62C7B"/>
    <w:rsid w:val="00A71673"/>
    <w:rsid w:val="00A7417E"/>
    <w:rsid w:val="00A7709A"/>
    <w:rsid w:val="00A8050B"/>
    <w:rsid w:val="00A84F22"/>
    <w:rsid w:val="00A90E97"/>
    <w:rsid w:val="00A96698"/>
    <w:rsid w:val="00AD2B9F"/>
    <w:rsid w:val="00AD3415"/>
    <w:rsid w:val="00AE1842"/>
    <w:rsid w:val="00AE3C7C"/>
    <w:rsid w:val="00AF5F08"/>
    <w:rsid w:val="00AF6E8E"/>
    <w:rsid w:val="00B31306"/>
    <w:rsid w:val="00B42814"/>
    <w:rsid w:val="00B83936"/>
    <w:rsid w:val="00BA55BB"/>
    <w:rsid w:val="00BC37AC"/>
    <w:rsid w:val="00BD0A24"/>
    <w:rsid w:val="00BD0D7F"/>
    <w:rsid w:val="00BD2303"/>
    <w:rsid w:val="00BD5EB6"/>
    <w:rsid w:val="00BD6EB7"/>
    <w:rsid w:val="00BE0578"/>
    <w:rsid w:val="00BF3F24"/>
    <w:rsid w:val="00C10238"/>
    <w:rsid w:val="00C54D27"/>
    <w:rsid w:val="00C71726"/>
    <w:rsid w:val="00C76EEB"/>
    <w:rsid w:val="00CA1DAB"/>
    <w:rsid w:val="00CA5042"/>
    <w:rsid w:val="00D01F5A"/>
    <w:rsid w:val="00D07111"/>
    <w:rsid w:val="00D13AD8"/>
    <w:rsid w:val="00D1716E"/>
    <w:rsid w:val="00D25C9C"/>
    <w:rsid w:val="00D4289B"/>
    <w:rsid w:val="00D550CC"/>
    <w:rsid w:val="00D64E05"/>
    <w:rsid w:val="00D7760F"/>
    <w:rsid w:val="00D86905"/>
    <w:rsid w:val="00D92FD3"/>
    <w:rsid w:val="00DA3B6E"/>
    <w:rsid w:val="00DB7581"/>
    <w:rsid w:val="00DC70C1"/>
    <w:rsid w:val="00E12344"/>
    <w:rsid w:val="00E17A03"/>
    <w:rsid w:val="00E230B3"/>
    <w:rsid w:val="00E56A98"/>
    <w:rsid w:val="00E667B7"/>
    <w:rsid w:val="00E83C12"/>
    <w:rsid w:val="00E904C8"/>
    <w:rsid w:val="00EA1BBF"/>
    <w:rsid w:val="00EA4BAC"/>
    <w:rsid w:val="00EB29A9"/>
    <w:rsid w:val="00EB3437"/>
    <w:rsid w:val="00EB77D2"/>
    <w:rsid w:val="00EE56F4"/>
    <w:rsid w:val="00F046CE"/>
    <w:rsid w:val="00F073E1"/>
    <w:rsid w:val="00F26350"/>
    <w:rsid w:val="00F316C8"/>
    <w:rsid w:val="00F432F9"/>
    <w:rsid w:val="00F513A7"/>
    <w:rsid w:val="00F5254B"/>
    <w:rsid w:val="00F632DE"/>
    <w:rsid w:val="00F735E4"/>
    <w:rsid w:val="00F90053"/>
    <w:rsid w:val="00FB7834"/>
    <w:rsid w:val="00FD4B6A"/>
    <w:rsid w:val="00FE5C7B"/>
    <w:rsid w:val="00FF03A8"/>
    <w:rsid w:val="00FF63EA"/>
    <w:rsid w:val="00FF6FF6"/>
    <w:rsid w:val="01176E58"/>
    <w:rsid w:val="01E0FAC1"/>
    <w:rsid w:val="02681AE2"/>
    <w:rsid w:val="02D9C429"/>
    <w:rsid w:val="03D155C1"/>
    <w:rsid w:val="055B4389"/>
    <w:rsid w:val="061E7ECB"/>
    <w:rsid w:val="0642F3F1"/>
    <w:rsid w:val="07003F7C"/>
    <w:rsid w:val="07395B7D"/>
    <w:rsid w:val="0744CF9F"/>
    <w:rsid w:val="086971A3"/>
    <w:rsid w:val="087A990C"/>
    <w:rsid w:val="08B66EE4"/>
    <w:rsid w:val="0BC4BBE5"/>
    <w:rsid w:val="0C9A9908"/>
    <w:rsid w:val="0CC43D07"/>
    <w:rsid w:val="0DF9B848"/>
    <w:rsid w:val="1069B020"/>
    <w:rsid w:val="107725A1"/>
    <w:rsid w:val="11274F09"/>
    <w:rsid w:val="13A61A8C"/>
    <w:rsid w:val="15486582"/>
    <w:rsid w:val="167C0714"/>
    <w:rsid w:val="175500ED"/>
    <w:rsid w:val="17585414"/>
    <w:rsid w:val="1763FDE8"/>
    <w:rsid w:val="178D1616"/>
    <w:rsid w:val="17D596DE"/>
    <w:rsid w:val="1A0DB0BE"/>
    <w:rsid w:val="1A5A948B"/>
    <w:rsid w:val="1BA34980"/>
    <w:rsid w:val="1C9CAE04"/>
    <w:rsid w:val="1E38435D"/>
    <w:rsid w:val="204E5727"/>
    <w:rsid w:val="22070A15"/>
    <w:rsid w:val="2235F4D4"/>
    <w:rsid w:val="22446A14"/>
    <w:rsid w:val="23102736"/>
    <w:rsid w:val="236053A2"/>
    <w:rsid w:val="23D659D9"/>
    <w:rsid w:val="23DF0144"/>
    <w:rsid w:val="25D75B4E"/>
    <w:rsid w:val="261D9574"/>
    <w:rsid w:val="263877EC"/>
    <w:rsid w:val="26EA9660"/>
    <w:rsid w:val="27114E13"/>
    <w:rsid w:val="2883C4C6"/>
    <w:rsid w:val="28DE81C9"/>
    <w:rsid w:val="29CEF997"/>
    <w:rsid w:val="2A81FB13"/>
    <w:rsid w:val="2B2D6BA7"/>
    <w:rsid w:val="2C6EC639"/>
    <w:rsid w:val="2C9B38A9"/>
    <w:rsid w:val="2D36C1E0"/>
    <w:rsid w:val="2DEE31E4"/>
    <w:rsid w:val="2E461AF1"/>
    <w:rsid w:val="2E50674C"/>
    <w:rsid w:val="2F014434"/>
    <w:rsid w:val="306234B9"/>
    <w:rsid w:val="307BB257"/>
    <w:rsid w:val="3151E04C"/>
    <w:rsid w:val="3404B8C1"/>
    <w:rsid w:val="358F9902"/>
    <w:rsid w:val="3598F0C6"/>
    <w:rsid w:val="35B9BFF3"/>
    <w:rsid w:val="3693A167"/>
    <w:rsid w:val="38A7FE4A"/>
    <w:rsid w:val="3964C05B"/>
    <w:rsid w:val="3AFBBE73"/>
    <w:rsid w:val="3B7D5825"/>
    <w:rsid w:val="3D16EDC7"/>
    <w:rsid w:val="3D2173D1"/>
    <w:rsid w:val="3DAE25D4"/>
    <w:rsid w:val="3F25539E"/>
    <w:rsid w:val="3FC4812F"/>
    <w:rsid w:val="3FF14768"/>
    <w:rsid w:val="40AEE2DF"/>
    <w:rsid w:val="414882F9"/>
    <w:rsid w:val="41507F71"/>
    <w:rsid w:val="424F6BFC"/>
    <w:rsid w:val="4277ED6A"/>
    <w:rsid w:val="44069955"/>
    <w:rsid w:val="445BEE9F"/>
    <w:rsid w:val="45454190"/>
    <w:rsid w:val="45FD0EB1"/>
    <w:rsid w:val="46AE8C78"/>
    <w:rsid w:val="4703C4B9"/>
    <w:rsid w:val="47CE4A5E"/>
    <w:rsid w:val="48BB0A2A"/>
    <w:rsid w:val="4966534C"/>
    <w:rsid w:val="49D47C8B"/>
    <w:rsid w:val="4A1329D8"/>
    <w:rsid w:val="4AEB8462"/>
    <w:rsid w:val="4B1CA425"/>
    <w:rsid w:val="4B827801"/>
    <w:rsid w:val="4BCB6B56"/>
    <w:rsid w:val="4BD5DEA9"/>
    <w:rsid w:val="4C498526"/>
    <w:rsid w:val="4E4BEC2D"/>
    <w:rsid w:val="4EEDB56F"/>
    <w:rsid w:val="4EEDFC4F"/>
    <w:rsid w:val="4FD4152F"/>
    <w:rsid w:val="50B3150A"/>
    <w:rsid w:val="5100348A"/>
    <w:rsid w:val="519D8B06"/>
    <w:rsid w:val="52D29DC6"/>
    <w:rsid w:val="5418BD33"/>
    <w:rsid w:val="544605CD"/>
    <w:rsid w:val="545E11B0"/>
    <w:rsid w:val="55527E88"/>
    <w:rsid w:val="57D00AD8"/>
    <w:rsid w:val="584D7972"/>
    <w:rsid w:val="597D9734"/>
    <w:rsid w:val="598F83F7"/>
    <w:rsid w:val="59948298"/>
    <w:rsid w:val="59B5A7E7"/>
    <w:rsid w:val="5A19156D"/>
    <w:rsid w:val="5A803DB7"/>
    <w:rsid w:val="5AFC53E7"/>
    <w:rsid w:val="5C03801B"/>
    <w:rsid w:val="5D38B9E2"/>
    <w:rsid w:val="5D85C412"/>
    <w:rsid w:val="5E0A68EB"/>
    <w:rsid w:val="5ECD53EE"/>
    <w:rsid w:val="5FED14B7"/>
    <w:rsid w:val="5FF0870D"/>
    <w:rsid w:val="603D8407"/>
    <w:rsid w:val="6095CBD4"/>
    <w:rsid w:val="610F06C9"/>
    <w:rsid w:val="631C010C"/>
    <w:rsid w:val="63BA4FD7"/>
    <w:rsid w:val="65982562"/>
    <w:rsid w:val="65B32B17"/>
    <w:rsid w:val="6677C570"/>
    <w:rsid w:val="66A4FA34"/>
    <w:rsid w:val="66E25E02"/>
    <w:rsid w:val="6759E949"/>
    <w:rsid w:val="67DF032D"/>
    <w:rsid w:val="68DE9073"/>
    <w:rsid w:val="6923B0A9"/>
    <w:rsid w:val="69B1DAE4"/>
    <w:rsid w:val="69E2EFAC"/>
    <w:rsid w:val="6A071745"/>
    <w:rsid w:val="6A12D296"/>
    <w:rsid w:val="6AE0E387"/>
    <w:rsid w:val="6B5392F0"/>
    <w:rsid w:val="6BC63C0D"/>
    <w:rsid w:val="6CF81C32"/>
    <w:rsid w:val="6CFE8EFF"/>
    <w:rsid w:val="6D08D6B9"/>
    <w:rsid w:val="6D4E61BF"/>
    <w:rsid w:val="6DDE7CBC"/>
    <w:rsid w:val="6E4F4B72"/>
    <w:rsid w:val="6F3B83D6"/>
    <w:rsid w:val="6F653DF8"/>
    <w:rsid w:val="7087FEF1"/>
    <w:rsid w:val="70CB3C1A"/>
    <w:rsid w:val="7149ACDD"/>
    <w:rsid w:val="7194A8BC"/>
    <w:rsid w:val="723F3EDB"/>
    <w:rsid w:val="7364B574"/>
    <w:rsid w:val="74AD20E8"/>
    <w:rsid w:val="75B151D4"/>
    <w:rsid w:val="75B1BF30"/>
    <w:rsid w:val="761F9221"/>
    <w:rsid w:val="769FCCFB"/>
    <w:rsid w:val="79C10A0B"/>
    <w:rsid w:val="7AC65DAF"/>
    <w:rsid w:val="7CAFFF3F"/>
    <w:rsid w:val="7D17EB14"/>
    <w:rsid w:val="7D4D6597"/>
    <w:rsid w:val="7FF344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qFormat/>
    <w:rsid w:val="006D1B9F"/>
    <w:pPr>
      <w:numPr>
        <w:numId w:val="4"/>
      </w:numPr>
      <w:spacing w:after="0" w:line="288" w:lineRule="auto"/>
      <w:ind w:left="567" w:hanging="567"/>
      <w:jc w:val="both"/>
      <w:outlineLvl w:val="0"/>
    </w:pPr>
    <w:rPr>
      <w:rFonts w:ascii="Times New Roman" w:eastAsia="Times New Roman" w:hAnsi="Times New Roman"/>
      <w:kern w:val="28"/>
      <w:lang w:val="en-US"/>
    </w:rPr>
  </w:style>
  <w:style w:type="paragraph" w:styleId="Heading2">
    <w:name w:val="heading 2"/>
    <w:basedOn w:val="Normal"/>
    <w:next w:val="Normal"/>
    <w:link w:val="Heading2Char"/>
    <w:qFormat/>
    <w:rsid w:val="006D1B9F"/>
    <w:pPr>
      <w:numPr>
        <w:ilvl w:val="1"/>
        <w:numId w:val="4"/>
      </w:numPr>
      <w:spacing w:after="0" w:line="288" w:lineRule="auto"/>
      <w:ind w:left="567" w:hanging="567"/>
      <w:jc w:val="both"/>
      <w:outlineLvl w:val="1"/>
    </w:pPr>
    <w:rPr>
      <w:rFonts w:ascii="Times New Roman" w:eastAsia="Times New Roman" w:hAnsi="Times New Roman"/>
      <w:lang w:val="en-US"/>
    </w:rPr>
  </w:style>
  <w:style w:type="paragraph" w:styleId="Heading3">
    <w:name w:val="heading 3"/>
    <w:basedOn w:val="Normal"/>
    <w:next w:val="Normal"/>
    <w:link w:val="Heading3Char"/>
    <w:qFormat/>
    <w:rsid w:val="006D1B9F"/>
    <w:pPr>
      <w:numPr>
        <w:ilvl w:val="2"/>
        <w:numId w:val="4"/>
      </w:numPr>
      <w:spacing w:after="0" w:line="288" w:lineRule="auto"/>
      <w:jc w:val="both"/>
      <w:outlineLvl w:val="2"/>
    </w:pPr>
    <w:rPr>
      <w:rFonts w:ascii="Times New Roman" w:eastAsia="Times New Roman" w:hAnsi="Times New Roman"/>
      <w:lang w:val="en-US"/>
    </w:rPr>
  </w:style>
  <w:style w:type="paragraph" w:styleId="Heading4">
    <w:name w:val="heading 4"/>
    <w:basedOn w:val="Normal"/>
    <w:next w:val="Normal"/>
    <w:link w:val="Heading4Char"/>
    <w:qFormat/>
    <w:rsid w:val="006D1B9F"/>
    <w:pPr>
      <w:numPr>
        <w:ilvl w:val="3"/>
        <w:numId w:val="4"/>
      </w:numPr>
      <w:spacing w:after="0" w:line="288" w:lineRule="auto"/>
      <w:ind w:left="567" w:hanging="567"/>
      <w:jc w:val="both"/>
      <w:outlineLvl w:val="3"/>
    </w:pPr>
    <w:rPr>
      <w:rFonts w:ascii="Times New Roman" w:eastAsia="Times New Roman" w:hAnsi="Times New Roman"/>
      <w:lang w:val="en-US"/>
    </w:rPr>
  </w:style>
  <w:style w:type="paragraph" w:styleId="Heading5">
    <w:name w:val="heading 5"/>
    <w:basedOn w:val="Normal"/>
    <w:next w:val="Normal"/>
    <w:link w:val="Heading5Char"/>
    <w:qFormat/>
    <w:rsid w:val="006D1B9F"/>
    <w:pPr>
      <w:numPr>
        <w:ilvl w:val="4"/>
        <w:numId w:val="4"/>
      </w:numPr>
      <w:spacing w:after="0" w:line="288" w:lineRule="auto"/>
      <w:ind w:left="567" w:hanging="567"/>
      <w:jc w:val="both"/>
      <w:outlineLvl w:val="4"/>
    </w:pPr>
    <w:rPr>
      <w:rFonts w:ascii="Times New Roman" w:eastAsia="Times New Roman" w:hAnsi="Times New Roman"/>
      <w:lang w:val="en-US"/>
    </w:rPr>
  </w:style>
  <w:style w:type="paragraph" w:styleId="Heading6">
    <w:name w:val="heading 6"/>
    <w:basedOn w:val="Normal"/>
    <w:next w:val="Normal"/>
    <w:link w:val="Heading6Char"/>
    <w:qFormat/>
    <w:rsid w:val="006D1B9F"/>
    <w:pPr>
      <w:numPr>
        <w:ilvl w:val="5"/>
        <w:numId w:val="4"/>
      </w:numPr>
      <w:spacing w:after="0" w:line="288" w:lineRule="auto"/>
      <w:ind w:left="567" w:hanging="567"/>
      <w:jc w:val="both"/>
      <w:outlineLvl w:val="5"/>
    </w:pPr>
    <w:rPr>
      <w:rFonts w:ascii="Times New Roman" w:eastAsia="Times New Roman" w:hAnsi="Times New Roman"/>
      <w:lang w:val="en-US"/>
    </w:rPr>
  </w:style>
  <w:style w:type="paragraph" w:styleId="Heading7">
    <w:name w:val="heading 7"/>
    <w:basedOn w:val="Normal"/>
    <w:next w:val="Normal"/>
    <w:link w:val="Heading7Char"/>
    <w:qFormat/>
    <w:rsid w:val="006D1B9F"/>
    <w:pPr>
      <w:numPr>
        <w:ilvl w:val="6"/>
        <w:numId w:val="4"/>
      </w:numPr>
      <w:spacing w:after="0" w:line="288" w:lineRule="auto"/>
      <w:ind w:left="567" w:hanging="567"/>
      <w:jc w:val="both"/>
      <w:outlineLvl w:val="6"/>
    </w:pPr>
    <w:rPr>
      <w:rFonts w:ascii="Times New Roman" w:eastAsia="Times New Roman" w:hAnsi="Times New Roman"/>
      <w:lang w:val="en-US"/>
    </w:rPr>
  </w:style>
  <w:style w:type="paragraph" w:styleId="Heading8">
    <w:name w:val="heading 8"/>
    <w:basedOn w:val="Normal"/>
    <w:next w:val="Normal"/>
    <w:link w:val="Heading8Char"/>
    <w:qFormat/>
    <w:rsid w:val="006D1B9F"/>
    <w:pPr>
      <w:numPr>
        <w:ilvl w:val="7"/>
        <w:numId w:val="4"/>
      </w:numPr>
      <w:spacing w:after="0" w:line="288" w:lineRule="auto"/>
      <w:ind w:left="567" w:hanging="567"/>
      <w:jc w:val="both"/>
      <w:outlineLvl w:val="7"/>
    </w:pPr>
    <w:rPr>
      <w:rFonts w:ascii="Times New Roman" w:eastAsia="Times New Roman" w:hAnsi="Times New Roman"/>
      <w:lang w:val="en-US"/>
    </w:rPr>
  </w:style>
  <w:style w:type="paragraph" w:styleId="Heading9">
    <w:name w:val="heading 9"/>
    <w:basedOn w:val="Normal"/>
    <w:next w:val="Normal"/>
    <w:link w:val="Heading9Char"/>
    <w:qFormat/>
    <w:rsid w:val="006D1B9F"/>
    <w:pPr>
      <w:numPr>
        <w:ilvl w:val="8"/>
        <w:numId w:val="4"/>
      </w:numPr>
      <w:spacing w:after="0" w:line="288" w:lineRule="auto"/>
      <w:ind w:left="567" w:hanging="567"/>
      <w:jc w:val="both"/>
      <w:outlineLvl w:val="8"/>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D1B9F"/>
  </w:style>
  <w:style w:type="paragraph" w:customStyle="1" w:styleId="Briefinglist1">
    <w:name w:val="Briefing list 1"/>
    <w:basedOn w:val="Normal"/>
    <w:link w:val="Briefinglist1Char"/>
    <w:rsid w:val="006D1B9F"/>
    <w:pPr>
      <w:keepLines/>
      <w:numPr>
        <w:numId w:val="2"/>
      </w:numPr>
      <w:spacing w:after="120" w:line="240" w:lineRule="auto"/>
      <w:jc w:val="both"/>
    </w:pPr>
    <w:rPr>
      <w:rFonts w:ascii="Arial" w:eastAsia="Times New Roman" w:hAnsi="Arial" w:cs="Arial"/>
      <w:szCs w:val="24"/>
    </w:rPr>
  </w:style>
  <w:style w:type="character" w:customStyle="1" w:styleId="Briefinglist1Char">
    <w:name w:val="Briefing list 1 Char"/>
    <w:link w:val="Briefinglist1"/>
    <w:rsid w:val="006D1B9F"/>
    <w:rPr>
      <w:rFonts w:ascii="Arial" w:eastAsia="Times New Roman" w:hAnsi="Arial" w:cs="Arial"/>
      <w:sz w:val="22"/>
      <w:szCs w:val="24"/>
      <w:lang w:eastAsia="en-US"/>
    </w:rPr>
  </w:style>
  <w:style w:type="paragraph" w:styleId="ListParagraph">
    <w:name w:val="List Paragraph"/>
    <w:basedOn w:val="Normal"/>
    <w:uiPriority w:val="34"/>
    <w:qFormat/>
    <w:rsid w:val="006D1B9F"/>
    <w:pPr>
      <w:spacing w:after="160" w:line="259" w:lineRule="auto"/>
      <w:ind w:left="720"/>
      <w:contextualSpacing/>
    </w:pPr>
    <w:rPr>
      <w:kern w:val="2"/>
      <w:lang w:val="en-IE"/>
    </w:rPr>
  </w:style>
  <w:style w:type="character" w:customStyle="1" w:styleId="Heading1Char">
    <w:name w:val="Heading 1 Char"/>
    <w:link w:val="Heading1"/>
    <w:rsid w:val="006D1B9F"/>
    <w:rPr>
      <w:rFonts w:ascii="Times New Roman" w:eastAsia="Times New Roman" w:hAnsi="Times New Roman"/>
      <w:kern w:val="28"/>
      <w:sz w:val="22"/>
      <w:szCs w:val="22"/>
      <w:lang w:val="en-US" w:eastAsia="en-US"/>
    </w:rPr>
  </w:style>
  <w:style w:type="character" w:customStyle="1" w:styleId="Heading2Char">
    <w:name w:val="Heading 2 Char"/>
    <w:link w:val="Heading2"/>
    <w:rsid w:val="006D1B9F"/>
    <w:rPr>
      <w:rFonts w:ascii="Times New Roman" w:eastAsia="Times New Roman" w:hAnsi="Times New Roman"/>
      <w:sz w:val="22"/>
      <w:szCs w:val="22"/>
      <w:lang w:val="en-US" w:eastAsia="en-US"/>
    </w:rPr>
  </w:style>
  <w:style w:type="character" w:customStyle="1" w:styleId="Heading3Char">
    <w:name w:val="Heading 3 Char"/>
    <w:link w:val="Heading3"/>
    <w:rsid w:val="006D1B9F"/>
    <w:rPr>
      <w:rFonts w:ascii="Times New Roman" w:eastAsia="Times New Roman" w:hAnsi="Times New Roman"/>
      <w:sz w:val="22"/>
      <w:szCs w:val="22"/>
      <w:lang w:val="en-US" w:eastAsia="en-US"/>
    </w:rPr>
  </w:style>
  <w:style w:type="character" w:customStyle="1" w:styleId="Heading4Char">
    <w:name w:val="Heading 4 Char"/>
    <w:link w:val="Heading4"/>
    <w:rsid w:val="006D1B9F"/>
    <w:rPr>
      <w:rFonts w:ascii="Times New Roman" w:eastAsia="Times New Roman" w:hAnsi="Times New Roman"/>
      <w:sz w:val="22"/>
      <w:szCs w:val="22"/>
      <w:lang w:val="en-US" w:eastAsia="en-US"/>
    </w:rPr>
  </w:style>
  <w:style w:type="character" w:customStyle="1" w:styleId="Heading5Char">
    <w:name w:val="Heading 5 Char"/>
    <w:link w:val="Heading5"/>
    <w:rsid w:val="006D1B9F"/>
    <w:rPr>
      <w:rFonts w:ascii="Times New Roman" w:eastAsia="Times New Roman" w:hAnsi="Times New Roman"/>
      <w:sz w:val="22"/>
      <w:szCs w:val="22"/>
      <w:lang w:val="en-US" w:eastAsia="en-US"/>
    </w:rPr>
  </w:style>
  <w:style w:type="character" w:customStyle="1" w:styleId="Heading6Char">
    <w:name w:val="Heading 6 Char"/>
    <w:link w:val="Heading6"/>
    <w:rsid w:val="006D1B9F"/>
    <w:rPr>
      <w:rFonts w:ascii="Times New Roman" w:eastAsia="Times New Roman" w:hAnsi="Times New Roman"/>
      <w:sz w:val="22"/>
      <w:szCs w:val="22"/>
      <w:lang w:val="en-US" w:eastAsia="en-US"/>
    </w:rPr>
  </w:style>
  <w:style w:type="character" w:customStyle="1" w:styleId="Heading7Char">
    <w:name w:val="Heading 7 Char"/>
    <w:link w:val="Heading7"/>
    <w:rsid w:val="006D1B9F"/>
    <w:rPr>
      <w:rFonts w:ascii="Times New Roman" w:eastAsia="Times New Roman" w:hAnsi="Times New Roman"/>
      <w:sz w:val="22"/>
      <w:szCs w:val="22"/>
      <w:lang w:val="en-US" w:eastAsia="en-US"/>
    </w:rPr>
  </w:style>
  <w:style w:type="character" w:customStyle="1" w:styleId="Heading8Char">
    <w:name w:val="Heading 8 Char"/>
    <w:link w:val="Heading8"/>
    <w:rsid w:val="006D1B9F"/>
    <w:rPr>
      <w:rFonts w:ascii="Times New Roman" w:eastAsia="Times New Roman" w:hAnsi="Times New Roman"/>
      <w:sz w:val="22"/>
      <w:szCs w:val="22"/>
      <w:lang w:val="en-US" w:eastAsia="en-US"/>
    </w:rPr>
  </w:style>
  <w:style w:type="character" w:customStyle="1" w:styleId="Heading9Char">
    <w:name w:val="Heading 9 Char"/>
    <w:link w:val="Heading9"/>
    <w:rsid w:val="006D1B9F"/>
    <w:rPr>
      <w:rFonts w:ascii="Times New Roman" w:eastAsia="Times New Roman" w:hAnsi="Times New Roman"/>
      <w:sz w:val="22"/>
      <w:szCs w:val="22"/>
      <w:lang w:val="en-US" w:eastAsia="en-US"/>
    </w:rPr>
  </w:style>
  <w:style w:type="paragraph" w:styleId="Revision">
    <w:name w:val="Revision"/>
    <w:hidden/>
    <w:uiPriority w:val="99"/>
    <w:semiHidden/>
    <w:rsid w:val="00C71726"/>
    <w:rPr>
      <w:sz w:val="22"/>
      <w:szCs w:val="22"/>
      <w:lang w:val="en-GB" w:eastAsia="en-US"/>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A96698"/>
    <w:pPr>
      <w:keepLines/>
      <w:spacing w:after="60" w:line="240" w:lineRule="auto"/>
      <w:ind w:left="567" w:hanging="567"/>
      <w:jc w:val="both"/>
    </w:pPr>
    <w:rPr>
      <w:rFonts w:ascii="Times New Roman" w:eastAsia="Times New Roman" w:hAnsi="Times New Roman"/>
      <w:sz w:val="16"/>
      <w:lang w:val="en-US"/>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link w:val="FootnoteText"/>
    <w:rsid w:val="00A96698"/>
    <w:rPr>
      <w:rFonts w:ascii="Times New Roman" w:eastAsia="Times New Roman" w:hAnsi="Times New Roman"/>
      <w:sz w:val="16"/>
      <w:szCs w:val="22"/>
      <w:lang w:val="en-US" w:eastAsia="en-US"/>
    </w:rPr>
  </w:style>
  <w:style w:type="character" w:styleId="FootnoteReference">
    <w:name w:val="footnote reference"/>
    <w:aliases w:val="Footnote symbol"/>
    <w:unhideWhenUsed/>
    <w:qFormat/>
    <w:rsid w:val="00A96698"/>
    <w:rPr>
      <w:sz w:val="24"/>
      <w:vertAlign w:val="superscript"/>
    </w:rPr>
  </w:style>
  <w:style w:type="character" w:styleId="Hyperlink">
    <w:name w:val="Hyperlink"/>
    <w:uiPriority w:val="99"/>
    <w:rsid w:val="00A96698"/>
    <w:rPr>
      <w:color w:val="0000FF"/>
      <w:u w:val="single"/>
    </w:rPr>
  </w:style>
  <w:style w:type="paragraph" w:styleId="Header">
    <w:name w:val="header"/>
    <w:basedOn w:val="Normal"/>
    <w:link w:val="HeaderChar"/>
    <w:uiPriority w:val="99"/>
    <w:unhideWhenUsed/>
    <w:rsid w:val="0081444B"/>
    <w:pPr>
      <w:tabs>
        <w:tab w:val="center" w:pos="4513"/>
        <w:tab w:val="right" w:pos="9026"/>
      </w:tabs>
    </w:pPr>
  </w:style>
  <w:style w:type="character" w:customStyle="1" w:styleId="HeaderChar">
    <w:name w:val="Header Char"/>
    <w:basedOn w:val="DefaultParagraphFont"/>
    <w:link w:val="Header"/>
    <w:uiPriority w:val="99"/>
    <w:rsid w:val="0081444B"/>
    <w:rPr>
      <w:sz w:val="22"/>
      <w:szCs w:val="22"/>
      <w:lang w:val="en-GB" w:eastAsia="en-US"/>
    </w:rPr>
  </w:style>
  <w:style w:type="paragraph" w:styleId="Footer">
    <w:name w:val="footer"/>
    <w:basedOn w:val="Normal"/>
    <w:link w:val="FooterChar"/>
    <w:uiPriority w:val="99"/>
    <w:unhideWhenUsed/>
    <w:rsid w:val="0081444B"/>
    <w:pPr>
      <w:tabs>
        <w:tab w:val="center" w:pos="4513"/>
        <w:tab w:val="right" w:pos="9026"/>
      </w:tabs>
    </w:pPr>
  </w:style>
  <w:style w:type="character" w:customStyle="1" w:styleId="FooterChar">
    <w:name w:val="Footer Char"/>
    <w:basedOn w:val="DefaultParagraphFont"/>
    <w:link w:val="Footer"/>
    <w:uiPriority w:val="99"/>
    <w:rsid w:val="0081444B"/>
    <w:rPr>
      <w:sz w:val="22"/>
      <w:szCs w:val="22"/>
      <w:lang w:val="en-GB" w:eastAsia="en-US"/>
    </w:rPr>
  </w:style>
  <w:style w:type="character" w:styleId="CommentReference">
    <w:name w:val="annotation reference"/>
    <w:basedOn w:val="DefaultParagraphFont"/>
    <w:uiPriority w:val="99"/>
    <w:semiHidden/>
    <w:unhideWhenUsed/>
    <w:rsid w:val="00BE0578"/>
    <w:rPr>
      <w:sz w:val="16"/>
      <w:szCs w:val="16"/>
    </w:rPr>
  </w:style>
  <w:style w:type="paragraph" w:styleId="CommentText">
    <w:name w:val="annotation text"/>
    <w:basedOn w:val="Normal"/>
    <w:link w:val="CommentTextChar"/>
    <w:uiPriority w:val="99"/>
    <w:unhideWhenUsed/>
    <w:rsid w:val="00BE0578"/>
    <w:rPr>
      <w:sz w:val="20"/>
      <w:szCs w:val="20"/>
    </w:rPr>
  </w:style>
  <w:style w:type="character" w:customStyle="1" w:styleId="CommentTextChar">
    <w:name w:val="Comment Text Char"/>
    <w:basedOn w:val="DefaultParagraphFont"/>
    <w:link w:val="CommentText"/>
    <w:uiPriority w:val="99"/>
    <w:rsid w:val="00BE0578"/>
    <w:rPr>
      <w:lang w:val="en-GB" w:eastAsia="en-US"/>
    </w:rPr>
  </w:style>
  <w:style w:type="character" w:styleId="FollowedHyperlink">
    <w:name w:val="FollowedHyperlink"/>
    <w:basedOn w:val="DefaultParagraphFont"/>
    <w:uiPriority w:val="99"/>
    <w:semiHidden/>
    <w:unhideWhenUsed/>
    <w:rsid w:val="00D13AD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34EA4"/>
    <w:pPr>
      <w:spacing w:line="240" w:lineRule="auto"/>
    </w:pPr>
    <w:rPr>
      <w:b/>
      <w:bCs/>
    </w:rPr>
  </w:style>
  <w:style w:type="character" w:customStyle="1" w:styleId="CommentSubjectChar">
    <w:name w:val="Comment Subject Char"/>
    <w:basedOn w:val="CommentTextChar"/>
    <w:link w:val="CommentSubject"/>
    <w:uiPriority w:val="99"/>
    <w:semiHidden/>
    <w:rsid w:val="00234EA4"/>
    <w:rPr>
      <w:b/>
      <w:bCs/>
      <w:lang w:val="en-GB" w:eastAsia="en-US"/>
    </w:rPr>
  </w:style>
  <w:style w:type="paragraph" w:styleId="NormalWeb">
    <w:name w:val="Normal (Web)"/>
    <w:basedOn w:val="Normal"/>
    <w:uiPriority w:val="99"/>
    <w:unhideWhenUsed/>
    <w:rsid w:val="007F6544"/>
    <w:pPr>
      <w:spacing w:before="100" w:beforeAutospacing="1" w:after="100" w:afterAutospacing="1" w:line="240" w:lineRule="auto"/>
    </w:pPr>
    <w:rPr>
      <w:rFonts w:ascii="Times New Roman" w:eastAsia="Times New Roman" w:hAnsi="Times New Roman"/>
      <w:sz w:val="24"/>
      <w:szCs w:val="24"/>
      <w:lang w:val="en-IE" w:eastAsia="en-IE"/>
    </w:rPr>
  </w:style>
  <w:style w:type="character" w:styleId="Strong">
    <w:name w:val="Strong"/>
    <w:basedOn w:val="DefaultParagraphFont"/>
    <w:uiPriority w:val="22"/>
    <w:qFormat/>
    <w:rsid w:val="008E3615"/>
    <w:rPr>
      <w:b/>
      <w:bCs/>
    </w:rPr>
  </w:style>
  <w:style w:type="paragraph" w:styleId="EndnoteText">
    <w:name w:val="endnote text"/>
    <w:basedOn w:val="Normal"/>
    <w:link w:val="EndnoteTextChar"/>
    <w:uiPriority w:val="99"/>
    <w:semiHidden/>
    <w:unhideWhenUsed/>
    <w:rsid w:val="008E36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E3615"/>
    <w:rPr>
      <w:lang w:val="en-GB" w:eastAsia="en-US"/>
    </w:rPr>
  </w:style>
  <w:style w:type="character" w:styleId="EndnoteReference">
    <w:name w:val="endnote reference"/>
    <w:basedOn w:val="DefaultParagraphFont"/>
    <w:uiPriority w:val="99"/>
    <w:semiHidden/>
    <w:unhideWhenUsed/>
    <w:rsid w:val="008E3615"/>
    <w:rPr>
      <w:vertAlign w:val="superscript"/>
    </w:rPr>
  </w:style>
  <w:style w:type="character" w:styleId="UnresolvedMention">
    <w:name w:val="Unresolved Mention"/>
    <w:basedOn w:val="DefaultParagraphFont"/>
    <w:uiPriority w:val="99"/>
    <w:semiHidden/>
    <w:unhideWhenUsed/>
    <w:rsid w:val="00475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0846">
      <w:bodyDiv w:val="1"/>
      <w:marLeft w:val="0"/>
      <w:marRight w:val="0"/>
      <w:marTop w:val="0"/>
      <w:marBottom w:val="0"/>
      <w:divBdr>
        <w:top w:val="none" w:sz="0" w:space="0" w:color="auto"/>
        <w:left w:val="none" w:sz="0" w:space="0" w:color="auto"/>
        <w:bottom w:val="none" w:sz="0" w:space="0" w:color="auto"/>
        <w:right w:val="none" w:sz="0" w:space="0" w:color="auto"/>
      </w:divBdr>
    </w:div>
    <w:div w:id="262996382">
      <w:bodyDiv w:val="1"/>
      <w:marLeft w:val="0"/>
      <w:marRight w:val="0"/>
      <w:marTop w:val="0"/>
      <w:marBottom w:val="0"/>
      <w:divBdr>
        <w:top w:val="none" w:sz="0" w:space="0" w:color="auto"/>
        <w:left w:val="none" w:sz="0" w:space="0" w:color="auto"/>
        <w:bottom w:val="none" w:sz="0" w:space="0" w:color="auto"/>
        <w:right w:val="none" w:sz="0" w:space="0" w:color="auto"/>
      </w:divBdr>
    </w:div>
    <w:div w:id="581793787">
      <w:bodyDiv w:val="1"/>
      <w:marLeft w:val="0"/>
      <w:marRight w:val="0"/>
      <w:marTop w:val="0"/>
      <w:marBottom w:val="0"/>
      <w:divBdr>
        <w:top w:val="none" w:sz="0" w:space="0" w:color="auto"/>
        <w:left w:val="none" w:sz="0" w:space="0" w:color="auto"/>
        <w:bottom w:val="none" w:sz="0" w:space="0" w:color="auto"/>
        <w:right w:val="none" w:sz="0" w:space="0" w:color="auto"/>
      </w:divBdr>
    </w:div>
    <w:div w:id="710038489">
      <w:bodyDiv w:val="1"/>
      <w:marLeft w:val="0"/>
      <w:marRight w:val="0"/>
      <w:marTop w:val="0"/>
      <w:marBottom w:val="0"/>
      <w:divBdr>
        <w:top w:val="none" w:sz="0" w:space="0" w:color="auto"/>
        <w:left w:val="none" w:sz="0" w:space="0" w:color="auto"/>
        <w:bottom w:val="none" w:sz="0" w:space="0" w:color="auto"/>
        <w:right w:val="none" w:sz="0" w:space="0" w:color="auto"/>
      </w:divBdr>
    </w:div>
    <w:div w:id="1143044973">
      <w:bodyDiv w:val="1"/>
      <w:marLeft w:val="0"/>
      <w:marRight w:val="0"/>
      <w:marTop w:val="0"/>
      <w:marBottom w:val="0"/>
      <w:divBdr>
        <w:top w:val="none" w:sz="0" w:space="0" w:color="auto"/>
        <w:left w:val="none" w:sz="0" w:space="0" w:color="auto"/>
        <w:bottom w:val="none" w:sz="0" w:space="0" w:color="auto"/>
        <w:right w:val="none" w:sz="0" w:space="0" w:color="auto"/>
      </w:divBdr>
    </w:div>
    <w:div w:id="1147864098">
      <w:bodyDiv w:val="1"/>
      <w:marLeft w:val="0"/>
      <w:marRight w:val="0"/>
      <w:marTop w:val="0"/>
      <w:marBottom w:val="0"/>
      <w:divBdr>
        <w:top w:val="none" w:sz="0" w:space="0" w:color="auto"/>
        <w:left w:val="none" w:sz="0" w:space="0" w:color="auto"/>
        <w:bottom w:val="none" w:sz="0" w:space="0" w:color="auto"/>
        <w:right w:val="none" w:sz="0" w:space="0" w:color="auto"/>
      </w:divBdr>
    </w:div>
    <w:div w:id="1421874842">
      <w:bodyDiv w:val="1"/>
      <w:marLeft w:val="0"/>
      <w:marRight w:val="0"/>
      <w:marTop w:val="0"/>
      <w:marBottom w:val="0"/>
      <w:divBdr>
        <w:top w:val="none" w:sz="0" w:space="0" w:color="auto"/>
        <w:left w:val="none" w:sz="0" w:space="0" w:color="auto"/>
        <w:bottom w:val="none" w:sz="0" w:space="0" w:color="auto"/>
        <w:right w:val="none" w:sz="0" w:space="0" w:color="auto"/>
      </w:divBdr>
      <w:divsChild>
        <w:div w:id="204417102">
          <w:marLeft w:val="0"/>
          <w:marRight w:val="0"/>
          <w:marTop w:val="0"/>
          <w:marBottom w:val="0"/>
          <w:divBdr>
            <w:top w:val="none" w:sz="0" w:space="0" w:color="auto"/>
            <w:left w:val="none" w:sz="0" w:space="0" w:color="auto"/>
            <w:bottom w:val="none" w:sz="0" w:space="0" w:color="auto"/>
            <w:right w:val="none" w:sz="0" w:space="0" w:color="auto"/>
          </w:divBdr>
        </w:div>
        <w:div w:id="609749149">
          <w:marLeft w:val="0"/>
          <w:marRight w:val="0"/>
          <w:marTop w:val="0"/>
          <w:marBottom w:val="0"/>
          <w:divBdr>
            <w:top w:val="none" w:sz="0" w:space="0" w:color="auto"/>
            <w:left w:val="none" w:sz="0" w:space="0" w:color="auto"/>
            <w:bottom w:val="none" w:sz="0" w:space="0" w:color="auto"/>
            <w:right w:val="none" w:sz="0" w:space="0" w:color="auto"/>
          </w:divBdr>
        </w:div>
      </w:divsChild>
    </w:div>
    <w:div w:id="1481799627">
      <w:bodyDiv w:val="1"/>
      <w:marLeft w:val="0"/>
      <w:marRight w:val="0"/>
      <w:marTop w:val="0"/>
      <w:marBottom w:val="0"/>
      <w:divBdr>
        <w:top w:val="none" w:sz="0" w:space="0" w:color="auto"/>
        <w:left w:val="none" w:sz="0" w:space="0" w:color="auto"/>
        <w:bottom w:val="none" w:sz="0" w:space="0" w:color="auto"/>
        <w:right w:val="none" w:sz="0" w:space="0" w:color="auto"/>
      </w:divBdr>
    </w:div>
    <w:div w:id="1587301298">
      <w:bodyDiv w:val="1"/>
      <w:marLeft w:val="0"/>
      <w:marRight w:val="0"/>
      <w:marTop w:val="0"/>
      <w:marBottom w:val="0"/>
      <w:divBdr>
        <w:top w:val="none" w:sz="0" w:space="0" w:color="auto"/>
        <w:left w:val="none" w:sz="0" w:space="0" w:color="auto"/>
        <w:bottom w:val="none" w:sz="0" w:space="0" w:color="auto"/>
        <w:right w:val="none" w:sz="0" w:space="0" w:color="auto"/>
      </w:divBdr>
    </w:div>
    <w:div w:id="206714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topics/eu-competitiveness/draghi-report_e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CELEX%3A52022DC0332" TargetMode="External"/><Relationship Id="rId1" Type="http://schemas.openxmlformats.org/officeDocument/2006/relationships/hyperlink" Target="https://eur-lex.europa.eu/legal-content/EN/TXT/?uri=celex:52024DC0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1a089e9-d5bb-46c7-8a06-6befa35c413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BBF279C8635D44F81B896587DB56843" ma:contentTypeVersion="17" ma:contentTypeDescription="Create a new document." ma:contentTypeScope="" ma:versionID="e3b662e1229539be4ee0a9bd70b95d4c">
  <xsd:schema xmlns:xsd="http://www.w3.org/2001/XMLSchema" xmlns:xs="http://www.w3.org/2001/XMLSchema" xmlns:p="http://schemas.microsoft.com/office/2006/metadata/properties" xmlns:ns3="b1a089e9-d5bb-46c7-8a06-6befa35c4139" xmlns:ns4="55cc450b-dada-4e7a-91e3-2a5eabaf0b5b" targetNamespace="http://schemas.microsoft.com/office/2006/metadata/properties" ma:root="true" ma:fieldsID="037e88e902fc0e2ad469136fd1963ebb" ns3:_="" ns4:_="">
    <xsd:import namespace="b1a089e9-d5bb-46c7-8a06-6befa35c4139"/>
    <xsd:import namespace="55cc450b-dada-4e7a-91e3-2a5eabaf0b5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a089e9-d5bb-46c7-8a06-6befa35c4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cc450b-dada-4e7a-91e3-2a5eabaf0b5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184CE-3F2E-4FA6-8B8E-720C606148FB}">
  <ds:schemaRefs>
    <ds:schemaRef ds:uri="http://schemas.microsoft.com/office/2006/metadata/properties"/>
    <ds:schemaRef ds:uri="http://schemas.microsoft.com/office/infopath/2007/PartnerControls"/>
    <ds:schemaRef ds:uri="b1a089e9-d5bb-46c7-8a06-6befa35c4139"/>
  </ds:schemaRefs>
</ds:datastoreItem>
</file>

<file path=customXml/itemProps2.xml><?xml version="1.0" encoding="utf-8"?>
<ds:datastoreItem xmlns:ds="http://schemas.openxmlformats.org/officeDocument/2006/customXml" ds:itemID="{82011534-9E03-476B-B440-0A803C2249EC}">
  <ds:schemaRefs>
    <ds:schemaRef ds:uri="http://schemas.openxmlformats.org/officeDocument/2006/bibliography"/>
  </ds:schemaRefs>
</ds:datastoreItem>
</file>

<file path=customXml/itemProps3.xml><?xml version="1.0" encoding="utf-8"?>
<ds:datastoreItem xmlns:ds="http://schemas.openxmlformats.org/officeDocument/2006/customXml" ds:itemID="{0402AD75-0A42-4CC3-B7B7-63A8242C5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a089e9-d5bb-46c7-8a06-6befa35c4139"/>
    <ds:schemaRef ds:uri="55cc450b-dada-4e7a-91e3-2a5eabaf0b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B694CE-C693-47E0-AB69-F85DB963C3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2257</Words>
  <Characters>12935</Characters>
  <Application>Microsoft Office Word</Application>
  <DocSecurity>0</DocSecurity>
  <Lines>190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2026-01-08T14:43:00Z</dcterms:created>
  <dcterms:modified xsi:type="dcterms:W3CDTF">2026-01-08T14:43:00Z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2024-10-28T16:25:36Z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b36cb79d-83a0-443b-9e20-6b24e92889f8</vt:lpwstr>
  </property>
  <property fmtid="{D5CDD505-2E9C-101B-9397-08002B2CF9AE}" pid="8" name="MSIP_Label_6bd9ddd1-4d20-43f6-abfa-fc3c07406f94_ContentBits">
    <vt:lpwstr>0</vt:lpwstr>
  </property>
  <property fmtid="{D5CDD505-2E9C-101B-9397-08002B2CF9AE}" pid="9" name="ContentTypeId">
    <vt:lpwstr>0x0101001BBF279C8635D44F81B896587DB56843</vt:lpwstr>
  </property>
</Properties>
</file>