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3482A" w:rsidRDefault="00077C4F" w:rsidP="0053482A">
      <w:pPr>
        <w:spacing w:after="0" w:line="240" w:lineRule="auto"/>
        <w:ind w:left="-709"/>
        <w:rPr>
          <w:rFonts w:ascii="Times New Roman" w:hAnsi="Times New Roman"/>
          <w:bCs/>
          <w:sz w:val="16"/>
          <w:szCs w:val="16"/>
        </w:rPr>
      </w:pPr>
    </w:p>
    <w:tbl>
      <w:tblPr>
        <w:tblW w:w="1032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25"/>
      </w:tblGrid>
      <w:tr w:rsidR="001C4138" w:rsidRPr="00442552" w14:paraId="7E6372DC" w14:textId="77777777" w:rsidTr="0053482A">
        <w:trPr>
          <w:jc w:val="center"/>
        </w:trPr>
        <w:tc>
          <w:tcPr>
            <w:tcW w:w="10325" w:type="dxa"/>
          </w:tcPr>
          <w:p w14:paraId="3A4EDC3A" w14:textId="39E8BBA1" w:rsidR="001C4138" w:rsidRPr="0053482A" w:rsidRDefault="00AA3818" w:rsidP="001C4138">
            <w:pPr>
              <w:spacing w:before="120" w:after="120"/>
              <w:rPr>
                <w:rFonts w:ascii="Times New Roman" w:hAnsi="Times New Roman"/>
                <w:b/>
                <w:sz w:val="24"/>
                <w:szCs w:val="24"/>
              </w:rPr>
            </w:pPr>
            <w:r w:rsidRPr="0053482A">
              <w:rPr>
                <w:rFonts w:ascii="Times New Roman" w:hAnsi="Times New Roman"/>
                <w:b/>
                <w:sz w:val="24"/>
                <w:szCs w:val="24"/>
              </w:rPr>
              <w:t>A New Pact for the Mediterranean</w:t>
            </w:r>
            <w:r w:rsidR="00690A6C">
              <w:rPr>
                <w:rFonts w:ascii="Times New Roman" w:hAnsi="Times New Roman"/>
                <w:b/>
                <w:sz w:val="24"/>
                <w:szCs w:val="24"/>
              </w:rPr>
              <w:br/>
            </w:r>
            <w:r w:rsidR="009A66B9" w:rsidRPr="0053482A">
              <w:rPr>
                <w:rFonts w:ascii="Times New Roman" w:hAnsi="Times New Roman"/>
                <w:b/>
                <w:sz w:val="24"/>
                <w:szCs w:val="24"/>
              </w:rPr>
              <w:t>(exploratory opinion)</w:t>
            </w:r>
            <w:r w:rsidR="001C4138" w:rsidRPr="0053482A">
              <w:rPr>
                <w:rFonts w:ascii="Times New Roman" w:hAnsi="Times New Roman"/>
                <w:b/>
                <w:sz w:val="24"/>
                <w:szCs w:val="24"/>
                <w:lang w:val="en-IE"/>
              </w:rPr>
              <w:br/>
            </w:r>
            <w:r w:rsidR="009A66B9" w:rsidRPr="0053482A">
              <w:rPr>
                <w:rFonts w:ascii="Times New Roman" w:hAnsi="Times New Roman"/>
                <w:b/>
                <w:sz w:val="24"/>
                <w:szCs w:val="24"/>
                <w:lang w:val="en-IE"/>
              </w:rPr>
              <w:t>EESC-2025</w:t>
            </w:r>
            <w:r w:rsidR="00690A6C">
              <w:rPr>
                <w:rFonts w:ascii="Times New Roman" w:hAnsi="Times New Roman"/>
                <w:b/>
                <w:sz w:val="24"/>
                <w:szCs w:val="24"/>
                <w:lang w:val="en-IE"/>
              </w:rPr>
              <w:t>-</w:t>
            </w:r>
            <w:r w:rsidR="00AA4927" w:rsidRPr="0053482A">
              <w:rPr>
                <w:rFonts w:ascii="Times New Roman" w:hAnsi="Times New Roman"/>
                <w:b/>
                <w:sz w:val="24"/>
                <w:szCs w:val="24"/>
                <w:lang w:val="en-IE"/>
              </w:rPr>
              <w:t>01275</w:t>
            </w:r>
            <w:r w:rsidR="001C4138" w:rsidRPr="0053482A">
              <w:rPr>
                <w:rFonts w:ascii="Times New Roman" w:hAnsi="Times New Roman"/>
                <w:b/>
                <w:sz w:val="24"/>
                <w:szCs w:val="24"/>
                <w:lang w:val="en-IE"/>
              </w:rPr>
              <w:t xml:space="preserve"> </w:t>
            </w:r>
            <w:r w:rsidR="001C4138" w:rsidRPr="0053482A">
              <w:rPr>
                <w:rFonts w:ascii="Times New Roman" w:hAnsi="Times New Roman"/>
                <w:b/>
                <w:sz w:val="24"/>
                <w:szCs w:val="24"/>
              </w:rPr>
              <w:t xml:space="preserve">‒ </w:t>
            </w:r>
            <w:r w:rsidR="00BC1909" w:rsidRPr="0053482A">
              <w:rPr>
                <w:rFonts w:ascii="Times New Roman" w:hAnsi="Times New Roman"/>
                <w:b/>
                <w:sz w:val="24"/>
                <w:szCs w:val="24"/>
              </w:rPr>
              <w:t>REX/606</w:t>
            </w:r>
            <w:r w:rsidR="001C4138" w:rsidRPr="0053482A">
              <w:rPr>
                <w:rFonts w:ascii="Times New Roman" w:hAnsi="Times New Roman"/>
                <w:b/>
                <w:sz w:val="24"/>
                <w:szCs w:val="24"/>
              </w:rPr>
              <w:br/>
            </w:r>
            <w:r w:rsidR="009A66B9" w:rsidRPr="0053482A">
              <w:rPr>
                <w:rFonts w:ascii="Times New Roman" w:hAnsi="Times New Roman"/>
                <w:b/>
                <w:sz w:val="24"/>
                <w:szCs w:val="24"/>
              </w:rPr>
              <w:t>599</w:t>
            </w:r>
            <w:proofErr w:type="spellStart"/>
            <w:r w:rsidR="001C4138" w:rsidRPr="0053482A">
              <w:rPr>
                <w:rFonts w:ascii="Times New Roman" w:hAnsi="Times New Roman"/>
                <w:b/>
                <w:sz w:val="24"/>
                <w:szCs w:val="24"/>
                <w:vertAlign w:val="superscript"/>
                <w:lang w:val="en-IE"/>
              </w:rPr>
              <w:t>th</w:t>
            </w:r>
            <w:proofErr w:type="spellEnd"/>
            <w:r w:rsidR="001C4138" w:rsidRPr="0053482A">
              <w:rPr>
                <w:rFonts w:ascii="Times New Roman" w:hAnsi="Times New Roman"/>
                <w:b/>
                <w:sz w:val="24"/>
                <w:szCs w:val="24"/>
                <w:lang w:val="en-IE"/>
              </w:rPr>
              <w:t xml:space="preserve"> </w:t>
            </w:r>
            <w:r w:rsidR="001C4138" w:rsidRPr="0053482A">
              <w:rPr>
                <w:rFonts w:ascii="Times New Roman" w:hAnsi="Times New Roman"/>
                <w:b/>
                <w:sz w:val="24"/>
                <w:szCs w:val="24"/>
              </w:rPr>
              <w:t xml:space="preserve">Plenary Session – </w:t>
            </w:r>
            <w:r w:rsidR="00BC1909" w:rsidRPr="0053482A">
              <w:rPr>
                <w:rFonts w:ascii="Times New Roman" w:hAnsi="Times New Roman"/>
                <w:b/>
                <w:sz w:val="24"/>
                <w:szCs w:val="24"/>
              </w:rPr>
              <w:t>September 2025</w:t>
            </w:r>
            <w:r w:rsidR="001C4138" w:rsidRPr="0053482A">
              <w:rPr>
                <w:rFonts w:ascii="Times New Roman" w:hAnsi="Times New Roman"/>
                <w:b/>
                <w:sz w:val="24"/>
                <w:szCs w:val="24"/>
              </w:rPr>
              <w:br/>
            </w:r>
            <w:r w:rsidR="009A66B9" w:rsidRPr="0053482A">
              <w:rPr>
                <w:rFonts w:ascii="Times New Roman" w:hAnsi="Times New Roman"/>
                <w:b/>
                <w:sz w:val="24"/>
                <w:szCs w:val="24"/>
              </w:rPr>
              <w:t>Rapporteur: Thomas WAGNSONNER (AT-II)</w:t>
            </w:r>
            <w:r w:rsidR="009A66B9" w:rsidRPr="0053482A">
              <w:rPr>
                <w:rFonts w:ascii="Times New Roman" w:hAnsi="Times New Roman"/>
                <w:b/>
                <w:sz w:val="24"/>
                <w:szCs w:val="24"/>
              </w:rPr>
              <w:br/>
              <w:t>Co-rapporteur: Lidija PAVIĆ-ROGOŠIĆ (HR-III)</w:t>
            </w:r>
            <w:r w:rsidR="001C4138" w:rsidRPr="0053482A">
              <w:rPr>
                <w:rFonts w:ascii="Times New Roman" w:hAnsi="Times New Roman"/>
                <w:b/>
                <w:sz w:val="24"/>
                <w:szCs w:val="24"/>
              </w:rPr>
              <w:br/>
              <w:t xml:space="preserve">DG </w:t>
            </w:r>
            <w:r w:rsidR="00BC1909" w:rsidRPr="0053482A">
              <w:rPr>
                <w:rFonts w:ascii="Times New Roman" w:hAnsi="Times New Roman"/>
                <w:b/>
                <w:sz w:val="24"/>
                <w:szCs w:val="24"/>
              </w:rPr>
              <w:t>MENA</w:t>
            </w:r>
            <w:r w:rsidR="00690A6C">
              <w:rPr>
                <w:rFonts w:ascii="Times New Roman" w:hAnsi="Times New Roman"/>
                <w:b/>
                <w:sz w:val="24"/>
                <w:szCs w:val="24"/>
              </w:rPr>
              <w:t xml:space="preserve"> </w:t>
            </w:r>
            <w:r w:rsidR="001C4138" w:rsidRPr="0053482A">
              <w:rPr>
                <w:rFonts w:ascii="Times New Roman" w:hAnsi="Times New Roman"/>
                <w:b/>
                <w:sz w:val="24"/>
                <w:szCs w:val="24"/>
              </w:rPr>
              <w:t xml:space="preserve">– Commissioner </w:t>
            </w:r>
            <w:r w:rsidR="00BC1909" w:rsidRPr="0053482A">
              <w:rPr>
                <w:rFonts w:ascii="Times New Roman" w:hAnsi="Times New Roman"/>
                <w:b/>
                <w:sz w:val="24"/>
                <w:szCs w:val="24"/>
              </w:rPr>
              <w:t>ŠUICA</w:t>
            </w:r>
          </w:p>
        </w:tc>
      </w:tr>
      <w:tr w:rsidR="00734613" w:rsidRPr="00442552" w14:paraId="1937071F" w14:textId="77777777" w:rsidTr="0053482A">
        <w:trPr>
          <w:jc w:val="center"/>
        </w:trPr>
        <w:tc>
          <w:tcPr>
            <w:tcW w:w="10325" w:type="dxa"/>
          </w:tcPr>
          <w:p w14:paraId="1E50B4DB" w14:textId="15FFFF4E"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of the European Economic and Social Committee</w:t>
            </w:r>
            <w:r w:rsidR="009D4236">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53482A">
        <w:trPr>
          <w:jc w:val="center"/>
        </w:trPr>
        <w:tc>
          <w:tcPr>
            <w:tcW w:w="10325" w:type="dxa"/>
          </w:tcPr>
          <w:p w14:paraId="2B247973" w14:textId="426E38B3" w:rsidR="004B1BEB" w:rsidRPr="00D66481" w:rsidRDefault="004B1BEB"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The Commission welcomes the C</w:t>
            </w:r>
            <w:proofErr w:type="spellStart"/>
            <w:r w:rsidR="001B3EAF" w:rsidRPr="004840DA">
              <w:rPr>
                <w:rFonts w:ascii="Times New Roman" w:hAnsi="Times New Roman"/>
                <w:bCs/>
                <w:sz w:val="24"/>
                <w:szCs w:val="24"/>
              </w:rPr>
              <w:t>ommittee</w:t>
            </w:r>
            <w:proofErr w:type="spellEnd"/>
            <w:r w:rsidRPr="00D66481">
              <w:rPr>
                <w:rFonts w:ascii="Times New Roman" w:hAnsi="Times New Roman"/>
                <w:sz w:val="24"/>
                <w:szCs w:val="24"/>
                <w:lang w:val="en-IE"/>
              </w:rPr>
              <w:t>’s exploratory opinion on the Pact for the Mediterranean</w:t>
            </w:r>
            <w:r w:rsidR="009D4236">
              <w:rPr>
                <w:rStyle w:val="FootnoteReference"/>
                <w:rFonts w:ascii="Times New Roman" w:hAnsi="Times New Roman"/>
                <w:sz w:val="24"/>
                <w:szCs w:val="24"/>
                <w:lang w:val="en-IE"/>
              </w:rPr>
              <w:footnoteReference w:id="1"/>
            </w:r>
            <w:r w:rsidRPr="00D66481">
              <w:rPr>
                <w:rFonts w:ascii="Times New Roman" w:hAnsi="Times New Roman"/>
                <w:sz w:val="24"/>
                <w:szCs w:val="24"/>
                <w:lang w:val="en-IE"/>
              </w:rPr>
              <w:t xml:space="preserve"> and commends the </w:t>
            </w:r>
            <w:r w:rsidR="009D4236">
              <w:rPr>
                <w:rFonts w:ascii="Times New Roman" w:hAnsi="Times New Roman"/>
                <w:sz w:val="24"/>
                <w:szCs w:val="24"/>
                <w:lang w:val="en-IE"/>
              </w:rPr>
              <w:t>Committee</w:t>
            </w:r>
            <w:r w:rsidRPr="00D66481">
              <w:rPr>
                <w:rFonts w:ascii="Times New Roman" w:hAnsi="Times New Roman"/>
                <w:sz w:val="24"/>
                <w:szCs w:val="24"/>
                <w:lang w:val="en-IE"/>
              </w:rPr>
              <w:t xml:space="preserve"> for its timely and valuable contribution. The Pact for the Mediterranean is a</w:t>
            </w:r>
            <w:r w:rsidR="001B3EAF">
              <w:rPr>
                <w:rFonts w:ascii="Times New Roman" w:hAnsi="Times New Roman"/>
                <w:sz w:val="24"/>
                <w:szCs w:val="24"/>
                <w:lang w:val="en-IE"/>
              </w:rPr>
              <w:t> </w:t>
            </w:r>
            <w:r w:rsidRPr="00D66481">
              <w:rPr>
                <w:rFonts w:ascii="Times New Roman" w:hAnsi="Times New Roman"/>
                <w:sz w:val="24"/>
                <w:szCs w:val="24"/>
                <w:lang w:val="en-IE"/>
              </w:rPr>
              <w:t xml:space="preserve">strategic priority of the Commission, representing a renewed and ambitious effort to deepen cooperation with </w:t>
            </w:r>
            <w:r w:rsidR="009D4236">
              <w:rPr>
                <w:rFonts w:ascii="Times New Roman" w:hAnsi="Times New Roman"/>
                <w:sz w:val="24"/>
                <w:szCs w:val="24"/>
                <w:lang w:val="en-IE"/>
              </w:rPr>
              <w:t>the EU’s</w:t>
            </w:r>
            <w:r w:rsidRPr="00D66481">
              <w:rPr>
                <w:rFonts w:ascii="Times New Roman" w:hAnsi="Times New Roman"/>
                <w:sz w:val="24"/>
                <w:szCs w:val="24"/>
                <w:lang w:val="en-IE"/>
              </w:rPr>
              <w:t xml:space="preserve"> southern Mediterranean partners and transform the region into a shared space of stability, prosperity, and security. It presents a practical framework of cooperation to strengthen this essential relationship, enshrined in principles of co-ownership, flexibility, and joint responsibility.</w:t>
            </w:r>
          </w:p>
          <w:p w14:paraId="31540B38" w14:textId="1FBA7DC4" w:rsidR="004B1BEB" w:rsidRPr="00D66481" w:rsidRDefault="004B1BEB"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The Pact builds on the 2021 Agenda for the Mediterranean</w:t>
            </w:r>
            <w:r w:rsidR="009D4236">
              <w:rPr>
                <w:rStyle w:val="FootnoteReference"/>
                <w:rFonts w:ascii="Times New Roman" w:hAnsi="Times New Roman"/>
                <w:sz w:val="24"/>
                <w:szCs w:val="24"/>
                <w:lang w:val="en-IE"/>
              </w:rPr>
              <w:footnoteReference w:id="2"/>
            </w:r>
            <w:r w:rsidRPr="00D66481">
              <w:rPr>
                <w:rFonts w:ascii="Times New Roman" w:hAnsi="Times New Roman"/>
                <w:sz w:val="24"/>
                <w:szCs w:val="24"/>
                <w:lang w:val="en-IE"/>
              </w:rPr>
              <w:t xml:space="preserve"> and complements existing initiatives, including the Economic and Investment Plan, the Association Agreements, Partnership Priorities, Strategic and Comprehensive Partnerships, and other regional cooperation frameworks, as well as Member States’ national strategies. Among the critical components, the Pact foresees a two-level</w:t>
            </w:r>
            <w:r w:rsidR="0003241A">
              <w:rPr>
                <w:rFonts w:ascii="Times New Roman" w:hAnsi="Times New Roman"/>
                <w:sz w:val="24"/>
                <w:szCs w:val="24"/>
                <w:lang w:val="en-IE"/>
              </w:rPr>
              <w:t xml:space="preserve"> governance and</w:t>
            </w:r>
            <w:r w:rsidRPr="00D66481">
              <w:rPr>
                <w:rFonts w:ascii="Times New Roman" w:hAnsi="Times New Roman"/>
                <w:sz w:val="24"/>
                <w:szCs w:val="24"/>
                <w:lang w:val="en-IE"/>
              </w:rPr>
              <w:t xml:space="preserve"> monitoring system </w:t>
            </w:r>
            <w:r w:rsidR="0003241A">
              <w:rPr>
                <w:rFonts w:ascii="Times New Roman" w:hAnsi="Times New Roman"/>
                <w:sz w:val="24"/>
                <w:szCs w:val="24"/>
                <w:lang w:val="en-IE"/>
              </w:rPr>
              <w:t xml:space="preserve">to guide </w:t>
            </w:r>
            <w:r w:rsidRPr="00D66481">
              <w:rPr>
                <w:rFonts w:ascii="Times New Roman" w:hAnsi="Times New Roman"/>
                <w:sz w:val="24"/>
                <w:szCs w:val="24"/>
                <w:lang w:val="en-IE"/>
              </w:rPr>
              <w:t xml:space="preserve">its implementation, ensuring effective oversight without creating redundant structures. At the EU level, the EESC will be kept informed as the implementation process progresses. Meanwhile, Euro-Mediterranean level mechanisms will involve </w:t>
            </w:r>
            <w:r w:rsidR="0003241A">
              <w:rPr>
                <w:rFonts w:ascii="Times New Roman" w:hAnsi="Times New Roman"/>
                <w:sz w:val="24"/>
                <w:szCs w:val="24"/>
                <w:lang w:val="en-IE"/>
              </w:rPr>
              <w:t xml:space="preserve">also </w:t>
            </w:r>
            <w:r w:rsidRPr="00D66481">
              <w:rPr>
                <w:rFonts w:ascii="Times New Roman" w:hAnsi="Times New Roman"/>
                <w:sz w:val="24"/>
                <w:szCs w:val="24"/>
                <w:lang w:val="en-IE"/>
              </w:rPr>
              <w:t>partner countries at appropriate levels, ensuring active participation from all relevant stakeholders.</w:t>
            </w:r>
          </w:p>
          <w:p w14:paraId="003F200A" w14:textId="09E1A722" w:rsidR="004B1BEB" w:rsidRDefault="004B1BEB"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 xml:space="preserve">Initiatives under the three pillars of the Pact address </w:t>
            </w:r>
            <w:r w:rsidR="0003241A">
              <w:rPr>
                <w:rFonts w:ascii="Times New Roman" w:hAnsi="Times New Roman"/>
                <w:sz w:val="24"/>
                <w:szCs w:val="24"/>
                <w:lang w:val="en-IE"/>
              </w:rPr>
              <w:t xml:space="preserve">many of </w:t>
            </w:r>
            <w:r w:rsidRPr="00D66481">
              <w:rPr>
                <w:rFonts w:ascii="Times New Roman" w:hAnsi="Times New Roman"/>
                <w:sz w:val="24"/>
                <w:szCs w:val="24"/>
                <w:lang w:val="en-IE"/>
              </w:rPr>
              <w:t>the challenges and opportunities highlighted in the EESC opinion, including labour migration, trade, investments,</w:t>
            </w:r>
            <w:r w:rsidR="00701705" w:rsidRPr="00D66481">
              <w:rPr>
                <w:rFonts w:ascii="Times New Roman" w:hAnsi="Times New Roman"/>
                <w:sz w:val="24"/>
                <w:szCs w:val="24"/>
                <w:lang w:val="en-IE"/>
              </w:rPr>
              <w:t xml:space="preserve"> environmental protection, sustainable water managements</w:t>
            </w:r>
            <w:r w:rsidRPr="00D66481">
              <w:rPr>
                <w:rFonts w:ascii="Times New Roman" w:hAnsi="Times New Roman"/>
                <w:sz w:val="24"/>
                <w:szCs w:val="24"/>
                <w:lang w:val="en-IE"/>
              </w:rPr>
              <w:t xml:space="preserve"> and entrepreneurship. </w:t>
            </w:r>
            <w:r w:rsidR="0003241A">
              <w:rPr>
                <w:rFonts w:ascii="Times New Roman" w:hAnsi="Times New Roman"/>
                <w:sz w:val="24"/>
                <w:szCs w:val="24"/>
                <w:lang w:val="en-IE"/>
              </w:rPr>
              <w:t>For example, s</w:t>
            </w:r>
            <w:r w:rsidRPr="00D66481">
              <w:rPr>
                <w:rFonts w:ascii="Times New Roman" w:hAnsi="Times New Roman"/>
                <w:sz w:val="24"/>
                <w:szCs w:val="24"/>
                <w:lang w:val="en-IE"/>
              </w:rPr>
              <w:t xml:space="preserve">caling up national and thematic investment platforms and unlocking the growth and job creation potential of startups, micro, small, and medium-sized enterprises (SMEs) remain important priorities for the EU and southern Mediterranean partners. </w:t>
            </w:r>
            <w:r w:rsidR="0003241A">
              <w:rPr>
                <w:rFonts w:ascii="Times New Roman" w:hAnsi="Times New Roman"/>
                <w:sz w:val="24"/>
                <w:szCs w:val="24"/>
                <w:lang w:val="en-IE"/>
              </w:rPr>
              <w:t>T</w:t>
            </w:r>
            <w:r w:rsidRPr="00D66481">
              <w:rPr>
                <w:rFonts w:ascii="Times New Roman" w:hAnsi="Times New Roman"/>
                <w:sz w:val="24"/>
                <w:szCs w:val="24"/>
                <w:lang w:val="en-IE"/>
              </w:rPr>
              <w:t xml:space="preserve">he Pact </w:t>
            </w:r>
            <w:r w:rsidR="0003241A">
              <w:rPr>
                <w:rFonts w:ascii="Times New Roman" w:hAnsi="Times New Roman"/>
                <w:sz w:val="24"/>
                <w:szCs w:val="24"/>
                <w:lang w:val="en-IE"/>
              </w:rPr>
              <w:t xml:space="preserve">also </w:t>
            </w:r>
            <w:r w:rsidRPr="00D66481">
              <w:rPr>
                <w:rFonts w:ascii="Times New Roman" w:hAnsi="Times New Roman"/>
                <w:sz w:val="24"/>
                <w:szCs w:val="24"/>
                <w:lang w:val="en-IE"/>
              </w:rPr>
              <w:t>proposes to step up efforts on evidence-based policymaking and knowledge sharing. By leveraging data from EU space systems and available resources, the Pact seeks to foster public sector innovation and help guide decisions across several sectors of cooperation, further advancing the region's economic development.</w:t>
            </w:r>
          </w:p>
          <w:p w14:paraId="10BCD80F" w14:textId="0014BA2E" w:rsidR="004B1BEB" w:rsidRPr="00D66481" w:rsidRDefault="004B1BEB"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The Pact also prioriti</w:t>
            </w:r>
            <w:r w:rsidR="00603130" w:rsidRPr="00D66481">
              <w:rPr>
                <w:rFonts w:ascii="Times New Roman" w:hAnsi="Times New Roman"/>
                <w:sz w:val="24"/>
                <w:szCs w:val="24"/>
                <w:lang w:val="en-IE"/>
              </w:rPr>
              <w:t>s</w:t>
            </w:r>
            <w:r w:rsidRPr="00D66481">
              <w:rPr>
                <w:rFonts w:ascii="Times New Roman" w:hAnsi="Times New Roman"/>
                <w:sz w:val="24"/>
                <w:szCs w:val="24"/>
                <w:lang w:val="en-IE"/>
              </w:rPr>
              <w:t xml:space="preserve">es strengthening cooperation in areas such as higher education, Technical and Vocational Education and Training (TVET), civic service, and culture. In the latter area, the Commission has foreseen a dedicated mechanism to protect and promote Mediterranean cultural heritage, pooling public and private resources for its preservation and promotion. Furthermore, green transition is an integral focus of the Pact, particularly under the second pillar on economic development. The Commission is </w:t>
            </w:r>
            <w:r w:rsidRPr="00D66481">
              <w:rPr>
                <w:rFonts w:ascii="Times New Roman" w:hAnsi="Times New Roman"/>
                <w:sz w:val="24"/>
                <w:szCs w:val="24"/>
                <w:lang w:val="en-IE"/>
              </w:rPr>
              <w:lastRenderedPageBreak/>
              <w:t>committed to supporting a sustainable transformation by aligning initiatives with EU financial instruments, such as NDICI-Global Europe</w:t>
            </w:r>
            <w:r w:rsidR="00690A6C">
              <w:rPr>
                <w:rStyle w:val="FootnoteReference"/>
                <w:rFonts w:ascii="Times New Roman" w:hAnsi="Times New Roman"/>
                <w:sz w:val="24"/>
                <w:szCs w:val="24"/>
                <w:lang w:val="en-IE"/>
              </w:rPr>
              <w:footnoteReference w:id="3"/>
            </w:r>
            <w:r w:rsidRPr="00D66481">
              <w:rPr>
                <w:rFonts w:ascii="Times New Roman" w:hAnsi="Times New Roman"/>
                <w:sz w:val="24"/>
                <w:szCs w:val="24"/>
                <w:lang w:val="en-IE"/>
              </w:rPr>
              <w:t xml:space="preserve"> and Global Gateway</w:t>
            </w:r>
            <w:r w:rsidR="009D4236">
              <w:rPr>
                <w:rStyle w:val="FootnoteReference"/>
                <w:rFonts w:ascii="Times New Roman" w:hAnsi="Times New Roman"/>
                <w:sz w:val="24"/>
                <w:szCs w:val="24"/>
                <w:lang w:val="en-IE"/>
              </w:rPr>
              <w:footnoteReference w:id="4"/>
            </w:r>
            <w:r w:rsidRPr="00D66481">
              <w:rPr>
                <w:rFonts w:ascii="Times New Roman" w:hAnsi="Times New Roman"/>
                <w:sz w:val="24"/>
                <w:szCs w:val="24"/>
                <w:lang w:val="en-IE"/>
              </w:rPr>
              <w:t xml:space="preserve"> priorities, while leveraging funding from EU Member States, International Financial Institutions, and the private sector. Pooling resources, particularly from the private sector, is critical to achieving the Pact's ambitious goals, with the European Fund for Sustainable Development</w:t>
            </w:r>
            <w:r w:rsidR="009D4236">
              <w:rPr>
                <w:rFonts w:ascii="Times New Roman" w:hAnsi="Times New Roman"/>
                <w:sz w:val="24"/>
                <w:szCs w:val="24"/>
                <w:lang w:val="en-IE"/>
              </w:rPr>
              <w:t xml:space="preserve"> Plus (EFSD</w:t>
            </w:r>
            <w:r w:rsidRPr="00D66481">
              <w:rPr>
                <w:rFonts w:ascii="Times New Roman" w:hAnsi="Times New Roman"/>
                <w:sz w:val="24"/>
                <w:szCs w:val="24"/>
                <w:lang w:val="en-IE"/>
              </w:rPr>
              <w:t>+</w:t>
            </w:r>
            <w:r w:rsidR="009D4236">
              <w:rPr>
                <w:rFonts w:ascii="Times New Roman" w:hAnsi="Times New Roman"/>
                <w:sz w:val="24"/>
                <w:szCs w:val="24"/>
                <w:lang w:val="en-IE"/>
              </w:rPr>
              <w:t>)</w:t>
            </w:r>
            <w:r w:rsidRPr="00D66481">
              <w:rPr>
                <w:rFonts w:ascii="Times New Roman" w:hAnsi="Times New Roman"/>
                <w:sz w:val="24"/>
                <w:szCs w:val="24"/>
                <w:lang w:val="en-IE"/>
              </w:rPr>
              <w:t xml:space="preserve"> playing a key role in facilitating the investments necessary for this transition.</w:t>
            </w:r>
          </w:p>
          <w:p w14:paraId="5C2D58AB" w14:textId="1981F390" w:rsidR="004B1BEB" w:rsidRPr="00D66481" w:rsidRDefault="004601F9"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The Pact recognize</w:t>
            </w:r>
            <w:r w:rsidR="009D4236">
              <w:rPr>
                <w:rFonts w:ascii="Times New Roman" w:hAnsi="Times New Roman"/>
                <w:sz w:val="24"/>
                <w:szCs w:val="24"/>
                <w:lang w:val="en-IE"/>
              </w:rPr>
              <w:t>s</w:t>
            </w:r>
            <w:r w:rsidRPr="00D66481">
              <w:rPr>
                <w:rFonts w:ascii="Times New Roman" w:hAnsi="Times New Roman"/>
                <w:sz w:val="24"/>
                <w:szCs w:val="24"/>
                <w:lang w:val="en-IE"/>
              </w:rPr>
              <w:t xml:space="preserve"> the significant impact of climate change, pollution and biodiversity loss in the Mediterranean region and welcomes the support of the EESC for further cooperation in these sectors, including through enhanced stakeholder participation.</w:t>
            </w:r>
          </w:p>
          <w:p w14:paraId="37B9624F" w14:textId="07B83AA4" w:rsidR="004B1BEB" w:rsidRPr="00D66481" w:rsidRDefault="004B1BEB"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 xml:space="preserve">Through the Pact, the Commission reaffirms the EU’s core commitment to human rights, </w:t>
            </w:r>
            <w:r w:rsidR="0003241A" w:rsidRPr="0003241A">
              <w:rPr>
                <w:rFonts w:ascii="Times New Roman" w:hAnsi="Times New Roman"/>
                <w:sz w:val="24"/>
                <w:szCs w:val="24"/>
              </w:rPr>
              <w:t>good governance and fundamental freedom</w:t>
            </w:r>
            <w:r w:rsidR="0003241A">
              <w:rPr>
                <w:rFonts w:ascii="Times New Roman" w:hAnsi="Times New Roman"/>
                <w:sz w:val="24"/>
                <w:szCs w:val="24"/>
              </w:rPr>
              <w:t xml:space="preserve">, as well as </w:t>
            </w:r>
            <w:r w:rsidRPr="00D66481">
              <w:rPr>
                <w:rFonts w:ascii="Times New Roman" w:hAnsi="Times New Roman"/>
                <w:sz w:val="24"/>
                <w:szCs w:val="24"/>
                <w:lang w:val="en-IE"/>
              </w:rPr>
              <w:t>gender equality and non-discrimination. The empowerment of women, youth, and civil society is explicitly recogni</w:t>
            </w:r>
            <w:r w:rsidR="00603130" w:rsidRPr="00D66481">
              <w:rPr>
                <w:rFonts w:ascii="Times New Roman" w:hAnsi="Times New Roman"/>
                <w:sz w:val="24"/>
                <w:szCs w:val="24"/>
                <w:lang w:val="en-IE"/>
              </w:rPr>
              <w:t>s</w:t>
            </w:r>
            <w:r w:rsidRPr="00D66481">
              <w:rPr>
                <w:rFonts w:ascii="Times New Roman" w:hAnsi="Times New Roman"/>
                <w:sz w:val="24"/>
                <w:szCs w:val="24"/>
                <w:lang w:val="en-IE"/>
              </w:rPr>
              <w:t>ed as a priority in the Pact, with a dedicated section in its first pillar highlighting these crucial objectives.</w:t>
            </w:r>
          </w:p>
          <w:p w14:paraId="5DFD5502" w14:textId="57893D14" w:rsidR="004B1BEB" w:rsidRPr="00D66481" w:rsidRDefault="004B1BEB"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The Commission notes the EESC’s recommendation that the monitoring and evaluation of the Pact should remain participatory, involving civil society (including Palestinian civil society), social partners, and youth representatives. The Pact foresees that regular dialogues will be organi</w:t>
            </w:r>
            <w:r w:rsidR="00603130" w:rsidRPr="00D66481">
              <w:rPr>
                <w:rFonts w:ascii="Times New Roman" w:hAnsi="Times New Roman"/>
                <w:sz w:val="24"/>
                <w:szCs w:val="24"/>
                <w:lang w:val="en-IE"/>
              </w:rPr>
              <w:t>s</w:t>
            </w:r>
            <w:r w:rsidRPr="00D66481">
              <w:rPr>
                <w:rFonts w:ascii="Times New Roman" w:hAnsi="Times New Roman"/>
                <w:sz w:val="24"/>
                <w:szCs w:val="24"/>
                <w:lang w:val="en-IE"/>
              </w:rPr>
              <w:t>ed with civil society organi</w:t>
            </w:r>
            <w:r w:rsidR="00603130" w:rsidRPr="00D66481">
              <w:rPr>
                <w:rFonts w:ascii="Times New Roman" w:hAnsi="Times New Roman"/>
                <w:sz w:val="24"/>
                <w:szCs w:val="24"/>
                <w:lang w:val="en-IE"/>
              </w:rPr>
              <w:t>s</w:t>
            </w:r>
            <w:r w:rsidRPr="00D66481">
              <w:rPr>
                <w:rFonts w:ascii="Times New Roman" w:hAnsi="Times New Roman"/>
                <w:sz w:val="24"/>
                <w:szCs w:val="24"/>
                <w:lang w:val="en-IE"/>
              </w:rPr>
              <w:t>ations, including academia, researchers, social, cultural, and economic actors, as well as the business community. These dialogues will be central to ensuring transparency, feedback, and shared ownership of the initiatives. Additionally, the proposed initiatives will be transposed into a dedicated action plan, with implementation assessed jointly with southern Mediterranean partners. The Commission is committed to keeping the EESC duly informed throughout the process.</w:t>
            </w:r>
          </w:p>
          <w:p w14:paraId="5AB317C0" w14:textId="77777777" w:rsidR="004B1BEB" w:rsidRPr="00D66481" w:rsidRDefault="004B1BEB"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Furthermore, the Pact aims to accelerate digital connectivity in the region, with a strong focus on the rollout of secure and trusted networks. These efforts will be complemented by a clear emphasis on upskilling, ensuring that professionals in the region acquire the necessary skills and job opportunities to access decent employment in their respective countries. This dual approach—expanding infrastructure while developing human capital—will provide the foundation for sustainable economic growth and the creation of new opportunities.</w:t>
            </w:r>
          </w:p>
          <w:p w14:paraId="23A2FB6A" w14:textId="77777777" w:rsidR="004B1BEB" w:rsidRPr="00D66481" w:rsidRDefault="004B1BEB"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The Euro-Mediterranean Youth Assembly, once established, will offer vital guidance for the continued development and implementation of the Pact’s initiatives. This participatory platform will be instrumental in shaping the Pact's direction and ensuring that the perspectives of young people are at the forefront of the region’s future.</w:t>
            </w:r>
          </w:p>
          <w:p w14:paraId="6DBB6A97" w14:textId="3A8DCBDC" w:rsidR="00C43102" w:rsidRPr="00D66481" w:rsidRDefault="00C43102"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 xml:space="preserve">Importantly, the </w:t>
            </w:r>
            <w:r w:rsidR="00603130" w:rsidRPr="00D66481">
              <w:rPr>
                <w:rFonts w:ascii="Times New Roman" w:hAnsi="Times New Roman"/>
                <w:sz w:val="24"/>
                <w:szCs w:val="24"/>
                <w:lang w:val="en-IE"/>
              </w:rPr>
              <w:t xml:space="preserve">Mediterranean University initiative </w:t>
            </w:r>
            <w:r w:rsidRPr="00D66481">
              <w:rPr>
                <w:rFonts w:ascii="Times New Roman" w:hAnsi="Times New Roman"/>
                <w:sz w:val="24"/>
                <w:szCs w:val="24"/>
                <w:lang w:val="en-IE"/>
              </w:rPr>
              <w:t>will support joint higher education programs, involving universities from both EU Member States and southern Mediterranean partners.</w:t>
            </w:r>
            <w:r w:rsidR="00113F0A" w:rsidRPr="00D66481">
              <w:rPr>
                <w:rFonts w:ascii="Times New Roman" w:hAnsi="Times New Roman"/>
                <w:sz w:val="24"/>
                <w:szCs w:val="24"/>
                <w:lang w:val="en-IE"/>
              </w:rPr>
              <w:t xml:space="preserve"> </w:t>
            </w:r>
            <w:r w:rsidRPr="00D66481">
              <w:rPr>
                <w:rFonts w:ascii="Times New Roman" w:hAnsi="Times New Roman"/>
                <w:sz w:val="24"/>
                <w:szCs w:val="24"/>
                <w:lang w:val="en-IE"/>
              </w:rPr>
              <w:t xml:space="preserve">Universities will be chosen based on academic expertise, experience, financial capacity, and commitment to sustaining international joint programs and accreditation. This </w:t>
            </w:r>
            <w:r w:rsidR="00113F0A" w:rsidRPr="00D66481">
              <w:rPr>
                <w:rFonts w:ascii="Times New Roman" w:hAnsi="Times New Roman"/>
                <w:sz w:val="24"/>
                <w:szCs w:val="24"/>
                <w:lang w:val="en-IE"/>
              </w:rPr>
              <w:t xml:space="preserve">initiative </w:t>
            </w:r>
            <w:r w:rsidRPr="00D66481">
              <w:rPr>
                <w:rFonts w:ascii="Times New Roman" w:hAnsi="Times New Roman"/>
                <w:sz w:val="24"/>
                <w:szCs w:val="24"/>
                <w:lang w:val="en-IE"/>
              </w:rPr>
              <w:t xml:space="preserve">will be supported by enhanced Erasmus+ and Marie </w:t>
            </w:r>
            <w:proofErr w:type="spellStart"/>
            <w:r w:rsidRPr="00D66481">
              <w:rPr>
                <w:rFonts w:ascii="Times New Roman" w:hAnsi="Times New Roman"/>
                <w:sz w:val="24"/>
                <w:szCs w:val="24"/>
                <w:lang w:val="en-IE"/>
              </w:rPr>
              <w:t>Skłodowska</w:t>
            </w:r>
            <w:proofErr w:type="spellEnd"/>
            <w:r w:rsidRPr="00D66481">
              <w:rPr>
                <w:rFonts w:ascii="Times New Roman" w:hAnsi="Times New Roman"/>
                <w:sz w:val="24"/>
                <w:szCs w:val="24"/>
                <w:lang w:val="en-IE"/>
              </w:rPr>
              <w:t xml:space="preserve">-Curie mobility schemes and the gradual creation of </w:t>
            </w:r>
            <w:r w:rsidR="00113F0A" w:rsidRPr="00D66481">
              <w:rPr>
                <w:rFonts w:ascii="Times New Roman" w:hAnsi="Times New Roman"/>
                <w:sz w:val="24"/>
                <w:szCs w:val="24"/>
                <w:lang w:val="en-IE"/>
              </w:rPr>
              <w:t xml:space="preserve">a </w:t>
            </w:r>
            <w:r w:rsidRPr="00D66481">
              <w:rPr>
                <w:rFonts w:ascii="Times New Roman" w:hAnsi="Times New Roman"/>
                <w:sz w:val="24"/>
                <w:szCs w:val="24"/>
                <w:lang w:val="en-IE"/>
              </w:rPr>
              <w:t>Mediterranean University as a long-term institutional framework.</w:t>
            </w:r>
          </w:p>
          <w:p w14:paraId="7A0E0F8D" w14:textId="1A25B7C6" w:rsidR="0003241A" w:rsidRDefault="004B1BEB"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 xml:space="preserve">Finally, </w:t>
            </w:r>
            <w:r w:rsidR="0003241A">
              <w:rPr>
                <w:rFonts w:ascii="Times New Roman" w:hAnsi="Times New Roman"/>
                <w:sz w:val="24"/>
                <w:szCs w:val="24"/>
                <w:lang w:val="en-IE"/>
              </w:rPr>
              <w:t>a</w:t>
            </w:r>
            <w:proofErr w:type="spellStart"/>
            <w:r w:rsidR="0003241A" w:rsidRPr="0003241A">
              <w:rPr>
                <w:rFonts w:ascii="Times New Roman" w:hAnsi="Times New Roman"/>
                <w:sz w:val="24"/>
                <w:szCs w:val="24"/>
              </w:rPr>
              <w:t>ll</w:t>
            </w:r>
            <w:proofErr w:type="spellEnd"/>
            <w:r w:rsidR="0003241A" w:rsidRPr="0003241A">
              <w:rPr>
                <w:rFonts w:ascii="Times New Roman" w:hAnsi="Times New Roman"/>
                <w:sz w:val="24"/>
                <w:szCs w:val="24"/>
              </w:rPr>
              <w:t xml:space="preserve"> relevant EU financial instruments will be mobilised to support the implementation of the Pact, </w:t>
            </w:r>
            <w:r w:rsidR="0003241A" w:rsidRPr="0003241A">
              <w:rPr>
                <w:rFonts w:ascii="Times New Roman" w:hAnsi="Times New Roman"/>
                <w:sz w:val="24"/>
                <w:szCs w:val="24"/>
              </w:rPr>
              <w:lastRenderedPageBreak/>
              <w:t xml:space="preserve">which is aligned with the priorities of NDICI-Global Europe, the Global Gateway and the future Global Europe. </w:t>
            </w:r>
            <w:r w:rsidR="0003241A">
              <w:rPr>
                <w:rFonts w:ascii="Times New Roman" w:hAnsi="Times New Roman"/>
                <w:sz w:val="24"/>
                <w:szCs w:val="24"/>
              </w:rPr>
              <w:t>The Pact also aims to mobilise c</w:t>
            </w:r>
            <w:r w:rsidR="0003241A" w:rsidRPr="0003241A">
              <w:rPr>
                <w:rFonts w:ascii="Times New Roman" w:hAnsi="Times New Roman"/>
                <w:sz w:val="24"/>
                <w:szCs w:val="24"/>
              </w:rPr>
              <w:t>ontributions from EU Member States and southern Mediterranean partners</w:t>
            </w:r>
            <w:r w:rsidR="0003241A">
              <w:rPr>
                <w:rFonts w:ascii="Times New Roman" w:hAnsi="Times New Roman"/>
                <w:sz w:val="24"/>
                <w:szCs w:val="24"/>
              </w:rPr>
              <w:t xml:space="preserve">, as well as </w:t>
            </w:r>
            <w:r w:rsidR="0003241A" w:rsidRPr="0003241A">
              <w:rPr>
                <w:rFonts w:ascii="Times New Roman" w:hAnsi="Times New Roman"/>
                <w:sz w:val="24"/>
                <w:szCs w:val="24"/>
              </w:rPr>
              <w:t>EU Member States’ financial institutions, international financial institutions (IFIs) and private sector funding will be used, with a view to creating opportunities for people and businesses.</w:t>
            </w:r>
          </w:p>
          <w:p w14:paraId="30D14481" w14:textId="5AA26519" w:rsidR="003C32D8" w:rsidRPr="004B1BEB" w:rsidRDefault="004B1BEB" w:rsidP="0053482A">
            <w:pPr>
              <w:widowControl w:val="0"/>
              <w:spacing w:before="120" w:after="120"/>
              <w:jc w:val="both"/>
              <w:rPr>
                <w:rFonts w:ascii="Times New Roman" w:hAnsi="Times New Roman"/>
                <w:sz w:val="24"/>
                <w:szCs w:val="24"/>
                <w:lang w:val="en-IE"/>
              </w:rPr>
            </w:pPr>
            <w:r w:rsidRPr="00D66481">
              <w:rPr>
                <w:rFonts w:ascii="Times New Roman" w:hAnsi="Times New Roman"/>
                <w:sz w:val="24"/>
                <w:szCs w:val="24"/>
                <w:lang w:val="en-IE"/>
              </w:rPr>
              <w:t>This approach will facilitate the reali</w:t>
            </w:r>
            <w:r w:rsidR="00603130" w:rsidRPr="00D66481">
              <w:rPr>
                <w:rFonts w:ascii="Times New Roman" w:hAnsi="Times New Roman"/>
                <w:sz w:val="24"/>
                <w:szCs w:val="24"/>
                <w:lang w:val="en-IE"/>
              </w:rPr>
              <w:t>s</w:t>
            </w:r>
            <w:r w:rsidRPr="00D66481">
              <w:rPr>
                <w:rFonts w:ascii="Times New Roman" w:hAnsi="Times New Roman"/>
                <w:sz w:val="24"/>
                <w:szCs w:val="24"/>
                <w:lang w:val="en-IE"/>
              </w:rPr>
              <w:t xml:space="preserve">ation of the Pact's ambitious objectives, without pre-judging the structure or scope of the next </w:t>
            </w:r>
            <w:r w:rsidR="001B3EAF">
              <w:rPr>
                <w:rFonts w:ascii="Times New Roman" w:hAnsi="Times New Roman"/>
                <w:sz w:val="24"/>
                <w:szCs w:val="24"/>
                <w:lang w:val="en-IE"/>
              </w:rPr>
              <w:t>m</w:t>
            </w:r>
            <w:r w:rsidR="009D4236" w:rsidRPr="004B1BEB">
              <w:rPr>
                <w:rFonts w:ascii="Times New Roman" w:hAnsi="Times New Roman"/>
                <w:sz w:val="24"/>
                <w:szCs w:val="24"/>
                <w:lang w:val="en-IE"/>
              </w:rPr>
              <w:t xml:space="preserve">ultiannual </w:t>
            </w:r>
            <w:r w:rsidR="001B3EAF">
              <w:rPr>
                <w:rFonts w:ascii="Times New Roman" w:hAnsi="Times New Roman"/>
                <w:sz w:val="24"/>
                <w:szCs w:val="24"/>
                <w:lang w:val="en-IE"/>
              </w:rPr>
              <w:t>f</w:t>
            </w:r>
            <w:r w:rsidR="009D4236" w:rsidRPr="004B1BEB">
              <w:rPr>
                <w:rFonts w:ascii="Times New Roman" w:hAnsi="Times New Roman"/>
                <w:sz w:val="24"/>
                <w:szCs w:val="24"/>
                <w:lang w:val="en-IE"/>
              </w:rPr>
              <w:t xml:space="preserve">inancial </w:t>
            </w:r>
            <w:r w:rsidR="001B3EAF">
              <w:rPr>
                <w:rFonts w:ascii="Times New Roman" w:hAnsi="Times New Roman"/>
                <w:sz w:val="24"/>
                <w:szCs w:val="24"/>
                <w:lang w:val="en-IE"/>
              </w:rPr>
              <w:t>f</w:t>
            </w:r>
            <w:r w:rsidR="009D4236" w:rsidRPr="004B1BEB">
              <w:rPr>
                <w:rFonts w:ascii="Times New Roman" w:hAnsi="Times New Roman"/>
                <w:sz w:val="24"/>
                <w:szCs w:val="24"/>
                <w:lang w:val="en-IE"/>
              </w:rPr>
              <w:t xml:space="preserve">ramework </w:t>
            </w:r>
            <w:r w:rsidR="009D4236">
              <w:rPr>
                <w:rFonts w:ascii="Times New Roman" w:hAnsi="Times New Roman"/>
                <w:sz w:val="24"/>
                <w:szCs w:val="24"/>
                <w:lang w:val="en-IE"/>
              </w:rPr>
              <w:t>(</w:t>
            </w:r>
            <w:r w:rsidRPr="00D66481">
              <w:rPr>
                <w:rFonts w:ascii="Times New Roman" w:hAnsi="Times New Roman"/>
                <w:sz w:val="24"/>
                <w:szCs w:val="24"/>
                <w:lang w:val="en-IE"/>
              </w:rPr>
              <w:t>MFF</w:t>
            </w:r>
            <w:r w:rsidR="009D4236">
              <w:rPr>
                <w:rFonts w:ascii="Times New Roman" w:hAnsi="Times New Roman"/>
                <w:sz w:val="24"/>
                <w:szCs w:val="24"/>
                <w:lang w:val="en-IE"/>
              </w:rPr>
              <w:t>)</w:t>
            </w:r>
            <w:r w:rsidRPr="00D66481">
              <w:rPr>
                <w:rFonts w:ascii="Times New Roman" w:hAnsi="Times New Roman"/>
                <w:sz w:val="24"/>
                <w:szCs w:val="24"/>
                <w:lang w:val="en-IE"/>
              </w:rPr>
              <w:t>.</w:t>
            </w:r>
          </w:p>
        </w:tc>
      </w:tr>
    </w:tbl>
    <w:p w14:paraId="6AF07B14" w14:textId="26AEAB66" w:rsidR="004F6117" w:rsidRPr="0053482A" w:rsidRDefault="004F6117" w:rsidP="0053482A">
      <w:pPr>
        <w:widowControl w:val="0"/>
        <w:spacing w:after="0" w:line="240" w:lineRule="auto"/>
        <w:ind w:left="-709"/>
        <w:rPr>
          <w:rFonts w:ascii="Times New Roman" w:hAnsi="Times New Roman"/>
          <w:bCs/>
          <w:sz w:val="16"/>
          <w:szCs w:val="16"/>
        </w:rPr>
      </w:pPr>
    </w:p>
    <w:sectPr w:rsidR="004F6117" w:rsidRPr="005348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0B34" w14:textId="77777777" w:rsidR="004F56EF" w:rsidRDefault="004F56EF" w:rsidP="00FF63EA">
      <w:pPr>
        <w:spacing w:after="0" w:line="240" w:lineRule="auto"/>
      </w:pPr>
      <w:r>
        <w:separator/>
      </w:r>
    </w:p>
  </w:endnote>
  <w:endnote w:type="continuationSeparator" w:id="0">
    <w:p w14:paraId="596BBCB3" w14:textId="77777777" w:rsidR="004F56EF" w:rsidRDefault="004F56EF"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63BE" w14:textId="77777777" w:rsidR="004F56EF" w:rsidRDefault="004F56EF" w:rsidP="00FF63EA">
      <w:pPr>
        <w:spacing w:after="0" w:line="240" w:lineRule="auto"/>
      </w:pPr>
      <w:r>
        <w:separator/>
      </w:r>
    </w:p>
  </w:footnote>
  <w:footnote w:type="continuationSeparator" w:id="0">
    <w:p w14:paraId="595C90F2" w14:textId="77777777" w:rsidR="004F56EF" w:rsidRDefault="004F56EF" w:rsidP="00FF63EA">
      <w:pPr>
        <w:spacing w:after="0" w:line="240" w:lineRule="auto"/>
      </w:pPr>
      <w:r>
        <w:continuationSeparator/>
      </w:r>
    </w:p>
  </w:footnote>
  <w:footnote w:id="1">
    <w:p w14:paraId="4D4378AF" w14:textId="2D7E3F94" w:rsidR="009D4236" w:rsidRPr="004840DA" w:rsidRDefault="009D4236" w:rsidP="004840DA">
      <w:pPr>
        <w:pStyle w:val="FootnoteText"/>
        <w:widowControl w:val="0"/>
        <w:ind w:left="-142" w:right="-567" w:hanging="284"/>
        <w:jc w:val="both"/>
        <w:rPr>
          <w:rFonts w:ascii="Times New Roman" w:hAnsi="Times New Roman"/>
          <w:lang w:val="en-IE"/>
        </w:rPr>
      </w:pPr>
      <w:r w:rsidRPr="004840DA">
        <w:rPr>
          <w:rStyle w:val="FootnoteReference"/>
          <w:rFonts w:ascii="Times New Roman" w:hAnsi="Times New Roman"/>
        </w:rPr>
        <w:footnoteRef/>
      </w:r>
      <w:r w:rsidRPr="004840DA">
        <w:rPr>
          <w:rFonts w:ascii="Times New Roman" w:hAnsi="Times New Roman"/>
        </w:rPr>
        <w:t xml:space="preserve"> </w:t>
      </w:r>
      <w:r w:rsidR="001B3EAF" w:rsidRPr="004840DA">
        <w:rPr>
          <w:rFonts w:ascii="Times New Roman" w:hAnsi="Times New Roman"/>
        </w:rPr>
        <w:tab/>
      </w:r>
      <w:r w:rsidRPr="001B3EAF">
        <w:rPr>
          <w:rFonts w:ascii="Times New Roman" w:hAnsi="Times New Roman"/>
          <w:lang w:val="en-IE"/>
        </w:rPr>
        <w:t>The Pact for the Mediterranean (</w:t>
      </w:r>
      <w:hyperlink r:id="rId1" w:history="1">
        <w:r w:rsidR="001B3EAF" w:rsidRPr="001B3EAF">
          <w:rPr>
            <w:rStyle w:val="Hyperlink"/>
            <w:rFonts w:ascii="Times New Roman" w:hAnsi="Times New Roman"/>
            <w:lang w:val="en-IE"/>
          </w:rPr>
          <w:t>https://north-africa-middle-east-gulf.ec.europa.eu/what-we-do/pact-mediterranean_en</w:t>
        </w:r>
      </w:hyperlink>
      <w:r w:rsidR="001B3EAF">
        <w:rPr>
          <w:rFonts w:ascii="Times New Roman" w:hAnsi="Times New Roman"/>
          <w:lang w:val="en-IE"/>
        </w:rPr>
        <w:t>)</w:t>
      </w:r>
      <w:r w:rsidRPr="001B3EAF">
        <w:rPr>
          <w:rFonts w:ascii="Times New Roman" w:hAnsi="Times New Roman"/>
          <w:lang w:val="en-IE"/>
        </w:rPr>
        <w:t>.</w:t>
      </w:r>
    </w:p>
  </w:footnote>
  <w:footnote w:id="2">
    <w:p w14:paraId="50778B0A" w14:textId="6538E844" w:rsidR="009D4236" w:rsidRPr="004840DA" w:rsidRDefault="009D4236" w:rsidP="004840DA">
      <w:pPr>
        <w:pStyle w:val="FootnoteText"/>
        <w:widowControl w:val="0"/>
        <w:ind w:left="-142" w:right="-567" w:hanging="284"/>
        <w:jc w:val="both"/>
        <w:rPr>
          <w:rFonts w:ascii="Times New Roman" w:hAnsi="Times New Roman"/>
          <w:lang w:val="en-IE"/>
        </w:rPr>
      </w:pPr>
      <w:r w:rsidRPr="004840DA">
        <w:rPr>
          <w:rStyle w:val="FootnoteReference"/>
          <w:rFonts w:ascii="Times New Roman" w:hAnsi="Times New Roman"/>
        </w:rPr>
        <w:footnoteRef/>
      </w:r>
      <w:r w:rsidRPr="004840DA">
        <w:rPr>
          <w:rFonts w:ascii="Times New Roman" w:hAnsi="Times New Roman"/>
        </w:rPr>
        <w:t xml:space="preserve"> </w:t>
      </w:r>
      <w:r w:rsidR="001B3EAF" w:rsidRPr="004840DA">
        <w:rPr>
          <w:rFonts w:ascii="Times New Roman" w:hAnsi="Times New Roman"/>
        </w:rPr>
        <w:tab/>
      </w:r>
      <w:proofErr w:type="gramStart"/>
      <w:r w:rsidRPr="001B3EAF">
        <w:rPr>
          <w:rFonts w:ascii="Times New Roman" w:hAnsi="Times New Roman"/>
          <w:lang w:val="en-IE"/>
        </w:rPr>
        <w:t>JOIN(</w:t>
      </w:r>
      <w:proofErr w:type="gramEnd"/>
      <w:r w:rsidRPr="001B3EAF">
        <w:rPr>
          <w:rFonts w:ascii="Times New Roman" w:hAnsi="Times New Roman"/>
          <w:lang w:val="en-IE"/>
        </w:rPr>
        <w:t>2021)</w:t>
      </w:r>
      <w:r w:rsidR="001B3EAF" w:rsidRPr="001B3EAF">
        <w:rPr>
          <w:rFonts w:ascii="Times New Roman" w:hAnsi="Times New Roman"/>
          <w:lang w:val="en-IE"/>
        </w:rPr>
        <w:t xml:space="preserve"> </w:t>
      </w:r>
      <w:r w:rsidRPr="001B3EAF">
        <w:rPr>
          <w:rFonts w:ascii="Times New Roman" w:hAnsi="Times New Roman"/>
          <w:lang w:val="en-IE"/>
        </w:rPr>
        <w:t>2 final (</w:t>
      </w:r>
      <w:hyperlink r:id="rId2" w:history="1">
        <w:r w:rsidR="001B3EAF" w:rsidRPr="001B3EAF">
          <w:rPr>
            <w:rStyle w:val="Hyperlink"/>
            <w:rFonts w:ascii="Times New Roman" w:hAnsi="Times New Roman"/>
            <w:lang w:val="en-IE"/>
          </w:rPr>
          <w:t>https://eur-lex.europa.eu/legal-content/EN/TXT/?uri=celex:52021JC0002</w:t>
        </w:r>
      </w:hyperlink>
      <w:r w:rsidR="001B3EAF">
        <w:rPr>
          <w:rFonts w:ascii="Times New Roman" w:hAnsi="Times New Roman"/>
          <w:lang w:val="en-IE"/>
        </w:rPr>
        <w:t>)</w:t>
      </w:r>
      <w:r w:rsidRPr="001B3EAF">
        <w:rPr>
          <w:rFonts w:ascii="Times New Roman" w:hAnsi="Times New Roman"/>
          <w:lang w:val="en-IE"/>
        </w:rPr>
        <w:t>.</w:t>
      </w:r>
    </w:p>
  </w:footnote>
  <w:footnote w:id="3">
    <w:p w14:paraId="36373919" w14:textId="43C23A0E" w:rsidR="00690A6C" w:rsidRPr="004840DA" w:rsidRDefault="00690A6C" w:rsidP="004840DA">
      <w:pPr>
        <w:pStyle w:val="FootnoteText"/>
        <w:widowControl w:val="0"/>
        <w:ind w:left="-142" w:right="-567" w:hanging="284"/>
        <w:jc w:val="both"/>
        <w:rPr>
          <w:rFonts w:ascii="Times New Roman" w:hAnsi="Times New Roman"/>
        </w:rPr>
      </w:pPr>
      <w:r w:rsidRPr="004840DA">
        <w:rPr>
          <w:rStyle w:val="FootnoteReference"/>
          <w:rFonts w:ascii="Times New Roman" w:hAnsi="Times New Roman"/>
        </w:rPr>
        <w:footnoteRef/>
      </w:r>
      <w:r w:rsidRPr="004840DA">
        <w:rPr>
          <w:rFonts w:ascii="Times New Roman" w:hAnsi="Times New Roman"/>
        </w:rPr>
        <w:t xml:space="preserve"> </w:t>
      </w:r>
      <w:r w:rsidRPr="004840DA">
        <w:rPr>
          <w:rFonts w:ascii="Times New Roman" w:hAnsi="Times New Roman"/>
        </w:rPr>
        <w:tab/>
      </w:r>
      <w:r w:rsidRPr="001B3EAF">
        <w:rPr>
          <w:rFonts w:ascii="Times New Roman" w:hAnsi="Times New Roman"/>
          <w:lang w:val="en-IE"/>
        </w:rPr>
        <w:t>PE 41 (2021) INIT</w:t>
      </w:r>
      <w:r w:rsidRPr="004840DA">
        <w:rPr>
          <w:rFonts w:ascii="Times New Roman" w:hAnsi="Times New Roman"/>
        </w:rPr>
        <w:t xml:space="preserve"> (</w:t>
      </w:r>
      <w:hyperlink r:id="rId3" w:history="1">
        <w:r w:rsidRPr="001B3EAF">
          <w:rPr>
            <w:rStyle w:val="Hyperlink"/>
            <w:rFonts w:ascii="Times New Roman" w:hAnsi="Times New Roman"/>
          </w:rPr>
          <w:t>http://data.europa.eu/eli/reg/2021/947/oj</w:t>
        </w:r>
      </w:hyperlink>
      <w:r w:rsidRPr="001B3EAF">
        <w:rPr>
          <w:rFonts w:ascii="Times New Roman" w:hAnsi="Times New Roman"/>
          <w:lang w:val="en-IE"/>
        </w:rPr>
        <w:t>).</w:t>
      </w:r>
    </w:p>
  </w:footnote>
  <w:footnote w:id="4">
    <w:p w14:paraId="631C44D1" w14:textId="3EAEB272" w:rsidR="009D4236" w:rsidRPr="004840DA" w:rsidRDefault="00690A6C" w:rsidP="004840DA">
      <w:pPr>
        <w:pStyle w:val="FootnoteText"/>
        <w:widowControl w:val="0"/>
        <w:ind w:left="-142" w:right="-567" w:hanging="284"/>
        <w:jc w:val="both"/>
        <w:rPr>
          <w:rFonts w:ascii="Times New Roman" w:hAnsi="Times New Roman"/>
          <w:lang w:val="en-IE"/>
        </w:rPr>
      </w:pPr>
      <w:r w:rsidRPr="001B3EAF">
        <w:rPr>
          <w:rFonts w:ascii="Times New Roman" w:hAnsi="Times New Roman"/>
        </w:rPr>
        <w:t xml:space="preserve"> </w:t>
      </w:r>
      <w:r w:rsidR="009D4236" w:rsidRPr="004840DA">
        <w:rPr>
          <w:rStyle w:val="FootnoteReference"/>
          <w:rFonts w:ascii="Times New Roman" w:hAnsi="Times New Roman"/>
        </w:rPr>
        <w:footnoteRef/>
      </w:r>
      <w:r w:rsidR="009D4236" w:rsidRPr="004840DA">
        <w:rPr>
          <w:rFonts w:ascii="Times New Roman" w:hAnsi="Times New Roman"/>
        </w:rPr>
        <w:t xml:space="preserve"> </w:t>
      </w:r>
      <w:r w:rsidRPr="004840DA">
        <w:rPr>
          <w:rFonts w:ascii="Times New Roman" w:hAnsi="Times New Roman"/>
        </w:rPr>
        <w:tab/>
      </w:r>
      <w:proofErr w:type="gramStart"/>
      <w:r w:rsidR="009D4236" w:rsidRPr="001B3EAF">
        <w:rPr>
          <w:rFonts w:ascii="Times New Roman" w:hAnsi="Times New Roman"/>
          <w:lang w:val="en-IE"/>
        </w:rPr>
        <w:t>JOIN(</w:t>
      </w:r>
      <w:proofErr w:type="gramEnd"/>
      <w:r w:rsidR="009D4236" w:rsidRPr="001B3EAF">
        <w:rPr>
          <w:rFonts w:ascii="Times New Roman" w:hAnsi="Times New Roman"/>
          <w:lang w:val="en-IE"/>
        </w:rPr>
        <w:t>2021)30 final (</w:t>
      </w:r>
      <w:hyperlink r:id="rId4" w:history="1">
        <w:r w:rsidRPr="001B3EAF">
          <w:rPr>
            <w:rStyle w:val="Hyperlink"/>
            <w:rFonts w:ascii="Times New Roman" w:hAnsi="Times New Roman"/>
            <w:lang w:val="en-IE"/>
          </w:rPr>
          <w:t>https://eur-lex.europa.eu/legal-content/EN/TXT/?uri=celex:52021JC0030</w:t>
        </w:r>
      </w:hyperlink>
      <w:r w:rsidRPr="001B3EAF">
        <w:rPr>
          <w:rFonts w:ascii="Times New Roman" w:hAnsi="Times New Roman"/>
          <w:lang w:val="en-IE"/>
        </w:rPr>
        <w:t>)</w:t>
      </w:r>
      <w:r w:rsidR="009D4236" w:rsidRPr="001B3EAF">
        <w:rPr>
          <w:rFonts w:ascii="Times New Roman" w:hAnsi="Times New Roman"/>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E89"/>
    <w:multiLevelType w:val="hybridMultilevel"/>
    <w:tmpl w:val="233AF3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2C86DB6"/>
    <w:multiLevelType w:val="multilevel"/>
    <w:tmpl w:val="52EC7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13EE5"/>
    <w:multiLevelType w:val="multilevel"/>
    <w:tmpl w:val="312A6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3659693">
    <w:abstractNumId w:val="1"/>
  </w:num>
  <w:num w:numId="2" w16cid:durableId="289827186">
    <w:abstractNumId w:val="0"/>
  </w:num>
  <w:num w:numId="3" w16cid:durableId="85083507">
    <w:abstractNumId w:val="1"/>
  </w:num>
  <w:num w:numId="4" w16cid:durableId="74812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12A37"/>
    <w:rsid w:val="0003241A"/>
    <w:rsid w:val="00046B15"/>
    <w:rsid w:val="00050DC7"/>
    <w:rsid w:val="00052222"/>
    <w:rsid w:val="00057131"/>
    <w:rsid w:val="00076109"/>
    <w:rsid w:val="00077C4F"/>
    <w:rsid w:val="000E6863"/>
    <w:rsid w:val="000F5FD8"/>
    <w:rsid w:val="00113F0A"/>
    <w:rsid w:val="001167C0"/>
    <w:rsid w:val="00135C2A"/>
    <w:rsid w:val="00154FC6"/>
    <w:rsid w:val="001648F8"/>
    <w:rsid w:val="00167360"/>
    <w:rsid w:val="001A75F3"/>
    <w:rsid w:val="001B0E0B"/>
    <w:rsid w:val="001B3EAF"/>
    <w:rsid w:val="001B7FE8"/>
    <w:rsid w:val="001C4138"/>
    <w:rsid w:val="001C5391"/>
    <w:rsid w:val="001F10DD"/>
    <w:rsid w:val="001F2EC6"/>
    <w:rsid w:val="001F65D0"/>
    <w:rsid w:val="00217E59"/>
    <w:rsid w:val="002462DC"/>
    <w:rsid w:val="0028162D"/>
    <w:rsid w:val="00282E80"/>
    <w:rsid w:val="002E10F8"/>
    <w:rsid w:val="002F03FA"/>
    <w:rsid w:val="003004D2"/>
    <w:rsid w:val="003253B5"/>
    <w:rsid w:val="003349A3"/>
    <w:rsid w:val="00336A71"/>
    <w:rsid w:val="003424B1"/>
    <w:rsid w:val="00364C7E"/>
    <w:rsid w:val="003755E9"/>
    <w:rsid w:val="003762E4"/>
    <w:rsid w:val="00377967"/>
    <w:rsid w:val="00386143"/>
    <w:rsid w:val="00394A94"/>
    <w:rsid w:val="003B58DC"/>
    <w:rsid w:val="003C32D8"/>
    <w:rsid w:val="003F1F89"/>
    <w:rsid w:val="003F686E"/>
    <w:rsid w:val="00432DBE"/>
    <w:rsid w:val="00442552"/>
    <w:rsid w:val="00455A1C"/>
    <w:rsid w:val="004601F9"/>
    <w:rsid w:val="004634B2"/>
    <w:rsid w:val="004675B5"/>
    <w:rsid w:val="004743B3"/>
    <w:rsid w:val="004770D6"/>
    <w:rsid w:val="00480B38"/>
    <w:rsid w:val="004840DA"/>
    <w:rsid w:val="0049246C"/>
    <w:rsid w:val="004A7885"/>
    <w:rsid w:val="004B1BEB"/>
    <w:rsid w:val="004C337B"/>
    <w:rsid w:val="004E0664"/>
    <w:rsid w:val="004F56EF"/>
    <w:rsid w:val="004F6117"/>
    <w:rsid w:val="004F63F1"/>
    <w:rsid w:val="004F651E"/>
    <w:rsid w:val="00501356"/>
    <w:rsid w:val="0052596B"/>
    <w:rsid w:val="0053200C"/>
    <w:rsid w:val="0053482A"/>
    <w:rsid w:val="00554D8D"/>
    <w:rsid w:val="00573835"/>
    <w:rsid w:val="00581306"/>
    <w:rsid w:val="005C3105"/>
    <w:rsid w:val="00603130"/>
    <w:rsid w:val="006150C3"/>
    <w:rsid w:val="00626BAD"/>
    <w:rsid w:val="00675DD5"/>
    <w:rsid w:val="00690A6C"/>
    <w:rsid w:val="00692C2F"/>
    <w:rsid w:val="00695797"/>
    <w:rsid w:val="00696A5E"/>
    <w:rsid w:val="006B3B69"/>
    <w:rsid w:val="006D6739"/>
    <w:rsid w:val="006E0AE5"/>
    <w:rsid w:val="00701705"/>
    <w:rsid w:val="00702FDD"/>
    <w:rsid w:val="007209B5"/>
    <w:rsid w:val="00731084"/>
    <w:rsid w:val="00734613"/>
    <w:rsid w:val="00751910"/>
    <w:rsid w:val="00751E60"/>
    <w:rsid w:val="007547B5"/>
    <w:rsid w:val="00795A9E"/>
    <w:rsid w:val="007A606D"/>
    <w:rsid w:val="007C2214"/>
    <w:rsid w:val="007D7F20"/>
    <w:rsid w:val="007E44F2"/>
    <w:rsid w:val="007F0331"/>
    <w:rsid w:val="00807B48"/>
    <w:rsid w:val="008135CA"/>
    <w:rsid w:val="0081584F"/>
    <w:rsid w:val="00841249"/>
    <w:rsid w:val="00855168"/>
    <w:rsid w:val="008703BF"/>
    <w:rsid w:val="008838A6"/>
    <w:rsid w:val="00886BC5"/>
    <w:rsid w:val="008925CE"/>
    <w:rsid w:val="008C4D41"/>
    <w:rsid w:val="00934F66"/>
    <w:rsid w:val="00981F45"/>
    <w:rsid w:val="00994D12"/>
    <w:rsid w:val="009A66B9"/>
    <w:rsid w:val="009B128B"/>
    <w:rsid w:val="009B6CA6"/>
    <w:rsid w:val="009C3BA6"/>
    <w:rsid w:val="009D4236"/>
    <w:rsid w:val="009E08A1"/>
    <w:rsid w:val="00A01CD7"/>
    <w:rsid w:val="00A16F07"/>
    <w:rsid w:val="00A46549"/>
    <w:rsid w:val="00A62C7B"/>
    <w:rsid w:val="00A7709A"/>
    <w:rsid w:val="00A917A0"/>
    <w:rsid w:val="00AA3818"/>
    <w:rsid w:val="00AA4927"/>
    <w:rsid w:val="00AC1972"/>
    <w:rsid w:val="00AC63C1"/>
    <w:rsid w:val="00AE1842"/>
    <w:rsid w:val="00AE3C7C"/>
    <w:rsid w:val="00AF722F"/>
    <w:rsid w:val="00B1351A"/>
    <w:rsid w:val="00B31306"/>
    <w:rsid w:val="00B35D6F"/>
    <w:rsid w:val="00B37D3B"/>
    <w:rsid w:val="00B42814"/>
    <w:rsid w:val="00B831F0"/>
    <w:rsid w:val="00B83936"/>
    <w:rsid w:val="00BC1909"/>
    <w:rsid w:val="00BD6EB7"/>
    <w:rsid w:val="00BE059C"/>
    <w:rsid w:val="00C07660"/>
    <w:rsid w:val="00C43102"/>
    <w:rsid w:val="00C54D27"/>
    <w:rsid w:val="00C76EEB"/>
    <w:rsid w:val="00CC66CE"/>
    <w:rsid w:val="00D01F5A"/>
    <w:rsid w:val="00D1716E"/>
    <w:rsid w:val="00D30439"/>
    <w:rsid w:val="00D33916"/>
    <w:rsid w:val="00D37EE7"/>
    <w:rsid w:val="00D64E05"/>
    <w:rsid w:val="00D66481"/>
    <w:rsid w:val="00D92FD3"/>
    <w:rsid w:val="00DA3B6E"/>
    <w:rsid w:val="00DB7581"/>
    <w:rsid w:val="00DC70C1"/>
    <w:rsid w:val="00DD4538"/>
    <w:rsid w:val="00E3317F"/>
    <w:rsid w:val="00E4707D"/>
    <w:rsid w:val="00E83C12"/>
    <w:rsid w:val="00E904C8"/>
    <w:rsid w:val="00EA1BBF"/>
    <w:rsid w:val="00EB29A9"/>
    <w:rsid w:val="00EB77D2"/>
    <w:rsid w:val="00EC7636"/>
    <w:rsid w:val="00F316C8"/>
    <w:rsid w:val="00F31DB5"/>
    <w:rsid w:val="00F632DE"/>
    <w:rsid w:val="00F73010"/>
    <w:rsid w:val="00F735E4"/>
    <w:rsid w:val="00FB7834"/>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Bullet 1"/>
    <w:basedOn w:val="Normal"/>
    <w:qFormat/>
    <w:rsid w:val="00D30439"/>
    <w:pPr>
      <w:spacing w:after="120" w:line="240" w:lineRule="auto"/>
      <w:ind w:left="720"/>
      <w:contextualSpacing/>
    </w:pPr>
    <w:rPr>
      <w:rFonts w:ascii="Arial" w:eastAsia="Times New Roman" w:hAnsi="Arial"/>
      <w:szCs w:val="24"/>
      <w:lang w:eastAsia="en-GB"/>
    </w:rPr>
  </w:style>
  <w:style w:type="paragraph" w:styleId="FootnoteText">
    <w:name w:val="footnote text"/>
    <w:basedOn w:val="Normal"/>
    <w:link w:val="FootnoteTextChar"/>
    <w:uiPriority w:val="99"/>
    <w:unhideWhenUsed/>
    <w:rsid w:val="002E10F8"/>
    <w:pPr>
      <w:spacing w:after="0" w:line="240" w:lineRule="auto"/>
    </w:pPr>
    <w:rPr>
      <w:sz w:val="20"/>
      <w:szCs w:val="20"/>
    </w:rPr>
  </w:style>
  <w:style w:type="character" w:customStyle="1" w:styleId="FootnoteTextChar">
    <w:name w:val="Footnote Text Char"/>
    <w:basedOn w:val="DefaultParagraphFont"/>
    <w:link w:val="FootnoteText"/>
    <w:uiPriority w:val="99"/>
    <w:rsid w:val="002E10F8"/>
    <w:rPr>
      <w:lang w:eastAsia="en-US"/>
    </w:rPr>
  </w:style>
  <w:style w:type="character" w:styleId="FootnoteReference">
    <w:name w:val="footnote reference"/>
    <w:basedOn w:val="DefaultParagraphFont"/>
    <w:uiPriority w:val="99"/>
    <w:semiHidden/>
    <w:unhideWhenUsed/>
    <w:rsid w:val="002E10F8"/>
    <w:rPr>
      <w:vertAlign w:val="superscript"/>
    </w:rPr>
  </w:style>
  <w:style w:type="character" w:styleId="Hyperlink">
    <w:name w:val="Hyperlink"/>
    <w:basedOn w:val="DefaultParagraphFont"/>
    <w:uiPriority w:val="99"/>
    <w:unhideWhenUsed/>
    <w:rsid w:val="002E10F8"/>
    <w:rPr>
      <w:color w:val="0563C1" w:themeColor="hyperlink"/>
      <w:u w:val="single"/>
    </w:rPr>
  </w:style>
  <w:style w:type="character" w:styleId="UnresolvedMention">
    <w:name w:val="Unresolved Mention"/>
    <w:basedOn w:val="DefaultParagraphFont"/>
    <w:uiPriority w:val="99"/>
    <w:semiHidden/>
    <w:unhideWhenUsed/>
    <w:rsid w:val="002E10F8"/>
    <w:rPr>
      <w:color w:val="605E5C"/>
      <w:shd w:val="clear" w:color="auto" w:fill="E1DFDD"/>
    </w:rPr>
  </w:style>
  <w:style w:type="paragraph" w:styleId="Revision">
    <w:name w:val="Revision"/>
    <w:hidden/>
    <w:uiPriority w:val="99"/>
    <w:semiHidden/>
    <w:rsid w:val="00282E80"/>
    <w:rPr>
      <w:sz w:val="22"/>
      <w:szCs w:val="22"/>
      <w:lang w:eastAsia="en-US"/>
    </w:rPr>
  </w:style>
  <w:style w:type="character" w:styleId="FollowedHyperlink">
    <w:name w:val="FollowedHyperlink"/>
    <w:basedOn w:val="DefaultParagraphFont"/>
    <w:uiPriority w:val="99"/>
    <w:semiHidden/>
    <w:unhideWhenUsed/>
    <w:rsid w:val="00282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5902">
      <w:bodyDiv w:val="1"/>
      <w:marLeft w:val="0"/>
      <w:marRight w:val="0"/>
      <w:marTop w:val="0"/>
      <w:marBottom w:val="0"/>
      <w:divBdr>
        <w:top w:val="none" w:sz="0" w:space="0" w:color="auto"/>
        <w:left w:val="none" w:sz="0" w:space="0" w:color="auto"/>
        <w:bottom w:val="none" w:sz="0" w:space="0" w:color="auto"/>
        <w:right w:val="none" w:sz="0" w:space="0" w:color="auto"/>
      </w:divBdr>
    </w:div>
    <w:div w:id="229578581">
      <w:bodyDiv w:val="1"/>
      <w:marLeft w:val="0"/>
      <w:marRight w:val="0"/>
      <w:marTop w:val="0"/>
      <w:marBottom w:val="0"/>
      <w:divBdr>
        <w:top w:val="none" w:sz="0" w:space="0" w:color="auto"/>
        <w:left w:val="none" w:sz="0" w:space="0" w:color="auto"/>
        <w:bottom w:val="none" w:sz="0" w:space="0" w:color="auto"/>
        <w:right w:val="none" w:sz="0" w:space="0" w:color="auto"/>
      </w:divBdr>
    </w:div>
    <w:div w:id="497430262">
      <w:bodyDiv w:val="1"/>
      <w:marLeft w:val="0"/>
      <w:marRight w:val="0"/>
      <w:marTop w:val="0"/>
      <w:marBottom w:val="0"/>
      <w:divBdr>
        <w:top w:val="none" w:sz="0" w:space="0" w:color="auto"/>
        <w:left w:val="none" w:sz="0" w:space="0" w:color="auto"/>
        <w:bottom w:val="none" w:sz="0" w:space="0" w:color="auto"/>
        <w:right w:val="none" w:sz="0" w:space="0" w:color="auto"/>
      </w:divBdr>
    </w:div>
    <w:div w:id="639068042">
      <w:bodyDiv w:val="1"/>
      <w:marLeft w:val="0"/>
      <w:marRight w:val="0"/>
      <w:marTop w:val="0"/>
      <w:marBottom w:val="0"/>
      <w:divBdr>
        <w:top w:val="none" w:sz="0" w:space="0" w:color="auto"/>
        <w:left w:val="none" w:sz="0" w:space="0" w:color="auto"/>
        <w:bottom w:val="none" w:sz="0" w:space="0" w:color="auto"/>
        <w:right w:val="none" w:sz="0" w:space="0" w:color="auto"/>
      </w:divBdr>
    </w:div>
    <w:div w:id="780760619">
      <w:bodyDiv w:val="1"/>
      <w:marLeft w:val="0"/>
      <w:marRight w:val="0"/>
      <w:marTop w:val="0"/>
      <w:marBottom w:val="0"/>
      <w:divBdr>
        <w:top w:val="none" w:sz="0" w:space="0" w:color="auto"/>
        <w:left w:val="none" w:sz="0" w:space="0" w:color="auto"/>
        <w:bottom w:val="none" w:sz="0" w:space="0" w:color="auto"/>
        <w:right w:val="none" w:sz="0" w:space="0" w:color="auto"/>
      </w:divBdr>
    </w:div>
    <w:div w:id="891624176">
      <w:bodyDiv w:val="1"/>
      <w:marLeft w:val="0"/>
      <w:marRight w:val="0"/>
      <w:marTop w:val="0"/>
      <w:marBottom w:val="0"/>
      <w:divBdr>
        <w:top w:val="none" w:sz="0" w:space="0" w:color="auto"/>
        <w:left w:val="none" w:sz="0" w:space="0" w:color="auto"/>
        <w:bottom w:val="none" w:sz="0" w:space="0" w:color="auto"/>
        <w:right w:val="none" w:sz="0" w:space="0" w:color="auto"/>
      </w:divBdr>
    </w:div>
    <w:div w:id="1661302594">
      <w:bodyDiv w:val="1"/>
      <w:marLeft w:val="0"/>
      <w:marRight w:val="0"/>
      <w:marTop w:val="0"/>
      <w:marBottom w:val="0"/>
      <w:divBdr>
        <w:top w:val="none" w:sz="0" w:space="0" w:color="auto"/>
        <w:left w:val="none" w:sz="0" w:space="0" w:color="auto"/>
        <w:bottom w:val="none" w:sz="0" w:space="0" w:color="auto"/>
        <w:right w:val="none" w:sz="0" w:space="0" w:color="auto"/>
      </w:divBdr>
    </w:div>
    <w:div w:id="1902474382">
      <w:bodyDiv w:val="1"/>
      <w:marLeft w:val="0"/>
      <w:marRight w:val="0"/>
      <w:marTop w:val="0"/>
      <w:marBottom w:val="0"/>
      <w:divBdr>
        <w:top w:val="none" w:sz="0" w:space="0" w:color="auto"/>
        <w:left w:val="none" w:sz="0" w:space="0" w:color="auto"/>
        <w:bottom w:val="none" w:sz="0" w:space="0" w:color="auto"/>
        <w:right w:val="none" w:sz="0" w:space="0" w:color="auto"/>
      </w:divBdr>
    </w:div>
    <w:div w:id="1946690878">
      <w:bodyDiv w:val="1"/>
      <w:marLeft w:val="0"/>
      <w:marRight w:val="0"/>
      <w:marTop w:val="0"/>
      <w:marBottom w:val="0"/>
      <w:divBdr>
        <w:top w:val="none" w:sz="0" w:space="0" w:color="auto"/>
        <w:left w:val="none" w:sz="0" w:space="0" w:color="auto"/>
        <w:bottom w:val="none" w:sz="0" w:space="0" w:color="auto"/>
        <w:right w:val="none" w:sz="0" w:space="0" w:color="auto"/>
      </w:divBdr>
    </w:div>
    <w:div w:id="21190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1/947/oj" TargetMode="External"/><Relationship Id="rId2" Type="http://schemas.openxmlformats.org/officeDocument/2006/relationships/hyperlink" Target="https://eur-lex.europa.eu/legal-content/EN/TXT/?uri=celex:52021JC0002" TargetMode="External"/><Relationship Id="rId1" Type="http://schemas.openxmlformats.org/officeDocument/2006/relationships/hyperlink" Target="https://north-africa-middle-east-gulf.ec.europa.eu/what-we-do/pact-mediterranean_en" TargetMode="External"/><Relationship Id="rId4" Type="http://schemas.openxmlformats.org/officeDocument/2006/relationships/hyperlink" Target="https://eur-lex.europa.eu/legal-content/EN/TXT/?uri=celex:52021JC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DB3F7-1309-46F8-B79D-CE58D5F8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6190</Characters>
  <Application>Microsoft Office Word</Application>
  <DocSecurity>0</DocSecurity>
  <Lines>82</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2026-01-20T14:47:00Z</dcterms:created>
  <dcterms:modified xsi:type="dcterms:W3CDTF">2026-01-20T14:47:00Z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