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FF2F17" w:rsidRDefault="00077C4F" w:rsidP="00FF2F17">
      <w:pPr>
        <w:widowControl w:val="0"/>
        <w:spacing w:after="0" w:line="240" w:lineRule="auto"/>
        <w:ind w:left="-426"/>
        <w:rPr>
          <w:rFonts w:ascii="Times New Roman" w:hAnsi="Times New Roman"/>
          <w:bCs/>
          <w:sz w:val="16"/>
          <w:szCs w:val="16"/>
        </w:rPr>
      </w:pPr>
    </w:p>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1A1E60" w14:paraId="7E6372DC" w14:textId="77777777" w:rsidTr="00217E59">
        <w:trPr>
          <w:jc w:val="center"/>
        </w:trPr>
        <w:tc>
          <w:tcPr>
            <w:tcW w:w="9711" w:type="dxa"/>
          </w:tcPr>
          <w:p w14:paraId="3A4EDC3A" w14:textId="637953A3" w:rsidR="001C4138" w:rsidRPr="00AD6233" w:rsidRDefault="001A1E60" w:rsidP="00C4284B">
            <w:pPr>
              <w:widowControl w:val="0"/>
              <w:spacing w:before="120" w:after="120"/>
              <w:rPr>
                <w:rFonts w:ascii="Times New Roman" w:hAnsi="Times New Roman"/>
                <w:b/>
                <w:sz w:val="24"/>
                <w:szCs w:val="24"/>
              </w:rPr>
            </w:pPr>
            <w:r w:rsidRPr="001A1E60">
              <w:rPr>
                <w:rFonts w:ascii="Times New Roman" w:hAnsi="Times New Roman"/>
                <w:b/>
                <w:sz w:val="24"/>
                <w:szCs w:val="24"/>
              </w:rPr>
              <w:t xml:space="preserve">Boosting sustainable growth and quality jobs in </w:t>
            </w:r>
            <w:proofErr w:type="spellStart"/>
            <w:r w:rsidRPr="001A1E60">
              <w:rPr>
                <w:rFonts w:ascii="Times New Roman" w:hAnsi="Times New Roman"/>
                <w:b/>
                <w:sz w:val="24"/>
                <w:szCs w:val="24"/>
              </w:rPr>
              <w:t>Euromed</w:t>
            </w:r>
            <w:proofErr w:type="spellEnd"/>
            <w:r w:rsidRPr="001A1E60">
              <w:rPr>
                <w:rFonts w:ascii="Times New Roman" w:hAnsi="Times New Roman"/>
                <w:b/>
                <w:sz w:val="24"/>
                <w:szCs w:val="24"/>
              </w:rPr>
              <w:t>: promoting entrepreneurship</w:t>
            </w:r>
            <w:r w:rsidR="002C7C39">
              <w:rPr>
                <w:rFonts w:ascii="Times New Roman" w:hAnsi="Times New Roman"/>
                <w:b/>
                <w:sz w:val="24"/>
                <w:szCs w:val="24"/>
              </w:rPr>
              <w:br/>
            </w:r>
            <w:r w:rsidRPr="001A1E60">
              <w:rPr>
                <w:rFonts w:ascii="Times New Roman" w:hAnsi="Times New Roman"/>
                <w:b/>
                <w:sz w:val="24"/>
                <w:szCs w:val="24"/>
              </w:rPr>
              <w:t>and tapping into the potential of women and young people</w:t>
            </w:r>
            <w:r w:rsidR="00C4284B">
              <w:rPr>
                <w:rFonts w:ascii="Times New Roman" w:hAnsi="Times New Roman"/>
                <w:b/>
                <w:sz w:val="24"/>
                <w:szCs w:val="24"/>
              </w:rPr>
              <w:br/>
            </w:r>
            <w:r w:rsidRPr="001A1E60">
              <w:rPr>
                <w:rFonts w:ascii="Times New Roman" w:hAnsi="Times New Roman"/>
                <w:b/>
                <w:sz w:val="24"/>
                <w:szCs w:val="24"/>
              </w:rPr>
              <w:t>(own-initiative opinion)</w:t>
            </w:r>
            <w:r w:rsidR="00AD6233">
              <w:rPr>
                <w:rFonts w:ascii="Times New Roman" w:hAnsi="Times New Roman"/>
                <w:b/>
                <w:sz w:val="24"/>
                <w:szCs w:val="24"/>
              </w:rPr>
              <w:br/>
            </w:r>
            <w:r w:rsidR="001C4138" w:rsidRPr="001A1E60">
              <w:rPr>
                <w:rFonts w:ascii="Times New Roman" w:hAnsi="Times New Roman"/>
                <w:b/>
                <w:sz w:val="24"/>
                <w:szCs w:val="24"/>
                <w:lang w:val="en-IE"/>
              </w:rPr>
              <w:t>EESC-202</w:t>
            </w:r>
            <w:r w:rsidRPr="001A1E60">
              <w:rPr>
                <w:rFonts w:ascii="Times New Roman" w:hAnsi="Times New Roman"/>
                <w:b/>
                <w:sz w:val="24"/>
                <w:szCs w:val="24"/>
                <w:lang w:val="en-IE"/>
              </w:rPr>
              <w:t>5</w:t>
            </w:r>
            <w:r w:rsidR="001C4138" w:rsidRPr="001A1E60">
              <w:rPr>
                <w:rFonts w:ascii="Times New Roman" w:hAnsi="Times New Roman"/>
                <w:b/>
                <w:sz w:val="24"/>
                <w:szCs w:val="24"/>
                <w:lang w:val="en-IE"/>
              </w:rPr>
              <w:t>-</w:t>
            </w:r>
            <w:r w:rsidRPr="001A1E60">
              <w:rPr>
                <w:rFonts w:ascii="Times New Roman" w:hAnsi="Times New Roman"/>
                <w:b/>
                <w:sz w:val="24"/>
                <w:szCs w:val="24"/>
                <w:lang w:val="en-IE"/>
              </w:rPr>
              <w:t xml:space="preserve">00913 </w:t>
            </w:r>
            <w:r w:rsidR="00F127EC" w:rsidRPr="00AD6233">
              <w:rPr>
                <w:rFonts w:ascii="Times New Roman" w:hAnsi="Times New Roman"/>
                <w:b/>
                <w:sz w:val="24"/>
                <w:szCs w:val="24"/>
                <w:lang w:val="en-IE"/>
              </w:rPr>
              <w:t>–</w:t>
            </w:r>
            <w:r w:rsidR="001C4138" w:rsidRPr="001A1E60">
              <w:rPr>
                <w:rFonts w:ascii="Times New Roman" w:hAnsi="Times New Roman"/>
                <w:b/>
                <w:sz w:val="24"/>
                <w:szCs w:val="24"/>
              </w:rPr>
              <w:t xml:space="preserve"> REX/</w:t>
            </w:r>
            <w:r w:rsidRPr="001A1E60">
              <w:rPr>
                <w:rFonts w:ascii="Times New Roman" w:hAnsi="Times New Roman"/>
                <w:b/>
                <w:sz w:val="24"/>
                <w:szCs w:val="24"/>
              </w:rPr>
              <w:t>604</w:t>
            </w:r>
            <w:r w:rsidR="00AD6233">
              <w:rPr>
                <w:rFonts w:ascii="Times New Roman" w:hAnsi="Times New Roman"/>
                <w:b/>
                <w:sz w:val="24"/>
                <w:szCs w:val="24"/>
              </w:rPr>
              <w:br/>
            </w:r>
            <w:r w:rsidRPr="001A1E60">
              <w:rPr>
                <w:rFonts w:ascii="Times New Roman" w:hAnsi="Times New Roman"/>
                <w:b/>
                <w:sz w:val="24"/>
                <w:szCs w:val="24"/>
              </w:rPr>
              <w:t>599</w:t>
            </w:r>
            <w:r w:rsidRPr="001A1E60">
              <w:rPr>
                <w:rFonts w:ascii="Times New Roman" w:hAnsi="Times New Roman"/>
                <w:b/>
                <w:sz w:val="24"/>
                <w:szCs w:val="24"/>
                <w:vertAlign w:val="superscript"/>
              </w:rPr>
              <w:t>th</w:t>
            </w:r>
            <w:r w:rsidRPr="001A1E60">
              <w:rPr>
                <w:rFonts w:ascii="Times New Roman" w:hAnsi="Times New Roman"/>
                <w:b/>
                <w:sz w:val="24"/>
                <w:szCs w:val="24"/>
              </w:rPr>
              <w:t xml:space="preserve"> </w:t>
            </w:r>
            <w:r w:rsidR="001C4138" w:rsidRPr="001A1E60">
              <w:rPr>
                <w:rFonts w:ascii="Times New Roman" w:hAnsi="Times New Roman"/>
                <w:b/>
                <w:sz w:val="24"/>
                <w:szCs w:val="24"/>
              </w:rPr>
              <w:t xml:space="preserve">Plenary Session – </w:t>
            </w:r>
            <w:r w:rsidRPr="001A1E60">
              <w:rPr>
                <w:rFonts w:ascii="Times New Roman" w:hAnsi="Times New Roman"/>
                <w:b/>
                <w:sz w:val="24"/>
                <w:szCs w:val="24"/>
              </w:rPr>
              <w:t>September 2025</w:t>
            </w:r>
            <w:r w:rsidR="00AD6233">
              <w:rPr>
                <w:rFonts w:ascii="Times New Roman" w:hAnsi="Times New Roman"/>
                <w:b/>
                <w:sz w:val="24"/>
                <w:szCs w:val="24"/>
              </w:rPr>
              <w:br/>
            </w:r>
            <w:r w:rsidR="001C4138" w:rsidRPr="00AD6233">
              <w:rPr>
                <w:rFonts w:ascii="Times New Roman" w:hAnsi="Times New Roman"/>
                <w:b/>
                <w:sz w:val="24"/>
                <w:szCs w:val="24"/>
                <w:lang w:val="en-IE"/>
              </w:rPr>
              <w:t>Rapporteur</w:t>
            </w:r>
            <w:r w:rsidRPr="00AD6233">
              <w:rPr>
                <w:rFonts w:ascii="Times New Roman" w:hAnsi="Times New Roman"/>
                <w:b/>
                <w:sz w:val="24"/>
                <w:szCs w:val="24"/>
                <w:lang w:val="en-IE"/>
              </w:rPr>
              <w:t>: Milena ANGELOVA</w:t>
            </w:r>
            <w:r w:rsidR="00C4284B">
              <w:rPr>
                <w:rFonts w:ascii="Times New Roman" w:hAnsi="Times New Roman"/>
                <w:b/>
                <w:sz w:val="24"/>
                <w:szCs w:val="24"/>
                <w:lang w:val="en-IE"/>
              </w:rPr>
              <w:t xml:space="preserve"> (BG-I)</w:t>
            </w:r>
            <w:r w:rsidR="00AD6233">
              <w:rPr>
                <w:rFonts w:ascii="Times New Roman" w:hAnsi="Times New Roman"/>
                <w:b/>
                <w:sz w:val="24"/>
                <w:szCs w:val="24"/>
              </w:rPr>
              <w:br/>
            </w:r>
            <w:r w:rsidRPr="00AD6233">
              <w:rPr>
                <w:rFonts w:ascii="Times New Roman" w:hAnsi="Times New Roman"/>
                <w:b/>
                <w:sz w:val="24"/>
                <w:szCs w:val="24"/>
                <w:lang w:val="en-IE"/>
              </w:rPr>
              <w:t>Co-rapporteur: Ioannis VARDAKASTANIS</w:t>
            </w:r>
            <w:r w:rsidR="00C4284B">
              <w:rPr>
                <w:rFonts w:ascii="Times New Roman" w:hAnsi="Times New Roman"/>
                <w:b/>
                <w:sz w:val="24"/>
                <w:szCs w:val="24"/>
                <w:lang w:val="en-IE"/>
              </w:rPr>
              <w:t xml:space="preserve"> (EL-III)</w:t>
            </w:r>
            <w:r w:rsidR="00AD6233">
              <w:rPr>
                <w:rFonts w:ascii="Times New Roman" w:hAnsi="Times New Roman"/>
                <w:b/>
                <w:sz w:val="24"/>
                <w:szCs w:val="24"/>
              </w:rPr>
              <w:br/>
            </w:r>
            <w:r w:rsidR="001C4138" w:rsidRPr="00AD6233">
              <w:rPr>
                <w:rFonts w:ascii="Times New Roman" w:hAnsi="Times New Roman"/>
                <w:b/>
                <w:sz w:val="24"/>
                <w:szCs w:val="24"/>
                <w:lang w:val="en-IE"/>
              </w:rPr>
              <w:t>DG</w:t>
            </w:r>
            <w:r w:rsidRPr="00AD6233">
              <w:rPr>
                <w:rFonts w:ascii="Times New Roman" w:hAnsi="Times New Roman"/>
                <w:b/>
                <w:sz w:val="24"/>
                <w:szCs w:val="24"/>
                <w:lang w:val="en-IE"/>
              </w:rPr>
              <w:t xml:space="preserve"> MENA</w:t>
            </w:r>
            <w:r w:rsidR="001C4138" w:rsidRPr="00AD6233">
              <w:rPr>
                <w:rFonts w:ascii="Times New Roman" w:hAnsi="Times New Roman"/>
                <w:b/>
                <w:sz w:val="24"/>
                <w:szCs w:val="24"/>
                <w:lang w:val="en-IE"/>
              </w:rPr>
              <w:t xml:space="preserve"> – </w:t>
            </w:r>
            <w:r w:rsidRPr="00AD6233">
              <w:rPr>
                <w:rFonts w:ascii="Times New Roman" w:hAnsi="Times New Roman"/>
                <w:b/>
                <w:sz w:val="24"/>
                <w:szCs w:val="24"/>
                <w:lang w:val="en-IE"/>
              </w:rPr>
              <w:t xml:space="preserve">Commissioner </w:t>
            </w:r>
            <w:r w:rsidR="00C4284B" w:rsidRPr="00C4284B">
              <w:rPr>
                <w:rFonts w:ascii="Times New Roman" w:hAnsi="Times New Roman"/>
                <w:b/>
                <w:bCs/>
                <w:sz w:val="24"/>
                <w:szCs w:val="24"/>
              </w:rPr>
              <w:t>Š</w:t>
            </w:r>
            <w:r w:rsidRPr="00AD6233">
              <w:rPr>
                <w:rFonts w:ascii="Times New Roman" w:hAnsi="Times New Roman"/>
                <w:b/>
                <w:sz w:val="24"/>
                <w:szCs w:val="24"/>
                <w:lang w:val="en-IE"/>
              </w:rPr>
              <w:t>UICA</w:t>
            </w:r>
          </w:p>
        </w:tc>
      </w:tr>
      <w:tr w:rsidR="00734613" w:rsidRPr="00442552" w14:paraId="1937071F" w14:textId="77777777" w:rsidTr="00217E59">
        <w:trPr>
          <w:jc w:val="center"/>
        </w:trPr>
        <w:tc>
          <w:tcPr>
            <w:tcW w:w="9711" w:type="dxa"/>
          </w:tcPr>
          <w:p w14:paraId="1E50B4DB" w14:textId="3AA8D24E" w:rsidR="00734613" w:rsidRPr="00695797" w:rsidRDefault="004F6117" w:rsidP="00C4284B">
            <w:pPr>
              <w:widowControl w:val="0"/>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C4284B">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217E59">
        <w:trPr>
          <w:jc w:val="center"/>
        </w:trPr>
        <w:tc>
          <w:tcPr>
            <w:tcW w:w="9711" w:type="dxa"/>
          </w:tcPr>
          <w:p w14:paraId="75DEFE47" w14:textId="453F1309" w:rsidR="00861F9F" w:rsidRDefault="001A1E60" w:rsidP="00C4284B">
            <w:pPr>
              <w:widowControl w:val="0"/>
              <w:spacing w:before="120" w:after="120"/>
              <w:jc w:val="both"/>
              <w:rPr>
                <w:rFonts w:ascii="Times New Roman" w:hAnsi="Times New Roman"/>
                <w:sz w:val="24"/>
                <w:szCs w:val="24"/>
              </w:rPr>
            </w:pPr>
            <w:r>
              <w:rPr>
                <w:rFonts w:ascii="Times New Roman" w:hAnsi="Times New Roman"/>
                <w:sz w:val="24"/>
                <w:szCs w:val="24"/>
              </w:rPr>
              <w:t>T</w:t>
            </w:r>
            <w:r w:rsidRPr="001A1E60">
              <w:rPr>
                <w:rFonts w:ascii="Times New Roman" w:hAnsi="Times New Roman"/>
                <w:sz w:val="24"/>
                <w:szCs w:val="24"/>
              </w:rPr>
              <w:t xml:space="preserve">he Commission welcomes the </w:t>
            </w:r>
            <w:r w:rsidR="00C4284B">
              <w:rPr>
                <w:rFonts w:ascii="Times New Roman" w:hAnsi="Times New Roman"/>
                <w:sz w:val="24"/>
                <w:szCs w:val="24"/>
              </w:rPr>
              <w:t xml:space="preserve">Committee’s </w:t>
            </w:r>
            <w:r w:rsidRPr="001A1E60">
              <w:rPr>
                <w:rFonts w:ascii="Times New Roman" w:hAnsi="Times New Roman"/>
                <w:sz w:val="24"/>
                <w:szCs w:val="24"/>
              </w:rPr>
              <w:t>own-initiative opinion on ‘</w:t>
            </w:r>
            <w:r w:rsidR="00861F9F" w:rsidRPr="00861F9F">
              <w:rPr>
                <w:rFonts w:ascii="Times New Roman" w:hAnsi="Times New Roman"/>
                <w:i/>
                <w:iCs/>
                <w:sz w:val="24"/>
                <w:szCs w:val="24"/>
              </w:rPr>
              <w:t xml:space="preserve">Boosting sustainable growth and quality jobs in </w:t>
            </w:r>
            <w:proofErr w:type="spellStart"/>
            <w:r w:rsidR="00861F9F" w:rsidRPr="00861F9F">
              <w:rPr>
                <w:rFonts w:ascii="Times New Roman" w:hAnsi="Times New Roman"/>
                <w:i/>
                <w:iCs/>
                <w:sz w:val="24"/>
                <w:szCs w:val="24"/>
              </w:rPr>
              <w:t>Euromed</w:t>
            </w:r>
            <w:proofErr w:type="spellEnd"/>
            <w:r w:rsidR="00861F9F">
              <w:rPr>
                <w:rFonts w:ascii="Times New Roman" w:hAnsi="Times New Roman"/>
                <w:sz w:val="24"/>
                <w:szCs w:val="24"/>
              </w:rPr>
              <w:t xml:space="preserve">’ </w:t>
            </w:r>
            <w:r w:rsidRPr="001A1E60">
              <w:rPr>
                <w:rFonts w:ascii="Times New Roman" w:hAnsi="Times New Roman"/>
                <w:sz w:val="24"/>
                <w:szCs w:val="24"/>
              </w:rPr>
              <w:t xml:space="preserve">and commends the </w:t>
            </w:r>
            <w:r w:rsidR="00C4284B">
              <w:rPr>
                <w:rFonts w:ascii="Times New Roman" w:hAnsi="Times New Roman"/>
                <w:sz w:val="24"/>
                <w:szCs w:val="24"/>
              </w:rPr>
              <w:t xml:space="preserve">Committee’s </w:t>
            </w:r>
            <w:r w:rsidR="00861F9F">
              <w:rPr>
                <w:rFonts w:ascii="Times New Roman" w:hAnsi="Times New Roman"/>
                <w:sz w:val="24"/>
                <w:szCs w:val="24"/>
              </w:rPr>
              <w:t xml:space="preserve">efforts to outline avenues to support entrepreneurship and </w:t>
            </w:r>
            <w:r w:rsidR="00740B6D">
              <w:rPr>
                <w:rFonts w:ascii="Times New Roman" w:hAnsi="Times New Roman"/>
                <w:sz w:val="24"/>
                <w:szCs w:val="24"/>
              </w:rPr>
              <w:t>decent</w:t>
            </w:r>
            <w:r w:rsidR="00861F9F">
              <w:rPr>
                <w:rFonts w:ascii="Times New Roman" w:hAnsi="Times New Roman"/>
                <w:sz w:val="24"/>
                <w:szCs w:val="24"/>
              </w:rPr>
              <w:t xml:space="preserve"> job creation</w:t>
            </w:r>
            <w:r w:rsidR="000E2E45">
              <w:rPr>
                <w:rFonts w:ascii="Times New Roman" w:hAnsi="Times New Roman"/>
                <w:sz w:val="24"/>
                <w:szCs w:val="24"/>
              </w:rPr>
              <w:t>, particularly for women and youth</w:t>
            </w:r>
            <w:r w:rsidR="00861F9F">
              <w:rPr>
                <w:rFonts w:ascii="Times New Roman" w:hAnsi="Times New Roman"/>
                <w:sz w:val="24"/>
                <w:szCs w:val="24"/>
              </w:rPr>
              <w:t xml:space="preserve"> in the Mediterranean region</w:t>
            </w:r>
            <w:r w:rsidR="000E2E45">
              <w:rPr>
                <w:rFonts w:ascii="Times New Roman" w:hAnsi="Times New Roman"/>
                <w:sz w:val="24"/>
                <w:szCs w:val="24"/>
              </w:rPr>
              <w:t>,</w:t>
            </w:r>
            <w:r w:rsidR="00861F9F">
              <w:rPr>
                <w:rFonts w:ascii="Times New Roman" w:hAnsi="Times New Roman"/>
                <w:sz w:val="24"/>
                <w:szCs w:val="24"/>
              </w:rPr>
              <w:t xml:space="preserve"> as a contribution to the Pact for the Mediterranean.</w:t>
            </w:r>
          </w:p>
          <w:p w14:paraId="4F4B260B" w14:textId="19A44126" w:rsidR="001A1E60" w:rsidRDefault="001A1E60" w:rsidP="00C4284B">
            <w:pPr>
              <w:widowControl w:val="0"/>
              <w:spacing w:before="120" w:after="120"/>
              <w:jc w:val="both"/>
              <w:rPr>
                <w:rFonts w:ascii="Times New Roman" w:hAnsi="Times New Roman"/>
                <w:sz w:val="24"/>
                <w:szCs w:val="24"/>
              </w:rPr>
            </w:pPr>
            <w:r w:rsidRPr="001A1E60">
              <w:rPr>
                <w:rFonts w:ascii="Times New Roman" w:hAnsi="Times New Roman"/>
                <w:sz w:val="24"/>
                <w:szCs w:val="24"/>
              </w:rPr>
              <w:t>The opinion’s conclusions align with the Agenda for the Mediterranean outlined in the Joint Communication of 2021</w:t>
            </w:r>
            <w:r w:rsidR="000E2E45">
              <w:rPr>
                <w:rStyle w:val="FootnoteReference"/>
                <w:rFonts w:ascii="Times New Roman" w:hAnsi="Times New Roman"/>
                <w:sz w:val="24"/>
                <w:szCs w:val="24"/>
              </w:rPr>
              <w:footnoteReference w:id="1"/>
            </w:r>
            <w:r w:rsidRPr="001A1E60">
              <w:rPr>
                <w:rFonts w:ascii="Times New Roman" w:hAnsi="Times New Roman"/>
                <w:sz w:val="24"/>
                <w:szCs w:val="24"/>
              </w:rPr>
              <w:t xml:space="preserve">, </w:t>
            </w:r>
            <w:r w:rsidR="00861F9F">
              <w:rPr>
                <w:rFonts w:ascii="Times New Roman" w:hAnsi="Times New Roman"/>
                <w:sz w:val="24"/>
                <w:szCs w:val="24"/>
              </w:rPr>
              <w:t>which underlines the priorit</w:t>
            </w:r>
            <w:r w:rsidR="00B137D5">
              <w:rPr>
                <w:rFonts w:ascii="Times New Roman" w:hAnsi="Times New Roman"/>
                <w:sz w:val="24"/>
                <w:szCs w:val="24"/>
              </w:rPr>
              <w:t>ies</w:t>
            </w:r>
            <w:r w:rsidR="00861F9F">
              <w:rPr>
                <w:rFonts w:ascii="Times New Roman" w:hAnsi="Times New Roman"/>
                <w:sz w:val="24"/>
                <w:szCs w:val="24"/>
              </w:rPr>
              <w:t xml:space="preserve"> for inclusive economies and </w:t>
            </w:r>
            <w:r w:rsidR="00740B6D">
              <w:rPr>
                <w:rFonts w:ascii="Times New Roman" w:hAnsi="Times New Roman"/>
                <w:sz w:val="24"/>
                <w:szCs w:val="24"/>
              </w:rPr>
              <w:t xml:space="preserve">decent </w:t>
            </w:r>
            <w:r w:rsidR="00861F9F">
              <w:rPr>
                <w:rFonts w:ascii="Times New Roman" w:hAnsi="Times New Roman"/>
                <w:sz w:val="24"/>
                <w:szCs w:val="24"/>
              </w:rPr>
              <w:t>job creation particularly for women and youth. The opinion also aligns with the shared priorities with Mediterranean partners under the Union for the Mediterranean</w:t>
            </w:r>
            <w:r w:rsidR="00F127EC">
              <w:rPr>
                <w:rFonts w:ascii="Times New Roman" w:hAnsi="Times New Roman"/>
                <w:sz w:val="24"/>
                <w:szCs w:val="24"/>
              </w:rPr>
              <w:t> </w:t>
            </w:r>
            <w:r w:rsidR="00C4284B">
              <w:rPr>
                <w:rFonts w:ascii="Times New Roman" w:hAnsi="Times New Roman"/>
                <w:sz w:val="24"/>
                <w:szCs w:val="24"/>
              </w:rPr>
              <w:t>(</w:t>
            </w:r>
            <w:proofErr w:type="spellStart"/>
            <w:r w:rsidR="00C4284B">
              <w:rPr>
                <w:rFonts w:ascii="Times New Roman" w:hAnsi="Times New Roman"/>
                <w:sz w:val="24"/>
                <w:szCs w:val="24"/>
              </w:rPr>
              <w:t>UfM</w:t>
            </w:r>
            <w:proofErr w:type="spellEnd"/>
            <w:r w:rsidR="00C4284B">
              <w:rPr>
                <w:rFonts w:ascii="Times New Roman" w:hAnsi="Times New Roman"/>
                <w:sz w:val="24"/>
                <w:szCs w:val="24"/>
              </w:rPr>
              <w:t xml:space="preserve">) </w:t>
            </w:r>
            <w:r w:rsidR="00861F9F">
              <w:rPr>
                <w:rFonts w:ascii="Times New Roman" w:hAnsi="Times New Roman"/>
                <w:sz w:val="24"/>
                <w:szCs w:val="24"/>
              </w:rPr>
              <w:t xml:space="preserve">framework, notably the </w:t>
            </w:r>
            <w:proofErr w:type="spellStart"/>
            <w:r w:rsidR="00861F9F">
              <w:rPr>
                <w:rFonts w:ascii="Times New Roman" w:hAnsi="Times New Roman"/>
                <w:sz w:val="24"/>
                <w:szCs w:val="24"/>
              </w:rPr>
              <w:t>UfM</w:t>
            </w:r>
            <w:proofErr w:type="spellEnd"/>
            <w:r w:rsidR="00861F9F">
              <w:rPr>
                <w:rFonts w:ascii="Times New Roman" w:hAnsi="Times New Roman"/>
                <w:sz w:val="24"/>
                <w:szCs w:val="24"/>
              </w:rPr>
              <w:t xml:space="preserve"> Ministerial Declaration on Employment and Labour of 2022</w:t>
            </w:r>
            <w:r w:rsidR="00F62F80">
              <w:rPr>
                <w:rStyle w:val="FootnoteReference"/>
                <w:rFonts w:ascii="Times New Roman" w:hAnsi="Times New Roman"/>
                <w:sz w:val="24"/>
                <w:szCs w:val="24"/>
              </w:rPr>
              <w:footnoteReference w:id="2"/>
            </w:r>
            <w:r w:rsidR="00861F9F">
              <w:rPr>
                <w:rFonts w:ascii="Times New Roman" w:hAnsi="Times New Roman"/>
                <w:sz w:val="24"/>
                <w:szCs w:val="24"/>
              </w:rPr>
              <w:t xml:space="preserve">, and the </w:t>
            </w:r>
            <w:proofErr w:type="spellStart"/>
            <w:r w:rsidR="00861F9F">
              <w:rPr>
                <w:rFonts w:ascii="Times New Roman" w:hAnsi="Times New Roman"/>
                <w:sz w:val="24"/>
                <w:szCs w:val="24"/>
              </w:rPr>
              <w:t>UfM</w:t>
            </w:r>
            <w:proofErr w:type="spellEnd"/>
            <w:r w:rsidR="002C7C39">
              <w:rPr>
                <w:rFonts w:ascii="Times New Roman" w:hAnsi="Times New Roman"/>
                <w:sz w:val="24"/>
                <w:szCs w:val="24"/>
              </w:rPr>
              <w:t> </w:t>
            </w:r>
            <w:r w:rsidR="00861F9F">
              <w:rPr>
                <w:rFonts w:ascii="Times New Roman" w:hAnsi="Times New Roman"/>
                <w:sz w:val="24"/>
                <w:szCs w:val="24"/>
              </w:rPr>
              <w:t>Ministerial Declaration on Strengthening the Role of Women in Society of 2022</w:t>
            </w:r>
            <w:r w:rsidR="00F62F80">
              <w:rPr>
                <w:rStyle w:val="FootnoteReference"/>
                <w:rFonts w:ascii="Times New Roman" w:hAnsi="Times New Roman"/>
                <w:sz w:val="24"/>
                <w:szCs w:val="24"/>
              </w:rPr>
              <w:footnoteReference w:id="3"/>
            </w:r>
            <w:r w:rsidR="00861F9F">
              <w:rPr>
                <w:rFonts w:ascii="Times New Roman" w:hAnsi="Times New Roman"/>
                <w:sz w:val="24"/>
                <w:szCs w:val="24"/>
              </w:rPr>
              <w:t>.</w:t>
            </w:r>
          </w:p>
          <w:p w14:paraId="62C6EA97" w14:textId="608AABF9" w:rsidR="00D94B9F" w:rsidRDefault="002C7947" w:rsidP="00C4284B">
            <w:pPr>
              <w:widowControl w:val="0"/>
              <w:spacing w:before="120" w:after="120"/>
              <w:jc w:val="both"/>
              <w:rPr>
                <w:rFonts w:ascii="Times New Roman" w:hAnsi="Times New Roman"/>
                <w:sz w:val="24"/>
                <w:szCs w:val="24"/>
              </w:rPr>
            </w:pPr>
            <w:r>
              <w:rPr>
                <w:rFonts w:ascii="Times New Roman" w:hAnsi="Times New Roman"/>
                <w:sz w:val="24"/>
                <w:szCs w:val="24"/>
              </w:rPr>
              <w:t xml:space="preserve">On 16 October 2025, the Commission and </w:t>
            </w:r>
            <w:r w:rsidRPr="002C7947">
              <w:rPr>
                <w:rFonts w:ascii="Times New Roman" w:hAnsi="Times New Roman"/>
                <w:sz w:val="24"/>
                <w:szCs w:val="24"/>
              </w:rPr>
              <w:t>the High Representative set out a new ambitious strategy to strengthen EU relations with its Southern Mediterranean partners</w:t>
            </w:r>
            <w:r>
              <w:rPr>
                <w:rFonts w:ascii="Times New Roman" w:hAnsi="Times New Roman"/>
                <w:sz w:val="24"/>
                <w:szCs w:val="24"/>
              </w:rPr>
              <w:t>, with the Joint Communication on the Pact for the Mediterranean</w:t>
            </w:r>
            <w:r w:rsidR="00E41F6F">
              <w:rPr>
                <w:rStyle w:val="FootnoteReference"/>
                <w:rFonts w:ascii="Times New Roman" w:hAnsi="Times New Roman"/>
                <w:sz w:val="24"/>
                <w:szCs w:val="24"/>
              </w:rPr>
              <w:footnoteReference w:id="4"/>
            </w:r>
            <w:r>
              <w:rPr>
                <w:rFonts w:ascii="Times New Roman" w:hAnsi="Times New Roman"/>
                <w:sz w:val="24"/>
                <w:szCs w:val="24"/>
              </w:rPr>
              <w:t>.</w:t>
            </w:r>
            <w:r w:rsidR="00752B2F">
              <w:rPr>
                <w:rFonts w:ascii="Times New Roman" w:hAnsi="Times New Roman"/>
                <w:sz w:val="24"/>
                <w:szCs w:val="24"/>
              </w:rPr>
              <w:t xml:space="preserve"> </w:t>
            </w:r>
            <w:r>
              <w:rPr>
                <w:rFonts w:ascii="Times New Roman" w:hAnsi="Times New Roman"/>
                <w:sz w:val="24"/>
                <w:szCs w:val="24"/>
              </w:rPr>
              <w:t xml:space="preserve">The objective is to </w:t>
            </w:r>
            <w:r w:rsidR="00EB7CEA" w:rsidRPr="00EB7CEA">
              <w:rPr>
                <w:rFonts w:ascii="Times New Roman" w:hAnsi="Times New Roman"/>
                <w:sz w:val="24"/>
                <w:szCs w:val="24"/>
              </w:rPr>
              <w:t>deepen the EU-Southern Mediterranean partnership</w:t>
            </w:r>
            <w:r w:rsidR="00EB7CEA">
              <w:rPr>
                <w:rFonts w:ascii="Times New Roman" w:hAnsi="Times New Roman"/>
                <w:sz w:val="24"/>
                <w:szCs w:val="24"/>
              </w:rPr>
              <w:t xml:space="preserve"> and foster prosperity and stability in the region. The Pact put</w:t>
            </w:r>
            <w:r w:rsidR="00975478">
              <w:rPr>
                <w:rFonts w:ascii="Times New Roman" w:hAnsi="Times New Roman"/>
                <w:sz w:val="24"/>
                <w:szCs w:val="24"/>
              </w:rPr>
              <w:t>s</w:t>
            </w:r>
            <w:r w:rsidR="00EB7CEA">
              <w:rPr>
                <w:rFonts w:ascii="Times New Roman" w:hAnsi="Times New Roman"/>
                <w:sz w:val="24"/>
                <w:szCs w:val="24"/>
              </w:rPr>
              <w:t xml:space="preserve"> forward concrete initiatives developed through a consultative process and focused on</w:t>
            </w:r>
            <w:r w:rsidR="00752B2F">
              <w:rPr>
                <w:rFonts w:ascii="Times New Roman" w:hAnsi="Times New Roman"/>
                <w:sz w:val="24"/>
                <w:szCs w:val="24"/>
              </w:rPr>
              <w:t xml:space="preserve"> areas relevant to the opinion, including</w:t>
            </w:r>
            <w:r w:rsidR="00A900AF" w:rsidRPr="00D659CD">
              <w:rPr>
                <w:rFonts w:ascii="Times New Roman" w:hAnsi="Times New Roman"/>
                <w:sz w:val="24"/>
                <w:szCs w:val="24"/>
              </w:rPr>
              <w:t>:</w:t>
            </w:r>
            <w:r w:rsidR="00EB7CEA">
              <w:rPr>
                <w:rFonts w:ascii="Times New Roman" w:hAnsi="Times New Roman"/>
                <w:sz w:val="24"/>
                <w:szCs w:val="24"/>
              </w:rPr>
              <w:t xml:space="preserve"> </w:t>
            </w:r>
            <w:r w:rsidR="00EB7CEA" w:rsidRPr="00EB7CEA">
              <w:rPr>
                <w:rFonts w:ascii="Times New Roman" w:hAnsi="Times New Roman"/>
                <w:sz w:val="24"/>
                <w:szCs w:val="24"/>
              </w:rPr>
              <w:t>(1)</w:t>
            </w:r>
            <w:r w:rsidR="00D659CD">
              <w:rPr>
                <w:rFonts w:ascii="Times New Roman" w:hAnsi="Times New Roman"/>
                <w:sz w:val="24"/>
                <w:szCs w:val="24"/>
              </w:rPr>
              <w:t> </w:t>
            </w:r>
            <w:r w:rsidR="00EB7CEA" w:rsidRPr="00EB7CEA">
              <w:rPr>
                <w:rFonts w:ascii="Times New Roman" w:hAnsi="Times New Roman"/>
                <w:sz w:val="24"/>
                <w:szCs w:val="24"/>
              </w:rPr>
              <w:t>people</w:t>
            </w:r>
            <w:r w:rsidR="00F62F80">
              <w:rPr>
                <w:rFonts w:ascii="Times New Roman" w:hAnsi="Times New Roman"/>
                <w:sz w:val="24"/>
                <w:szCs w:val="24"/>
              </w:rPr>
              <w:t xml:space="preserve"> </w:t>
            </w:r>
            <w:r w:rsidR="00D659CD" w:rsidRPr="00EB7CEA">
              <w:rPr>
                <w:rFonts w:ascii="Times New Roman" w:hAnsi="Times New Roman"/>
                <w:sz w:val="24"/>
                <w:szCs w:val="24"/>
              </w:rPr>
              <w:t>–</w:t>
            </w:r>
            <w:r w:rsidR="00F62F80">
              <w:rPr>
                <w:rFonts w:ascii="Times New Roman" w:hAnsi="Times New Roman"/>
                <w:sz w:val="24"/>
                <w:szCs w:val="24"/>
              </w:rPr>
              <w:t xml:space="preserve"> </w:t>
            </w:r>
            <w:r w:rsidR="00EB7CEA" w:rsidRPr="00EB7CEA">
              <w:rPr>
                <w:rFonts w:ascii="Times New Roman" w:hAnsi="Times New Roman"/>
                <w:sz w:val="24"/>
                <w:szCs w:val="24"/>
              </w:rPr>
              <w:t>higher education, talents, vocational training, skills and jobs, mobility, culture, tourism and sport; (2)</w:t>
            </w:r>
            <w:r w:rsidR="00D659CD">
              <w:rPr>
                <w:rFonts w:ascii="Times New Roman" w:hAnsi="Times New Roman"/>
                <w:sz w:val="24"/>
                <w:szCs w:val="24"/>
              </w:rPr>
              <w:t> </w:t>
            </w:r>
            <w:r w:rsidR="00EB7CEA" w:rsidRPr="00EB7CEA">
              <w:rPr>
                <w:rFonts w:ascii="Times New Roman" w:hAnsi="Times New Roman"/>
                <w:sz w:val="24"/>
                <w:szCs w:val="24"/>
              </w:rPr>
              <w:t>stronger and more integrated economies –</w:t>
            </w:r>
            <w:r w:rsidR="00F62F80">
              <w:rPr>
                <w:rFonts w:ascii="Times New Roman" w:hAnsi="Times New Roman"/>
                <w:sz w:val="24"/>
                <w:szCs w:val="24"/>
              </w:rPr>
              <w:t xml:space="preserve"> </w:t>
            </w:r>
            <w:r w:rsidR="00EB7CEA" w:rsidRPr="00EB7CEA">
              <w:rPr>
                <w:rFonts w:ascii="Times New Roman" w:hAnsi="Times New Roman"/>
                <w:sz w:val="24"/>
                <w:szCs w:val="24"/>
              </w:rPr>
              <w:t>trade, investments, job creation, energy and clean technologies, water resilience and climate preparedness, agriculture, digital and transport connectivity; and (3)</w:t>
            </w:r>
            <w:r w:rsidR="00D659CD">
              <w:rPr>
                <w:rFonts w:ascii="Times New Roman" w:hAnsi="Times New Roman"/>
                <w:sz w:val="24"/>
                <w:szCs w:val="24"/>
              </w:rPr>
              <w:t> </w:t>
            </w:r>
            <w:r w:rsidR="00EB7CEA" w:rsidRPr="00EB7CEA">
              <w:rPr>
                <w:rFonts w:ascii="Times New Roman" w:hAnsi="Times New Roman"/>
                <w:sz w:val="24"/>
                <w:szCs w:val="24"/>
              </w:rPr>
              <w:t>security, resilience and migration management.</w:t>
            </w:r>
          </w:p>
          <w:p w14:paraId="71401616" w14:textId="3FB4E6D1" w:rsidR="005D1403" w:rsidRDefault="00D94B9F" w:rsidP="00C4284B">
            <w:pPr>
              <w:widowControl w:val="0"/>
              <w:spacing w:before="120" w:after="120"/>
              <w:jc w:val="both"/>
              <w:rPr>
                <w:rFonts w:ascii="Times New Roman" w:hAnsi="Times New Roman"/>
                <w:sz w:val="24"/>
                <w:szCs w:val="24"/>
              </w:rPr>
            </w:pPr>
            <w:r>
              <w:rPr>
                <w:rFonts w:ascii="Times New Roman" w:hAnsi="Times New Roman"/>
                <w:sz w:val="24"/>
                <w:szCs w:val="24"/>
              </w:rPr>
              <w:t xml:space="preserve">The Commission has been extensively promoting </w:t>
            </w:r>
            <w:r w:rsidR="00740B6D">
              <w:rPr>
                <w:rFonts w:ascii="Times New Roman" w:hAnsi="Times New Roman"/>
                <w:sz w:val="24"/>
                <w:szCs w:val="24"/>
              </w:rPr>
              <w:t xml:space="preserve">decent </w:t>
            </w:r>
            <w:r w:rsidR="00666423">
              <w:rPr>
                <w:rFonts w:ascii="Times New Roman" w:hAnsi="Times New Roman"/>
                <w:sz w:val="24"/>
                <w:szCs w:val="24"/>
              </w:rPr>
              <w:t xml:space="preserve">job creation and sustainable and </w:t>
            </w:r>
            <w:r>
              <w:rPr>
                <w:rFonts w:ascii="Times New Roman" w:hAnsi="Times New Roman"/>
                <w:sz w:val="24"/>
                <w:szCs w:val="24"/>
              </w:rPr>
              <w:t>inclusive economies</w:t>
            </w:r>
            <w:r w:rsidR="00DF485D">
              <w:rPr>
                <w:rFonts w:ascii="Times New Roman" w:hAnsi="Times New Roman"/>
                <w:sz w:val="24"/>
                <w:szCs w:val="24"/>
              </w:rPr>
              <w:t>, as well as education and skills</w:t>
            </w:r>
            <w:r>
              <w:rPr>
                <w:rFonts w:ascii="Times New Roman" w:hAnsi="Times New Roman"/>
                <w:sz w:val="24"/>
                <w:szCs w:val="24"/>
              </w:rPr>
              <w:t xml:space="preserve"> across its </w:t>
            </w:r>
            <w:r w:rsidR="00666423">
              <w:rPr>
                <w:rFonts w:ascii="Times New Roman" w:hAnsi="Times New Roman"/>
                <w:sz w:val="24"/>
                <w:szCs w:val="24"/>
              </w:rPr>
              <w:t xml:space="preserve">regional and bilateral cooperation </w:t>
            </w:r>
            <w:r>
              <w:rPr>
                <w:rFonts w:ascii="Times New Roman" w:hAnsi="Times New Roman"/>
                <w:sz w:val="24"/>
                <w:szCs w:val="24"/>
              </w:rPr>
              <w:t xml:space="preserve">with the </w:t>
            </w:r>
            <w:r w:rsidR="00D659CD">
              <w:rPr>
                <w:rFonts w:ascii="Times New Roman" w:hAnsi="Times New Roman"/>
                <w:sz w:val="24"/>
                <w:szCs w:val="24"/>
              </w:rPr>
              <w:t>Mediterranean (</w:t>
            </w:r>
            <w:r>
              <w:rPr>
                <w:rFonts w:ascii="Times New Roman" w:hAnsi="Times New Roman"/>
                <w:sz w:val="24"/>
                <w:szCs w:val="24"/>
              </w:rPr>
              <w:t>MENA</w:t>
            </w:r>
            <w:r w:rsidR="00D659CD">
              <w:rPr>
                <w:rFonts w:ascii="Times New Roman" w:hAnsi="Times New Roman"/>
                <w:sz w:val="24"/>
                <w:szCs w:val="24"/>
              </w:rPr>
              <w:t>)</w:t>
            </w:r>
            <w:r>
              <w:rPr>
                <w:rFonts w:ascii="Times New Roman" w:hAnsi="Times New Roman"/>
                <w:sz w:val="24"/>
                <w:szCs w:val="24"/>
              </w:rPr>
              <w:t xml:space="preserve"> region</w:t>
            </w:r>
            <w:r w:rsidR="00666423">
              <w:rPr>
                <w:rFonts w:ascii="Times New Roman" w:hAnsi="Times New Roman"/>
                <w:sz w:val="24"/>
                <w:szCs w:val="24"/>
              </w:rPr>
              <w:t xml:space="preserve">. Employment, entrepreneurship, skills and inclusive growth are at the core of the regional Team Europe Initiative on </w:t>
            </w:r>
            <w:r w:rsidR="00C53EAD">
              <w:rPr>
                <w:rFonts w:ascii="Times New Roman" w:hAnsi="Times New Roman"/>
                <w:sz w:val="24"/>
                <w:szCs w:val="24"/>
              </w:rPr>
              <w:t>‘</w:t>
            </w:r>
            <w:r w:rsidR="00666423">
              <w:rPr>
                <w:rFonts w:ascii="Times New Roman" w:hAnsi="Times New Roman"/>
                <w:sz w:val="24"/>
                <w:szCs w:val="24"/>
              </w:rPr>
              <w:t xml:space="preserve">Jobs through Trade and Investment </w:t>
            </w:r>
            <w:r w:rsidR="00F62F80">
              <w:rPr>
                <w:rFonts w:ascii="Times New Roman" w:hAnsi="Times New Roman"/>
                <w:sz w:val="24"/>
                <w:szCs w:val="24"/>
              </w:rPr>
              <w:t>in the Southern Neighbourhood</w:t>
            </w:r>
            <w:r w:rsidR="00C53EAD">
              <w:rPr>
                <w:rFonts w:ascii="Times New Roman" w:hAnsi="Times New Roman"/>
                <w:sz w:val="24"/>
                <w:szCs w:val="24"/>
              </w:rPr>
              <w:t>’</w:t>
            </w:r>
            <w:r w:rsidR="00C53EAD">
              <w:rPr>
                <w:rStyle w:val="FootnoteReference"/>
                <w:rFonts w:ascii="Times New Roman" w:hAnsi="Times New Roman"/>
                <w:sz w:val="24"/>
                <w:szCs w:val="24"/>
              </w:rPr>
              <w:footnoteReference w:id="5"/>
            </w:r>
            <w:r w:rsidR="00C53EAD">
              <w:rPr>
                <w:rFonts w:ascii="Times New Roman" w:hAnsi="Times New Roman"/>
                <w:sz w:val="24"/>
                <w:szCs w:val="24"/>
              </w:rPr>
              <w:t>,</w:t>
            </w:r>
            <w:r w:rsidR="00F62F80">
              <w:rPr>
                <w:rFonts w:ascii="Times New Roman" w:hAnsi="Times New Roman"/>
                <w:sz w:val="24"/>
                <w:szCs w:val="24"/>
              </w:rPr>
              <w:t xml:space="preserve"> </w:t>
            </w:r>
            <w:r w:rsidR="00666423">
              <w:rPr>
                <w:rFonts w:ascii="Times New Roman" w:hAnsi="Times New Roman"/>
                <w:sz w:val="24"/>
                <w:szCs w:val="24"/>
              </w:rPr>
              <w:t xml:space="preserve">whereby the </w:t>
            </w:r>
            <w:r w:rsidR="00A30143">
              <w:rPr>
                <w:rFonts w:ascii="Times New Roman" w:hAnsi="Times New Roman"/>
                <w:sz w:val="24"/>
                <w:szCs w:val="24"/>
              </w:rPr>
              <w:t>Commission</w:t>
            </w:r>
            <w:r w:rsidR="00666423">
              <w:rPr>
                <w:rFonts w:ascii="Times New Roman" w:hAnsi="Times New Roman"/>
                <w:sz w:val="24"/>
                <w:szCs w:val="24"/>
              </w:rPr>
              <w:t xml:space="preserve"> join</w:t>
            </w:r>
            <w:r w:rsidR="00DF4295">
              <w:rPr>
                <w:rFonts w:ascii="Times New Roman" w:hAnsi="Times New Roman"/>
                <w:sz w:val="24"/>
                <w:szCs w:val="24"/>
              </w:rPr>
              <w:t>ed</w:t>
            </w:r>
            <w:r w:rsidR="00666423">
              <w:rPr>
                <w:rFonts w:ascii="Times New Roman" w:hAnsi="Times New Roman"/>
                <w:sz w:val="24"/>
                <w:szCs w:val="24"/>
              </w:rPr>
              <w:t xml:space="preserve"> forces with five </w:t>
            </w:r>
            <w:r w:rsidR="00666423">
              <w:rPr>
                <w:rFonts w:ascii="Times New Roman" w:hAnsi="Times New Roman"/>
                <w:sz w:val="24"/>
                <w:szCs w:val="24"/>
              </w:rPr>
              <w:lastRenderedPageBreak/>
              <w:t>EU Member States (France, Germany, Italy, Spain</w:t>
            </w:r>
            <w:r w:rsidR="00DF4295">
              <w:rPr>
                <w:rFonts w:ascii="Times New Roman" w:hAnsi="Times New Roman"/>
                <w:sz w:val="24"/>
                <w:szCs w:val="24"/>
              </w:rPr>
              <w:t xml:space="preserve"> </w:t>
            </w:r>
            <w:r w:rsidR="00D659CD">
              <w:rPr>
                <w:rFonts w:ascii="Times New Roman" w:hAnsi="Times New Roman"/>
                <w:sz w:val="24"/>
                <w:szCs w:val="24"/>
              </w:rPr>
              <w:t>and</w:t>
            </w:r>
            <w:r w:rsidR="00666423">
              <w:rPr>
                <w:rFonts w:ascii="Times New Roman" w:hAnsi="Times New Roman"/>
                <w:sz w:val="24"/>
                <w:szCs w:val="24"/>
              </w:rPr>
              <w:t xml:space="preserve"> Sweden), </w:t>
            </w:r>
            <w:r w:rsidR="00C53EAD">
              <w:rPr>
                <w:rFonts w:ascii="Times New Roman" w:hAnsi="Times New Roman"/>
                <w:sz w:val="24"/>
                <w:szCs w:val="24"/>
              </w:rPr>
              <w:t>the European Investment Bank</w:t>
            </w:r>
            <w:r w:rsidR="00D659CD">
              <w:rPr>
                <w:rFonts w:ascii="Times New Roman" w:hAnsi="Times New Roman"/>
                <w:sz w:val="24"/>
                <w:szCs w:val="24"/>
              </w:rPr>
              <w:t> </w:t>
            </w:r>
            <w:r w:rsidR="00C53EAD">
              <w:rPr>
                <w:rFonts w:ascii="Times New Roman" w:hAnsi="Times New Roman"/>
                <w:sz w:val="24"/>
                <w:szCs w:val="24"/>
              </w:rPr>
              <w:t>(</w:t>
            </w:r>
            <w:r w:rsidR="00666423">
              <w:rPr>
                <w:rFonts w:ascii="Times New Roman" w:hAnsi="Times New Roman"/>
                <w:sz w:val="24"/>
                <w:szCs w:val="24"/>
              </w:rPr>
              <w:t>EIB</w:t>
            </w:r>
            <w:r w:rsidR="00C53EAD">
              <w:rPr>
                <w:rFonts w:ascii="Times New Roman" w:hAnsi="Times New Roman"/>
                <w:sz w:val="24"/>
                <w:szCs w:val="24"/>
              </w:rPr>
              <w:t>)</w:t>
            </w:r>
            <w:r w:rsidR="00666423">
              <w:rPr>
                <w:rFonts w:ascii="Times New Roman" w:hAnsi="Times New Roman"/>
                <w:sz w:val="24"/>
                <w:szCs w:val="24"/>
              </w:rPr>
              <w:t xml:space="preserve"> and </w:t>
            </w:r>
            <w:r w:rsidR="00C53EAD">
              <w:rPr>
                <w:rFonts w:ascii="Times New Roman" w:hAnsi="Times New Roman"/>
                <w:sz w:val="24"/>
                <w:szCs w:val="24"/>
              </w:rPr>
              <w:t>the European Bank for Reconstruction and Development</w:t>
            </w:r>
            <w:r w:rsidR="00D659CD">
              <w:rPr>
                <w:rFonts w:ascii="Times New Roman" w:hAnsi="Times New Roman"/>
                <w:sz w:val="24"/>
                <w:szCs w:val="24"/>
              </w:rPr>
              <w:t> </w:t>
            </w:r>
            <w:r w:rsidR="00C53EAD">
              <w:rPr>
                <w:rFonts w:ascii="Times New Roman" w:hAnsi="Times New Roman"/>
                <w:sz w:val="24"/>
                <w:szCs w:val="24"/>
              </w:rPr>
              <w:t>(</w:t>
            </w:r>
            <w:r w:rsidR="00666423">
              <w:rPr>
                <w:rFonts w:ascii="Times New Roman" w:hAnsi="Times New Roman"/>
                <w:sz w:val="24"/>
                <w:szCs w:val="24"/>
              </w:rPr>
              <w:t>EBRD</w:t>
            </w:r>
            <w:r w:rsidR="00C53EAD">
              <w:rPr>
                <w:rFonts w:ascii="Times New Roman" w:hAnsi="Times New Roman"/>
                <w:sz w:val="24"/>
                <w:szCs w:val="24"/>
              </w:rPr>
              <w:t>)</w:t>
            </w:r>
            <w:r w:rsidR="00666423">
              <w:rPr>
                <w:rFonts w:ascii="Times New Roman" w:hAnsi="Times New Roman"/>
                <w:sz w:val="24"/>
                <w:szCs w:val="24"/>
              </w:rPr>
              <w:t xml:space="preserve"> for transformative impacts in the MENA region.</w:t>
            </w:r>
          </w:p>
          <w:p w14:paraId="7F7F7E76" w14:textId="4B3941D8" w:rsidR="00DF485D" w:rsidRPr="00DF485D" w:rsidRDefault="00752B2F" w:rsidP="00C4284B">
            <w:pPr>
              <w:widowControl w:val="0"/>
              <w:spacing w:before="120" w:after="120"/>
              <w:jc w:val="both"/>
              <w:rPr>
                <w:rFonts w:ascii="Times New Roman" w:hAnsi="Times New Roman"/>
                <w:sz w:val="24"/>
                <w:szCs w:val="24"/>
              </w:rPr>
            </w:pPr>
            <w:r>
              <w:rPr>
                <w:rFonts w:ascii="Times New Roman" w:hAnsi="Times New Roman"/>
                <w:sz w:val="24"/>
                <w:szCs w:val="24"/>
              </w:rPr>
              <w:t>S</w:t>
            </w:r>
            <w:r w:rsidR="00DF485D" w:rsidRPr="00DF485D">
              <w:rPr>
                <w:rFonts w:ascii="Times New Roman" w:hAnsi="Times New Roman"/>
                <w:sz w:val="24"/>
                <w:szCs w:val="24"/>
              </w:rPr>
              <w:t xml:space="preserve">upport has been provided </w:t>
            </w:r>
            <w:r w:rsidR="00F62F80">
              <w:rPr>
                <w:rFonts w:ascii="Times New Roman" w:hAnsi="Times New Roman"/>
                <w:sz w:val="24"/>
                <w:szCs w:val="24"/>
              </w:rPr>
              <w:t>for</w:t>
            </w:r>
            <w:r w:rsidR="00DF4295">
              <w:rPr>
                <w:rFonts w:ascii="Times New Roman" w:hAnsi="Times New Roman"/>
                <w:sz w:val="24"/>
                <w:szCs w:val="24"/>
              </w:rPr>
              <w:t xml:space="preserve"> the</w:t>
            </w:r>
            <w:r w:rsidR="00F62F80">
              <w:rPr>
                <w:rFonts w:ascii="Times New Roman" w:hAnsi="Times New Roman"/>
                <w:sz w:val="24"/>
                <w:szCs w:val="24"/>
              </w:rPr>
              <w:t xml:space="preserve"> delivery of</w:t>
            </w:r>
            <w:r w:rsidR="00DF485D" w:rsidRPr="00DF485D">
              <w:rPr>
                <w:rFonts w:ascii="Times New Roman" w:hAnsi="Times New Roman"/>
                <w:sz w:val="24"/>
                <w:szCs w:val="24"/>
              </w:rPr>
              <w:t xml:space="preserve"> inclusive, efficient, and effective social services, including in the field of education and skills, contributing to the economic and social development in the partner countries.</w:t>
            </w:r>
            <w:r w:rsidR="00DF485D">
              <w:rPr>
                <w:rFonts w:ascii="Times New Roman" w:hAnsi="Times New Roman"/>
                <w:sz w:val="24"/>
                <w:szCs w:val="24"/>
              </w:rPr>
              <w:t xml:space="preserve"> </w:t>
            </w:r>
            <w:r>
              <w:rPr>
                <w:rFonts w:ascii="Times New Roman" w:hAnsi="Times New Roman"/>
                <w:sz w:val="24"/>
                <w:szCs w:val="24"/>
              </w:rPr>
              <w:t>Work</w:t>
            </w:r>
            <w:r w:rsidR="00DF485D" w:rsidRPr="00DF485D">
              <w:rPr>
                <w:rFonts w:ascii="Times New Roman" w:hAnsi="Times New Roman"/>
                <w:sz w:val="24"/>
                <w:szCs w:val="24"/>
              </w:rPr>
              <w:t xml:space="preserve"> will continue to support Technical and Vocational Education and Training, youth employability and mobility. In addition, through the Strategic and Comprehensive Partnerships </w:t>
            </w:r>
            <w:r w:rsidR="00F62F80">
              <w:rPr>
                <w:rFonts w:ascii="Times New Roman" w:hAnsi="Times New Roman"/>
                <w:sz w:val="24"/>
                <w:szCs w:val="24"/>
              </w:rPr>
              <w:t>with</w:t>
            </w:r>
            <w:r w:rsidR="00DF485D" w:rsidRPr="00DF485D">
              <w:rPr>
                <w:rFonts w:ascii="Times New Roman" w:hAnsi="Times New Roman"/>
                <w:sz w:val="24"/>
                <w:szCs w:val="24"/>
              </w:rPr>
              <w:t xml:space="preserve"> Tunisia, Egypt and Jordan</w:t>
            </w:r>
            <w:r w:rsidR="00F62F80">
              <w:rPr>
                <w:rFonts w:ascii="Times New Roman" w:hAnsi="Times New Roman"/>
                <w:sz w:val="24"/>
                <w:szCs w:val="24"/>
              </w:rPr>
              <w:t>,</w:t>
            </w:r>
            <w:r w:rsidR="00DF485D" w:rsidRPr="00DF485D">
              <w:rPr>
                <w:rFonts w:ascii="Times New Roman" w:hAnsi="Times New Roman"/>
                <w:sz w:val="24"/>
                <w:szCs w:val="24"/>
              </w:rPr>
              <w:t xml:space="preserve"> cooperation is ongoing to further support human capital development, including green, digital and entrepreneurship skills.</w:t>
            </w:r>
          </w:p>
          <w:p w14:paraId="243F446E" w14:textId="1A07B45F" w:rsidR="00DF485D" w:rsidRDefault="00DF485D" w:rsidP="00C4284B">
            <w:pPr>
              <w:widowControl w:val="0"/>
              <w:spacing w:before="120" w:after="120"/>
              <w:jc w:val="both"/>
              <w:rPr>
                <w:rFonts w:ascii="Times New Roman" w:hAnsi="Times New Roman"/>
                <w:sz w:val="24"/>
                <w:szCs w:val="24"/>
              </w:rPr>
            </w:pPr>
            <w:r w:rsidRPr="00DF485D">
              <w:rPr>
                <w:rFonts w:ascii="Times New Roman" w:hAnsi="Times New Roman"/>
                <w:sz w:val="24"/>
                <w:szCs w:val="24"/>
              </w:rPr>
              <w:t>The European Fund for Sustainable Development</w:t>
            </w:r>
            <w:r w:rsidR="00670EF8">
              <w:rPr>
                <w:rFonts w:ascii="Times New Roman" w:hAnsi="Times New Roman"/>
                <w:sz w:val="24"/>
                <w:szCs w:val="24"/>
              </w:rPr>
              <w:t> </w:t>
            </w:r>
            <w:r w:rsidRPr="00DF485D">
              <w:rPr>
                <w:rFonts w:ascii="Times New Roman" w:hAnsi="Times New Roman"/>
                <w:sz w:val="24"/>
                <w:szCs w:val="24"/>
              </w:rPr>
              <w:t>(EFSD+) is expected to further strengthen financial support to Southern Neighbourhood countries, as</w:t>
            </w:r>
            <w:r w:rsidR="00DF4295">
              <w:rPr>
                <w:rFonts w:ascii="Times New Roman" w:hAnsi="Times New Roman"/>
                <w:sz w:val="24"/>
                <w:szCs w:val="24"/>
              </w:rPr>
              <w:t xml:space="preserve"> the</w:t>
            </w:r>
            <w:r w:rsidRPr="00DF485D">
              <w:rPr>
                <w:rFonts w:ascii="Times New Roman" w:hAnsi="Times New Roman"/>
                <w:sz w:val="24"/>
                <w:szCs w:val="24"/>
              </w:rPr>
              <w:t xml:space="preserve"> Commission’s main instrument to de-risk public and private investments to unlock further opportunities for sustainable development, including for human capital</w:t>
            </w:r>
            <w:r w:rsidR="00170A01">
              <w:rPr>
                <w:rFonts w:ascii="Times New Roman" w:hAnsi="Times New Roman"/>
                <w:sz w:val="24"/>
                <w:szCs w:val="24"/>
              </w:rPr>
              <w:t xml:space="preserve"> and support to energy infrastru</w:t>
            </w:r>
            <w:r w:rsidR="006638C6">
              <w:rPr>
                <w:rFonts w:ascii="Times New Roman" w:hAnsi="Times New Roman"/>
                <w:sz w:val="24"/>
                <w:szCs w:val="24"/>
              </w:rPr>
              <w:t>c</w:t>
            </w:r>
            <w:r w:rsidR="00170A01">
              <w:rPr>
                <w:rFonts w:ascii="Times New Roman" w:hAnsi="Times New Roman"/>
                <w:sz w:val="24"/>
                <w:szCs w:val="24"/>
              </w:rPr>
              <w:t>ture</w:t>
            </w:r>
            <w:r w:rsidRPr="00DF485D">
              <w:rPr>
                <w:rFonts w:ascii="Times New Roman" w:hAnsi="Times New Roman"/>
                <w:sz w:val="24"/>
                <w:szCs w:val="24"/>
              </w:rPr>
              <w:t>. Investment conferences in Egypt, Tunisia and Jordan also underlined the need to invest more in human capital. The Commission continues to mainstream civil society through their programmes across all priority areas and policy dialogues, including to support skills development and youth employability.</w:t>
            </w:r>
          </w:p>
          <w:p w14:paraId="456C35F4" w14:textId="3D05C909" w:rsidR="00283890" w:rsidRDefault="00283890" w:rsidP="00C4284B">
            <w:pPr>
              <w:widowControl w:val="0"/>
              <w:spacing w:before="120" w:after="120"/>
              <w:jc w:val="both"/>
              <w:rPr>
                <w:rFonts w:ascii="Times New Roman" w:hAnsi="Times New Roman"/>
                <w:sz w:val="24"/>
                <w:szCs w:val="24"/>
              </w:rPr>
            </w:pPr>
            <w:r>
              <w:rPr>
                <w:rFonts w:ascii="Times New Roman" w:hAnsi="Times New Roman"/>
                <w:sz w:val="24"/>
                <w:szCs w:val="24"/>
              </w:rPr>
              <w:t xml:space="preserve">The Commission </w:t>
            </w:r>
            <w:r w:rsidR="00F62F80">
              <w:rPr>
                <w:rFonts w:ascii="Times New Roman" w:hAnsi="Times New Roman"/>
                <w:sz w:val="24"/>
                <w:szCs w:val="24"/>
              </w:rPr>
              <w:t>promotes</w:t>
            </w:r>
            <w:r>
              <w:rPr>
                <w:rFonts w:ascii="Times New Roman" w:hAnsi="Times New Roman"/>
                <w:sz w:val="24"/>
                <w:szCs w:val="24"/>
              </w:rPr>
              <w:t xml:space="preserve"> women’s economic empowerment and partners notably with </w:t>
            </w:r>
            <w:r w:rsidR="00DF147D">
              <w:rPr>
                <w:rFonts w:ascii="Times New Roman" w:hAnsi="Times New Roman"/>
                <w:sz w:val="24"/>
                <w:szCs w:val="24"/>
              </w:rPr>
              <w:t>the Organisation for Economic Co-operation and Development</w:t>
            </w:r>
            <w:r w:rsidR="00D659CD">
              <w:rPr>
                <w:rFonts w:ascii="Times New Roman" w:hAnsi="Times New Roman"/>
                <w:sz w:val="24"/>
                <w:szCs w:val="24"/>
              </w:rPr>
              <w:t> </w:t>
            </w:r>
            <w:r w:rsidR="00DF147D">
              <w:rPr>
                <w:rFonts w:ascii="Times New Roman" w:hAnsi="Times New Roman"/>
                <w:sz w:val="24"/>
                <w:szCs w:val="24"/>
              </w:rPr>
              <w:t>(</w:t>
            </w:r>
            <w:r>
              <w:rPr>
                <w:rFonts w:ascii="Times New Roman" w:hAnsi="Times New Roman"/>
                <w:sz w:val="24"/>
                <w:szCs w:val="24"/>
              </w:rPr>
              <w:t>OECD</w:t>
            </w:r>
            <w:r w:rsidR="00DF147D">
              <w:rPr>
                <w:rFonts w:ascii="Times New Roman" w:hAnsi="Times New Roman"/>
                <w:sz w:val="24"/>
                <w:szCs w:val="24"/>
              </w:rPr>
              <w:t>)</w:t>
            </w:r>
            <w:r>
              <w:rPr>
                <w:rFonts w:ascii="Times New Roman" w:hAnsi="Times New Roman"/>
                <w:sz w:val="24"/>
                <w:szCs w:val="24"/>
              </w:rPr>
              <w:t xml:space="preserve"> to foster policy and regulatory reforms to unlock women’s access to finance and women entrepreneurship across the MENA region, bringing together </w:t>
            </w:r>
            <w:r w:rsidR="00752B2F">
              <w:rPr>
                <w:rFonts w:ascii="Times New Roman" w:hAnsi="Times New Roman"/>
                <w:sz w:val="24"/>
                <w:szCs w:val="24"/>
              </w:rPr>
              <w:t>policymakers</w:t>
            </w:r>
            <w:r>
              <w:rPr>
                <w:rFonts w:ascii="Times New Roman" w:hAnsi="Times New Roman"/>
                <w:sz w:val="24"/>
                <w:szCs w:val="24"/>
              </w:rPr>
              <w:t xml:space="preserve">, the financial sector and women business organisations. The </w:t>
            </w:r>
            <w:r w:rsidR="00DF485D">
              <w:rPr>
                <w:rFonts w:ascii="Times New Roman" w:hAnsi="Times New Roman"/>
                <w:sz w:val="24"/>
                <w:szCs w:val="24"/>
              </w:rPr>
              <w:t>Commission</w:t>
            </w:r>
            <w:r>
              <w:rPr>
                <w:rFonts w:ascii="Times New Roman" w:hAnsi="Times New Roman"/>
                <w:sz w:val="24"/>
                <w:szCs w:val="24"/>
              </w:rPr>
              <w:t xml:space="preserve"> also works with grassroots actors to support women’s financial and digital literacy and financial inclusion in rural and remote areas. </w:t>
            </w:r>
            <w:r w:rsidR="00DF4295">
              <w:rPr>
                <w:rFonts w:ascii="Times New Roman" w:hAnsi="Times New Roman"/>
                <w:sz w:val="24"/>
                <w:szCs w:val="24"/>
              </w:rPr>
              <w:t>In addition</w:t>
            </w:r>
            <w:r w:rsidR="00F62F80">
              <w:rPr>
                <w:rFonts w:ascii="Times New Roman" w:hAnsi="Times New Roman"/>
                <w:sz w:val="24"/>
                <w:szCs w:val="24"/>
              </w:rPr>
              <w:t>, t</w:t>
            </w:r>
            <w:r>
              <w:rPr>
                <w:rFonts w:ascii="Times New Roman" w:hAnsi="Times New Roman"/>
                <w:sz w:val="24"/>
                <w:szCs w:val="24"/>
              </w:rPr>
              <w:t xml:space="preserve">he </w:t>
            </w:r>
            <w:r w:rsidR="00A30143">
              <w:rPr>
                <w:rFonts w:ascii="Times New Roman" w:hAnsi="Times New Roman"/>
                <w:sz w:val="24"/>
                <w:szCs w:val="24"/>
              </w:rPr>
              <w:t>Commission</w:t>
            </w:r>
            <w:r>
              <w:rPr>
                <w:rFonts w:ascii="Times New Roman" w:hAnsi="Times New Roman"/>
                <w:sz w:val="24"/>
                <w:szCs w:val="24"/>
              </w:rPr>
              <w:t xml:space="preserve"> </w:t>
            </w:r>
            <w:r w:rsidR="005978A2">
              <w:rPr>
                <w:rFonts w:ascii="Times New Roman" w:hAnsi="Times New Roman"/>
                <w:sz w:val="24"/>
                <w:szCs w:val="24"/>
              </w:rPr>
              <w:t xml:space="preserve">will partner with UN Women on </w:t>
            </w:r>
            <w:r>
              <w:rPr>
                <w:rFonts w:ascii="Times New Roman" w:hAnsi="Times New Roman"/>
                <w:sz w:val="24"/>
                <w:szCs w:val="24"/>
              </w:rPr>
              <w:t xml:space="preserve">a new regional programme focused on women’s employment in the </w:t>
            </w:r>
            <w:r w:rsidR="009970B2">
              <w:rPr>
                <w:rFonts w:ascii="Times New Roman" w:hAnsi="Times New Roman"/>
                <w:sz w:val="24"/>
                <w:szCs w:val="24"/>
              </w:rPr>
              <w:t>Science, Technology, Engineering, Mathematics</w:t>
            </w:r>
            <w:r w:rsidR="0066753E">
              <w:rPr>
                <w:rFonts w:ascii="Times New Roman" w:hAnsi="Times New Roman"/>
                <w:sz w:val="24"/>
                <w:szCs w:val="24"/>
              </w:rPr>
              <w:t> </w:t>
            </w:r>
            <w:r w:rsidR="009970B2">
              <w:rPr>
                <w:rFonts w:ascii="Times New Roman" w:hAnsi="Times New Roman"/>
                <w:sz w:val="24"/>
                <w:szCs w:val="24"/>
              </w:rPr>
              <w:t>(</w:t>
            </w:r>
            <w:r>
              <w:rPr>
                <w:rFonts w:ascii="Times New Roman" w:hAnsi="Times New Roman"/>
                <w:sz w:val="24"/>
                <w:szCs w:val="24"/>
              </w:rPr>
              <w:t>STEM</w:t>
            </w:r>
            <w:r w:rsidR="009970B2">
              <w:rPr>
                <w:rFonts w:ascii="Times New Roman" w:hAnsi="Times New Roman"/>
                <w:sz w:val="24"/>
                <w:szCs w:val="24"/>
              </w:rPr>
              <w:t>)</w:t>
            </w:r>
            <w:r>
              <w:rPr>
                <w:rFonts w:ascii="Times New Roman" w:hAnsi="Times New Roman"/>
                <w:sz w:val="24"/>
                <w:szCs w:val="24"/>
              </w:rPr>
              <w:t>, care and green economies through gender-responsive private sector practices and workplaces, and quality working conditions for women</w:t>
            </w:r>
            <w:r w:rsidR="00F62F80">
              <w:rPr>
                <w:rFonts w:ascii="Times New Roman" w:hAnsi="Times New Roman"/>
                <w:sz w:val="24"/>
                <w:szCs w:val="24"/>
              </w:rPr>
              <w:t>.</w:t>
            </w:r>
          </w:p>
          <w:p w14:paraId="30800589" w14:textId="0A73DD73" w:rsidR="00DF485D" w:rsidRDefault="005A3FD3" w:rsidP="00C4284B">
            <w:pPr>
              <w:widowControl w:val="0"/>
              <w:spacing w:before="120" w:after="120"/>
              <w:jc w:val="both"/>
              <w:rPr>
                <w:rFonts w:ascii="Times New Roman" w:hAnsi="Times New Roman"/>
                <w:sz w:val="24"/>
                <w:szCs w:val="24"/>
              </w:rPr>
            </w:pPr>
            <w:r>
              <w:rPr>
                <w:rFonts w:ascii="Times New Roman" w:hAnsi="Times New Roman"/>
                <w:sz w:val="24"/>
                <w:szCs w:val="24"/>
              </w:rPr>
              <w:t xml:space="preserve">The </w:t>
            </w:r>
            <w:r w:rsidR="00DF485D">
              <w:rPr>
                <w:rFonts w:ascii="Times New Roman" w:hAnsi="Times New Roman"/>
                <w:sz w:val="24"/>
                <w:szCs w:val="24"/>
              </w:rPr>
              <w:t>Commission</w:t>
            </w:r>
            <w:r>
              <w:rPr>
                <w:rFonts w:ascii="Times New Roman" w:hAnsi="Times New Roman"/>
                <w:sz w:val="24"/>
                <w:szCs w:val="24"/>
              </w:rPr>
              <w:t xml:space="preserve"> </w:t>
            </w:r>
            <w:r w:rsidR="00DF485D">
              <w:rPr>
                <w:rFonts w:ascii="Times New Roman" w:hAnsi="Times New Roman"/>
                <w:sz w:val="24"/>
                <w:szCs w:val="24"/>
              </w:rPr>
              <w:t>promotes</w:t>
            </w:r>
            <w:r>
              <w:rPr>
                <w:rFonts w:ascii="Times New Roman" w:hAnsi="Times New Roman"/>
                <w:sz w:val="24"/>
                <w:szCs w:val="24"/>
              </w:rPr>
              <w:t xml:space="preserve"> </w:t>
            </w:r>
            <w:r w:rsidR="00B74A6A">
              <w:rPr>
                <w:rFonts w:ascii="Times New Roman" w:hAnsi="Times New Roman"/>
                <w:sz w:val="24"/>
                <w:szCs w:val="24"/>
              </w:rPr>
              <w:t xml:space="preserve">inclusive and innovative </w:t>
            </w:r>
            <w:r>
              <w:rPr>
                <w:rFonts w:ascii="Times New Roman" w:hAnsi="Times New Roman"/>
                <w:sz w:val="24"/>
                <w:szCs w:val="24"/>
              </w:rPr>
              <w:t>entrepreneurship support</w:t>
            </w:r>
            <w:r w:rsidR="00887517">
              <w:rPr>
                <w:rFonts w:ascii="Times New Roman" w:hAnsi="Times New Roman"/>
                <w:sz w:val="24"/>
                <w:szCs w:val="24"/>
              </w:rPr>
              <w:t xml:space="preserve">, </w:t>
            </w:r>
            <w:r w:rsidR="00B74A6A">
              <w:rPr>
                <w:rFonts w:ascii="Times New Roman" w:hAnsi="Times New Roman"/>
                <w:sz w:val="24"/>
                <w:szCs w:val="24"/>
              </w:rPr>
              <w:t>start</w:t>
            </w:r>
            <w:r w:rsidR="00324102">
              <w:rPr>
                <w:rFonts w:ascii="Times New Roman" w:hAnsi="Times New Roman"/>
                <w:sz w:val="24"/>
                <w:szCs w:val="24"/>
              </w:rPr>
              <w:t>-</w:t>
            </w:r>
            <w:r w:rsidR="00B74A6A">
              <w:rPr>
                <w:rFonts w:ascii="Times New Roman" w:hAnsi="Times New Roman"/>
                <w:sz w:val="24"/>
                <w:szCs w:val="24"/>
              </w:rPr>
              <w:t>up incubation</w:t>
            </w:r>
            <w:r w:rsidR="00887517">
              <w:rPr>
                <w:rFonts w:ascii="Times New Roman" w:hAnsi="Times New Roman"/>
                <w:sz w:val="24"/>
                <w:szCs w:val="24"/>
              </w:rPr>
              <w:t xml:space="preserve">, </w:t>
            </w:r>
            <w:r w:rsidR="00324102">
              <w:rPr>
                <w:rFonts w:ascii="Times New Roman" w:hAnsi="Times New Roman"/>
                <w:sz w:val="24"/>
                <w:szCs w:val="24"/>
              </w:rPr>
              <w:t xml:space="preserve">youth and social entrepreneurship, </w:t>
            </w:r>
            <w:r w:rsidR="00887517">
              <w:rPr>
                <w:rFonts w:ascii="Times New Roman" w:hAnsi="Times New Roman"/>
                <w:sz w:val="24"/>
                <w:szCs w:val="24"/>
              </w:rPr>
              <w:t xml:space="preserve">as well as access to finance, including through a portfolio of financial inclusion instruments with </w:t>
            </w:r>
            <w:r w:rsidR="009970B2">
              <w:rPr>
                <w:rFonts w:ascii="Times New Roman" w:hAnsi="Times New Roman"/>
                <w:sz w:val="24"/>
                <w:szCs w:val="24"/>
              </w:rPr>
              <w:t>International financial institutions</w:t>
            </w:r>
            <w:r w:rsidR="00D659CD">
              <w:rPr>
                <w:rFonts w:ascii="Times New Roman" w:hAnsi="Times New Roman"/>
                <w:sz w:val="24"/>
                <w:szCs w:val="24"/>
              </w:rPr>
              <w:t> </w:t>
            </w:r>
            <w:r w:rsidR="009970B2">
              <w:rPr>
                <w:rFonts w:ascii="Times New Roman" w:hAnsi="Times New Roman"/>
                <w:sz w:val="24"/>
                <w:szCs w:val="24"/>
              </w:rPr>
              <w:t>(</w:t>
            </w:r>
            <w:r w:rsidR="00887517">
              <w:rPr>
                <w:rFonts w:ascii="Times New Roman" w:hAnsi="Times New Roman"/>
                <w:sz w:val="24"/>
                <w:szCs w:val="24"/>
              </w:rPr>
              <w:t>IFIs</w:t>
            </w:r>
            <w:r w:rsidR="009970B2">
              <w:rPr>
                <w:rFonts w:ascii="Times New Roman" w:hAnsi="Times New Roman"/>
                <w:sz w:val="24"/>
                <w:szCs w:val="24"/>
              </w:rPr>
              <w:t>)</w:t>
            </w:r>
            <w:r w:rsidR="00887517">
              <w:rPr>
                <w:rFonts w:ascii="Times New Roman" w:hAnsi="Times New Roman"/>
                <w:sz w:val="24"/>
                <w:szCs w:val="24"/>
              </w:rPr>
              <w:t xml:space="preserve">, targeting different needs, contexts and businesses. The </w:t>
            </w:r>
            <w:r w:rsidR="00DF485D">
              <w:rPr>
                <w:rFonts w:ascii="Times New Roman" w:hAnsi="Times New Roman"/>
                <w:sz w:val="24"/>
                <w:szCs w:val="24"/>
              </w:rPr>
              <w:t>Commission</w:t>
            </w:r>
            <w:r w:rsidR="00887517">
              <w:rPr>
                <w:rFonts w:ascii="Times New Roman" w:hAnsi="Times New Roman"/>
                <w:sz w:val="24"/>
                <w:szCs w:val="24"/>
              </w:rPr>
              <w:t xml:space="preserve"> is currently preparing together with KfW</w:t>
            </w:r>
            <w:r w:rsidR="00D659CD">
              <w:rPr>
                <w:rFonts w:ascii="Times New Roman" w:hAnsi="Times New Roman"/>
                <w:sz w:val="24"/>
                <w:szCs w:val="24"/>
              </w:rPr>
              <w:t> </w:t>
            </w:r>
            <w:r w:rsidR="009970B2">
              <w:rPr>
                <w:rFonts w:ascii="Times New Roman" w:hAnsi="Times New Roman"/>
                <w:sz w:val="24"/>
                <w:szCs w:val="24"/>
              </w:rPr>
              <w:t>Development Bank</w:t>
            </w:r>
            <w:r w:rsidR="00887517">
              <w:rPr>
                <w:rFonts w:ascii="Times New Roman" w:hAnsi="Times New Roman"/>
                <w:sz w:val="24"/>
                <w:szCs w:val="24"/>
              </w:rPr>
              <w:t xml:space="preserve"> the first regional social impact fund in MENA, which will unlock access to finance for social entrepreneurs, particularly youth entrepreneurs, allowing them to grow, expand and create </w:t>
            </w:r>
            <w:r w:rsidR="00740B6D">
              <w:rPr>
                <w:rFonts w:ascii="Times New Roman" w:hAnsi="Times New Roman"/>
                <w:sz w:val="24"/>
                <w:szCs w:val="24"/>
              </w:rPr>
              <w:t>decent</w:t>
            </w:r>
            <w:r w:rsidR="00887517">
              <w:rPr>
                <w:rFonts w:ascii="Times New Roman" w:hAnsi="Times New Roman"/>
                <w:sz w:val="24"/>
                <w:szCs w:val="24"/>
              </w:rPr>
              <w:t xml:space="preserve"> jobs, including in fragile, remote and rural areas</w:t>
            </w:r>
            <w:r w:rsidR="00283890">
              <w:rPr>
                <w:rFonts w:ascii="Times New Roman" w:hAnsi="Times New Roman"/>
                <w:sz w:val="24"/>
                <w:szCs w:val="24"/>
              </w:rPr>
              <w:t>.</w:t>
            </w:r>
          </w:p>
          <w:p w14:paraId="6A63038C" w14:textId="2B4A2DF7" w:rsidR="00666423" w:rsidRDefault="00283890" w:rsidP="00C4284B">
            <w:pPr>
              <w:widowControl w:val="0"/>
              <w:spacing w:before="120" w:after="120"/>
              <w:jc w:val="both"/>
              <w:rPr>
                <w:rFonts w:ascii="Times New Roman" w:hAnsi="Times New Roman"/>
                <w:sz w:val="24"/>
                <w:szCs w:val="24"/>
              </w:rPr>
            </w:pPr>
            <w:r>
              <w:rPr>
                <w:rFonts w:ascii="Times New Roman" w:hAnsi="Times New Roman"/>
                <w:sz w:val="24"/>
                <w:szCs w:val="24"/>
              </w:rPr>
              <w:t xml:space="preserve">The </w:t>
            </w:r>
            <w:r w:rsidR="00DF485D">
              <w:rPr>
                <w:rFonts w:ascii="Times New Roman" w:hAnsi="Times New Roman"/>
                <w:sz w:val="24"/>
                <w:szCs w:val="24"/>
              </w:rPr>
              <w:t>Commission</w:t>
            </w:r>
            <w:r>
              <w:rPr>
                <w:rFonts w:ascii="Times New Roman" w:hAnsi="Times New Roman"/>
                <w:sz w:val="24"/>
                <w:szCs w:val="24"/>
              </w:rPr>
              <w:t xml:space="preserve"> welcomes that the opinion refers to the </w:t>
            </w:r>
            <w:r w:rsidR="00324102">
              <w:rPr>
                <w:rFonts w:ascii="Times New Roman" w:hAnsi="Times New Roman"/>
                <w:sz w:val="24"/>
                <w:szCs w:val="24"/>
              </w:rPr>
              <w:t xml:space="preserve">EBSOMED </w:t>
            </w:r>
            <w:r w:rsidR="005D1403">
              <w:rPr>
                <w:rFonts w:ascii="Times New Roman" w:hAnsi="Times New Roman"/>
                <w:sz w:val="24"/>
                <w:szCs w:val="24"/>
              </w:rPr>
              <w:t xml:space="preserve">regional </w:t>
            </w:r>
            <w:r w:rsidR="00F62F80">
              <w:rPr>
                <w:rFonts w:ascii="Times New Roman" w:hAnsi="Times New Roman"/>
                <w:sz w:val="24"/>
                <w:szCs w:val="24"/>
              </w:rPr>
              <w:t>project</w:t>
            </w:r>
            <w:r w:rsidR="009970B2">
              <w:rPr>
                <w:rFonts w:ascii="Times New Roman" w:hAnsi="Times New Roman"/>
                <w:sz w:val="24"/>
                <w:szCs w:val="24"/>
              </w:rPr>
              <w:t xml:space="preserve"> </w:t>
            </w:r>
            <w:r w:rsidR="009970B2" w:rsidRPr="009970B2">
              <w:rPr>
                <w:rFonts w:ascii="Times New Roman" w:hAnsi="Times New Roman"/>
                <w:sz w:val="24"/>
                <w:szCs w:val="24"/>
              </w:rPr>
              <w:t>aimed to Enhancing Business Support Organisations and Business Networks in the Southern Neighbourhood</w:t>
            </w:r>
            <w:r>
              <w:rPr>
                <w:rFonts w:ascii="Times New Roman" w:hAnsi="Times New Roman"/>
                <w:sz w:val="24"/>
                <w:szCs w:val="24"/>
              </w:rPr>
              <w:t xml:space="preserve">. In addition, the </w:t>
            </w:r>
            <w:r w:rsidR="00A30143">
              <w:rPr>
                <w:rFonts w:ascii="Times New Roman" w:hAnsi="Times New Roman"/>
                <w:sz w:val="24"/>
                <w:szCs w:val="24"/>
              </w:rPr>
              <w:t>Commission</w:t>
            </w:r>
            <w:r>
              <w:rPr>
                <w:rFonts w:ascii="Times New Roman" w:hAnsi="Times New Roman"/>
                <w:sz w:val="24"/>
                <w:szCs w:val="24"/>
              </w:rPr>
              <w:t xml:space="preserve"> also supports business support organisations and </w:t>
            </w:r>
            <w:r w:rsidR="009970B2" w:rsidRPr="009970B2">
              <w:rPr>
                <w:rFonts w:ascii="Times New Roman" w:hAnsi="Times New Roman"/>
                <w:sz w:val="24"/>
                <w:szCs w:val="24"/>
              </w:rPr>
              <w:t>Micro, Small, and Medium Enterprises</w:t>
            </w:r>
            <w:r w:rsidR="007E5071">
              <w:rPr>
                <w:rFonts w:ascii="Times New Roman" w:hAnsi="Times New Roman"/>
                <w:sz w:val="24"/>
                <w:szCs w:val="24"/>
              </w:rPr>
              <w:t> </w:t>
            </w:r>
            <w:r w:rsidR="009970B2">
              <w:rPr>
                <w:rFonts w:ascii="Times New Roman" w:hAnsi="Times New Roman"/>
                <w:sz w:val="24"/>
                <w:szCs w:val="24"/>
              </w:rPr>
              <w:t>(</w:t>
            </w:r>
            <w:r>
              <w:rPr>
                <w:rFonts w:ascii="Times New Roman" w:hAnsi="Times New Roman"/>
                <w:sz w:val="24"/>
                <w:szCs w:val="24"/>
              </w:rPr>
              <w:t>MSMEs</w:t>
            </w:r>
            <w:r w:rsidR="009970B2">
              <w:rPr>
                <w:rFonts w:ascii="Times New Roman" w:hAnsi="Times New Roman"/>
                <w:sz w:val="24"/>
                <w:szCs w:val="24"/>
              </w:rPr>
              <w:t>)</w:t>
            </w:r>
            <w:r>
              <w:rPr>
                <w:rFonts w:ascii="Times New Roman" w:hAnsi="Times New Roman"/>
                <w:sz w:val="24"/>
                <w:szCs w:val="24"/>
              </w:rPr>
              <w:t xml:space="preserve"> </w:t>
            </w:r>
            <w:r w:rsidR="00324102">
              <w:rPr>
                <w:rFonts w:ascii="Times New Roman" w:hAnsi="Times New Roman"/>
                <w:sz w:val="24"/>
                <w:szCs w:val="24"/>
              </w:rPr>
              <w:t>from the perspective of the green and circular economy under the Green Forward programme</w:t>
            </w:r>
            <w:r w:rsidR="007E5071">
              <w:rPr>
                <w:rStyle w:val="FootnoteReference"/>
                <w:rFonts w:ascii="Times New Roman" w:hAnsi="Times New Roman"/>
                <w:sz w:val="24"/>
                <w:szCs w:val="24"/>
              </w:rPr>
              <w:footnoteReference w:id="6"/>
            </w:r>
            <w:r w:rsidR="00324102">
              <w:rPr>
                <w:rFonts w:ascii="Times New Roman" w:hAnsi="Times New Roman"/>
                <w:sz w:val="24"/>
                <w:szCs w:val="24"/>
              </w:rPr>
              <w:t xml:space="preserve">. </w:t>
            </w:r>
            <w:r w:rsidR="00026F8D">
              <w:rPr>
                <w:rFonts w:ascii="Times New Roman" w:hAnsi="Times New Roman"/>
                <w:sz w:val="24"/>
                <w:szCs w:val="24"/>
              </w:rPr>
              <w:t xml:space="preserve">The Commission has also been supporting social dialogue and social partners in the Mediterranean region, notably </w:t>
            </w:r>
            <w:r w:rsidR="00DF485D">
              <w:rPr>
                <w:rFonts w:ascii="Times New Roman" w:hAnsi="Times New Roman"/>
                <w:sz w:val="24"/>
                <w:szCs w:val="24"/>
              </w:rPr>
              <w:t>under</w:t>
            </w:r>
            <w:r w:rsidR="00026F8D">
              <w:rPr>
                <w:rFonts w:ascii="Times New Roman" w:hAnsi="Times New Roman"/>
                <w:sz w:val="24"/>
                <w:szCs w:val="24"/>
              </w:rPr>
              <w:t xml:space="preserve"> the SOLID</w:t>
            </w:r>
            <w:r w:rsidR="009D5859">
              <w:rPr>
                <w:rFonts w:ascii="Times New Roman" w:hAnsi="Times New Roman"/>
                <w:sz w:val="24"/>
                <w:szCs w:val="24"/>
              </w:rPr>
              <w:t xml:space="preserve"> regional</w:t>
            </w:r>
            <w:r w:rsidR="00026F8D">
              <w:rPr>
                <w:rFonts w:ascii="Times New Roman" w:hAnsi="Times New Roman"/>
                <w:sz w:val="24"/>
                <w:szCs w:val="24"/>
              </w:rPr>
              <w:t xml:space="preserve"> </w:t>
            </w:r>
            <w:r w:rsidR="00DF485D">
              <w:rPr>
                <w:rFonts w:ascii="Times New Roman" w:hAnsi="Times New Roman"/>
                <w:sz w:val="24"/>
                <w:szCs w:val="24"/>
              </w:rPr>
              <w:lastRenderedPageBreak/>
              <w:t>project</w:t>
            </w:r>
            <w:r w:rsidR="009D5859">
              <w:rPr>
                <w:rFonts w:ascii="Times New Roman" w:hAnsi="Times New Roman"/>
                <w:sz w:val="24"/>
                <w:szCs w:val="24"/>
              </w:rPr>
              <w:t xml:space="preserve"> (</w:t>
            </w:r>
            <w:r w:rsidR="009D5859" w:rsidRPr="009D5859">
              <w:rPr>
                <w:rFonts w:ascii="Times New Roman" w:hAnsi="Times New Roman"/>
                <w:sz w:val="24"/>
                <w:szCs w:val="24"/>
              </w:rPr>
              <w:t>Promotion of Social Dialogue in the Southern Mediterranean Neighbourhood</w:t>
            </w:r>
            <w:r w:rsidR="009D5859">
              <w:rPr>
                <w:rFonts w:ascii="Times New Roman" w:hAnsi="Times New Roman"/>
                <w:sz w:val="24"/>
                <w:szCs w:val="24"/>
              </w:rPr>
              <w:t>)</w:t>
            </w:r>
            <w:r w:rsidR="00DF485D">
              <w:rPr>
                <w:rFonts w:ascii="Times New Roman" w:hAnsi="Times New Roman"/>
                <w:sz w:val="24"/>
                <w:szCs w:val="24"/>
              </w:rPr>
              <w:t xml:space="preserve">, and </w:t>
            </w:r>
            <w:r w:rsidR="00026F8D">
              <w:rPr>
                <w:rFonts w:ascii="Times New Roman" w:hAnsi="Times New Roman"/>
                <w:sz w:val="24"/>
                <w:szCs w:val="24"/>
              </w:rPr>
              <w:t>promote</w:t>
            </w:r>
            <w:r w:rsidR="00F62F80">
              <w:rPr>
                <w:rFonts w:ascii="Times New Roman" w:hAnsi="Times New Roman"/>
                <w:sz w:val="24"/>
                <w:szCs w:val="24"/>
              </w:rPr>
              <w:t>s</w:t>
            </w:r>
            <w:r w:rsidR="00026F8D">
              <w:rPr>
                <w:rFonts w:ascii="Times New Roman" w:hAnsi="Times New Roman"/>
                <w:sz w:val="24"/>
                <w:szCs w:val="24"/>
              </w:rPr>
              <w:t xml:space="preserve"> the decent work agenda, employment-rich trade and investment policies through the </w:t>
            </w:r>
            <w:r w:rsidR="00AC0C42" w:rsidRPr="00AC0C42">
              <w:rPr>
                <w:rFonts w:ascii="Times New Roman" w:hAnsi="Times New Roman"/>
                <w:sz w:val="24"/>
                <w:szCs w:val="24"/>
              </w:rPr>
              <w:t>Mainstreaming Employment into Trade and Investment</w:t>
            </w:r>
            <w:r w:rsidR="007E5071">
              <w:rPr>
                <w:rFonts w:ascii="Times New Roman" w:hAnsi="Times New Roman"/>
                <w:sz w:val="24"/>
                <w:szCs w:val="24"/>
              </w:rPr>
              <w:t> </w:t>
            </w:r>
            <w:r w:rsidR="00AC0C42">
              <w:rPr>
                <w:rFonts w:ascii="Times New Roman" w:hAnsi="Times New Roman"/>
                <w:sz w:val="24"/>
                <w:szCs w:val="24"/>
              </w:rPr>
              <w:t>(</w:t>
            </w:r>
            <w:r w:rsidR="00026F8D">
              <w:rPr>
                <w:rFonts w:ascii="Times New Roman" w:hAnsi="Times New Roman"/>
                <w:sz w:val="24"/>
                <w:szCs w:val="24"/>
              </w:rPr>
              <w:t>METI</w:t>
            </w:r>
            <w:r w:rsidR="00AC0C42">
              <w:rPr>
                <w:rFonts w:ascii="Times New Roman" w:hAnsi="Times New Roman"/>
                <w:sz w:val="24"/>
                <w:szCs w:val="24"/>
              </w:rPr>
              <w:t>)</w:t>
            </w:r>
            <w:r w:rsidR="00026F8D">
              <w:rPr>
                <w:rFonts w:ascii="Times New Roman" w:hAnsi="Times New Roman"/>
                <w:sz w:val="24"/>
                <w:szCs w:val="24"/>
              </w:rPr>
              <w:t xml:space="preserve"> init</w:t>
            </w:r>
            <w:r w:rsidR="00A30143">
              <w:rPr>
                <w:rFonts w:ascii="Times New Roman" w:hAnsi="Times New Roman"/>
                <w:sz w:val="24"/>
                <w:szCs w:val="24"/>
              </w:rPr>
              <w:t>i</w:t>
            </w:r>
            <w:r w:rsidR="00026F8D">
              <w:rPr>
                <w:rFonts w:ascii="Times New Roman" w:hAnsi="Times New Roman"/>
                <w:sz w:val="24"/>
                <w:szCs w:val="24"/>
              </w:rPr>
              <w:t xml:space="preserve">ative, as well as and pathways for transitioning from informal to formal economies, building and expanding the lessons learned from </w:t>
            </w:r>
            <w:r w:rsidR="008D2129">
              <w:rPr>
                <w:rFonts w:ascii="Times New Roman" w:hAnsi="Times New Roman"/>
                <w:sz w:val="24"/>
                <w:szCs w:val="24"/>
              </w:rPr>
              <w:t xml:space="preserve">the </w:t>
            </w:r>
            <w:r w:rsidR="008D2129" w:rsidRPr="008D2129">
              <w:rPr>
                <w:rFonts w:ascii="Times New Roman" w:hAnsi="Times New Roman"/>
                <w:sz w:val="24"/>
                <w:szCs w:val="24"/>
              </w:rPr>
              <w:t xml:space="preserve">Social Dialogue for Formalization and Employability in the Southern Neighbourhood Region </w:t>
            </w:r>
            <w:r w:rsidR="008D2129">
              <w:rPr>
                <w:rFonts w:ascii="Times New Roman" w:hAnsi="Times New Roman"/>
                <w:sz w:val="24"/>
                <w:szCs w:val="24"/>
              </w:rPr>
              <w:t xml:space="preserve"> project</w:t>
            </w:r>
            <w:r w:rsidR="007E5071">
              <w:rPr>
                <w:rFonts w:ascii="Times New Roman" w:hAnsi="Times New Roman"/>
                <w:sz w:val="24"/>
                <w:szCs w:val="24"/>
              </w:rPr>
              <w:t> </w:t>
            </w:r>
            <w:r w:rsidR="008D2129">
              <w:rPr>
                <w:rFonts w:ascii="Times New Roman" w:hAnsi="Times New Roman"/>
                <w:sz w:val="24"/>
                <w:szCs w:val="24"/>
              </w:rPr>
              <w:t>(</w:t>
            </w:r>
            <w:r w:rsidR="00026F8D">
              <w:rPr>
                <w:rFonts w:ascii="Times New Roman" w:hAnsi="Times New Roman"/>
                <w:sz w:val="24"/>
                <w:szCs w:val="24"/>
              </w:rPr>
              <w:t>SOLIFEM</w:t>
            </w:r>
            <w:r w:rsidR="008D2129">
              <w:rPr>
                <w:rFonts w:ascii="Times New Roman" w:hAnsi="Times New Roman"/>
                <w:sz w:val="24"/>
                <w:szCs w:val="24"/>
              </w:rPr>
              <w:t>)</w:t>
            </w:r>
            <w:r w:rsidR="00026F8D">
              <w:rPr>
                <w:rFonts w:ascii="Times New Roman" w:hAnsi="Times New Roman"/>
                <w:sz w:val="24"/>
                <w:szCs w:val="24"/>
              </w:rPr>
              <w:t>.</w:t>
            </w:r>
          </w:p>
          <w:p w14:paraId="7C8E279B" w14:textId="29728864" w:rsidR="003B2F8A" w:rsidRDefault="005D1403" w:rsidP="00C4284B">
            <w:pPr>
              <w:widowControl w:val="0"/>
              <w:spacing w:before="120" w:after="120"/>
              <w:jc w:val="both"/>
              <w:rPr>
                <w:rFonts w:ascii="Times New Roman" w:hAnsi="Times New Roman"/>
                <w:bCs/>
                <w:sz w:val="24"/>
                <w:szCs w:val="24"/>
                <w:lang w:val="en-US"/>
              </w:rPr>
            </w:pPr>
            <w:r>
              <w:rPr>
                <w:rFonts w:ascii="Times New Roman" w:hAnsi="Times New Roman"/>
                <w:sz w:val="24"/>
                <w:szCs w:val="24"/>
              </w:rPr>
              <w:t>Youth empowerment is a particular area of focus for the EU</w:t>
            </w:r>
            <w:r w:rsidR="00DF485D">
              <w:rPr>
                <w:rFonts w:ascii="Times New Roman" w:hAnsi="Times New Roman"/>
                <w:sz w:val="24"/>
                <w:szCs w:val="24"/>
              </w:rPr>
              <w:t xml:space="preserve">, in line with the </w:t>
            </w:r>
            <w:r w:rsidRPr="005D1403">
              <w:rPr>
                <w:rFonts w:ascii="Times New Roman" w:hAnsi="Times New Roman"/>
                <w:bCs/>
                <w:sz w:val="24"/>
                <w:szCs w:val="24"/>
                <w:lang w:val="en-US"/>
              </w:rPr>
              <w:t>EU Youth Strategy</w:t>
            </w:r>
            <w:r w:rsidRPr="005D1403">
              <w:rPr>
                <w:rFonts w:ascii="Times New Roman" w:hAnsi="Times New Roman"/>
                <w:bCs/>
                <w:sz w:val="24"/>
                <w:szCs w:val="24"/>
                <w:vertAlign w:val="superscript"/>
                <w:lang w:val="en-US"/>
              </w:rPr>
              <w:footnoteReference w:id="7"/>
            </w:r>
            <w:r w:rsidRPr="005D1403">
              <w:rPr>
                <w:rFonts w:ascii="Times New Roman" w:hAnsi="Times New Roman"/>
                <w:bCs/>
                <w:sz w:val="24"/>
                <w:szCs w:val="24"/>
                <w:lang w:val="en-US"/>
              </w:rPr>
              <w:t xml:space="preserve"> </w:t>
            </w:r>
            <w:r w:rsidR="00DF485D">
              <w:rPr>
                <w:rFonts w:ascii="Times New Roman" w:hAnsi="Times New Roman"/>
                <w:bCs/>
                <w:sz w:val="24"/>
                <w:szCs w:val="24"/>
                <w:lang w:val="en-US"/>
              </w:rPr>
              <w:t xml:space="preserve">and the </w:t>
            </w:r>
            <w:r w:rsidRPr="005D1403">
              <w:rPr>
                <w:rFonts w:ascii="Times New Roman" w:hAnsi="Times New Roman"/>
                <w:bCs/>
                <w:sz w:val="24"/>
                <w:szCs w:val="24"/>
                <w:lang w:val="en-US"/>
              </w:rPr>
              <w:t xml:space="preserve">Youth Action Plan, the policy framework for support to young people in the EU external action. </w:t>
            </w:r>
            <w:r w:rsidR="003B2F8A">
              <w:rPr>
                <w:rFonts w:ascii="Times New Roman" w:hAnsi="Times New Roman"/>
                <w:bCs/>
                <w:sz w:val="24"/>
                <w:szCs w:val="24"/>
                <w:lang w:val="en-US"/>
              </w:rPr>
              <w:t>Y</w:t>
            </w:r>
            <w:r w:rsidR="003B2F8A" w:rsidRPr="003B2F8A">
              <w:rPr>
                <w:rFonts w:ascii="Times New Roman" w:hAnsi="Times New Roman"/>
                <w:bCs/>
                <w:sz w:val="24"/>
                <w:szCs w:val="24"/>
                <w:lang w:val="en-US"/>
              </w:rPr>
              <w:t xml:space="preserve">outh advisory structures are providing advice to EU Delegations in the MENA region on country-specific priorities. Through regional partners, notably the Union for the Mediterranean and the Anna Lindh Foundation, the EU supports youth actions such as the Mediterranean Youth in Action </w:t>
            </w:r>
            <w:proofErr w:type="spellStart"/>
            <w:r w:rsidR="003B2F8A" w:rsidRPr="003B2F8A">
              <w:rPr>
                <w:rFonts w:ascii="Times New Roman" w:hAnsi="Times New Roman"/>
                <w:bCs/>
                <w:sz w:val="24"/>
                <w:szCs w:val="24"/>
                <w:lang w:val="en-US"/>
              </w:rPr>
              <w:t>Programme</w:t>
            </w:r>
            <w:proofErr w:type="spellEnd"/>
            <w:r w:rsidR="0066753E">
              <w:rPr>
                <w:rStyle w:val="FootnoteReference"/>
                <w:rFonts w:ascii="Times New Roman" w:hAnsi="Times New Roman"/>
                <w:bCs/>
                <w:sz w:val="24"/>
                <w:szCs w:val="24"/>
                <w:lang w:val="en-US"/>
              </w:rPr>
              <w:footnoteReference w:id="8"/>
            </w:r>
            <w:r w:rsidR="003B2F8A" w:rsidRPr="003B2F8A">
              <w:rPr>
                <w:rFonts w:ascii="Times New Roman" w:hAnsi="Times New Roman"/>
                <w:bCs/>
                <w:sz w:val="24"/>
                <w:szCs w:val="24"/>
                <w:lang w:val="en-US"/>
              </w:rPr>
              <w:t xml:space="preserve"> and the Young Civil Society Leadership </w:t>
            </w:r>
            <w:proofErr w:type="spellStart"/>
            <w:r w:rsidR="003B2F8A" w:rsidRPr="003B2F8A">
              <w:rPr>
                <w:rFonts w:ascii="Times New Roman" w:hAnsi="Times New Roman"/>
                <w:bCs/>
                <w:sz w:val="24"/>
                <w:szCs w:val="24"/>
                <w:lang w:val="en-US"/>
              </w:rPr>
              <w:t>Programme</w:t>
            </w:r>
            <w:proofErr w:type="spellEnd"/>
            <w:r w:rsidR="0066753E">
              <w:rPr>
                <w:rStyle w:val="FootnoteReference"/>
                <w:rFonts w:ascii="Times New Roman" w:hAnsi="Times New Roman"/>
                <w:bCs/>
                <w:sz w:val="24"/>
                <w:szCs w:val="24"/>
                <w:lang w:val="en-US"/>
              </w:rPr>
              <w:footnoteReference w:id="9"/>
            </w:r>
            <w:r w:rsidR="003B2F8A" w:rsidRPr="003B2F8A">
              <w:rPr>
                <w:rFonts w:ascii="Times New Roman" w:hAnsi="Times New Roman"/>
                <w:bCs/>
                <w:sz w:val="24"/>
                <w:szCs w:val="24"/>
                <w:lang w:val="en-US"/>
              </w:rPr>
              <w:t>, empowering young people to shape public policy, strengthen leadership, and enhance cooperation across the Euro-Mediterranean region. The Commission is advancing the creation of a Mediterranean University Network to strengthen cooperation in higher education, promote mobility in education and lay the foundations for cutting-edge skills across the region</w:t>
            </w:r>
            <w:r w:rsidR="003B2F8A">
              <w:rPr>
                <w:rFonts w:ascii="Times New Roman" w:hAnsi="Times New Roman"/>
                <w:bCs/>
                <w:sz w:val="24"/>
                <w:szCs w:val="24"/>
                <w:lang w:val="en-US"/>
              </w:rPr>
              <w:t xml:space="preserve">, </w:t>
            </w:r>
            <w:r w:rsidR="003B2F8A" w:rsidRPr="003B2F8A">
              <w:rPr>
                <w:rFonts w:ascii="Times New Roman" w:hAnsi="Times New Roman"/>
                <w:bCs/>
                <w:sz w:val="24"/>
                <w:szCs w:val="24"/>
                <w:lang w:val="en-US"/>
              </w:rPr>
              <w:t>and will set</w:t>
            </w:r>
            <w:r w:rsidR="003B2F8A">
              <w:rPr>
                <w:rFonts w:ascii="Times New Roman" w:hAnsi="Times New Roman"/>
                <w:bCs/>
                <w:sz w:val="24"/>
                <w:szCs w:val="24"/>
                <w:lang w:val="en-US"/>
              </w:rPr>
              <w:t>-up a Youth Parliamentary Assembly.</w:t>
            </w:r>
          </w:p>
          <w:p w14:paraId="020B680C" w14:textId="4526BD0A" w:rsidR="00DF485D" w:rsidRDefault="00026F8D" w:rsidP="00C4284B">
            <w:pPr>
              <w:widowControl w:val="0"/>
              <w:spacing w:before="120" w:after="120"/>
              <w:jc w:val="both"/>
              <w:rPr>
                <w:rFonts w:ascii="Times New Roman" w:hAnsi="Times New Roman"/>
                <w:bCs/>
                <w:sz w:val="24"/>
                <w:szCs w:val="24"/>
                <w:lang w:val="en-US"/>
              </w:rPr>
            </w:pPr>
            <w:r>
              <w:rPr>
                <w:rFonts w:ascii="Times New Roman" w:hAnsi="Times New Roman"/>
                <w:bCs/>
                <w:sz w:val="24"/>
                <w:szCs w:val="24"/>
                <w:lang w:val="en-US"/>
              </w:rPr>
              <w:t>The</w:t>
            </w:r>
            <w:r w:rsidR="005D1403" w:rsidRPr="005D1403">
              <w:rPr>
                <w:rFonts w:ascii="Times New Roman" w:hAnsi="Times New Roman"/>
                <w:bCs/>
                <w:sz w:val="24"/>
                <w:szCs w:val="24"/>
                <w:lang w:val="en-US"/>
              </w:rPr>
              <w:t xml:space="preserve"> EU flagship </w:t>
            </w:r>
            <w:proofErr w:type="spellStart"/>
            <w:r w:rsidR="005D1403" w:rsidRPr="005D1403">
              <w:rPr>
                <w:rFonts w:ascii="Times New Roman" w:hAnsi="Times New Roman"/>
                <w:bCs/>
                <w:sz w:val="24"/>
                <w:szCs w:val="24"/>
                <w:lang w:val="en-US"/>
              </w:rPr>
              <w:t>programme</w:t>
            </w:r>
            <w:proofErr w:type="spellEnd"/>
            <w:r w:rsidR="005D1403" w:rsidRPr="005D1403">
              <w:rPr>
                <w:rFonts w:ascii="Times New Roman" w:hAnsi="Times New Roman"/>
                <w:bCs/>
                <w:sz w:val="24"/>
                <w:szCs w:val="24"/>
                <w:lang w:val="en-US"/>
              </w:rPr>
              <w:t xml:space="preserve"> Erasmus+</w:t>
            </w:r>
            <w:r w:rsidR="005D1403" w:rsidRPr="005D1403">
              <w:rPr>
                <w:rFonts w:ascii="Times New Roman" w:hAnsi="Times New Roman"/>
                <w:bCs/>
                <w:sz w:val="24"/>
                <w:szCs w:val="24"/>
                <w:vertAlign w:val="superscript"/>
                <w:lang w:val="en-US"/>
              </w:rPr>
              <w:footnoteReference w:id="10"/>
            </w:r>
            <w:r w:rsidR="005D1403" w:rsidRPr="005D1403">
              <w:rPr>
                <w:rFonts w:ascii="Times New Roman" w:hAnsi="Times New Roman"/>
                <w:bCs/>
                <w:sz w:val="24"/>
                <w:szCs w:val="24"/>
                <w:lang w:val="en-US"/>
              </w:rPr>
              <w:t xml:space="preserve"> is implemented in the Mediterranean region and has benefited </w:t>
            </w:r>
            <w:r w:rsidR="005D1403" w:rsidRPr="005D1403">
              <w:rPr>
                <w:rFonts w:ascii="Times New Roman" w:hAnsi="Times New Roman"/>
                <w:sz w:val="24"/>
                <w:szCs w:val="24"/>
                <w:lang w:val="en-US"/>
              </w:rPr>
              <w:t>approximately 25 000 people</w:t>
            </w:r>
            <w:r w:rsidR="005D1403" w:rsidRPr="005D1403">
              <w:rPr>
                <w:rFonts w:ascii="Times New Roman" w:hAnsi="Times New Roman"/>
                <w:bCs/>
                <w:sz w:val="24"/>
                <w:szCs w:val="24"/>
                <w:lang w:val="en-US"/>
              </w:rPr>
              <w:t xml:space="preserve"> (students and staff) between 2022-2024. </w:t>
            </w:r>
            <w:r w:rsidR="005D1403" w:rsidRPr="005D1403">
              <w:rPr>
                <w:rFonts w:ascii="Times New Roman" w:hAnsi="Times New Roman"/>
                <w:sz w:val="24"/>
                <w:szCs w:val="24"/>
                <w:lang w:val="en-US"/>
              </w:rPr>
              <w:t>Around 17 200 people</w:t>
            </w:r>
            <w:r w:rsidR="005D1403" w:rsidRPr="005D1403">
              <w:rPr>
                <w:rFonts w:ascii="Times New Roman" w:hAnsi="Times New Roman"/>
                <w:bCs/>
                <w:sz w:val="24"/>
                <w:szCs w:val="24"/>
                <w:lang w:val="en-US"/>
              </w:rPr>
              <w:t xml:space="preserve"> from the Southern </w:t>
            </w:r>
            <w:proofErr w:type="spellStart"/>
            <w:r w:rsidR="005D1403" w:rsidRPr="005D1403">
              <w:rPr>
                <w:rFonts w:ascii="Times New Roman" w:hAnsi="Times New Roman"/>
                <w:bCs/>
                <w:sz w:val="24"/>
                <w:szCs w:val="24"/>
                <w:lang w:val="en-US"/>
              </w:rPr>
              <w:t>Neighbo</w:t>
            </w:r>
            <w:r w:rsidR="005978A2">
              <w:rPr>
                <w:rFonts w:ascii="Times New Roman" w:hAnsi="Times New Roman"/>
                <w:bCs/>
                <w:sz w:val="24"/>
                <w:szCs w:val="24"/>
                <w:lang w:val="en-US"/>
              </w:rPr>
              <w:t>u</w:t>
            </w:r>
            <w:r w:rsidR="005D1403" w:rsidRPr="005D1403">
              <w:rPr>
                <w:rFonts w:ascii="Times New Roman" w:hAnsi="Times New Roman"/>
                <w:bCs/>
                <w:sz w:val="24"/>
                <w:szCs w:val="24"/>
                <w:lang w:val="en-US"/>
              </w:rPr>
              <w:t>rhood</w:t>
            </w:r>
            <w:proofErr w:type="spellEnd"/>
            <w:r w:rsidR="005D1403" w:rsidRPr="005D1403">
              <w:rPr>
                <w:rFonts w:ascii="Times New Roman" w:hAnsi="Times New Roman"/>
                <w:bCs/>
                <w:sz w:val="24"/>
                <w:szCs w:val="24"/>
                <w:lang w:val="en-US"/>
              </w:rPr>
              <w:t xml:space="preserve"> </w:t>
            </w:r>
            <w:r w:rsidR="005D1403" w:rsidRPr="005D1403">
              <w:rPr>
                <w:rFonts w:ascii="Times New Roman" w:hAnsi="Times New Roman"/>
                <w:sz w:val="24"/>
                <w:szCs w:val="24"/>
                <w:lang w:val="en-US"/>
              </w:rPr>
              <w:t>participated in mobility actions</w:t>
            </w:r>
            <w:r w:rsidR="005D1403" w:rsidRPr="005D1403">
              <w:rPr>
                <w:rFonts w:ascii="Times New Roman" w:hAnsi="Times New Roman"/>
                <w:bCs/>
                <w:sz w:val="24"/>
                <w:szCs w:val="24"/>
                <w:lang w:val="en-US"/>
              </w:rPr>
              <w:t xml:space="preserve"> to Europe, while </w:t>
            </w:r>
            <w:r w:rsidR="005D1403" w:rsidRPr="005D1403">
              <w:rPr>
                <w:rFonts w:ascii="Times New Roman" w:hAnsi="Times New Roman"/>
                <w:sz w:val="24"/>
                <w:szCs w:val="24"/>
                <w:lang w:val="en-US"/>
              </w:rPr>
              <w:t xml:space="preserve">around 7 800 </w:t>
            </w:r>
            <w:r w:rsidR="005D1403" w:rsidRPr="005D1403">
              <w:rPr>
                <w:rFonts w:ascii="Times New Roman" w:hAnsi="Times New Roman"/>
                <w:bCs/>
                <w:sz w:val="24"/>
                <w:szCs w:val="24"/>
                <w:lang w:val="en-US"/>
              </w:rPr>
              <w:t xml:space="preserve">people from Europe </w:t>
            </w:r>
            <w:r w:rsidR="005D1403" w:rsidRPr="005D1403">
              <w:rPr>
                <w:rFonts w:ascii="Times New Roman" w:hAnsi="Times New Roman"/>
                <w:sz w:val="24"/>
                <w:szCs w:val="24"/>
                <w:lang w:val="en-US"/>
              </w:rPr>
              <w:t xml:space="preserve">participated in mobility actions </w:t>
            </w:r>
            <w:r w:rsidR="005D1403" w:rsidRPr="005D1403">
              <w:rPr>
                <w:rFonts w:ascii="Times New Roman" w:hAnsi="Times New Roman"/>
                <w:bCs/>
                <w:sz w:val="24"/>
                <w:szCs w:val="24"/>
                <w:lang w:val="en-US"/>
              </w:rPr>
              <w:t>to the Southern Neighborhood.</w:t>
            </w:r>
          </w:p>
          <w:p w14:paraId="13D6230F" w14:textId="37C13E1A" w:rsidR="005D1403" w:rsidRDefault="005D1403" w:rsidP="00C4284B">
            <w:pPr>
              <w:widowControl w:val="0"/>
              <w:spacing w:before="120" w:after="120"/>
              <w:jc w:val="both"/>
              <w:rPr>
                <w:rFonts w:ascii="Times New Roman" w:hAnsi="Times New Roman"/>
                <w:sz w:val="24"/>
                <w:szCs w:val="24"/>
              </w:rPr>
            </w:pPr>
            <w:r w:rsidRPr="005D1403">
              <w:rPr>
                <w:rFonts w:ascii="Times New Roman" w:hAnsi="Times New Roman"/>
                <w:bCs/>
                <w:sz w:val="24"/>
                <w:szCs w:val="24"/>
                <w:lang w:val="en-US"/>
              </w:rPr>
              <w:t xml:space="preserve">The specific needs of young people ‘Not in Education, Employment or Training’ (NEETs) are of particular interest. The Commission </w:t>
            </w:r>
            <w:r w:rsidR="005978A2">
              <w:rPr>
                <w:rFonts w:ascii="Times New Roman" w:hAnsi="Times New Roman"/>
                <w:bCs/>
                <w:sz w:val="24"/>
                <w:szCs w:val="24"/>
                <w:lang w:val="en-US"/>
              </w:rPr>
              <w:t xml:space="preserve">partners with the International </w:t>
            </w:r>
            <w:proofErr w:type="spellStart"/>
            <w:r w:rsidR="005978A2">
              <w:rPr>
                <w:rFonts w:ascii="Times New Roman" w:hAnsi="Times New Roman"/>
                <w:bCs/>
                <w:sz w:val="24"/>
                <w:szCs w:val="24"/>
                <w:lang w:val="en-US"/>
              </w:rPr>
              <w:t>Labour</w:t>
            </w:r>
            <w:proofErr w:type="spellEnd"/>
            <w:r w:rsidR="005978A2">
              <w:rPr>
                <w:rFonts w:ascii="Times New Roman" w:hAnsi="Times New Roman"/>
                <w:bCs/>
                <w:sz w:val="24"/>
                <w:szCs w:val="24"/>
                <w:lang w:val="en-US"/>
              </w:rPr>
              <w:t xml:space="preserve"> </w:t>
            </w:r>
            <w:proofErr w:type="spellStart"/>
            <w:r w:rsidR="005978A2">
              <w:rPr>
                <w:rFonts w:ascii="Times New Roman" w:hAnsi="Times New Roman"/>
                <w:bCs/>
                <w:sz w:val="24"/>
                <w:szCs w:val="24"/>
                <w:lang w:val="en-US"/>
              </w:rPr>
              <w:t>Organisation</w:t>
            </w:r>
            <w:proofErr w:type="spellEnd"/>
            <w:r w:rsidR="005978A2">
              <w:rPr>
                <w:rFonts w:ascii="Times New Roman" w:hAnsi="Times New Roman"/>
                <w:bCs/>
                <w:sz w:val="24"/>
                <w:szCs w:val="24"/>
                <w:lang w:val="en-US"/>
              </w:rPr>
              <w:t xml:space="preserve"> on a</w:t>
            </w:r>
            <w:r w:rsidR="00C4284B">
              <w:rPr>
                <w:rFonts w:ascii="Times New Roman" w:hAnsi="Times New Roman"/>
                <w:bCs/>
                <w:sz w:val="24"/>
                <w:szCs w:val="24"/>
                <w:lang w:val="en-US"/>
              </w:rPr>
              <w:t> </w:t>
            </w:r>
            <w:r w:rsidR="005978A2">
              <w:rPr>
                <w:rFonts w:ascii="Times New Roman" w:hAnsi="Times New Roman"/>
                <w:bCs/>
                <w:sz w:val="24"/>
                <w:szCs w:val="24"/>
                <w:lang w:val="en-US"/>
              </w:rPr>
              <w:t>regional initiative to ‘s</w:t>
            </w:r>
            <w:r w:rsidRPr="005D1403">
              <w:rPr>
                <w:rFonts w:ascii="Times New Roman" w:hAnsi="Times New Roman"/>
                <w:bCs/>
                <w:sz w:val="24"/>
                <w:szCs w:val="24"/>
                <w:lang w:val="en-US"/>
              </w:rPr>
              <w:t>upport to Youth NEETs in the Southern Mediterranean’</w:t>
            </w:r>
            <w:r w:rsidR="005978A2">
              <w:rPr>
                <w:rFonts w:ascii="Times New Roman" w:hAnsi="Times New Roman"/>
                <w:bCs/>
                <w:sz w:val="24"/>
                <w:szCs w:val="24"/>
                <w:lang w:val="en-US"/>
              </w:rPr>
              <w:t xml:space="preserve"> to </w:t>
            </w:r>
            <w:r w:rsidRPr="005D1403">
              <w:rPr>
                <w:rFonts w:ascii="Times New Roman" w:hAnsi="Times New Roman"/>
                <w:bCs/>
                <w:sz w:val="24"/>
                <w:szCs w:val="24"/>
                <w:lang w:val="en-US"/>
              </w:rPr>
              <w:t>mak</w:t>
            </w:r>
            <w:r w:rsidR="005978A2">
              <w:rPr>
                <w:rFonts w:ascii="Times New Roman" w:hAnsi="Times New Roman"/>
                <w:bCs/>
                <w:sz w:val="24"/>
                <w:szCs w:val="24"/>
                <w:lang w:val="en-US"/>
              </w:rPr>
              <w:t>e</w:t>
            </w:r>
            <w:r w:rsidRPr="005D1403">
              <w:rPr>
                <w:rFonts w:ascii="Times New Roman" w:hAnsi="Times New Roman"/>
                <w:bCs/>
                <w:sz w:val="24"/>
                <w:szCs w:val="24"/>
                <w:lang w:val="en-US"/>
              </w:rPr>
              <w:t xml:space="preserve"> public policies and practices more effective and responsive to their needs. Based on a demand-driven approach, a</w:t>
            </w:r>
            <w:r w:rsidR="00F62F80">
              <w:rPr>
                <w:rFonts w:ascii="Times New Roman" w:hAnsi="Times New Roman"/>
                <w:bCs/>
                <w:sz w:val="24"/>
                <w:szCs w:val="24"/>
                <w:lang w:val="en-US"/>
              </w:rPr>
              <w:t xml:space="preserve"> </w:t>
            </w:r>
            <w:r w:rsidRPr="005D1403">
              <w:rPr>
                <w:rFonts w:ascii="Times New Roman" w:hAnsi="Times New Roman"/>
                <w:bCs/>
                <w:sz w:val="24"/>
                <w:szCs w:val="24"/>
                <w:lang w:val="en-US"/>
              </w:rPr>
              <w:t xml:space="preserve">technical assistance facility </w:t>
            </w:r>
            <w:r w:rsidR="005978A2">
              <w:rPr>
                <w:rFonts w:ascii="Times New Roman" w:hAnsi="Times New Roman"/>
                <w:bCs/>
                <w:sz w:val="24"/>
                <w:szCs w:val="24"/>
                <w:lang w:val="en-US"/>
              </w:rPr>
              <w:t>and</w:t>
            </w:r>
            <w:r w:rsidRPr="005D1403">
              <w:rPr>
                <w:rFonts w:ascii="Times New Roman" w:hAnsi="Times New Roman"/>
                <w:bCs/>
                <w:sz w:val="24"/>
                <w:szCs w:val="24"/>
                <w:lang w:val="en-US"/>
              </w:rPr>
              <w:t xml:space="preserve"> as regional peer-exchanges, the project takes inspiration from the EU Youth Guarantee.</w:t>
            </w:r>
          </w:p>
          <w:p w14:paraId="7ED001F5" w14:textId="6B6DAF94" w:rsidR="003F0DCF" w:rsidRPr="003F0DCF" w:rsidRDefault="005D1403" w:rsidP="00C4284B">
            <w:pPr>
              <w:widowControl w:val="0"/>
              <w:spacing w:before="120" w:after="120"/>
              <w:jc w:val="both"/>
              <w:rPr>
                <w:rFonts w:ascii="Times New Roman" w:hAnsi="Times New Roman"/>
                <w:sz w:val="24"/>
                <w:szCs w:val="24"/>
                <w:lang w:val="en-US"/>
              </w:rPr>
            </w:pPr>
            <w:r>
              <w:rPr>
                <w:rFonts w:ascii="Times New Roman" w:hAnsi="Times New Roman"/>
                <w:sz w:val="24"/>
                <w:szCs w:val="24"/>
                <w:lang w:val="en-US"/>
              </w:rPr>
              <w:t>As regards the energy sector, t</w:t>
            </w:r>
            <w:r w:rsidR="003F0DCF">
              <w:rPr>
                <w:rFonts w:ascii="Times New Roman" w:hAnsi="Times New Roman"/>
                <w:sz w:val="24"/>
                <w:szCs w:val="24"/>
                <w:lang w:val="en-US"/>
              </w:rPr>
              <w:t xml:space="preserve">he </w:t>
            </w:r>
            <w:r w:rsidR="00A30143">
              <w:rPr>
                <w:rFonts w:ascii="Times New Roman" w:hAnsi="Times New Roman"/>
                <w:sz w:val="24"/>
                <w:szCs w:val="24"/>
                <w:lang w:val="en-US"/>
              </w:rPr>
              <w:t xml:space="preserve">Commission </w:t>
            </w:r>
            <w:r w:rsidR="00170A01">
              <w:rPr>
                <w:rFonts w:ascii="Times New Roman" w:hAnsi="Times New Roman"/>
                <w:sz w:val="24"/>
                <w:szCs w:val="24"/>
                <w:lang w:val="en-US"/>
              </w:rPr>
              <w:t xml:space="preserve">is </w:t>
            </w:r>
            <w:r w:rsidR="005978A2">
              <w:rPr>
                <w:rFonts w:ascii="Times New Roman" w:hAnsi="Times New Roman"/>
                <w:sz w:val="24"/>
                <w:szCs w:val="24"/>
                <w:lang w:val="en-US"/>
              </w:rPr>
              <w:t>su</w:t>
            </w:r>
            <w:r w:rsidR="003F0DCF" w:rsidRPr="003F0DCF">
              <w:rPr>
                <w:rFonts w:ascii="Times New Roman" w:hAnsi="Times New Roman"/>
                <w:sz w:val="24"/>
                <w:szCs w:val="24"/>
                <w:lang w:val="en-US"/>
              </w:rPr>
              <w:t>pport</w:t>
            </w:r>
            <w:r w:rsidR="00170A01">
              <w:rPr>
                <w:rFonts w:ascii="Times New Roman" w:hAnsi="Times New Roman"/>
                <w:sz w:val="24"/>
                <w:szCs w:val="24"/>
                <w:lang w:val="en-US"/>
              </w:rPr>
              <w:t>ing</w:t>
            </w:r>
            <w:r w:rsidR="003F0DCF" w:rsidRPr="003F0DCF">
              <w:rPr>
                <w:rFonts w:ascii="Times New Roman" w:hAnsi="Times New Roman"/>
                <w:sz w:val="24"/>
                <w:szCs w:val="24"/>
                <w:lang w:val="en-US"/>
              </w:rPr>
              <w:t xml:space="preserve"> </w:t>
            </w:r>
            <w:r w:rsidR="00170A01">
              <w:rPr>
                <w:rFonts w:ascii="Times New Roman" w:hAnsi="Times New Roman"/>
                <w:sz w:val="24"/>
                <w:szCs w:val="24"/>
                <w:lang w:val="en-US"/>
              </w:rPr>
              <w:t>the rollout of renewable energy across the region, improving grid capacity and addressing access issues. At regional level</w:t>
            </w:r>
            <w:r w:rsidR="00467996">
              <w:rPr>
                <w:rFonts w:ascii="Times New Roman" w:hAnsi="Times New Roman"/>
                <w:sz w:val="24"/>
                <w:szCs w:val="24"/>
                <w:lang w:val="en-US"/>
              </w:rPr>
              <w:t>, the Commission is</w:t>
            </w:r>
            <w:r w:rsidR="00170A01">
              <w:rPr>
                <w:rFonts w:ascii="Times New Roman" w:hAnsi="Times New Roman"/>
                <w:sz w:val="24"/>
                <w:szCs w:val="24"/>
                <w:lang w:val="en-US"/>
              </w:rPr>
              <w:t xml:space="preserve"> working to enhance </w:t>
            </w:r>
            <w:r w:rsidR="003F0DCF" w:rsidRPr="003F0DCF">
              <w:rPr>
                <w:rFonts w:ascii="Times New Roman" w:hAnsi="Times New Roman"/>
                <w:sz w:val="24"/>
                <w:szCs w:val="24"/>
                <w:lang w:val="en-US"/>
              </w:rPr>
              <w:t xml:space="preserve">electricity interconnections </w:t>
            </w:r>
            <w:r w:rsidR="00170A01">
              <w:rPr>
                <w:rFonts w:ascii="Times New Roman" w:hAnsi="Times New Roman"/>
                <w:sz w:val="24"/>
                <w:szCs w:val="24"/>
                <w:lang w:val="en-US"/>
              </w:rPr>
              <w:t>between</w:t>
            </w:r>
            <w:r w:rsidR="003F0DCF" w:rsidRPr="003F0DCF">
              <w:rPr>
                <w:rFonts w:ascii="Times New Roman" w:hAnsi="Times New Roman"/>
                <w:sz w:val="24"/>
                <w:szCs w:val="24"/>
                <w:lang w:val="en-US"/>
              </w:rPr>
              <w:t xml:space="preserve"> countries </w:t>
            </w:r>
            <w:r w:rsidR="00170A01">
              <w:rPr>
                <w:rFonts w:ascii="Times New Roman" w:hAnsi="Times New Roman"/>
                <w:sz w:val="24"/>
                <w:szCs w:val="24"/>
                <w:lang w:val="en-US"/>
              </w:rPr>
              <w:t xml:space="preserve">which can bring </w:t>
            </w:r>
            <w:r w:rsidR="003F0DCF" w:rsidRPr="003F0DCF">
              <w:rPr>
                <w:rFonts w:ascii="Times New Roman" w:hAnsi="Times New Roman"/>
                <w:sz w:val="24"/>
                <w:szCs w:val="24"/>
                <w:lang w:val="en-US"/>
              </w:rPr>
              <w:t>economic and societal development benefits for the region.</w:t>
            </w:r>
          </w:p>
          <w:p w14:paraId="5EC05F9A" w14:textId="00C1B8A5" w:rsidR="0049246C" w:rsidRDefault="003F0DCF" w:rsidP="00C4284B">
            <w:pPr>
              <w:widowControl w:val="0"/>
              <w:spacing w:before="120" w:after="120"/>
              <w:jc w:val="both"/>
              <w:rPr>
                <w:rFonts w:ascii="Times New Roman" w:hAnsi="Times New Roman"/>
                <w:sz w:val="24"/>
                <w:szCs w:val="24"/>
                <w:lang w:val="en-US"/>
              </w:rPr>
            </w:pPr>
            <w:r w:rsidRPr="003F0DCF">
              <w:rPr>
                <w:rFonts w:ascii="Times New Roman" w:hAnsi="Times New Roman"/>
                <w:sz w:val="24"/>
                <w:szCs w:val="24"/>
                <w:lang w:val="en-US"/>
              </w:rPr>
              <w:t xml:space="preserve">The </w:t>
            </w:r>
            <w:r w:rsidR="00A30143">
              <w:rPr>
                <w:rFonts w:ascii="Times New Roman" w:hAnsi="Times New Roman"/>
                <w:sz w:val="24"/>
                <w:szCs w:val="24"/>
                <w:lang w:val="en-US"/>
              </w:rPr>
              <w:t>Commission</w:t>
            </w:r>
            <w:r w:rsidRPr="003F0DCF">
              <w:rPr>
                <w:rFonts w:ascii="Times New Roman" w:hAnsi="Times New Roman"/>
                <w:sz w:val="24"/>
                <w:szCs w:val="24"/>
                <w:lang w:val="en-US"/>
              </w:rPr>
              <w:t xml:space="preserve"> recognizes the potential for clean tech entrepreneurship and aims to facilitate identification of clean tech sectors with high growth potential in the MENA region by analyzing existing clean tech value chains and potential for diversification as well as required conditions such as re-skilling </w:t>
            </w:r>
            <w:r w:rsidR="00752B2F">
              <w:rPr>
                <w:rFonts w:ascii="Times New Roman" w:hAnsi="Times New Roman"/>
                <w:sz w:val="24"/>
                <w:szCs w:val="24"/>
                <w:lang w:val="en-US"/>
              </w:rPr>
              <w:t xml:space="preserve">the </w:t>
            </w:r>
            <w:proofErr w:type="spellStart"/>
            <w:r w:rsidRPr="003F0DCF">
              <w:rPr>
                <w:rFonts w:ascii="Times New Roman" w:hAnsi="Times New Roman"/>
                <w:sz w:val="24"/>
                <w:szCs w:val="24"/>
                <w:lang w:val="en-US"/>
              </w:rPr>
              <w:t>labour</w:t>
            </w:r>
            <w:proofErr w:type="spellEnd"/>
            <w:r w:rsidRPr="003F0DCF">
              <w:rPr>
                <w:rFonts w:ascii="Times New Roman" w:hAnsi="Times New Roman"/>
                <w:sz w:val="24"/>
                <w:szCs w:val="24"/>
                <w:lang w:val="en-US"/>
              </w:rPr>
              <w:t xml:space="preserve"> force, incentive schemes and regulatory frameworks. The results aim to foster entrepreneurship by enabling the expansion of local manufacturing capabilities and reducing investment barriers, particularly in the MENA region’s emerging clean energy markets.</w:t>
            </w:r>
          </w:p>
          <w:p w14:paraId="30D14481" w14:textId="66AC24F8" w:rsidR="005D1403" w:rsidRPr="005D1403" w:rsidRDefault="005D1403" w:rsidP="00C4284B">
            <w:pPr>
              <w:widowControl w:val="0"/>
              <w:spacing w:before="120" w:after="120"/>
              <w:jc w:val="both"/>
              <w:rPr>
                <w:rFonts w:ascii="Times New Roman" w:hAnsi="Times New Roman"/>
                <w:sz w:val="24"/>
                <w:szCs w:val="24"/>
              </w:rPr>
            </w:pPr>
            <w:r>
              <w:rPr>
                <w:rFonts w:ascii="Times New Roman" w:hAnsi="Times New Roman"/>
                <w:sz w:val="24"/>
                <w:szCs w:val="24"/>
              </w:rPr>
              <w:lastRenderedPageBreak/>
              <w:t xml:space="preserve">Finally, </w:t>
            </w:r>
            <w:r w:rsidRPr="00887517">
              <w:rPr>
                <w:rFonts w:ascii="Times New Roman" w:hAnsi="Times New Roman"/>
                <w:sz w:val="24"/>
                <w:szCs w:val="24"/>
              </w:rPr>
              <w:t>macroeconomic stability</w:t>
            </w:r>
            <w:r>
              <w:rPr>
                <w:rFonts w:ascii="Times New Roman" w:hAnsi="Times New Roman"/>
                <w:sz w:val="24"/>
                <w:szCs w:val="24"/>
              </w:rPr>
              <w:t xml:space="preserve">, conducive business climate, governance, and structural reforms (including on tax, public finance management and </w:t>
            </w:r>
            <w:r w:rsidRPr="00887517">
              <w:rPr>
                <w:rFonts w:ascii="Times New Roman" w:hAnsi="Times New Roman"/>
                <w:sz w:val="24"/>
                <w:szCs w:val="24"/>
              </w:rPr>
              <w:t>labour laws),</w:t>
            </w:r>
            <w:r>
              <w:rPr>
                <w:rFonts w:ascii="Times New Roman" w:hAnsi="Times New Roman"/>
                <w:sz w:val="24"/>
                <w:szCs w:val="24"/>
              </w:rPr>
              <w:t xml:space="preserve"> </w:t>
            </w:r>
            <w:r w:rsidRPr="00887517">
              <w:rPr>
                <w:rFonts w:ascii="Times New Roman" w:hAnsi="Times New Roman"/>
                <w:sz w:val="24"/>
                <w:szCs w:val="24"/>
              </w:rPr>
              <w:t>remain key for an environment more conducive to job creation</w:t>
            </w:r>
            <w:r>
              <w:rPr>
                <w:rFonts w:ascii="Times New Roman" w:hAnsi="Times New Roman"/>
                <w:sz w:val="24"/>
                <w:szCs w:val="24"/>
              </w:rPr>
              <w:t xml:space="preserve"> and sustainable growth</w:t>
            </w:r>
            <w:r w:rsidR="00170A01">
              <w:rPr>
                <w:rFonts w:ascii="Times New Roman" w:hAnsi="Times New Roman"/>
                <w:sz w:val="24"/>
                <w:szCs w:val="24"/>
              </w:rPr>
              <w:t xml:space="preserve"> and are the heart of </w:t>
            </w:r>
            <w:r w:rsidR="00297799">
              <w:rPr>
                <w:rFonts w:ascii="Times New Roman" w:hAnsi="Times New Roman"/>
                <w:sz w:val="24"/>
                <w:szCs w:val="24"/>
              </w:rPr>
              <w:t xml:space="preserve">the </w:t>
            </w:r>
            <w:proofErr w:type="gramStart"/>
            <w:r w:rsidR="00170A01">
              <w:rPr>
                <w:rFonts w:ascii="Times New Roman" w:hAnsi="Times New Roman"/>
                <w:sz w:val="24"/>
                <w:szCs w:val="24"/>
              </w:rPr>
              <w:t>Commission</w:t>
            </w:r>
            <w:r w:rsidR="00297799">
              <w:rPr>
                <w:rFonts w:ascii="Times New Roman" w:hAnsi="Times New Roman"/>
                <w:sz w:val="24"/>
                <w:szCs w:val="24"/>
              </w:rPr>
              <w:t xml:space="preserve">’s </w:t>
            </w:r>
            <w:r w:rsidR="00170A01">
              <w:rPr>
                <w:rFonts w:ascii="Times New Roman" w:hAnsi="Times New Roman"/>
                <w:sz w:val="24"/>
                <w:szCs w:val="24"/>
              </w:rPr>
              <w:t xml:space="preserve"> bilateral</w:t>
            </w:r>
            <w:proofErr w:type="gramEnd"/>
            <w:r w:rsidR="00170A01">
              <w:rPr>
                <w:rFonts w:ascii="Times New Roman" w:hAnsi="Times New Roman"/>
                <w:sz w:val="24"/>
                <w:szCs w:val="24"/>
              </w:rPr>
              <w:t xml:space="preserve"> cooperation in each of the countries</w:t>
            </w:r>
            <w:r w:rsidR="00906A99">
              <w:rPr>
                <w:rFonts w:ascii="Times New Roman" w:hAnsi="Times New Roman"/>
                <w:sz w:val="24"/>
                <w:szCs w:val="24"/>
              </w:rPr>
              <w:t>.</w:t>
            </w:r>
          </w:p>
        </w:tc>
      </w:tr>
    </w:tbl>
    <w:p w14:paraId="4B31F071" w14:textId="77777777" w:rsidR="00077C4F" w:rsidRPr="00A900AF" w:rsidRDefault="00077C4F" w:rsidP="00077C4F">
      <w:pPr>
        <w:rPr>
          <w:rFonts w:ascii="Times New Roman" w:hAnsi="Times New Roman"/>
          <w:sz w:val="2"/>
          <w:szCs w:val="2"/>
        </w:rPr>
      </w:pPr>
    </w:p>
    <w:sectPr w:rsidR="00077C4F" w:rsidRPr="00A900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F05C" w14:textId="77777777" w:rsidR="003B42AC" w:rsidRDefault="003B42AC" w:rsidP="00FF63EA">
      <w:pPr>
        <w:spacing w:after="0" w:line="240" w:lineRule="auto"/>
      </w:pPr>
      <w:r>
        <w:separator/>
      </w:r>
    </w:p>
  </w:endnote>
  <w:endnote w:type="continuationSeparator" w:id="0">
    <w:p w14:paraId="52E16925" w14:textId="77777777" w:rsidR="003B42AC" w:rsidRDefault="003B42AC"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6596" w14:textId="77777777" w:rsidR="003B42AC" w:rsidRDefault="003B42AC" w:rsidP="00FF63EA">
      <w:pPr>
        <w:spacing w:after="0" w:line="240" w:lineRule="auto"/>
      </w:pPr>
      <w:r>
        <w:separator/>
      </w:r>
    </w:p>
  </w:footnote>
  <w:footnote w:type="continuationSeparator" w:id="0">
    <w:p w14:paraId="254F65A6" w14:textId="77777777" w:rsidR="003B42AC" w:rsidRDefault="003B42AC" w:rsidP="00FF63EA">
      <w:pPr>
        <w:spacing w:after="0" w:line="240" w:lineRule="auto"/>
      </w:pPr>
      <w:r>
        <w:continuationSeparator/>
      </w:r>
    </w:p>
  </w:footnote>
  <w:footnote w:id="1">
    <w:p w14:paraId="4490A84B" w14:textId="586185E3" w:rsidR="000E2E45" w:rsidRPr="002C7C39" w:rsidRDefault="000E2E45" w:rsidP="002C7C39">
      <w:pPr>
        <w:pStyle w:val="FootnoteText"/>
        <w:widowControl w:val="0"/>
        <w:spacing w:after="0" w:line="240" w:lineRule="auto"/>
        <w:ind w:left="142" w:right="-284" w:hanging="284"/>
        <w:jc w:val="both"/>
        <w:rPr>
          <w:rStyle w:val="FootnoteReference"/>
          <w:rFonts w:ascii="Times New Roman" w:hAnsi="Times New Roman"/>
          <w:vertAlign w:val="baseline"/>
          <w:lang w:val="fr-BE"/>
        </w:rPr>
      </w:pPr>
      <w:r w:rsidRPr="002C7C39">
        <w:rPr>
          <w:rStyle w:val="FootnoteReference"/>
          <w:rFonts w:ascii="Times New Roman" w:hAnsi="Times New Roman"/>
        </w:rPr>
        <w:footnoteRef/>
      </w:r>
      <w:r w:rsidR="00C4284B" w:rsidRPr="002C7C39">
        <w:rPr>
          <w:rFonts w:ascii="Times New Roman" w:hAnsi="Times New Roman"/>
          <w:lang w:val="fr-BE"/>
        </w:rPr>
        <w:tab/>
      </w:r>
      <w:proofErr w:type="gramStart"/>
      <w:r w:rsidR="00F127EC" w:rsidRPr="002C7C39">
        <w:rPr>
          <w:rFonts w:ascii="Times New Roman" w:hAnsi="Times New Roman"/>
          <w:lang w:val="fr-BE"/>
        </w:rPr>
        <w:t>JOIN(</w:t>
      </w:r>
      <w:proofErr w:type="gramEnd"/>
      <w:r w:rsidR="00F127EC" w:rsidRPr="002C7C39">
        <w:rPr>
          <w:rFonts w:ascii="Times New Roman" w:hAnsi="Times New Roman"/>
          <w:lang w:val="fr-BE"/>
        </w:rPr>
        <w:t>2021) 2 final (</w:t>
      </w:r>
      <w:hyperlink r:id="rId1" w:history="1">
        <w:r w:rsidR="00F127EC" w:rsidRPr="002C7C39">
          <w:rPr>
            <w:rStyle w:val="Hyperlink"/>
            <w:rFonts w:ascii="Times New Roman" w:hAnsi="Times New Roman"/>
            <w:lang w:val="fr-BE"/>
          </w:rPr>
          <w:t>EUR-Lex - 52021JC0002 - EN - EUR-Lex</w:t>
        </w:r>
      </w:hyperlink>
      <w:r w:rsidR="00F127EC" w:rsidRPr="002C7C39">
        <w:rPr>
          <w:rFonts w:ascii="Times New Roman" w:hAnsi="Times New Roman"/>
          <w:lang w:val="fr-BE"/>
        </w:rPr>
        <w:t>)</w:t>
      </w:r>
      <w:r w:rsidR="00C4284B" w:rsidRPr="002C7C39">
        <w:rPr>
          <w:rFonts w:ascii="Times New Roman" w:hAnsi="Times New Roman"/>
          <w:lang w:val="fr-BE"/>
        </w:rPr>
        <w:t>.</w:t>
      </w:r>
    </w:p>
  </w:footnote>
  <w:footnote w:id="2">
    <w:p w14:paraId="021F2559" w14:textId="41679B92" w:rsidR="00F62F80" w:rsidRPr="002C7C39" w:rsidRDefault="00F62F80" w:rsidP="002C7C39">
      <w:pPr>
        <w:pStyle w:val="FootnoteText"/>
        <w:widowControl w:val="0"/>
        <w:spacing w:after="0" w:line="240" w:lineRule="auto"/>
        <w:ind w:left="142" w:right="-284" w:hanging="284"/>
        <w:jc w:val="both"/>
        <w:rPr>
          <w:rStyle w:val="FootnoteReference"/>
          <w:rFonts w:ascii="Times New Roman" w:hAnsi="Times New Roman"/>
          <w:sz w:val="22"/>
          <w:szCs w:val="22"/>
        </w:rPr>
      </w:pPr>
      <w:r w:rsidRPr="002C7C39">
        <w:rPr>
          <w:rStyle w:val="FootnoteReference"/>
          <w:rFonts w:ascii="Times New Roman" w:hAnsi="Times New Roman"/>
        </w:rPr>
        <w:footnoteRef/>
      </w:r>
      <w:r w:rsidRPr="002C7C39">
        <w:rPr>
          <w:rStyle w:val="FootnoteReference"/>
          <w:rFonts w:ascii="Times New Roman" w:hAnsi="Times New Roman"/>
        </w:rPr>
        <w:t xml:space="preserve"> </w:t>
      </w:r>
      <w:r w:rsidR="00E666EB" w:rsidRPr="002C7C39">
        <w:rPr>
          <w:rFonts w:ascii="Times New Roman" w:hAnsi="Times New Roman"/>
        </w:rPr>
        <w:tab/>
      </w:r>
      <w:hyperlink r:id="rId2" w:history="1">
        <w:r w:rsidR="00E666EB" w:rsidRPr="002C7C39">
          <w:rPr>
            <w:rStyle w:val="Hyperlink"/>
            <w:rFonts w:ascii="Times New Roman" w:hAnsi="Times New Roman"/>
          </w:rPr>
          <w:t>UfM-Ministerial-Declaration-RI-EN-270622.pdf</w:t>
        </w:r>
      </w:hyperlink>
      <w:r w:rsidR="00E666EB" w:rsidRPr="002C7C39">
        <w:rPr>
          <w:rFonts w:ascii="Times New Roman" w:hAnsi="Times New Roman"/>
        </w:rPr>
        <w:t>.</w:t>
      </w:r>
    </w:p>
  </w:footnote>
  <w:footnote w:id="3">
    <w:p w14:paraId="4D7DF996" w14:textId="4D640E32" w:rsidR="00F62F80" w:rsidRPr="002C7C39" w:rsidRDefault="00F62F80" w:rsidP="002C7C39">
      <w:pPr>
        <w:pStyle w:val="FootnoteText"/>
        <w:widowControl w:val="0"/>
        <w:spacing w:after="0" w:line="240" w:lineRule="auto"/>
        <w:ind w:left="142" w:right="-284" w:hanging="284"/>
        <w:jc w:val="both"/>
        <w:rPr>
          <w:rFonts w:ascii="Times New Roman" w:hAnsi="Times New Roman"/>
        </w:rPr>
      </w:pPr>
      <w:r w:rsidRPr="002C7C39">
        <w:rPr>
          <w:rStyle w:val="FootnoteReference"/>
          <w:rFonts w:ascii="Times New Roman" w:hAnsi="Times New Roman"/>
        </w:rPr>
        <w:footnoteRef/>
      </w:r>
      <w:r w:rsidRPr="002C7C39">
        <w:rPr>
          <w:rStyle w:val="FootnoteReference"/>
          <w:rFonts w:ascii="Times New Roman" w:hAnsi="Times New Roman"/>
        </w:rPr>
        <w:t xml:space="preserve"> </w:t>
      </w:r>
      <w:r w:rsidR="00E666EB" w:rsidRPr="002C7C39">
        <w:rPr>
          <w:rFonts w:ascii="Times New Roman" w:hAnsi="Times New Roman"/>
        </w:rPr>
        <w:tab/>
      </w:r>
      <w:hyperlink r:id="rId3" w:history="1">
        <w:r w:rsidR="00E666EB" w:rsidRPr="002C7C39">
          <w:rPr>
            <w:rStyle w:val="Hyperlink"/>
            <w:rFonts w:ascii="Times New Roman" w:hAnsi="Times New Roman"/>
          </w:rPr>
          <w:t>5th_UfM_Declaration_StrengtheningRoleWomenSociety_Final-_EN.pdf</w:t>
        </w:r>
      </w:hyperlink>
      <w:r w:rsidR="00E666EB" w:rsidRPr="002C7C39">
        <w:rPr>
          <w:rFonts w:ascii="Times New Roman" w:hAnsi="Times New Roman"/>
        </w:rPr>
        <w:t>.</w:t>
      </w:r>
    </w:p>
  </w:footnote>
  <w:footnote w:id="4">
    <w:p w14:paraId="41F20251" w14:textId="6CBCFB68" w:rsidR="00E41F6F" w:rsidRPr="002C7C39" w:rsidRDefault="00E41F6F" w:rsidP="002C7C39">
      <w:pPr>
        <w:pStyle w:val="FootnoteText"/>
        <w:widowControl w:val="0"/>
        <w:spacing w:after="0" w:line="240" w:lineRule="auto"/>
        <w:ind w:left="142" w:right="-284" w:hanging="284"/>
        <w:jc w:val="both"/>
        <w:rPr>
          <w:rFonts w:ascii="Times New Roman" w:hAnsi="Times New Roman"/>
        </w:rPr>
      </w:pPr>
      <w:r w:rsidRPr="002C7C39">
        <w:rPr>
          <w:rStyle w:val="FootnoteReference"/>
          <w:rFonts w:ascii="Times New Roman" w:hAnsi="Times New Roman"/>
        </w:rPr>
        <w:footnoteRef/>
      </w:r>
      <w:r w:rsidRPr="002C7C39">
        <w:rPr>
          <w:rFonts w:ascii="Times New Roman" w:hAnsi="Times New Roman"/>
        </w:rPr>
        <w:t xml:space="preserve"> </w:t>
      </w:r>
      <w:r w:rsidRPr="002C7C39">
        <w:rPr>
          <w:rFonts w:ascii="Times New Roman" w:hAnsi="Times New Roman"/>
        </w:rPr>
        <w:tab/>
      </w:r>
      <w:hyperlink r:id="rId4" w:history="1">
        <w:r w:rsidRPr="002C7C39">
          <w:rPr>
            <w:rStyle w:val="Hyperlink"/>
            <w:rFonts w:ascii="Times New Roman" w:hAnsi="Times New Roman"/>
          </w:rPr>
          <w:t>11646283-cc32-49ae-9639-744d0d6d7da8_en</w:t>
        </w:r>
      </w:hyperlink>
      <w:r w:rsidRPr="002C7C39">
        <w:rPr>
          <w:rFonts w:ascii="Times New Roman" w:hAnsi="Times New Roman"/>
        </w:rPr>
        <w:t>.</w:t>
      </w:r>
    </w:p>
  </w:footnote>
  <w:footnote w:id="5">
    <w:p w14:paraId="55445114" w14:textId="229147D4" w:rsidR="00C53EAD" w:rsidRPr="00670EF8" w:rsidRDefault="00C53EAD" w:rsidP="002C7C39">
      <w:pPr>
        <w:pStyle w:val="FootnoteText"/>
        <w:widowControl w:val="0"/>
        <w:spacing w:after="0" w:line="240" w:lineRule="auto"/>
        <w:ind w:left="142" w:right="-284" w:hanging="284"/>
        <w:rPr>
          <w:rFonts w:ascii="Times New Roman" w:hAnsi="Times New Roman"/>
        </w:rPr>
      </w:pPr>
      <w:r w:rsidRPr="002C7C39">
        <w:rPr>
          <w:rStyle w:val="FootnoteReference"/>
          <w:rFonts w:ascii="Times New Roman" w:hAnsi="Times New Roman"/>
        </w:rPr>
        <w:footnoteRef/>
      </w:r>
      <w:r w:rsidRPr="002C7C39">
        <w:rPr>
          <w:rFonts w:ascii="Times New Roman" w:hAnsi="Times New Roman"/>
        </w:rPr>
        <w:t xml:space="preserve"> </w:t>
      </w:r>
      <w:r w:rsidRPr="002C7C39">
        <w:rPr>
          <w:rFonts w:ascii="Times New Roman" w:hAnsi="Times New Roman"/>
        </w:rPr>
        <w:tab/>
      </w:r>
      <w:hyperlink r:id="rId5" w:history="1">
        <w:r w:rsidRPr="002C7C39">
          <w:rPr>
            <w:rStyle w:val="Hyperlink"/>
            <w:rFonts w:ascii="Times New Roman" w:hAnsi="Times New Roman"/>
          </w:rPr>
          <w:t xml:space="preserve">Regional Team Europe Initiative (TEI) on </w:t>
        </w:r>
        <w:proofErr w:type="spellStart"/>
        <w:r w:rsidR="0066753E" w:rsidRPr="002C7C39">
          <w:rPr>
            <w:rStyle w:val="Hyperlink"/>
            <w:rFonts w:ascii="Times New Roman" w:hAnsi="Times New Roman"/>
          </w:rPr>
          <w:t>ʻ</w:t>
        </w:r>
        <w:r w:rsidRPr="002C7C39">
          <w:rPr>
            <w:rStyle w:val="Hyperlink"/>
            <w:rFonts w:ascii="Times New Roman" w:hAnsi="Times New Roman"/>
          </w:rPr>
          <w:t>Jobs</w:t>
        </w:r>
        <w:proofErr w:type="spellEnd"/>
        <w:r w:rsidRPr="002C7C39">
          <w:rPr>
            <w:rStyle w:val="Hyperlink"/>
            <w:rFonts w:ascii="Times New Roman" w:hAnsi="Times New Roman"/>
          </w:rPr>
          <w:t xml:space="preserve"> through Trade and Investment in the Southern Neighbourhood</w:t>
        </w:r>
        <w:r w:rsidR="0066753E" w:rsidRPr="002C7C39">
          <w:rPr>
            <w:rStyle w:val="Hyperlink"/>
            <w:rFonts w:ascii="Times New Roman" w:hAnsi="Times New Roman"/>
          </w:rPr>
          <w:t>’</w:t>
        </w:r>
        <w:r w:rsidRPr="002C7C39">
          <w:rPr>
            <w:rStyle w:val="Hyperlink"/>
            <w:rFonts w:ascii="Times New Roman" w:hAnsi="Times New Roman"/>
          </w:rPr>
          <w:t xml:space="preserve"> - EU Neighbours</w:t>
        </w:r>
      </w:hyperlink>
      <w:r w:rsidRPr="00670EF8">
        <w:rPr>
          <w:rFonts w:ascii="Times New Roman" w:hAnsi="Times New Roman"/>
        </w:rPr>
        <w:t>.</w:t>
      </w:r>
    </w:p>
  </w:footnote>
  <w:footnote w:id="6">
    <w:p w14:paraId="1E222849" w14:textId="6355D4FB" w:rsidR="007E5071" w:rsidRPr="00670EF8" w:rsidRDefault="007E5071" w:rsidP="00FF2F17">
      <w:pPr>
        <w:pStyle w:val="FootnoteText"/>
        <w:widowControl w:val="0"/>
        <w:spacing w:after="0" w:line="240" w:lineRule="auto"/>
        <w:ind w:left="142" w:right="-284" w:hanging="284"/>
        <w:jc w:val="both"/>
        <w:rPr>
          <w:rFonts w:ascii="Times New Roman" w:hAnsi="Times New Roman"/>
        </w:rPr>
      </w:pPr>
      <w:r w:rsidRPr="00670EF8">
        <w:rPr>
          <w:rStyle w:val="FootnoteReference"/>
          <w:rFonts w:ascii="Times New Roman" w:hAnsi="Times New Roman"/>
        </w:rPr>
        <w:footnoteRef/>
      </w:r>
      <w:r w:rsidRPr="00670EF8">
        <w:rPr>
          <w:rFonts w:ascii="Times New Roman" w:hAnsi="Times New Roman"/>
        </w:rPr>
        <w:t xml:space="preserve"> </w:t>
      </w:r>
      <w:r w:rsidRPr="00670EF8">
        <w:rPr>
          <w:rFonts w:ascii="Times New Roman" w:hAnsi="Times New Roman"/>
        </w:rPr>
        <w:tab/>
      </w:r>
      <w:hyperlink r:id="rId6" w:history="1">
        <w:r w:rsidRPr="00670EF8">
          <w:rPr>
            <w:rStyle w:val="Hyperlink"/>
            <w:rFonts w:ascii="Times New Roman" w:hAnsi="Times New Roman"/>
          </w:rPr>
          <w:t>Green Forward - Advancing Policy Frameworks in the Mediterranean - EU Neighbours</w:t>
        </w:r>
      </w:hyperlink>
      <w:r w:rsidRPr="00670EF8">
        <w:rPr>
          <w:rFonts w:ascii="Times New Roman" w:hAnsi="Times New Roman"/>
        </w:rPr>
        <w:t>.</w:t>
      </w:r>
    </w:p>
  </w:footnote>
  <w:footnote w:id="7">
    <w:p w14:paraId="47D75C5D" w14:textId="085C9892" w:rsidR="005D1403" w:rsidRPr="00670EF8" w:rsidRDefault="005D1403" w:rsidP="00FF2F17">
      <w:pPr>
        <w:pStyle w:val="FootnoteText"/>
        <w:widowControl w:val="0"/>
        <w:spacing w:after="0" w:line="240" w:lineRule="auto"/>
        <w:ind w:left="142" w:right="-284" w:hanging="284"/>
        <w:jc w:val="both"/>
        <w:rPr>
          <w:rFonts w:ascii="Times New Roman" w:hAnsi="Times New Roman"/>
          <w:lang w:val="en-IE"/>
        </w:rPr>
      </w:pPr>
      <w:r w:rsidRPr="00670EF8">
        <w:rPr>
          <w:rStyle w:val="FootnoteReference"/>
          <w:rFonts w:ascii="Times New Roman" w:hAnsi="Times New Roman"/>
        </w:rPr>
        <w:footnoteRef/>
      </w:r>
      <w:r w:rsidRPr="00670EF8">
        <w:rPr>
          <w:rFonts w:ascii="Times New Roman" w:hAnsi="Times New Roman"/>
          <w:lang w:val="en-IE"/>
        </w:rPr>
        <w:t xml:space="preserve"> </w:t>
      </w:r>
      <w:r w:rsidRPr="00670EF8">
        <w:rPr>
          <w:rFonts w:ascii="Times New Roman" w:hAnsi="Times New Roman"/>
          <w:lang w:val="en-IE"/>
        </w:rPr>
        <w:tab/>
      </w:r>
      <w:hyperlink r:id="rId7" w:history="1">
        <w:r w:rsidRPr="00670EF8">
          <w:rPr>
            <w:rStyle w:val="Hyperlink"/>
            <w:rFonts w:ascii="Times New Roman" w:hAnsi="Times New Roman"/>
            <w:lang w:val="en-IE"/>
          </w:rPr>
          <w:t>https://youth.europa.eu/strategy_en</w:t>
        </w:r>
      </w:hyperlink>
      <w:r w:rsidR="00E666EB" w:rsidRPr="00670EF8">
        <w:rPr>
          <w:rFonts w:ascii="Times New Roman" w:hAnsi="Times New Roman"/>
        </w:rPr>
        <w:t>.</w:t>
      </w:r>
    </w:p>
  </w:footnote>
  <w:footnote w:id="8">
    <w:p w14:paraId="1816476F" w14:textId="01F451D5" w:rsidR="0066753E" w:rsidRPr="00670EF8" w:rsidRDefault="0066753E" w:rsidP="00FF2F17">
      <w:pPr>
        <w:pStyle w:val="FootnoteText"/>
        <w:widowControl w:val="0"/>
        <w:spacing w:after="0" w:line="240" w:lineRule="auto"/>
        <w:ind w:left="142" w:hanging="284"/>
        <w:jc w:val="both"/>
        <w:rPr>
          <w:rFonts w:ascii="Times New Roman" w:hAnsi="Times New Roman"/>
        </w:rPr>
      </w:pPr>
      <w:r w:rsidRPr="00670EF8">
        <w:rPr>
          <w:rStyle w:val="FootnoteReference"/>
          <w:rFonts w:ascii="Times New Roman" w:hAnsi="Times New Roman"/>
        </w:rPr>
        <w:footnoteRef/>
      </w:r>
      <w:r w:rsidRPr="00670EF8">
        <w:rPr>
          <w:rFonts w:ascii="Times New Roman" w:hAnsi="Times New Roman"/>
        </w:rPr>
        <w:t xml:space="preserve"> </w:t>
      </w:r>
      <w:r w:rsidRPr="00670EF8">
        <w:rPr>
          <w:rFonts w:ascii="Times New Roman" w:hAnsi="Times New Roman"/>
        </w:rPr>
        <w:tab/>
      </w:r>
      <w:hyperlink r:id="rId8" w:history="1">
        <w:r w:rsidRPr="00670EF8">
          <w:rPr>
            <w:rStyle w:val="Hyperlink"/>
            <w:rFonts w:ascii="Times New Roman" w:hAnsi="Times New Roman"/>
          </w:rPr>
          <w:t>Mediterranean Youth in Action (MYA) - EU Neighbours</w:t>
        </w:r>
      </w:hyperlink>
      <w:r w:rsidRPr="00670EF8">
        <w:rPr>
          <w:rFonts w:ascii="Times New Roman" w:hAnsi="Times New Roman"/>
        </w:rPr>
        <w:t>.</w:t>
      </w:r>
    </w:p>
  </w:footnote>
  <w:footnote w:id="9">
    <w:p w14:paraId="6D355974" w14:textId="0653CFCE" w:rsidR="0066753E" w:rsidRPr="00670EF8" w:rsidRDefault="0066753E" w:rsidP="00FF2F17">
      <w:pPr>
        <w:pStyle w:val="FootnoteText"/>
        <w:widowControl w:val="0"/>
        <w:spacing w:after="0" w:line="240" w:lineRule="auto"/>
        <w:ind w:left="142" w:hanging="284"/>
        <w:jc w:val="both"/>
        <w:rPr>
          <w:rFonts w:ascii="Times New Roman" w:hAnsi="Times New Roman"/>
        </w:rPr>
      </w:pPr>
      <w:r w:rsidRPr="00670EF8">
        <w:rPr>
          <w:rStyle w:val="FootnoteReference"/>
          <w:rFonts w:ascii="Times New Roman" w:hAnsi="Times New Roman"/>
        </w:rPr>
        <w:footnoteRef/>
      </w:r>
      <w:r w:rsidRPr="00670EF8">
        <w:rPr>
          <w:rFonts w:ascii="Times New Roman" w:hAnsi="Times New Roman"/>
        </w:rPr>
        <w:t xml:space="preserve"> </w:t>
      </w:r>
      <w:r w:rsidRPr="00670EF8">
        <w:rPr>
          <w:rFonts w:ascii="Times New Roman" w:hAnsi="Times New Roman"/>
        </w:rPr>
        <w:tab/>
      </w:r>
      <w:hyperlink r:id="rId9" w:history="1">
        <w:r w:rsidRPr="00670EF8">
          <w:rPr>
            <w:rStyle w:val="Hyperlink"/>
            <w:rFonts w:ascii="Times New Roman" w:hAnsi="Times New Roman"/>
          </w:rPr>
          <w:t>Young Civil Society Leadership Programme - EU Neighbours</w:t>
        </w:r>
      </w:hyperlink>
      <w:r w:rsidRPr="00670EF8">
        <w:rPr>
          <w:rFonts w:ascii="Times New Roman" w:hAnsi="Times New Roman"/>
        </w:rPr>
        <w:t>.</w:t>
      </w:r>
    </w:p>
  </w:footnote>
  <w:footnote w:id="10">
    <w:p w14:paraId="7BBF5BB1" w14:textId="502F70AF" w:rsidR="005D1403" w:rsidRPr="00670EF8" w:rsidRDefault="005D1403" w:rsidP="0066753E">
      <w:pPr>
        <w:pStyle w:val="FootnoteText"/>
        <w:widowControl w:val="0"/>
        <w:spacing w:after="0" w:line="240" w:lineRule="auto"/>
        <w:ind w:left="142" w:right="-284" w:hanging="284"/>
        <w:jc w:val="both"/>
        <w:rPr>
          <w:rFonts w:ascii="Times New Roman" w:hAnsi="Times New Roman"/>
          <w:lang w:val="en-IE"/>
        </w:rPr>
      </w:pPr>
      <w:r w:rsidRPr="00670EF8">
        <w:rPr>
          <w:rStyle w:val="FootnoteReference"/>
          <w:rFonts w:ascii="Times New Roman" w:hAnsi="Times New Roman"/>
        </w:rPr>
        <w:footnoteRef/>
      </w:r>
      <w:r w:rsidRPr="00670EF8">
        <w:rPr>
          <w:rFonts w:ascii="Times New Roman" w:hAnsi="Times New Roman"/>
        </w:rPr>
        <w:t xml:space="preserve"> </w:t>
      </w:r>
      <w:r w:rsidRPr="00670EF8">
        <w:rPr>
          <w:rFonts w:ascii="Times New Roman" w:hAnsi="Times New Roman"/>
        </w:rPr>
        <w:tab/>
      </w:r>
      <w:hyperlink r:id="rId10" w:history="1">
        <w:r w:rsidRPr="00670EF8">
          <w:rPr>
            <w:rStyle w:val="Hyperlink"/>
            <w:rFonts w:ascii="Times New Roman" w:hAnsi="Times New Roman"/>
          </w:rPr>
          <w:t>https://erasmus-plus.ec.europa.eu/</w:t>
        </w:r>
      </w:hyperlink>
      <w:r w:rsidR="0066753E" w:rsidRPr="00670EF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638"/>
    <w:multiLevelType w:val="hybridMultilevel"/>
    <w:tmpl w:val="F43ADCC4"/>
    <w:lvl w:ilvl="0" w:tplc="BF1C371E">
      <w:start w:val="1"/>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47359CA"/>
    <w:multiLevelType w:val="hybridMultilevel"/>
    <w:tmpl w:val="C044A3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70D60D6B"/>
    <w:multiLevelType w:val="hybridMultilevel"/>
    <w:tmpl w:val="287CA10E"/>
    <w:lvl w:ilvl="0" w:tplc="9864CA5E">
      <w:start w:val="11"/>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20306470">
    <w:abstractNumId w:val="2"/>
  </w:num>
  <w:num w:numId="2" w16cid:durableId="1230849075">
    <w:abstractNumId w:val="0"/>
  </w:num>
  <w:num w:numId="3" w16cid:durableId="187796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26F8D"/>
    <w:rsid w:val="00046B15"/>
    <w:rsid w:val="00046EB2"/>
    <w:rsid w:val="00050DC7"/>
    <w:rsid w:val="00076109"/>
    <w:rsid w:val="00077C4F"/>
    <w:rsid w:val="000A0943"/>
    <w:rsid w:val="000A3ECF"/>
    <w:rsid w:val="000E2E45"/>
    <w:rsid w:val="000F5FD8"/>
    <w:rsid w:val="001167C0"/>
    <w:rsid w:val="001247CA"/>
    <w:rsid w:val="00135C2A"/>
    <w:rsid w:val="00170A01"/>
    <w:rsid w:val="00170B7C"/>
    <w:rsid w:val="00180E1D"/>
    <w:rsid w:val="00190F3D"/>
    <w:rsid w:val="001966BE"/>
    <w:rsid w:val="001A1E60"/>
    <w:rsid w:val="001B0E0B"/>
    <w:rsid w:val="001C4138"/>
    <w:rsid w:val="001C7C6E"/>
    <w:rsid w:val="001F0510"/>
    <w:rsid w:val="001F2EC6"/>
    <w:rsid w:val="001F65D0"/>
    <w:rsid w:val="00202780"/>
    <w:rsid w:val="00215C8B"/>
    <w:rsid w:val="00215D9F"/>
    <w:rsid w:val="00217E59"/>
    <w:rsid w:val="00227357"/>
    <w:rsid w:val="002462DC"/>
    <w:rsid w:val="00283890"/>
    <w:rsid w:val="00297799"/>
    <w:rsid w:val="002C1A0E"/>
    <w:rsid w:val="002C7947"/>
    <w:rsid w:val="002C7C39"/>
    <w:rsid w:val="002C7ED9"/>
    <w:rsid w:val="002F0094"/>
    <w:rsid w:val="002F03FA"/>
    <w:rsid w:val="003004D2"/>
    <w:rsid w:val="00324102"/>
    <w:rsid w:val="0033447B"/>
    <w:rsid w:val="003349A3"/>
    <w:rsid w:val="00342B96"/>
    <w:rsid w:val="003430D6"/>
    <w:rsid w:val="00377967"/>
    <w:rsid w:val="00386143"/>
    <w:rsid w:val="003B2F8A"/>
    <w:rsid w:val="003B42AC"/>
    <w:rsid w:val="003B58DC"/>
    <w:rsid w:val="003F0DCF"/>
    <w:rsid w:val="003F686E"/>
    <w:rsid w:val="00442552"/>
    <w:rsid w:val="00452C4E"/>
    <w:rsid w:val="00455A1C"/>
    <w:rsid w:val="004675B5"/>
    <w:rsid w:val="00467996"/>
    <w:rsid w:val="004770D6"/>
    <w:rsid w:val="0049246C"/>
    <w:rsid w:val="004F6117"/>
    <w:rsid w:val="004F63F1"/>
    <w:rsid w:val="004F651E"/>
    <w:rsid w:val="00522445"/>
    <w:rsid w:val="0052596B"/>
    <w:rsid w:val="00530E78"/>
    <w:rsid w:val="00542482"/>
    <w:rsid w:val="00554D8D"/>
    <w:rsid w:val="00573835"/>
    <w:rsid w:val="00581306"/>
    <w:rsid w:val="00584F66"/>
    <w:rsid w:val="00586C49"/>
    <w:rsid w:val="005978A2"/>
    <w:rsid w:val="00597984"/>
    <w:rsid w:val="005A2EFE"/>
    <w:rsid w:val="005A3FD3"/>
    <w:rsid w:val="005C3105"/>
    <w:rsid w:val="005D1403"/>
    <w:rsid w:val="00604219"/>
    <w:rsid w:val="00610E11"/>
    <w:rsid w:val="00633CA6"/>
    <w:rsid w:val="006357E2"/>
    <w:rsid w:val="006638C6"/>
    <w:rsid w:val="00666423"/>
    <w:rsid w:val="0066753E"/>
    <w:rsid w:val="00670EF8"/>
    <w:rsid w:val="00692C2F"/>
    <w:rsid w:val="00695797"/>
    <w:rsid w:val="00696A5E"/>
    <w:rsid w:val="006B3B69"/>
    <w:rsid w:val="006E2DC1"/>
    <w:rsid w:val="00734613"/>
    <w:rsid w:val="0073699D"/>
    <w:rsid w:val="00740B6D"/>
    <w:rsid w:val="0075138F"/>
    <w:rsid w:val="00751910"/>
    <w:rsid w:val="00751E60"/>
    <w:rsid w:val="00752B2F"/>
    <w:rsid w:val="007547B5"/>
    <w:rsid w:val="00795A9E"/>
    <w:rsid w:val="007A606D"/>
    <w:rsid w:val="007C2214"/>
    <w:rsid w:val="007E5071"/>
    <w:rsid w:val="00807B48"/>
    <w:rsid w:val="008135CA"/>
    <w:rsid w:val="0081584F"/>
    <w:rsid w:val="008327B3"/>
    <w:rsid w:val="00861F9F"/>
    <w:rsid w:val="008703BF"/>
    <w:rsid w:val="00887517"/>
    <w:rsid w:val="008925CE"/>
    <w:rsid w:val="008B3297"/>
    <w:rsid w:val="008C02DD"/>
    <w:rsid w:val="008C4D41"/>
    <w:rsid w:val="008D2129"/>
    <w:rsid w:val="008F70D8"/>
    <w:rsid w:val="00900208"/>
    <w:rsid w:val="009019EB"/>
    <w:rsid w:val="00906A99"/>
    <w:rsid w:val="00924FB4"/>
    <w:rsid w:val="00960C0A"/>
    <w:rsid w:val="00970482"/>
    <w:rsid w:val="00975478"/>
    <w:rsid w:val="00981F45"/>
    <w:rsid w:val="00994D12"/>
    <w:rsid w:val="00994EF7"/>
    <w:rsid w:val="009970B2"/>
    <w:rsid w:val="009B128B"/>
    <w:rsid w:val="009B4098"/>
    <w:rsid w:val="009C13B7"/>
    <w:rsid w:val="009D5859"/>
    <w:rsid w:val="009E4FBC"/>
    <w:rsid w:val="00A16F07"/>
    <w:rsid w:val="00A30143"/>
    <w:rsid w:val="00A504BB"/>
    <w:rsid w:val="00A571EE"/>
    <w:rsid w:val="00A62C7B"/>
    <w:rsid w:val="00A71B47"/>
    <w:rsid w:val="00A7709A"/>
    <w:rsid w:val="00A900AF"/>
    <w:rsid w:val="00AA5681"/>
    <w:rsid w:val="00AB4A28"/>
    <w:rsid w:val="00AC0C42"/>
    <w:rsid w:val="00AD6233"/>
    <w:rsid w:val="00AE1842"/>
    <w:rsid w:val="00AE3C63"/>
    <w:rsid w:val="00AE3C7C"/>
    <w:rsid w:val="00B06931"/>
    <w:rsid w:val="00B137D5"/>
    <w:rsid w:val="00B262A0"/>
    <w:rsid w:val="00B31306"/>
    <w:rsid w:val="00B42814"/>
    <w:rsid w:val="00B56A67"/>
    <w:rsid w:val="00B74A6A"/>
    <w:rsid w:val="00B83936"/>
    <w:rsid w:val="00B83A96"/>
    <w:rsid w:val="00B94649"/>
    <w:rsid w:val="00BD6EB7"/>
    <w:rsid w:val="00BE43B2"/>
    <w:rsid w:val="00C1787D"/>
    <w:rsid w:val="00C309B5"/>
    <w:rsid w:val="00C3788D"/>
    <w:rsid w:val="00C4284B"/>
    <w:rsid w:val="00C53EAD"/>
    <w:rsid w:val="00C54D27"/>
    <w:rsid w:val="00C76EEB"/>
    <w:rsid w:val="00C920E4"/>
    <w:rsid w:val="00CB4C20"/>
    <w:rsid w:val="00D01F5A"/>
    <w:rsid w:val="00D1716E"/>
    <w:rsid w:val="00D333A3"/>
    <w:rsid w:val="00D51C07"/>
    <w:rsid w:val="00D64E05"/>
    <w:rsid w:val="00D659CD"/>
    <w:rsid w:val="00D768A9"/>
    <w:rsid w:val="00D916E3"/>
    <w:rsid w:val="00D92FD3"/>
    <w:rsid w:val="00D94B9F"/>
    <w:rsid w:val="00DA3B6E"/>
    <w:rsid w:val="00DB7581"/>
    <w:rsid w:val="00DC70C1"/>
    <w:rsid w:val="00DF147D"/>
    <w:rsid w:val="00DF4295"/>
    <w:rsid w:val="00DF485D"/>
    <w:rsid w:val="00E41F6F"/>
    <w:rsid w:val="00E666EB"/>
    <w:rsid w:val="00E83C12"/>
    <w:rsid w:val="00E904C8"/>
    <w:rsid w:val="00EA1BBF"/>
    <w:rsid w:val="00EB29A9"/>
    <w:rsid w:val="00EB77D2"/>
    <w:rsid w:val="00EB7CEA"/>
    <w:rsid w:val="00ED700C"/>
    <w:rsid w:val="00F127EC"/>
    <w:rsid w:val="00F316C8"/>
    <w:rsid w:val="00F62317"/>
    <w:rsid w:val="00F62F80"/>
    <w:rsid w:val="00F632DE"/>
    <w:rsid w:val="00F735E4"/>
    <w:rsid w:val="00F74F70"/>
    <w:rsid w:val="00F8406C"/>
    <w:rsid w:val="00F97CF4"/>
    <w:rsid w:val="00FB7834"/>
    <w:rsid w:val="00FD4B6A"/>
    <w:rsid w:val="00FF03A8"/>
    <w:rsid w:val="00FF2F17"/>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DCF"/>
    <w:pPr>
      <w:spacing w:after="0" w:line="240" w:lineRule="auto"/>
      <w:ind w:left="720"/>
    </w:pPr>
    <w:rPr>
      <w:rFonts w:ascii="Aptos" w:eastAsia="Aptos" w:hAnsi="Aptos" w:cs="Aptos"/>
      <w:lang w:val="en-IE"/>
    </w:rPr>
  </w:style>
  <w:style w:type="paragraph" w:styleId="FootnoteText">
    <w:name w:val="footnote text"/>
    <w:basedOn w:val="Normal"/>
    <w:link w:val="FootnoteTextChar"/>
    <w:uiPriority w:val="99"/>
    <w:semiHidden/>
    <w:unhideWhenUsed/>
    <w:rsid w:val="005D1403"/>
    <w:rPr>
      <w:sz w:val="20"/>
      <w:szCs w:val="20"/>
    </w:rPr>
  </w:style>
  <w:style w:type="character" w:customStyle="1" w:styleId="FootnoteTextChar">
    <w:name w:val="Footnote Text Char"/>
    <w:link w:val="FootnoteText"/>
    <w:uiPriority w:val="99"/>
    <w:semiHidden/>
    <w:rsid w:val="005D1403"/>
    <w:rPr>
      <w:lang w:eastAsia="en-US"/>
    </w:rPr>
  </w:style>
  <w:style w:type="character" w:styleId="Hyperlink">
    <w:name w:val="Hyperlink"/>
    <w:uiPriority w:val="99"/>
    <w:unhideWhenUsed/>
    <w:rsid w:val="005D1403"/>
    <w:rPr>
      <w:color w:val="0563C1"/>
      <w:u w:val="single"/>
    </w:rPr>
  </w:style>
  <w:style w:type="character" w:styleId="FootnoteReference">
    <w:name w:val="footnote reference"/>
    <w:uiPriority w:val="99"/>
    <w:semiHidden/>
    <w:unhideWhenUsed/>
    <w:rsid w:val="005D1403"/>
    <w:rPr>
      <w:vertAlign w:val="superscript"/>
    </w:rPr>
  </w:style>
  <w:style w:type="character" w:styleId="CommentReference">
    <w:name w:val="annotation reference"/>
    <w:uiPriority w:val="99"/>
    <w:semiHidden/>
    <w:unhideWhenUsed/>
    <w:rsid w:val="00F62F80"/>
    <w:rPr>
      <w:sz w:val="16"/>
      <w:szCs w:val="16"/>
    </w:rPr>
  </w:style>
  <w:style w:type="paragraph" w:styleId="CommentText">
    <w:name w:val="annotation text"/>
    <w:basedOn w:val="Normal"/>
    <w:link w:val="CommentTextChar"/>
    <w:uiPriority w:val="99"/>
    <w:unhideWhenUsed/>
    <w:rsid w:val="00F62F80"/>
    <w:rPr>
      <w:sz w:val="20"/>
      <w:szCs w:val="20"/>
    </w:rPr>
  </w:style>
  <w:style w:type="character" w:customStyle="1" w:styleId="CommentTextChar">
    <w:name w:val="Comment Text Char"/>
    <w:link w:val="CommentText"/>
    <w:uiPriority w:val="99"/>
    <w:rsid w:val="00F62F80"/>
    <w:rPr>
      <w:lang w:eastAsia="en-US"/>
    </w:rPr>
  </w:style>
  <w:style w:type="paragraph" w:styleId="CommentSubject">
    <w:name w:val="annotation subject"/>
    <w:basedOn w:val="CommentText"/>
    <w:next w:val="CommentText"/>
    <w:link w:val="CommentSubjectChar"/>
    <w:uiPriority w:val="99"/>
    <w:semiHidden/>
    <w:unhideWhenUsed/>
    <w:rsid w:val="00F62F80"/>
    <w:rPr>
      <w:b/>
      <w:bCs/>
    </w:rPr>
  </w:style>
  <w:style w:type="character" w:customStyle="1" w:styleId="CommentSubjectChar">
    <w:name w:val="Comment Subject Char"/>
    <w:link w:val="CommentSubject"/>
    <w:uiPriority w:val="99"/>
    <w:semiHidden/>
    <w:rsid w:val="00F62F80"/>
    <w:rPr>
      <w:b/>
      <w:bCs/>
      <w:lang w:eastAsia="en-US"/>
    </w:rPr>
  </w:style>
  <w:style w:type="paragraph" w:styleId="Revision">
    <w:name w:val="Revision"/>
    <w:hidden/>
    <w:uiPriority w:val="99"/>
    <w:semiHidden/>
    <w:rsid w:val="00170A01"/>
    <w:rPr>
      <w:sz w:val="22"/>
      <w:szCs w:val="22"/>
      <w:lang w:val="en-GB" w:eastAsia="en-US"/>
    </w:rPr>
  </w:style>
  <w:style w:type="character" w:styleId="UnresolvedMention">
    <w:name w:val="Unresolved Mention"/>
    <w:basedOn w:val="DefaultParagraphFont"/>
    <w:uiPriority w:val="99"/>
    <w:semiHidden/>
    <w:unhideWhenUsed/>
    <w:rsid w:val="00C4284B"/>
    <w:rPr>
      <w:color w:val="605E5C"/>
      <w:shd w:val="clear" w:color="auto" w:fill="E1DFDD"/>
    </w:rPr>
  </w:style>
  <w:style w:type="character" w:styleId="FollowedHyperlink">
    <w:name w:val="FollowedHyperlink"/>
    <w:basedOn w:val="DefaultParagraphFont"/>
    <w:uiPriority w:val="99"/>
    <w:semiHidden/>
    <w:unhideWhenUsed/>
    <w:rsid w:val="00C42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1275">
      <w:bodyDiv w:val="1"/>
      <w:marLeft w:val="0"/>
      <w:marRight w:val="0"/>
      <w:marTop w:val="0"/>
      <w:marBottom w:val="0"/>
      <w:divBdr>
        <w:top w:val="none" w:sz="0" w:space="0" w:color="auto"/>
        <w:left w:val="none" w:sz="0" w:space="0" w:color="auto"/>
        <w:bottom w:val="none" w:sz="0" w:space="0" w:color="auto"/>
        <w:right w:val="none" w:sz="0" w:space="0" w:color="auto"/>
      </w:divBdr>
    </w:div>
    <w:div w:id="134421662">
      <w:bodyDiv w:val="1"/>
      <w:marLeft w:val="0"/>
      <w:marRight w:val="0"/>
      <w:marTop w:val="0"/>
      <w:marBottom w:val="0"/>
      <w:divBdr>
        <w:top w:val="none" w:sz="0" w:space="0" w:color="auto"/>
        <w:left w:val="none" w:sz="0" w:space="0" w:color="auto"/>
        <w:bottom w:val="none" w:sz="0" w:space="0" w:color="auto"/>
        <w:right w:val="none" w:sz="0" w:space="0" w:color="auto"/>
      </w:divBdr>
    </w:div>
    <w:div w:id="179437810">
      <w:bodyDiv w:val="1"/>
      <w:marLeft w:val="0"/>
      <w:marRight w:val="0"/>
      <w:marTop w:val="0"/>
      <w:marBottom w:val="0"/>
      <w:divBdr>
        <w:top w:val="none" w:sz="0" w:space="0" w:color="auto"/>
        <w:left w:val="none" w:sz="0" w:space="0" w:color="auto"/>
        <w:bottom w:val="none" w:sz="0" w:space="0" w:color="auto"/>
        <w:right w:val="none" w:sz="0" w:space="0" w:color="auto"/>
      </w:divBdr>
    </w:div>
    <w:div w:id="468399854">
      <w:bodyDiv w:val="1"/>
      <w:marLeft w:val="0"/>
      <w:marRight w:val="0"/>
      <w:marTop w:val="0"/>
      <w:marBottom w:val="0"/>
      <w:divBdr>
        <w:top w:val="none" w:sz="0" w:space="0" w:color="auto"/>
        <w:left w:val="none" w:sz="0" w:space="0" w:color="auto"/>
        <w:bottom w:val="none" w:sz="0" w:space="0" w:color="auto"/>
        <w:right w:val="none" w:sz="0" w:space="0" w:color="auto"/>
      </w:divBdr>
    </w:div>
    <w:div w:id="71481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outh.euneighbours.eu/project/mediterranean-youth-in-action-mya/" TargetMode="External"/><Relationship Id="rId3" Type="http://schemas.openxmlformats.org/officeDocument/2006/relationships/hyperlink" Target="https://ufmsecretariat.org/wp-content/uploads/2022/10/5th_UfM_Declaration_StrengtheningRoleWomenSociety_Final-_EN.pdf" TargetMode="External"/><Relationship Id="rId7" Type="http://schemas.openxmlformats.org/officeDocument/2006/relationships/hyperlink" Target="https://youth.europa.eu/strategy_en" TargetMode="External"/><Relationship Id="rId2" Type="http://schemas.openxmlformats.org/officeDocument/2006/relationships/hyperlink" Target="https://ufmsecretariat.org/wp-content/uploads/2022/06/UfM-Ministerial-Declaration-RI-EN-270622.pdf" TargetMode="External"/><Relationship Id="rId1" Type="http://schemas.openxmlformats.org/officeDocument/2006/relationships/hyperlink" Target="https://eur-lex.europa.eu/legal-content/EN/TXT/?uri=CELEX:52021JC0002" TargetMode="External"/><Relationship Id="rId6" Type="http://schemas.openxmlformats.org/officeDocument/2006/relationships/hyperlink" Target="https://south.euneighbours.eu/project/green-forward-advancing-policy-frameworks-in-the-mediterranean/" TargetMode="External"/><Relationship Id="rId5" Type="http://schemas.openxmlformats.org/officeDocument/2006/relationships/hyperlink" Target="https://south.euneighbours.eu/project/regional-team-europe-initiative-tei-on-jobs-through-trade-and-investment-in-the-southern-neighbourhood/" TargetMode="External"/><Relationship Id="rId10" Type="http://schemas.openxmlformats.org/officeDocument/2006/relationships/hyperlink" Target="https://erasmus-plus.ec.europa.eu/" TargetMode="External"/><Relationship Id="rId4" Type="http://schemas.openxmlformats.org/officeDocument/2006/relationships/hyperlink" Target="https://north-africa-middle-east-gulf.ec.europa.eu/document/download/11646283-cc32-49ae-9639-744d0d6d7da8_en?filename=Joint%20communication%20on%20the%20Pact%20for%20the%20Mediterranean.pdf" TargetMode="External"/><Relationship Id="rId9" Type="http://schemas.openxmlformats.org/officeDocument/2006/relationships/hyperlink" Target="https://south.euneighbours.eu/opportunity/young-civil-society-leadership-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683B0-48DD-4C6A-A727-2760991B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1343</Words>
  <Characters>8290</Characters>
  <Application>Microsoft Office Word</Application>
  <DocSecurity>0</DocSecurity>
  <Lines>116</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2025-10-08T07:13:00Z</cp:lastPrinted>
  <dcterms:created xsi:type="dcterms:W3CDTF">2026-01-20T14:32:00Z</dcterms:created>
  <dcterms:modified xsi:type="dcterms:W3CDTF">2026-01-20T14:32:00Z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