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209D3" w14:textId="4D024254" w:rsidR="00751910" w:rsidRPr="009A49E1" w:rsidRDefault="00751910" w:rsidP="009A49E1">
      <w:pPr>
        <w:spacing w:after="0" w:line="240" w:lineRule="auto"/>
        <w:ind w:left="-709"/>
        <w:rPr>
          <w:rFonts w:ascii="Times New Roman" w:hAnsi="Times New Roman"/>
          <w:bCs/>
          <w:sz w:val="4"/>
          <w:szCs w:val="4"/>
        </w:rPr>
      </w:pPr>
    </w:p>
    <w:tbl>
      <w:tblPr>
        <w:tblW w:w="10892"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10892"/>
      </w:tblGrid>
      <w:tr w:rsidR="001C4138" w:rsidRPr="004F6117" w14:paraId="30B76F57" w14:textId="77777777" w:rsidTr="00EE3290">
        <w:trPr>
          <w:jc w:val="center"/>
        </w:trPr>
        <w:tc>
          <w:tcPr>
            <w:tcW w:w="10892" w:type="dxa"/>
          </w:tcPr>
          <w:p w14:paraId="3A99935F" w14:textId="444BC2D9" w:rsidR="001C4138" w:rsidRPr="004F6117" w:rsidRDefault="007A01EC" w:rsidP="001C4138">
            <w:pPr>
              <w:spacing w:before="120" w:after="120"/>
              <w:rPr>
                <w:rFonts w:ascii="Times New Roman" w:hAnsi="Times New Roman"/>
                <w:b/>
                <w:sz w:val="24"/>
                <w:szCs w:val="24"/>
              </w:rPr>
            </w:pPr>
            <w:r w:rsidRPr="007A01EC">
              <w:rPr>
                <w:rFonts w:ascii="Times New Roman" w:hAnsi="Times New Roman"/>
                <w:b/>
                <w:sz w:val="24"/>
                <w:szCs w:val="24"/>
              </w:rPr>
              <w:t>EU Strategy on the Rights of Persons with Disabilities post-2025</w:t>
            </w:r>
            <w:r w:rsidR="00D1118A">
              <w:rPr>
                <w:rFonts w:ascii="Times New Roman" w:hAnsi="Times New Roman"/>
                <w:b/>
                <w:sz w:val="24"/>
                <w:szCs w:val="24"/>
              </w:rPr>
              <w:br/>
            </w:r>
            <w:r w:rsidR="00D1118A" w:rsidRPr="00F401A0">
              <w:rPr>
                <w:rFonts w:ascii="Times New Roman" w:hAnsi="Times New Roman"/>
                <w:b/>
                <w:sz w:val="24"/>
                <w:szCs w:val="24"/>
              </w:rPr>
              <w:t>(own-initiative opinion)</w:t>
            </w:r>
            <w:r w:rsidR="001C4138" w:rsidRPr="004F6117">
              <w:rPr>
                <w:rFonts w:ascii="Times New Roman" w:hAnsi="Times New Roman"/>
                <w:b/>
                <w:sz w:val="24"/>
                <w:szCs w:val="24"/>
              </w:rPr>
              <w:br/>
            </w:r>
            <w:r w:rsidR="00C15E25" w:rsidRPr="00C15E25">
              <w:rPr>
                <w:rFonts w:ascii="Times New Roman" w:hAnsi="Times New Roman"/>
                <w:b/>
                <w:sz w:val="24"/>
                <w:szCs w:val="24"/>
              </w:rPr>
              <w:t>EESC-2025-00909</w:t>
            </w:r>
            <w:r w:rsidR="006444A5">
              <w:rPr>
                <w:rFonts w:ascii="Times New Roman" w:hAnsi="Times New Roman"/>
                <w:b/>
                <w:sz w:val="24"/>
                <w:szCs w:val="24"/>
              </w:rPr>
              <w:t xml:space="preserve"> </w:t>
            </w:r>
            <w:r w:rsidR="00D1118A" w:rsidRPr="004F6117">
              <w:rPr>
                <w:rFonts w:ascii="Times New Roman" w:hAnsi="Times New Roman"/>
                <w:b/>
                <w:sz w:val="24"/>
                <w:szCs w:val="24"/>
              </w:rPr>
              <w:t>–</w:t>
            </w:r>
            <w:r w:rsidR="006444A5">
              <w:rPr>
                <w:rFonts w:ascii="Times New Roman" w:hAnsi="Times New Roman"/>
                <w:b/>
                <w:sz w:val="24"/>
                <w:szCs w:val="24"/>
              </w:rPr>
              <w:t xml:space="preserve"> </w:t>
            </w:r>
            <w:r>
              <w:rPr>
                <w:rFonts w:ascii="Times New Roman" w:hAnsi="Times New Roman"/>
                <w:b/>
                <w:sz w:val="24"/>
                <w:szCs w:val="24"/>
              </w:rPr>
              <w:t>SOC</w:t>
            </w:r>
            <w:r w:rsidR="001C4138" w:rsidRPr="004F6117">
              <w:rPr>
                <w:rFonts w:ascii="Times New Roman" w:hAnsi="Times New Roman"/>
                <w:b/>
                <w:sz w:val="24"/>
                <w:szCs w:val="24"/>
              </w:rPr>
              <w:t>/</w:t>
            </w:r>
            <w:r>
              <w:rPr>
                <w:rFonts w:ascii="Times New Roman" w:hAnsi="Times New Roman"/>
                <w:b/>
                <w:sz w:val="24"/>
                <w:szCs w:val="24"/>
              </w:rPr>
              <w:t>830</w:t>
            </w:r>
            <w:r w:rsidR="001C4138" w:rsidRPr="004F6117">
              <w:rPr>
                <w:rFonts w:ascii="Times New Roman" w:hAnsi="Times New Roman"/>
                <w:b/>
                <w:sz w:val="24"/>
                <w:szCs w:val="24"/>
              </w:rPr>
              <w:br/>
              <w:t>5</w:t>
            </w:r>
            <w:r>
              <w:rPr>
                <w:rFonts w:ascii="Times New Roman" w:hAnsi="Times New Roman"/>
                <w:b/>
                <w:sz w:val="24"/>
                <w:szCs w:val="24"/>
              </w:rPr>
              <w:t>97</w:t>
            </w:r>
            <w:proofErr w:type="spellStart"/>
            <w:r w:rsidR="001C4138" w:rsidRPr="0049246C">
              <w:rPr>
                <w:rFonts w:ascii="Times New Roman" w:hAnsi="Times New Roman"/>
                <w:b/>
                <w:sz w:val="24"/>
                <w:szCs w:val="24"/>
                <w:vertAlign w:val="superscript"/>
                <w:lang w:val="en-IE"/>
              </w:rPr>
              <w:t>th</w:t>
            </w:r>
            <w:proofErr w:type="spellEnd"/>
            <w:r w:rsidR="001C4138" w:rsidRPr="004F6117">
              <w:rPr>
                <w:rFonts w:ascii="Times New Roman" w:hAnsi="Times New Roman"/>
                <w:b/>
                <w:sz w:val="24"/>
                <w:szCs w:val="24"/>
              </w:rPr>
              <w:t xml:space="preserve"> Plenary Session – </w:t>
            </w:r>
            <w:r>
              <w:rPr>
                <w:rFonts w:ascii="Times New Roman" w:hAnsi="Times New Roman"/>
                <w:b/>
                <w:sz w:val="24"/>
                <w:szCs w:val="24"/>
              </w:rPr>
              <w:t>June</w:t>
            </w:r>
            <w:r w:rsidR="001C4138" w:rsidRPr="004F6117">
              <w:rPr>
                <w:rFonts w:ascii="Times New Roman" w:hAnsi="Times New Roman"/>
                <w:b/>
                <w:sz w:val="24"/>
                <w:szCs w:val="24"/>
              </w:rPr>
              <w:t xml:space="preserve"> 20</w:t>
            </w:r>
            <w:r>
              <w:rPr>
                <w:rFonts w:ascii="Times New Roman" w:hAnsi="Times New Roman"/>
                <w:b/>
                <w:sz w:val="24"/>
                <w:szCs w:val="24"/>
              </w:rPr>
              <w:t>25</w:t>
            </w:r>
            <w:r w:rsidR="001C4138" w:rsidRPr="004F6117">
              <w:rPr>
                <w:rFonts w:ascii="Times New Roman" w:hAnsi="Times New Roman"/>
                <w:b/>
                <w:sz w:val="24"/>
                <w:szCs w:val="24"/>
              </w:rPr>
              <w:br/>
              <w:t xml:space="preserve">Rapporteur: </w:t>
            </w:r>
            <w:r>
              <w:rPr>
                <w:rFonts w:ascii="Times New Roman" w:hAnsi="Times New Roman"/>
                <w:b/>
                <w:sz w:val="24"/>
                <w:szCs w:val="24"/>
              </w:rPr>
              <w:t>Ioannis</w:t>
            </w:r>
            <w:r w:rsidR="001C4138" w:rsidRPr="004F6117">
              <w:rPr>
                <w:rFonts w:ascii="Times New Roman" w:hAnsi="Times New Roman"/>
                <w:b/>
                <w:sz w:val="24"/>
                <w:szCs w:val="24"/>
              </w:rPr>
              <w:t xml:space="preserve"> </w:t>
            </w:r>
            <w:r>
              <w:rPr>
                <w:rFonts w:ascii="Times New Roman" w:hAnsi="Times New Roman"/>
                <w:b/>
                <w:sz w:val="24"/>
                <w:szCs w:val="24"/>
              </w:rPr>
              <w:t>VARDAKASTANIS</w:t>
            </w:r>
            <w:r w:rsidR="001C4138" w:rsidRPr="004F6117">
              <w:rPr>
                <w:rFonts w:ascii="Times New Roman" w:hAnsi="Times New Roman"/>
                <w:b/>
                <w:sz w:val="24"/>
                <w:szCs w:val="24"/>
              </w:rPr>
              <w:t xml:space="preserve"> (</w:t>
            </w:r>
            <w:r>
              <w:rPr>
                <w:rFonts w:ascii="Times New Roman" w:hAnsi="Times New Roman"/>
                <w:b/>
                <w:sz w:val="24"/>
                <w:szCs w:val="24"/>
              </w:rPr>
              <w:t>EL</w:t>
            </w:r>
            <w:r w:rsidR="00D1118A">
              <w:rPr>
                <w:rFonts w:ascii="Times New Roman" w:hAnsi="Times New Roman"/>
                <w:b/>
                <w:sz w:val="24"/>
                <w:szCs w:val="24"/>
              </w:rPr>
              <w:t>-III</w:t>
            </w:r>
            <w:r w:rsidR="001C4138" w:rsidRPr="004F6117">
              <w:rPr>
                <w:rFonts w:ascii="Times New Roman" w:hAnsi="Times New Roman"/>
                <w:b/>
                <w:sz w:val="24"/>
                <w:szCs w:val="24"/>
              </w:rPr>
              <w:t>)</w:t>
            </w:r>
            <w:r w:rsidR="001C4138" w:rsidRPr="004F6117">
              <w:rPr>
                <w:rFonts w:ascii="Times New Roman" w:hAnsi="Times New Roman"/>
                <w:b/>
                <w:sz w:val="24"/>
                <w:szCs w:val="24"/>
              </w:rPr>
              <w:br/>
              <w:t xml:space="preserve">DG </w:t>
            </w:r>
            <w:r>
              <w:rPr>
                <w:rFonts w:ascii="Times New Roman" w:hAnsi="Times New Roman"/>
                <w:b/>
                <w:sz w:val="24"/>
                <w:szCs w:val="24"/>
              </w:rPr>
              <w:t>JUST</w:t>
            </w:r>
            <w:r w:rsidR="001C4138" w:rsidRPr="004F6117">
              <w:rPr>
                <w:rFonts w:ascii="Times New Roman" w:hAnsi="Times New Roman"/>
                <w:b/>
                <w:sz w:val="24"/>
                <w:szCs w:val="24"/>
              </w:rPr>
              <w:t xml:space="preserve"> – Commissioner </w:t>
            </w:r>
            <w:r>
              <w:rPr>
                <w:rFonts w:ascii="Times New Roman" w:hAnsi="Times New Roman"/>
                <w:b/>
                <w:sz w:val="24"/>
                <w:szCs w:val="24"/>
              </w:rPr>
              <w:t>LAHBIB</w:t>
            </w:r>
          </w:p>
        </w:tc>
      </w:tr>
      <w:tr w:rsidR="004F6117" w:rsidRPr="004F6117" w14:paraId="041809D9" w14:textId="77777777" w:rsidTr="00EE3290">
        <w:trPr>
          <w:jc w:val="center"/>
        </w:trPr>
        <w:tc>
          <w:tcPr>
            <w:tcW w:w="10892" w:type="dxa"/>
          </w:tcPr>
          <w:p w14:paraId="52C253DC" w14:textId="5DAC7E8F" w:rsidR="005B0AB6" w:rsidRPr="000D4D30" w:rsidRDefault="0049246C" w:rsidP="005B0AB6">
            <w:pPr>
              <w:spacing w:before="120" w:after="120"/>
              <w:jc w:val="center"/>
              <w:rPr>
                <w:rFonts w:ascii="Times New Roman" w:hAnsi="Times New Roman"/>
                <w:b/>
                <w:sz w:val="24"/>
                <w:szCs w:val="24"/>
              </w:rPr>
            </w:pPr>
            <w:r w:rsidRPr="004F6117">
              <w:rPr>
                <w:rFonts w:ascii="Times New Roman" w:hAnsi="Times New Roman"/>
                <w:b/>
                <w:sz w:val="24"/>
                <w:szCs w:val="24"/>
              </w:rPr>
              <w:t>European Commission position on points</w:t>
            </w:r>
            <w:r>
              <w:rPr>
                <w:rFonts w:ascii="Times New Roman" w:hAnsi="Times New Roman"/>
                <w:b/>
                <w:sz w:val="24"/>
                <w:szCs w:val="24"/>
              </w:rPr>
              <w:br/>
            </w:r>
            <w:r w:rsidRPr="004F6117">
              <w:rPr>
                <w:rFonts w:ascii="Times New Roman" w:hAnsi="Times New Roman"/>
                <w:b/>
                <w:sz w:val="24"/>
                <w:szCs w:val="24"/>
              </w:rPr>
              <w:t xml:space="preserve">of the European Economic and Social Committee </w:t>
            </w:r>
            <w:r w:rsidR="00820CA3">
              <w:rPr>
                <w:rFonts w:ascii="Times New Roman" w:hAnsi="Times New Roman"/>
                <w:b/>
                <w:sz w:val="24"/>
                <w:szCs w:val="24"/>
              </w:rPr>
              <w:t xml:space="preserve">(EESC) </w:t>
            </w:r>
            <w:r w:rsidRPr="004F6117">
              <w:rPr>
                <w:rFonts w:ascii="Times New Roman" w:hAnsi="Times New Roman"/>
                <w:b/>
                <w:sz w:val="24"/>
                <w:szCs w:val="24"/>
              </w:rPr>
              <w:t>opinion</w:t>
            </w:r>
            <w:r w:rsidR="00E83C12">
              <w:rPr>
                <w:rFonts w:ascii="Times New Roman" w:hAnsi="Times New Roman"/>
                <w:b/>
                <w:sz w:val="24"/>
                <w:szCs w:val="24"/>
              </w:rPr>
              <w:t xml:space="preserve"> </w:t>
            </w:r>
            <w:r w:rsidR="00E83C12" w:rsidRPr="00E83C12">
              <w:rPr>
                <w:rFonts w:ascii="Times New Roman" w:hAnsi="Times New Roman"/>
                <w:b/>
                <w:sz w:val="24"/>
                <w:szCs w:val="24"/>
              </w:rPr>
              <w:t>considered as essential</w:t>
            </w:r>
          </w:p>
        </w:tc>
      </w:tr>
      <w:tr w:rsidR="004F6117" w:rsidRPr="004F6117" w14:paraId="461CAB07" w14:textId="77777777" w:rsidTr="00EE3290">
        <w:trPr>
          <w:jc w:val="center"/>
        </w:trPr>
        <w:tc>
          <w:tcPr>
            <w:tcW w:w="10892" w:type="dxa"/>
          </w:tcPr>
          <w:p w14:paraId="208BEFAA" w14:textId="0F764267" w:rsidR="00E00A5E" w:rsidRPr="00D1118A" w:rsidRDefault="7C523E55" w:rsidP="00D1118A">
            <w:pPr>
              <w:widowControl w:val="0"/>
              <w:spacing w:before="120" w:after="120"/>
              <w:jc w:val="both"/>
              <w:rPr>
                <w:rFonts w:ascii="Times New Roman" w:hAnsi="Times New Roman"/>
                <w:sz w:val="24"/>
                <w:szCs w:val="24"/>
              </w:rPr>
            </w:pPr>
            <w:r w:rsidRPr="00D1118A">
              <w:rPr>
                <w:rFonts w:ascii="Times New Roman" w:hAnsi="Times New Roman"/>
                <w:color w:val="000000"/>
                <w:sz w:val="24"/>
                <w:szCs w:val="24"/>
                <w:lang w:eastAsia="en-GB"/>
              </w:rPr>
              <w:t>The</w:t>
            </w:r>
            <w:r w:rsidRPr="00D1118A">
              <w:rPr>
                <w:rFonts w:ascii="Times New Roman" w:hAnsi="Times New Roman"/>
                <w:sz w:val="24"/>
                <w:szCs w:val="24"/>
              </w:rPr>
              <w:t xml:space="preserve"> Strategy for the Rights of Persons with Disabilities 2021-2030</w:t>
            </w:r>
            <w:r w:rsidR="009B261B" w:rsidRPr="00D1118A">
              <w:rPr>
                <w:rStyle w:val="FootnoteReference"/>
                <w:rFonts w:ascii="Times New Roman" w:hAnsi="Times New Roman"/>
                <w:szCs w:val="24"/>
              </w:rPr>
              <w:footnoteReference w:id="2"/>
            </w:r>
            <w:r w:rsidRPr="00D1118A">
              <w:rPr>
                <w:rFonts w:ascii="Times New Roman" w:hAnsi="Times New Roman"/>
                <w:sz w:val="24"/>
                <w:szCs w:val="24"/>
              </w:rPr>
              <w:t xml:space="preserve"> </w:t>
            </w:r>
            <w:r w:rsidR="21F0597A" w:rsidRPr="00D1118A">
              <w:rPr>
                <w:rFonts w:ascii="Times New Roman" w:hAnsi="Times New Roman"/>
                <w:sz w:val="24"/>
                <w:szCs w:val="24"/>
              </w:rPr>
              <w:t xml:space="preserve">(the Strategy) </w:t>
            </w:r>
            <w:r w:rsidRPr="00D1118A">
              <w:rPr>
                <w:rFonts w:ascii="Times New Roman" w:hAnsi="Times New Roman"/>
                <w:sz w:val="24"/>
                <w:szCs w:val="24"/>
              </w:rPr>
              <w:t xml:space="preserve">aims </w:t>
            </w:r>
            <w:r w:rsidR="1903A11C" w:rsidRPr="00D1118A">
              <w:rPr>
                <w:rFonts w:ascii="Times New Roman" w:hAnsi="Times New Roman"/>
                <w:sz w:val="24"/>
                <w:szCs w:val="24"/>
              </w:rPr>
              <w:t xml:space="preserve">to </w:t>
            </w:r>
            <w:r w:rsidRPr="00D1118A">
              <w:rPr>
                <w:rFonts w:ascii="Times New Roman" w:hAnsi="Times New Roman"/>
                <w:sz w:val="24"/>
                <w:szCs w:val="24"/>
              </w:rPr>
              <w:t>improv</w:t>
            </w:r>
            <w:r w:rsidR="1903A11C" w:rsidRPr="00D1118A">
              <w:rPr>
                <w:rFonts w:ascii="Times New Roman" w:hAnsi="Times New Roman"/>
                <w:sz w:val="24"/>
                <w:szCs w:val="24"/>
              </w:rPr>
              <w:t>e</w:t>
            </w:r>
            <w:r w:rsidRPr="00D1118A">
              <w:rPr>
                <w:rFonts w:ascii="Times New Roman" w:hAnsi="Times New Roman"/>
                <w:sz w:val="24"/>
                <w:szCs w:val="24"/>
              </w:rPr>
              <w:t xml:space="preserve"> the lives of persons with disabilities in the EU</w:t>
            </w:r>
            <w:r w:rsidR="00341C92" w:rsidRPr="00D1118A">
              <w:rPr>
                <w:rFonts w:ascii="Times New Roman" w:hAnsi="Times New Roman"/>
                <w:sz w:val="24"/>
                <w:szCs w:val="24"/>
              </w:rPr>
              <w:t xml:space="preserve">. It </w:t>
            </w:r>
            <w:r w:rsidRPr="00D1118A">
              <w:rPr>
                <w:rFonts w:ascii="Times New Roman" w:hAnsi="Times New Roman"/>
                <w:sz w:val="24"/>
                <w:szCs w:val="24"/>
              </w:rPr>
              <w:t>provides a framework for EU action, to be supplemented by Member States’ policies, for further progress towards ensuring that all persons with disabilities in Europe enjoy their human rights, have equal access and opportunities to participate in society and economy, are able to decide where, how and with whom they live, and are able to move freely in the EU regardless of their support needs.</w:t>
            </w:r>
            <w:r w:rsidR="00341C92" w:rsidRPr="00D1118A">
              <w:rPr>
                <w:rFonts w:ascii="Times New Roman" w:hAnsi="Times New Roman"/>
                <w:sz w:val="24"/>
                <w:szCs w:val="24"/>
              </w:rPr>
              <w:t xml:space="preserve"> The Strategy contributes to build a Union of equality and to implement the European Pillar of Social Rights.</w:t>
            </w:r>
            <w:r w:rsidR="00341C92" w:rsidRPr="00D1118A">
              <w:rPr>
                <w:rFonts w:cs="Calibri"/>
                <w:sz w:val="24"/>
                <w:szCs w:val="24"/>
                <w:lang w:val="en-US"/>
              </w:rPr>
              <w:t xml:space="preserve"> </w:t>
            </w:r>
            <w:r w:rsidR="000608A4" w:rsidRPr="00D1118A">
              <w:rPr>
                <w:rFonts w:ascii="Times New Roman" w:hAnsi="Times New Roman"/>
                <w:sz w:val="24"/>
                <w:szCs w:val="24"/>
              </w:rPr>
              <w:t xml:space="preserve">It supports EU </w:t>
            </w:r>
            <w:r w:rsidR="00DB5852" w:rsidRPr="00D1118A">
              <w:rPr>
                <w:rFonts w:ascii="Times New Roman" w:hAnsi="Times New Roman"/>
                <w:sz w:val="24"/>
                <w:szCs w:val="24"/>
              </w:rPr>
              <w:t>i</w:t>
            </w:r>
            <w:r w:rsidR="000608A4" w:rsidRPr="00D1118A">
              <w:rPr>
                <w:rFonts w:ascii="Times New Roman" w:hAnsi="Times New Roman"/>
                <w:sz w:val="24"/>
                <w:szCs w:val="24"/>
              </w:rPr>
              <w:t xml:space="preserve">nstitutions and Member States in implementing </w:t>
            </w:r>
            <w:r w:rsidR="00341C92" w:rsidRPr="00D1118A">
              <w:rPr>
                <w:rFonts w:ascii="Times New Roman" w:hAnsi="Times New Roman"/>
                <w:sz w:val="24"/>
                <w:szCs w:val="24"/>
              </w:rPr>
              <w:t>the United Nations Convention on the Rights of Persons with Disabilities (UNCRPD, the Convention)</w:t>
            </w:r>
            <w:r w:rsidR="00341C92" w:rsidRPr="00D1118A">
              <w:rPr>
                <w:rStyle w:val="FootnoteReference"/>
                <w:rFonts w:ascii="Times New Roman" w:hAnsi="Times New Roman"/>
                <w:szCs w:val="24"/>
              </w:rPr>
              <w:footnoteReference w:id="3"/>
            </w:r>
            <w:r w:rsidR="00341C92" w:rsidRPr="00D1118A">
              <w:rPr>
                <w:rFonts w:ascii="Times New Roman" w:hAnsi="Times New Roman"/>
                <w:sz w:val="24"/>
                <w:szCs w:val="24"/>
              </w:rPr>
              <w:t>.</w:t>
            </w:r>
          </w:p>
          <w:p w14:paraId="11C80F15" w14:textId="091857FC" w:rsidR="005B0AB6" w:rsidRPr="00D1118A" w:rsidRDefault="009B261B" w:rsidP="00D1118A">
            <w:pPr>
              <w:widowControl w:val="0"/>
              <w:spacing w:before="120" w:after="120"/>
              <w:jc w:val="both"/>
              <w:rPr>
                <w:rFonts w:ascii="Times New Roman" w:hAnsi="Times New Roman"/>
                <w:sz w:val="24"/>
                <w:szCs w:val="24"/>
              </w:rPr>
            </w:pPr>
            <w:r w:rsidRPr="00D1118A">
              <w:rPr>
                <w:rFonts w:ascii="Times New Roman" w:hAnsi="Times New Roman"/>
                <w:sz w:val="24"/>
                <w:szCs w:val="24"/>
              </w:rPr>
              <w:t>The Strategy steers action at EU</w:t>
            </w:r>
            <w:r w:rsidR="00DB5852" w:rsidRPr="00D1118A">
              <w:rPr>
                <w:rFonts w:ascii="Times New Roman" w:hAnsi="Times New Roman"/>
                <w:sz w:val="24"/>
                <w:szCs w:val="24"/>
              </w:rPr>
              <w:t xml:space="preserve"> </w:t>
            </w:r>
            <w:r w:rsidRPr="00D1118A">
              <w:rPr>
                <w:rFonts w:ascii="Times New Roman" w:hAnsi="Times New Roman"/>
                <w:sz w:val="24"/>
                <w:szCs w:val="24"/>
              </w:rPr>
              <w:t xml:space="preserve">level and offers guidance to EU Member States, </w:t>
            </w:r>
            <w:r w:rsidR="00240E74" w:rsidRPr="00D1118A">
              <w:rPr>
                <w:rFonts w:ascii="Times New Roman" w:hAnsi="Times New Roman"/>
                <w:sz w:val="24"/>
                <w:szCs w:val="24"/>
              </w:rPr>
              <w:t>with the</w:t>
            </w:r>
            <w:r w:rsidRPr="00D1118A">
              <w:rPr>
                <w:rFonts w:ascii="Times New Roman" w:hAnsi="Times New Roman"/>
                <w:sz w:val="24"/>
                <w:szCs w:val="24"/>
              </w:rPr>
              <w:t xml:space="preserve"> view to foster the inclusion of persons with disabilities in society and the full recognition of their rights in accordance with and within the limits of the powers conferred by the EU Treaties, and in line with the Convention. The Strategy is a</w:t>
            </w:r>
            <w:r w:rsidR="00806914">
              <w:rPr>
                <w:rFonts w:ascii="Times New Roman" w:hAnsi="Times New Roman"/>
                <w:sz w:val="24"/>
                <w:szCs w:val="24"/>
              </w:rPr>
              <w:t> </w:t>
            </w:r>
            <w:r w:rsidRPr="00D1118A">
              <w:rPr>
                <w:rFonts w:ascii="Times New Roman" w:hAnsi="Times New Roman"/>
                <w:sz w:val="24"/>
                <w:szCs w:val="24"/>
              </w:rPr>
              <w:t xml:space="preserve">joint </w:t>
            </w:r>
            <w:r w:rsidR="00AA073E" w:rsidRPr="00D1118A">
              <w:rPr>
                <w:rFonts w:ascii="Times New Roman" w:hAnsi="Times New Roman"/>
                <w:sz w:val="24"/>
                <w:szCs w:val="24"/>
              </w:rPr>
              <w:t>endeavour among the Commission, other EU institutions as well as relevant stakeholders, which jointly contribute to pursue its objectives.</w:t>
            </w:r>
            <w:r w:rsidR="00FA210C" w:rsidRPr="00D1118A">
              <w:rPr>
                <w:rFonts w:ascii="Times New Roman" w:hAnsi="Times New Roman"/>
                <w:sz w:val="24"/>
                <w:szCs w:val="24"/>
              </w:rPr>
              <w:t xml:space="preserve"> </w:t>
            </w:r>
            <w:r w:rsidR="005B0AB6" w:rsidRPr="00D1118A">
              <w:rPr>
                <w:rFonts w:ascii="Times New Roman" w:hAnsi="Times New Roman"/>
                <w:sz w:val="24"/>
                <w:szCs w:val="24"/>
              </w:rPr>
              <w:t>In this context, the Commission highly appreciates the C</w:t>
            </w:r>
            <w:r w:rsidR="00806914">
              <w:rPr>
                <w:rFonts w:ascii="Times New Roman" w:hAnsi="Times New Roman"/>
                <w:sz w:val="24"/>
                <w:szCs w:val="24"/>
              </w:rPr>
              <w:t>ommittee</w:t>
            </w:r>
            <w:r w:rsidR="005B0AB6" w:rsidRPr="00D1118A">
              <w:rPr>
                <w:rFonts w:ascii="Times New Roman" w:hAnsi="Times New Roman"/>
                <w:sz w:val="24"/>
                <w:szCs w:val="24"/>
              </w:rPr>
              <w:t xml:space="preserve"> contribution and opinion. Furthermore, the Commission concurs with the EESC that </w:t>
            </w:r>
            <w:r w:rsidR="00AA073E" w:rsidRPr="00D1118A">
              <w:rPr>
                <w:rFonts w:ascii="Times New Roman" w:hAnsi="Times New Roman"/>
                <w:sz w:val="24"/>
                <w:szCs w:val="24"/>
              </w:rPr>
              <w:t xml:space="preserve">emerging </w:t>
            </w:r>
            <w:r w:rsidRPr="00D1118A">
              <w:rPr>
                <w:rFonts w:ascii="Times New Roman" w:hAnsi="Times New Roman"/>
                <w:sz w:val="24"/>
                <w:szCs w:val="24"/>
              </w:rPr>
              <w:t xml:space="preserve">contextual elements </w:t>
            </w:r>
            <w:r w:rsidR="00AA073E" w:rsidRPr="00D1118A">
              <w:rPr>
                <w:rFonts w:ascii="Times New Roman" w:hAnsi="Times New Roman"/>
                <w:sz w:val="24"/>
                <w:szCs w:val="24"/>
              </w:rPr>
              <w:t xml:space="preserve">need to </w:t>
            </w:r>
            <w:r w:rsidR="00B4700B" w:rsidRPr="00D1118A">
              <w:rPr>
                <w:rFonts w:ascii="Times New Roman" w:hAnsi="Times New Roman"/>
                <w:sz w:val="24"/>
                <w:szCs w:val="24"/>
              </w:rPr>
              <w:t xml:space="preserve">be </w:t>
            </w:r>
            <w:proofErr w:type="gramStart"/>
            <w:r w:rsidR="00AA073E" w:rsidRPr="00D1118A">
              <w:rPr>
                <w:rFonts w:ascii="Times New Roman" w:hAnsi="Times New Roman"/>
                <w:sz w:val="24"/>
                <w:szCs w:val="24"/>
              </w:rPr>
              <w:t>take</w:t>
            </w:r>
            <w:r w:rsidR="00B4700B" w:rsidRPr="00D1118A">
              <w:rPr>
                <w:rFonts w:ascii="Times New Roman" w:hAnsi="Times New Roman"/>
                <w:sz w:val="24"/>
                <w:szCs w:val="24"/>
              </w:rPr>
              <w:t>n</w:t>
            </w:r>
            <w:r w:rsidR="00AA073E" w:rsidRPr="00D1118A">
              <w:rPr>
                <w:rFonts w:ascii="Times New Roman" w:hAnsi="Times New Roman"/>
                <w:sz w:val="24"/>
                <w:szCs w:val="24"/>
              </w:rPr>
              <w:t xml:space="preserve"> into account</w:t>
            </w:r>
            <w:proofErr w:type="gramEnd"/>
            <w:r w:rsidR="00AA073E" w:rsidRPr="00D1118A">
              <w:rPr>
                <w:rFonts w:ascii="Times New Roman" w:hAnsi="Times New Roman"/>
                <w:sz w:val="24"/>
                <w:szCs w:val="24"/>
              </w:rPr>
              <w:t xml:space="preserve"> in assessing the way forward in the Strategy’s implementation</w:t>
            </w:r>
            <w:r w:rsidR="005B0AB6" w:rsidRPr="00D1118A">
              <w:rPr>
                <w:rFonts w:ascii="Times New Roman" w:hAnsi="Times New Roman"/>
                <w:sz w:val="24"/>
                <w:szCs w:val="24"/>
              </w:rPr>
              <w:t xml:space="preserve"> (</w:t>
            </w:r>
            <w:r w:rsidR="005B0AB6" w:rsidRPr="00AC54C0">
              <w:rPr>
                <w:rFonts w:ascii="Times New Roman" w:hAnsi="Times New Roman"/>
                <w:sz w:val="24"/>
                <w:szCs w:val="24"/>
                <w:u w:val="single"/>
              </w:rPr>
              <w:t>paragraph</w:t>
            </w:r>
            <w:r w:rsidR="003433AF">
              <w:rPr>
                <w:rFonts w:ascii="Times New Roman" w:hAnsi="Times New Roman"/>
                <w:sz w:val="24"/>
                <w:szCs w:val="24"/>
                <w:u w:val="single"/>
              </w:rPr>
              <w:t> </w:t>
            </w:r>
            <w:r w:rsidRPr="00AC54C0">
              <w:rPr>
                <w:rFonts w:ascii="Times New Roman" w:hAnsi="Times New Roman"/>
                <w:sz w:val="24"/>
                <w:szCs w:val="24"/>
                <w:u w:val="single"/>
              </w:rPr>
              <w:t>2.6</w:t>
            </w:r>
            <w:r w:rsidR="005B0AB6" w:rsidRPr="00D1118A">
              <w:rPr>
                <w:rFonts w:ascii="Times New Roman" w:hAnsi="Times New Roman"/>
                <w:sz w:val="24"/>
                <w:szCs w:val="24"/>
              </w:rPr>
              <w:t>).</w:t>
            </w:r>
          </w:p>
          <w:p w14:paraId="7BF64800" w14:textId="6E094AEF" w:rsidR="00B76071" w:rsidRPr="00D1118A" w:rsidRDefault="00AA073E" w:rsidP="00D1118A">
            <w:pPr>
              <w:widowControl w:val="0"/>
              <w:spacing w:before="120" w:after="120"/>
              <w:jc w:val="both"/>
              <w:rPr>
                <w:rFonts w:ascii="Times New Roman" w:hAnsi="Times New Roman"/>
                <w:sz w:val="24"/>
                <w:szCs w:val="24"/>
              </w:rPr>
            </w:pPr>
            <w:r w:rsidRPr="00F401A0">
              <w:rPr>
                <w:rFonts w:ascii="Times New Roman" w:hAnsi="Times New Roman"/>
                <w:sz w:val="24"/>
                <w:szCs w:val="24"/>
                <w:u w:val="single"/>
              </w:rPr>
              <w:t>Paragraphs 1.3</w:t>
            </w:r>
            <w:r w:rsidR="008C26D3" w:rsidRPr="00F401A0">
              <w:rPr>
                <w:rFonts w:ascii="Times New Roman" w:hAnsi="Times New Roman"/>
                <w:sz w:val="24"/>
                <w:szCs w:val="24"/>
                <w:u w:val="single"/>
              </w:rPr>
              <w:t>,</w:t>
            </w:r>
            <w:r w:rsidRPr="00F401A0">
              <w:rPr>
                <w:rFonts w:ascii="Times New Roman" w:hAnsi="Times New Roman"/>
                <w:sz w:val="24"/>
                <w:szCs w:val="24"/>
                <w:u w:val="single"/>
              </w:rPr>
              <w:t xml:space="preserve"> 1.4</w:t>
            </w:r>
            <w:r w:rsidR="008C26D3" w:rsidRPr="00F401A0">
              <w:rPr>
                <w:rFonts w:ascii="Times New Roman" w:hAnsi="Times New Roman"/>
                <w:sz w:val="24"/>
                <w:szCs w:val="24"/>
                <w:u w:val="single"/>
              </w:rPr>
              <w:t xml:space="preserve"> and 4.14</w:t>
            </w:r>
            <w:r w:rsidR="00E00A5E" w:rsidRPr="00D1118A">
              <w:rPr>
                <w:rFonts w:ascii="Times New Roman" w:hAnsi="Times New Roman"/>
                <w:sz w:val="24"/>
                <w:szCs w:val="24"/>
              </w:rPr>
              <w:t>:</w:t>
            </w:r>
          </w:p>
          <w:p w14:paraId="11350536" w14:textId="27F513AE" w:rsidR="00FA210C" w:rsidRPr="00D1118A" w:rsidRDefault="0076061B" w:rsidP="00D1118A">
            <w:pPr>
              <w:widowControl w:val="0"/>
              <w:spacing w:before="120" w:after="120"/>
              <w:jc w:val="both"/>
              <w:rPr>
                <w:rFonts w:ascii="Times New Roman" w:hAnsi="Times New Roman"/>
                <w:sz w:val="24"/>
                <w:szCs w:val="24"/>
                <w:lang w:val="en-US"/>
              </w:rPr>
            </w:pPr>
            <w:r w:rsidRPr="00D1118A">
              <w:rPr>
                <w:rFonts w:ascii="Times New Roman" w:hAnsi="Times New Roman"/>
                <w:sz w:val="24"/>
                <w:szCs w:val="24"/>
              </w:rPr>
              <w:t>Under the Commission’s mandate started in 2024</w:t>
            </w:r>
            <w:r w:rsidRPr="00D1118A">
              <w:rPr>
                <w:rFonts w:ascii="Times New Roman" w:hAnsi="Times New Roman"/>
                <w:sz w:val="24"/>
                <w:szCs w:val="24"/>
                <w:lang w:val="en-US"/>
              </w:rPr>
              <w:t>, Commissioner Lahbib has been tasked to lead on the implementation of the Strategy and of the UNCRPD, so that persons with disabilities exercise their rights, autonomy and participation</w:t>
            </w:r>
            <w:r w:rsidR="00FA210C" w:rsidRPr="00D1118A">
              <w:rPr>
                <w:rStyle w:val="FootnoteReference"/>
                <w:rFonts w:ascii="Times New Roman" w:hAnsi="Times New Roman"/>
                <w:szCs w:val="24"/>
                <w:lang w:val="en-US"/>
              </w:rPr>
              <w:footnoteReference w:id="4"/>
            </w:r>
            <w:r w:rsidRPr="00D1118A">
              <w:rPr>
                <w:rFonts w:ascii="Times New Roman" w:hAnsi="Times New Roman"/>
                <w:sz w:val="24"/>
                <w:szCs w:val="24"/>
                <w:lang w:val="en-US"/>
              </w:rPr>
              <w:t xml:space="preserve">. </w:t>
            </w:r>
            <w:r w:rsidR="00DB5852" w:rsidRPr="00D1118A">
              <w:rPr>
                <w:rFonts w:ascii="Times New Roman" w:hAnsi="Times New Roman"/>
                <w:sz w:val="24"/>
                <w:szCs w:val="24"/>
                <w:lang w:val="en-US"/>
              </w:rPr>
              <w:t xml:space="preserve">At </w:t>
            </w:r>
            <w:r w:rsidRPr="00D1118A">
              <w:rPr>
                <w:rFonts w:ascii="Times New Roman" w:hAnsi="Times New Roman"/>
                <w:sz w:val="24"/>
                <w:szCs w:val="24"/>
                <w:lang w:val="en-US"/>
              </w:rPr>
              <w:t xml:space="preserve">her confirmation hearing at the European Parliament, Commissioner Lahbib stated that </w:t>
            </w:r>
            <w:r w:rsidRPr="00D1118A">
              <w:rPr>
                <w:rFonts w:ascii="Times New Roman" w:hAnsi="Times New Roman"/>
                <w:sz w:val="24"/>
                <w:szCs w:val="24"/>
                <w:lang w:val="en-IE"/>
              </w:rPr>
              <w:t xml:space="preserve">she would put in place new actions implementing the Strategy, with </w:t>
            </w:r>
            <w:r w:rsidR="00C3065F" w:rsidRPr="00D1118A">
              <w:rPr>
                <w:rFonts w:ascii="Times New Roman" w:hAnsi="Times New Roman"/>
                <w:sz w:val="24"/>
                <w:szCs w:val="24"/>
                <w:lang w:val="en-IE"/>
              </w:rPr>
              <w:t xml:space="preserve">particular </w:t>
            </w:r>
            <w:r w:rsidRPr="00D1118A">
              <w:rPr>
                <w:rFonts w:ascii="Times New Roman" w:hAnsi="Times New Roman"/>
                <w:sz w:val="24"/>
                <w:szCs w:val="24"/>
                <w:lang w:val="en-IE"/>
              </w:rPr>
              <w:t>attention to the areas of accessibility, employment and independent living</w:t>
            </w:r>
            <w:r w:rsidRPr="00D1118A">
              <w:rPr>
                <w:rFonts w:ascii="Times New Roman" w:hAnsi="Times New Roman"/>
                <w:sz w:val="24"/>
                <w:szCs w:val="24"/>
                <w:lang w:val="en-US"/>
              </w:rPr>
              <w:t>.</w:t>
            </w:r>
          </w:p>
          <w:p w14:paraId="1A2C8776" w14:textId="02F31C98" w:rsidR="00CD65DF" w:rsidRPr="00D1118A" w:rsidRDefault="006B45F3" w:rsidP="00D1118A">
            <w:pPr>
              <w:widowControl w:val="0"/>
              <w:spacing w:before="120" w:after="120"/>
              <w:jc w:val="both"/>
              <w:rPr>
                <w:rFonts w:ascii="Times New Roman" w:eastAsia="Times New Roman" w:hAnsi="Times New Roman"/>
                <w:color w:val="000000"/>
                <w:sz w:val="24"/>
                <w:szCs w:val="24"/>
              </w:rPr>
            </w:pPr>
            <w:r w:rsidRPr="00D1118A">
              <w:rPr>
                <w:rFonts w:ascii="Times New Roman" w:hAnsi="Times New Roman"/>
                <w:sz w:val="24"/>
                <w:szCs w:val="24"/>
                <w:lang w:val="en-US"/>
              </w:rPr>
              <w:t>I</w:t>
            </w:r>
            <w:r w:rsidR="00E808B4" w:rsidRPr="00D1118A">
              <w:rPr>
                <w:rFonts w:ascii="Times New Roman" w:hAnsi="Times New Roman"/>
                <w:sz w:val="24"/>
                <w:szCs w:val="24"/>
                <w:lang w:val="en-US"/>
              </w:rPr>
              <w:t xml:space="preserve">n the Commission Work </w:t>
            </w:r>
            <w:proofErr w:type="spellStart"/>
            <w:r w:rsidR="00E808B4" w:rsidRPr="00D1118A">
              <w:rPr>
                <w:rFonts w:ascii="Times New Roman" w:hAnsi="Times New Roman"/>
                <w:sz w:val="24"/>
                <w:szCs w:val="24"/>
                <w:lang w:val="en-US"/>
              </w:rPr>
              <w:t>Programme</w:t>
            </w:r>
            <w:proofErr w:type="spellEnd"/>
            <w:r w:rsidR="00E808B4" w:rsidRPr="00D1118A">
              <w:rPr>
                <w:rFonts w:ascii="Times New Roman" w:hAnsi="Times New Roman"/>
                <w:sz w:val="24"/>
                <w:szCs w:val="24"/>
                <w:lang w:val="en-US"/>
              </w:rPr>
              <w:t xml:space="preserve"> 2026</w:t>
            </w:r>
            <w:r w:rsidR="000D715B" w:rsidRPr="00D1118A">
              <w:rPr>
                <w:rStyle w:val="FootnoteReference"/>
                <w:rFonts w:ascii="Times New Roman" w:hAnsi="Times New Roman"/>
                <w:szCs w:val="24"/>
                <w:lang w:val="en-US"/>
              </w:rPr>
              <w:footnoteReference w:id="5"/>
            </w:r>
            <w:r w:rsidR="00324B73" w:rsidRPr="00D1118A">
              <w:rPr>
                <w:rFonts w:ascii="Times New Roman" w:hAnsi="Times New Roman"/>
                <w:sz w:val="24"/>
                <w:szCs w:val="24"/>
                <w:lang w:val="en-US"/>
              </w:rPr>
              <w:t xml:space="preserve">, </w:t>
            </w:r>
            <w:r w:rsidRPr="00D1118A">
              <w:rPr>
                <w:rFonts w:ascii="Times New Roman" w:hAnsi="Times New Roman"/>
                <w:sz w:val="24"/>
                <w:szCs w:val="24"/>
                <w:lang w:val="en-US"/>
              </w:rPr>
              <w:t>t</w:t>
            </w:r>
            <w:r w:rsidR="00324B73" w:rsidRPr="00D1118A">
              <w:rPr>
                <w:rFonts w:ascii="Times New Roman" w:hAnsi="Times New Roman"/>
                <w:sz w:val="24"/>
                <w:szCs w:val="24"/>
                <w:lang w:val="en-US"/>
              </w:rPr>
              <w:t xml:space="preserve">he Commission </w:t>
            </w:r>
            <w:r w:rsidR="00C64EFF" w:rsidRPr="00D1118A">
              <w:rPr>
                <w:rFonts w:ascii="Times New Roman" w:hAnsi="Times New Roman"/>
                <w:sz w:val="24"/>
                <w:szCs w:val="24"/>
                <w:lang w:val="en-US"/>
              </w:rPr>
              <w:t xml:space="preserve">commits to </w:t>
            </w:r>
            <w:r w:rsidR="00324B73" w:rsidRPr="00D1118A">
              <w:rPr>
                <w:rFonts w:ascii="Times New Roman" w:hAnsi="Times New Roman"/>
                <w:sz w:val="24"/>
                <w:szCs w:val="24"/>
              </w:rPr>
              <w:t xml:space="preserve">update the Strategy </w:t>
            </w:r>
            <w:r w:rsidR="002F2FA8" w:rsidRPr="00D1118A">
              <w:rPr>
                <w:rFonts w:ascii="Times New Roman" w:hAnsi="Times New Roman"/>
                <w:sz w:val="24"/>
                <w:szCs w:val="24"/>
              </w:rPr>
              <w:t>with new actions.</w:t>
            </w:r>
            <w:r w:rsidR="00E808B4" w:rsidRPr="00D1118A">
              <w:rPr>
                <w:rFonts w:ascii="Times New Roman" w:hAnsi="Times New Roman"/>
                <w:sz w:val="24"/>
                <w:szCs w:val="24"/>
                <w:lang w:val="en-US"/>
              </w:rPr>
              <w:t xml:space="preserve"> </w:t>
            </w:r>
            <w:r w:rsidR="00C64EFF" w:rsidRPr="00D1118A">
              <w:rPr>
                <w:rFonts w:ascii="Times New Roman" w:hAnsi="Times New Roman"/>
                <w:sz w:val="24"/>
                <w:szCs w:val="24"/>
                <w:lang w:val="en-US"/>
              </w:rPr>
              <w:t>Further, i</w:t>
            </w:r>
            <w:r w:rsidR="008C26D3" w:rsidRPr="00D1118A">
              <w:rPr>
                <w:rFonts w:ascii="Times New Roman" w:hAnsi="Times New Roman"/>
                <w:sz w:val="24"/>
                <w:szCs w:val="24"/>
                <w:lang w:val="en-US"/>
              </w:rPr>
              <w:t>n the Strategy</w:t>
            </w:r>
            <w:r w:rsidR="00DB5852" w:rsidRPr="00D1118A">
              <w:rPr>
                <w:rFonts w:ascii="Times New Roman" w:hAnsi="Times New Roman"/>
                <w:sz w:val="24"/>
                <w:szCs w:val="24"/>
                <w:lang w:val="en-US"/>
              </w:rPr>
              <w:t>,</w:t>
            </w:r>
            <w:r w:rsidR="008C26D3" w:rsidRPr="00D1118A">
              <w:rPr>
                <w:rFonts w:ascii="Times New Roman" w:hAnsi="Times New Roman"/>
                <w:sz w:val="24"/>
                <w:szCs w:val="24"/>
                <w:lang w:val="en-US"/>
              </w:rPr>
              <w:t xml:space="preserve"> the Commission has committed to </w:t>
            </w:r>
            <w:r w:rsidR="008C26D3" w:rsidRPr="00D1118A">
              <w:rPr>
                <w:rFonts w:ascii="Times New Roman" w:hAnsi="Times New Roman"/>
                <w:sz w:val="24"/>
                <w:szCs w:val="24"/>
                <w:lang w:val="en-IE"/>
              </w:rPr>
              <w:t>prepar</w:t>
            </w:r>
            <w:r w:rsidR="00DB5852" w:rsidRPr="00D1118A">
              <w:rPr>
                <w:rFonts w:ascii="Times New Roman" w:hAnsi="Times New Roman"/>
                <w:sz w:val="24"/>
                <w:szCs w:val="24"/>
                <w:lang w:val="en-IE"/>
              </w:rPr>
              <w:t>ing</w:t>
            </w:r>
            <w:r w:rsidR="008C26D3" w:rsidRPr="00D1118A">
              <w:rPr>
                <w:rFonts w:ascii="Times New Roman" w:hAnsi="Times New Roman"/>
                <w:sz w:val="24"/>
                <w:szCs w:val="24"/>
                <w:lang w:val="en-IE"/>
              </w:rPr>
              <w:t xml:space="preserve"> a report assessing the progress on implementing </w:t>
            </w:r>
            <w:r w:rsidR="000608A4" w:rsidRPr="00D1118A">
              <w:rPr>
                <w:rFonts w:ascii="Times New Roman" w:hAnsi="Times New Roman"/>
                <w:sz w:val="24"/>
                <w:szCs w:val="24"/>
                <w:lang w:val="en-IE"/>
              </w:rPr>
              <w:t>it</w:t>
            </w:r>
            <w:r w:rsidR="008C26D3" w:rsidRPr="00D1118A">
              <w:rPr>
                <w:rFonts w:ascii="Times New Roman" w:hAnsi="Times New Roman"/>
                <w:sz w:val="24"/>
                <w:szCs w:val="24"/>
                <w:lang w:val="en-US"/>
              </w:rPr>
              <w:t xml:space="preserve">. </w:t>
            </w:r>
            <w:r w:rsidR="008C26D3" w:rsidRPr="00D1118A">
              <w:rPr>
                <w:rFonts w:ascii="Times New Roman" w:eastAsia="Times New Roman" w:hAnsi="Times New Roman"/>
                <w:color w:val="000000"/>
                <w:sz w:val="24"/>
                <w:szCs w:val="24"/>
              </w:rPr>
              <w:t>The progress report</w:t>
            </w:r>
            <w:r w:rsidR="00F51A62" w:rsidRPr="00D1118A">
              <w:rPr>
                <w:rFonts w:ascii="Times New Roman" w:eastAsia="Times New Roman" w:hAnsi="Times New Roman"/>
                <w:color w:val="000000"/>
                <w:sz w:val="24"/>
                <w:szCs w:val="24"/>
              </w:rPr>
              <w:t>, whose publication is envisaged in the second quarter of 2026</w:t>
            </w:r>
            <w:r w:rsidR="00C64EFF" w:rsidRPr="00D1118A">
              <w:rPr>
                <w:rFonts w:ascii="Times New Roman" w:eastAsia="Times New Roman" w:hAnsi="Times New Roman"/>
                <w:color w:val="000000"/>
                <w:sz w:val="24"/>
                <w:szCs w:val="24"/>
              </w:rPr>
              <w:t xml:space="preserve"> </w:t>
            </w:r>
            <w:r w:rsidR="00C03395" w:rsidRPr="00D1118A">
              <w:rPr>
                <w:rFonts w:ascii="Times New Roman" w:eastAsia="Times New Roman" w:hAnsi="Times New Roman"/>
                <w:color w:val="000000"/>
                <w:sz w:val="24"/>
                <w:szCs w:val="24"/>
              </w:rPr>
              <w:t>together</w:t>
            </w:r>
            <w:r w:rsidR="00C64EFF" w:rsidRPr="00D1118A">
              <w:rPr>
                <w:rFonts w:ascii="Times New Roman" w:eastAsia="Times New Roman" w:hAnsi="Times New Roman"/>
                <w:color w:val="000000"/>
                <w:sz w:val="24"/>
                <w:szCs w:val="24"/>
              </w:rPr>
              <w:t xml:space="preserve"> with the</w:t>
            </w:r>
            <w:r w:rsidR="00C03395" w:rsidRPr="00D1118A">
              <w:rPr>
                <w:rFonts w:ascii="Times New Roman" w:eastAsia="Times New Roman" w:hAnsi="Times New Roman"/>
                <w:color w:val="000000"/>
                <w:sz w:val="24"/>
                <w:szCs w:val="24"/>
              </w:rPr>
              <w:t xml:space="preserve"> new actions</w:t>
            </w:r>
            <w:r w:rsidR="00F51A62" w:rsidRPr="00D1118A">
              <w:rPr>
                <w:rFonts w:ascii="Times New Roman" w:eastAsia="Times New Roman" w:hAnsi="Times New Roman"/>
                <w:color w:val="000000"/>
                <w:sz w:val="24"/>
                <w:szCs w:val="24"/>
              </w:rPr>
              <w:t>,</w:t>
            </w:r>
            <w:r w:rsidR="008C26D3" w:rsidRPr="00D1118A">
              <w:rPr>
                <w:rFonts w:ascii="Times New Roman" w:eastAsia="Times New Roman" w:hAnsi="Times New Roman"/>
                <w:color w:val="000000"/>
                <w:sz w:val="24"/>
                <w:szCs w:val="24"/>
              </w:rPr>
              <w:t xml:space="preserve"> will offer the opportunity to show the results achieved</w:t>
            </w:r>
            <w:r w:rsidR="00D13C78" w:rsidRPr="00D1118A">
              <w:rPr>
                <w:rFonts w:ascii="Times New Roman" w:eastAsia="Times New Roman" w:hAnsi="Times New Roman"/>
                <w:color w:val="000000"/>
                <w:sz w:val="24"/>
                <w:szCs w:val="24"/>
              </w:rPr>
              <w:t>,</w:t>
            </w:r>
            <w:r w:rsidR="008C26D3" w:rsidRPr="00D1118A">
              <w:rPr>
                <w:rFonts w:ascii="Times New Roman" w:eastAsia="Times New Roman" w:hAnsi="Times New Roman"/>
                <w:color w:val="000000"/>
                <w:sz w:val="24"/>
                <w:szCs w:val="24"/>
              </w:rPr>
              <w:t xml:space="preserve"> but also to identify persisting gaps and challenges with a view to putting forward renewed actions under the Strategy, to continue promoting the rights of persons with disabilities across the EU and beyond.</w:t>
            </w:r>
            <w:r w:rsidR="00707FAD" w:rsidRPr="00D1118A">
              <w:rPr>
                <w:rFonts w:ascii="Times New Roman" w:eastAsia="Times New Roman" w:hAnsi="Times New Roman"/>
                <w:color w:val="000000"/>
                <w:sz w:val="24"/>
                <w:szCs w:val="24"/>
              </w:rPr>
              <w:t xml:space="preserve"> </w:t>
            </w:r>
            <w:r w:rsidR="0076061B" w:rsidRPr="00D1118A">
              <w:rPr>
                <w:rFonts w:ascii="Times New Roman" w:hAnsi="Times New Roman"/>
                <w:sz w:val="24"/>
                <w:szCs w:val="24"/>
                <w:lang w:val="en-US"/>
              </w:rPr>
              <w:t>The Commission is preparing this progress report and</w:t>
            </w:r>
            <w:r w:rsidR="00DB5852" w:rsidRPr="00D1118A">
              <w:rPr>
                <w:rFonts w:ascii="Times New Roman" w:hAnsi="Times New Roman"/>
                <w:sz w:val="24"/>
                <w:szCs w:val="24"/>
                <w:lang w:val="en-US"/>
              </w:rPr>
              <w:t>,</w:t>
            </w:r>
            <w:r w:rsidR="0076061B" w:rsidRPr="00D1118A">
              <w:rPr>
                <w:rFonts w:ascii="Times New Roman" w:hAnsi="Times New Roman"/>
                <w:sz w:val="24"/>
                <w:szCs w:val="24"/>
                <w:lang w:val="en-US"/>
              </w:rPr>
              <w:t xml:space="preserve"> in </w:t>
            </w:r>
            <w:r w:rsidR="0076061B" w:rsidRPr="00D1118A">
              <w:rPr>
                <w:rFonts w:ascii="Times New Roman" w:hAnsi="Times New Roman"/>
                <w:sz w:val="24"/>
                <w:szCs w:val="24"/>
                <w:lang w:val="en-US"/>
              </w:rPr>
              <w:lastRenderedPageBreak/>
              <w:t>addition to that</w:t>
            </w:r>
            <w:r w:rsidR="00DB5852" w:rsidRPr="00D1118A">
              <w:rPr>
                <w:rFonts w:ascii="Times New Roman" w:hAnsi="Times New Roman"/>
                <w:sz w:val="24"/>
                <w:szCs w:val="24"/>
                <w:lang w:val="en-US"/>
              </w:rPr>
              <w:t>,</w:t>
            </w:r>
            <w:r w:rsidR="0076061B" w:rsidRPr="00D1118A">
              <w:rPr>
                <w:rFonts w:ascii="Times New Roman" w:hAnsi="Times New Roman"/>
                <w:sz w:val="24"/>
                <w:szCs w:val="24"/>
                <w:lang w:val="en-US"/>
              </w:rPr>
              <w:t xml:space="preserve"> is conduct</w:t>
            </w:r>
            <w:r w:rsidR="00C03395" w:rsidRPr="00D1118A">
              <w:rPr>
                <w:rFonts w:ascii="Times New Roman" w:hAnsi="Times New Roman"/>
                <w:sz w:val="24"/>
                <w:szCs w:val="24"/>
                <w:lang w:val="en-US"/>
              </w:rPr>
              <w:t>ing</w:t>
            </w:r>
            <w:r w:rsidR="0076061B" w:rsidRPr="00D1118A">
              <w:rPr>
                <w:rFonts w:ascii="Times New Roman" w:hAnsi="Times New Roman"/>
                <w:sz w:val="24"/>
                <w:szCs w:val="24"/>
                <w:lang w:val="en-US"/>
              </w:rPr>
              <w:t xml:space="preserve"> targeted consultations addressed to Member States and stakeholders</w:t>
            </w:r>
            <w:r w:rsidR="000348D7" w:rsidRPr="00D1118A">
              <w:rPr>
                <w:rFonts w:ascii="Times New Roman" w:hAnsi="Times New Roman"/>
                <w:sz w:val="24"/>
                <w:szCs w:val="24"/>
                <w:lang w:val="en-US"/>
              </w:rPr>
              <w:t xml:space="preserve"> on the future of the Strategy</w:t>
            </w:r>
            <w:r w:rsidR="0076061B" w:rsidRPr="00D1118A">
              <w:rPr>
                <w:rFonts w:ascii="Times New Roman" w:hAnsi="Times New Roman"/>
                <w:sz w:val="24"/>
                <w:szCs w:val="24"/>
                <w:lang w:val="en-US"/>
              </w:rPr>
              <w:t xml:space="preserve">. Position papers from </w:t>
            </w:r>
            <w:proofErr w:type="spellStart"/>
            <w:r w:rsidR="0076061B" w:rsidRPr="00D1118A">
              <w:rPr>
                <w:rFonts w:ascii="Times New Roman" w:hAnsi="Times New Roman"/>
                <w:sz w:val="24"/>
                <w:szCs w:val="24"/>
                <w:lang w:val="en-US"/>
              </w:rPr>
              <w:t>organi</w:t>
            </w:r>
            <w:r w:rsidR="00FA210C" w:rsidRPr="00D1118A">
              <w:rPr>
                <w:rFonts w:ascii="Times New Roman" w:hAnsi="Times New Roman"/>
                <w:sz w:val="24"/>
                <w:szCs w:val="24"/>
                <w:lang w:val="en-US"/>
              </w:rPr>
              <w:t>s</w:t>
            </w:r>
            <w:r w:rsidR="0076061B" w:rsidRPr="00D1118A">
              <w:rPr>
                <w:rFonts w:ascii="Times New Roman" w:hAnsi="Times New Roman"/>
                <w:sz w:val="24"/>
                <w:szCs w:val="24"/>
                <w:lang w:val="en-US"/>
              </w:rPr>
              <w:t>ations</w:t>
            </w:r>
            <w:proofErr w:type="spellEnd"/>
            <w:r w:rsidR="0076061B" w:rsidRPr="00D1118A">
              <w:rPr>
                <w:rFonts w:ascii="Times New Roman" w:hAnsi="Times New Roman"/>
                <w:sz w:val="24"/>
                <w:szCs w:val="24"/>
                <w:lang w:val="en-US"/>
              </w:rPr>
              <w:t xml:space="preserve"> representing persons with disabilities as well as input</w:t>
            </w:r>
            <w:r w:rsidR="00BB76E3" w:rsidRPr="00D1118A">
              <w:rPr>
                <w:rFonts w:ascii="Times New Roman" w:hAnsi="Times New Roman"/>
                <w:sz w:val="24"/>
                <w:szCs w:val="24"/>
                <w:lang w:val="en-US"/>
              </w:rPr>
              <w:t xml:space="preserve"> from</w:t>
            </w:r>
            <w:r w:rsidR="0076061B" w:rsidRPr="00D1118A">
              <w:rPr>
                <w:rFonts w:ascii="Times New Roman" w:hAnsi="Times New Roman"/>
                <w:sz w:val="24"/>
                <w:szCs w:val="24"/>
                <w:lang w:val="en-US"/>
              </w:rPr>
              <w:t xml:space="preserve"> other EU institutions are carefully</w:t>
            </w:r>
            <w:r w:rsidR="585FFC08" w:rsidRPr="00D1118A">
              <w:rPr>
                <w:rFonts w:ascii="Times New Roman" w:hAnsi="Times New Roman"/>
                <w:sz w:val="24"/>
                <w:szCs w:val="24"/>
                <w:lang w:val="en-US"/>
              </w:rPr>
              <w:t xml:space="preserve"> </w:t>
            </w:r>
            <w:r w:rsidR="0076061B" w:rsidRPr="00D1118A">
              <w:rPr>
                <w:rFonts w:ascii="Times New Roman" w:hAnsi="Times New Roman"/>
                <w:sz w:val="24"/>
                <w:szCs w:val="24"/>
                <w:lang w:val="en-US"/>
              </w:rPr>
              <w:t xml:space="preserve">being </w:t>
            </w:r>
            <w:proofErr w:type="gramStart"/>
            <w:r w:rsidR="0076061B" w:rsidRPr="00D1118A">
              <w:rPr>
                <w:rFonts w:ascii="Times New Roman" w:hAnsi="Times New Roman"/>
                <w:sz w:val="24"/>
                <w:szCs w:val="24"/>
                <w:lang w:val="en-US"/>
              </w:rPr>
              <w:t>taken into account</w:t>
            </w:r>
            <w:proofErr w:type="gramEnd"/>
            <w:r w:rsidR="0076061B" w:rsidRPr="00D1118A">
              <w:rPr>
                <w:rFonts w:ascii="Times New Roman" w:hAnsi="Times New Roman"/>
                <w:sz w:val="24"/>
                <w:szCs w:val="24"/>
                <w:lang w:val="en-US"/>
              </w:rPr>
              <w:t xml:space="preserve"> in this context.</w:t>
            </w:r>
            <w:r w:rsidR="000348D7" w:rsidRPr="00D1118A">
              <w:rPr>
                <w:rFonts w:ascii="Times New Roman" w:hAnsi="Times New Roman"/>
                <w:sz w:val="24"/>
                <w:szCs w:val="24"/>
                <w:lang w:val="en-US"/>
              </w:rPr>
              <w:t xml:space="preserve"> The concluding observations</w:t>
            </w:r>
            <w:r w:rsidR="00FA210C" w:rsidRPr="00D1118A">
              <w:rPr>
                <w:rStyle w:val="FootnoteReference"/>
                <w:rFonts w:ascii="Times New Roman" w:hAnsi="Times New Roman"/>
                <w:szCs w:val="24"/>
                <w:lang w:val="en-US"/>
              </w:rPr>
              <w:footnoteReference w:id="6"/>
            </w:r>
            <w:r w:rsidR="000348D7" w:rsidRPr="00D1118A">
              <w:rPr>
                <w:rFonts w:ascii="Times New Roman" w:hAnsi="Times New Roman"/>
                <w:sz w:val="24"/>
                <w:szCs w:val="24"/>
                <w:lang w:val="en-US"/>
              </w:rPr>
              <w:t xml:space="preserve"> issued by the UN Committee on the Rights of Persons with Disabilities as outcome of the constructive dialogue on the EU implementation of the UNCRPD held in March 2025 are also feeding into this process.</w:t>
            </w:r>
          </w:p>
          <w:p w14:paraId="71D5C56D" w14:textId="731227C6" w:rsidR="00BB76E3" w:rsidRPr="00D1118A" w:rsidRDefault="00BB76E3" w:rsidP="00D1118A">
            <w:pPr>
              <w:widowControl w:val="0"/>
              <w:spacing w:before="120" w:after="120"/>
              <w:jc w:val="both"/>
              <w:outlineLvl w:val="1"/>
              <w:rPr>
                <w:rFonts w:ascii="Times New Roman" w:hAnsi="Times New Roman"/>
                <w:sz w:val="24"/>
                <w:szCs w:val="24"/>
              </w:rPr>
            </w:pPr>
            <w:r w:rsidRPr="00D1118A">
              <w:rPr>
                <w:rFonts w:ascii="Times New Roman" w:hAnsi="Times New Roman"/>
                <w:sz w:val="24"/>
                <w:szCs w:val="24"/>
                <w:lang w:val="en-US"/>
              </w:rPr>
              <w:t xml:space="preserve">The nature of the actions </w:t>
            </w:r>
            <w:proofErr w:type="gramStart"/>
            <w:r w:rsidRPr="00D1118A">
              <w:rPr>
                <w:rFonts w:ascii="Times New Roman" w:hAnsi="Times New Roman"/>
                <w:sz w:val="24"/>
                <w:szCs w:val="24"/>
                <w:lang w:val="en-US"/>
              </w:rPr>
              <w:t>proposed</w:t>
            </w:r>
            <w:proofErr w:type="gramEnd"/>
            <w:r w:rsidRPr="00D1118A">
              <w:rPr>
                <w:rFonts w:ascii="Times New Roman" w:hAnsi="Times New Roman"/>
                <w:sz w:val="24"/>
                <w:szCs w:val="24"/>
                <w:lang w:val="en-US"/>
              </w:rPr>
              <w:t xml:space="preserve"> and relevant budgetary allocations will be determined in line with the Commission’s Better Regulation framework and evidence-based approaches, in compliance with the principles of proportionality and subsidiarity,</w:t>
            </w:r>
            <w:r w:rsidR="00240E6F" w:rsidRPr="00D1118A">
              <w:rPr>
                <w:rFonts w:ascii="Times New Roman" w:hAnsi="Times New Roman"/>
                <w:sz w:val="24"/>
                <w:szCs w:val="24"/>
                <w:lang w:val="en-US"/>
              </w:rPr>
              <w:t xml:space="preserve"> and</w:t>
            </w:r>
            <w:r w:rsidRPr="00D1118A">
              <w:rPr>
                <w:rFonts w:ascii="Times New Roman" w:hAnsi="Times New Roman"/>
                <w:sz w:val="24"/>
                <w:szCs w:val="24"/>
                <w:lang w:val="en-US"/>
              </w:rPr>
              <w:t xml:space="preserve"> taking into account </w:t>
            </w:r>
            <w:r w:rsidR="00240E6F" w:rsidRPr="00D1118A">
              <w:rPr>
                <w:rFonts w:ascii="Times New Roman" w:hAnsi="Times New Roman"/>
                <w:sz w:val="24"/>
                <w:szCs w:val="24"/>
                <w:lang w:val="en-US"/>
              </w:rPr>
              <w:t xml:space="preserve">the </w:t>
            </w:r>
            <w:r w:rsidR="00FA210C" w:rsidRPr="00D1118A">
              <w:rPr>
                <w:rFonts w:ascii="Times New Roman" w:hAnsi="Times New Roman"/>
                <w:sz w:val="24"/>
                <w:szCs w:val="24"/>
                <w:lang w:val="en-US"/>
              </w:rPr>
              <w:t xml:space="preserve">Commission’s </w:t>
            </w:r>
            <w:r w:rsidR="00240E6F" w:rsidRPr="00D1118A">
              <w:rPr>
                <w:rFonts w:ascii="Times New Roman" w:hAnsi="Times New Roman"/>
                <w:sz w:val="24"/>
                <w:szCs w:val="24"/>
                <w:lang w:val="en-US"/>
              </w:rPr>
              <w:t xml:space="preserve">overall policy priorities </w:t>
            </w:r>
            <w:r w:rsidR="00FA210C" w:rsidRPr="00D1118A">
              <w:rPr>
                <w:rFonts w:ascii="Times New Roman" w:hAnsi="Times New Roman"/>
                <w:sz w:val="24"/>
                <w:szCs w:val="24"/>
                <w:lang w:val="en-US"/>
              </w:rPr>
              <w:t xml:space="preserve">as </w:t>
            </w:r>
            <w:r w:rsidR="00240E6F" w:rsidRPr="00D1118A">
              <w:rPr>
                <w:rFonts w:ascii="Times New Roman" w:hAnsi="Times New Roman"/>
                <w:sz w:val="24"/>
                <w:szCs w:val="24"/>
                <w:lang w:val="en-US"/>
              </w:rPr>
              <w:t>set in the Political Guidelines</w:t>
            </w:r>
            <w:r w:rsidR="00FA210C" w:rsidRPr="00D1118A">
              <w:rPr>
                <w:rStyle w:val="FootnoteReference"/>
                <w:rFonts w:ascii="Times New Roman" w:hAnsi="Times New Roman"/>
                <w:szCs w:val="24"/>
                <w:lang w:val="en-US"/>
              </w:rPr>
              <w:footnoteReference w:id="7"/>
            </w:r>
            <w:r w:rsidR="00240E6F" w:rsidRPr="00D1118A">
              <w:rPr>
                <w:rFonts w:ascii="Times New Roman" w:hAnsi="Times New Roman"/>
                <w:sz w:val="24"/>
                <w:szCs w:val="24"/>
                <w:lang w:val="en-US"/>
              </w:rPr>
              <w:t>, views gathered through relevant consultations</w:t>
            </w:r>
            <w:r w:rsidR="000D4D30" w:rsidRPr="00D1118A">
              <w:rPr>
                <w:rFonts w:ascii="Times New Roman" w:hAnsi="Times New Roman"/>
                <w:sz w:val="24"/>
                <w:szCs w:val="24"/>
                <w:lang w:val="en-US"/>
              </w:rPr>
              <w:t xml:space="preserve"> as well as available resources</w:t>
            </w:r>
            <w:r w:rsidR="00240E6F" w:rsidRPr="00D1118A">
              <w:rPr>
                <w:rFonts w:ascii="Times New Roman" w:hAnsi="Times New Roman"/>
                <w:sz w:val="24"/>
                <w:szCs w:val="24"/>
                <w:lang w:val="en-US"/>
              </w:rPr>
              <w:t>.</w:t>
            </w:r>
          </w:p>
          <w:p w14:paraId="29787E6B" w14:textId="1A8CCFB8" w:rsidR="40C6349B" w:rsidRPr="00D1118A" w:rsidRDefault="000D4D30" w:rsidP="00D1118A">
            <w:pPr>
              <w:widowControl w:val="0"/>
              <w:spacing w:before="120" w:after="120"/>
              <w:jc w:val="both"/>
              <w:outlineLvl w:val="1"/>
              <w:rPr>
                <w:rFonts w:ascii="Times New Roman" w:hAnsi="Times New Roman"/>
                <w:sz w:val="24"/>
                <w:szCs w:val="24"/>
                <w:lang w:val="en-US"/>
              </w:rPr>
            </w:pPr>
            <w:r w:rsidRPr="00F401A0">
              <w:rPr>
                <w:rFonts w:ascii="Times New Roman" w:hAnsi="Times New Roman"/>
                <w:sz w:val="24"/>
                <w:szCs w:val="24"/>
                <w:u w:val="single"/>
                <w:lang w:val="en-US"/>
              </w:rPr>
              <w:t>Paragraph</w:t>
            </w:r>
            <w:r w:rsidR="00DB5852" w:rsidRPr="00F401A0">
              <w:rPr>
                <w:rFonts w:ascii="Times New Roman" w:hAnsi="Times New Roman"/>
                <w:sz w:val="24"/>
                <w:szCs w:val="24"/>
                <w:u w:val="single"/>
                <w:lang w:val="en-US"/>
              </w:rPr>
              <w:t>s</w:t>
            </w:r>
            <w:r w:rsidRPr="00F401A0">
              <w:rPr>
                <w:rFonts w:ascii="Times New Roman" w:hAnsi="Times New Roman"/>
                <w:sz w:val="24"/>
                <w:szCs w:val="24"/>
                <w:u w:val="single"/>
                <w:lang w:val="en-US"/>
              </w:rPr>
              <w:t xml:space="preserve"> 3.4</w:t>
            </w:r>
            <w:r w:rsidR="00FB4F0E" w:rsidRPr="00F401A0">
              <w:rPr>
                <w:rFonts w:ascii="Times New Roman" w:hAnsi="Times New Roman"/>
                <w:sz w:val="24"/>
                <w:szCs w:val="24"/>
                <w:u w:val="single"/>
                <w:lang w:val="en-US"/>
              </w:rPr>
              <w:t xml:space="preserve"> and 4.3</w:t>
            </w:r>
            <w:r w:rsidRPr="00D1118A">
              <w:rPr>
                <w:rFonts w:ascii="Times New Roman" w:hAnsi="Times New Roman"/>
                <w:sz w:val="24"/>
                <w:szCs w:val="24"/>
                <w:lang w:val="en-US"/>
              </w:rPr>
              <w:t>:</w:t>
            </w:r>
          </w:p>
          <w:p w14:paraId="21763099" w14:textId="36337DAD" w:rsidR="00667AFC" w:rsidRPr="00D1118A" w:rsidRDefault="00667AFC" w:rsidP="00D1118A">
            <w:pPr>
              <w:widowControl w:val="0"/>
              <w:spacing w:before="120" w:after="120"/>
              <w:jc w:val="both"/>
              <w:outlineLvl w:val="1"/>
              <w:rPr>
                <w:rFonts w:ascii="Times New Roman" w:hAnsi="Times New Roman"/>
                <w:sz w:val="24"/>
                <w:szCs w:val="24"/>
                <w:lang w:val="en-US"/>
              </w:rPr>
            </w:pPr>
            <w:r w:rsidRPr="00D1118A">
              <w:rPr>
                <w:rFonts w:ascii="Times New Roman" w:hAnsi="Times New Roman"/>
                <w:sz w:val="24"/>
                <w:szCs w:val="24"/>
                <w:lang w:val="en-US"/>
              </w:rPr>
              <w:t>The Disability Employment Package (DEP)</w:t>
            </w:r>
            <w:r w:rsidRPr="00D1118A">
              <w:rPr>
                <w:rFonts w:ascii="Times New Roman" w:hAnsi="Times New Roman"/>
                <w:sz w:val="24"/>
                <w:szCs w:val="24"/>
                <w:vertAlign w:val="superscript"/>
                <w:lang w:val="en-US"/>
              </w:rPr>
              <w:footnoteReference w:id="8"/>
            </w:r>
            <w:r w:rsidR="00707FAD" w:rsidRPr="00D1118A">
              <w:rPr>
                <w:rFonts w:ascii="Times New Roman" w:hAnsi="Times New Roman"/>
                <w:sz w:val="24"/>
                <w:szCs w:val="24"/>
                <w:lang w:val="en-US"/>
              </w:rPr>
              <w:t xml:space="preserve"> </w:t>
            </w:r>
            <w:r w:rsidRPr="00D1118A">
              <w:rPr>
                <w:rFonts w:ascii="Times New Roman" w:hAnsi="Times New Roman"/>
                <w:sz w:val="24"/>
                <w:szCs w:val="24"/>
                <w:lang w:val="en-US"/>
              </w:rPr>
              <w:t xml:space="preserve">provides guidance for employers, employers’ </w:t>
            </w:r>
            <w:proofErr w:type="spellStart"/>
            <w:r w:rsidRPr="00D1118A">
              <w:rPr>
                <w:rFonts w:ascii="Times New Roman" w:hAnsi="Times New Roman"/>
                <w:sz w:val="24"/>
                <w:szCs w:val="24"/>
                <w:lang w:val="en-US"/>
              </w:rPr>
              <w:t>organisations</w:t>
            </w:r>
            <w:proofErr w:type="spellEnd"/>
            <w:r w:rsidRPr="00D1118A">
              <w:rPr>
                <w:rFonts w:ascii="Times New Roman" w:hAnsi="Times New Roman"/>
                <w:sz w:val="24"/>
                <w:szCs w:val="24"/>
                <w:lang w:val="en-US"/>
              </w:rPr>
              <w:t xml:space="preserve">, employment services, public authorities and civil society to improve </w:t>
            </w:r>
            <w:proofErr w:type="spellStart"/>
            <w:r w:rsidRPr="00D1118A">
              <w:rPr>
                <w:rFonts w:ascii="Times New Roman" w:hAnsi="Times New Roman"/>
                <w:sz w:val="24"/>
                <w:szCs w:val="24"/>
                <w:lang w:val="en-US"/>
              </w:rPr>
              <w:t>labour</w:t>
            </w:r>
            <w:proofErr w:type="spellEnd"/>
            <w:r w:rsidRPr="00D1118A">
              <w:rPr>
                <w:rFonts w:ascii="Times New Roman" w:hAnsi="Times New Roman"/>
                <w:sz w:val="24"/>
                <w:szCs w:val="24"/>
                <w:lang w:val="en-US"/>
              </w:rPr>
              <w:t xml:space="preserve"> outcomes of persons with disabilities. The guidance aims to explain legal obligations and disseminate good practices. The DEP covers all stages of employment: recruitment and retention of persons with disabilities in quality employment, including good practices on hiring persons with disabilities, providing reasonable accommodation, securing health and safety at work and vocational rehabilitation, alternative employment models and pathways to the open </w:t>
            </w:r>
            <w:proofErr w:type="spellStart"/>
            <w:r w:rsidRPr="00D1118A">
              <w:rPr>
                <w:rFonts w:ascii="Times New Roman" w:hAnsi="Times New Roman"/>
                <w:sz w:val="24"/>
                <w:szCs w:val="24"/>
                <w:lang w:val="en-US"/>
              </w:rPr>
              <w:t>labour</w:t>
            </w:r>
            <w:proofErr w:type="spellEnd"/>
            <w:r w:rsidRPr="00D1118A">
              <w:rPr>
                <w:rFonts w:ascii="Times New Roman" w:hAnsi="Times New Roman"/>
                <w:sz w:val="24"/>
                <w:szCs w:val="24"/>
                <w:lang w:val="en-US"/>
              </w:rPr>
              <w:t xml:space="preserve"> market. Follow up to the DEP during the second half of the Strategy will also build on the results of the Employment and Social Innovation (</w:t>
            </w:r>
            <w:proofErr w:type="spellStart"/>
            <w:r w:rsidRPr="00D1118A">
              <w:rPr>
                <w:rFonts w:ascii="Times New Roman" w:hAnsi="Times New Roman"/>
                <w:sz w:val="24"/>
                <w:szCs w:val="24"/>
                <w:lang w:val="en-US"/>
              </w:rPr>
              <w:t>EaSi</w:t>
            </w:r>
            <w:proofErr w:type="spellEnd"/>
            <w:r w:rsidRPr="00D1118A">
              <w:rPr>
                <w:rFonts w:ascii="Times New Roman" w:hAnsi="Times New Roman"/>
                <w:sz w:val="24"/>
                <w:szCs w:val="24"/>
                <w:lang w:val="en-US"/>
              </w:rPr>
              <w:t>) call for proposals to implement the Disability Employment Package published in June 2025</w:t>
            </w:r>
            <w:r w:rsidRPr="00D1118A">
              <w:rPr>
                <w:rStyle w:val="FootnoteReference"/>
                <w:rFonts w:ascii="Times New Roman" w:hAnsi="Times New Roman"/>
                <w:szCs w:val="24"/>
                <w:lang w:val="en-US"/>
              </w:rPr>
              <w:footnoteReference w:id="9"/>
            </w:r>
            <w:r w:rsidRPr="00D1118A">
              <w:rPr>
                <w:rFonts w:ascii="Times New Roman" w:hAnsi="Times New Roman"/>
                <w:sz w:val="24"/>
                <w:szCs w:val="24"/>
                <w:lang w:val="en-US"/>
              </w:rPr>
              <w:t>.</w:t>
            </w:r>
          </w:p>
          <w:p w14:paraId="1440E8C5" w14:textId="30182CFC" w:rsidR="00E93DE9" w:rsidRPr="00D1118A" w:rsidRDefault="00E93DE9" w:rsidP="00D1118A">
            <w:pPr>
              <w:widowControl w:val="0"/>
              <w:spacing w:before="120" w:after="120"/>
              <w:jc w:val="both"/>
              <w:rPr>
                <w:rFonts w:ascii="Times New Roman" w:hAnsi="Times New Roman"/>
                <w:sz w:val="24"/>
                <w:szCs w:val="24"/>
                <w:lang w:val="en-IE"/>
              </w:rPr>
            </w:pPr>
            <w:r w:rsidRPr="00F401A0">
              <w:rPr>
                <w:rFonts w:ascii="Times New Roman" w:hAnsi="Times New Roman"/>
                <w:sz w:val="24"/>
                <w:szCs w:val="24"/>
                <w:u w:val="single"/>
                <w:lang w:val="en-IE"/>
              </w:rPr>
              <w:t>Paragraphs 3.4 and 4.10</w:t>
            </w:r>
            <w:r w:rsidRPr="00D1118A">
              <w:rPr>
                <w:rFonts w:ascii="Times New Roman" w:hAnsi="Times New Roman"/>
                <w:sz w:val="24"/>
                <w:szCs w:val="24"/>
                <w:lang w:val="en-IE"/>
              </w:rPr>
              <w:t>:</w:t>
            </w:r>
          </w:p>
          <w:p w14:paraId="23DDE4D3" w14:textId="4D06F2D3" w:rsidR="00E93DE9" w:rsidRPr="00D1118A" w:rsidRDefault="00E93DE9" w:rsidP="00D1118A">
            <w:pPr>
              <w:widowControl w:val="0"/>
              <w:autoSpaceDE w:val="0"/>
              <w:autoSpaceDN w:val="0"/>
              <w:spacing w:before="120" w:after="120"/>
              <w:jc w:val="both"/>
              <w:rPr>
                <w:rStyle w:val="normaltextrun"/>
                <w:rFonts w:ascii="Times New Roman" w:hAnsi="Times New Roman"/>
                <w:sz w:val="24"/>
                <w:szCs w:val="24"/>
              </w:rPr>
            </w:pPr>
            <w:r w:rsidRPr="00D1118A">
              <w:rPr>
                <w:rStyle w:val="normaltextrun"/>
                <w:rFonts w:ascii="Times New Roman" w:hAnsi="Times New Roman"/>
                <w:sz w:val="24"/>
                <w:szCs w:val="24"/>
              </w:rPr>
              <w:t>The Commission Notice Guidance on independent living and inclusion in the community of persons with disabilities in the context of EU funding</w:t>
            </w:r>
            <w:r w:rsidRPr="00D1118A">
              <w:rPr>
                <w:rStyle w:val="FootnoteReference"/>
                <w:rFonts w:ascii="Times New Roman" w:hAnsi="Times New Roman"/>
                <w:szCs w:val="24"/>
              </w:rPr>
              <w:footnoteReference w:id="10"/>
            </w:r>
            <w:r w:rsidRPr="00D1118A">
              <w:rPr>
                <w:rStyle w:val="normaltextrun"/>
                <w:rFonts w:ascii="Times New Roman" w:hAnsi="Times New Roman"/>
                <w:sz w:val="24"/>
                <w:szCs w:val="24"/>
              </w:rPr>
              <w:t xml:space="preserve"> provides guidance to Member States on reforms and investments to support independent living and inclusion in the community of persons with disabilities when using EU funds and </w:t>
            </w:r>
            <w:r w:rsidRPr="00D1118A">
              <w:rPr>
                <w:rFonts w:ascii="Times New Roman" w:hAnsi="Times New Roman"/>
                <w:sz w:val="24"/>
                <w:szCs w:val="24"/>
              </w:rPr>
              <w:t>describes the key principles to give effect to the right of independent living and inclusion in the community in line with Article 19 of UNCRPD</w:t>
            </w:r>
            <w:r w:rsidR="00707FAD" w:rsidRPr="00D1118A">
              <w:rPr>
                <w:rStyle w:val="FootnoteReference"/>
                <w:rFonts w:ascii="Times New Roman" w:hAnsi="Times New Roman"/>
                <w:szCs w:val="24"/>
              </w:rPr>
              <w:footnoteReference w:id="11"/>
            </w:r>
            <w:r w:rsidRPr="00D1118A">
              <w:rPr>
                <w:rFonts w:ascii="Times New Roman" w:hAnsi="Times New Roman"/>
                <w:sz w:val="24"/>
                <w:szCs w:val="24"/>
              </w:rPr>
              <w:t>.</w:t>
            </w:r>
            <w:r w:rsidRPr="00D1118A">
              <w:rPr>
                <w:rStyle w:val="normaltextrun"/>
                <w:rFonts w:ascii="Times New Roman" w:hAnsi="Times New Roman"/>
                <w:sz w:val="24"/>
                <w:szCs w:val="24"/>
              </w:rPr>
              <w:t xml:space="preserve"> </w:t>
            </w:r>
            <w:r w:rsidR="0057082B" w:rsidRPr="00D1118A">
              <w:rPr>
                <w:rFonts w:ascii="Times New Roman" w:hAnsi="Times New Roman"/>
                <w:sz w:val="24"/>
                <w:szCs w:val="24"/>
              </w:rPr>
              <w:t xml:space="preserve">As clarified in the Guidance, the approach proposed is relevant to all EU funding instruments within their scope of support, including EU’s external action and EU-funded projects internationally. </w:t>
            </w:r>
            <w:r w:rsidRPr="00D1118A">
              <w:rPr>
                <w:rStyle w:val="normaltextrun"/>
                <w:rFonts w:ascii="Times New Roman" w:hAnsi="Times New Roman"/>
                <w:sz w:val="24"/>
                <w:szCs w:val="24"/>
              </w:rPr>
              <w:t xml:space="preserve">The Framework for Social Services of Excellence for Persons with Disabilities, currently under development following extensive consultations with Member States, experts and civil society, will complement the Guidance, aiming to enhance </w:t>
            </w:r>
            <w:r w:rsidR="00DB5852" w:rsidRPr="00D1118A">
              <w:rPr>
                <w:rStyle w:val="normaltextrun"/>
                <w:rFonts w:ascii="Times New Roman" w:hAnsi="Times New Roman"/>
                <w:sz w:val="24"/>
                <w:szCs w:val="24"/>
              </w:rPr>
              <w:t xml:space="preserve">the </w:t>
            </w:r>
            <w:r w:rsidRPr="00D1118A">
              <w:rPr>
                <w:rStyle w:val="normaltextrun"/>
                <w:rFonts w:ascii="Times New Roman" w:hAnsi="Times New Roman"/>
                <w:sz w:val="24"/>
                <w:szCs w:val="24"/>
              </w:rPr>
              <w:t>quality of life of persons with disabilities by promoting improved access to quality services.</w:t>
            </w:r>
            <w:r w:rsidR="003C6A23" w:rsidRPr="00D1118A">
              <w:rPr>
                <w:rFonts w:ascii="Times New Roman" w:eastAsia="Times New Roman" w:hAnsi="Times New Roman"/>
                <w:color w:val="000000"/>
                <w:sz w:val="24"/>
                <w:szCs w:val="24"/>
              </w:rPr>
              <w:t xml:space="preserve"> Large scale dissemination and implementation of the Guidance is ongoing, complemented by analytical activities</w:t>
            </w:r>
            <w:r w:rsidR="0057082B" w:rsidRPr="00D1118A">
              <w:rPr>
                <w:rFonts w:ascii="Times New Roman" w:eastAsia="Times New Roman" w:hAnsi="Times New Roman"/>
                <w:color w:val="000000"/>
                <w:sz w:val="24"/>
                <w:szCs w:val="24"/>
              </w:rPr>
              <w:t xml:space="preserve"> such as a report by the Fundamental Rights Agency (FRA) on violence against persons with disabilities in institutions foreseen in 2025</w:t>
            </w:r>
            <w:r w:rsidR="003C6A23" w:rsidRPr="00D1118A">
              <w:rPr>
                <w:rFonts w:ascii="Times New Roman" w:eastAsia="Times New Roman" w:hAnsi="Times New Roman"/>
                <w:color w:val="000000"/>
                <w:sz w:val="24"/>
                <w:szCs w:val="24"/>
              </w:rPr>
              <w:t>.</w:t>
            </w:r>
          </w:p>
          <w:p w14:paraId="70E3A3D7" w14:textId="7CFB71D3" w:rsidR="003C6A23" w:rsidRPr="00D1118A" w:rsidRDefault="530F8FE7" w:rsidP="00D1118A">
            <w:pPr>
              <w:pStyle w:val="ListParagraph"/>
              <w:widowControl w:val="0"/>
              <w:spacing w:before="120" w:after="120" w:line="276" w:lineRule="auto"/>
              <w:ind w:left="0"/>
              <w:contextualSpacing w:val="0"/>
              <w:jc w:val="both"/>
              <w:rPr>
                <w:rFonts w:ascii="Times New Roman" w:hAnsi="Times New Roman"/>
                <w:color w:val="000000"/>
                <w:sz w:val="24"/>
                <w:szCs w:val="24"/>
              </w:rPr>
            </w:pPr>
            <w:r w:rsidRPr="00D1118A">
              <w:rPr>
                <w:rFonts w:ascii="Times New Roman" w:hAnsi="Times New Roman"/>
                <w:sz w:val="24"/>
                <w:szCs w:val="24"/>
              </w:rPr>
              <w:t xml:space="preserve">For the programming period 2021-2027, promoting </w:t>
            </w:r>
            <w:proofErr w:type="spellStart"/>
            <w:r w:rsidRPr="00D1118A">
              <w:rPr>
                <w:rFonts w:ascii="Times New Roman" w:hAnsi="Times New Roman"/>
                <w:sz w:val="24"/>
                <w:szCs w:val="24"/>
              </w:rPr>
              <w:t>deinstitutionalisation</w:t>
            </w:r>
            <w:proofErr w:type="spellEnd"/>
            <w:r w:rsidRPr="00D1118A">
              <w:rPr>
                <w:rFonts w:ascii="Times New Roman" w:hAnsi="Times New Roman"/>
                <w:sz w:val="24"/>
                <w:szCs w:val="24"/>
              </w:rPr>
              <w:t xml:space="preserve"> remains a priority for cohesion </w:t>
            </w:r>
            <w:r w:rsidRPr="00D1118A">
              <w:rPr>
                <w:rFonts w:ascii="Times New Roman" w:hAnsi="Times New Roman"/>
                <w:sz w:val="24"/>
                <w:szCs w:val="24"/>
              </w:rPr>
              <w:lastRenderedPageBreak/>
              <w:t>funding</w:t>
            </w:r>
            <w:r w:rsidR="36349836" w:rsidRPr="00D1118A">
              <w:rPr>
                <w:rFonts w:ascii="Times New Roman" w:hAnsi="Times New Roman"/>
                <w:sz w:val="24"/>
                <w:szCs w:val="24"/>
              </w:rPr>
              <w:t>.</w:t>
            </w:r>
            <w:r w:rsidRPr="00D1118A">
              <w:rPr>
                <w:rFonts w:ascii="Times New Roman" w:hAnsi="Times New Roman"/>
                <w:color w:val="000000"/>
                <w:sz w:val="24"/>
                <w:szCs w:val="24"/>
              </w:rPr>
              <w:t xml:space="preserve"> The </w:t>
            </w:r>
            <w:r w:rsidR="36349836" w:rsidRPr="00D1118A">
              <w:rPr>
                <w:rFonts w:ascii="Times New Roman" w:hAnsi="Times New Roman"/>
                <w:color w:val="000000"/>
                <w:sz w:val="24"/>
                <w:szCs w:val="24"/>
              </w:rPr>
              <w:t xml:space="preserve">2021 </w:t>
            </w:r>
            <w:r w:rsidRPr="00D1118A">
              <w:rPr>
                <w:rFonts w:ascii="Times New Roman" w:hAnsi="Times New Roman"/>
                <w:color w:val="000000"/>
                <w:sz w:val="24"/>
                <w:szCs w:val="24"/>
              </w:rPr>
              <w:t>Common Provisions Regulation</w:t>
            </w:r>
            <w:r w:rsidR="00FA210C" w:rsidRPr="00D1118A">
              <w:rPr>
                <w:rStyle w:val="FootnoteReference"/>
                <w:rFonts w:ascii="Times New Roman" w:hAnsi="Times New Roman"/>
                <w:color w:val="000000"/>
                <w:szCs w:val="24"/>
              </w:rPr>
              <w:footnoteReference w:id="12"/>
            </w:r>
            <w:r w:rsidR="36349836" w:rsidRPr="00D1118A">
              <w:rPr>
                <w:rFonts w:ascii="Times New Roman" w:hAnsi="Times New Roman"/>
                <w:color w:val="000000"/>
                <w:sz w:val="24"/>
                <w:szCs w:val="24"/>
              </w:rPr>
              <w:t xml:space="preserve"> </w:t>
            </w:r>
            <w:r w:rsidRPr="00D1118A">
              <w:rPr>
                <w:rFonts w:ascii="Times New Roman" w:hAnsi="Times New Roman"/>
                <w:color w:val="000000"/>
                <w:sz w:val="24"/>
                <w:szCs w:val="24"/>
              </w:rPr>
              <w:t>includes: a) horizontal enabling conditions for the Member States to ensure that the use of EU funds is compliant with the UNCRPD and the Charter of Fundamental Rights of the EU</w:t>
            </w:r>
            <w:r w:rsidR="000F3AD3" w:rsidRPr="00D1118A">
              <w:rPr>
                <w:rStyle w:val="FootnoteReference"/>
                <w:rFonts w:ascii="Times New Roman" w:hAnsi="Times New Roman"/>
                <w:color w:val="000000"/>
                <w:szCs w:val="24"/>
              </w:rPr>
              <w:footnoteReference w:id="13"/>
            </w:r>
            <w:r w:rsidRPr="00D1118A">
              <w:rPr>
                <w:rFonts w:ascii="Times New Roman" w:hAnsi="Times New Roman"/>
                <w:color w:val="000000"/>
                <w:sz w:val="24"/>
                <w:szCs w:val="24"/>
              </w:rPr>
              <w:t xml:space="preserve">, b) thematic enabling conditions related to the shift from institutional to community-based care, and c) requirements on accessibility for persons with disabilities. </w:t>
            </w:r>
            <w:r w:rsidR="000608A4" w:rsidRPr="00D1118A">
              <w:rPr>
                <w:rFonts w:ascii="Times New Roman" w:hAnsi="Times New Roman"/>
                <w:color w:val="000000"/>
                <w:sz w:val="24"/>
                <w:szCs w:val="24"/>
                <w:lang w:val="en-GB"/>
              </w:rPr>
              <w:t>This notice aims to illustrate how to apply in practice the approaches promoted in the regulations governing EU funds and does not introduce new or retroactive criteria or conditions for the 2021-2027 funding period. It does not create any additional legal obligations for the Member States.</w:t>
            </w:r>
            <w:r w:rsidR="00F00723">
              <w:rPr>
                <w:rFonts w:ascii="Times New Roman" w:hAnsi="Times New Roman"/>
                <w:color w:val="000000"/>
                <w:sz w:val="24"/>
                <w:szCs w:val="24"/>
                <w:lang w:val="en-GB"/>
              </w:rPr>
              <w:t xml:space="preserve"> </w:t>
            </w:r>
            <w:r w:rsidR="4A42737A" w:rsidRPr="00D1118A">
              <w:rPr>
                <w:rFonts w:ascii="Times New Roman" w:hAnsi="Times New Roman"/>
                <w:color w:val="000000"/>
                <w:sz w:val="24"/>
                <w:szCs w:val="24"/>
              </w:rPr>
              <w:t xml:space="preserve">Nevertheless, the Commission promotes </w:t>
            </w:r>
            <w:r w:rsidR="00130EBA" w:rsidRPr="00D1118A">
              <w:rPr>
                <w:rFonts w:ascii="Times New Roman" w:hAnsi="Times New Roman"/>
                <w:color w:val="000000"/>
                <w:sz w:val="24"/>
                <w:szCs w:val="24"/>
              </w:rPr>
              <w:t>independent living</w:t>
            </w:r>
            <w:r w:rsidR="4A42737A" w:rsidRPr="00D1118A">
              <w:rPr>
                <w:rFonts w:ascii="Times New Roman" w:hAnsi="Times New Roman"/>
                <w:color w:val="000000"/>
                <w:sz w:val="24"/>
                <w:szCs w:val="24"/>
              </w:rPr>
              <w:t xml:space="preserve"> and the use of the </w:t>
            </w:r>
            <w:r w:rsidR="0917B860" w:rsidRPr="00D1118A">
              <w:rPr>
                <w:rFonts w:ascii="Times New Roman" w:hAnsi="Times New Roman"/>
                <w:color w:val="000000"/>
                <w:sz w:val="24"/>
                <w:szCs w:val="24"/>
              </w:rPr>
              <w:t>G</w:t>
            </w:r>
            <w:r w:rsidR="4A42737A" w:rsidRPr="00D1118A">
              <w:rPr>
                <w:rFonts w:ascii="Times New Roman" w:hAnsi="Times New Roman"/>
                <w:color w:val="000000"/>
                <w:sz w:val="24"/>
                <w:szCs w:val="24"/>
              </w:rPr>
              <w:t xml:space="preserve">uidance </w:t>
            </w:r>
            <w:r w:rsidR="00707FAD" w:rsidRPr="00D1118A">
              <w:rPr>
                <w:rFonts w:ascii="Times New Roman" w:hAnsi="Times New Roman"/>
                <w:color w:val="000000"/>
                <w:sz w:val="24"/>
                <w:szCs w:val="24"/>
              </w:rPr>
              <w:t>by</w:t>
            </w:r>
            <w:r w:rsidR="31C189C9" w:rsidRPr="00D1118A">
              <w:rPr>
                <w:rFonts w:ascii="Times New Roman" w:hAnsi="Times New Roman"/>
                <w:color w:val="000000"/>
                <w:sz w:val="24"/>
                <w:szCs w:val="24"/>
              </w:rPr>
              <w:t xml:space="preserve"> all stakeholders, regional and national authorities.</w:t>
            </w:r>
          </w:p>
          <w:p w14:paraId="44136677" w14:textId="30B199FF" w:rsidR="000D4D30" w:rsidRPr="00D1118A" w:rsidRDefault="000D4D30" w:rsidP="00D1118A">
            <w:pPr>
              <w:widowControl w:val="0"/>
              <w:spacing w:before="120" w:after="120"/>
              <w:jc w:val="both"/>
              <w:outlineLvl w:val="1"/>
              <w:rPr>
                <w:rFonts w:ascii="Times New Roman" w:hAnsi="Times New Roman"/>
                <w:sz w:val="24"/>
                <w:szCs w:val="24"/>
                <w:lang w:val="en-US"/>
              </w:rPr>
            </w:pPr>
            <w:r w:rsidRPr="009A49E1">
              <w:rPr>
                <w:rFonts w:ascii="Times New Roman" w:hAnsi="Times New Roman"/>
                <w:sz w:val="24"/>
                <w:szCs w:val="24"/>
                <w:u w:val="single"/>
                <w:lang w:val="en-US"/>
              </w:rPr>
              <w:t>Paragraph</w:t>
            </w:r>
            <w:r w:rsidR="00820CA3" w:rsidRPr="009A49E1">
              <w:rPr>
                <w:rFonts w:ascii="Times New Roman" w:hAnsi="Times New Roman"/>
                <w:sz w:val="24"/>
                <w:szCs w:val="24"/>
                <w:u w:val="single"/>
                <w:lang w:val="en-US"/>
              </w:rPr>
              <w:t>s</w:t>
            </w:r>
            <w:r w:rsidRPr="009A49E1">
              <w:rPr>
                <w:rFonts w:ascii="Times New Roman" w:hAnsi="Times New Roman"/>
                <w:sz w:val="24"/>
                <w:szCs w:val="24"/>
                <w:u w:val="single"/>
                <w:lang w:val="en-US"/>
              </w:rPr>
              <w:t xml:space="preserve"> 3.</w:t>
            </w:r>
            <w:r w:rsidR="00C03842" w:rsidRPr="009A49E1">
              <w:rPr>
                <w:rFonts w:ascii="Times New Roman" w:hAnsi="Times New Roman"/>
                <w:sz w:val="24"/>
                <w:szCs w:val="24"/>
                <w:u w:val="single"/>
                <w:lang w:val="en-US"/>
              </w:rPr>
              <w:t>6</w:t>
            </w:r>
            <w:r w:rsidR="00820CA3" w:rsidRPr="009A49E1">
              <w:rPr>
                <w:rFonts w:ascii="Times New Roman" w:hAnsi="Times New Roman"/>
                <w:sz w:val="24"/>
                <w:szCs w:val="24"/>
                <w:u w:val="single"/>
                <w:lang w:val="en-US"/>
              </w:rPr>
              <w:t xml:space="preserve"> and 4.2</w:t>
            </w:r>
            <w:r w:rsidRPr="00D1118A">
              <w:rPr>
                <w:rFonts w:ascii="Times New Roman" w:hAnsi="Times New Roman"/>
                <w:sz w:val="24"/>
                <w:szCs w:val="24"/>
                <w:lang w:val="en-US"/>
              </w:rPr>
              <w:t>:</w:t>
            </w:r>
          </w:p>
          <w:p w14:paraId="07EA69AE" w14:textId="1E35AB81" w:rsidR="00C03842" w:rsidRPr="00D1118A" w:rsidRDefault="00B73FCF" w:rsidP="00D1118A">
            <w:pPr>
              <w:pStyle w:val="ListParagraph"/>
              <w:widowControl w:val="0"/>
              <w:spacing w:before="120" w:after="120" w:line="276" w:lineRule="auto"/>
              <w:ind w:left="0"/>
              <w:contextualSpacing w:val="0"/>
              <w:jc w:val="both"/>
              <w:rPr>
                <w:rFonts w:ascii="Times New Roman" w:hAnsi="Times New Roman"/>
                <w:sz w:val="24"/>
                <w:szCs w:val="24"/>
                <w:lang w:val="en-IE"/>
              </w:rPr>
            </w:pPr>
            <w:r w:rsidRPr="00D1118A">
              <w:rPr>
                <w:rFonts w:ascii="Times New Roman" w:hAnsi="Times New Roman"/>
                <w:color w:val="000000"/>
                <w:sz w:val="24"/>
                <w:szCs w:val="24"/>
                <w:lang w:val="en-GB"/>
              </w:rPr>
              <w:t>The Commission has decided to maintain for further discussion the proposal for the Equal Treatment Directive</w:t>
            </w:r>
            <w:r w:rsidR="006C3AFE" w:rsidRPr="00D1118A">
              <w:rPr>
                <w:rStyle w:val="FootnoteReference"/>
                <w:rFonts w:ascii="Times New Roman" w:hAnsi="Times New Roman"/>
                <w:szCs w:val="24"/>
              </w:rPr>
              <w:footnoteReference w:id="14"/>
            </w:r>
            <w:r w:rsidR="006C3AFE" w:rsidRPr="00D1118A">
              <w:rPr>
                <w:rFonts w:ascii="Times New Roman" w:hAnsi="Times New Roman"/>
                <w:color w:val="000000"/>
                <w:sz w:val="24"/>
                <w:szCs w:val="24"/>
                <w:lang w:val="en-GB"/>
              </w:rPr>
              <w:t xml:space="preserve">, having considered the supportive position expressed by the European Parliament and by a large majority of Member States in the Council. </w:t>
            </w:r>
            <w:r w:rsidR="006C3AFE" w:rsidRPr="00D1118A">
              <w:rPr>
                <w:rFonts w:ascii="Times New Roman" w:hAnsi="Times New Roman"/>
                <w:sz w:val="24"/>
                <w:szCs w:val="24"/>
              </w:rPr>
              <w:t xml:space="preserve">As </w:t>
            </w:r>
            <w:r w:rsidR="006C3AFE" w:rsidRPr="00D1118A">
              <w:rPr>
                <w:rFonts w:ascii="Times New Roman" w:hAnsi="Times New Roman"/>
                <w:sz w:val="24"/>
                <w:szCs w:val="24"/>
                <w:lang w:val="en-IE"/>
              </w:rPr>
              <w:t>set out in the Political Guidelines, the Commission is fully committed to building a Union of Equality. It will therefore continue to support the Presidency and the Member States with all possible means to help find an agreement. This directive would fill a major gap in the EU legislation on non-discrimination by expanding protection against discrimination on the grounds of religion or belief, disability, age, and sexual orientation beyond the area of employment.</w:t>
            </w:r>
          </w:p>
          <w:p w14:paraId="188A1F57" w14:textId="554A9E11" w:rsidR="00820CA3" w:rsidRPr="00D1118A" w:rsidRDefault="00820CA3" w:rsidP="00D1118A">
            <w:pPr>
              <w:widowControl w:val="0"/>
              <w:spacing w:before="120" w:after="120"/>
              <w:jc w:val="both"/>
              <w:rPr>
                <w:rFonts w:ascii="Times New Roman" w:hAnsi="Times New Roman"/>
                <w:sz w:val="24"/>
                <w:szCs w:val="24"/>
                <w:lang w:val="en-IE"/>
              </w:rPr>
            </w:pPr>
            <w:r w:rsidRPr="00D1118A">
              <w:rPr>
                <w:rFonts w:ascii="Times New Roman" w:hAnsi="Times New Roman"/>
                <w:sz w:val="24"/>
                <w:szCs w:val="24"/>
                <w:lang w:val="en-IE"/>
              </w:rPr>
              <w:t xml:space="preserve">Striving for equality for all and equality in </w:t>
            </w:r>
            <w:proofErr w:type="gramStart"/>
            <w:r w:rsidRPr="00D1118A">
              <w:rPr>
                <w:rFonts w:ascii="Times New Roman" w:hAnsi="Times New Roman"/>
                <w:sz w:val="24"/>
                <w:szCs w:val="24"/>
                <w:lang w:val="en-IE"/>
              </w:rPr>
              <w:t>all of</w:t>
            </w:r>
            <w:proofErr w:type="gramEnd"/>
            <w:r w:rsidRPr="00D1118A">
              <w:rPr>
                <w:rFonts w:ascii="Times New Roman" w:hAnsi="Times New Roman"/>
                <w:sz w:val="24"/>
                <w:szCs w:val="24"/>
                <w:lang w:val="en-IE"/>
              </w:rPr>
              <w:t xml:space="preserve"> its senses continues to be central to the Commission’s work to comprehensively tackle discrimination in the</w:t>
            </w:r>
            <w:r w:rsidR="00F00723">
              <w:rPr>
                <w:rFonts w:ascii="Times New Roman" w:hAnsi="Times New Roman"/>
                <w:sz w:val="24"/>
                <w:szCs w:val="24"/>
                <w:lang w:val="en-IE"/>
              </w:rPr>
              <w:t xml:space="preserve"> </w:t>
            </w:r>
            <w:r w:rsidRPr="00D1118A">
              <w:rPr>
                <w:rFonts w:ascii="Times New Roman" w:hAnsi="Times New Roman"/>
                <w:sz w:val="24"/>
                <w:szCs w:val="24"/>
                <w:lang w:val="en-IE"/>
              </w:rPr>
              <w:t xml:space="preserve">EU. </w:t>
            </w:r>
            <w:r w:rsidR="00FB4F0E" w:rsidRPr="00D1118A">
              <w:rPr>
                <w:rFonts w:ascii="Times New Roman" w:hAnsi="Times New Roman"/>
                <w:sz w:val="24"/>
                <w:szCs w:val="24"/>
                <w:lang w:val="en-IE"/>
              </w:rPr>
              <w:t xml:space="preserve">Beyond the Strategy for the Rights of Persons with Disabilities, </w:t>
            </w:r>
            <w:r w:rsidRPr="00D1118A">
              <w:rPr>
                <w:rFonts w:ascii="Times New Roman" w:hAnsi="Times New Roman"/>
                <w:sz w:val="24"/>
                <w:szCs w:val="24"/>
                <w:lang w:val="en-IE"/>
              </w:rPr>
              <w:t>the Commission is fully committed to continu</w:t>
            </w:r>
            <w:r w:rsidR="00DB5852" w:rsidRPr="00D1118A">
              <w:rPr>
                <w:rFonts w:ascii="Times New Roman" w:hAnsi="Times New Roman"/>
                <w:sz w:val="24"/>
                <w:szCs w:val="24"/>
                <w:lang w:val="en-IE"/>
              </w:rPr>
              <w:t>ing</w:t>
            </w:r>
            <w:r w:rsidRPr="00D1118A">
              <w:rPr>
                <w:rFonts w:ascii="Times New Roman" w:hAnsi="Times New Roman"/>
                <w:sz w:val="24"/>
                <w:szCs w:val="24"/>
                <w:lang w:val="en-IE"/>
              </w:rPr>
              <w:t xml:space="preserve"> leading efforts at the EU level to do more for everyone to live freely</w:t>
            </w:r>
            <w:r w:rsidR="00FB4F0E" w:rsidRPr="00D1118A">
              <w:rPr>
                <w:rFonts w:ascii="Times New Roman" w:hAnsi="Times New Roman"/>
                <w:sz w:val="24"/>
                <w:szCs w:val="24"/>
                <w:lang w:val="en-IE"/>
              </w:rPr>
              <w:t xml:space="preserve"> and</w:t>
            </w:r>
            <w:r w:rsidRPr="00D1118A">
              <w:rPr>
                <w:rFonts w:ascii="Times New Roman" w:hAnsi="Times New Roman"/>
                <w:sz w:val="24"/>
                <w:szCs w:val="24"/>
                <w:lang w:val="en-IE"/>
              </w:rPr>
              <w:t xml:space="preserve"> thrive, regardless of </w:t>
            </w:r>
            <w:r w:rsidR="00FB4F0E" w:rsidRPr="00D1118A">
              <w:rPr>
                <w:rFonts w:ascii="Times New Roman" w:hAnsi="Times New Roman"/>
                <w:sz w:val="24"/>
                <w:szCs w:val="24"/>
                <w:lang w:val="en-IE"/>
              </w:rPr>
              <w:t xml:space="preserve">personal situations. This is confirmed by the recent adoption of the </w:t>
            </w:r>
            <w:proofErr w:type="gramStart"/>
            <w:r w:rsidR="00FB4F0E" w:rsidRPr="00D1118A">
              <w:rPr>
                <w:rFonts w:ascii="Times New Roman" w:hAnsi="Times New Roman"/>
                <w:sz w:val="24"/>
                <w:szCs w:val="24"/>
                <w:lang w:val="en-IE"/>
              </w:rPr>
              <w:t>Roadmap</w:t>
            </w:r>
            <w:proofErr w:type="gramEnd"/>
            <w:r w:rsidR="00FB4F0E" w:rsidRPr="00D1118A">
              <w:rPr>
                <w:rFonts w:ascii="Times New Roman" w:hAnsi="Times New Roman"/>
                <w:sz w:val="24"/>
                <w:szCs w:val="24"/>
                <w:lang w:val="en-IE"/>
              </w:rPr>
              <w:t xml:space="preserve"> for women’s rights</w:t>
            </w:r>
            <w:r w:rsidR="00FB4F0E" w:rsidRPr="00D1118A">
              <w:rPr>
                <w:rStyle w:val="FootnoteReference"/>
                <w:rFonts w:ascii="Times New Roman" w:hAnsi="Times New Roman"/>
                <w:szCs w:val="24"/>
                <w:lang w:val="en-IE"/>
              </w:rPr>
              <w:footnoteReference w:id="15"/>
            </w:r>
            <w:r w:rsidRPr="00D1118A">
              <w:rPr>
                <w:rFonts w:ascii="Times New Roman" w:hAnsi="Times New Roman"/>
                <w:sz w:val="24"/>
                <w:szCs w:val="24"/>
                <w:lang w:val="en-IE"/>
              </w:rPr>
              <w:t xml:space="preserve">, </w:t>
            </w:r>
            <w:r w:rsidR="00480009" w:rsidRPr="00D1118A">
              <w:rPr>
                <w:rFonts w:ascii="Times New Roman" w:hAnsi="Times New Roman"/>
                <w:sz w:val="24"/>
                <w:szCs w:val="24"/>
                <w:lang w:val="en-IE"/>
              </w:rPr>
              <w:t xml:space="preserve">the </w:t>
            </w:r>
            <w:r w:rsidR="000F3AD3" w:rsidRPr="00D1118A">
              <w:rPr>
                <w:rFonts w:ascii="Times New Roman" w:hAnsi="Times New Roman"/>
                <w:sz w:val="24"/>
                <w:szCs w:val="24"/>
                <w:lang w:val="en-IE"/>
              </w:rPr>
              <w:t>new</w:t>
            </w:r>
            <w:r w:rsidRPr="00D1118A">
              <w:rPr>
                <w:rFonts w:ascii="Times New Roman" w:hAnsi="Times New Roman"/>
                <w:sz w:val="24"/>
                <w:szCs w:val="24"/>
                <w:lang w:val="en-IE"/>
              </w:rPr>
              <w:t xml:space="preserve"> </w:t>
            </w:r>
            <w:r w:rsidR="00C64DF2" w:rsidRPr="00D1118A">
              <w:rPr>
                <w:rFonts w:ascii="Times New Roman" w:hAnsi="Times New Roman"/>
                <w:sz w:val="24"/>
                <w:szCs w:val="24"/>
                <w:lang w:val="en-IE"/>
              </w:rPr>
              <w:t>LGBTIQ+ equality strategy</w:t>
            </w:r>
            <w:r w:rsidR="0079708B" w:rsidRPr="00D1118A">
              <w:rPr>
                <w:rStyle w:val="FootnoteReference"/>
                <w:rFonts w:ascii="Times New Roman" w:hAnsi="Times New Roman"/>
                <w:szCs w:val="24"/>
                <w:lang w:val="en-IE"/>
              </w:rPr>
              <w:footnoteReference w:id="16"/>
            </w:r>
            <w:r w:rsidRPr="00D1118A">
              <w:rPr>
                <w:rFonts w:ascii="Times New Roman" w:hAnsi="Times New Roman"/>
                <w:sz w:val="24"/>
                <w:szCs w:val="24"/>
                <w:lang w:val="en-IE"/>
              </w:rPr>
              <w:t xml:space="preserve">, </w:t>
            </w:r>
            <w:r w:rsidR="00C64DF2" w:rsidRPr="00D1118A">
              <w:rPr>
                <w:rFonts w:ascii="Times New Roman" w:hAnsi="Times New Roman"/>
                <w:sz w:val="24"/>
                <w:szCs w:val="24"/>
                <w:lang w:val="en-IE"/>
              </w:rPr>
              <w:t xml:space="preserve">the upcoming </w:t>
            </w:r>
            <w:r w:rsidRPr="00D1118A">
              <w:rPr>
                <w:rFonts w:ascii="Times New Roman" w:hAnsi="Times New Roman"/>
                <w:sz w:val="24"/>
                <w:szCs w:val="24"/>
                <w:lang w:val="en-IE"/>
              </w:rPr>
              <w:t xml:space="preserve">anti-racism and </w:t>
            </w:r>
            <w:r w:rsidR="00C64DF2" w:rsidRPr="00D1118A">
              <w:rPr>
                <w:rFonts w:ascii="Times New Roman" w:hAnsi="Times New Roman"/>
                <w:sz w:val="24"/>
                <w:szCs w:val="24"/>
                <w:lang w:val="en-IE"/>
              </w:rPr>
              <w:t xml:space="preserve">renewed </w:t>
            </w:r>
            <w:r w:rsidRPr="00D1118A">
              <w:rPr>
                <w:rFonts w:ascii="Times New Roman" w:hAnsi="Times New Roman"/>
                <w:sz w:val="24"/>
                <w:szCs w:val="24"/>
                <w:lang w:val="en-IE"/>
              </w:rPr>
              <w:t>gender equality</w:t>
            </w:r>
            <w:r w:rsidR="00C64DF2" w:rsidRPr="00D1118A">
              <w:rPr>
                <w:rFonts w:ascii="Times New Roman" w:hAnsi="Times New Roman"/>
                <w:sz w:val="24"/>
                <w:szCs w:val="24"/>
                <w:lang w:val="en-IE"/>
              </w:rPr>
              <w:t xml:space="preserve"> strategies</w:t>
            </w:r>
            <w:r w:rsidRPr="00D1118A">
              <w:rPr>
                <w:rFonts w:ascii="Times New Roman" w:hAnsi="Times New Roman"/>
                <w:sz w:val="24"/>
                <w:szCs w:val="24"/>
                <w:lang w:val="en-IE"/>
              </w:rPr>
              <w:t xml:space="preserve">, </w:t>
            </w:r>
            <w:r w:rsidR="00FB4F0E" w:rsidRPr="00D1118A">
              <w:rPr>
                <w:rFonts w:ascii="Times New Roman" w:hAnsi="Times New Roman"/>
                <w:sz w:val="24"/>
                <w:szCs w:val="24"/>
                <w:lang w:val="en-IE"/>
              </w:rPr>
              <w:t xml:space="preserve">as well as </w:t>
            </w:r>
            <w:r w:rsidRPr="00D1118A">
              <w:rPr>
                <w:rFonts w:ascii="Times New Roman" w:hAnsi="Times New Roman"/>
                <w:sz w:val="24"/>
                <w:szCs w:val="24"/>
                <w:lang w:val="en-IE"/>
              </w:rPr>
              <w:t>the full implementation of the Strategic framework for Roma equality</w:t>
            </w:r>
            <w:r w:rsidRPr="00D1118A">
              <w:rPr>
                <w:rStyle w:val="FootnoteReference"/>
                <w:rFonts w:ascii="Times New Roman" w:hAnsi="Times New Roman"/>
                <w:szCs w:val="24"/>
                <w:lang w:val="en-IE"/>
              </w:rPr>
              <w:footnoteReference w:id="17"/>
            </w:r>
            <w:r w:rsidR="00FB4F0E" w:rsidRPr="00D1118A">
              <w:rPr>
                <w:rFonts w:ascii="Times New Roman" w:hAnsi="Times New Roman"/>
                <w:sz w:val="24"/>
                <w:szCs w:val="24"/>
                <w:lang w:val="en-IE"/>
              </w:rPr>
              <w:t>.</w:t>
            </w:r>
          </w:p>
          <w:p w14:paraId="5307E348" w14:textId="33F65E47" w:rsidR="00FB4F0E" w:rsidRPr="00F401A0" w:rsidRDefault="00FB4F0E" w:rsidP="00D1118A">
            <w:pPr>
              <w:widowControl w:val="0"/>
              <w:spacing w:before="120" w:after="120"/>
              <w:jc w:val="both"/>
              <w:rPr>
                <w:rFonts w:ascii="Times New Roman" w:hAnsi="Times New Roman"/>
                <w:sz w:val="24"/>
                <w:szCs w:val="24"/>
                <w:u w:val="single"/>
                <w:lang w:val="en-IE"/>
              </w:rPr>
            </w:pPr>
            <w:r w:rsidRPr="00F401A0">
              <w:rPr>
                <w:rFonts w:ascii="Times New Roman" w:hAnsi="Times New Roman"/>
                <w:sz w:val="24"/>
                <w:szCs w:val="24"/>
                <w:u w:val="single"/>
                <w:lang w:val="en-IE"/>
              </w:rPr>
              <w:t>Paragraph 4.4:</w:t>
            </w:r>
          </w:p>
          <w:p w14:paraId="79069E33" w14:textId="25B83F78" w:rsidR="00FB4F0E" w:rsidRPr="00D1118A" w:rsidRDefault="00FB4F0E" w:rsidP="00D1118A">
            <w:pPr>
              <w:pStyle w:val="paragraph"/>
              <w:widowControl w:val="0"/>
              <w:spacing w:before="120" w:beforeAutospacing="0" w:after="120" w:afterAutospacing="0" w:line="276" w:lineRule="auto"/>
              <w:ind w:right="115"/>
              <w:jc w:val="both"/>
              <w:textAlignment w:val="baseline"/>
              <w:rPr>
                <w:rStyle w:val="normaltextrun"/>
                <w:lang w:val="en-GB"/>
              </w:rPr>
            </w:pPr>
            <w:r w:rsidRPr="00D1118A">
              <w:rPr>
                <w:rStyle w:val="normaltextrun"/>
                <w:lang w:val="en-GB"/>
              </w:rPr>
              <w:t xml:space="preserve">Directive </w:t>
            </w:r>
            <w:r w:rsidR="22571639" w:rsidRPr="00D1118A">
              <w:rPr>
                <w:rStyle w:val="normaltextrun"/>
                <w:lang w:val="en-GB"/>
              </w:rPr>
              <w:t xml:space="preserve">(EU) 2024/2841 </w:t>
            </w:r>
            <w:r w:rsidRPr="00D1118A">
              <w:rPr>
                <w:rStyle w:val="normaltextrun"/>
                <w:lang w:val="en-GB"/>
              </w:rPr>
              <w:t>establishing the European Disability Card and the European Parking Card for persons with disabilities</w:t>
            </w:r>
            <w:r w:rsidR="00C06475" w:rsidRPr="00D1118A">
              <w:rPr>
                <w:rStyle w:val="FootnoteReference"/>
                <w:lang w:val="en-GB"/>
              </w:rPr>
              <w:footnoteReference w:id="18"/>
            </w:r>
            <w:r w:rsidRPr="00D1118A">
              <w:rPr>
                <w:rStyle w:val="normaltextrun"/>
                <w:lang w:val="en-GB"/>
              </w:rPr>
              <w:t xml:space="preserve"> aims </w:t>
            </w:r>
            <w:r w:rsidR="00C06475" w:rsidRPr="00D1118A">
              <w:rPr>
                <w:rStyle w:val="normaltextrun"/>
                <w:lang w:val="en-GB"/>
              </w:rPr>
              <w:t xml:space="preserve">to </w:t>
            </w:r>
            <w:r w:rsidR="37EB1E4D" w:rsidRPr="00D1118A">
              <w:rPr>
                <w:rStyle w:val="normaltextrun"/>
                <w:lang w:val="en-GB"/>
              </w:rPr>
              <w:t>promot</w:t>
            </w:r>
            <w:r w:rsidR="00C06475" w:rsidRPr="00D1118A">
              <w:rPr>
                <w:rStyle w:val="normaltextrun"/>
                <w:lang w:val="en-GB"/>
              </w:rPr>
              <w:t>e</w:t>
            </w:r>
            <w:r w:rsidR="37EB1E4D" w:rsidRPr="00D1118A">
              <w:rPr>
                <w:rStyle w:val="normaltextrun"/>
                <w:lang w:val="en-GB"/>
              </w:rPr>
              <w:t xml:space="preserve"> freedom of movement for persons with disabilities and </w:t>
            </w:r>
            <w:r w:rsidR="00C06475" w:rsidRPr="00D1118A">
              <w:rPr>
                <w:rStyle w:val="normaltextrun"/>
                <w:lang w:val="en-GB"/>
              </w:rPr>
              <w:t xml:space="preserve">to </w:t>
            </w:r>
            <w:r w:rsidR="47F1B301" w:rsidRPr="00D1118A">
              <w:rPr>
                <w:rStyle w:val="normaltextrun"/>
                <w:lang w:val="en-GB"/>
              </w:rPr>
              <w:t>facilitat</w:t>
            </w:r>
            <w:r w:rsidR="00C06475" w:rsidRPr="00D1118A">
              <w:rPr>
                <w:rStyle w:val="normaltextrun"/>
                <w:lang w:val="en-GB"/>
              </w:rPr>
              <w:t>e</w:t>
            </w:r>
            <w:r w:rsidR="47F1B301" w:rsidRPr="00D1118A">
              <w:rPr>
                <w:rStyle w:val="normaltextrun"/>
                <w:lang w:val="en-GB"/>
              </w:rPr>
              <w:t xml:space="preserve"> short stays of persons with disabilities in a Member State other than that of which they are resident, </w:t>
            </w:r>
            <w:r w:rsidRPr="00D1118A">
              <w:rPr>
                <w:rStyle w:val="normaltextrun"/>
                <w:lang w:val="en-GB"/>
              </w:rPr>
              <w:t>by</w:t>
            </w:r>
            <w:r w:rsidR="04FFBDA0" w:rsidRPr="00D1118A">
              <w:rPr>
                <w:rStyle w:val="normaltextrun"/>
                <w:lang w:val="en-GB"/>
              </w:rPr>
              <w:t xml:space="preserve"> granting them equal access to any special conditions or preferential treatment with respect to services, activities or facilities</w:t>
            </w:r>
            <w:r w:rsidRPr="00D1118A">
              <w:rPr>
                <w:rStyle w:val="normaltextrun"/>
                <w:lang w:val="en-GB"/>
              </w:rPr>
              <w:t>, including parking conditions and facilities</w:t>
            </w:r>
            <w:r w:rsidR="31A66F56" w:rsidRPr="00D1118A">
              <w:rPr>
                <w:rStyle w:val="normaltextrun"/>
                <w:lang w:val="en-GB"/>
              </w:rPr>
              <w:t xml:space="preserve"> offered to or reserved for persons with disabilities in that Member State</w:t>
            </w:r>
            <w:r w:rsidRPr="00D1118A">
              <w:rPr>
                <w:rStyle w:val="normaltextrun"/>
                <w:lang w:val="en-GB"/>
              </w:rPr>
              <w:t>.</w:t>
            </w:r>
          </w:p>
          <w:p w14:paraId="0DF00530" w14:textId="67A29D7B" w:rsidR="00FB4F0E" w:rsidRPr="00D1118A" w:rsidRDefault="000D11C0" w:rsidP="00D1118A">
            <w:pPr>
              <w:widowControl w:val="0"/>
              <w:spacing w:before="120" w:after="120"/>
              <w:jc w:val="both"/>
              <w:rPr>
                <w:rFonts w:ascii="Times New Roman" w:eastAsia="Times New Roman" w:hAnsi="Times New Roman"/>
                <w:color w:val="000000"/>
                <w:sz w:val="24"/>
                <w:szCs w:val="24"/>
              </w:rPr>
            </w:pPr>
            <w:r w:rsidRPr="00D1118A">
              <w:rPr>
                <w:rFonts w:ascii="Times New Roman" w:eastAsia="Times New Roman" w:hAnsi="Times New Roman"/>
                <w:color w:val="000000"/>
                <w:sz w:val="24"/>
                <w:szCs w:val="24"/>
              </w:rPr>
              <w:t xml:space="preserve">The Commission has established an expert group to support the transposition process and the preparation of delegated acts. Work is ongoing on the delegated acts pursuant to Articles 7(7) and 8(7) and organisations of </w:t>
            </w:r>
            <w:r w:rsidRPr="00D1118A">
              <w:rPr>
                <w:rFonts w:ascii="Times New Roman" w:eastAsia="Times New Roman" w:hAnsi="Times New Roman"/>
                <w:color w:val="000000"/>
                <w:sz w:val="24"/>
                <w:szCs w:val="24"/>
              </w:rPr>
              <w:lastRenderedPageBreak/>
              <w:t>persons with disabilities have been consulted.</w:t>
            </w:r>
            <w:r w:rsidR="00A74F17" w:rsidRPr="00D1118A">
              <w:rPr>
                <w:rFonts w:ascii="Times New Roman" w:eastAsia="Times New Roman" w:hAnsi="Times New Roman"/>
                <w:color w:val="000000"/>
                <w:sz w:val="24"/>
                <w:szCs w:val="24"/>
              </w:rPr>
              <w:t xml:space="preserve"> A comitology committee has been set up for the preparation of implementing acts under Article 9 of the Directive.</w:t>
            </w:r>
            <w:r w:rsidRPr="00D1118A">
              <w:rPr>
                <w:rFonts w:ascii="Times New Roman" w:eastAsia="Times New Roman" w:hAnsi="Times New Roman"/>
                <w:color w:val="000000"/>
                <w:sz w:val="24"/>
                <w:szCs w:val="24"/>
              </w:rPr>
              <w:t xml:space="preserve"> </w:t>
            </w:r>
            <w:r w:rsidR="00FB4F0E" w:rsidRPr="00D1118A">
              <w:rPr>
                <w:rFonts w:ascii="Times New Roman" w:eastAsia="Times New Roman" w:hAnsi="Times New Roman"/>
                <w:color w:val="000000"/>
                <w:sz w:val="24"/>
                <w:szCs w:val="24"/>
              </w:rPr>
              <w:t>A</w:t>
            </w:r>
            <w:r w:rsidR="00FB4F0E" w:rsidRPr="00D1118A">
              <w:rPr>
                <w:rFonts w:ascii="Times New Roman" w:eastAsia="Times New Roman" w:hAnsi="Times New Roman"/>
                <w:sz w:val="24"/>
                <w:szCs w:val="24"/>
                <w:lang w:eastAsia="en-IE"/>
              </w:rPr>
              <w:t xml:space="preserve"> study on remaining gaps and obstacles to free movement of persons with disabilities is foreseen in 2029, as provided for in the text of the Directive</w:t>
            </w:r>
            <w:r w:rsidR="6C1D9476" w:rsidRPr="00D1118A">
              <w:rPr>
                <w:rFonts w:ascii="Times New Roman" w:eastAsia="Times New Roman" w:hAnsi="Times New Roman"/>
                <w:sz w:val="24"/>
                <w:szCs w:val="24"/>
                <w:lang w:eastAsia="en-IE"/>
              </w:rPr>
              <w:t xml:space="preserve"> </w:t>
            </w:r>
            <w:r w:rsidR="00130EBA" w:rsidRPr="00D1118A">
              <w:rPr>
                <w:rFonts w:ascii="Times New Roman" w:eastAsia="Times New Roman" w:hAnsi="Times New Roman"/>
                <w:sz w:val="24"/>
                <w:szCs w:val="24"/>
                <w:lang w:eastAsia="en-IE"/>
              </w:rPr>
              <w:t xml:space="preserve">under </w:t>
            </w:r>
            <w:r w:rsidR="6C1D9476" w:rsidRPr="00D1118A">
              <w:rPr>
                <w:rFonts w:ascii="Times New Roman" w:eastAsia="Times New Roman" w:hAnsi="Times New Roman"/>
                <w:sz w:val="24"/>
                <w:szCs w:val="24"/>
                <w:lang w:eastAsia="en-IE"/>
              </w:rPr>
              <w:t>Article 20</w:t>
            </w:r>
            <w:r w:rsidR="00DB5852" w:rsidRPr="00D1118A">
              <w:rPr>
                <w:rFonts w:ascii="Times New Roman" w:eastAsia="Times New Roman" w:hAnsi="Times New Roman"/>
                <w:sz w:val="24"/>
                <w:szCs w:val="24"/>
                <w:lang w:eastAsia="en-IE"/>
              </w:rPr>
              <w:t>(</w:t>
            </w:r>
            <w:r w:rsidR="6C1D9476" w:rsidRPr="00D1118A">
              <w:rPr>
                <w:rFonts w:ascii="Times New Roman" w:eastAsia="Times New Roman" w:hAnsi="Times New Roman"/>
                <w:sz w:val="24"/>
                <w:szCs w:val="24"/>
                <w:lang w:eastAsia="en-IE"/>
              </w:rPr>
              <w:t>3</w:t>
            </w:r>
            <w:r w:rsidR="00DB5852" w:rsidRPr="00D1118A">
              <w:rPr>
                <w:rFonts w:ascii="Times New Roman" w:eastAsia="Times New Roman" w:hAnsi="Times New Roman"/>
                <w:sz w:val="24"/>
                <w:szCs w:val="24"/>
                <w:lang w:eastAsia="en-IE"/>
              </w:rPr>
              <w:t>)</w:t>
            </w:r>
            <w:r w:rsidR="00FB4F0E" w:rsidRPr="00D1118A">
              <w:rPr>
                <w:rFonts w:ascii="Times New Roman" w:eastAsia="Times New Roman" w:hAnsi="Times New Roman"/>
                <w:sz w:val="24"/>
                <w:szCs w:val="24"/>
                <w:lang w:eastAsia="en-IE"/>
              </w:rPr>
              <w:t>. The implementation of the Directive also entails the set</w:t>
            </w:r>
            <w:r w:rsidR="00DB5852" w:rsidRPr="00D1118A">
              <w:rPr>
                <w:rFonts w:ascii="Times New Roman" w:eastAsia="Times New Roman" w:hAnsi="Times New Roman"/>
                <w:sz w:val="24"/>
                <w:szCs w:val="24"/>
                <w:lang w:eastAsia="en-IE"/>
              </w:rPr>
              <w:t xml:space="preserve">ting </w:t>
            </w:r>
            <w:r w:rsidR="00FB4F0E" w:rsidRPr="00D1118A">
              <w:rPr>
                <w:rFonts w:ascii="Times New Roman" w:eastAsia="Times New Roman" w:hAnsi="Times New Roman"/>
                <w:sz w:val="24"/>
                <w:szCs w:val="24"/>
                <w:lang w:eastAsia="en-IE"/>
              </w:rPr>
              <w:t xml:space="preserve">up of a dedicated webpage and </w:t>
            </w:r>
            <w:r w:rsidR="00B73FCF" w:rsidRPr="00D1118A">
              <w:rPr>
                <w:rFonts w:ascii="Times New Roman" w:eastAsia="Times New Roman" w:hAnsi="Times New Roman"/>
                <w:sz w:val="24"/>
                <w:szCs w:val="24"/>
                <w:lang w:eastAsia="en-IE"/>
              </w:rPr>
              <w:t>further</w:t>
            </w:r>
            <w:r w:rsidR="00FB4F0E" w:rsidRPr="00D1118A">
              <w:rPr>
                <w:rFonts w:ascii="Times New Roman" w:eastAsia="Times New Roman" w:hAnsi="Times New Roman"/>
                <w:sz w:val="24"/>
                <w:szCs w:val="24"/>
                <w:lang w:eastAsia="en-IE"/>
              </w:rPr>
              <w:t xml:space="preserve"> information exchanges to support Member States in implementation.</w:t>
            </w:r>
          </w:p>
          <w:p w14:paraId="1A0626AE" w14:textId="2B65C02C" w:rsidR="00FB4F0E" w:rsidRPr="00D1118A" w:rsidRDefault="00FB4F0E" w:rsidP="00D1118A">
            <w:pPr>
              <w:widowControl w:val="0"/>
              <w:spacing w:before="120" w:after="120"/>
              <w:jc w:val="both"/>
              <w:rPr>
                <w:rFonts w:ascii="Times New Roman" w:hAnsi="Times New Roman"/>
                <w:sz w:val="24"/>
                <w:szCs w:val="24"/>
              </w:rPr>
            </w:pPr>
            <w:r w:rsidRPr="009A49E1">
              <w:rPr>
                <w:rFonts w:ascii="Times New Roman" w:hAnsi="Times New Roman"/>
                <w:sz w:val="24"/>
                <w:szCs w:val="24"/>
                <w:u w:val="single"/>
              </w:rPr>
              <w:t>Paragraph</w:t>
            </w:r>
            <w:r w:rsidR="002528F7" w:rsidRPr="009A49E1">
              <w:rPr>
                <w:rFonts w:ascii="Times New Roman" w:hAnsi="Times New Roman"/>
                <w:sz w:val="24"/>
                <w:szCs w:val="24"/>
                <w:u w:val="single"/>
              </w:rPr>
              <w:t>s</w:t>
            </w:r>
            <w:r w:rsidRPr="009A49E1">
              <w:rPr>
                <w:rFonts w:ascii="Times New Roman" w:hAnsi="Times New Roman"/>
                <w:sz w:val="24"/>
                <w:szCs w:val="24"/>
                <w:u w:val="single"/>
              </w:rPr>
              <w:t xml:space="preserve"> 3.5 and 4.5</w:t>
            </w:r>
            <w:r w:rsidRPr="00D1118A">
              <w:rPr>
                <w:rFonts w:ascii="Times New Roman" w:hAnsi="Times New Roman"/>
                <w:sz w:val="24"/>
                <w:szCs w:val="24"/>
              </w:rPr>
              <w:t>:</w:t>
            </w:r>
          </w:p>
          <w:p w14:paraId="1B2E1C90" w14:textId="78E99F92" w:rsidR="00FB4F0E" w:rsidRPr="00D1118A" w:rsidRDefault="00FB4F0E" w:rsidP="00D1118A">
            <w:pPr>
              <w:widowControl w:val="0"/>
              <w:spacing w:before="120" w:after="120"/>
              <w:jc w:val="both"/>
              <w:rPr>
                <w:rFonts w:ascii="Times New Roman" w:eastAsia="Times New Roman" w:hAnsi="Times New Roman"/>
                <w:color w:val="000000"/>
                <w:sz w:val="24"/>
                <w:szCs w:val="24"/>
              </w:rPr>
            </w:pPr>
            <w:proofErr w:type="spellStart"/>
            <w:r w:rsidRPr="00D1118A">
              <w:rPr>
                <w:rFonts w:ascii="Times New Roman" w:eastAsia="Times New Roman" w:hAnsi="Times New Roman"/>
                <w:color w:val="000000"/>
                <w:sz w:val="24"/>
                <w:szCs w:val="24"/>
              </w:rPr>
              <w:t>AccessibleEU</w:t>
            </w:r>
            <w:proofErr w:type="spellEnd"/>
            <w:r w:rsidR="000F3AD3" w:rsidRPr="00D1118A">
              <w:rPr>
                <w:rStyle w:val="FootnoteReference"/>
                <w:rFonts w:ascii="Times New Roman" w:eastAsia="Times New Roman" w:hAnsi="Times New Roman"/>
                <w:color w:val="000000"/>
                <w:szCs w:val="24"/>
              </w:rPr>
              <w:footnoteReference w:id="19"/>
            </w:r>
            <w:r w:rsidRPr="00D1118A">
              <w:rPr>
                <w:rFonts w:ascii="Times New Roman" w:eastAsia="Times New Roman" w:hAnsi="Times New Roman"/>
                <w:color w:val="000000"/>
                <w:sz w:val="24"/>
                <w:szCs w:val="24"/>
              </w:rPr>
              <w:t xml:space="preserve"> is a flagship initiative under the Strategy which gathered praise from Member States and civil society. Member States have also requested</w:t>
            </w:r>
            <w:r w:rsidR="000F3AD3" w:rsidRPr="00D1118A">
              <w:rPr>
                <w:rFonts w:ascii="Times New Roman" w:eastAsia="Times New Roman" w:hAnsi="Times New Roman"/>
                <w:color w:val="000000"/>
                <w:sz w:val="24"/>
                <w:szCs w:val="24"/>
              </w:rPr>
              <w:t xml:space="preserve"> </w:t>
            </w:r>
            <w:r w:rsidRPr="00D1118A">
              <w:rPr>
                <w:rFonts w:ascii="Times New Roman" w:eastAsia="Times New Roman" w:hAnsi="Times New Roman"/>
                <w:color w:val="000000"/>
                <w:sz w:val="24"/>
                <w:szCs w:val="24"/>
              </w:rPr>
              <w:t>further support from the Commission</w:t>
            </w:r>
            <w:r w:rsidR="000F3AD3" w:rsidRPr="00D1118A">
              <w:rPr>
                <w:rFonts w:ascii="Times New Roman" w:eastAsia="Times New Roman" w:hAnsi="Times New Roman"/>
                <w:color w:val="000000"/>
                <w:sz w:val="24"/>
                <w:szCs w:val="24"/>
              </w:rPr>
              <w:t xml:space="preserve">, including through </w:t>
            </w:r>
            <w:proofErr w:type="spellStart"/>
            <w:r w:rsidR="000F3AD3" w:rsidRPr="00D1118A">
              <w:rPr>
                <w:rFonts w:ascii="Times New Roman" w:eastAsia="Times New Roman" w:hAnsi="Times New Roman"/>
                <w:color w:val="000000"/>
                <w:sz w:val="24"/>
                <w:szCs w:val="24"/>
              </w:rPr>
              <w:t>AccessibleEU</w:t>
            </w:r>
            <w:proofErr w:type="spellEnd"/>
            <w:r w:rsidR="000F3AD3" w:rsidRPr="00D1118A">
              <w:rPr>
                <w:rFonts w:ascii="Times New Roman" w:eastAsia="Times New Roman" w:hAnsi="Times New Roman"/>
                <w:color w:val="000000"/>
                <w:sz w:val="24"/>
                <w:szCs w:val="24"/>
              </w:rPr>
              <w:t xml:space="preserve">, </w:t>
            </w:r>
            <w:r w:rsidRPr="00D1118A">
              <w:rPr>
                <w:rFonts w:ascii="Times New Roman" w:eastAsia="Times New Roman" w:hAnsi="Times New Roman"/>
                <w:color w:val="000000"/>
                <w:sz w:val="24"/>
                <w:szCs w:val="24"/>
              </w:rPr>
              <w:t xml:space="preserve">in the implementation of EU accessibility legislation. The Commission, taking stock of the lessons learned in the first two years of the </w:t>
            </w:r>
            <w:r w:rsidR="000F3AD3" w:rsidRPr="00D1118A">
              <w:rPr>
                <w:rFonts w:ascii="Times New Roman" w:eastAsia="Times New Roman" w:hAnsi="Times New Roman"/>
                <w:color w:val="000000"/>
                <w:sz w:val="24"/>
                <w:szCs w:val="24"/>
              </w:rPr>
              <w:t>resource c</w:t>
            </w:r>
            <w:r w:rsidRPr="00D1118A">
              <w:rPr>
                <w:rFonts w:ascii="Times New Roman" w:eastAsia="Times New Roman" w:hAnsi="Times New Roman"/>
                <w:color w:val="000000"/>
                <w:sz w:val="24"/>
                <w:szCs w:val="24"/>
              </w:rPr>
              <w:t xml:space="preserve">entre, is reflecting on the role that </w:t>
            </w:r>
            <w:proofErr w:type="spellStart"/>
            <w:r w:rsidRPr="00D1118A">
              <w:rPr>
                <w:rFonts w:ascii="Times New Roman" w:eastAsia="Times New Roman" w:hAnsi="Times New Roman"/>
                <w:color w:val="000000"/>
                <w:sz w:val="24"/>
                <w:szCs w:val="24"/>
              </w:rPr>
              <w:t>AccessibleEU</w:t>
            </w:r>
            <w:proofErr w:type="spellEnd"/>
            <w:r w:rsidRPr="00D1118A">
              <w:rPr>
                <w:rFonts w:ascii="Times New Roman" w:eastAsia="Times New Roman" w:hAnsi="Times New Roman"/>
                <w:color w:val="000000"/>
                <w:sz w:val="24"/>
                <w:szCs w:val="24"/>
              </w:rPr>
              <w:t xml:space="preserve"> will play in this respect and on its most appropriate configuration.</w:t>
            </w:r>
          </w:p>
          <w:p w14:paraId="438415E5" w14:textId="0D9DE00C" w:rsidR="002528F7" w:rsidRPr="00D1118A" w:rsidRDefault="002528F7" w:rsidP="00D1118A">
            <w:pPr>
              <w:widowControl w:val="0"/>
              <w:spacing w:before="120" w:after="120"/>
              <w:jc w:val="both"/>
              <w:rPr>
                <w:rFonts w:ascii="Times New Roman" w:hAnsi="Times New Roman"/>
                <w:sz w:val="24"/>
                <w:szCs w:val="24"/>
              </w:rPr>
            </w:pPr>
            <w:r w:rsidRPr="009A49E1">
              <w:rPr>
                <w:rFonts w:ascii="Times New Roman" w:hAnsi="Times New Roman"/>
                <w:sz w:val="24"/>
                <w:szCs w:val="24"/>
                <w:u w:val="single"/>
              </w:rPr>
              <w:t>Paragraphs 3.5 and 4.6</w:t>
            </w:r>
            <w:r w:rsidRPr="00D1118A">
              <w:rPr>
                <w:rFonts w:ascii="Times New Roman" w:hAnsi="Times New Roman"/>
                <w:sz w:val="24"/>
                <w:szCs w:val="24"/>
              </w:rPr>
              <w:t>:</w:t>
            </w:r>
          </w:p>
          <w:p w14:paraId="745D3C3C" w14:textId="2A9EE5A4" w:rsidR="002528F7" w:rsidRPr="00D1118A" w:rsidRDefault="002528F7" w:rsidP="00D1118A">
            <w:pPr>
              <w:widowControl w:val="0"/>
              <w:spacing w:before="120" w:after="120"/>
              <w:jc w:val="both"/>
              <w:rPr>
                <w:rFonts w:ascii="Times New Roman" w:eastAsia="Times New Roman" w:hAnsi="Times New Roman"/>
                <w:color w:val="000000"/>
                <w:sz w:val="24"/>
                <w:szCs w:val="24"/>
              </w:rPr>
            </w:pPr>
            <w:r w:rsidRPr="00D1118A">
              <w:rPr>
                <w:rFonts w:ascii="Times New Roman" w:eastAsia="Times New Roman" w:hAnsi="Times New Roman"/>
                <w:color w:val="000000"/>
                <w:sz w:val="24"/>
                <w:szCs w:val="24"/>
              </w:rPr>
              <w:t>The Directive on combating violence against women and domestic violence</w:t>
            </w:r>
            <w:r w:rsidR="000F3AD3" w:rsidRPr="00D1118A">
              <w:rPr>
                <w:rStyle w:val="FootnoteReference"/>
                <w:rFonts w:ascii="Times New Roman" w:eastAsia="Times New Roman" w:hAnsi="Times New Roman"/>
                <w:color w:val="000000"/>
                <w:szCs w:val="24"/>
              </w:rPr>
              <w:footnoteReference w:id="20"/>
            </w:r>
            <w:r w:rsidRPr="00D1118A">
              <w:rPr>
                <w:rFonts w:ascii="Times New Roman" w:eastAsia="Times New Roman" w:hAnsi="Times New Roman"/>
                <w:color w:val="000000"/>
                <w:sz w:val="24"/>
                <w:szCs w:val="24"/>
              </w:rPr>
              <w:t> and the proposal for a revision of the Victims’ Right</w:t>
            </w:r>
            <w:r w:rsidR="00DB5852" w:rsidRPr="00D1118A">
              <w:rPr>
                <w:rFonts w:ascii="Times New Roman" w:eastAsia="Times New Roman" w:hAnsi="Times New Roman"/>
                <w:color w:val="000000"/>
                <w:sz w:val="24"/>
                <w:szCs w:val="24"/>
              </w:rPr>
              <w:t>s</w:t>
            </w:r>
            <w:r w:rsidRPr="00D1118A">
              <w:rPr>
                <w:rFonts w:ascii="Times New Roman" w:eastAsia="Times New Roman" w:hAnsi="Times New Roman"/>
                <w:color w:val="000000"/>
                <w:sz w:val="24"/>
                <w:szCs w:val="24"/>
              </w:rPr>
              <w:t xml:space="preserve"> Directive</w:t>
            </w:r>
            <w:r w:rsidR="000F3AD3" w:rsidRPr="00D1118A">
              <w:rPr>
                <w:rStyle w:val="FootnoteReference"/>
                <w:rFonts w:ascii="Times New Roman" w:eastAsia="Times New Roman" w:hAnsi="Times New Roman"/>
                <w:color w:val="000000"/>
                <w:szCs w:val="24"/>
              </w:rPr>
              <w:footnoteReference w:id="21"/>
            </w:r>
            <w:r w:rsidRPr="00D1118A">
              <w:rPr>
                <w:rFonts w:ascii="Times New Roman" w:eastAsia="Times New Roman" w:hAnsi="Times New Roman"/>
                <w:color w:val="000000"/>
                <w:sz w:val="24"/>
                <w:szCs w:val="24"/>
              </w:rPr>
              <w:t xml:space="preserve"> include specific provisions </w:t>
            </w:r>
            <w:r w:rsidR="00692FFB" w:rsidRPr="00D1118A">
              <w:rPr>
                <w:rFonts w:ascii="Times New Roman" w:eastAsia="Times New Roman" w:hAnsi="Times New Roman"/>
                <w:color w:val="000000"/>
                <w:sz w:val="24"/>
                <w:szCs w:val="24"/>
              </w:rPr>
              <w:t xml:space="preserve">on support and </w:t>
            </w:r>
            <w:r w:rsidRPr="00D1118A">
              <w:rPr>
                <w:rFonts w:ascii="Times New Roman" w:eastAsia="Times New Roman" w:hAnsi="Times New Roman"/>
                <w:color w:val="000000"/>
                <w:sz w:val="24"/>
                <w:szCs w:val="24"/>
              </w:rPr>
              <w:t>protection for women and girls with disabilities.</w:t>
            </w:r>
            <w:r w:rsidR="009A49E1">
              <w:rPr>
                <w:rFonts w:ascii="Times New Roman" w:eastAsia="Times New Roman" w:hAnsi="Times New Roman"/>
                <w:color w:val="000000"/>
                <w:sz w:val="24"/>
                <w:szCs w:val="24"/>
              </w:rPr>
              <w:t xml:space="preserve"> </w:t>
            </w:r>
            <w:r w:rsidR="00B4700B" w:rsidRPr="00D1118A">
              <w:rPr>
                <w:rFonts w:ascii="Times New Roman" w:eastAsia="Times New Roman" w:hAnsi="Times New Roman"/>
                <w:color w:val="000000"/>
                <w:sz w:val="24"/>
                <w:szCs w:val="24"/>
              </w:rPr>
              <w:t>I</w:t>
            </w:r>
            <w:r w:rsidRPr="00D1118A">
              <w:rPr>
                <w:rFonts w:ascii="Times New Roman" w:eastAsia="Times New Roman" w:hAnsi="Times New Roman"/>
                <w:color w:val="000000"/>
                <w:sz w:val="24"/>
                <w:szCs w:val="24"/>
              </w:rPr>
              <w:t xml:space="preserve">n Member States where forced sterilisation is a crime, women and girls with disabilities will have access to all the measures of protection and support provided in the EU Directive on </w:t>
            </w:r>
            <w:r w:rsidR="00DB5852" w:rsidRPr="00D1118A">
              <w:rPr>
                <w:rFonts w:ascii="Times New Roman" w:eastAsia="Times New Roman" w:hAnsi="Times New Roman"/>
                <w:color w:val="000000"/>
                <w:sz w:val="24"/>
                <w:szCs w:val="24"/>
              </w:rPr>
              <w:t>c</w:t>
            </w:r>
            <w:r w:rsidRPr="00D1118A">
              <w:rPr>
                <w:rFonts w:ascii="Times New Roman" w:eastAsia="Times New Roman" w:hAnsi="Times New Roman"/>
                <w:color w:val="000000"/>
                <w:sz w:val="24"/>
                <w:szCs w:val="24"/>
              </w:rPr>
              <w:t xml:space="preserve">ombating </w:t>
            </w:r>
            <w:r w:rsidR="00DB5852" w:rsidRPr="00D1118A">
              <w:rPr>
                <w:rFonts w:ascii="Times New Roman" w:eastAsia="Times New Roman" w:hAnsi="Times New Roman"/>
                <w:color w:val="000000"/>
                <w:sz w:val="24"/>
                <w:szCs w:val="24"/>
              </w:rPr>
              <w:t>v</w:t>
            </w:r>
            <w:r w:rsidRPr="00D1118A">
              <w:rPr>
                <w:rFonts w:ascii="Times New Roman" w:eastAsia="Times New Roman" w:hAnsi="Times New Roman"/>
                <w:color w:val="000000"/>
                <w:sz w:val="24"/>
                <w:szCs w:val="24"/>
              </w:rPr>
              <w:t xml:space="preserve">iolence </w:t>
            </w:r>
            <w:r w:rsidR="00DB5852" w:rsidRPr="00D1118A">
              <w:rPr>
                <w:rFonts w:ascii="Times New Roman" w:eastAsia="Times New Roman" w:hAnsi="Times New Roman"/>
                <w:color w:val="000000"/>
                <w:sz w:val="24"/>
                <w:szCs w:val="24"/>
              </w:rPr>
              <w:t>a</w:t>
            </w:r>
            <w:r w:rsidRPr="00D1118A">
              <w:rPr>
                <w:rFonts w:ascii="Times New Roman" w:eastAsia="Times New Roman" w:hAnsi="Times New Roman"/>
                <w:color w:val="000000"/>
                <w:sz w:val="24"/>
                <w:szCs w:val="24"/>
              </w:rPr>
              <w:t xml:space="preserve">gainst </w:t>
            </w:r>
            <w:r w:rsidR="00DB5852" w:rsidRPr="00D1118A">
              <w:rPr>
                <w:rFonts w:ascii="Times New Roman" w:eastAsia="Times New Roman" w:hAnsi="Times New Roman"/>
                <w:color w:val="000000"/>
                <w:sz w:val="24"/>
                <w:szCs w:val="24"/>
              </w:rPr>
              <w:t>w</w:t>
            </w:r>
            <w:r w:rsidRPr="00D1118A">
              <w:rPr>
                <w:rFonts w:ascii="Times New Roman" w:eastAsia="Times New Roman" w:hAnsi="Times New Roman"/>
                <w:color w:val="000000"/>
                <w:sz w:val="24"/>
                <w:szCs w:val="24"/>
              </w:rPr>
              <w:t xml:space="preserve">omen and </w:t>
            </w:r>
            <w:r w:rsidR="00DB5852" w:rsidRPr="00D1118A">
              <w:rPr>
                <w:rFonts w:ascii="Times New Roman" w:eastAsia="Times New Roman" w:hAnsi="Times New Roman"/>
                <w:color w:val="000000"/>
                <w:sz w:val="24"/>
                <w:szCs w:val="24"/>
              </w:rPr>
              <w:t>d</w:t>
            </w:r>
            <w:r w:rsidRPr="00D1118A">
              <w:rPr>
                <w:rFonts w:ascii="Times New Roman" w:eastAsia="Times New Roman" w:hAnsi="Times New Roman"/>
                <w:color w:val="000000"/>
                <w:sz w:val="24"/>
                <w:szCs w:val="24"/>
              </w:rPr>
              <w:t xml:space="preserve">omestic </w:t>
            </w:r>
            <w:r w:rsidR="00DB5852" w:rsidRPr="00D1118A">
              <w:rPr>
                <w:rFonts w:ascii="Times New Roman" w:eastAsia="Times New Roman" w:hAnsi="Times New Roman"/>
                <w:color w:val="000000"/>
                <w:sz w:val="24"/>
                <w:szCs w:val="24"/>
              </w:rPr>
              <w:t>v</w:t>
            </w:r>
            <w:r w:rsidRPr="00D1118A">
              <w:rPr>
                <w:rFonts w:ascii="Times New Roman" w:eastAsia="Times New Roman" w:hAnsi="Times New Roman"/>
                <w:color w:val="000000"/>
                <w:sz w:val="24"/>
                <w:szCs w:val="24"/>
              </w:rPr>
              <w:t>iolence</w:t>
            </w:r>
            <w:r w:rsidR="00692FFB" w:rsidRPr="00D1118A">
              <w:rPr>
                <w:rFonts w:ascii="Times New Roman" w:eastAsia="Times New Roman" w:hAnsi="Times New Roman"/>
                <w:color w:val="000000"/>
                <w:sz w:val="24"/>
                <w:szCs w:val="24"/>
              </w:rPr>
              <w:t xml:space="preserve"> and in the Victims’ Rights Directive</w:t>
            </w:r>
            <w:r w:rsidRPr="00D1118A">
              <w:rPr>
                <w:rFonts w:ascii="Times New Roman" w:eastAsia="Times New Roman" w:hAnsi="Times New Roman"/>
                <w:color w:val="000000"/>
                <w:sz w:val="24"/>
                <w:szCs w:val="24"/>
              </w:rPr>
              <w:t xml:space="preserve">. </w:t>
            </w:r>
            <w:bookmarkStart w:id="0" w:name="_Hlk205307737"/>
            <w:r w:rsidRPr="00D1118A">
              <w:rPr>
                <w:rFonts w:ascii="Times New Roman" w:eastAsia="Times New Roman" w:hAnsi="Times New Roman"/>
                <w:color w:val="000000"/>
                <w:sz w:val="24"/>
                <w:szCs w:val="24"/>
              </w:rPr>
              <w:t>Where women with disabilities are victims of any other form of violence against women, support services are required to have sufficient capacity to accommodate them, taking into consideration their specific needs</w:t>
            </w:r>
            <w:bookmarkEnd w:id="0"/>
            <w:r w:rsidRPr="00D1118A">
              <w:rPr>
                <w:rFonts w:ascii="Times New Roman" w:eastAsia="Times New Roman" w:hAnsi="Times New Roman"/>
                <w:color w:val="000000"/>
                <w:sz w:val="24"/>
                <w:szCs w:val="24"/>
              </w:rPr>
              <w:t>, including personal assistance.</w:t>
            </w:r>
          </w:p>
          <w:p w14:paraId="3F736226" w14:textId="50F3E0D1" w:rsidR="00FB4F0E" w:rsidRPr="00D1118A" w:rsidRDefault="2CEF5027" w:rsidP="00D1118A">
            <w:pPr>
              <w:widowControl w:val="0"/>
              <w:spacing w:before="120" w:after="120"/>
              <w:jc w:val="both"/>
              <w:rPr>
                <w:rFonts w:ascii="Times New Roman" w:eastAsia="Times New Roman" w:hAnsi="Times New Roman"/>
                <w:color w:val="000000"/>
                <w:sz w:val="24"/>
                <w:szCs w:val="24"/>
              </w:rPr>
            </w:pPr>
            <w:r w:rsidRPr="00D1118A">
              <w:rPr>
                <w:rFonts w:ascii="Times New Roman" w:eastAsia="Times New Roman" w:hAnsi="Times New Roman"/>
                <w:color w:val="000000"/>
                <w:sz w:val="24"/>
                <w:szCs w:val="24"/>
              </w:rPr>
              <w:t>The specific issue of forced sterilisation</w:t>
            </w:r>
            <w:r w:rsidR="00DB5852" w:rsidRPr="00D1118A">
              <w:rPr>
                <w:rFonts w:ascii="Times New Roman" w:eastAsia="Times New Roman" w:hAnsi="Times New Roman"/>
                <w:color w:val="000000"/>
                <w:sz w:val="24"/>
                <w:szCs w:val="24"/>
              </w:rPr>
              <w:t>,</w:t>
            </w:r>
            <w:r w:rsidRPr="00D1118A">
              <w:rPr>
                <w:rFonts w:ascii="Times New Roman" w:eastAsia="Times New Roman" w:hAnsi="Times New Roman"/>
                <w:color w:val="000000"/>
                <w:sz w:val="24"/>
                <w:szCs w:val="24"/>
              </w:rPr>
              <w:t xml:space="preserve"> including in relation with legal capacity</w:t>
            </w:r>
            <w:r w:rsidR="00DB5852" w:rsidRPr="00D1118A">
              <w:rPr>
                <w:rFonts w:ascii="Times New Roman" w:eastAsia="Times New Roman" w:hAnsi="Times New Roman"/>
                <w:color w:val="000000"/>
                <w:sz w:val="24"/>
                <w:szCs w:val="24"/>
              </w:rPr>
              <w:t>,</w:t>
            </w:r>
            <w:r w:rsidRPr="00D1118A">
              <w:rPr>
                <w:rFonts w:ascii="Times New Roman" w:eastAsia="Times New Roman" w:hAnsi="Times New Roman"/>
                <w:color w:val="000000"/>
                <w:sz w:val="24"/>
                <w:szCs w:val="24"/>
              </w:rPr>
              <w:t xml:space="preserve"> may be further considered by the Commission </w:t>
            </w:r>
            <w:r w:rsidR="008313D6" w:rsidRPr="00D1118A">
              <w:rPr>
                <w:rFonts w:ascii="Times New Roman" w:eastAsia="Times New Roman" w:hAnsi="Times New Roman"/>
                <w:color w:val="000000"/>
                <w:sz w:val="24"/>
                <w:szCs w:val="24"/>
              </w:rPr>
              <w:t>during the second half</w:t>
            </w:r>
            <w:r w:rsidRPr="00D1118A">
              <w:rPr>
                <w:rFonts w:ascii="Times New Roman" w:eastAsia="Times New Roman" w:hAnsi="Times New Roman"/>
                <w:color w:val="000000"/>
                <w:sz w:val="24"/>
                <w:szCs w:val="24"/>
              </w:rPr>
              <w:t xml:space="preserve"> of the Strategy</w:t>
            </w:r>
            <w:r w:rsidR="5C523844" w:rsidRPr="00D1118A">
              <w:rPr>
                <w:rFonts w:ascii="Times New Roman" w:eastAsia="Times New Roman" w:hAnsi="Times New Roman"/>
                <w:color w:val="000000"/>
                <w:sz w:val="24"/>
                <w:szCs w:val="24"/>
              </w:rPr>
              <w:t>, including</w:t>
            </w:r>
            <w:r w:rsidR="0ACF1A98" w:rsidRPr="00D1118A">
              <w:rPr>
                <w:rFonts w:ascii="Times New Roman" w:eastAsia="Times New Roman" w:hAnsi="Times New Roman"/>
                <w:color w:val="000000"/>
                <w:sz w:val="24"/>
                <w:szCs w:val="24"/>
              </w:rPr>
              <w:t xml:space="preserve"> </w:t>
            </w:r>
            <w:proofErr w:type="gramStart"/>
            <w:r w:rsidR="0ACF1A98" w:rsidRPr="00D1118A">
              <w:rPr>
                <w:rFonts w:ascii="Times New Roman" w:eastAsia="Times New Roman" w:hAnsi="Times New Roman"/>
                <w:color w:val="000000"/>
                <w:sz w:val="24"/>
                <w:szCs w:val="24"/>
              </w:rPr>
              <w:t>on the basis of</w:t>
            </w:r>
            <w:proofErr w:type="gramEnd"/>
            <w:r w:rsidR="0ACF1A98" w:rsidRPr="00D1118A">
              <w:rPr>
                <w:rFonts w:ascii="Times New Roman" w:eastAsia="Times New Roman" w:hAnsi="Times New Roman"/>
                <w:color w:val="000000"/>
                <w:sz w:val="24"/>
                <w:szCs w:val="24"/>
              </w:rPr>
              <w:t xml:space="preserve"> the forthcoming guidelines on access to healthcare for persons with disabilities, developed under the action funded by EU4Health Programme. These guidelines </w:t>
            </w:r>
            <w:r w:rsidR="00CD26F2" w:rsidRPr="00D1118A">
              <w:rPr>
                <w:rFonts w:ascii="Times New Roman" w:eastAsia="Times New Roman" w:hAnsi="Times New Roman"/>
                <w:color w:val="000000"/>
                <w:sz w:val="24"/>
                <w:szCs w:val="24"/>
              </w:rPr>
              <w:t xml:space="preserve">are envisaged to </w:t>
            </w:r>
            <w:r w:rsidR="0ACF1A98" w:rsidRPr="00D1118A">
              <w:rPr>
                <w:rFonts w:ascii="Times New Roman" w:eastAsia="Times New Roman" w:hAnsi="Times New Roman"/>
                <w:color w:val="000000"/>
                <w:sz w:val="24"/>
                <w:szCs w:val="24"/>
              </w:rPr>
              <w:t>put focus on the informed consent in access to healthcare and propose measures which can be taken at national level to improve the uptake of this right for persons with disabilities.</w:t>
            </w:r>
          </w:p>
          <w:p w14:paraId="7E8E1F0C" w14:textId="2ED7DFA2" w:rsidR="00692FFB" w:rsidRPr="00D1118A" w:rsidRDefault="00692FFB" w:rsidP="00D1118A">
            <w:pPr>
              <w:widowControl w:val="0"/>
              <w:spacing w:before="120" w:after="120"/>
              <w:jc w:val="both"/>
              <w:rPr>
                <w:rFonts w:ascii="Times New Roman" w:eastAsia="Times New Roman" w:hAnsi="Times New Roman"/>
                <w:color w:val="000000"/>
                <w:sz w:val="24"/>
                <w:szCs w:val="24"/>
              </w:rPr>
            </w:pPr>
            <w:r w:rsidRPr="00D1118A">
              <w:rPr>
                <w:rFonts w:ascii="Times New Roman" w:eastAsia="Times New Roman" w:hAnsi="Times New Roman"/>
                <w:color w:val="000000"/>
                <w:sz w:val="24"/>
                <w:szCs w:val="24"/>
              </w:rPr>
              <w:t>When it comes to access to justice and compensation, the Commission proposed amendments to the Victims’ Rights Directive to improve access to justice and to facilitate compensation from the offender for all victims of all crimes, including for victims with disabilities. The revision of the Victims’ Rights Directive is currently discussed by the EU co-legislators and the Commission is looking forward to a swift adoption of the ambitious revised directive.</w:t>
            </w:r>
          </w:p>
          <w:p w14:paraId="4CA8E998" w14:textId="2EC9C5D7" w:rsidR="00B76071" w:rsidRPr="00D1118A" w:rsidRDefault="29B15111" w:rsidP="00D1118A">
            <w:pPr>
              <w:widowControl w:val="0"/>
              <w:spacing w:before="120" w:after="120"/>
              <w:jc w:val="both"/>
              <w:rPr>
                <w:rFonts w:ascii="Times New Roman" w:hAnsi="Times New Roman"/>
                <w:sz w:val="24"/>
                <w:szCs w:val="24"/>
              </w:rPr>
            </w:pPr>
            <w:r w:rsidRPr="009A49E1">
              <w:rPr>
                <w:rFonts w:ascii="Times New Roman" w:hAnsi="Times New Roman"/>
                <w:sz w:val="24"/>
                <w:szCs w:val="24"/>
                <w:u w:val="single"/>
                <w:lang w:val="en-IE"/>
              </w:rPr>
              <w:t>Paragraph 4.7</w:t>
            </w:r>
            <w:r w:rsidRPr="00D1118A">
              <w:rPr>
                <w:rFonts w:ascii="Times New Roman" w:hAnsi="Times New Roman"/>
                <w:sz w:val="24"/>
                <w:szCs w:val="24"/>
                <w:lang w:val="en-IE"/>
              </w:rPr>
              <w:t>:</w:t>
            </w:r>
          </w:p>
          <w:p w14:paraId="53B814BF" w14:textId="6CF86C81" w:rsidR="27B13E9E" w:rsidRPr="00D1118A" w:rsidRDefault="27B13E9E" w:rsidP="00D1118A">
            <w:pPr>
              <w:widowControl w:val="0"/>
              <w:spacing w:before="120" w:after="120"/>
              <w:jc w:val="both"/>
              <w:rPr>
                <w:rFonts w:ascii="Times New Roman" w:eastAsia="Times New Roman" w:hAnsi="Times New Roman"/>
                <w:color w:val="000000"/>
                <w:sz w:val="24"/>
                <w:szCs w:val="24"/>
              </w:rPr>
            </w:pPr>
            <w:r w:rsidRPr="00D1118A">
              <w:rPr>
                <w:rFonts w:ascii="Times New Roman" w:eastAsia="Times New Roman" w:hAnsi="Times New Roman"/>
                <w:color w:val="000000"/>
                <w:sz w:val="24"/>
                <w:szCs w:val="24"/>
              </w:rPr>
              <w:t xml:space="preserve">Accessibility is a general principle under the UNCRPD and </w:t>
            </w:r>
            <w:r w:rsidR="496371BB" w:rsidRPr="00D1118A">
              <w:rPr>
                <w:rFonts w:ascii="Times New Roman" w:eastAsia="Times New Roman" w:hAnsi="Times New Roman"/>
                <w:color w:val="000000"/>
                <w:sz w:val="24"/>
                <w:szCs w:val="24"/>
              </w:rPr>
              <w:t>a priority area under</w:t>
            </w:r>
            <w:r w:rsidRPr="00D1118A">
              <w:rPr>
                <w:rFonts w:ascii="Times New Roman" w:eastAsia="Times New Roman" w:hAnsi="Times New Roman"/>
                <w:color w:val="000000"/>
                <w:sz w:val="24"/>
                <w:szCs w:val="24"/>
              </w:rPr>
              <w:t xml:space="preserve"> the Strategy. </w:t>
            </w:r>
            <w:r w:rsidR="7A070877" w:rsidRPr="00D1118A">
              <w:rPr>
                <w:rFonts w:ascii="Times New Roman" w:eastAsia="Times New Roman" w:hAnsi="Times New Roman"/>
                <w:color w:val="000000"/>
                <w:sz w:val="24"/>
                <w:szCs w:val="24"/>
              </w:rPr>
              <w:t>As a</w:t>
            </w:r>
            <w:r w:rsidRPr="00D1118A">
              <w:rPr>
                <w:rFonts w:ascii="Times New Roman" w:eastAsia="Times New Roman" w:hAnsi="Times New Roman"/>
                <w:color w:val="000000"/>
                <w:sz w:val="24"/>
                <w:szCs w:val="24"/>
              </w:rPr>
              <w:t xml:space="preserve"> key enabler of rights and prerequisite for full participation of persons with disabilities on an equal basis with others</w:t>
            </w:r>
            <w:r w:rsidR="52C8B903" w:rsidRPr="00D1118A">
              <w:rPr>
                <w:rFonts w:ascii="Times New Roman" w:eastAsia="Times New Roman" w:hAnsi="Times New Roman"/>
                <w:color w:val="000000"/>
                <w:sz w:val="24"/>
                <w:szCs w:val="24"/>
              </w:rPr>
              <w:t>, accessibility</w:t>
            </w:r>
            <w:r w:rsidRPr="00D1118A">
              <w:rPr>
                <w:rFonts w:ascii="Times New Roman" w:eastAsia="Times New Roman" w:hAnsi="Times New Roman"/>
                <w:color w:val="000000"/>
                <w:sz w:val="24"/>
                <w:szCs w:val="24"/>
              </w:rPr>
              <w:t xml:space="preserve"> should apply </w:t>
            </w:r>
            <w:r w:rsidR="5E50ECEB" w:rsidRPr="00D1118A">
              <w:rPr>
                <w:rFonts w:ascii="Times New Roman" w:eastAsia="Times New Roman" w:hAnsi="Times New Roman"/>
                <w:color w:val="000000"/>
                <w:sz w:val="24"/>
                <w:szCs w:val="24"/>
              </w:rPr>
              <w:t>to</w:t>
            </w:r>
            <w:r w:rsidRPr="00D1118A">
              <w:rPr>
                <w:rFonts w:ascii="Times New Roman" w:eastAsia="Times New Roman" w:hAnsi="Times New Roman"/>
                <w:color w:val="000000"/>
                <w:sz w:val="24"/>
                <w:szCs w:val="24"/>
              </w:rPr>
              <w:t xml:space="preserve"> the housing secto</w:t>
            </w:r>
            <w:r w:rsidR="46848798" w:rsidRPr="00D1118A">
              <w:rPr>
                <w:rFonts w:ascii="Times New Roman" w:eastAsia="Times New Roman" w:hAnsi="Times New Roman"/>
                <w:color w:val="000000"/>
                <w:sz w:val="24"/>
                <w:szCs w:val="24"/>
              </w:rPr>
              <w:t>r</w:t>
            </w:r>
            <w:r w:rsidRPr="00D1118A">
              <w:rPr>
                <w:rFonts w:ascii="Times New Roman" w:eastAsia="Times New Roman" w:hAnsi="Times New Roman"/>
                <w:color w:val="000000"/>
                <w:sz w:val="24"/>
                <w:szCs w:val="24"/>
              </w:rPr>
              <w:t xml:space="preserve">. When preparing the European Affordable Housing Plan, the Commission will consider how to mainstream </w:t>
            </w:r>
            <w:r w:rsidR="2F480A68" w:rsidRPr="00D1118A">
              <w:rPr>
                <w:rFonts w:ascii="Times New Roman" w:eastAsia="Times New Roman" w:hAnsi="Times New Roman"/>
                <w:color w:val="000000"/>
                <w:sz w:val="24"/>
                <w:szCs w:val="24"/>
              </w:rPr>
              <w:t>accessibility</w:t>
            </w:r>
            <w:r w:rsidRPr="00D1118A">
              <w:rPr>
                <w:rFonts w:ascii="Times New Roman" w:eastAsia="Times New Roman" w:hAnsi="Times New Roman"/>
                <w:color w:val="000000"/>
                <w:sz w:val="24"/>
                <w:szCs w:val="24"/>
              </w:rPr>
              <w:t xml:space="preserve"> in </w:t>
            </w:r>
            <w:r w:rsidR="1C27D7A9" w:rsidRPr="00D1118A">
              <w:rPr>
                <w:rFonts w:ascii="Times New Roman" w:eastAsia="Times New Roman" w:hAnsi="Times New Roman"/>
                <w:color w:val="000000"/>
                <w:sz w:val="24"/>
                <w:szCs w:val="24"/>
              </w:rPr>
              <w:t xml:space="preserve">its </w:t>
            </w:r>
            <w:r w:rsidRPr="00D1118A">
              <w:rPr>
                <w:rFonts w:ascii="Times New Roman" w:eastAsia="Times New Roman" w:hAnsi="Times New Roman"/>
                <w:color w:val="000000"/>
                <w:sz w:val="24"/>
                <w:szCs w:val="24"/>
              </w:rPr>
              <w:t>orientations and actions.</w:t>
            </w:r>
          </w:p>
          <w:p w14:paraId="5DA78184" w14:textId="1C6A6F0A" w:rsidR="00B76071" w:rsidRPr="00D1118A" w:rsidRDefault="00E93DE9" w:rsidP="00D1118A">
            <w:pPr>
              <w:widowControl w:val="0"/>
              <w:spacing w:before="120" w:after="120"/>
              <w:jc w:val="both"/>
              <w:rPr>
                <w:rFonts w:ascii="Times New Roman" w:hAnsi="Times New Roman"/>
                <w:sz w:val="24"/>
                <w:szCs w:val="24"/>
                <w:lang w:val="en-IE"/>
              </w:rPr>
            </w:pPr>
            <w:r w:rsidRPr="009A49E1">
              <w:rPr>
                <w:rFonts w:ascii="Times New Roman" w:hAnsi="Times New Roman"/>
                <w:sz w:val="24"/>
                <w:szCs w:val="24"/>
                <w:u w:val="single"/>
                <w:lang w:val="en-IE"/>
              </w:rPr>
              <w:t>Paragraph 4.8</w:t>
            </w:r>
            <w:r w:rsidRPr="00D1118A">
              <w:rPr>
                <w:rFonts w:ascii="Times New Roman" w:hAnsi="Times New Roman"/>
                <w:sz w:val="24"/>
                <w:szCs w:val="24"/>
                <w:lang w:val="en-IE"/>
              </w:rPr>
              <w:t>:</w:t>
            </w:r>
          </w:p>
          <w:p w14:paraId="2940D730" w14:textId="51F5B223" w:rsidR="4E9C3DC3" w:rsidRPr="00D1118A" w:rsidRDefault="4E9C3DC3" w:rsidP="00D1118A">
            <w:pPr>
              <w:widowControl w:val="0"/>
              <w:spacing w:before="120" w:after="120"/>
              <w:jc w:val="both"/>
              <w:rPr>
                <w:rFonts w:ascii="Times New Roman" w:eastAsia="Times New Roman" w:hAnsi="Times New Roman"/>
                <w:sz w:val="24"/>
                <w:szCs w:val="24"/>
                <w:lang w:val="en-IE"/>
              </w:rPr>
            </w:pPr>
            <w:r w:rsidRPr="00D1118A">
              <w:rPr>
                <w:rFonts w:ascii="Times New Roman" w:hAnsi="Times New Roman"/>
                <w:sz w:val="24"/>
                <w:szCs w:val="24"/>
                <w:lang w:val="en-IE"/>
              </w:rPr>
              <w:t xml:space="preserve">The Commission has acknowledged in the Strategy for the Rights of Persons with Disabilities 2021-2030 </w:t>
            </w:r>
            <w:r w:rsidR="105AF251" w:rsidRPr="00D1118A">
              <w:rPr>
                <w:rFonts w:ascii="Times New Roman" w:hAnsi="Times New Roman"/>
                <w:sz w:val="24"/>
                <w:szCs w:val="24"/>
                <w:lang w:val="en-IE"/>
              </w:rPr>
              <w:t xml:space="preserve">the </w:t>
            </w:r>
            <w:r w:rsidR="105AF251" w:rsidRPr="00D1118A">
              <w:rPr>
                <w:rFonts w:ascii="Times New Roman" w:hAnsi="Times New Roman"/>
                <w:sz w:val="24"/>
                <w:szCs w:val="24"/>
                <w:lang w:val="en-IE"/>
              </w:rPr>
              <w:lastRenderedPageBreak/>
              <w:t xml:space="preserve">difficulties faced by persons with disabilities in accessing assistive </w:t>
            </w:r>
            <w:r w:rsidR="651D4FD2" w:rsidRPr="00D1118A">
              <w:rPr>
                <w:rFonts w:ascii="Times New Roman" w:hAnsi="Times New Roman"/>
                <w:sz w:val="24"/>
                <w:szCs w:val="24"/>
                <w:lang w:val="en-IE"/>
              </w:rPr>
              <w:t>technologies</w:t>
            </w:r>
            <w:r w:rsidR="089AC0F1" w:rsidRPr="00D1118A">
              <w:rPr>
                <w:rFonts w:ascii="Times New Roman" w:hAnsi="Times New Roman"/>
                <w:sz w:val="24"/>
                <w:szCs w:val="24"/>
                <w:lang w:val="en-IE"/>
              </w:rPr>
              <w:t xml:space="preserve"> and intends to examine the </w:t>
            </w:r>
            <w:r w:rsidR="089AC0F1" w:rsidRPr="00D1118A">
              <w:rPr>
                <w:rFonts w:ascii="Times New Roman" w:eastAsia="Times New Roman" w:hAnsi="Times New Roman"/>
                <w:sz w:val="24"/>
                <w:szCs w:val="24"/>
                <w:lang w:val="en-IE"/>
              </w:rPr>
              <w:t>functioning of the internal market for assistive technologies to identify need for further action</w:t>
            </w:r>
            <w:r w:rsidR="5ACB4852" w:rsidRPr="00D1118A">
              <w:rPr>
                <w:rFonts w:ascii="Times New Roman" w:eastAsia="Times New Roman" w:hAnsi="Times New Roman"/>
                <w:sz w:val="24"/>
                <w:szCs w:val="24"/>
                <w:lang w:val="en-IE"/>
              </w:rPr>
              <w:t>,</w:t>
            </w:r>
            <w:r w:rsidR="089AC0F1" w:rsidRPr="00D1118A">
              <w:rPr>
                <w:rFonts w:ascii="Times New Roman" w:eastAsia="Times New Roman" w:hAnsi="Times New Roman"/>
                <w:sz w:val="24"/>
                <w:szCs w:val="24"/>
                <w:lang w:val="en-IE"/>
              </w:rPr>
              <w:t xml:space="preserve"> as diverse rules in the Members States on product eligibility and certification may harm the competitiveness of prices. To </w:t>
            </w:r>
            <w:r w:rsidR="2713FEB8" w:rsidRPr="00D1118A">
              <w:rPr>
                <w:rFonts w:ascii="Times New Roman" w:eastAsia="Times New Roman" w:hAnsi="Times New Roman"/>
                <w:sz w:val="24"/>
                <w:szCs w:val="24"/>
                <w:lang w:val="en-IE"/>
              </w:rPr>
              <w:t>this end, the Commission launched a survey within the Disability Platform in 2024, on which</w:t>
            </w:r>
            <w:r w:rsidR="6CC4607A" w:rsidRPr="00D1118A">
              <w:rPr>
                <w:rFonts w:ascii="Times New Roman" w:eastAsia="Times New Roman" w:hAnsi="Times New Roman"/>
                <w:sz w:val="24"/>
                <w:szCs w:val="24"/>
                <w:lang w:val="en-IE"/>
              </w:rPr>
              <w:t xml:space="preserve"> it </w:t>
            </w:r>
            <w:r w:rsidR="00985998" w:rsidRPr="00D1118A">
              <w:rPr>
                <w:rFonts w:ascii="Times New Roman" w:eastAsia="Times New Roman" w:hAnsi="Times New Roman"/>
                <w:sz w:val="24"/>
                <w:szCs w:val="24"/>
                <w:lang w:val="en-IE"/>
              </w:rPr>
              <w:t>may</w:t>
            </w:r>
            <w:r w:rsidR="6CC4607A" w:rsidRPr="00D1118A">
              <w:rPr>
                <w:rFonts w:ascii="Times New Roman" w:eastAsia="Times New Roman" w:hAnsi="Times New Roman"/>
                <w:sz w:val="24"/>
                <w:szCs w:val="24"/>
                <w:lang w:val="en-IE"/>
              </w:rPr>
              <w:t xml:space="preserve"> build</w:t>
            </w:r>
            <w:r w:rsidR="2713FEB8" w:rsidRPr="00D1118A">
              <w:rPr>
                <w:rFonts w:ascii="Times New Roman" w:eastAsia="Times New Roman" w:hAnsi="Times New Roman"/>
                <w:sz w:val="24"/>
                <w:szCs w:val="24"/>
                <w:lang w:val="en-IE"/>
              </w:rPr>
              <w:t xml:space="preserve"> further analytical work</w:t>
            </w:r>
            <w:r w:rsidR="62E4D861" w:rsidRPr="00D1118A">
              <w:rPr>
                <w:rFonts w:ascii="Times New Roman" w:eastAsia="Times New Roman" w:hAnsi="Times New Roman"/>
                <w:sz w:val="24"/>
                <w:szCs w:val="24"/>
                <w:lang w:val="en-IE"/>
              </w:rPr>
              <w:t xml:space="preserve"> in the second half of the Strategy</w:t>
            </w:r>
            <w:r w:rsidR="370AFF91" w:rsidRPr="00D1118A">
              <w:rPr>
                <w:rFonts w:ascii="Times New Roman" w:eastAsia="Times New Roman" w:hAnsi="Times New Roman"/>
                <w:sz w:val="24"/>
                <w:szCs w:val="24"/>
                <w:lang w:val="en-IE"/>
              </w:rPr>
              <w:t>.</w:t>
            </w:r>
            <w:r w:rsidR="2713FEB8" w:rsidRPr="00D1118A">
              <w:rPr>
                <w:rFonts w:ascii="Times New Roman" w:eastAsia="Times New Roman" w:hAnsi="Times New Roman"/>
                <w:sz w:val="24"/>
                <w:szCs w:val="24"/>
                <w:lang w:val="en-IE"/>
              </w:rPr>
              <w:t xml:space="preserve"> </w:t>
            </w:r>
            <w:r w:rsidR="58E259CB" w:rsidRPr="00D1118A">
              <w:rPr>
                <w:rFonts w:ascii="Times New Roman" w:eastAsia="Times New Roman" w:hAnsi="Times New Roman"/>
                <w:sz w:val="24"/>
                <w:szCs w:val="24"/>
                <w:lang w:val="en-IE"/>
              </w:rPr>
              <w:t>T</w:t>
            </w:r>
            <w:r w:rsidR="42A23938" w:rsidRPr="00D1118A">
              <w:rPr>
                <w:rFonts w:ascii="Times New Roman" w:hAnsi="Times New Roman"/>
                <w:sz w:val="24"/>
                <w:szCs w:val="24"/>
                <w:lang w:val="en-IE"/>
              </w:rPr>
              <w:t>he</w:t>
            </w:r>
            <w:r w:rsidR="651D4FD2" w:rsidRPr="00D1118A">
              <w:rPr>
                <w:rFonts w:ascii="Times New Roman" w:eastAsia="Times New Roman" w:hAnsi="Times New Roman"/>
                <w:sz w:val="24"/>
                <w:szCs w:val="24"/>
                <w:lang w:val="en-IE"/>
              </w:rPr>
              <w:t xml:space="preserve"> Digital Education Action Plan</w:t>
            </w:r>
            <w:r w:rsidR="7F4E9B7C" w:rsidRPr="00D1118A">
              <w:rPr>
                <w:rFonts w:ascii="Times New Roman" w:eastAsia="Times New Roman" w:hAnsi="Times New Roman"/>
                <w:sz w:val="24"/>
                <w:szCs w:val="24"/>
                <w:lang w:val="en-IE"/>
              </w:rPr>
              <w:t xml:space="preserve"> (DEAP)</w:t>
            </w:r>
            <w:r w:rsidR="651D4FD2" w:rsidRPr="00D1118A">
              <w:rPr>
                <w:rFonts w:ascii="Times New Roman" w:eastAsia="Times New Roman" w:hAnsi="Times New Roman"/>
                <w:sz w:val="24"/>
                <w:szCs w:val="24"/>
                <w:lang w:val="en-IE"/>
              </w:rPr>
              <w:t xml:space="preserve"> 2021-2027</w:t>
            </w:r>
            <w:r w:rsidRPr="00D1118A">
              <w:rPr>
                <w:rFonts w:ascii="Times New Roman" w:eastAsia="Times New Roman" w:hAnsi="Times New Roman"/>
                <w:sz w:val="24"/>
                <w:szCs w:val="24"/>
                <w:vertAlign w:val="superscript"/>
                <w:lang w:val="en-IE"/>
              </w:rPr>
              <w:footnoteReference w:id="22"/>
            </w:r>
            <w:r w:rsidR="4C83EED7" w:rsidRPr="00D1118A">
              <w:rPr>
                <w:rFonts w:ascii="Times New Roman" w:eastAsia="Times New Roman" w:hAnsi="Times New Roman"/>
                <w:sz w:val="24"/>
                <w:szCs w:val="24"/>
                <w:vertAlign w:val="superscript"/>
                <w:lang w:val="en-IE"/>
              </w:rPr>
              <w:t xml:space="preserve"> </w:t>
            </w:r>
            <w:r w:rsidR="4C83EED7" w:rsidRPr="00D1118A">
              <w:rPr>
                <w:rFonts w:ascii="Times New Roman" w:eastAsia="Times New Roman" w:hAnsi="Times New Roman"/>
                <w:sz w:val="24"/>
                <w:szCs w:val="24"/>
                <w:lang w:val="en-IE"/>
              </w:rPr>
              <w:t xml:space="preserve">supports </w:t>
            </w:r>
            <w:r w:rsidR="651D4FD2" w:rsidRPr="00D1118A">
              <w:rPr>
                <w:rFonts w:ascii="Times New Roman" w:eastAsia="Times New Roman" w:hAnsi="Times New Roman"/>
                <w:sz w:val="24"/>
                <w:szCs w:val="24"/>
                <w:lang w:val="en-IE"/>
              </w:rPr>
              <w:t xml:space="preserve">Member States in securing assistive technologies </w:t>
            </w:r>
            <w:r w:rsidR="2CF29287" w:rsidRPr="00D1118A">
              <w:rPr>
                <w:rFonts w:ascii="Times New Roman" w:eastAsia="Times New Roman" w:hAnsi="Times New Roman"/>
                <w:sz w:val="24"/>
                <w:szCs w:val="24"/>
                <w:lang w:val="en-IE"/>
              </w:rPr>
              <w:t>in education, in line with the 2023 Council Reco</w:t>
            </w:r>
            <w:r w:rsidR="33719AE8" w:rsidRPr="00D1118A">
              <w:rPr>
                <w:rFonts w:ascii="Times New Roman" w:eastAsia="Times New Roman" w:hAnsi="Times New Roman"/>
                <w:sz w:val="24"/>
                <w:szCs w:val="24"/>
                <w:lang w:val="en-IE"/>
              </w:rPr>
              <w:t>mmendation</w:t>
            </w:r>
            <w:r w:rsidR="2CF29287" w:rsidRPr="00D1118A">
              <w:rPr>
                <w:rFonts w:ascii="Times New Roman" w:eastAsia="Times New Roman" w:hAnsi="Times New Roman"/>
                <w:sz w:val="24"/>
                <w:szCs w:val="24"/>
                <w:lang w:val="en-IE"/>
              </w:rPr>
              <w:t xml:space="preserve"> on key enabling factors for successful digital education and training</w:t>
            </w:r>
            <w:r w:rsidRPr="00D1118A">
              <w:rPr>
                <w:rFonts w:ascii="Times New Roman" w:eastAsia="Times New Roman" w:hAnsi="Times New Roman"/>
                <w:sz w:val="24"/>
                <w:szCs w:val="24"/>
                <w:vertAlign w:val="superscript"/>
                <w:lang w:val="en-IE"/>
              </w:rPr>
              <w:footnoteReference w:id="23"/>
            </w:r>
            <w:r w:rsidR="1696EA68" w:rsidRPr="00D1118A">
              <w:rPr>
                <w:rFonts w:ascii="Times New Roman" w:eastAsia="Times New Roman" w:hAnsi="Times New Roman"/>
                <w:sz w:val="24"/>
                <w:szCs w:val="24"/>
                <w:lang w:val="en-IE"/>
              </w:rPr>
              <w:t>,</w:t>
            </w:r>
            <w:r w:rsidR="6356AF48" w:rsidRPr="00D1118A">
              <w:rPr>
                <w:rFonts w:ascii="Times New Roman" w:eastAsia="Times New Roman" w:hAnsi="Times New Roman"/>
                <w:sz w:val="24"/>
                <w:szCs w:val="24"/>
                <w:lang w:val="en-IE"/>
              </w:rPr>
              <w:t xml:space="preserve"> which invites Member States to ensure adequate investments in the provision of specialised equipment and solutions</w:t>
            </w:r>
            <w:r w:rsidR="57CA2C38" w:rsidRPr="00D1118A">
              <w:rPr>
                <w:rFonts w:ascii="Times New Roman" w:eastAsia="Times New Roman" w:hAnsi="Times New Roman"/>
                <w:sz w:val="24"/>
                <w:szCs w:val="24"/>
                <w:lang w:val="en-IE"/>
              </w:rPr>
              <w:t>.</w:t>
            </w:r>
          </w:p>
          <w:p w14:paraId="44B32A51" w14:textId="5F559899" w:rsidR="00E93DE9" w:rsidRPr="00D1118A" w:rsidRDefault="00E93DE9" w:rsidP="00D1118A">
            <w:pPr>
              <w:widowControl w:val="0"/>
              <w:spacing w:before="120" w:after="120"/>
              <w:jc w:val="both"/>
              <w:rPr>
                <w:rFonts w:ascii="Times New Roman" w:hAnsi="Times New Roman"/>
                <w:sz w:val="24"/>
                <w:szCs w:val="24"/>
                <w:lang w:val="en-IE"/>
              </w:rPr>
            </w:pPr>
            <w:r w:rsidRPr="009A49E1">
              <w:rPr>
                <w:rFonts w:ascii="Times New Roman" w:hAnsi="Times New Roman"/>
                <w:sz w:val="24"/>
                <w:szCs w:val="24"/>
                <w:u w:val="single"/>
                <w:lang w:val="en-IE"/>
              </w:rPr>
              <w:t>Paragraph 4.</w:t>
            </w:r>
            <w:r w:rsidR="00906D38" w:rsidRPr="009A49E1">
              <w:rPr>
                <w:rFonts w:ascii="Times New Roman" w:hAnsi="Times New Roman"/>
                <w:sz w:val="24"/>
                <w:szCs w:val="24"/>
                <w:u w:val="single"/>
                <w:lang w:val="en-IE"/>
              </w:rPr>
              <w:t>9</w:t>
            </w:r>
            <w:r w:rsidRPr="00D1118A">
              <w:rPr>
                <w:rFonts w:ascii="Times New Roman" w:hAnsi="Times New Roman"/>
                <w:sz w:val="24"/>
                <w:szCs w:val="24"/>
                <w:lang w:val="en-IE"/>
              </w:rPr>
              <w:t>:</w:t>
            </w:r>
          </w:p>
          <w:p w14:paraId="621FC53C" w14:textId="79E97D05" w:rsidR="00101897" w:rsidRPr="00D1118A" w:rsidRDefault="00101897" w:rsidP="00D1118A">
            <w:pPr>
              <w:widowControl w:val="0"/>
              <w:spacing w:before="120" w:after="120"/>
              <w:jc w:val="both"/>
              <w:rPr>
                <w:rFonts w:ascii="Times New Roman" w:hAnsi="Times New Roman"/>
                <w:sz w:val="24"/>
                <w:szCs w:val="24"/>
                <w:lang w:val="en-US"/>
              </w:rPr>
            </w:pPr>
            <w:r w:rsidRPr="00D1118A">
              <w:rPr>
                <w:rFonts w:ascii="Times New Roman" w:hAnsi="Times New Roman"/>
                <w:sz w:val="24"/>
                <w:szCs w:val="24"/>
                <w:lang w:val="en-IE"/>
              </w:rPr>
              <w:t>Taking also into consideration the concluding observations issued by the UN Committee on the rights of persons with disabilities</w:t>
            </w:r>
            <w:r w:rsidRPr="00D1118A">
              <w:rPr>
                <w:rStyle w:val="FootnoteReference"/>
                <w:rFonts w:ascii="Times New Roman" w:hAnsi="Times New Roman"/>
                <w:szCs w:val="24"/>
                <w:lang w:val="en-IE"/>
              </w:rPr>
              <w:footnoteReference w:id="24"/>
            </w:r>
            <w:r w:rsidRPr="00D1118A">
              <w:rPr>
                <w:rFonts w:ascii="Times New Roman" w:hAnsi="Times New Roman"/>
                <w:sz w:val="24"/>
                <w:szCs w:val="24"/>
                <w:lang w:val="en-IE"/>
              </w:rPr>
              <w:t>, the Commission</w:t>
            </w:r>
            <w:r w:rsidRPr="00D1118A">
              <w:rPr>
                <w:rFonts w:ascii="Times New Roman" w:hAnsi="Times New Roman"/>
                <w:sz w:val="24"/>
                <w:szCs w:val="24"/>
                <w:lang w:val="en-US"/>
              </w:rPr>
              <w:t xml:space="preserve"> </w:t>
            </w:r>
            <w:r w:rsidRPr="00D1118A">
              <w:rPr>
                <w:rFonts w:ascii="Times New Roman" w:hAnsi="Times New Roman"/>
                <w:sz w:val="24"/>
                <w:szCs w:val="24"/>
                <w:lang w:val="en-IE"/>
              </w:rPr>
              <w:t>has already requested the European Union Agency for Railways (ERA) to work on the next revision of the technical specifications for interoperability. In this context, ERA is preparing a</w:t>
            </w:r>
            <w:r w:rsidR="00F00723">
              <w:rPr>
                <w:rFonts w:ascii="Times New Roman" w:hAnsi="Times New Roman"/>
                <w:sz w:val="24"/>
                <w:szCs w:val="24"/>
                <w:lang w:val="en-IE"/>
              </w:rPr>
              <w:t> </w:t>
            </w:r>
            <w:r w:rsidRPr="00D1118A">
              <w:rPr>
                <w:rFonts w:ascii="Times New Roman" w:hAnsi="Times New Roman"/>
                <w:sz w:val="24"/>
                <w:szCs w:val="24"/>
                <w:lang w:val="en-IE"/>
              </w:rPr>
              <w:t>recommendation to the Commission on several issues relevant to the accessibility of the EU rail system for persons with reduced mobility, including the issue of the train-platform interface, the definition of common criteria and priorities across the EU, the public availability of data on station accessibility as well as the accessibility of</w:t>
            </w:r>
            <w:r w:rsidRPr="00D1118A">
              <w:rPr>
                <w:rFonts w:ascii="Times New Roman" w:hAnsi="Times New Roman"/>
                <w:sz w:val="24"/>
                <w:szCs w:val="24"/>
                <w:u w:val="single"/>
                <w:lang w:val="en-IE"/>
              </w:rPr>
              <w:t xml:space="preserve"> </w:t>
            </w:r>
            <w:r w:rsidRPr="00D1118A">
              <w:rPr>
                <w:rFonts w:ascii="Times New Roman" w:hAnsi="Times New Roman"/>
                <w:sz w:val="24"/>
                <w:szCs w:val="24"/>
                <w:lang w:val="en-IE"/>
              </w:rPr>
              <w:t>night trains.</w:t>
            </w:r>
            <w:r w:rsidR="00F00723">
              <w:rPr>
                <w:rFonts w:ascii="Times New Roman" w:hAnsi="Times New Roman"/>
                <w:sz w:val="24"/>
                <w:szCs w:val="24"/>
                <w:lang w:val="en-US"/>
              </w:rPr>
              <w:t xml:space="preserve"> </w:t>
            </w:r>
            <w:r w:rsidRPr="00D1118A">
              <w:rPr>
                <w:rFonts w:ascii="Times New Roman" w:hAnsi="Times New Roman"/>
                <w:sz w:val="24"/>
                <w:szCs w:val="24"/>
                <w:lang w:val="en-US"/>
              </w:rPr>
              <w:t xml:space="preserve">The Commission </w:t>
            </w:r>
            <w:r w:rsidRPr="00D1118A">
              <w:rPr>
                <w:rFonts w:ascii="Times New Roman" w:hAnsi="Times New Roman"/>
                <w:sz w:val="24"/>
                <w:szCs w:val="24"/>
                <w:lang w:val="en-IE"/>
              </w:rPr>
              <w:t>is also examining whether there is a need to revise Regulation</w:t>
            </w:r>
            <w:r w:rsidR="00F00723">
              <w:rPr>
                <w:rFonts w:ascii="Times New Roman" w:hAnsi="Times New Roman"/>
                <w:sz w:val="24"/>
                <w:szCs w:val="24"/>
                <w:lang w:val="en-IE"/>
              </w:rPr>
              <w:t> </w:t>
            </w:r>
            <w:r w:rsidRPr="00D1118A">
              <w:rPr>
                <w:rFonts w:ascii="Times New Roman" w:hAnsi="Times New Roman"/>
                <w:sz w:val="24"/>
                <w:szCs w:val="24"/>
                <w:lang w:val="en-IE"/>
              </w:rPr>
              <w:t xml:space="preserve">(EC) 1107/2006 </w:t>
            </w:r>
            <w:r w:rsidRPr="00D1118A">
              <w:rPr>
                <w:rFonts w:ascii="Times New Roman" w:hAnsi="Times New Roman"/>
                <w:sz w:val="24"/>
                <w:szCs w:val="24"/>
              </w:rPr>
              <w:t>concerning the rights of disabled persons and persons with reduced mobility when travelling by air</w:t>
            </w:r>
            <w:r w:rsidRPr="00D1118A">
              <w:rPr>
                <w:rStyle w:val="FootnoteReference"/>
                <w:rFonts w:ascii="Times New Roman" w:hAnsi="Times New Roman"/>
                <w:szCs w:val="24"/>
                <w:lang w:val="en-IE"/>
              </w:rPr>
              <w:footnoteReference w:id="25"/>
            </w:r>
            <w:r w:rsidRPr="00D1118A">
              <w:rPr>
                <w:rFonts w:ascii="Times New Roman" w:hAnsi="Times New Roman"/>
                <w:sz w:val="24"/>
                <w:szCs w:val="24"/>
                <w:lang w:val="en-IE"/>
              </w:rPr>
              <w:t>.</w:t>
            </w:r>
          </w:p>
          <w:p w14:paraId="3B9BFE3A" w14:textId="17E744AE" w:rsidR="002B666A" w:rsidRPr="00D1118A" w:rsidRDefault="002B666A" w:rsidP="00D1118A">
            <w:pPr>
              <w:widowControl w:val="0"/>
              <w:spacing w:before="120" w:after="120"/>
              <w:jc w:val="both"/>
              <w:rPr>
                <w:rFonts w:ascii="Times New Roman" w:hAnsi="Times New Roman"/>
                <w:sz w:val="24"/>
                <w:szCs w:val="24"/>
                <w:lang w:val="en-IE"/>
              </w:rPr>
            </w:pPr>
            <w:r w:rsidRPr="009A49E1">
              <w:rPr>
                <w:rFonts w:ascii="Times New Roman" w:hAnsi="Times New Roman"/>
                <w:sz w:val="24"/>
                <w:szCs w:val="24"/>
                <w:u w:val="single"/>
                <w:lang w:val="en-IE"/>
              </w:rPr>
              <w:t>Paragraph 4.11</w:t>
            </w:r>
            <w:r w:rsidRPr="00D1118A">
              <w:rPr>
                <w:rFonts w:ascii="Times New Roman" w:hAnsi="Times New Roman"/>
                <w:sz w:val="24"/>
                <w:szCs w:val="24"/>
                <w:lang w:val="en-IE"/>
              </w:rPr>
              <w:t>:</w:t>
            </w:r>
          </w:p>
          <w:p w14:paraId="373BE8A0" w14:textId="7285D5B0" w:rsidR="00735232" w:rsidRPr="00D1118A" w:rsidRDefault="6C388D5A" w:rsidP="00D1118A">
            <w:pPr>
              <w:widowControl w:val="0"/>
              <w:spacing w:before="120" w:after="120"/>
              <w:jc w:val="both"/>
              <w:rPr>
                <w:rFonts w:ascii="Times New Roman" w:eastAsia="Times New Roman" w:hAnsi="Times New Roman"/>
                <w:color w:val="000000"/>
                <w:sz w:val="24"/>
                <w:szCs w:val="24"/>
              </w:rPr>
            </w:pPr>
            <w:r w:rsidRPr="00D1118A">
              <w:rPr>
                <w:rFonts w:ascii="Times New Roman" w:eastAsia="Times New Roman" w:hAnsi="Times New Roman"/>
                <w:color w:val="000000"/>
                <w:sz w:val="24"/>
                <w:szCs w:val="24"/>
              </w:rPr>
              <w:t>Artificial Intelligence (</w:t>
            </w:r>
            <w:r w:rsidR="5CEA17B0" w:rsidRPr="00D1118A">
              <w:rPr>
                <w:rFonts w:ascii="Times New Roman" w:eastAsia="Times New Roman" w:hAnsi="Times New Roman"/>
                <w:color w:val="000000"/>
                <w:sz w:val="24"/>
                <w:szCs w:val="24"/>
              </w:rPr>
              <w:t>AI</w:t>
            </w:r>
            <w:r w:rsidR="285BD225" w:rsidRPr="00D1118A">
              <w:rPr>
                <w:rFonts w:ascii="Times New Roman" w:eastAsia="Times New Roman" w:hAnsi="Times New Roman"/>
                <w:color w:val="000000"/>
                <w:sz w:val="24"/>
                <w:szCs w:val="24"/>
              </w:rPr>
              <w:t>)</w:t>
            </w:r>
            <w:r w:rsidR="5CEA17B0" w:rsidRPr="00D1118A">
              <w:rPr>
                <w:rFonts w:ascii="Times New Roman" w:eastAsia="Times New Roman" w:hAnsi="Times New Roman"/>
                <w:color w:val="000000"/>
                <w:sz w:val="24"/>
                <w:szCs w:val="24"/>
              </w:rPr>
              <w:t xml:space="preserve"> can help</w:t>
            </w:r>
            <w:r w:rsidR="73C2B4B4" w:rsidRPr="00D1118A">
              <w:rPr>
                <w:rFonts w:ascii="Times New Roman" w:eastAsia="Times New Roman" w:hAnsi="Times New Roman"/>
                <w:color w:val="000000"/>
                <w:sz w:val="24"/>
                <w:szCs w:val="24"/>
              </w:rPr>
              <w:t xml:space="preserve"> </w:t>
            </w:r>
            <w:r w:rsidR="5CEA17B0" w:rsidRPr="00D1118A">
              <w:rPr>
                <w:rFonts w:ascii="Times New Roman" w:eastAsia="Times New Roman" w:hAnsi="Times New Roman"/>
                <w:color w:val="000000"/>
                <w:sz w:val="24"/>
                <w:szCs w:val="24"/>
              </w:rPr>
              <w:t>detect and reduce discrimination in human decision-making</w:t>
            </w:r>
            <w:r w:rsidR="4B1DA2FD" w:rsidRPr="00D1118A">
              <w:rPr>
                <w:rFonts w:ascii="Times New Roman" w:eastAsia="Times New Roman" w:hAnsi="Times New Roman"/>
                <w:color w:val="000000"/>
                <w:sz w:val="24"/>
                <w:szCs w:val="24"/>
              </w:rPr>
              <w:t xml:space="preserve">. </w:t>
            </w:r>
            <w:r w:rsidR="445EA1DD" w:rsidRPr="00D1118A">
              <w:rPr>
                <w:rFonts w:ascii="Times New Roman" w:eastAsia="Times New Roman" w:hAnsi="Times New Roman"/>
                <w:color w:val="000000"/>
                <w:sz w:val="24"/>
                <w:szCs w:val="24"/>
              </w:rPr>
              <w:t>At</w:t>
            </w:r>
            <w:r w:rsidR="72213A8E" w:rsidRPr="00D1118A">
              <w:rPr>
                <w:rFonts w:ascii="Times New Roman" w:eastAsia="Times New Roman" w:hAnsi="Times New Roman"/>
                <w:color w:val="000000"/>
                <w:sz w:val="24"/>
                <w:szCs w:val="24"/>
              </w:rPr>
              <w:t xml:space="preserve"> the same time</w:t>
            </w:r>
            <w:r w:rsidR="360830A3" w:rsidRPr="00D1118A">
              <w:rPr>
                <w:rFonts w:ascii="Times New Roman" w:eastAsia="Times New Roman" w:hAnsi="Times New Roman"/>
                <w:color w:val="000000"/>
                <w:sz w:val="24"/>
                <w:szCs w:val="24"/>
              </w:rPr>
              <w:t>,</w:t>
            </w:r>
            <w:r w:rsidR="72213A8E" w:rsidRPr="00D1118A">
              <w:rPr>
                <w:rFonts w:ascii="Times New Roman" w:eastAsia="Times New Roman" w:hAnsi="Times New Roman"/>
                <w:color w:val="000000"/>
                <w:sz w:val="24"/>
                <w:szCs w:val="24"/>
              </w:rPr>
              <w:t xml:space="preserve"> it</w:t>
            </w:r>
            <w:r w:rsidR="4B1DA2FD" w:rsidRPr="00D1118A">
              <w:rPr>
                <w:rFonts w:ascii="Times New Roman" w:eastAsia="Times New Roman" w:hAnsi="Times New Roman"/>
                <w:color w:val="000000"/>
                <w:sz w:val="24"/>
                <w:szCs w:val="24"/>
              </w:rPr>
              <w:t xml:space="preserve"> brings </w:t>
            </w:r>
            <w:r w:rsidR="55F0D8B2" w:rsidRPr="00D1118A">
              <w:rPr>
                <w:rFonts w:ascii="Times New Roman" w:eastAsia="Times New Roman" w:hAnsi="Times New Roman"/>
                <w:color w:val="000000"/>
                <w:sz w:val="24"/>
                <w:szCs w:val="24"/>
              </w:rPr>
              <w:t>along</w:t>
            </w:r>
            <w:r w:rsidR="4B1DA2FD" w:rsidRPr="00D1118A">
              <w:rPr>
                <w:rFonts w:ascii="Times New Roman" w:eastAsia="Times New Roman" w:hAnsi="Times New Roman"/>
                <w:color w:val="000000"/>
                <w:sz w:val="24"/>
                <w:szCs w:val="24"/>
              </w:rPr>
              <w:t xml:space="preserve"> new challenges </w:t>
            </w:r>
            <w:r w:rsidR="387EE4C5" w:rsidRPr="00D1118A">
              <w:rPr>
                <w:rFonts w:ascii="Times New Roman" w:eastAsia="Times New Roman" w:hAnsi="Times New Roman"/>
                <w:color w:val="000000"/>
                <w:sz w:val="24"/>
                <w:szCs w:val="24"/>
              </w:rPr>
              <w:t xml:space="preserve">in terms of </w:t>
            </w:r>
            <w:r w:rsidR="4B1DA2FD" w:rsidRPr="00D1118A">
              <w:rPr>
                <w:rFonts w:ascii="Times New Roman" w:eastAsia="Times New Roman" w:hAnsi="Times New Roman"/>
                <w:color w:val="000000"/>
                <w:sz w:val="24"/>
                <w:szCs w:val="24"/>
              </w:rPr>
              <w:t xml:space="preserve">equality </w:t>
            </w:r>
            <w:r w:rsidR="302A344E" w:rsidRPr="00D1118A">
              <w:rPr>
                <w:rFonts w:ascii="Times New Roman" w:eastAsia="Times New Roman" w:hAnsi="Times New Roman"/>
                <w:color w:val="000000"/>
                <w:sz w:val="24"/>
                <w:szCs w:val="24"/>
              </w:rPr>
              <w:t>and non-discrimination</w:t>
            </w:r>
            <w:r w:rsidR="3F6B282C" w:rsidRPr="00D1118A">
              <w:rPr>
                <w:rFonts w:ascii="Times New Roman" w:eastAsia="Times New Roman" w:hAnsi="Times New Roman"/>
                <w:color w:val="000000"/>
                <w:sz w:val="24"/>
                <w:szCs w:val="24"/>
              </w:rPr>
              <w:t>, if</w:t>
            </w:r>
            <w:r w:rsidR="5CEA17B0" w:rsidRPr="00D1118A">
              <w:rPr>
                <w:rFonts w:ascii="Times New Roman" w:eastAsia="Times New Roman" w:hAnsi="Times New Roman"/>
                <w:color w:val="000000"/>
                <w:sz w:val="24"/>
                <w:szCs w:val="24"/>
              </w:rPr>
              <w:t xml:space="preserve"> not properly designed and used, </w:t>
            </w:r>
            <w:r w:rsidR="436EC3D8" w:rsidRPr="00D1118A">
              <w:rPr>
                <w:rFonts w:ascii="Times New Roman" w:eastAsia="Times New Roman" w:hAnsi="Times New Roman"/>
                <w:color w:val="000000"/>
                <w:sz w:val="24"/>
                <w:szCs w:val="24"/>
              </w:rPr>
              <w:t>AI</w:t>
            </w:r>
            <w:r w:rsidR="5CEA17B0" w:rsidRPr="00D1118A">
              <w:rPr>
                <w:rFonts w:ascii="Times New Roman" w:eastAsia="Times New Roman" w:hAnsi="Times New Roman"/>
                <w:color w:val="000000"/>
                <w:sz w:val="24"/>
                <w:szCs w:val="24"/>
              </w:rPr>
              <w:t xml:space="preserve"> can </w:t>
            </w:r>
            <w:r w:rsidR="535D360F" w:rsidRPr="00D1118A">
              <w:rPr>
                <w:rFonts w:ascii="Times New Roman" w:eastAsia="Times New Roman" w:hAnsi="Times New Roman"/>
                <w:color w:val="000000"/>
                <w:sz w:val="24"/>
                <w:szCs w:val="24"/>
              </w:rPr>
              <w:t>reproduce</w:t>
            </w:r>
            <w:r w:rsidR="776AF94A" w:rsidRPr="00D1118A">
              <w:rPr>
                <w:rFonts w:ascii="Times New Roman" w:eastAsia="Times New Roman" w:hAnsi="Times New Roman"/>
                <w:color w:val="000000"/>
                <w:sz w:val="24"/>
                <w:szCs w:val="24"/>
              </w:rPr>
              <w:t xml:space="preserve"> or reinforce</w:t>
            </w:r>
            <w:r w:rsidR="5CEA17B0" w:rsidRPr="00D1118A">
              <w:rPr>
                <w:rFonts w:ascii="Times New Roman" w:eastAsia="Times New Roman" w:hAnsi="Times New Roman"/>
                <w:color w:val="000000"/>
                <w:sz w:val="24"/>
                <w:szCs w:val="24"/>
              </w:rPr>
              <w:t xml:space="preserve"> biases </w:t>
            </w:r>
            <w:r w:rsidR="776AF94A" w:rsidRPr="00D1118A">
              <w:rPr>
                <w:rFonts w:ascii="Times New Roman" w:eastAsia="Times New Roman" w:hAnsi="Times New Roman"/>
                <w:color w:val="000000"/>
                <w:sz w:val="24"/>
                <w:szCs w:val="24"/>
              </w:rPr>
              <w:t>and lead to</w:t>
            </w:r>
            <w:r w:rsidR="5CEA17B0" w:rsidRPr="00D1118A">
              <w:rPr>
                <w:rFonts w:ascii="Times New Roman" w:eastAsia="Times New Roman" w:hAnsi="Times New Roman"/>
                <w:color w:val="000000"/>
                <w:sz w:val="24"/>
                <w:szCs w:val="24"/>
              </w:rPr>
              <w:t xml:space="preserve"> discriminatory outcomes. To address these challenges, the AI Act</w:t>
            </w:r>
            <w:r w:rsidR="008313D6" w:rsidRPr="00D1118A">
              <w:rPr>
                <w:rStyle w:val="FootnoteReference"/>
                <w:rFonts w:ascii="Times New Roman" w:eastAsia="Times New Roman" w:hAnsi="Times New Roman"/>
                <w:color w:val="000000"/>
                <w:szCs w:val="24"/>
              </w:rPr>
              <w:footnoteReference w:id="26"/>
            </w:r>
            <w:r w:rsidR="5CEA17B0" w:rsidRPr="00D1118A">
              <w:rPr>
                <w:rFonts w:ascii="Times New Roman" w:eastAsia="Times New Roman" w:hAnsi="Times New Roman"/>
                <w:color w:val="000000"/>
                <w:sz w:val="24"/>
                <w:szCs w:val="24"/>
              </w:rPr>
              <w:t xml:space="preserve"> takes a risk-based approach, introducing new mandatory requirements for high-risk AI systems that can have a significant impact on people’s health, safety and fundamental rights. These systems </w:t>
            </w:r>
            <w:r w:rsidR="3C5C6E66" w:rsidRPr="00D1118A">
              <w:rPr>
                <w:rFonts w:ascii="Times New Roman" w:eastAsia="Times New Roman" w:hAnsi="Times New Roman"/>
                <w:color w:val="000000"/>
                <w:sz w:val="24"/>
                <w:szCs w:val="24"/>
              </w:rPr>
              <w:t>(</w:t>
            </w:r>
            <w:r w:rsidR="1A7278B9" w:rsidRPr="00D1118A">
              <w:rPr>
                <w:rFonts w:ascii="Times New Roman" w:eastAsia="Times New Roman" w:hAnsi="Times New Roman"/>
                <w:color w:val="000000"/>
                <w:sz w:val="24"/>
                <w:szCs w:val="24"/>
              </w:rPr>
              <w:t>f</w:t>
            </w:r>
            <w:r w:rsidR="3C5C6E66" w:rsidRPr="00D1118A">
              <w:rPr>
                <w:rFonts w:ascii="Times New Roman" w:eastAsia="Times New Roman" w:hAnsi="Times New Roman"/>
                <w:color w:val="000000"/>
                <w:sz w:val="24"/>
                <w:szCs w:val="24"/>
              </w:rPr>
              <w:t xml:space="preserve">or example </w:t>
            </w:r>
            <w:r w:rsidR="2627548F" w:rsidRPr="00D1118A">
              <w:rPr>
                <w:rFonts w:ascii="Times New Roman" w:eastAsia="Times New Roman" w:hAnsi="Times New Roman"/>
                <w:color w:val="000000"/>
                <w:sz w:val="24"/>
                <w:szCs w:val="24"/>
              </w:rPr>
              <w:t>AI</w:t>
            </w:r>
            <w:r w:rsidR="00F42338" w:rsidRPr="00D1118A">
              <w:rPr>
                <w:rFonts w:ascii="Times New Roman" w:eastAsia="Times New Roman" w:hAnsi="Times New Roman"/>
                <w:color w:val="000000"/>
                <w:sz w:val="24"/>
                <w:szCs w:val="24"/>
              </w:rPr>
              <w:t>-</w:t>
            </w:r>
            <w:r w:rsidR="2627548F" w:rsidRPr="00D1118A">
              <w:rPr>
                <w:rFonts w:ascii="Times New Roman" w:eastAsia="Times New Roman" w:hAnsi="Times New Roman"/>
                <w:color w:val="000000"/>
                <w:sz w:val="24"/>
                <w:szCs w:val="24"/>
              </w:rPr>
              <w:t xml:space="preserve">based </w:t>
            </w:r>
            <w:r w:rsidR="3C5C6E66" w:rsidRPr="00D1118A">
              <w:rPr>
                <w:rFonts w:ascii="Times New Roman" w:eastAsia="Times New Roman" w:hAnsi="Times New Roman"/>
                <w:color w:val="000000"/>
                <w:sz w:val="24"/>
                <w:szCs w:val="24"/>
              </w:rPr>
              <w:t xml:space="preserve">medical devices or </w:t>
            </w:r>
            <w:r w:rsidR="0A0B7071" w:rsidRPr="00D1118A">
              <w:rPr>
                <w:rFonts w:ascii="Times New Roman" w:eastAsia="Times New Roman" w:hAnsi="Times New Roman"/>
                <w:color w:val="000000"/>
                <w:sz w:val="24"/>
                <w:szCs w:val="24"/>
              </w:rPr>
              <w:t>recr</w:t>
            </w:r>
            <w:r w:rsidR="3A360DDF" w:rsidRPr="00D1118A">
              <w:rPr>
                <w:rFonts w:ascii="Times New Roman" w:eastAsia="Times New Roman" w:hAnsi="Times New Roman"/>
                <w:color w:val="000000"/>
                <w:sz w:val="24"/>
                <w:szCs w:val="24"/>
              </w:rPr>
              <w:t xml:space="preserve">uitment systems) </w:t>
            </w:r>
            <w:r w:rsidR="5CEA17B0" w:rsidRPr="00D1118A">
              <w:rPr>
                <w:rFonts w:ascii="Times New Roman" w:eastAsia="Times New Roman" w:hAnsi="Times New Roman"/>
                <w:color w:val="000000"/>
                <w:sz w:val="24"/>
                <w:szCs w:val="24"/>
              </w:rPr>
              <w:t xml:space="preserve">will </w:t>
            </w:r>
            <w:r w:rsidR="4A4E2823" w:rsidRPr="00D1118A">
              <w:rPr>
                <w:rFonts w:ascii="Times New Roman" w:eastAsia="Times New Roman" w:hAnsi="Times New Roman"/>
                <w:color w:val="000000"/>
                <w:sz w:val="24"/>
                <w:szCs w:val="24"/>
              </w:rPr>
              <w:t>have to</w:t>
            </w:r>
            <w:r w:rsidR="5CEA17B0" w:rsidRPr="00D1118A">
              <w:rPr>
                <w:rFonts w:ascii="Times New Roman" w:eastAsia="Times New Roman" w:hAnsi="Times New Roman"/>
                <w:color w:val="000000"/>
                <w:sz w:val="24"/>
                <w:szCs w:val="24"/>
              </w:rPr>
              <w:t xml:space="preserve"> comply with a set of requirements</w:t>
            </w:r>
            <w:r w:rsidR="7B51D2FB" w:rsidRPr="00D1118A">
              <w:rPr>
                <w:rFonts w:ascii="Times New Roman" w:eastAsia="Times New Roman" w:hAnsi="Times New Roman"/>
                <w:color w:val="000000"/>
                <w:sz w:val="24"/>
                <w:szCs w:val="24"/>
              </w:rPr>
              <w:t xml:space="preserve">, before being put </w:t>
            </w:r>
            <w:r w:rsidR="64B68F2B" w:rsidRPr="00D1118A">
              <w:rPr>
                <w:rFonts w:ascii="Times New Roman" w:eastAsia="Times New Roman" w:hAnsi="Times New Roman"/>
                <w:color w:val="000000"/>
                <w:sz w:val="24"/>
                <w:szCs w:val="24"/>
              </w:rPr>
              <w:t>on the EU market,</w:t>
            </w:r>
            <w:r w:rsidR="5CEA17B0" w:rsidRPr="00D1118A">
              <w:rPr>
                <w:rFonts w:ascii="Times New Roman" w:eastAsia="Times New Roman" w:hAnsi="Times New Roman"/>
                <w:color w:val="000000"/>
                <w:sz w:val="24"/>
                <w:szCs w:val="24"/>
              </w:rPr>
              <w:t xml:space="preserve"> to avoid and</w:t>
            </w:r>
            <w:r w:rsidR="4F299C83" w:rsidRPr="00D1118A">
              <w:rPr>
                <w:rFonts w:ascii="Times New Roman" w:eastAsia="Times New Roman" w:hAnsi="Times New Roman"/>
                <w:color w:val="000000"/>
                <w:sz w:val="24"/>
                <w:szCs w:val="24"/>
              </w:rPr>
              <w:t>/or</w:t>
            </w:r>
            <w:r w:rsidR="5CEA17B0" w:rsidRPr="00D1118A">
              <w:rPr>
                <w:rFonts w:ascii="Times New Roman" w:eastAsia="Times New Roman" w:hAnsi="Times New Roman"/>
                <w:color w:val="000000"/>
                <w:sz w:val="24"/>
                <w:szCs w:val="24"/>
              </w:rPr>
              <w:t xml:space="preserve"> minimise the risk of discrimination.</w:t>
            </w:r>
          </w:p>
          <w:p w14:paraId="3E1F9B77" w14:textId="2E707116" w:rsidR="00F5542F" w:rsidRPr="00D1118A" w:rsidRDefault="5E48188D" w:rsidP="00D1118A">
            <w:pPr>
              <w:widowControl w:val="0"/>
              <w:spacing w:before="120" w:after="120"/>
              <w:jc w:val="both"/>
              <w:rPr>
                <w:rFonts w:ascii="Times New Roman" w:hAnsi="Times New Roman"/>
                <w:sz w:val="24"/>
                <w:szCs w:val="24"/>
                <w:lang w:val="en-IE"/>
              </w:rPr>
            </w:pPr>
            <w:r w:rsidRPr="009A49E1">
              <w:rPr>
                <w:rFonts w:ascii="Times New Roman" w:hAnsi="Times New Roman"/>
                <w:sz w:val="24"/>
                <w:szCs w:val="24"/>
                <w:u w:val="single"/>
                <w:lang w:val="en-IE"/>
              </w:rPr>
              <w:t>Paragraph 4.12</w:t>
            </w:r>
            <w:r w:rsidRPr="00D1118A">
              <w:rPr>
                <w:rFonts w:ascii="Times New Roman" w:hAnsi="Times New Roman"/>
                <w:sz w:val="24"/>
                <w:szCs w:val="24"/>
                <w:lang w:val="en-IE"/>
              </w:rPr>
              <w:t>:</w:t>
            </w:r>
          </w:p>
          <w:p w14:paraId="749F15A2" w14:textId="0D6E322A" w:rsidR="00F5542F" w:rsidRPr="00D1118A" w:rsidRDefault="1CB7CBA3" w:rsidP="00D1118A">
            <w:pPr>
              <w:widowControl w:val="0"/>
              <w:spacing w:before="120" w:after="120"/>
              <w:jc w:val="both"/>
              <w:rPr>
                <w:rFonts w:ascii="Times New Roman" w:hAnsi="Times New Roman"/>
                <w:sz w:val="24"/>
                <w:szCs w:val="24"/>
              </w:rPr>
            </w:pPr>
            <w:r w:rsidRPr="00D1118A">
              <w:rPr>
                <w:rFonts w:ascii="Times New Roman" w:hAnsi="Times New Roman"/>
                <w:sz w:val="24"/>
                <w:szCs w:val="24"/>
                <w:lang w:val="en-IE"/>
              </w:rPr>
              <w:t xml:space="preserve">The </w:t>
            </w:r>
            <w:r w:rsidR="360ED153" w:rsidRPr="00D1118A">
              <w:rPr>
                <w:rFonts w:ascii="Times New Roman" w:hAnsi="Times New Roman"/>
                <w:sz w:val="24"/>
                <w:szCs w:val="24"/>
                <w:lang w:val="en-IE"/>
              </w:rPr>
              <w:t xml:space="preserve">EU is committed to </w:t>
            </w:r>
            <w:r w:rsidR="2FB3486A" w:rsidRPr="00D1118A">
              <w:rPr>
                <w:rFonts w:ascii="Times New Roman" w:hAnsi="Times New Roman"/>
                <w:sz w:val="24"/>
                <w:szCs w:val="24"/>
                <w:lang w:val="en-IE"/>
              </w:rPr>
              <w:t xml:space="preserve">promoting the rights of persons with disabilities in its external action, </w:t>
            </w:r>
            <w:r w:rsidR="00330B26" w:rsidRPr="00D1118A">
              <w:rPr>
                <w:rFonts w:ascii="Times New Roman" w:hAnsi="Times New Roman"/>
                <w:sz w:val="24"/>
                <w:szCs w:val="24"/>
                <w:lang w:val="en-IE"/>
              </w:rPr>
              <w:t>in line with</w:t>
            </w:r>
            <w:r w:rsidR="2FB3486A" w:rsidRPr="00D1118A">
              <w:rPr>
                <w:rFonts w:ascii="Times New Roman" w:hAnsi="Times New Roman"/>
                <w:sz w:val="24"/>
                <w:szCs w:val="24"/>
                <w:lang w:val="en-IE"/>
              </w:rPr>
              <w:t xml:space="preserve"> the</w:t>
            </w:r>
            <w:r w:rsidR="1A84FB21" w:rsidRPr="00D1118A">
              <w:rPr>
                <w:rFonts w:ascii="Times New Roman" w:hAnsi="Times New Roman"/>
                <w:sz w:val="24"/>
                <w:szCs w:val="24"/>
                <w:lang w:val="en-IE"/>
              </w:rPr>
              <w:t xml:space="preserve"> </w:t>
            </w:r>
            <w:r w:rsidR="5BBFBB55" w:rsidRPr="00D1118A">
              <w:rPr>
                <w:rFonts w:ascii="Times New Roman" w:hAnsi="Times New Roman"/>
                <w:sz w:val="24"/>
                <w:szCs w:val="24"/>
                <w:lang w:val="en-IE"/>
              </w:rPr>
              <w:t xml:space="preserve">Strategy for the Rights of Persons with Disabilities 2021-2030, the </w:t>
            </w:r>
            <w:r w:rsidR="580B29FF" w:rsidRPr="00D1118A">
              <w:rPr>
                <w:rFonts w:ascii="Times New Roman" w:hAnsi="Times New Roman"/>
                <w:sz w:val="24"/>
                <w:szCs w:val="24"/>
                <w:lang w:val="en-IE"/>
              </w:rPr>
              <w:t>UN</w:t>
            </w:r>
            <w:r w:rsidR="6ECC0202" w:rsidRPr="00D1118A">
              <w:rPr>
                <w:rFonts w:ascii="Times New Roman" w:hAnsi="Times New Roman"/>
                <w:sz w:val="24"/>
                <w:szCs w:val="24"/>
                <w:lang w:val="en-IE"/>
              </w:rPr>
              <w:t>CRPD</w:t>
            </w:r>
            <w:r w:rsidR="44A59AE7" w:rsidRPr="00D1118A">
              <w:rPr>
                <w:rFonts w:ascii="Times New Roman" w:hAnsi="Times New Roman"/>
                <w:sz w:val="24"/>
                <w:szCs w:val="24"/>
              </w:rPr>
              <w:t xml:space="preserve">, as well as other frameworks, including </w:t>
            </w:r>
            <w:r w:rsidR="69D44822" w:rsidRPr="00D1118A">
              <w:rPr>
                <w:rFonts w:ascii="Times New Roman" w:hAnsi="Times New Roman"/>
                <w:sz w:val="24"/>
                <w:szCs w:val="24"/>
              </w:rPr>
              <w:t xml:space="preserve">the </w:t>
            </w:r>
            <w:r w:rsidR="5D7576E9" w:rsidRPr="00D1118A">
              <w:rPr>
                <w:rFonts w:ascii="Times New Roman" w:hAnsi="Times New Roman"/>
                <w:sz w:val="24"/>
                <w:szCs w:val="24"/>
              </w:rPr>
              <w:t xml:space="preserve">EU </w:t>
            </w:r>
            <w:r w:rsidR="0C7CC4D1" w:rsidRPr="00D1118A">
              <w:rPr>
                <w:rFonts w:ascii="Times New Roman" w:hAnsi="Times New Roman"/>
                <w:sz w:val="24"/>
                <w:szCs w:val="24"/>
              </w:rPr>
              <w:t>A</w:t>
            </w:r>
            <w:r w:rsidR="5D7576E9" w:rsidRPr="00D1118A">
              <w:rPr>
                <w:rFonts w:ascii="Times New Roman" w:hAnsi="Times New Roman"/>
                <w:sz w:val="24"/>
                <w:szCs w:val="24"/>
              </w:rPr>
              <w:t xml:space="preserve">ction </w:t>
            </w:r>
            <w:r w:rsidR="0C7CC4D1" w:rsidRPr="00D1118A">
              <w:rPr>
                <w:rFonts w:ascii="Times New Roman" w:hAnsi="Times New Roman"/>
                <w:sz w:val="24"/>
                <w:szCs w:val="24"/>
              </w:rPr>
              <w:t>P</w:t>
            </w:r>
            <w:r w:rsidR="5D7576E9" w:rsidRPr="00D1118A">
              <w:rPr>
                <w:rFonts w:ascii="Times New Roman" w:hAnsi="Times New Roman"/>
                <w:sz w:val="24"/>
                <w:szCs w:val="24"/>
              </w:rPr>
              <w:t xml:space="preserve">lan on </w:t>
            </w:r>
            <w:r w:rsidR="0C7CC4D1" w:rsidRPr="00D1118A">
              <w:rPr>
                <w:rFonts w:ascii="Times New Roman" w:hAnsi="Times New Roman"/>
                <w:sz w:val="24"/>
                <w:szCs w:val="24"/>
              </w:rPr>
              <w:t>H</w:t>
            </w:r>
            <w:r w:rsidR="5D7576E9" w:rsidRPr="00D1118A">
              <w:rPr>
                <w:rFonts w:ascii="Times New Roman" w:hAnsi="Times New Roman"/>
                <w:sz w:val="24"/>
                <w:szCs w:val="24"/>
              </w:rPr>
              <w:t xml:space="preserve">uman </w:t>
            </w:r>
            <w:r w:rsidR="0C7CC4D1" w:rsidRPr="00D1118A">
              <w:rPr>
                <w:rFonts w:ascii="Times New Roman" w:hAnsi="Times New Roman"/>
                <w:sz w:val="24"/>
                <w:szCs w:val="24"/>
              </w:rPr>
              <w:t>R</w:t>
            </w:r>
            <w:r w:rsidR="5D7576E9" w:rsidRPr="00D1118A">
              <w:rPr>
                <w:rFonts w:ascii="Times New Roman" w:hAnsi="Times New Roman"/>
                <w:sz w:val="24"/>
                <w:szCs w:val="24"/>
              </w:rPr>
              <w:t xml:space="preserve">ights and </w:t>
            </w:r>
            <w:r w:rsidR="0C7CC4D1" w:rsidRPr="00D1118A">
              <w:rPr>
                <w:rFonts w:ascii="Times New Roman" w:hAnsi="Times New Roman"/>
                <w:sz w:val="24"/>
                <w:szCs w:val="24"/>
              </w:rPr>
              <w:t>D</w:t>
            </w:r>
            <w:r w:rsidR="5D7576E9" w:rsidRPr="00D1118A">
              <w:rPr>
                <w:rFonts w:ascii="Times New Roman" w:hAnsi="Times New Roman"/>
                <w:sz w:val="24"/>
                <w:szCs w:val="24"/>
              </w:rPr>
              <w:t>emocracy 2020-2024</w:t>
            </w:r>
            <w:r w:rsidR="007F5A8F" w:rsidRPr="00D1118A">
              <w:rPr>
                <w:rStyle w:val="FootnoteReference"/>
                <w:rFonts w:ascii="Times New Roman" w:hAnsi="Times New Roman"/>
                <w:szCs w:val="24"/>
              </w:rPr>
              <w:footnoteReference w:id="27"/>
            </w:r>
            <w:r w:rsidR="0C7CC4D1" w:rsidRPr="00D1118A">
              <w:rPr>
                <w:rFonts w:ascii="Times New Roman" w:hAnsi="Times New Roman"/>
                <w:sz w:val="24"/>
                <w:szCs w:val="24"/>
              </w:rPr>
              <w:t xml:space="preserve"> and</w:t>
            </w:r>
            <w:r w:rsidR="5D7576E9" w:rsidRPr="00D1118A">
              <w:rPr>
                <w:rFonts w:ascii="Times New Roman" w:hAnsi="Times New Roman"/>
                <w:sz w:val="24"/>
                <w:szCs w:val="24"/>
              </w:rPr>
              <w:t xml:space="preserve"> </w:t>
            </w:r>
            <w:r w:rsidR="4579FB8D" w:rsidRPr="00D1118A">
              <w:rPr>
                <w:rFonts w:ascii="Times New Roman" w:hAnsi="Times New Roman"/>
                <w:sz w:val="24"/>
                <w:szCs w:val="24"/>
              </w:rPr>
              <w:t xml:space="preserve">the EU </w:t>
            </w:r>
            <w:r w:rsidR="0C7CC4D1" w:rsidRPr="00D1118A">
              <w:rPr>
                <w:rFonts w:ascii="Times New Roman" w:hAnsi="Times New Roman"/>
                <w:sz w:val="24"/>
                <w:szCs w:val="24"/>
              </w:rPr>
              <w:t>G</w:t>
            </w:r>
            <w:r w:rsidR="4579FB8D" w:rsidRPr="00D1118A">
              <w:rPr>
                <w:rFonts w:ascii="Times New Roman" w:hAnsi="Times New Roman"/>
                <w:sz w:val="24"/>
                <w:szCs w:val="24"/>
              </w:rPr>
              <w:t xml:space="preserve">ender </w:t>
            </w:r>
            <w:r w:rsidR="0C7CC4D1" w:rsidRPr="00D1118A">
              <w:rPr>
                <w:rFonts w:ascii="Times New Roman" w:hAnsi="Times New Roman"/>
                <w:sz w:val="24"/>
                <w:szCs w:val="24"/>
              </w:rPr>
              <w:t>A</w:t>
            </w:r>
            <w:r w:rsidR="4579FB8D" w:rsidRPr="00D1118A">
              <w:rPr>
                <w:rFonts w:ascii="Times New Roman" w:hAnsi="Times New Roman"/>
                <w:sz w:val="24"/>
                <w:szCs w:val="24"/>
              </w:rPr>
              <w:t xml:space="preserve">ction </w:t>
            </w:r>
            <w:r w:rsidR="0C7CC4D1" w:rsidRPr="00D1118A">
              <w:rPr>
                <w:rFonts w:ascii="Times New Roman" w:hAnsi="Times New Roman"/>
                <w:sz w:val="24"/>
                <w:szCs w:val="24"/>
              </w:rPr>
              <w:t>P</w:t>
            </w:r>
            <w:r w:rsidR="4579FB8D" w:rsidRPr="00D1118A">
              <w:rPr>
                <w:rFonts w:ascii="Times New Roman" w:hAnsi="Times New Roman"/>
                <w:sz w:val="24"/>
                <w:szCs w:val="24"/>
              </w:rPr>
              <w:t>lan</w:t>
            </w:r>
            <w:r w:rsidR="00CF31B8">
              <w:rPr>
                <w:rFonts w:ascii="Times New Roman" w:hAnsi="Times New Roman"/>
                <w:sz w:val="24"/>
                <w:szCs w:val="24"/>
              </w:rPr>
              <w:t> </w:t>
            </w:r>
            <w:r w:rsidR="4579FB8D" w:rsidRPr="00D1118A">
              <w:rPr>
                <w:rFonts w:ascii="Times New Roman" w:hAnsi="Times New Roman"/>
                <w:sz w:val="24"/>
                <w:szCs w:val="24"/>
              </w:rPr>
              <w:t>III</w:t>
            </w:r>
            <w:r w:rsidR="00996D21" w:rsidRPr="00D1118A">
              <w:rPr>
                <w:rStyle w:val="FootnoteReference"/>
                <w:rFonts w:ascii="Times New Roman" w:hAnsi="Times New Roman"/>
                <w:szCs w:val="24"/>
              </w:rPr>
              <w:footnoteReference w:id="28"/>
            </w:r>
            <w:r w:rsidR="0C7CC4D1" w:rsidRPr="00D1118A">
              <w:rPr>
                <w:rFonts w:ascii="Times New Roman" w:hAnsi="Times New Roman"/>
                <w:sz w:val="24"/>
                <w:szCs w:val="24"/>
              </w:rPr>
              <w:t>.</w:t>
            </w:r>
          </w:p>
          <w:p w14:paraId="10692FB4" w14:textId="2D862886" w:rsidR="7822D3FF" w:rsidRPr="00D1118A" w:rsidRDefault="7822D3FF" w:rsidP="00D1118A">
            <w:pPr>
              <w:widowControl w:val="0"/>
              <w:spacing w:before="120" w:after="120"/>
              <w:jc w:val="both"/>
              <w:rPr>
                <w:rFonts w:ascii="Times New Roman" w:hAnsi="Times New Roman"/>
                <w:sz w:val="24"/>
                <w:szCs w:val="24"/>
              </w:rPr>
            </w:pPr>
            <w:r w:rsidRPr="00D1118A">
              <w:rPr>
                <w:rFonts w:ascii="Times New Roman" w:hAnsi="Times New Roman"/>
                <w:sz w:val="24"/>
                <w:szCs w:val="24"/>
              </w:rPr>
              <w:t>The EU will</w:t>
            </w:r>
            <w:r w:rsidR="72354820" w:rsidRPr="00D1118A">
              <w:rPr>
                <w:rFonts w:ascii="Times New Roman" w:hAnsi="Times New Roman"/>
                <w:sz w:val="24"/>
                <w:szCs w:val="24"/>
              </w:rPr>
              <w:t xml:space="preserve"> </w:t>
            </w:r>
            <w:r w:rsidRPr="00D1118A">
              <w:rPr>
                <w:rFonts w:ascii="Times New Roman" w:hAnsi="Times New Roman"/>
                <w:sz w:val="24"/>
                <w:szCs w:val="24"/>
              </w:rPr>
              <w:t xml:space="preserve">continue to uphold the human rights of persons with disabilities and support their social inclusion </w:t>
            </w:r>
            <w:r w:rsidRPr="00D1118A">
              <w:rPr>
                <w:rFonts w:ascii="Times New Roman" w:hAnsi="Times New Roman"/>
                <w:sz w:val="24"/>
                <w:szCs w:val="24"/>
              </w:rPr>
              <w:lastRenderedPageBreak/>
              <w:t xml:space="preserve">in the framework of the engagement with partners under the EU’s enlargement policy. Through policy and political dialogues, </w:t>
            </w:r>
            <w:r w:rsidR="15826677" w:rsidRPr="00D1118A">
              <w:rPr>
                <w:rFonts w:ascii="Times New Roman" w:hAnsi="Times New Roman"/>
                <w:sz w:val="24"/>
                <w:szCs w:val="24"/>
              </w:rPr>
              <w:t xml:space="preserve">as well as financial support, </w:t>
            </w:r>
            <w:r w:rsidRPr="00D1118A">
              <w:rPr>
                <w:rFonts w:ascii="Times New Roman" w:hAnsi="Times New Roman"/>
                <w:sz w:val="24"/>
                <w:szCs w:val="24"/>
              </w:rPr>
              <w:t xml:space="preserve">the Commission will support reforms of public policies to make these more inclusive </w:t>
            </w:r>
            <w:r w:rsidR="00330B26" w:rsidRPr="00D1118A">
              <w:rPr>
                <w:rFonts w:ascii="Times New Roman" w:hAnsi="Times New Roman"/>
                <w:sz w:val="24"/>
                <w:szCs w:val="24"/>
              </w:rPr>
              <w:t>for</w:t>
            </w:r>
            <w:r w:rsidRPr="00D1118A">
              <w:rPr>
                <w:rFonts w:ascii="Times New Roman" w:hAnsi="Times New Roman"/>
                <w:sz w:val="24"/>
                <w:szCs w:val="24"/>
              </w:rPr>
              <w:t xml:space="preserve"> persons with disabilities</w:t>
            </w:r>
            <w:r w:rsidR="001D2C03" w:rsidRPr="00D1118A">
              <w:rPr>
                <w:rFonts w:ascii="Times New Roman" w:hAnsi="Times New Roman"/>
                <w:sz w:val="24"/>
                <w:szCs w:val="24"/>
              </w:rPr>
              <w:t xml:space="preserve">, in view of EU candidate countries and potential candidates’ gradual alignment with </w:t>
            </w:r>
            <w:r w:rsidR="00F42338" w:rsidRPr="00D1118A">
              <w:rPr>
                <w:rFonts w:ascii="Times New Roman" w:hAnsi="Times New Roman"/>
                <w:sz w:val="24"/>
                <w:szCs w:val="24"/>
              </w:rPr>
              <w:t xml:space="preserve">the </w:t>
            </w:r>
            <w:r w:rsidR="001D2C03" w:rsidRPr="00D1118A">
              <w:rPr>
                <w:rFonts w:ascii="Times New Roman" w:hAnsi="Times New Roman"/>
                <w:sz w:val="24"/>
                <w:szCs w:val="24"/>
              </w:rPr>
              <w:t xml:space="preserve">EU </w:t>
            </w:r>
            <w:r w:rsidR="00F42338" w:rsidRPr="00D1118A">
              <w:rPr>
                <w:rFonts w:ascii="Times New Roman" w:hAnsi="Times New Roman"/>
                <w:i/>
                <w:iCs/>
                <w:sz w:val="24"/>
                <w:szCs w:val="24"/>
              </w:rPr>
              <w:t>a</w:t>
            </w:r>
            <w:r w:rsidR="001D2C03" w:rsidRPr="00D1118A">
              <w:rPr>
                <w:rFonts w:ascii="Times New Roman" w:hAnsi="Times New Roman"/>
                <w:i/>
                <w:iCs/>
                <w:sz w:val="24"/>
                <w:szCs w:val="24"/>
              </w:rPr>
              <w:t>cquis</w:t>
            </w:r>
            <w:r w:rsidRPr="00D1118A">
              <w:rPr>
                <w:rFonts w:ascii="Times New Roman" w:hAnsi="Times New Roman"/>
                <w:sz w:val="24"/>
                <w:szCs w:val="24"/>
              </w:rPr>
              <w:t>.</w:t>
            </w:r>
          </w:p>
          <w:p w14:paraId="3DED9ECD" w14:textId="3952E25D" w:rsidR="00F5542F" w:rsidRPr="00D1118A" w:rsidRDefault="00286912" w:rsidP="00D1118A">
            <w:pPr>
              <w:widowControl w:val="0"/>
              <w:spacing w:before="120" w:after="120"/>
              <w:jc w:val="both"/>
              <w:rPr>
                <w:rFonts w:ascii="Times New Roman" w:hAnsi="Times New Roman"/>
                <w:sz w:val="24"/>
                <w:szCs w:val="24"/>
              </w:rPr>
            </w:pPr>
            <w:r w:rsidRPr="00D1118A">
              <w:rPr>
                <w:rFonts w:ascii="Times New Roman" w:hAnsi="Times New Roman"/>
                <w:sz w:val="24"/>
                <w:szCs w:val="24"/>
              </w:rPr>
              <w:t>A</w:t>
            </w:r>
            <w:r w:rsidR="3BB915B7" w:rsidRPr="00D1118A">
              <w:rPr>
                <w:rFonts w:ascii="Times New Roman" w:hAnsi="Times New Roman"/>
                <w:sz w:val="24"/>
                <w:szCs w:val="24"/>
              </w:rPr>
              <w:t xml:space="preserve">s </w:t>
            </w:r>
            <w:r w:rsidR="3AE94CCE" w:rsidRPr="00D1118A">
              <w:rPr>
                <w:rFonts w:ascii="Times New Roman" w:hAnsi="Times New Roman"/>
                <w:sz w:val="24"/>
                <w:szCs w:val="24"/>
              </w:rPr>
              <w:t>reiterated</w:t>
            </w:r>
            <w:r w:rsidR="3BB915B7" w:rsidRPr="00D1118A">
              <w:rPr>
                <w:rFonts w:ascii="Times New Roman" w:hAnsi="Times New Roman"/>
                <w:sz w:val="24"/>
                <w:szCs w:val="24"/>
              </w:rPr>
              <w:t xml:space="preserve"> in its commitments in the</w:t>
            </w:r>
            <w:r w:rsidR="3F2204AF" w:rsidRPr="00D1118A">
              <w:rPr>
                <w:rFonts w:ascii="Times New Roman" w:hAnsi="Times New Roman"/>
                <w:sz w:val="24"/>
                <w:szCs w:val="24"/>
              </w:rPr>
              <w:t xml:space="preserve"> </w:t>
            </w:r>
            <w:r w:rsidR="3BB915B7" w:rsidRPr="00D1118A">
              <w:rPr>
                <w:rFonts w:ascii="Times New Roman" w:hAnsi="Times New Roman"/>
                <w:sz w:val="24"/>
                <w:szCs w:val="24"/>
              </w:rPr>
              <w:t>2025 Global D</w:t>
            </w:r>
            <w:r w:rsidR="6A506BCC" w:rsidRPr="00D1118A">
              <w:rPr>
                <w:rFonts w:ascii="Times New Roman" w:hAnsi="Times New Roman"/>
                <w:sz w:val="24"/>
                <w:szCs w:val="24"/>
              </w:rPr>
              <w:t>i</w:t>
            </w:r>
            <w:r w:rsidR="3BB915B7" w:rsidRPr="00D1118A">
              <w:rPr>
                <w:rFonts w:ascii="Times New Roman" w:hAnsi="Times New Roman"/>
                <w:sz w:val="24"/>
                <w:szCs w:val="24"/>
              </w:rPr>
              <w:t>sability Summit</w:t>
            </w:r>
            <w:r w:rsidR="00996D21" w:rsidRPr="00D1118A">
              <w:rPr>
                <w:rStyle w:val="FootnoteReference"/>
                <w:rFonts w:ascii="Times New Roman" w:hAnsi="Times New Roman"/>
                <w:szCs w:val="24"/>
              </w:rPr>
              <w:footnoteReference w:id="29"/>
            </w:r>
            <w:r w:rsidR="3BB915B7" w:rsidRPr="00D1118A">
              <w:rPr>
                <w:rFonts w:ascii="Times New Roman" w:hAnsi="Times New Roman"/>
                <w:sz w:val="24"/>
                <w:szCs w:val="24"/>
              </w:rPr>
              <w:t>,</w:t>
            </w:r>
            <w:r w:rsidR="6C096F10" w:rsidRPr="00D1118A">
              <w:rPr>
                <w:rFonts w:ascii="Times New Roman" w:hAnsi="Times New Roman"/>
                <w:sz w:val="24"/>
                <w:szCs w:val="24"/>
              </w:rPr>
              <w:t xml:space="preserve"> t</w:t>
            </w:r>
            <w:r w:rsidR="1821A184" w:rsidRPr="00D1118A">
              <w:rPr>
                <w:rFonts w:ascii="Times New Roman" w:hAnsi="Times New Roman"/>
                <w:sz w:val="24"/>
                <w:szCs w:val="24"/>
              </w:rPr>
              <w:t xml:space="preserve">he </w:t>
            </w:r>
            <w:r w:rsidR="1E98E7D1" w:rsidRPr="00D1118A">
              <w:rPr>
                <w:rFonts w:ascii="Times New Roman" w:hAnsi="Times New Roman"/>
                <w:sz w:val="24"/>
                <w:szCs w:val="24"/>
              </w:rPr>
              <w:t xml:space="preserve">EU will continue to apply a </w:t>
            </w:r>
            <w:r w:rsidR="00F42338" w:rsidRPr="00D1118A">
              <w:rPr>
                <w:rFonts w:ascii="Times New Roman" w:hAnsi="Times New Roman"/>
                <w:sz w:val="24"/>
                <w:szCs w:val="24"/>
              </w:rPr>
              <w:t>h</w:t>
            </w:r>
            <w:r w:rsidR="1E98E7D1" w:rsidRPr="00D1118A">
              <w:rPr>
                <w:rFonts w:ascii="Times New Roman" w:hAnsi="Times New Roman"/>
                <w:sz w:val="24"/>
                <w:szCs w:val="24"/>
              </w:rPr>
              <w:t>uman</w:t>
            </w:r>
            <w:r w:rsidR="00F42338" w:rsidRPr="00D1118A">
              <w:rPr>
                <w:rFonts w:ascii="Times New Roman" w:hAnsi="Times New Roman"/>
                <w:sz w:val="24"/>
                <w:szCs w:val="24"/>
              </w:rPr>
              <w:t xml:space="preserve"> r</w:t>
            </w:r>
            <w:r w:rsidR="1E98E7D1" w:rsidRPr="00D1118A">
              <w:rPr>
                <w:rFonts w:ascii="Times New Roman" w:hAnsi="Times New Roman"/>
                <w:sz w:val="24"/>
                <w:szCs w:val="24"/>
              </w:rPr>
              <w:t>ights</w:t>
            </w:r>
            <w:r w:rsidR="00F42338" w:rsidRPr="00D1118A">
              <w:rPr>
                <w:rFonts w:ascii="Times New Roman" w:hAnsi="Times New Roman"/>
                <w:sz w:val="24"/>
                <w:szCs w:val="24"/>
              </w:rPr>
              <w:t>-b</w:t>
            </w:r>
            <w:r w:rsidR="1E98E7D1" w:rsidRPr="00D1118A">
              <w:rPr>
                <w:rFonts w:ascii="Times New Roman" w:hAnsi="Times New Roman"/>
                <w:sz w:val="24"/>
                <w:szCs w:val="24"/>
              </w:rPr>
              <w:t xml:space="preserve">ased approach to programming in external action and to </w:t>
            </w:r>
            <w:r w:rsidR="6C096F10" w:rsidRPr="00D1118A">
              <w:rPr>
                <w:rFonts w:ascii="Times New Roman" w:hAnsi="Times New Roman"/>
                <w:sz w:val="24"/>
                <w:szCs w:val="24"/>
              </w:rPr>
              <w:t>consistent</w:t>
            </w:r>
            <w:r w:rsidR="3D7ADD06" w:rsidRPr="00D1118A">
              <w:rPr>
                <w:rFonts w:ascii="Times New Roman" w:hAnsi="Times New Roman"/>
                <w:sz w:val="24"/>
                <w:szCs w:val="24"/>
              </w:rPr>
              <w:t>ly</w:t>
            </w:r>
            <w:r w:rsidR="6C096F10" w:rsidRPr="00D1118A">
              <w:rPr>
                <w:rFonts w:ascii="Times New Roman" w:hAnsi="Times New Roman"/>
                <w:sz w:val="24"/>
                <w:szCs w:val="24"/>
              </w:rPr>
              <w:t xml:space="preserve"> </w:t>
            </w:r>
            <w:r w:rsidR="00330B26" w:rsidRPr="00D1118A">
              <w:rPr>
                <w:rFonts w:ascii="Times New Roman" w:hAnsi="Times New Roman"/>
                <w:sz w:val="24"/>
                <w:szCs w:val="24"/>
              </w:rPr>
              <w:t>use the</w:t>
            </w:r>
            <w:r w:rsidR="1821A184" w:rsidRPr="00D1118A">
              <w:rPr>
                <w:rFonts w:ascii="Times New Roman" w:hAnsi="Times New Roman"/>
                <w:sz w:val="24"/>
                <w:szCs w:val="24"/>
              </w:rPr>
              <w:t xml:space="preserve"> </w:t>
            </w:r>
            <w:r w:rsidR="0864627F" w:rsidRPr="00D1118A">
              <w:rPr>
                <w:rFonts w:ascii="Times New Roman" w:hAnsi="Times New Roman"/>
                <w:sz w:val="24"/>
                <w:szCs w:val="24"/>
              </w:rPr>
              <w:t xml:space="preserve">OECD DAC </w:t>
            </w:r>
            <w:r w:rsidR="1821A184" w:rsidRPr="00D1118A">
              <w:rPr>
                <w:rFonts w:ascii="Times New Roman" w:hAnsi="Times New Roman"/>
                <w:sz w:val="24"/>
                <w:szCs w:val="24"/>
              </w:rPr>
              <w:t xml:space="preserve">Disability </w:t>
            </w:r>
            <w:r w:rsidR="2A71BBE5" w:rsidRPr="00D1118A">
              <w:rPr>
                <w:rFonts w:ascii="Times New Roman" w:hAnsi="Times New Roman"/>
                <w:sz w:val="24"/>
                <w:szCs w:val="24"/>
              </w:rPr>
              <w:t xml:space="preserve">Inclusion </w:t>
            </w:r>
            <w:r w:rsidR="0864627F" w:rsidRPr="00D1118A">
              <w:rPr>
                <w:rFonts w:ascii="Times New Roman" w:hAnsi="Times New Roman"/>
                <w:sz w:val="24"/>
                <w:szCs w:val="24"/>
              </w:rPr>
              <w:t xml:space="preserve">Policy </w:t>
            </w:r>
            <w:r w:rsidR="1821A184" w:rsidRPr="00D1118A">
              <w:rPr>
                <w:rFonts w:ascii="Times New Roman" w:hAnsi="Times New Roman"/>
                <w:sz w:val="24"/>
                <w:szCs w:val="24"/>
              </w:rPr>
              <w:t>Marker</w:t>
            </w:r>
            <w:r w:rsidR="5DE892C1" w:rsidRPr="00D1118A">
              <w:rPr>
                <w:rFonts w:ascii="Times New Roman" w:hAnsi="Times New Roman"/>
                <w:sz w:val="24"/>
                <w:szCs w:val="24"/>
              </w:rPr>
              <w:t xml:space="preserve"> (D-Marker)</w:t>
            </w:r>
            <w:r w:rsidR="00996D21" w:rsidRPr="00D1118A">
              <w:rPr>
                <w:rStyle w:val="FootnoteReference"/>
                <w:rFonts w:ascii="Times New Roman" w:hAnsi="Times New Roman"/>
                <w:szCs w:val="24"/>
              </w:rPr>
              <w:footnoteReference w:id="30"/>
            </w:r>
            <w:r w:rsidR="1821A184" w:rsidRPr="00D1118A">
              <w:rPr>
                <w:rFonts w:ascii="Times New Roman" w:hAnsi="Times New Roman"/>
                <w:sz w:val="24"/>
                <w:szCs w:val="24"/>
              </w:rPr>
              <w:t xml:space="preserve"> </w:t>
            </w:r>
            <w:r w:rsidR="6BB61A65" w:rsidRPr="00D1118A">
              <w:rPr>
                <w:rFonts w:ascii="Times New Roman" w:hAnsi="Times New Roman"/>
                <w:sz w:val="24"/>
                <w:szCs w:val="24"/>
              </w:rPr>
              <w:t>throughout external action programmes</w:t>
            </w:r>
            <w:r w:rsidR="2C188C22" w:rsidRPr="00D1118A">
              <w:rPr>
                <w:rFonts w:ascii="Times New Roman" w:hAnsi="Times New Roman"/>
                <w:sz w:val="24"/>
                <w:szCs w:val="24"/>
              </w:rPr>
              <w:t>,</w:t>
            </w:r>
            <w:r w:rsidR="00330B26" w:rsidRPr="00D1118A">
              <w:rPr>
                <w:rFonts w:ascii="Times New Roman" w:hAnsi="Times New Roman"/>
                <w:sz w:val="24"/>
                <w:szCs w:val="24"/>
              </w:rPr>
              <w:t xml:space="preserve"> with a view </w:t>
            </w:r>
            <w:r w:rsidR="4DC1C9AC" w:rsidRPr="00D1118A">
              <w:rPr>
                <w:rFonts w:ascii="Times New Roman" w:hAnsi="Times New Roman"/>
                <w:sz w:val="24"/>
                <w:szCs w:val="24"/>
              </w:rPr>
              <w:t>to measur</w:t>
            </w:r>
            <w:r w:rsidR="00330B26" w:rsidRPr="00D1118A">
              <w:rPr>
                <w:rFonts w:ascii="Times New Roman" w:hAnsi="Times New Roman"/>
                <w:sz w:val="24"/>
                <w:szCs w:val="24"/>
              </w:rPr>
              <w:t>ing</w:t>
            </w:r>
            <w:r w:rsidR="0DB910AE" w:rsidRPr="00D1118A">
              <w:rPr>
                <w:rFonts w:ascii="Times New Roman" w:hAnsi="Times New Roman"/>
                <w:sz w:val="24"/>
                <w:szCs w:val="24"/>
              </w:rPr>
              <w:t xml:space="preserve">, </w:t>
            </w:r>
            <w:r w:rsidR="376A2341" w:rsidRPr="00D1118A">
              <w:rPr>
                <w:rFonts w:ascii="Times New Roman" w:hAnsi="Times New Roman"/>
                <w:sz w:val="24"/>
                <w:szCs w:val="24"/>
              </w:rPr>
              <w:t>monitor</w:t>
            </w:r>
            <w:r w:rsidR="00330B26" w:rsidRPr="00D1118A">
              <w:rPr>
                <w:rFonts w:ascii="Times New Roman" w:hAnsi="Times New Roman"/>
                <w:sz w:val="24"/>
                <w:szCs w:val="24"/>
              </w:rPr>
              <w:t>ing</w:t>
            </w:r>
            <w:r w:rsidR="376A2341" w:rsidRPr="00D1118A">
              <w:rPr>
                <w:rFonts w:ascii="Times New Roman" w:hAnsi="Times New Roman"/>
                <w:sz w:val="24"/>
                <w:szCs w:val="24"/>
              </w:rPr>
              <w:t xml:space="preserve"> </w:t>
            </w:r>
            <w:r w:rsidR="6C096F10" w:rsidRPr="00D1118A">
              <w:rPr>
                <w:rFonts w:ascii="Times New Roman" w:hAnsi="Times New Roman"/>
                <w:sz w:val="24"/>
                <w:szCs w:val="24"/>
              </w:rPr>
              <w:t>and strengthen</w:t>
            </w:r>
            <w:r w:rsidR="00330B26" w:rsidRPr="00D1118A">
              <w:rPr>
                <w:rFonts w:ascii="Times New Roman" w:hAnsi="Times New Roman"/>
                <w:sz w:val="24"/>
                <w:szCs w:val="24"/>
              </w:rPr>
              <w:t>ing</w:t>
            </w:r>
            <w:r w:rsidR="6C096F10" w:rsidRPr="00D1118A">
              <w:rPr>
                <w:rFonts w:ascii="Times New Roman" w:hAnsi="Times New Roman"/>
                <w:sz w:val="24"/>
                <w:szCs w:val="24"/>
              </w:rPr>
              <w:t xml:space="preserve"> </w:t>
            </w:r>
            <w:r w:rsidR="2F4C5882" w:rsidRPr="00D1118A">
              <w:rPr>
                <w:rFonts w:ascii="Times New Roman" w:hAnsi="Times New Roman"/>
                <w:sz w:val="24"/>
                <w:szCs w:val="24"/>
              </w:rPr>
              <w:t>efforts to uphold and mainstream the rights of persons with disabilities.</w:t>
            </w:r>
          </w:p>
          <w:p w14:paraId="5B1C24EC" w14:textId="578726C9" w:rsidR="00996D21" w:rsidRPr="00D1118A" w:rsidRDefault="0D606271" w:rsidP="00D1118A">
            <w:pPr>
              <w:widowControl w:val="0"/>
              <w:spacing w:before="120" w:after="120"/>
              <w:jc w:val="both"/>
              <w:rPr>
                <w:rFonts w:ascii="Times New Roman" w:hAnsi="Times New Roman"/>
                <w:sz w:val="24"/>
                <w:szCs w:val="24"/>
              </w:rPr>
            </w:pPr>
            <w:r w:rsidRPr="00D1118A">
              <w:rPr>
                <w:rFonts w:ascii="Times New Roman" w:hAnsi="Times New Roman"/>
                <w:sz w:val="24"/>
                <w:szCs w:val="24"/>
              </w:rPr>
              <w:t>Making humanitarian aid inclusive and accessible to persons with disabilities</w:t>
            </w:r>
            <w:r w:rsidR="009F5B58" w:rsidRPr="00D1118A">
              <w:rPr>
                <w:rFonts w:ascii="Times New Roman" w:hAnsi="Times New Roman"/>
                <w:sz w:val="24"/>
                <w:szCs w:val="24"/>
              </w:rPr>
              <w:t xml:space="preserve"> also</w:t>
            </w:r>
            <w:r w:rsidRPr="00D1118A">
              <w:rPr>
                <w:rFonts w:ascii="Times New Roman" w:hAnsi="Times New Roman"/>
                <w:sz w:val="24"/>
                <w:szCs w:val="24"/>
              </w:rPr>
              <w:t xml:space="preserve"> remains a longstanding priority for the EU. </w:t>
            </w:r>
            <w:r w:rsidR="00CA005B" w:rsidRPr="00D1118A">
              <w:rPr>
                <w:rFonts w:ascii="Times New Roman" w:hAnsi="Times New Roman"/>
                <w:sz w:val="24"/>
                <w:szCs w:val="24"/>
              </w:rPr>
              <w:t xml:space="preserve">The EU will continue to </w:t>
            </w:r>
            <w:proofErr w:type="gramStart"/>
            <w:r w:rsidR="00CA005B" w:rsidRPr="00D1118A">
              <w:rPr>
                <w:rFonts w:ascii="Times New Roman" w:hAnsi="Times New Roman"/>
                <w:sz w:val="24"/>
                <w:szCs w:val="24"/>
              </w:rPr>
              <w:t>take into account</w:t>
            </w:r>
            <w:proofErr w:type="gramEnd"/>
            <w:r w:rsidR="00CA005B" w:rsidRPr="00D1118A">
              <w:rPr>
                <w:rFonts w:ascii="Times New Roman" w:hAnsi="Times New Roman"/>
                <w:sz w:val="24"/>
                <w:szCs w:val="24"/>
              </w:rPr>
              <w:t xml:space="preserve"> the specific needs of persons with disabilities both by mainstreaming disability inclusion in EU-funded humanitarian operations as well as by providing targeted assistance, such as provision of rehabilitation or assistive devices, specialised support for medical assistance, inclusive case management, or provision of adequate educational material and equipment to support children with disabilities. </w:t>
            </w:r>
            <w:r w:rsidRPr="00D1118A">
              <w:rPr>
                <w:rFonts w:ascii="Times New Roman" w:hAnsi="Times New Roman"/>
                <w:sz w:val="24"/>
                <w:szCs w:val="24"/>
              </w:rPr>
              <w:t xml:space="preserve">Building on the progress made so far, the EU continues fostering disability inclusion in EU-funded humanitarian aid, by </w:t>
            </w:r>
            <w:r w:rsidR="00CA005B" w:rsidRPr="00D1118A">
              <w:rPr>
                <w:rFonts w:ascii="Times New Roman" w:hAnsi="Times New Roman"/>
                <w:sz w:val="24"/>
                <w:szCs w:val="24"/>
              </w:rPr>
              <w:t xml:space="preserve">providing tools to build capacity and </w:t>
            </w:r>
            <w:r w:rsidRPr="00D1118A">
              <w:rPr>
                <w:rFonts w:ascii="Times New Roman" w:hAnsi="Times New Roman"/>
                <w:sz w:val="24"/>
                <w:szCs w:val="24"/>
              </w:rPr>
              <w:t>support staff and partners, collecting disaggregated data on disability, monitoring and reporting on funded actions, supporting policy development and dissemination, as well as advocating for disability inclusion.</w:t>
            </w:r>
          </w:p>
          <w:p w14:paraId="5306F788" w14:textId="257F3D91" w:rsidR="0D606271" w:rsidRPr="00D1118A" w:rsidRDefault="009F5B58" w:rsidP="00D1118A">
            <w:pPr>
              <w:widowControl w:val="0"/>
              <w:spacing w:before="120" w:after="120"/>
              <w:jc w:val="both"/>
              <w:rPr>
                <w:rFonts w:ascii="Times New Roman" w:hAnsi="Times New Roman"/>
                <w:sz w:val="24"/>
                <w:szCs w:val="24"/>
              </w:rPr>
            </w:pPr>
            <w:r w:rsidRPr="00D1118A">
              <w:rPr>
                <w:rFonts w:ascii="Times New Roman" w:hAnsi="Times New Roman"/>
                <w:sz w:val="24"/>
                <w:szCs w:val="24"/>
              </w:rPr>
              <w:t>The EU will continue</w:t>
            </w:r>
            <w:r w:rsidRPr="00D1118A">
              <w:rPr>
                <w:rFonts w:ascii="Times New Roman" w:eastAsia="Times New Roman" w:hAnsi="Times New Roman"/>
                <w:sz w:val="24"/>
                <w:szCs w:val="24"/>
              </w:rPr>
              <w:t xml:space="preserve"> </w:t>
            </w:r>
            <w:r w:rsidRPr="00D1118A">
              <w:rPr>
                <w:rFonts w:ascii="Times New Roman" w:hAnsi="Times New Roman"/>
                <w:sz w:val="24"/>
                <w:szCs w:val="24"/>
              </w:rPr>
              <w:t>promoting equitable partnerships</w:t>
            </w:r>
            <w:r w:rsidRPr="00D1118A">
              <w:rPr>
                <w:rFonts w:ascii="Times New Roman" w:eastAsia="Times New Roman" w:hAnsi="Times New Roman"/>
                <w:sz w:val="24"/>
                <w:szCs w:val="24"/>
              </w:rPr>
              <w:t xml:space="preserve"> and engaging into dialogue with civil society, including </w:t>
            </w:r>
            <w:r w:rsidRPr="00D1118A">
              <w:rPr>
                <w:rFonts w:ascii="Times New Roman" w:hAnsi="Times New Roman"/>
                <w:sz w:val="24"/>
                <w:szCs w:val="24"/>
              </w:rPr>
              <w:t>Organisations of Persons with Disabilities (OPDs)</w:t>
            </w:r>
            <w:r w:rsidRPr="00D1118A">
              <w:rPr>
                <w:rFonts w:ascii="Times New Roman" w:eastAsia="Times New Roman" w:hAnsi="Times New Roman"/>
                <w:sz w:val="24"/>
                <w:szCs w:val="24"/>
              </w:rPr>
              <w:t xml:space="preserve"> at </w:t>
            </w:r>
            <w:r w:rsidR="0096001C" w:rsidRPr="00D1118A">
              <w:rPr>
                <w:rFonts w:ascii="Times New Roman" w:eastAsia="Times New Roman" w:hAnsi="Times New Roman"/>
                <w:sz w:val="24"/>
                <w:szCs w:val="24"/>
              </w:rPr>
              <w:t>local</w:t>
            </w:r>
            <w:r w:rsidRPr="00D1118A">
              <w:rPr>
                <w:rFonts w:ascii="Times New Roman" w:eastAsia="Times New Roman" w:hAnsi="Times New Roman"/>
                <w:sz w:val="24"/>
                <w:szCs w:val="24"/>
              </w:rPr>
              <w:t xml:space="preserve"> and global levels, to ensure their </w:t>
            </w:r>
            <w:r w:rsidR="0096001C" w:rsidRPr="00D1118A">
              <w:rPr>
                <w:rFonts w:ascii="Times New Roman" w:eastAsia="Times New Roman" w:hAnsi="Times New Roman"/>
                <w:sz w:val="24"/>
                <w:szCs w:val="24"/>
              </w:rPr>
              <w:t>engagement in shaping and implementing</w:t>
            </w:r>
            <w:r w:rsidRPr="00D1118A">
              <w:rPr>
                <w:rFonts w:ascii="Times New Roman" w:eastAsia="Times New Roman" w:hAnsi="Times New Roman"/>
                <w:sz w:val="24"/>
                <w:szCs w:val="24"/>
              </w:rPr>
              <w:t xml:space="preserve"> all EU external action, including Global Gateway</w:t>
            </w:r>
            <w:r w:rsidR="00CB47F9">
              <w:rPr>
                <w:rStyle w:val="FootnoteReference"/>
                <w:rFonts w:ascii="Times New Roman" w:eastAsia="Times New Roman" w:hAnsi="Times New Roman"/>
                <w:szCs w:val="24"/>
              </w:rPr>
              <w:footnoteReference w:id="31"/>
            </w:r>
            <w:r w:rsidRPr="00D1118A">
              <w:rPr>
                <w:rFonts w:ascii="Times New Roman" w:eastAsia="Times New Roman" w:hAnsi="Times New Roman"/>
                <w:sz w:val="24"/>
                <w:szCs w:val="24"/>
              </w:rPr>
              <w:t xml:space="preserve"> investments, as well as humanitarian aid</w:t>
            </w:r>
            <w:r w:rsidRPr="00D1118A">
              <w:rPr>
                <w:rFonts w:ascii="Times New Roman" w:hAnsi="Times New Roman"/>
                <w:sz w:val="24"/>
                <w:szCs w:val="24"/>
                <w:lang w:val="en-IE"/>
              </w:rPr>
              <w:t>.</w:t>
            </w:r>
          </w:p>
          <w:p w14:paraId="00E08FA0" w14:textId="76E7C954" w:rsidR="6FC51847" w:rsidRPr="00D1118A" w:rsidRDefault="72CA0D5B" w:rsidP="00D1118A">
            <w:pPr>
              <w:widowControl w:val="0"/>
              <w:spacing w:before="120" w:after="120"/>
              <w:jc w:val="both"/>
              <w:rPr>
                <w:rFonts w:ascii="Times New Roman" w:hAnsi="Times New Roman"/>
                <w:sz w:val="24"/>
                <w:szCs w:val="24"/>
              </w:rPr>
            </w:pPr>
            <w:r w:rsidRPr="00D1118A">
              <w:rPr>
                <w:rFonts w:ascii="Times New Roman" w:hAnsi="Times New Roman"/>
                <w:sz w:val="24"/>
                <w:szCs w:val="24"/>
              </w:rPr>
              <w:t>The EU continues to monitor the impact of the termination of USAID’s programmes as well as the US wider international support</w:t>
            </w:r>
            <w:r w:rsidR="009F5B58" w:rsidRPr="00D1118A">
              <w:rPr>
                <w:rFonts w:ascii="Times New Roman" w:hAnsi="Times New Roman"/>
                <w:sz w:val="24"/>
                <w:szCs w:val="24"/>
              </w:rPr>
              <w:t>,</w:t>
            </w:r>
            <w:r w:rsidRPr="00D1118A">
              <w:rPr>
                <w:rFonts w:ascii="Times New Roman" w:hAnsi="Times New Roman"/>
                <w:sz w:val="24"/>
                <w:szCs w:val="24"/>
              </w:rPr>
              <w:t xml:space="preserve"> with particular focus on identifying the most acute needs and key priorities where action may be required. The EU is committed to its responsibilities in a ‘Team Europe’ approach</w:t>
            </w:r>
            <w:r w:rsidR="009F5B58" w:rsidRPr="00D1118A">
              <w:rPr>
                <w:rStyle w:val="FootnoteReference"/>
                <w:rFonts w:ascii="Times New Roman" w:hAnsi="Times New Roman"/>
                <w:szCs w:val="24"/>
              </w:rPr>
              <w:footnoteReference w:id="32"/>
            </w:r>
            <w:r w:rsidRPr="00D1118A">
              <w:rPr>
                <w:rFonts w:ascii="Times New Roman" w:hAnsi="Times New Roman"/>
                <w:sz w:val="24"/>
                <w:szCs w:val="24"/>
              </w:rPr>
              <w:t xml:space="preserve">. </w:t>
            </w:r>
            <w:r w:rsidR="00F42338" w:rsidRPr="00D1118A">
              <w:rPr>
                <w:rFonts w:ascii="Times New Roman" w:hAnsi="Times New Roman"/>
                <w:sz w:val="24"/>
                <w:szCs w:val="24"/>
              </w:rPr>
              <w:t xml:space="preserve">The </w:t>
            </w:r>
            <w:r w:rsidR="291B8D35" w:rsidRPr="00D1118A">
              <w:rPr>
                <w:rFonts w:ascii="Times New Roman" w:hAnsi="Times New Roman"/>
                <w:sz w:val="24"/>
                <w:szCs w:val="24"/>
              </w:rPr>
              <w:t>EU remains a</w:t>
            </w:r>
            <w:r w:rsidR="00CF31B8">
              <w:rPr>
                <w:rFonts w:ascii="Times New Roman" w:hAnsi="Times New Roman"/>
                <w:sz w:val="24"/>
                <w:szCs w:val="24"/>
              </w:rPr>
              <w:t> </w:t>
            </w:r>
            <w:r w:rsidR="009F5B58" w:rsidRPr="00D1118A">
              <w:rPr>
                <w:rFonts w:ascii="Times New Roman" w:hAnsi="Times New Roman"/>
                <w:sz w:val="24"/>
                <w:szCs w:val="24"/>
              </w:rPr>
              <w:t>reli</w:t>
            </w:r>
            <w:r w:rsidR="291B8D35" w:rsidRPr="00D1118A">
              <w:rPr>
                <w:rFonts w:ascii="Times New Roman" w:hAnsi="Times New Roman"/>
                <w:sz w:val="24"/>
                <w:szCs w:val="24"/>
              </w:rPr>
              <w:t>able donor in term of funding, maintain</w:t>
            </w:r>
            <w:r w:rsidR="00F42338" w:rsidRPr="00D1118A">
              <w:rPr>
                <w:rFonts w:ascii="Times New Roman" w:hAnsi="Times New Roman"/>
                <w:sz w:val="24"/>
                <w:szCs w:val="24"/>
              </w:rPr>
              <w:t>s</w:t>
            </w:r>
            <w:r w:rsidR="291B8D35" w:rsidRPr="00D1118A">
              <w:rPr>
                <w:rFonts w:ascii="Times New Roman" w:hAnsi="Times New Roman"/>
                <w:sz w:val="24"/>
                <w:szCs w:val="24"/>
              </w:rPr>
              <w:t xml:space="preserve"> its support for inclusion of the most vulnerable, and ensures safe and inclusive programming upholding quality standards through protection and disability inclusion mainstreaming. </w:t>
            </w:r>
            <w:r w:rsidRPr="00D1118A">
              <w:rPr>
                <w:rFonts w:ascii="Times New Roman" w:hAnsi="Times New Roman"/>
                <w:sz w:val="24"/>
                <w:szCs w:val="24"/>
              </w:rPr>
              <w:t>The EU will continue strengthen</w:t>
            </w:r>
            <w:r w:rsidR="009F5B58" w:rsidRPr="00D1118A">
              <w:rPr>
                <w:rFonts w:ascii="Times New Roman" w:hAnsi="Times New Roman"/>
                <w:sz w:val="24"/>
                <w:szCs w:val="24"/>
              </w:rPr>
              <w:t>ing</w:t>
            </w:r>
            <w:r w:rsidRPr="00D1118A">
              <w:rPr>
                <w:rFonts w:ascii="Times New Roman" w:hAnsi="Times New Roman"/>
                <w:sz w:val="24"/>
                <w:szCs w:val="24"/>
              </w:rPr>
              <w:t xml:space="preserve"> its dialogue with partners to ensure close coordination.</w:t>
            </w:r>
          </w:p>
          <w:p w14:paraId="71A20C1F" w14:textId="77777777" w:rsidR="00BA08AC" w:rsidRPr="00D1118A" w:rsidRDefault="008C26D3" w:rsidP="00D1118A">
            <w:pPr>
              <w:widowControl w:val="0"/>
              <w:spacing w:before="120" w:after="120"/>
              <w:jc w:val="both"/>
              <w:rPr>
                <w:rFonts w:ascii="Times New Roman" w:hAnsi="Times New Roman"/>
                <w:sz w:val="24"/>
                <w:szCs w:val="24"/>
                <w:lang w:val="en-US"/>
              </w:rPr>
            </w:pPr>
            <w:r w:rsidRPr="009A49E1">
              <w:rPr>
                <w:rFonts w:ascii="Times New Roman" w:hAnsi="Times New Roman"/>
                <w:sz w:val="24"/>
                <w:szCs w:val="24"/>
                <w:u w:val="single"/>
                <w:lang w:val="en-US"/>
              </w:rPr>
              <w:t>Paragraph 4.13</w:t>
            </w:r>
            <w:r w:rsidRPr="00D1118A">
              <w:rPr>
                <w:rFonts w:ascii="Times New Roman" w:hAnsi="Times New Roman"/>
                <w:sz w:val="24"/>
                <w:szCs w:val="24"/>
                <w:lang w:val="en-US"/>
              </w:rPr>
              <w:t>:</w:t>
            </w:r>
          </w:p>
          <w:p w14:paraId="41ADDDA4" w14:textId="35239354" w:rsidR="004F6117" w:rsidRPr="005B0994" w:rsidRDefault="00BA08AC" w:rsidP="00D1118A">
            <w:pPr>
              <w:widowControl w:val="0"/>
              <w:spacing w:before="120" w:after="120"/>
              <w:jc w:val="both"/>
              <w:rPr>
                <w:rFonts w:ascii="Times New Roman" w:hAnsi="Times New Roman"/>
                <w:sz w:val="24"/>
                <w:szCs w:val="24"/>
                <w:lang w:val="en-IE"/>
              </w:rPr>
            </w:pPr>
            <w:r w:rsidRPr="00D1118A">
              <w:rPr>
                <w:rFonts w:ascii="Times New Roman" w:hAnsi="Times New Roman"/>
                <w:sz w:val="24"/>
                <w:szCs w:val="24"/>
                <w:lang w:val="en-IE"/>
              </w:rPr>
              <w:t>The Commission currently implements its 2022 Human Resources (HR) Strategy</w:t>
            </w:r>
            <w:r w:rsidRPr="00D1118A">
              <w:rPr>
                <w:rStyle w:val="FootnoteReference"/>
                <w:rFonts w:ascii="Times New Roman" w:hAnsi="Times New Roman"/>
                <w:szCs w:val="24"/>
                <w:lang w:val="en-IE"/>
              </w:rPr>
              <w:footnoteReference w:id="33"/>
            </w:r>
            <w:r w:rsidR="00CF31B8">
              <w:rPr>
                <w:rFonts w:ascii="Times New Roman" w:hAnsi="Times New Roman"/>
                <w:sz w:val="24"/>
                <w:szCs w:val="24"/>
                <w:lang w:val="en-IE"/>
              </w:rPr>
              <w:t>,</w:t>
            </w:r>
            <w:r w:rsidRPr="00D1118A">
              <w:rPr>
                <w:rFonts w:ascii="Times New Roman" w:hAnsi="Times New Roman"/>
                <w:sz w:val="24"/>
                <w:szCs w:val="24"/>
                <w:lang w:val="en-IE"/>
              </w:rPr>
              <w:t xml:space="preserve"> which promotes a culture of inclusiveness</w:t>
            </w:r>
            <w:r w:rsidR="00996D21" w:rsidRPr="00D1118A">
              <w:rPr>
                <w:rFonts w:ascii="Times New Roman" w:hAnsi="Times New Roman"/>
                <w:sz w:val="24"/>
                <w:szCs w:val="24"/>
                <w:lang w:val="en-IE"/>
              </w:rPr>
              <w:t xml:space="preserve"> and diversity</w:t>
            </w:r>
            <w:r w:rsidRPr="00D1118A">
              <w:rPr>
                <w:rFonts w:ascii="Times New Roman" w:hAnsi="Times New Roman"/>
                <w:sz w:val="24"/>
                <w:szCs w:val="24"/>
                <w:lang w:val="en-IE"/>
              </w:rPr>
              <w:t>. For staff with disabilities, this means improv</w:t>
            </w:r>
            <w:r w:rsidR="00996D21" w:rsidRPr="00D1118A">
              <w:rPr>
                <w:rFonts w:ascii="Times New Roman" w:hAnsi="Times New Roman"/>
                <w:sz w:val="24"/>
                <w:szCs w:val="24"/>
                <w:lang w:val="en-IE"/>
              </w:rPr>
              <w:t>ed</w:t>
            </w:r>
            <w:r w:rsidRPr="00D1118A">
              <w:rPr>
                <w:rFonts w:ascii="Times New Roman" w:hAnsi="Times New Roman"/>
                <w:sz w:val="24"/>
                <w:szCs w:val="24"/>
                <w:lang w:val="en-IE"/>
              </w:rPr>
              <w:t xml:space="preserve"> accessibility of </w:t>
            </w:r>
            <w:r w:rsidR="00996D21" w:rsidRPr="00D1118A">
              <w:rPr>
                <w:rFonts w:ascii="Times New Roman" w:hAnsi="Times New Roman"/>
                <w:sz w:val="24"/>
                <w:szCs w:val="24"/>
                <w:lang w:val="en-IE"/>
              </w:rPr>
              <w:t>the</w:t>
            </w:r>
            <w:r w:rsidRPr="00D1118A">
              <w:rPr>
                <w:rFonts w:ascii="Times New Roman" w:hAnsi="Times New Roman"/>
                <w:sz w:val="24"/>
                <w:szCs w:val="24"/>
                <w:lang w:val="en-IE"/>
              </w:rPr>
              <w:t xml:space="preserve"> physical and digital environment while also ensuring that reasonable accommodations are provided</w:t>
            </w:r>
            <w:r w:rsidR="00996D21" w:rsidRPr="00D1118A">
              <w:rPr>
                <w:rFonts w:ascii="Times New Roman" w:hAnsi="Times New Roman"/>
                <w:sz w:val="24"/>
                <w:szCs w:val="24"/>
                <w:lang w:val="en-IE"/>
              </w:rPr>
              <w:t>,</w:t>
            </w:r>
            <w:r w:rsidRPr="00D1118A">
              <w:rPr>
                <w:rFonts w:ascii="Times New Roman" w:hAnsi="Times New Roman"/>
                <w:sz w:val="24"/>
                <w:szCs w:val="24"/>
                <w:lang w:val="en-IE"/>
              </w:rPr>
              <w:t xml:space="preserve"> to create the conditions for everybody to thrive within the workplace.</w:t>
            </w:r>
          </w:p>
        </w:tc>
      </w:tr>
    </w:tbl>
    <w:p w14:paraId="6AF07B14" w14:textId="26AEAB66" w:rsidR="004F6117" w:rsidRPr="00D1118A" w:rsidRDefault="004F6117" w:rsidP="00F401A0">
      <w:pPr>
        <w:spacing w:after="0" w:line="240" w:lineRule="auto"/>
        <w:ind w:left="-709"/>
        <w:rPr>
          <w:rFonts w:ascii="Times New Roman" w:hAnsi="Times New Roman"/>
          <w:bCs/>
          <w:sz w:val="16"/>
          <w:szCs w:val="16"/>
        </w:rPr>
      </w:pPr>
    </w:p>
    <w:sectPr w:rsidR="004F6117" w:rsidRPr="00D1118A">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8DC0FA" w14:textId="77777777" w:rsidR="000E419E" w:rsidRDefault="000E419E" w:rsidP="00FF63EA">
      <w:pPr>
        <w:spacing w:after="0" w:line="240" w:lineRule="auto"/>
      </w:pPr>
      <w:r>
        <w:separator/>
      </w:r>
    </w:p>
  </w:endnote>
  <w:endnote w:type="continuationSeparator" w:id="0">
    <w:p w14:paraId="3114FD3B" w14:textId="77777777" w:rsidR="000E419E" w:rsidRDefault="000E419E" w:rsidP="00FF63EA">
      <w:pPr>
        <w:spacing w:after="0" w:line="240" w:lineRule="auto"/>
      </w:pPr>
      <w:r>
        <w:continuationSeparator/>
      </w:r>
    </w:p>
  </w:endnote>
  <w:endnote w:type="continuationNotice" w:id="1">
    <w:p w14:paraId="751AC5C1" w14:textId="77777777" w:rsidR="000E419E" w:rsidRDefault="000E419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4A64C" w14:textId="77777777" w:rsidR="0011320B" w:rsidRDefault="001132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9E4D3" w14:textId="77777777" w:rsidR="0011320B" w:rsidRDefault="0011320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13AB7" w14:textId="77777777" w:rsidR="0011320B" w:rsidRDefault="001132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FCB351" w14:textId="77777777" w:rsidR="000E419E" w:rsidRDefault="000E419E" w:rsidP="00FF63EA">
      <w:pPr>
        <w:spacing w:after="0" w:line="240" w:lineRule="auto"/>
      </w:pPr>
      <w:r>
        <w:separator/>
      </w:r>
    </w:p>
  </w:footnote>
  <w:footnote w:type="continuationSeparator" w:id="0">
    <w:p w14:paraId="62F85104" w14:textId="77777777" w:rsidR="000E419E" w:rsidRDefault="000E419E" w:rsidP="00FF63EA">
      <w:pPr>
        <w:spacing w:after="0" w:line="240" w:lineRule="auto"/>
      </w:pPr>
      <w:r>
        <w:continuationSeparator/>
      </w:r>
    </w:p>
  </w:footnote>
  <w:footnote w:type="continuationNotice" w:id="1">
    <w:p w14:paraId="667DE728" w14:textId="77777777" w:rsidR="000E419E" w:rsidRDefault="000E419E">
      <w:pPr>
        <w:spacing w:after="0" w:line="240" w:lineRule="auto"/>
      </w:pPr>
    </w:p>
  </w:footnote>
  <w:footnote w:id="2">
    <w:p w14:paraId="193DFC71" w14:textId="603D3475" w:rsidR="009B261B" w:rsidRPr="00D1118A" w:rsidRDefault="009B261B" w:rsidP="00F401A0">
      <w:pPr>
        <w:pStyle w:val="FootnoteText"/>
        <w:keepLines w:val="0"/>
        <w:widowControl w:val="0"/>
        <w:spacing w:after="0"/>
        <w:ind w:left="-426" w:right="-851" w:hanging="283"/>
        <w:rPr>
          <w:sz w:val="20"/>
          <w:szCs w:val="20"/>
          <w:lang w:val="fr-BE"/>
        </w:rPr>
      </w:pPr>
      <w:r w:rsidRPr="00D1118A">
        <w:rPr>
          <w:rStyle w:val="FootnoteReference"/>
          <w:sz w:val="20"/>
          <w:szCs w:val="20"/>
        </w:rPr>
        <w:footnoteRef/>
      </w:r>
      <w:r w:rsidRPr="00D1118A">
        <w:rPr>
          <w:sz w:val="20"/>
          <w:szCs w:val="20"/>
          <w:lang w:val="fr-BE"/>
        </w:rPr>
        <w:t xml:space="preserve"> </w:t>
      </w:r>
      <w:r w:rsidR="00D1118A" w:rsidRPr="00D1118A">
        <w:rPr>
          <w:sz w:val="20"/>
          <w:szCs w:val="20"/>
          <w:lang w:val="fr-BE"/>
        </w:rPr>
        <w:tab/>
      </w:r>
      <w:proofErr w:type="gramStart"/>
      <w:r w:rsidR="00D1118A" w:rsidRPr="00F401A0">
        <w:rPr>
          <w:sz w:val="20"/>
          <w:szCs w:val="20"/>
          <w:lang w:val="fr-BE"/>
        </w:rPr>
        <w:t>COM(</w:t>
      </w:r>
      <w:proofErr w:type="gramEnd"/>
      <w:r w:rsidR="00D1118A" w:rsidRPr="00F401A0">
        <w:rPr>
          <w:sz w:val="20"/>
          <w:szCs w:val="20"/>
          <w:lang w:val="fr-BE"/>
        </w:rPr>
        <w:t>2021) 101 final (</w:t>
      </w:r>
      <w:hyperlink r:id="rId1" w:history="1">
        <w:r w:rsidR="00D1118A" w:rsidRPr="00F401A0">
          <w:rPr>
            <w:rStyle w:val="Hyperlink"/>
            <w:sz w:val="20"/>
            <w:szCs w:val="20"/>
            <w:lang w:val="fr-BE"/>
          </w:rPr>
          <w:t>EUR-Lex - 52021DC0101 - EN - EUR-Lex</w:t>
        </w:r>
      </w:hyperlink>
      <w:r w:rsidR="00D1118A" w:rsidRPr="00F401A0">
        <w:rPr>
          <w:sz w:val="20"/>
          <w:szCs w:val="20"/>
          <w:lang w:val="fr-BE"/>
        </w:rPr>
        <w:t>).</w:t>
      </w:r>
    </w:p>
  </w:footnote>
  <w:footnote w:id="3">
    <w:p w14:paraId="0D0CB414" w14:textId="27125960" w:rsidR="00341C92" w:rsidRPr="00D1118A" w:rsidRDefault="00341C92" w:rsidP="00F401A0">
      <w:pPr>
        <w:pStyle w:val="FootnoteText"/>
        <w:keepLines w:val="0"/>
        <w:widowControl w:val="0"/>
        <w:spacing w:after="0"/>
        <w:ind w:left="-426" w:right="-851" w:hanging="283"/>
        <w:rPr>
          <w:sz w:val="20"/>
          <w:szCs w:val="20"/>
          <w:lang w:val="fr-BE"/>
        </w:rPr>
      </w:pPr>
      <w:r w:rsidRPr="00D1118A">
        <w:rPr>
          <w:rStyle w:val="FootnoteReference"/>
          <w:sz w:val="20"/>
          <w:szCs w:val="20"/>
        </w:rPr>
        <w:footnoteRef/>
      </w:r>
      <w:r w:rsidRPr="00D1118A">
        <w:rPr>
          <w:sz w:val="20"/>
          <w:szCs w:val="20"/>
          <w:lang w:val="fr-BE"/>
        </w:rPr>
        <w:t xml:space="preserve"> </w:t>
      </w:r>
      <w:r w:rsidR="00D1118A" w:rsidRPr="00D1118A">
        <w:rPr>
          <w:sz w:val="20"/>
          <w:szCs w:val="20"/>
          <w:lang w:val="fr-BE"/>
        </w:rPr>
        <w:tab/>
      </w:r>
      <w:r w:rsidR="00D1118A">
        <w:fldChar w:fldCharType="begin"/>
      </w:r>
      <w:r w:rsidR="00D1118A" w:rsidRPr="00AE65AF">
        <w:rPr>
          <w:lang w:val="fr-BE"/>
        </w:rPr>
        <w:instrText>HYPERLINK "https://social.desa.un.org/issues/disability/crpd/convention-on-the-rights-of-persons-with-disabilities-crpd"</w:instrText>
      </w:r>
      <w:r w:rsidR="00D1118A">
        <w:fldChar w:fldCharType="separate"/>
      </w:r>
      <w:r w:rsidR="00D1118A" w:rsidRPr="00D1118A">
        <w:rPr>
          <w:rStyle w:val="Hyperlink"/>
          <w:sz w:val="20"/>
          <w:szCs w:val="20"/>
          <w:lang w:val="fr-BE"/>
        </w:rPr>
        <w:t>https://social.desa.un.org/issues/disability/crpd/convention-on-the-rights-of-persons-with-disabilities-crpd</w:t>
      </w:r>
      <w:r w:rsidR="00D1118A">
        <w:fldChar w:fldCharType="end"/>
      </w:r>
      <w:r w:rsidR="00D1118A">
        <w:rPr>
          <w:sz w:val="20"/>
          <w:szCs w:val="20"/>
          <w:lang w:val="fr-BE"/>
        </w:rPr>
        <w:t>.</w:t>
      </w:r>
    </w:p>
  </w:footnote>
  <w:footnote w:id="4">
    <w:p w14:paraId="42A13432" w14:textId="05FB8ECC" w:rsidR="00FA210C" w:rsidRPr="00D1118A" w:rsidRDefault="00FA210C" w:rsidP="00F401A0">
      <w:pPr>
        <w:pStyle w:val="FootnoteText"/>
        <w:keepLines w:val="0"/>
        <w:widowControl w:val="0"/>
        <w:spacing w:after="0"/>
        <w:ind w:left="-426" w:right="-851" w:hanging="283"/>
        <w:rPr>
          <w:sz w:val="20"/>
          <w:szCs w:val="20"/>
          <w:lang w:val="de-DE"/>
        </w:rPr>
      </w:pPr>
      <w:r w:rsidRPr="00D1118A">
        <w:rPr>
          <w:rStyle w:val="FootnoteReference"/>
          <w:sz w:val="20"/>
          <w:szCs w:val="20"/>
        </w:rPr>
        <w:footnoteRef/>
      </w:r>
      <w:r w:rsidRPr="00D1118A">
        <w:rPr>
          <w:sz w:val="20"/>
          <w:szCs w:val="20"/>
          <w:lang w:val="de-DE"/>
        </w:rPr>
        <w:t xml:space="preserve"> </w:t>
      </w:r>
      <w:r w:rsidR="00D1118A" w:rsidRPr="00D1118A">
        <w:rPr>
          <w:sz w:val="20"/>
          <w:szCs w:val="20"/>
          <w:lang w:val="de-DE"/>
        </w:rPr>
        <w:tab/>
      </w:r>
      <w:hyperlink r:id="rId2" w:history="1">
        <w:r w:rsidRPr="00D1118A">
          <w:rPr>
            <w:rStyle w:val="Hyperlink"/>
            <w:sz w:val="20"/>
            <w:szCs w:val="20"/>
            <w:lang w:val="de-DE"/>
          </w:rPr>
          <w:t>faaf33ff-c8c7-49a1-b01d-56681e11a5e6_en</w:t>
        </w:r>
      </w:hyperlink>
      <w:r w:rsidR="00D1118A">
        <w:rPr>
          <w:sz w:val="20"/>
          <w:szCs w:val="20"/>
          <w:lang w:val="de-DE"/>
        </w:rPr>
        <w:t>.</w:t>
      </w:r>
    </w:p>
  </w:footnote>
  <w:footnote w:id="5">
    <w:p w14:paraId="1627EE9D" w14:textId="14534AD7" w:rsidR="000D715B" w:rsidRPr="00F401A0" w:rsidRDefault="000D715B" w:rsidP="00F401A0">
      <w:pPr>
        <w:pStyle w:val="FootnoteText"/>
        <w:keepLines w:val="0"/>
        <w:widowControl w:val="0"/>
        <w:spacing w:after="0"/>
        <w:ind w:left="-426" w:right="-851" w:hanging="283"/>
        <w:jc w:val="left"/>
        <w:rPr>
          <w:sz w:val="20"/>
          <w:szCs w:val="20"/>
          <w:lang w:val="de-DE"/>
        </w:rPr>
      </w:pPr>
      <w:r w:rsidRPr="00D1118A">
        <w:rPr>
          <w:rStyle w:val="FootnoteReference"/>
          <w:sz w:val="20"/>
          <w:szCs w:val="20"/>
        </w:rPr>
        <w:footnoteRef/>
      </w:r>
      <w:r w:rsidRPr="00F401A0">
        <w:rPr>
          <w:sz w:val="20"/>
          <w:szCs w:val="20"/>
          <w:lang w:val="de-DE"/>
        </w:rPr>
        <w:t xml:space="preserve"> </w:t>
      </w:r>
      <w:r w:rsidR="00D1118A" w:rsidRPr="00F401A0">
        <w:rPr>
          <w:sz w:val="20"/>
          <w:szCs w:val="20"/>
          <w:lang w:val="de-DE"/>
        </w:rPr>
        <w:tab/>
      </w:r>
      <w:proofErr w:type="gramStart"/>
      <w:r w:rsidR="00AC54C0" w:rsidRPr="00AC54C0">
        <w:rPr>
          <w:sz w:val="20"/>
          <w:szCs w:val="20"/>
          <w:lang w:val="pt-PT"/>
        </w:rPr>
        <w:t>COM</w:t>
      </w:r>
      <w:r w:rsidR="00AC54C0">
        <w:rPr>
          <w:sz w:val="20"/>
          <w:szCs w:val="20"/>
          <w:lang w:val="pt-PT"/>
        </w:rPr>
        <w:t>(</w:t>
      </w:r>
      <w:proofErr w:type="gramEnd"/>
      <w:r w:rsidR="00AC54C0" w:rsidRPr="00AC54C0">
        <w:rPr>
          <w:sz w:val="20"/>
          <w:szCs w:val="20"/>
          <w:lang w:val="pt-PT"/>
        </w:rPr>
        <w:t>2025</w:t>
      </w:r>
      <w:r w:rsidR="00AC54C0">
        <w:rPr>
          <w:sz w:val="20"/>
          <w:szCs w:val="20"/>
          <w:lang w:val="pt-PT"/>
        </w:rPr>
        <w:t xml:space="preserve">) </w:t>
      </w:r>
      <w:r w:rsidR="00AC54C0" w:rsidRPr="00AC54C0">
        <w:rPr>
          <w:sz w:val="20"/>
          <w:szCs w:val="20"/>
          <w:lang w:val="pt-PT"/>
        </w:rPr>
        <w:t>870 final</w:t>
      </w:r>
      <w:r w:rsidR="00AC54C0" w:rsidRPr="00AC54C0">
        <w:rPr>
          <w:sz w:val="20"/>
          <w:szCs w:val="20"/>
          <w:lang w:val="de-DE"/>
        </w:rPr>
        <w:t xml:space="preserve"> </w:t>
      </w:r>
      <w:r w:rsidR="00D1118A">
        <w:rPr>
          <w:sz w:val="20"/>
          <w:szCs w:val="20"/>
          <w:lang w:val="de-DE"/>
        </w:rPr>
        <w:t>(</w:t>
      </w:r>
      <w:r w:rsidRPr="00D1118A">
        <w:rPr>
          <w:rStyle w:val="Hyperlink"/>
          <w:sz w:val="20"/>
          <w:szCs w:val="20"/>
          <w:lang w:val="de-DE"/>
        </w:rPr>
        <w:t>https://eur-lex.europa.eu/legal-content/EN/TXT/?uri=CELEX%3A52025DC0870&amp;qid=1761126156157</w:t>
      </w:r>
      <w:r w:rsidR="00D1118A">
        <w:rPr>
          <w:rStyle w:val="Hyperlink"/>
          <w:sz w:val="20"/>
          <w:szCs w:val="20"/>
          <w:lang w:val="de-DE"/>
        </w:rPr>
        <w:t>).</w:t>
      </w:r>
    </w:p>
  </w:footnote>
  <w:footnote w:id="6">
    <w:p w14:paraId="432AAA45" w14:textId="1EA1D033" w:rsidR="00FA210C" w:rsidRPr="00AC54C0" w:rsidRDefault="00FA210C" w:rsidP="00F401A0">
      <w:pPr>
        <w:pStyle w:val="FootnoteText"/>
        <w:keepLines w:val="0"/>
        <w:widowControl w:val="0"/>
        <w:spacing w:after="0"/>
        <w:ind w:left="-426" w:right="-851" w:hanging="284"/>
        <w:rPr>
          <w:sz w:val="20"/>
          <w:szCs w:val="20"/>
        </w:rPr>
      </w:pPr>
      <w:r w:rsidRPr="00AC54C0">
        <w:rPr>
          <w:rStyle w:val="FootnoteReference"/>
          <w:sz w:val="20"/>
          <w:szCs w:val="20"/>
        </w:rPr>
        <w:footnoteRef/>
      </w:r>
      <w:r w:rsidRPr="00AC54C0">
        <w:rPr>
          <w:sz w:val="20"/>
          <w:szCs w:val="20"/>
        </w:rPr>
        <w:t xml:space="preserve"> </w:t>
      </w:r>
      <w:r w:rsidR="00AC54C0" w:rsidRPr="00AC54C0">
        <w:rPr>
          <w:sz w:val="20"/>
          <w:szCs w:val="20"/>
        </w:rPr>
        <w:tab/>
      </w:r>
      <w:hyperlink r:id="rId3" w:history="1">
        <w:r w:rsidRPr="00AC54C0">
          <w:rPr>
            <w:rStyle w:val="Hyperlink"/>
            <w:sz w:val="20"/>
            <w:szCs w:val="20"/>
            <w:lang w:val="en-GB"/>
          </w:rPr>
          <w:t>Concluding observations on the combined 2nd and 3rd periodic reports of the European Union</w:t>
        </w:r>
        <w:r w:rsidR="00AC54C0">
          <w:rPr>
            <w:rStyle w:val="Hyperlink"/>
            <w:sz w:val="20"/>
            <w:szCs w:val="20"/>
            <w:lang w:val="en-GB"/>
          </w:rPr>
          <w:t>.</w:t>
        </w:r>
        <w:r w:rsidR="00AC54C0" w:rsidRPr="00AC54C0" w:rsidDel="00AC54C0">
          <w:rPr>
            <w:rStyle w:val="Hyperlink"/>
            <w:sz w:val="20"/>
            <w:szCs w:val="20"/>
            <w:lang w:val="en-GB"/>
          </w:rPr>
          <w:t xml:space="preserve"> </w:t>
        </w:r>
      </w:hyperlink>
    </w:p>
  </w:footnote>
  <w:footnote w:id="7">
    <w:p w14:paraId="00C58760" w14:textId="40BCEED2" w:rsidR="00FA210C" w:rsidRPr="00AC54C0" w:rsidRDefault="00FA210C" w:rsidP="00F401A0">
      <w:pPr>
        <w:pStyle w:val="FootnoteText"/>
        <w:keepLines w:val="0"/>
        <w:widowControl w:val="0"/>
        <w:spacing w:after="0"/>
        <w:ind w:left="-426" w:right="-851" w:hanging="284"/>
        <w:rPr>
          <w:sz w:val="20"/>
          <w:szCs w:val="20"/>
        </w:rPr>
      </w:pPr>
      <w:r w:rsidRPr="00AC54C0">
        <w:rPr>
          <w:rStyle w:val="FootnoteReference"/>
          <w:sz w:val="20"/>
          <w:szCs w:val="20"/>
        </w:rPr>
        <w:footnoteRef/>
      </w:r>
      <w:r w:rsidRPr="00AC54C0">
        <w:rPr>
          <w:sz w:val="20"/>
          <w:szCs w:val="20"/>
        </w:rPr>
        <w:t xml:space="preserve"> </w:t>
      </w:r>
      <w:r w:rsidR="00AC54C0" w:rsidRPr="00AC54C0">
        <w:rPr>
          <w:sz w:val="20"/>
          <w:szCs w:val="20"/>
        </w:rPr>
        <w:tab/>
      </w:r>
      <w:hyperlink r:id="rId4" w:history="1">
        <w:r w:rsidRPr="00AC54C0">
          <w:rPr>
            <w:rStyle w:val="Hyperlink"/>
            <w:sz w:val="20"/>
            <w:szCs w:val="20"/>
            <w:lang w:val="en-GB"/>
          </w:rPr>
          <w:t>Political Guidelines 2024-2029 | European Commission</w:t>
        </w:r>
      </w:hyperlink>
      <w:r w:rsidR="00AC54C0">
        <w:rPr>
          <w:sz w:val="20"/>
          <w:szCs w:val="20"/>
        </w:rPr>
        <w:t>.</w:t>
      </w:r>
    </w:p>
  </w:footnote>
  <w:footnote w:id="8">
    <w:p w14:paraId="0ADA6992" w14:textId="2B22D445" w:rsidR="00667AFC" w:rsidRPr="00AC54C0" w:rsidRDefault="00667AFC" w:rsidP="00F401A0">
      <w:pPr>
        <w:pStyle w:val="FootnoteText"/>
        <w:keepLines w:val="0"/>
        <w:widowControl w:val="0"/>
        <w:spacing w:after="0"/>
        <w:ind w:left="-426" w:right="-851" w:hanging="284"/>
        <w:rPr>
          <w:sz w:val="20"/>
          <w:szCs w:val="20"/>
        </w:rPr>
      </w:pPr>
      <w:r w:rsidRPr="00AC54C0">
        <w:rPr>
          <w:rStyle w:val="FootnoteReference"/>
          <w:sz w:val="20"/>
          <w:szCs w:val="20"/>
        </w:rPr>
        <w:footnoteRef/>
      </w:r>
      <w:r w:rsidRPr="00AC54C0">
        <w:rPr>
          <w:sz w:val="20"/>
          <w:szCs w:val="20"/>
        </w:rPr>
        <w:t xml:space="preserve"> </w:t>
      </w:r>
      <w:r w:rsidR="00AC54C0" w:rsidRPr="00AC54C0">
        <w:rPr>
          <w:sz w:val="20"/>
          <w:szCs w:val="20"/>
        </w:rPr>
        <w:tab/>
      </w:r>
      <w:hyperlink r:id="rId5" w:history="1">
        <w:r w:rsidRPr="00AC54C0">
          <w:rPr>
            <w:rStyle w:val="Hyperlink"/>
            <w:sz w:val="20"/>
            <w:szCs w:val="20"/>
          </w:rPr>
          <w:t>Disability employment package - European Commission</w:t>
        </w:r>
      </w:hyperlink>
      <w:r w:rsidR="00AC54C0">
        <w:rPr>
          <w:sz w:val="20"/>
          <w:szCs w:val="20"/>
        </w:rPr>
        <w:t>.</w:t>
      </w:r>
    </w:p>
  </w:footnote>
  <w:footnote w:id="9">
    <w:p w14:paraId="390E0F96" w14:textId="771140DB" w:rsidR="00667AFC" w:rsidRPr="00F401A0" w:rsidRDefault="00667AFC" w:rsidP="00F401A0">
      <w:pPr>
        <w:pStyle w:val="FootnoteText"/>
        <w:keepLines w:val="0"/>
        <w:widowControl w:val="0"/>
        <w:spacing w:after="0"/>
        <w:ind w:left="-426" w:right="-851" w:hanging="284"/>
        <w:rPr>
          <w:sz w:val="20"/>
          <w:szCs w:val="20"/>
        </w:rPr>
      </w:pPr>
      <w:r w:rsidRPr="00AC54C0">
        <w:rPr>
          <w:rStyle w:val="FootnoteReference"/>
          <w:sz w:val="20"/>
          <w:szCs w:val="20"/>
        </w:rPr>
        <w:footnoteRef/>
      </w:r>
      <w:r w:rsidRPr="00AC54C0">
        <w:rPr>
          <w:sz w:val="20"/>
          <w:szCs w:val="20"/>
        </w:rPr>
        <w:t xml:space="preserve"> </w:t>
      </w:r>
      <w:r w:rsidR="00AC54C0" w:rsidRPr="00AC54C0">
        <w:rPr>
          <w:sz w:val="20"/>
          <w:szCs w:val="20"/>
        </w:rPr>
        <w:tab/>
      </w:r>
      <w:hyperlink r:id="rId6" w:history="1">
        <w:r w:rsidRPr="00AC54C0">
          <w:rPr>
            <w:rStyle w:val="Hyperlink"/>
            <w:sz w:val="20"/>
            <w:szCs w:val="20"/>
            <w:lang w:val="en-GB"/>
          </w:rPr>
          <w:t>ESF-SI-2025-DEP-01 - SI+</w:t>
        </w:r>
      </w:hyperlink>
    </w:p>
  </w:footnote>
  <w:footnote w:id="10">
    <w:p w14:paraId="24D25270" w14:textId="723616B5" w:rsidR="00E93DE9" w:rsidRPr="00AC54C0" w:rsidRDefault="00E93DE9" w:rsidP="00F401A0">
      <w:pPr>
        <w:pStyle w:val="FootnoteText"/>
        <w:keepLines w:val="0"/>
        <w:widowControl w:val="0"/>
        <w:spacing w:after="0"/>
        <w:ind w:left="-426" w:right="-851" w:hanging="284"/>
        <w:rPr>
          <w:sz w:val="20"/>
          <w:szCs w:val="20"/>
          <w:lang w:val="en-IE"/>
        </w:rPr>
      </w:pPr>
      <w:r w:rsidRPr="00AC54C0">
        <w:rPr>
          <w:rStyle w:val="FootnoteReference"/>
          <w:sz w:val="20"/>
          <w:szCs w:val="20"/>
        </w:rPr>
        <w:footnoteRef/>
      </w:r>
      <w:r w:rsidRPr="00AC54C0">
        <w:rPr>
          <w:sz w:val="20"/>
          <w:szCs w:val="20"/>
        </w:rPr>
        <w:t xml:space="preserve"> </w:t>
      </w:r>
      <w:r w:rsidR="00AC54C0" w:rsidRPr="00AC54C0">
        <w:rPr>
          <w:sz w:val="20"/>
          <w:szCs w:val="20"/>
        </w:rPr>
        <w:tab/>
      </w:r>
      <w:hyperlink r:id="rId7" w:history="1">
        <w:r w:rsidRPr="00AC54C0">
          <w:rPr>
            <w:rStyle w:val="Hyperlink"/>
            <w:sz w:val="20"/>
            <w:szCs w:val="20"/>
          </w:rPr>
          <w:t>Commission Notice</w:t>
        </w:r>
        <w:r w:rsidR="00AC54C0">
          <w:rPr>
            <w:rStyle w:val="Hyperlink"/>
            <w:sz w:val="20"/>
            <w:szCs w:val="20"/>
          </w:rPr>
          <w:t xml:space="preserve"> </w:t>
        </w:r>
        <w:r w:rsidRPr="00AC54C0">
          <w:rPr>
            <w:rStyle w:val="Hyperlink"/>
            <w:sz w:val="20"/>
            <w:szCs w:val="20"/>
          </w:rPr>
          <w:t>– Guidance on independent living and inclusion in the community of persons with disabilities in the context of EU funding</w:t>
        </w:r>
      </w:hyperlink>
      <w:r w:rsidR="00AC54C0">
        <w:rPr>
          <w:sz w:val="20"/>
          <w:szCs w:val="20"/>
        </w:rPr>
        <w:t xml:space="preserve"> (</w:t>
      </w:r>
      <w:r w:rsidR="00AC54C0" w:rsidRPr="00AC54C0">
        <w:rPr>
          <w:sz w:val="20"/>
          <w:szCs w:val="20"/>
          <w:lang w:val="en-GB"/>
        </w:rPr>
        <w:t>C/2024/7188</w:t>
      </w:r>
      <w:r w:rsidR="00AC54C0">
        <w:rPr>
          <w:sz w:val="20"/>
          <w:szCs w:val="20"/>
          <w:lang w:val="en-GB"/>
        </w:rPr>
        <w:t>).</w:t>
      </w:r>
    </w:p>
  </w:footnote>
  <w:footnote w:id="11">
    <w:p w14:paraId="03F30DD5" w14:textId="378A2937" w:rsidR="00707FAD" w:rsidRPr="00F401A0" w:rsidRDefault="00707FAD" w:rsidP="00F401A0">
      <w:pPr>
        <w:pStyle w:val="FootnoteText"/>
        <w:keepLines w:val="0"/>
        <w:widowControl w:val="0"/>
        <w:spacing w:after="0"/>
        <w:ind w:left="-426" w:right="-851" w:hanging="284"/>
        <w:rPr>
          <w:sz w:val="20"/>
          <w:szCs w:val="20"/>
        </w:rPr>
      </w:pPr>
      <w:r w:rsidRPr="00F401A0">
        <w:rPr>
          <w:rStyle w:val="FootnoteReference"/>
          <w:sz w:val="20"/>
          <w:szCs w:val="20"/>
        </w:rPr>
        <w:footnoteRef/>
      </w:r>
      <w:r w:rsidRPr="00F401A0">
        <w:rPr>
          <w:sz w:val="20"/>
          <w:szCs w:val="20"/>
        </w:rPr>
        <w:t xml:space="preserve"> </w:t>
      </w:r>
      <w:r w:rsidR="00AC54C0" w:rsidRPr="00F401A0">
        <w:rPr>
          <w:sz w:val="20"/>
          <w:szCs w:val="20"/>
        </w:rPr>
        <w:tab/>
      </w:r>
      <w:hyperlink r:id="rId8" w:history="1">
        <w:r w:rsidRPr="00AC54C0">
          <w:rPr>
            <w:rStyle w:val="Hyperlink"/>
            <w:sz w:val="20"/>
            <w:szCs w:val="20"/>
            <w:lang w:val="en-GB"/>
          </w:rPr>
          <w:t>Article 19 – Living independently and being included in the community | United Nations Enable</w:t>
        </w:r>
      </w:hyperlink>
      <w:r w:rsidRPr="00F401A0">
        <w:rPr>
          <w:sz w:val="20"/>
          <w:szCs w:val="20"/>
        </w:rPr>
        <w:t xml:space="preserve"> </w:t>
      </w:r>
    </w:p>
  </w:footnote>
  <w:footnote w:id="12">
    <w:p w14:paraId="33FD0493" w14:textId="6FB2AD2A" w:rsidR="00FA210C" w:rsidRPr="00F401A0" w:rsidRDefault="00FA210C" w:rsidP="00F401A0">
      <w:pPr>
        <w:pStyle w:val="FootnoteText"/>
        <w:keepNext/>
        <w:spacing w:after="0"/>
        <w:ind w:left="-425" w:right="-851" w:hanging="284"/>
        <w:rPr>
          <w:sz w:val="20"/>
          <w:szCs w:val="20"/>
          <w:lang w:val="en-IE"/>
        </w:rPr>
      </w:pPr>
      <w:r w:rsidRPr="009A49E1">
        <w:rPr>
          <w:rStyle w:val="FootnoteReference"/>
          <w:sz w:val="20"/>
          <w:szCs w:val="20"/>
        </w:rPr>
        <w:footnoteRef/>
      </w:r>
      <w:r w:rsidRPr="00F401A0">
        <w:rPr>
          <w:sz w:val="20"/>
          <w:szCs w:val="20"/>
          <w:lang w:val="en-IE"/>
        </w:rPr>
        <w:t xml:space="preserve"> </w:t>
      </w:r>
      <w:r w:rsidR="00AC54C0" w:rsidRPr="00F401A0">
        <w:rPr>
          <w:sz w:val="20"/>
          <w:szCs w:val="20"/>
          <w:lang w:val="en-IE"/>
        </w:rPr>
        <w:tab/>
      </w:r>
      <w:r w:rsidR="00AC54C0" w:rsidRPr="00F401A0">
        <w:rPr>
          <w:sz w:val="20"/>
          <w:szCs w:val="20"/>
          <w:lang w:val="en-GB"/>
        </w:rPr>
        <w:t>Regulation (EU) 2021/1060 of the European Parliament and of the Council of 24 June 2021 laying down common provisions on the European Regional Development Fund, the European Social Fund Plus, the Cohesion Fund, the Just Transition Fund and the European Maritime, Fisheries and Aquaculture Fund and financial rules for those and for the Asylum, Migration and Integration Fund, the Internal Security Fund and the Instrument for Financial Support for Border Management and Visa Policy</w:t>
      </w:r>
      <w:r w:rsidR="00AC54C0" w:rsidRPr="00F401A0">
        <w:rPr>
          <w:sz w:val="20"/>
          <w:szCs w:val="20"/>
          <w:lang w:val="en-IE"/>
        </w:rPr>
        <w:t xml:space="preserve"> </w:t>
      </w:r>
      <w:r w:rsidR="00AC54C0" w:rsidRPr="00F401A0">
        <w:rPr>
          <w:rFonts w:eastAsia="Calibri"/>
          <w:sz w:val="20"/>
          <w:szCs w:val="20"/>
          <w:lang w:val="en-IE"/>
        </w:rPr>
        <w:t>(</w:t>
      </w:r>
      <w:hyperlink r:id="rId9" w:history="1">
        <w:r w:rsidR="00AC54C0" w:rsidRPr="00F401A0">
          <w:rPr>
            <w:rStyle w:val="Hyperlink"/>
            <w:sz w:val="20"/>
            <w:szCs w:val="20"/>
            <w:lang w:val="en-IE"/>
          </w:rPr>
          <w:t>http://data.europa.eu/eli/reg/2021/1060/oj</w:t>
        </w:r>
      </w:hyperlink>
      <w:r w:rsidR="00AC54C0" w:rsidRPr="00F401A0">
        <w:rPr>
          <w:sz w:val="20"/>
          <w:szCs w:val="20"/>
          <w:lang w:val="en-IE"/>
        </w:rPr>
        <w:t>).</w:t>
      </w:r>
    </w:p>
  </w:footnote>
  <w:footnote w:id="13">
    <w:p w14:paraId="61FC063B" w14:textId="4601C11E" w:rsidR="000F3AD3" w:rsidRPr="00F401A0" w:rsidRDefault="000F3AD3" w:rsidP="00F401A0">
      <w:pPr>
        <w:pStyle w:val="FootnoteText"/>
        <w:keepLines w:val="0"/>
        <w:widowControl w:val="0"/>
        <w:spacing w:after="0"/>
        <w:ind w:left="-426" w:right="-567" w:hanging="284"/>
        <w:rPr>
          <w:sz w:val="20"/>
          <w:szCs w:val="20"/>
          <w:lang w:val="en-IE"/>
        </w:rPr>
      </w:pPr>
      <w:r w:rsidRPr="009A49E1">
        <w:rPr>
          <w:rStyle w:val="FootnoteReference"/>
          <w:sz w:val="20"/>
          <w:szCs w:val="20"/>
        </w:rPr>
        <w:footnoteRef/>
      </w:r>
      <w:r w:rsidRPr="00F401A0">
        <w:rPr>
          <w:sz w:val="20"/>
          <w:szCs w:val="20"/>
          <w:lang w:val="en-IE"/>
        </w:rPr>
        <w:t xml:space="preserve"> </w:t>
      </w:r>
      <w:r w:rsidR="00AC54C0" w:rsidRPr="00F401A0">
        <w:rPr>
          <w:sz w:val="20"/>
          <w:szCs w:val="20"/>
          <w:lang w:val="en-IE"/>
        </w:rPr>
        <w:tab/>
      </w:r>
      <w:r w:rsidR="00AC54C0" w:rsidRPr="00F401A0">
        <w:rPr>
          <w:sz w:val="20"/>
          <w:szCs w:val="20"/>
          <w:lang w:val="en-GB"/>
        </w:rPr>
        <w:t>Charter of Fundamental Rights of the European Union (</w:t>
      </w:r>
      <w:hyperlink r:id="rId10" w:history="1">
        <w:r w:rsidRPr="00F401A0">
          <w:rPr>
            <w:rStyle w:val="Hyperlink"/>
            <w:sz w:val="20"/>
            <w:szCs w:val="20"/>
            <w:lang w:val="en-IE"/>
          </w:rPr>
          <w:t>EUR-Lex - 12012P/TXT - EN - EUR-Lex</w:t>
        </w:r>
      </w:hyperlink>
      <w:r w:rsidR="00AC54C0" w:rsidRPr="009A49E1">
        <w:rPr>
          <w:sz w:val="20"/>
          <w:szCs w:val="20"/>
        </w:rPr>
        <w:t>).</w:t>
      </w:r>
    </w:p>
  </w:footnote>
  <w:footnote w:id="14">
    <w:p w14:paraId="36F890FF" w14:textId="34AA224A" w:rsidR="006C3AFE" w:rsidRPr="00F401A0" w:rsidRDefault="006C3AFE" w:rsidP="00F401A0">
      <w:pPr>
        <w:pStyle w:val="FootnoteText"/>
        <w:keepLines w:val="0"/>
        <w:widowControl w:val="0"/>
        <w:spacing w:after="0"/>
        <w:ind w:left="-426" w:right="-567" w:hanging="284"/>
        <w:rPr>
          <w:sz w:val="20"/>
          <w:szCs w:val="20"/>
          <w:lang w:val="en-IE"/>
        </w:rPr>
      </w:pPr>
      <w:r w:rsidRPr="009A49E1">
        <w:rPr>
          <w:rStyle w:val="FootnoteReference"/>
          <w:sz w:val="20"/>
          <w:szCs w:val="20"/>
        </w:rPr>
        <w:footnoteRef/>
      </w:r>
      <w:r w:rsidRPr="00F401A0">
        <w:rPr>
          <w:sz w:val="20"/>
          <w:szCs w:val="20"/>
          <w:lang w:val="en-IE"/>
        </w:rPr>
        <w:t xml:space="preserve"> </w:t>
      </w:r>
      <w:r w:rsidR="00AC54C0" w:rsidRPr="00F401A0">
        <w:rPr>
          <w:sz w:val="20"/>
          <w:szCs w:val="20"/>
          <w:lang w:val="en-IE"/>
        </w:rPr>
        <w:tab/>
      </w:r>
      <w:r w:rsidR="00AC54C0" w:rsidRPr="009A49E1">
        <w:rPr>
          <w:sz w:val="20"/>
          <w:szCs w:val="20"/>
          <w:lang w:val="en-GB"/>
        </w:rPr>
        <w:t>COM(2008) 426 final (</w:t>
      </w:r>
      <w:hyperlink r:id="rId11" w:history="1">
        <w:r w:rsidRPr="00F401A0">
          <w:rPr>
            <w:rStyle w:val="Hyperlink"/>
            <w:rFonts w:eastAsia="Calibri"/>
            <w:sz w:val="20"/>
            <w:szCs w:val="20"/>
            <w:lang w:val="en-IE"/>
          </w:rPr>
          <w:t>EUR-Lex - 52008PC0426 - EN - EUR-Lex</w:t>
        </w:r>
      </w:hyperlink>
      <w:r w:rsidR="00AC54C0" w:rsidRPr="009A49E1">
        <w:rPr>
          <w:sz w:val="20"/>
          <w:szCs w:val="20"/>
        </w:rPr>
        <w:t>).</w:t>
      </w:r>
    </w:p>
  </w:footnote>
  <w:footnote w:id="15">
    <w:p w14:paraId="3D1DC4E0" w14:textId="7DF23870" w:rsidR="00FB4F0E" w:rsidRPr="00F401A0" w:rsidRDefault="00FB4F0E" w:rsidP="00F401A0">
      <w:pPr>
        <w:pStyle w:val="FootnoteText"/>
        <w:keepLines w:val="0"/>
        <w:widowControl w:val="0"/>
        <w:spacing w:after="0"/>
        <w:ind w:left="-426" w:right="-567" w:hanging="284"/>
        <w:rPr>
          <w:sz w:val="20"/>
          <w:szCs w:val="20"/>
          <w:lang w:val="en-IE"/>
        </w:rPr>
      </w:pPr>
      <w:r w:rsidRPr="009A49E1">
        <w:rPr>
          <w:rStyle w:val="FootnoteReference"/>
          <w:sz w:val="20"/>
          <w:szCs w:val="20"/>
        </w:rPr>
        <w:footnoteRef/>
      </w:r>
      <w:r w:rsidRPr="00F401A0">
        <w:rPr>
          <w:sz w:val="20"/>
          <w:szCs w:val="20"/>
          <w:lang w:val="en-IE"/>
        </w:rPr>
        <w:t xml:space="preserve"> </w:t>
      </w:r>
      <w:r w:rsidR="00AC54C0" w:rsidRPr="00F401A0">
        <w:rPr>
          <w:sz w:val="20"/>
          <w:szCs w:val="20"/>
          <w:lang w:val="en-IE"/>
        </w:rPr>
        <w:tab/>
      </w:r>
      <w:hyperlink r:id="rId12" w:history="1">
        <w:r w:rsidR="00AC54C0" w:rsidRPr="00F401A0">
          <w:rPr>
            <w:rStyle w:val="Hyperlink"/>
            <w:rFonts w:eastAsia="Calibri"/>
            <w:sz w:val="20"/>
            <w:szCs w:val="20"/>
            <w:lang w:val="en-IE"/>
          </w:rPr>
          <w:t>https://ec.europa.eu/commission/presscorner/detail/en/ip_25_681</w:t>
        </w:r>
      </w:hyperlink>
      <w:r w:rsidR="00AC54C0" w:rsidRPr="00F401A0">
        <w:rPr>
          <w:rFonts w:eastAsia="Calibri"/>
          <w:sz w:val="20"/>
          <w:szCs w:val="20"/>
          <w:lang w:val="en-IE"/>
        </w:rPr>
        <w:t>.</w:t>
      </w:r>
    </w:p>
  </w:footnote>
  <w:footnote w:id="16">
    <w:p w14:paraId="5F79A88F" w14:textId="6EB11334" w:rsidR="0079708B" w:rsidRPr="00F401A0" w:rsidRDefault="0079708B" w:rsidP="00F401A0">
      <w:pPr>
        <w:pStyle w:val="FootnoteText"/>
        <w:keepLines w:val="0"/>
        <w:widowControl w:val="0"/>
        <w:spacing w:after="0"/>
        <w:ind w:left="-426" w:right="-567" w:hanging="284"/>
        <w:rPr>
          <w:sz w:val="20"/>
          <w:szCs w:val="20"/>
          <w:lang w:val="en-IE"/>
        </w:rPr>
      </w:pPr>
      <w:r w:rsidRPr="009A49E1">
        <w:rPr>
          <w:rStyle w:val="FootnoteReference"/>
          <w:sz w:val="20"/>
          <w:szCs w:val="20"/>
        </w:rPr>
        <w:footnoteRef/>
      </w:r>
      <w:r w:rsidRPr="00F401A0">
        <w:rPr>
          <w:sz w:val="20"/>
          <w:szCs w:val="20"/>
          <w:lang w:val="en-IE"/>
        </w:rPr>
        <w:t xml:space="preserve"> </w:t>
      </w:r>
      <w:r w:rsidR="00AC54C0" w:rsidRPr="00F401A0">
        <w:rPr>
          <w:sz w:val="20"/>
          <w:szCs w:val="20"/>
          <w:lang w:val="en-IE"/>
        </w:rPr>
        <w:tab/>
      </w:r>
      <w:hyperlink r:id="rId13" w:history="1">
        <w:r w:rsidRPr="00F401A0">
          <w:rPr>
            <w:rStyle w:val="Hyperlink"/>
            <w:rFonts w:eastAsia="Calibri"/>
            <w:sz w:val="20"/>
            <w:szCs w:val="20"/>
            <w:lang w:val="en-IE"/>
          </w:rPr>
          <w:t>b4952371-4308-47ad-b995-02c539b75dda_en</w:t>
        </w:r>
      </w:hyperlink>
      <w:r w:rsidR="00AC54C0" w:rsidRPr="009A49E1">
        <w:rPr>
          <w:sz w:val="20"/>
          <w:szCs w:val="20"/>
        </w:rPr>
        <w:t>.</w:t>
      </w:r>
    </w:p>
  </w:footnote>
  <w:footnote w:id="17">
    <w:p w14:paraId="68B789FF" w14:textId="506C0C6F" w:rsidR="00820CA3" w:rsidRPr="00F401A0" w:rsidRDefault="00820CA3" w:rsidP="00F401A0">
      <w:pPr>
        <w:pStyle w:val="FootnoteText"/>
        <w:keepLines w:val="0"/>
        <w:widowControl w:val="0"/>
        <w:spacing w:after="0"/>
        <w:ind w:left="-426" w:right="-567" w:hanging="284"/>
        <w:rPr>
          <w:sz w:val="20"/>
          <w:szCs w:val="20"/>
          <w:lang w:val="en-IE"/>
        </w:rPr>
      </w:pPr>
      <w:r w:rsidRPr="009A49E1">
        <w:rPr>
          <w:rStyle w:val="FootnoteReference"/>
          <w:sz w:val="20"/>
          <w:szCs w:val="20"/>
        </w:rPr>
        <w:footnoteRef/>
      </w:r>
      <w:r w:rsidRPr="00F401A0">
        <w:rPr>
          <w:sz w:val="20"/>
          <w:szCs w:val="20"/>
          <w:lang w:val="en-IE"/>
        </w:rPr>
        <w:t xml:space="preserve"> </w:t>
      </w:r>
      <w:r w:rsidR="00AC54C0" w:rsidRPr="00F401A0">
        <w:rPr>
          <w:sz w:val="20"/>
          <w:szCs w:val="20"/>
          <w:lang w:val="en-IE"/>
        </w:rPr>
        <w:tab/>
      </w:r>
      <w:hyperlink r:id="rId14" w:history="1">
        <w:r w:rsidR="00AC54C0" w:rsidRPr="00F401A0">
          <w:rPr>
            <w:rStyle w:val="Hyperlink"/>
            <w:rFonts w:eastAsia="Calibri"/>
            <w:sz w:val="20"/>
            <w:szCs w:val="20"/>
            <w:lang w:val="en-IE"/>
          </w:rPr>
          <w:t>https://ec.europa.eu/commission/presscorner/detail/en/ip_20_1813</w:t>
        </w:r>
      </w:hyperlink>
      <w:r w:rsidR="00AC54C0" w:rsidRPr="00F401A0">
        <w:rPr>
          <w:rFonts w:eastAsia="Calibri"/>
          <w:sz w:val="20"/>
          <w:szCs w:val="20"/>
          <w:lang w:val="en-IE"/>
        </w:rPr>
        <w:t>.</w:t>
      </w:r>
    </w:p>
  </w:footnote>
  <w:footnote w:id="18">
    <w:p w14:paraId="5DA3AE4A" w14:textId="340D877B" w:rsidR="00C06475" w:rsidRPr="00F401A0" w:rsidRDefault="00C06475" w:rsidP="00F401A0">
      <w:pPr>
        <w:pStyle w:val="FootnoteText"/>
        <w:keepLines w:val="0"/>
        <w:widowControl w:val="0"/>
        <w:spacing w:after="0"/>
        <w:ind w:left="-426" w:right="-567" w:hanging="284"/>
        <w:rPr>
          <w:sz w:val="20"/>
          <w:szCs w:val="20"/>
          <w:lang w:val="en-IE"/>
        </w:rPr>
      </w:pPr>
      <w:r w:rsidRPr="00AC54C0">
        <w:rPr>
          <w:rStyle w:val="FootnoteReference"/>
          <w:sz w:val="20"/>
          <w:szCs w:val="20"/>
        </w:rPr>
        <w:footnoteRef/>
      </w:r>
      <w:r w:rsidRPr="00F401A0">
        <w:rPr>
          <w:sz w:val="20"/>
          <w:szCs w:val="20"/>
          <w:lang w:val="en-IE"/>
        </w:rPr>
        <w:t xml:space="preserve"> </w:t>
      </w:r>
      <w:r w:rsidR="00AC54C0" w:rsidRPr="00F401A0">
        <w:rPr>
          <w:sz w:val="20"/>
          <w:szCs w:val="20"/>
          <w:lang w:val="en-IE"/>
        </w:rPr>
        <w:tab/>
      </w:r>
      <w:r w:rsidR="009A49E1" w:rsidRPr="00F401A0">
        <w:rPr>
          <w:rFonts w:ascii="Roboto" w:eastAsia="Calibri" w:hAnsi="Roboto"/>
          <w:color w:val="333333"/>
          <w:sz w:val="21"/>
          <w:szCs w:val="21"/>
          <w:shd w:val="clear" w:color="auto" w:fill="FFFFFF"/>
          <w:lang w:val="en-GB"/>
        </w:rPr>
        <w:t xml:space="preserve"> </w:t>
      </w:r>
      <w:r w:rsidR="009A49E1" w:rsidRPr="00F401A0">
        <w:rPr>
          <w:sz w:val="20"/>
          <w:szCs w:val="20"/>
          <w:lang w:val="en-GB"/>
        </w:rPr>
        <w:t>Directive (EU) 2024/2841 of the European Parliament and of the Council of 23 October 2024 establishing the European Disability Card and the European Parking Card for persons with disabilities (</w:t>
      </w:r>
      <w:hyperlink r:id="rId15" w:tooltip="Gives access to this document through its ELI URI." w:history="1">
        <w:r w:rsidR="009A49E1" w:rsidRPr="00F401A0">
          <w:rPr>
            <w:rStyle w:val="Hyperlink"/>
            <w:sz w:val="20"/>
            <w:szCs w:val="20"/>
            <w:lang w:val="en-GB"/>
          </w:rPr>
          <w:t>http://data.europa.eu/eli/dir/2024/2841/oj</w:t>
        </w:r>
      </w:hyperlink>
      <w:r w:rsidR="009A49E1" w:rsidRPr="00F401A0">
        <w:rPr>
          <w:sz w:val="20"/>
          <w:szCs w:val="20"/>
          <w:lang w:val="en-GB"/>
        </w:rPr>
        <w:t>).</w:t>
      </w:r>
    </w:p>
  </w:footnote>
  <w:footnote w:id="19">
    <w:p w14:paraId="303D0277" w14:textId="06134C7C" w:rsidR="000F3AD3" w:rsidRPr="00F401A0" w:rsidRDefault="000F3AD3" w:rsidP="00F401A0">
      <w:pPr>
        <w:pStyle w:val="FootnoteText"/>
        <w:keepLines w:val="0"/>
        <w:widowControl w:val="0"/>
        <w:spacing w:after="0"/>
        <w:ind w:left="-426" w:right="-851" w:hanging="284"/>
        <w:rPr>
          <w:sz w:val="20"/>
          <w:szCs w:val="20"/>
          <w:lang w:val="en-IE"/>
        </w:rPr>
      </w:pPr>
      <w:r w:rsidRPr="009A49E1">
        <w:rPr>
          <w:rStyle w:val="FootnoteReference"/>
          <w:sz w:val="20"/>
          <w:szCs w:val="20"/>
        </w:rPr>
        <w:footnoteRef/>
      </w:r>
      <w:r w:rsidRPr="00F401A0">
        <w:rPr>
          <w:sz w:val="20"/>
          <w:szCs w:val="20"/>
          <w:lang w:val="en-IE"/>
        </w:rPr>
        <w:t xml:space="preserve"> </w:t>
      </w:r>
      <w:r w:rsidR="009A49E1" w:rsidRPr="00F401A0">
        <w:rPr>
          <w:sz w:val="20"/>
          <w:szCs w:val="20"/>
          <w:lang w:val="en-IE"/>
        </w:rPr>
        <w:tab/>
      </w:r>
      <w:hyperlink r:id="rId16" w:history="1">
        <w:proofErr w:type="spellStart"/>
        <w:r w:rsidRPr="00F401A0">
          <w:rPr>
            <w:rStyle w:val="Hyperlink"/>
            <w:sz w:val="20"/>
            <w:szCs w:val="20"/>
            <w:lang w:val="en-IE"/>
          </w:rPr>
          <w:t>AccessibleEU</w:t>
        </w:r>
        <w:proofErr w:type="spellEnd"/>
        <w:r w:rsidRPr="00F401A0">
          <w:rPr>
            <w:rStyle w:val="Hyperlink"/>
            <w:sz w:val="20"/>
            <w:szCs w:val="20"/>
            <w:lang w:val="en-IE"/>
          </w:rPr>
          <w:t xml:space="preserve"> - European Commission</w:t>
        </w:r>
      </w:hyperlink>
      <w:r w:rsidR="009A49E1" w:rsidRPr="00F401A0">
        <w:rPr>
          <w:sz w:val="20"/>
          <w:szCs w:val="20"/>
          <w:lang w:val="en-IE"/>
        </w:rPr>
        <w:t>.</w:t>
      </w:r>
    </w:p>
  </w:footnote>
  <w:footnote w:id="20">
    <w:p w14:paraId="625CC92F" w14:textId="2D69D982" w:rsidR="000F3AD3" w:rsidRPr="00F401A0" w:rsidRDefault="000F3AD3" w:rsidP="00F401A0">
      <w:pPr>
        <w:pStyle w:val="FootnoteText"/>
        <w:keepLines w:val="0"/>
        <w:widowControl w:val="0"/>
        <w:spacing w:after="0"/>
        <w:ind w:left="-426" w:right="-851" w:hanging="284"/>
        <w:rPr>
          <w:sz w:val="20"/>
          <w:szCs w:val="20"/>
          <w:lang w:val="en-IE"/>
        </w:rPr>
      </w:pPr>
      <w:r w:rsidRPr="009A49E1">
        <w:rPr>
          <w:rStyle w:val="FootnoteReference"/>
          <w:sz w:val="20"/>
          <w:szCs w:val="20"/>
        </w:rPr>
        <w:footnoteRef/>
      </w:r>
      <w:r w:rsidRPr="00F401A0">
        <w:rPr>
          <w:sz w:val="20"/>
          <w:szCs w:val="20"/>
          <w:lang w:val="en-IE"/>
        </w:rPr>
        <w:t xml:space="preserve"> </w:t>
      </w:r>
      <w:r w:rsidR="009A49E1" w:rsidRPr="00F401A0">
        <w:rPr>
          <w:sz w:val="20"/>
          <w:szCs w:val="20"/>
          <w:lang w:val="en-IE"/>
        </w:rPr>
        <w:tab/>
      </w:r>
      <w:r w:rsidR="009A49E1" w:rsidRPr="00F401A0">
        <w:rPr>
          <w:sz w:val="20"/>
          <w:szCs w:val="20"/>
          <w:lang w:val="en-GB"/>
        </w:rPr>
        <w:t>Directive (EU) 2024/1385 of the European Parliament and of the Council of 14 May 2024 on combating violence against women and domestic violence</w:t>
      </w:r>
      <w:r w:rsidRPr="00F401A0">
        <w:rPr>
          <w:sz w:val="20"/>
          <w:szCs w:val="20"/>
          <w:lang w:val="en-IE"/>
        </w:rPr>
        <w:t xml:space="preserve"> </w:t>
      </w:r>
      <w:r w:rsidR="009A49E1" w:rsidRPr="009A49E1">
        <w:rPr>
          <w:sz w:val="20"/>
          <w:szCs w:val="20"/>
          <w:lang w:val="en-IE"/>
        </w:rPr>
        <w:t>(</w:t>
      </w:r>
      <w:hyperlink r:id="rId17" w:tooltip="Gives access to this document through its ELI URI." w:history="1">
        <w:r w:rsidR="009A49E1" w:rsidRPr="009A49E1">
          <w:rPr>
            <w:rStyle w:val="Hyperlink"/>
            <w:sz w:val="20"/>
            <w:szCs w:val="20"/>
            <w:lang w:val="en-GB"/>
          </w:rPr>
          <w:t>http://data.europa.eu/eli/dir/2024/1385/oj</w:t>
        </w:r>
      </w:hyperlink>
      <w:r w:rsidR="009A49E1" w:rsidRPr="009A49E1">
        <w:rPr>
          <w:sz w:val="20"/>
          <w:szCs w:val="20"/>
          <w:lang w:val="en-IE"/>
        </w:rPr>
        <w:t>).</w:t>
      </w:r>
    </w:p>
  </w:footnote>
  <w:footnote w:id="21">
    <w:p w14:paraId="1387EB92" w14:textId="50CA2D5D" w:rsidR="000F3AD3" w:rsidRPr="00AE65AF" w:rsidRDefault="000F3AD3" w:rsidP="00F401A0">
      <w:pPr>
        <w:pStyle w:val="FootnoteText"/>
        <w:keepLines w:val="0"/>
        <w:widowControl w:val="0"/>
        <w:spacing w:after="0"/>
        <w:ind w:left="-426" w:right="-851" w:hanging="284"/>
        <w:rPr>
          <w:sz w:val="20"/>
          <w:szCs w:val="20"/>
          <w:lang w:val="en-IE"/>
        </w:rPr>
      </w:pPr>
      <w:r w:rsidRPr="009A49E1">
        <w:rPr>
          <w:rStyle w:val="FootnoteReference"/>
          <w:sz w:val="20"/>
          <w:szCs w:val="20"/>
        </w:rPr>
        <w:footnoteRef/>
      </w:r>
      <w:r w:rsidRPr="00AE65AF">
        <w:rPr>
          <w:sz w:val="20"/>
          <w:szCs w:val="20"/>
          <w:lang w:val="en-IE"/>
        </w:rPr>
        <w:t xml:space="preserve"> </w:t>
      </w:r>
      <w:r w:rsidR="009A49E1" w:rsidRPr="00AE65AF">
        <w:rPr>
          <w:sz w:val="20"/>
          <w:szCs w:val="20"/>
          <w:lang w:val="en-IE"/>
        </w:rPr>
        <w:tab/>
      </w:r>
      <w:r w:rsidR="009A49E1" w:rsidRPr="00AE65AF">
        <w:rPr>
          <w:sz w:val="20"/>
          <w:szCs w:val="20"/>
          <w:lang w:val="en-IE"/>
        </w:rPr>
        <w:t>COM(2022) 105 final (</w:t>
      </w:r>
      <w:r>
        <w:fldChar w:fldCharType="begin"/>
      </w:r>
      <w:r>
        <w:instrText>HYPERLINK "https://eur-lex.europa.eu/legal-content/EN/TXT/?uri=CELEX:52022PC0105"</w:instrText>
      </w:r>
      <w:r>
        <w:fldChar w:fldCharType="separate"/>
      </w:r>
      <w:r w:rsidRPr="00AE65AF">
        <w:rPr>
          <w:rStyle w:val="Hyperlink"/>
          <w:sz w:val="20"/>
          <w:szCs w:val="20"/>
          <w:lang w:val="en-IE"/>
        </w:rPr>
        <w:t>EUR-Lex - 52022PC0105 - EN - EUR-Lex</w:t>
      </w:r>
      <w:r>
        <w:fldChar w:fldCharType="end"/>
      </w:r>
      <w:r w:rsidR="009A49E1" w:rsidRPr="00AE65AF">
        <w:rPr>
          <w:sz w:val="20"/>
          <w:szCs w:val="20"/>
          <w:lang w:val="en-IE"/>
        </w:rPr>
        <w:t>).</w:t>
      </w:r>
    </w:p>
  </w:footnote>
  <w:footnote w:id="22">
    <w:p w14:paraId="71C8B86E" w14:textId="773B1A27" w:rsidR="6F6BD390" w:rsidRPr="00AE65AF" w:rsidRDefault="6F6BD390" w:rsidP="00EE3290">
      <w:pPr>
        <w:widowControl w:val="0"/>
        <w:spacing w:after="0" w:line="240" w:lineRule="auto"/>
        <w:ind w:left="-426" w:right="-851" w:hanging="284"/>
        <w:jc w:val="both"/>
        <w:rPr>
          <w:rFonts w:ascii="Times New Roman" w:hAnsi="Times New Roman"/>
          <w:sz w:val="20"/>
          <w:szCs w:val="20"/>
          <w:lang w:val="en-IE"/>
        </w:rPr>
      </w:pPr>
      <w:r w:rsidRPr="009A49E1">
        <w:rPr>
          <w:rFonts w:ascii="Times New Roman" w:hAnsi="Times New Roman"/>
          <w:sz w:val="20"/>
          <w:szCs w:val="20"/>
          <w:vertAlign w:val="superscript"/>
        </w:rPr>
        <w:footnoteRef/>
      </w:r>
      <w:r w:rsidRPr="00AE65AF">
        <w:rPr>
          <w:rFonts w:ascii="Times New Roman" w:hAnsi="Times New Roman"/>
          <w:sz w:val="20"/>
          <w:szCs w:val="20"/>
          <w:lang w:val="en-IE"/>
        </w:rPr>
        <w:t xml:space="preserve"> </w:t>
      </w:r>
      <w:r w:rsidR="009A49E1" w:rsidRPr="00AE65AF">
        <w:rPr>
          <w:rFonts w:ascii="Times New Roman" w:hAnsi="Times New Roman"/>
          <w:sz w:val="20"/>
          <w:szCs w:val="20"/>
          <w:lang w:val="en-IE"/>
        </w:rPr>
        <w:tab/>
      </w:r>
      <w:r w:rsidR="00F00723" w:rsidRPr="00AE65AF">
        <w:rPr>
          <w:rFonts w:ascii="Times New Roman" w:hAnsi="Times New Roman"/>
          <w:sz w:val="20"/>
          <w:szCs w:val="20"/>
          <w:lang w:val="en-IE"/>
        </w:rPr>
        <w:t>COM(2020) 624 final (</w:t>
      </w:r>
      <w:r>
        <w:fldChar w:fldCharType="begin"/>
      </w:r>
      <w:r>
        <w:instrText>HYPERLINK "https://eur-lex.europa.eu/legal-content/EN/TXT/?uri=CELEX%3A52020DC0624"</w:instrText>
      </w:r>
      <w:r>
        <w:fldChar w:fldCharType="separate"/>
      </w:r>
      <w:r w:rsidRPr="00AE65AF">
        <w:rPr>
          <w:rStyle w:val="Hyperlink"/>
          <w:rFonts w:ascii="Times New Roman" w:hAnsi="Times New Roman"/>
          <w:sz w:val="20"/>
          <w:szCs w:val="20"/>
          <w:lang w:val="en-IE"/>
        </w:rPr>
        <w:t>EUR-Lex - 52020DC0624 - EN - EUR-Lex</w:t>
      </w:r>
      <w:r>
        <w:fldChar w:fldCharType="end"/>
      </w:r>
      <w:r w:rsidR="00F00723" w:rsidRPr="00AE65AF">
        <w:rPr>
          <w:rFonts w:ascii="Times New Roman" w:hAnsi="Times New Roman"/>
          <w:sz w:val="20"/>
          <w:szCs w:val="20"/>
          <w:lang w:val="en-IE"/>
        </w:rPr>
        <w:t>)</w:t>
      </w:r>
      <w:r w:rsidR="003433AF" w:rsidRPr="00AE65AF">
        <w:rPr>
          <w:rFonts w:ascii="Times New Roman" w:hAnsi="Times New Roman"/>
          <w:sz w:val="20"/>
          <w:szCs w:val="20"/>
          <w:lang w:val="en-IE"/>
        </w:rPr>
        <w:t>.</w:t>
      </w:r>
    </w:p>
  </w:footnote>
  <w:footnote w:id="23">
    <w:p w14:paraId="35998B43" w14:textId="7FF6856F" w:rsidR="6F6BD390" w:rsidRPr="009A49E1" w:rsidRDefault="6F6BD390" w:rsidP="00EE3290">
      <w:pPr>
        <w:widowControl w:val="0"/>
        <w:spacing w:after="0" w:line="240" w:lineRule="auto"/>
        <w:ind w:left="-426" w:right="-851" w:hanging="284"/>
        <w:jc w:val="both"/>
        <w:rPr>
          <w:rFonts w:ascii="Times New Roman" w:hAnsi="Times New Roman"/>
          <w:sz w:val="20"/>
          <w:szCs w:val="20"/>
        </w:rPr>
      </w:pPr>
      <w:r w:rsidRPr="009A49E1">
        <w:rPr>
          <w:rFonts w:ascii="Times New Roman" w:hAnsi="Times New Roman"/>
          <w:sz w:val="20"/>
          <w:szCs w:val="20"/>
          <w:vertAlign w:val="superscript"/>
        </w:rPr>
        <w:footnoteRef/>
      </w:r>
      <w:r w:rsidRPr="009A49E1">
        <w:rPr>
          <w:rFonts w:ascii="Times New Roman" w:hAnsi="Times New Roman"/>
          <w:sz w:val="20"/>
          <w:szCs w:val="20"/>
          <w:vertAlign w:val="superscript"/>
        </w:rPr>
        <w:t xml:space="preserve"> </w:t>
      </w:r>
      <w:r w:rsidR="009A49E1" w:rsidRPr="009A49E1">
        <w:rPr>
          <w:rFonts w:ascii="Times New Roman" w:hAnsi="Times New Roman"/>
          <w:sz w:val="20"/>
          <w:szCs w:val="20"/>
          <w:vertAlign w:val="superscript"/>
        </w:rPr>
        <w:tab/>
      </w:r>
      <w:hyperlink r:id="rId18" w:history="1">
        <w:r w:rsidRPr="009A49E1">
          <w:rPr>
            <w:rStyle w:val="Hyperlink"/>
            <w:rFonts w:ascii="Times New Roman" w:hAnsi="Times New Roman"/>
            <w:sz w:val="20"/>
            <w:szCs w:val="20"/>
          </w:rPr>
          <w:t>Council Recommendation of 23 November 2023 on the key enabling factors for successful digital education and training</w:t>
        </w:r>
      </w:hyperlink>
      <w:r w:rsidRPr="009A49E1">
        <w:rPr>
          <w:rFonts w:ascii="Times New Roman" w:hAnsi="Times New Roman"/>
          <w:sz w:val="20"/>
          <w:szCs w:val="20"/>
        </w:rPr>
        <w:t xml:space="preserve"> </w:t>
      </w:r>
      <w:r w:rsidR="00F00723">
        <w:rPr>
          <w:rFonts w:ascii="Times New Roman" w:hAnsi="Times New Roman"/>
          <w:sz w:val="20"/>
          <w:szCs w:val="20"/>
        </w:rPr>
        <w:t xml:space="preserve"> (</w:t>
      </w:r>
      <w:r w:rsidR="00F00723" w:rsidRPr="00F00723">
        <w:rPr>
          <w:rFonts w:ascii="Times New Roman" w:hAnsi="Times New Roman"/>
          <w:sz w:val="20"/>
          <w:szCs w:val="20"/>
        </w:rPr>
        <w:t>C/2024/1115</w:t>
      </w:r>
      <w:r w:rsidR="00F00723">
        <w:rPr>
          <w:rFonts w:ascii="Times New Roman" w:hAnsi="Times New Roman"/>
          <w:sz w:val="20"/>
          <w:szCs w:val="20"/>
        </w:rPr>
        <w:t>).</w:t>
      </w:r>
    </w:p>
  </w:footnote>
  <w:footnote w:id="24">
    <w:p w14:paraId="58BE9859" w14:textId="31675469" w:rsidR="00101897" w:rsidRPr="009A49E1" w:rsidRDefault="00101897" w:rsidP="00EE3290">
      <w:pPr>
        <w:pStyle w:val="FootnoteText"/>
        <w:keepLines w:val="0"/>
        <w:widowControl w:val="0"/>
        <w:spacing w:after="0"/>
        <w:ind w:left="-426" w:right="-851" w:hanging="284"/>
        <w:rPr>
          <w:sz w:val="20"/>
          <w:szCs w:val="20"/>
        </w:rPr>
      </w:pPr>
      <w:r w:rsidRPr="009A49E1">
        <w:rPr>
          <w:rStyle w:val="FootnoteReference"/>
          <w:sz w:val="20"/>
          <w:szCs w:val="20"/>
        </w:rPr>
        <w:footnoteRef/>
      </w:r>
      <w:r w:rsidRPr="009A49E1">
        <w:rPr>
          <w:sz w:val="20"/>
          <w:szCs w:val="20"/>
        </w:rPr>
        <w:t xml:space="preserve"> </w:t>
      </w:r>
      <w:r w:rsidR="009A49E1" w:rsidRPr="009A49E1">
        <w:rPr>
          <w:sz w:val="20"/>
          <w:szCs w:val="20"/>
        </w:rPr>
        <w:tab/>
      </w:r>
      <w:r w:rsidRPr="009A49E1">
        <w:rPr>
          <w:sz w:val="20"/>
          <w:szCs w:val="20"/>
        </w:rPr>
        <w:t xml:space="preserve">Point 51 of </w:t>
      </w:r>
      <w:hyperlink r:id="rId19" w:history="1">
        <w:r w:rsidRPr="009A49E1">
          <w:rPr>
            <w:rStyle w:val="Hyperlink"/>
            <w:sz w:val="20"/>
            <w:szCs w:val="20"/>
            <w:lang w:val="en-GB"/>
          </w:rPr>
          <w:t>Concluding observations on the combined 2nd and 3rd periodic reports of the European Union</w:t>
        </w:r>
        <w:r w:rsidR="00045B75">
          <w:rPr>
            <w:rStyle w:val="Hyperlink"/>
            <w:sz w:val="20"/>
            <w:szCs w:val="20"/>
            <w:lang w:val="en-GB"/>
          </w:rPr>
          <w:t>.</w:t>
        </w:r>
        <w:r w:rsidRPr="009A49E1">
          <w:rPr>
            <w:rStyle w:val="Hyperlink"/>
            <w:sz w:val="20"/>
            <w:szCs w:val="20"/>
            <w:lang w:val="en-GB"/>
          </w:rPr>
          <w:t>:</w:t>
        </w:r>
      </w:hyperlink>
    </w:p>
  </w:footnote>
  <w:footnote w:id="25">
    <w:p w14:paraId="6E9F6792" w14:textId="641E1EED" w:rsidR="00101897" w:rsidRPr="00F401A0" w:rsidRDefault="00101897" w:rsidP="00F401A0">
      <w:pPr>
        <w:pStyle w:val="FootnoteText"/>
        <w:keepLines w:val="0"/>
        <w:widowControl w:val="0"/>
        <w:spacing w:after="0"/>
        <w:ind w:left="-426" w:right="-851" w:hanging="284"/>
        <w:rPr>
          <w:sz w:val="20"/>
          <w:szCs w:val="20"/>
          <w:lang w:val="en-IE"/>
        </w:rPr>
      </w:pPr>
      <w:r w:rsidRPr="00F401A0">
        <w:rPr>
          <w:rStyle w:val="FootnoteReference"/>
          <w:sz w:val="20"/>
          <w:szCs w:val="20"/>
        </w:rPr>
        <w:footnoteRef/>
      </w:r>
      <w:r w:rsidRPr="00F401A0">
        <w:rPr>
          <w:sz w:val="20"/>
          <w:szCs w:val="20"/>
          <w:lang w:val="en-IE"/>
        </w:rPr>
        <w:t xml:space="preserve"> </w:t>
      </w:r>
      <w:r w:rsidR="009A49E1" w:rsidRPr="00F401A0">
        <w:rPr>
          <w:sz w:val="20"/>
          <w:szCs w:val="20"/>
          <w:lang w:val="en-IE"/>
        </w:rPr>
        <w:tab/>
      </w:r>
      <w:r w:rsidR="00045B75" w:rsidRPr="00F401A0">
        <w:rPr>
          <w:sz w:val="20"/>
          <w:szCs w:val="20"/>
          <w:lang w:val="en-GB"/>
        </w:rPr>
        <w:t>Regulation (EC) No 1107/2006 of the European Parliament and of the Council of 5 July 2006 concerning the rights of disabled persons and persons with reduced mobility when travelling by air</w:t>
      </w:r>
      <w:r w:rsidRPr="00F401A0">
        <w:rPr>
          <w:sz w:val="20"/>
          <w:szCs w:val="20"/>
          <w:lang w:val="en-IE"/>
        </w:rPr>
        <w:t xml:space="preserve"> </w:t>
      </w:r>
      <w:r w:rsidR="00045B75">
        <w:rPr>
          <w:sz w:val="20"/>
          <w:szCs w:val="20"/>
          <w:lang w:val="en-IE"/>
        </w:rPr>
        <w:t>(</w:t>
      </w:r>
      <w:hyperlink r:id="rId20" w:history="1">
        <w:r w:rsidR="00045B75" w:rsidRPr="00045B75">
          <w:rPr>
            <w:rStyle w:val="Hyperlink"/>
            <w:sz w:val="20"/>
            <w:szCs w:val="20"/>
            <w:lang w:val="en-GB"/>
          </w:rPr>
          <w:t>http://data.europa.eu/eli/reg/2006/1107/oj</w:t>
        </w:r>
      </w:hyperlink>
      <w:r w:rsidR="00045B75">
        <w:rPr>
          <w:sz w:val="20"/>
          <w:szCs w:val="20"/>
          <w:lang w:val="en-IE"/>
        </w:rPr>
        <w:t>).</w:t>
      </w:r>
    </w:p>
  </w:footnote>
  <w:footnote w:id="26">
    <w:p w14:paraId="49B97EDF" w14:textId="729561AE" w:rsidR="008313D6" w:rsidRPr="00F401A0" w:rsidRDefault="008313D6" w:rsidP="00F401A0">
      <w:pPr>
        <w:pStyle w:val="FootnoteText"/>
        <w:keepLines w:val="0"/>
        <w:widowControl w:val="0"/>
        <w:spacing w:after="0"/>
        <w:ind w:left="-426" w:right="-851" w:hanging="284"/>
        <w:rPr>
          <w:sz w:val="20"/>
          <w:szCs w:val="20"/>
          <w:lang w:val="en-IE"/>
        </w:rPr>
      </w:pPr>
      <w:r w:rsidRPr="00F401A0">
        <w:rPr>
          <w:rStyle w:val="FootnoteReference"/>
          <w:sz w:val="20"/>
          <w:szCs w:val="20"/>
        </w:rPr>
        <w:footnoteRef/>
      </w:r>
      <w:r w:rsidRPr="00F401A0">
        <w:rPr>
          <w:sz w:val="20"/>
          <w:szCs w:val="20"/>
          <w:lang w:val="en-IE"/>
        </w:rPr>
        <w:t xml:space="preserve"> </w:t>
      </w:r>
      <w:r w:rsidR="009A49E1" w:rsidRPr="00F401A0">
        <w:rPr>
          <w:sz w:val="20"/>
          <w:szCs w:val="20"/>
          <w:lang w:val="en-IE"/>
        </w:rPr>
        <w:tab/>
      </w:r>
      <w:r w:rsidR="00045B75" w:rsidRPr="00F401A0">
        <w:rPr>
          <w:sz w:val="20"/>
          <w:szCs w:val="20"/>
          <w:lang w:val="en-GB"/>
        </w:rPr>
        <w:t>Regulation (EU) 2024/1689 of the European Parliament and of the Council of 13 June 2024 laying down harmonised rules on artificial intelligence and amending Regulations (EC) No 300/2008, (EU) No 167/2013, (EU) No 168/2013, (EU) 2018/858, (EU) 2018/1139 and (EU) 2019/2144 and Directives 2014/90/EU, (EU) 2016/797 and (EU) 2020/1828 (Artificial Intelligence Act)</w:t>
      </w:r>
      <w:r w:rsidRPr="00F401A0">
        <w:rPr>
          <w:sz w:val="20"/>
          <w:szCs w:val="20"/>
          <w:lang w:val="en-IE"/>
        </w:rPr>
        <w:t xml:space="preserve"> </w:t>
      </w:r>
      <w:r w:rsidR="00045B75">
        <w:rPr>
          <w:sz w:val="20"/>
          <w:szCs w:val="20"/>
          <w:lang w:val="en-IE"/>
        </w:rPr>
        <w:t>(</w:t>
      </w:r>
      <w:hyperlink r:id="rId21" w:tooltip="Gives access to this document through its ELI URI." w:history="1">
        <w:r w:rsidR="00045B75" w:rsidRPr="00045B75">
          <w:rPr>
            <w:rStyle w:val="Hyperlink"/>
            <w:sz w:val="20"/>
            <w:szCs w:val="20"/>
            <w:lang w:val="en-GB"/>
          </w:rPr>
          <w:t>http://data.europa.eu/eli/reg/2024/1689/oj</w:t>
        </w:r>
      </w:hyperlink>
      <w:r w:rsidR="00045B75">
        <w:rPr>
          <w:sz w:val="20"/>
          <w:szCs w:val="20"/>
          <w:lang w:val="en-IE"/>
        </w:rPr>
        <w:t>).</w:t>
      </w:r>
    </w:p>
  </w:footnote>
  <w:footnote w:id="27">
    <w:p w14:paraId="498ACE54" w14:textId="09C86C5F" w:rsidR="007F5A8F" w:rsidRPr="00F401A0" w:rsidRDefault="007F5A8F" w:rsidP="00F401A0">
      <w:pPr>
        <w:pStyle w:val="FootnoteText"/>
        <w:keepLines w:val="0"/>
        <w:widowControl w:val="0"/>
        <w:spacing w:after="0"/>
        <w:ind w:left="-426" w:right="-851" w:hanging="284"/>
        <w:rPr>
          <w:sz w:val="20"/>
          <w:szCs w:val="20"/>
          <w:lang w:val="fr-BE"/>
        </w:rPr>
      </w:pPr>
      <w:r w:rsidRPr="00F401A0">
        <w:rPr>
          <w:rStyle w:val="FootnoteReference"/>
          <w:sz w:val="20"/>
          <w:szCs w:val="20"/>
        </w:rPr>
        <w:footnoteRef/>
      </w:r>
      <w:r w:rsidRPr="009A49E1">
        <w:rPr>
          <w:sz w:val="20"/>
          <w:szCs w:val="20"/>
          <w:lang w:val="fr-BE"/>
        </w:rPr>
        <w:t xml:space="preserve"> </w:t>
      </w:r>
      <w:r w:rsidR="009A49E1" w:rsidRPr="009A49E1">
        <w:rPr>
          <w:sz w:val="20"/>
          <w:szCs w:val="20"/>
          <w:lang w:val="fr-BE"/>
        </w:rPr>
        <w:tab/>
      </w:r>
      <w:proofErr w:type="gramStart"/>
      <w:r w:rsidR="00045B75" w:rsidRPr="00F401A0">
        <w:rPr>
          <w:sz w:val="20"/>
          <w:szCs w:val="20"/>
          <w:lang w:val="fr-BE"/>
        </w:rPr>
        <w:t>JOIN</w:t>
      </w:r>
      <w:r w:rsidR="00045B75">
        <w:rPr>
          <w:sz w:val="20"/>
          <w:szCs w:val="20"/>
          <w:lang w:val="fr-BE"/>
        </w:rPr>
        <w:t>(</w:t>
      </w:r>
      <w:proofErr w:type="gramEnd"/>
      <w:r w:rsidR="00045B75" w:rsidRPr="00F401A0">
        <w:rPr>
          <w:sz w:val="20"/>
          <w:szCs w:val="20"/>
          <w:lang w:val="fr-BE"/>
        </w:rPr>
        <w:t>2020</w:t>
      </w:r>
      <w:r w:rsidR="00045B75">
        <w:rPr>
          <w:sz w:val="20"/>
          <w:szCs w:val="20"/>
          <w:lang w:val="fr-BE"/>
        </w:rPr>
        <w:t xml:space="preserve">) </w:t>
      </w:r>
      <w:r w:rsidR="00045B75" w:rsidRPr="00F401A0">
        <w:rPr>
          <w:sz w:val="20"/>
          <w:szCs w:val="20"/>
          <w:lang w:val="fr-BE"/>
        </w:rPr>
        <w:t>5 final</w:t>
      </w:r>
      <w:r w:rsidR="00045B75" w:rsidRPr="00045B75">
        <w:rPr>
          <w:sz w:val="20"/>
          <w:szCs w:val="20"/>
          <w:lang w:val="fr-BE"/>
        </w:rPr>
        <w:t xml:space="preserve"> </w:t>
      </w:r>
      <w:r w:rsidR="00045B75">
        <w:rPr>
          <w:sz w:val="20"/>
          <w:szCs w:val="20"/>
          <w:lang w:val="fr-BE"/>
        </w:rPr>
        <w:t>(</w:t>
      </w:r>
      <w:hyperlink r:id="rId22" w:history="1">
        <w:r w:rsidRPr="009A49E1">
          <w:rPr>
            <w:rStyle w:val="Hyperlink"/>
            <w:sz w:val="20"/>
            <w:szCs w:val="20"/>
            <w:lang w:val="fr-BE"/>
          </w:rPr>
          <w:t>EUR-Lex - 52020JC0005 - EN - EUR-Lex</w:t>
        </w:r>
      </w:hyperlink>
      <w:r w:rsidR="00045B75" w:rsidRPr="00F401A0">
        <w:rPr>
          <w:sz w:val="20"/>
          <w:szCs w:val="20"/>
          <w:lang w:val="fr-BE"/>
        </w:rPr>
        <w:t>)</w:t>
      </w:r>
      <w:r w:rsidR="00045B75">
        <w:rPr>
          <w:sz w:val="20"/>
          <w:szCs w:val="20"/>
          <w:lang w:val="fr-BE"/>
        </w:rPr>
        <w:t>.</w:t>
      </w:r>
    </w:p>
  </w:footnote>
  <w:footnote w:id="28">
    <w:p w14:paraId="193BCDAF" w14:textId="67D14C84" w:rsidR="00996D21" w:rsidRPr="00F401A0" w:rsidRDefault="00996D21" w:rsidP="00F401A0">
      <w:pPr>
        <w:pStyle w:val="FootnoteText"/>
        <w:keepLines w:val="0"/>
        <w:widowControl w:val="0"/>
        <w:spacing w:after="0"/>
        <w:ind w:left="-426" w:right="-851" w:hanging="284"/>
        <w:rPr>
          <w:sz w:val="20"/>
          <w:szCs w:val="20"/>
        </w:rPr>
      </w:pPr>
      <w:r w:rsidRPr="00F401A0">
        <w:rPr>
          <w:rStyle w:val="FootnoteReference"/>
          <w:sz w:val="20"/>
          <w:szCs w:val="20"/>
        </w:rPr>
        <w:footnoteRef/>
      </w:r>
      <w:r w:rsidRPr="00F401A0">
        <w:rPr>
          <w:sz w:val="20"/>
          <w:szCs w:val="20"/>
        </w:rPr>
        <w:t xml:space="preserve"> </w:t>
      </w:r>
      <w:r w:rsidR="009A49E1" w:rsidRPr="00F401A0">
        <w:rPr>
          <w:sz w:val="20"/>
          <w:szCs w:val="20"/>
        </w:rPr>
        <w:tab/>
      </w:r>
      <w:r w:rsidR="00045B75" w:rsidRPr="00F401A0">
        <w:rPr>
          <w:sz w:val="20"/>
          <w:szCs w:val="20"/>
          <w:lang w:val="en-GB"/>
        </w:rPr>
        <w:t>EU</w:t>
      </w:r>
      <w:r w:rsidR="00045B75">
        <w:rPr>
          <w:sz w:val="20"/>
          <w:szCs w:val="20"/>
          <w:lang w:val="en-GB"/>
        </w:rPr>
        <w:t xml:space="preserve"> </w:t>
      </w:r>
      <w:r w:rsidR="00045B75" w:rsidRPr="00F401A0">
        <w:rPr>
          <w:sz w:val="20"/>
          <w:szCs w:val="20"/>
          <w:lang w:val="en-GB"/>
        </w:rPr>
        <w:t>Gender</w:t>
      </w:r>
      <w:r w:rsidR="00045B75">
        <w:rPr>
          <w:sz w:val="20"/>
          <w:szCs w:val="20"/>
          <w:lang w:val="en-GB"/>
        </w:rPr>
        <w:t xml:space="preserve"> </w:t>
      </w:r>
      <w:r w:rsidR="00045B75" w:rsidRPr="00F401A0">
        <w:rPr>
          <w:sz w:val="20"/>
          <w:szCs w:val="20"/>
          <w:lang w:val="en-GB"/>
        </w:rPr>
        <w:t>Action</w:t>
      </w:r>
      <w:r w:rsidR="00045B75">
        <w:rPr>
          <w:sz w:val="20"/>
          <w:szCs w:val="20"/>
          <w:lang w:val="en-GB"/>
        </w:rPr>
        <w:t xml:space="preserve"> </w:t>
      </w:r>
      <w:r w:rsidR="00045B75" w:rsidRPr="00F401A0">
        <w:rPr>
          <w:sz w:val="20"/>
          <w:szCs w:val="20"/>
          <w:lang w:val="en-GB"/>
        </w:rPr>
        <w:t>Plan</w:t>
      </w:r>
      <w:r w:rsidR="00045B75">
        <w:rPr>
          <w:sz w:val="20"/>
          <w:szCs w:val="20"/>
          <w:lang w:val="en-GB"/>
        </w:rPr>
        <w:t xml:space="preserve"> </w:t>
      </w:r>
      <w:r w:rsidR="00045B75" w:rsidRPr="00F401A0">
        <w:rPr>
          <w:sz w:val="20"/>
          <w:szCs w:val="20"/>
          <w:lang w:val="en-GB"/>
        </w:rPr>
        <w:t>III</w:t>
      </w:r>
      <w:r w:rsidR="00045B75">
        <w:rPr>
          <w:sz w:val="20"/>
          <w:szCs w:val="20"/>
          <w:lang w:val="en-GB"/>
        </w:rPr>
        <w:t xml:space="preserve"> </w:t>
      </w:r>
      <w:r w:rsidR="00045B75" w:rsidRPr="00F401A0">
        <w:rPr>
          <w:sz w:val="20"/>
          <w:szCs w:val="20"/>
          <w:lang w:val="en-GB"/>
        </w:rPr>
        <w:t>(GAP III) (</w:t>
      </w:r>
      <w:hyperlink r:id="rId23" w:history="1">
        <w:r w:rsidRPr="00045B75">
          <w:rPr>
            <w:rStyle w:val="Hyperlink"/>
            <w:sz w:val="20"/>
            <w:szCs w:val="20"/>
            <w:lang w:val="en-GB"/>
          </w:rPr>
          <w:t>join-2020-17-final_en.pdf</w:t>
        </w:r>
      </w:hyperlink>
      <w:r w:rsidR="00045B75" w:rsidRPr="00045B75">
        <w:rPr>
          <w:sz w:val="20"/>
          <w:szCs w:val="20"/>
        </w:rPr>
        <w:t>).</w:t>
      </w:r>
    </w:p>
  </w:footnote>
  <w:footnote w:id="29">
    <w:p w14:paraId="50BC29B8" w14:textId="63714AFA" w:rsidR="00996D21" w:rsidRPr="00F401A0" w:rsidRDefault="00996D21" w:rsidP="00F401A0">
      <w:pPr>
        <w:pStyle w:val="FootnoteText"/>
        <w:keepLines w:val="0"/>
        <w:widowControl w:val="0"/>
        <w:spacing w:after="0"/>
        <w:ind w:left="-426" w:right="-851" w:hanging="284"/>
        <w:rPr>
          <w:sz w:val="20"/>
          <w:szCs w:val="20"/>
        </w:rPr>
      </w:pPr>
      <w:r w:rsidRPr="00F401A0">
        <w:rPr>
          <w:rStyle w:val="FootnoteReference"/>
          <w:sz w:val="20"/>
          <w:szCs w:val="20"/>
        </w:rPr>
        <w:footnoteRef/>
      </w:r>
      <w:r w:rsidRPr="00F401A0">
        <w:rPr>
          <w:sz w:val="20"/>
          <w:szCs w:val="20"/>
        </w:rPr>
        <w:t xml:space="preserve"> </w:t>
      </w:r>
      <w:r w:rsidR="009A49E1" w:rsidRPr="00F401A0">
        <w:rPr>
          <w:sz w:val="20"/>
          <w:szCs w:val="20"/>
        </w:rPr>
        <w:tab/>
      </w:r>
      <w:hyperlink r:id="rId24" w:history="1">
        <w:r w:rsidRPr="009A49E1">
          <w:rPr>
            <w:rStyle w:val="Hyperlink"/>
            <w:sz w:val="20"/>
            <w:szCs w:val="20"/>
            <w:lang w:val="en-GB"/>
          </w:rPr>
          <w:t xml:space="preserve">Global Disability Summit – 2nd - 3rd </w:t>
        </w:r>
        <w:proofErr w:type="gramStart"/>
        <w:r w:rsidRPr="009A49E1">
          <w:rPr>
            <w:rStyle w:val="Hyperlink"/>
            <w:sz w:val="20"/>
            <w:szCs w:val="20"/>
            <w:lang w:val="en-GB"/>
          </w:rPr>
          <w:t>April,</w:t>
        </w:r>
        <w:proofErr w:type="gramEnd"/>
        <w:r w:rsidRPr="009A49E1">
          <w:rPr>
            <w:rStyle w:val="Hyperlink"/>
            <w:sz w:val="20"/>
            <w:szCs w:val="20"/>
            <w:lang w:val="en-GB"/>
          </w:rPr>
          <w:t xml:space="preserve"> 2025 / Berlin</w:t>
        </w:r>
      </w:hyperlink>
      <w:r w:rsidR="00CF31B8">
        <w:rPr>
          <w:sz w:val="20"/>
          <w:szCs w:val="20"/>
        </w:rPr>
        <w:t>.</w:t>
      </w:r>
    </w:p>
  </w:footnote>
  <w:footnote w:id="30">
    <w:p w14:paraId="3E94C64B" w14:textId="0E0A090C" w:rsidR="00CB47F9" w:rsidRPr="00F401A0" w:rsidRDefault="00996D21" w:rsidP="00EE3290">
      <w:pPr>
        <w:pStyle w:val="FootnoteText"/>
        <w:keepLines w:val="0"/>
        <w:widowControl w:val="0"/>
        <w:spacing w:after="0"/>
        <w:ind w:left="-426" w:right="-851" w:hanging="284"/>
        <w:rPr>
          <w:sz w:val="20"/>
          <w:szCs w:val="20"/>
        </w:rPr>
      </w:pPr>
      <w:r w:rsidRPr="00F401A0">
        <w:rPr>
          <w:rStyle w:val="FootnoteReference"/>
          <w:sz w:val="20"/>
          <w:szCs w:val="20"/>
        </w:rPr>
        <w:footnoteRef/>
      </w:r>
      <w:r w:rsidRPr="00F401A0">
        <w:rPr>
          <w:sz w:val="20"/>
          <w:szCs w:val="20"/>
        </w:rPr>
        <w:t xml:space="preserve"> </w:t>
      </w:r>
      <w:r w:rsidR="009A49E1" w:rsidRPr="00F401A0">
        <w:rPr>
          <w:sz w:val="20"/>
          <w:szCs w:val="20"/>
        </w:rPr>
        <w:tab/>
      </w:r>
      <w:hyperlink r:id="rId25" w:history="1">
        <w:r w:rsidRPr="009A49E1">
          <w:rPr>
            <w:rStyle w:val="Hyperlink"/>
            <w:sz w:val="20"/>
            <w:szCs w:val="20"/>
            <w:lang w:val="en-GB"/>
          </w:rPr>
          <w:t>The OECD Handbook on the policy marker on the inclusion and empowerment of persons with disabilities | Capacity4dev</w:t>
        </w:r>
      </w:hyperlink>
      <w:r w:rsidR="00CB47F9">
        <w:rPr>
          <w:sz w:val="20"/>
          <w:szCs w:val="20"/>
        </w:rPr>
        <w:t>.</w:t>
      </w:r>
    </w:p>
  </w:footnote>
  <w:footnote w:id="31">
    <w:p w14:paraId="5F92A484" w14:textId="5890A90B" w:rsidR="00CB47F9" w:rsidRPr="00CB47F9" w:rsidRDefault="00CB47F9" w:rsidP="00EE3290">
      <w:pPr>
        <w:pStyle w:val="FootnoteText"/>
        <w:keepLines w:val="0"/>
        <w:widowControl w:val="0"/>
        <w:spacing w:after="0"/>
        <w:ind w:left="-426" w:right="-851" w:hanging="284"/>
        <w:rPr>
          <w:sz w:val="20"/>
          <w:szCs w:val="20"/>
          <w:lang w:val="fr-BE"/>
        </w:rPr>
      </w:pPr>
      <w:r w:rsidRPr="00CB47F9">
        <w:rPr>
          <w:rStyle w:val="FootnoteReference"/>
          <w:sz w:val="20"/>
          <w:szCs w:val="20"/>
        </w:rPr>
        <w:footnoteRef/>
      </w:r>
      <w:r w:rsidRPr="00CB47F9">
        <w:rPr>
          <w:sz w:val="20"/>
          <w:szCs w:val="20"/>
          <w:lang w:val="fr-BE"/>
        </w:rPr>
        <w:t xml:space="preserve"> </w:t>
      </w:r>
      <w:r w:rsidRPr="00CB47F9">
        <w:rPr>
          <w:sz w:val="20"/>
          <w:szCs w:val="20"/>
          <w:lang w:val="fr-BE"/>
        </w:rPr>
        <w:tab/>
      </w:r>
      <w:r>
        <w:fldChar w:fldCharType="begin"/>
      </w:r>
      <w:r w:rsidRPr="00AE65AF">
        <w:rPr>
          <w:lang w:val="fr-BE"/>
        </w:rPr>
        <w:instrText>HYPERLINK "https://eur-lex.europa.eu/legal-content/EN/TXT/?uri=CELEX%3A52021JC0030"</w:instrText>
      </w:r>
      <w:r>
        <w:fldChar w:fldCharType="separate"/>
      </w:r>
      <w:r w:rsidRPr="003433AF">
        <w:rPr>
          <w:rStyle w:val="Hyperlink"/>
          <w:sz w:val="20"/>
          <w:szCs w:val="20"/>
          <w:lang w:val="fr-BE"/>
        </w:rPr>
        <w:t>EUR-Lex - 52021JC0030 - EN - EUR-Lex</w:t>
      </w:r>
      <w:r>
        <w:fldChar w:fldCharType="end"/>
      </w:r>
      <w:r w:rsidRPr="00CB47F9">
        <w:rPr>
          <w:sz w:val="20"/>
          <w:szCs w:val="20"/>
          <w:lang w:val="fr-BE"/>
        </w:rPr>
        <w:t>.</w:t>
      </w:r>
    </w:p>
  </w:footnote>
  <w:footnote w:id="32">
    <w:p w14:paraId="1075A419" w14:textId="3CF1C984" w:rsidR="009F5B58" w:rsidRPr="009A49E1" w:rsidRDefault="009F5B58" w:rsidP="00F401A0">
      <w:pPr>
        <w:pStyle w:val="FootnoteText"/>
        <w:keepLines w:val="0"/>
        <w:widowControl w:val="0"/>
        <w:spacing w:after="0"/>
        <w:ind w:left="-426" w:right="-851" w:hanging="284"/>
        <w:rPr>
          <w:sz w:val="20"/>
          <w:szCs w:val="20"/>
          <w:lang w:val="fr-BE"/>
        </w:rPr>
      </w:pPr>
      <w:r w:rsidRPr="009A49E1">
        <w:rPr>
          <w:rStyle w:val="FootnoteReference"/>
          <w:sz w:val="20"/>
          <w:szCs w:val="20"/>
        </w:rPr>
        <w:footnoteRef/>
      </w:r>
      <w:r w:rsidRPr="009A49E1">
        <w:rPr>
          <w:sz w:val="20"/>
          <w:szCs w:val="20"/>
          <w:lang w:val="fr-BE"/>
        </w:rPr>
        <w:t xml:space="preserve"> </w:t>
      </w:r>
      <w:r w:rsidR="009A49E1" w:rsidRPr="009A49E1">
        <w:rPr>
          <w:sz w:val="20"/>
          <w:szCs w:val="20"/>
          <w:lang w:val="fr-BE"/>
        </w:rPr>
        <w:tab/>
      </w:r>
      <w:hyperlink r:id="rId26" w:history="1">
        <w:r w:rsidRPr="009A49E1">
          <w:rPr>
            <w:rStyle w:val="Hyperlink"/>
            <w:sz w:val="20"/>
            <w:szCs w:val="20"/>
            <w:lang w:val="fr-BE"/>
          </w:rPr>
          <w:t>Team Europe Initiatives - European Commission</w:t>
        </w:r>
      </w:hyperlink>
      <w:r w:rsidR="00CF31B8" w:rsidRPr="00F401A0">
        <w:rPr>
          <w:sz w:val="20"/>
          <w:szCs w:val="20"/>
          <w:lang w:val="fr-BE"/>
        </w:rPr>
        <w:t>.</w:t>
      </w:r>
    </w:p>
  </w:footnote>
  <w:footnote w:id="33">
    <w:p w14:paraId="1029D9E9" w14:textId="7D7EFC64" w:rsidR="00BA08AC" w:rsidRPr="00F401A0" w:rsidRDefault="00BA08AC" w:rsidP="00F401A0">
      <w:pPr>
        <w:pStyle w:val="FootnoteText"/>
        <w:keepLines w:val="0"/>
        <w:widowControl w:val="0"/>
        <w:spacing w:after="0"/>
        <w:ind w:left="-426" w:right="-851" w:hanging="284"/>
        <w:rPr>
          <w:lang w:val="es-ES"/>
        </w:rPr>
      </w:pPr>
      <w:r w:rsidRPr="00F401A0">
        <w:rPr>
          <w:rStyle w:val="FootnoteReference"/>
          <w:sz w:val="20"/>
          <w:szCs w:val="20"/>
        </w:rPr>
        <w:footnoteRef/>
      </w:r>
      <w:r w:rsidRPr="00F401A0">
        <w:rPr>
          <w:sz w:val="20"/>
          <w:szCs w:val="20"/>
          <w:lang w:val="es-ES"/>
        </w:rPr>
        <w:t xml:space="preserve"> </w:t>
      </w:r>
      <w:r w:rsidR="009A49E1" w:rsidRPr="00F401A0">
        <w:rPr>
          <w:sz w:val="20"/>
          <w:szCs w:val="20"/>
          <w:lang w:val="es-ES"/>
        </w:rPr>
        <w:tab/>
      </w:r>
      <w:proofErr w:type="gramStart"/>
      <w:r w:rsidR="00CF31B8" w:rsidRPr="00F401A0">
        <w:rPr>
          <w:sz w:val="20"/>
          <w:szCs w:val="20"/>
          <w:lang w:val="es-ES"/>
        </w:rPr>
        <w:t>C(</w:t>
      </w:r>
      <w:proofErr w:type="gramEnd"/>
      <w:r w:rsidR="00CF31B8" w:rsidRPr="00F401A0">
        <w:rPr>
          <w:sz w:val="20"/>
          <w:szCs w:val="20"/>
          <w:lang w:val="es-ES"/>
        </w:rPr>
        <w:t>2022) 2229 final (</w:t>
      </w:r>
      <w:hyperlink r:id="rId27" w:history="1">
        <w:r w:rsidRPr="00F401A0">
          <w:rPr>
            <w:rStyle w:val="Hyperlink"/>
            <w:sz w:val="20"/>
            <w:szCs w:val="20"/>
            <w:lang w:val="es-ES"/>
          </w:rPr>
          <w:t>3d1dc4df-7995-44b8-bf08-396930fb8c9d_en</w:t>
        </w:r>
      </w:hyperlink>
      <w:r w:rsidR="00CF31B8" w:rsidRPr="00F401A0">
        <w:rPr>
          <w:sz w:val="20"/>
          <w:szCs w:val="20"/>
          <w:lang w:val="es-E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BD7C0" w14:textId="77777777" w:rsidR="0011320B" w:rsidRDefault="001132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3F908" w14:textId="77777777" w:rsidR="0011320B" w:rsidRDefault="001132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5982B" w14:textId="77777777" w:rsidR="0011320B" w:rsidRDefault="001132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D7289AF8"/>
    <w:lvl w:ilvl="0">
      <w:start w:val="1"/>
      <w:numFmt w:val="decimal"/>
      <w:pStyle w:val="Heading1"/>
      <w:lvlText w:val="%1."/>
      <w:legacy w:legacy="1" w:legacySpace="0" w:legacyIndent="0"/>
      <w:lvlJc w:val="left"/>
      <w:rPr>
        <w:b w:val="0"/>
      </w:rPr>
    </w:lvl>
    <w:lvl w:ilvl="1">
      <w:start w:val="1"/>
      <w:numFmt w:val="decimal"/>
      <w:pStyle w:val="Heading2"/>
      <w:lvlText w:val="%1.%2"/>
      <w:legacy w:legacy="1" w:legacySpace="144" w:legacyIndent="0"/>
      <w:lvlJc w:val="left"/>
      <w:rPr>
        <w:b w:val="0"/>
        <w:bCs w:val="0"/>
        <w:i w:val="0"/>
        <w:iCs w:val="0"/>
      </w:rPr>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0E672C17"/>
    <w:multiLevelType w:val="hybridMultilevel"/>
    <w:tmpl w:val="EE96879C"/>
    <w:lvl w:ilvl="0" w:tplc="D1BA4940">
      <w:numFmt w:val="bullet"/>
      <w:lvlText w:val="•"/>
      <w:lvlJc w:val="left"/>
      <w:pPr>
        <w:ind w:left="690" w:hanging="360"/>
      </w:pPr>
      <w:rPr>
        <w:rFonts w:hint="default"/>
        <w:lang w:val="en-US" w:eastAsia="en-US" w:bidi="ar-SA"/>
      </w:rPr>
    </w:lvl>
    <w:lvl w:ilvl="1" w:tplc="FFFFFFFF">
      <w:start w:val="1"/>
      <w:numFmt w:val="bullet"/>
      <w:lvlText w:val="o"/>
      <w:lvlJc w:val="left"/>
      <w:pPr>
        <w:ind w:left="1410" w:hanging="360"/>
      </w:pPr>
      <w:rPr>
        <w:rFonts w:ascii="Courier New" w:hAnsi="Courier New" w:cs="Courier New" w:hint="default"/>
      </w:rPr>
    </w:lvl>
    <w:lvl w:ilvl="2" w:tplc="D1BA4940">
      <w:numFmt w:val="bullet"/>
      <w:lvlText w:val="•"/>
      <w:lvlJc w:val="left"/>
      <w:pPr>
        <w:ind w:left="2130" w:hanging="360"/>
      </w:pPr>
      <w:rPr>
        <w:rFonts w:hint="default"/>
        <w:lang w:val="en-US" w:eastAsia="en-US" w:bidi="ar-SA"/>
      </w:rPr>
    </w:lvl>
    <w:lvl w:ilvl="3" w:tplc="FFFFFFFF" w:tentative="1">
      <w:start w:val="1"/>
      <w:numFmt w:val="bullet"/>
      <w:lvlText w:val=""/>
      <w:lvlJc w:val="left"/>
      <w:pPr>
        <w:ind w:left="2850" w:hanging="360"/>
      </w:pPr>
      <w:rPr>
        <w:rFonts w:ascii="Symbol" w:hAnsi="Symbol" w:hint="default"/>
      </w:rPr>
    </w:lvl>
    <w:lvl w:ilvl="4" w:tplc="FFFFFFFF" w:tentative="1">
      <w:start w:val="1"/>
      <w:numFmt w:val="bullet"/>
      <w:lvlText w:val="o"/>
      <w:lvlJc w:val="left"/>
      <w:pPr>
        <w:ind w:left="3570" w:hanging="360"/>
      </w:pPr>
      <w:rPr>
        <w:rFonts w:ascii="Courier New" w:hAnsi="Courier New" w:cs="Courier New" w:hint="default"/>
      </w:rPr>
    </w:lvl>
    <w:lvl w:ilvl="5" w:tplc="FFFFFFFF" w:tentative="1">
      <w:start w:val="1"/>
      <w:numFmt w:val="bullet"/>
      <w:lvlText w:val=""/>
      <w:lvlJc w:val="left"/>
      <w:pPr>
        <w:ind w:left="4290" w:hanging="360"/>
      </w:pPr>
      <w:rPr>
        <w:rFonts w:ascii="Wingdings" w:hAnsi="Wingdings" w:hint="default"/>
      </w:rPr>
    </w:lvl>
    <w:lvl w:ilvl="6" w:tplc="FFFFFFFF" w:tentative="1">
      <w:start w:val="1"/>
      <w:numFmt w:val="bullet"/>
      <w:lvlText w:val=""/>
      <w:lvlJc w:val="left"/>
      <w:pPr>
        <w:ind w:left="5010" w:hanging="360"/>
      </w:pPr>
      <w:rPr>
        <w:rFonts w:ascii="Symbol" w:hAnsi="Symbol" w:hint="default"/>
      </w:rPr>
    </w:lvl>
    <w:lvl w:ilvl="7" w:tplc="FFFFFFFF" w:tentative="1">
      <w:start w:val="1"/>
      <w:numFmt w:val="bullet"/>
      <w:lvlText w:val="o"/>
      <w:lvlJc w:val="left"/>
      <w:pPr>
        <w:ind w:left="5730" w:hanging="360"/>
      </w:pPr>
      <w:rPr>
        <w:rFonts w:ascii="Courier New" w:hAnsi="Courier New" w:cs="Courier New" w:hint="default"/>
      </w:rPr>
    </w:lvl>
    <w:lvl w:ilvl="8" w:tplc="FFFFFFFF" w:tentative="1">
      <w:start w:val="1"/>
      <w:numFmt w:val="bullet"/>
      <w:lvlText w:val=""/>
      <w:lvlJc w:val="left"/>
      <w:pPr>
        <w:ind w:left="6450" w:hanging="360"/>
      </w:pPr>
      <w:rPr>
        <w:rFonts w:ascii="Wingdings" w:hAnsi="Wingdings" w:hint="default"/>
      </w:rPr>
    </w:lvl>
  </w:abstractNum>
  <w:abstractNum w:abstractNumId="2" w15:restartNumberingAfterBreak="0">
    <w:nsid w:val="11C85BCD"/>
    <w:multiLevelType w:val="hybridMultilevel"/>
    <w:tmpl w:val="F8D009C8"/>
    <w:lvl w:ilvl="0" w:tplc="D3B450EC">
      <w:numFmt w:val="bullet"/>
      <w:lvlText w:val="-"/>
      <w:lvlJc w:val="left"/>
      <w:pPr>
        <w:ind w:left="720" w:hanging="360"/>
      </w:pPr>
      <w:rPr>
        <w:rFonts w:ascii="Aptos" w:eastAsia="Aptos" w:hAnsi="Aptos" w:cs="Times New Roman"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 w15:restartNumberingAfterBreak="0">
    <w:nsid w:val="1BBC3A2A"/>
    <w:multiLevelType w:val="hybridMultilevel"/>
    <w:tmpl w:val="B8D45246"/>
    <w:lvl w:ilvl="0" w:tplc="D1BA4940">
      <w:numFmt w:val="bullet"/>
      <w:lvlText w:val="•"/>
      <w:lvlJc w:val="left"/>
      <w:pPr>
        <w:ind w:left="690" w:hanging="360"/>
      </w:pPr>
      <w:rPr>
        <w:rFonts w:hint="default"/>
        <w:lang w:val="en-US" w:eastAsia="en-US" w:bidi="ar-SA"/>
      </w:rPr>
    </w:lvl>
    <w:lvl w:ilvl="1" w:tplc="18090003">
      <w:start w:val="1"/>
      <w:numFmt w:val="bullet"/>
      <w:lvlText w:val="o"/>
      <w:lvlJc w:val="left"/>
      <w:pPr>
        <w:ind w:left="1410" w:hanging="360"/>
      </w:pPr>
      <w:rPr>
        <w:rFonts w:ascii="Courier New" w:hAnsi="Courier New" w:cs="Courier New" w:hint="default"/>
      </w:rPr>
    </w:lvl>
    <w:lvl w:ilvl="2" w:tplc="18090005">
      <w:start w:val="1"/>
      <w:numFmt w:val="bullet"/>
      <w:lvlText w:val=""/>
      <w:lvlJc w:val="left"/>
      <w:pPr>
        <w:ind w:left="2130" w:hanging="360"/>
      </w:pPr>
      <w:rPr>
        <w:rFonts w:ascii="Wingdings" w:hAnsi="Wingdings" w:hint="default"/>
      </w:rPr>
    </w:lvl>
    <w:lvl w:ilvl="3" w:tplc="18090001" w:tentative="1">
      <w:start w:val="1"/>
      <w:numFmt w:val="bullet"/>
      <w:lvlText w:val=""/>
      <w:lvlJc w:val="left"/>
      <w:pPr>
        <w:ind w:left="2850" w:hanging="360"/>
      </w:pPr>
      <w:rPr>
        <w:rFonts w:ascii="Symbol" w:hAnsi="Symbol" w:hint="default"/>
      </w:rPr>
    </w:lvl>
    <w:lvl w:ilvl="4" w:tplc="18090003" w:tentative="1">
      <w:start w:val="1"/>
      <w:numFmt w:val="bullet"/>
      <w:lvlText w:val="o"/>
      <w:lvlJc w:val="left"/>
      <w:pPr>
        <w:ind w:left="3570" w:hanging="360"/>
      </w:pPr>
      <w:rPr>
        <w:rFonts w:ascii="Courier New" w:hAnsi="Courier New" w:cs="Courier New" w:hint="default"/>
      </w:rPr>
    </w:lvl>
    <w:lvl w:ilvl="5" w:tplc="18090005" w:tentative="1">
      <w:start w:val="1"/>
      <w:numFmt w:val="bullet"/>
      <w:lvlText w:val=""/>
      <w:lvlJc w:val="left"/>
      <w:pPr>
        <w:ind w:left="4290" w:hanging="360"/>
      </w:pPr>
      <w:rPr>
        <w:rFonts w:ascii="Wingdings" w:hAnsi="Wingdings" w:hint="default"/>
      </w:rPr>
    </w:lvl>
    <w:lvl w:ilvl="6" w:tplc="18090001" w:tentative="1">
      <w:start w:val="1"/>
      <w:numFmt w:val="bullet"/>
      <w:lvlText w:val=""/>
      <w:lvlJc w:val="left"/>
      <w:pPr>
        <w:ind w:left="5010" w:hanging="360"/>
      </w:pPr>
      <w:rPr>
        <w:rFonts w:ascii="Symbol" w:hAnsi="Symbol" w:hint="default"/>
      </w:rPr>
    </w:lvl>
    <w:lvl w:ilvl="7" w:tplc="18090003" w:tentative="1">
      <w:start w:val="1"/>
      <w:numFmt w:val="bullet"/>
      <w:lvlText w:val="o"/>
      <w:lvlJc w:val="left"/>
      <w:pPr>
        <w:ind w:left="5730" w:hanging="360"/>
      </w:pPr>
      <w:rPr>
        <w:rFonts w:ascii="Courier New" w:hAnsi="Courier New" w:cs="Courier New" w:hint="default"/>
      </w:rPr>
    </w:lvl>
    <w:lvl w:ilvl="8" w:tplc="18090005" w:tentative="1">
      <w:start w:val="1"/>
      <w:numFmt w:val="bullet"/>
      <w:lvlText w:val=""/>
      <w:lvlJc w:val="left"/>
      <w:pPr>
        <w:ind w:left="6450" w:hanging="360"/>
      </w:pPr>
      <w:rPr>
        <w:rFonts w:ascii="Wingdings" w:hAnsi="Wingdings" w:hint="default"/>
      </w:rPr>
    </w:lvl>
  </w:abstractNum>
  <w:abstractNum w:abstractNumId="4" w15:restartNumberingAfterBreak="0">
    <w:nsid w:val="248539AF"/>
    <w:multiLevelType w:val="multilevel"/>
    <w:tmpl w:val="6F1040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A87AFE"/>
    <w:multiLevelType w:val="hybridMultilevel"/>
    <w:tmpl w:val="AE662A1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6" w15:restartNumberingAfterBreak="0">
    <w:nsid w:val="399F4FA9"/>
    <w:multiLevelType w:val="hybridMultilevel"/>
    <w:tmpl w:val="B0EA9DE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7" w15:restartNumberingAfterBreak="0">
    <w:nsid w:val="45AD4288"/>
    <w:multiLevelType w:val="multilevel"/>
    <w:tmpl w:val="20188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AC80DB1"/>
    <w:multiLevelType w:val="hybridMultilevel"/>
    <w:tmpl w:val="D12E7038"/>
    <w:lvl w:ilvl="0" w:tplc="080C0001">
      <w:start w:val="1"/>
      <w:numFmt w:val="bullet"/>
      <w:lvlText w:val=""/>
      <w:lvlJc w:val="left"/>
      <w:pPr>
        <w:ind w:left="1287" w:hanging="360"/>
      </w:pPr>
      <w:rPr>
        <w:rFonts w:ascii="Symbol" w:hAnsi="Symbol" w:hint="default"/>
      </w:rPr>
    </w:lvl>
    <w:lvl w:ilvl="1" w:tplc="080C0003" w:tentative="1">
      <w:start w:val="1"/>
      <w:numFmt w:val="bullet"/>
      <w:lvlText w:val="o"/>
      <w:lvlJc w:val="left"/>
      <w:pPr>
        <w:ind w:left="2007" w:hanging="360"/>
      </w:pPr>
      <w:rPr>
        <w:rFonts w:ascii="Courier New" w:hAnsi="Courier New" w:cs="Courier New" w:hint="default"/>
      </w:rPr>
    </w:lvl>
    <w:lvl w:ilvl="2" w:tplc="080C0005" w:tentative="1">
      <w:start w:val="1"/>
      <w:numFmt w:val="bullet"/>
      <w:lvlText w:val=""/>
      <w:lvlJc w:val="left"/>
      <w:pPr>
        <w:ind w:left="2727" w:hanging="360"/>
      </w:pPr>
      <w:rPr>
        <w:rFonts w:ascii="Wingdings" w:hAnsi="Wingdings" w:hint="default"/>
      </w:rPr>
    </w:lvl>
    <w:lvl w:ilvl="3" w:tplc="080C0001" w:tentative="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cs="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cs="Courier New" w:hint="default"/>
      </w:rPr>
    </w:lvl>
    <w:lvl w:ilvl="8" w:tplc="080C0005" w:tentative="1">
      <w:start w:val="1"/>
      <w:numFmt w:val="bullet"/>
      <w:lvlText w:val=""/>
      <w:lvlJc w:val="left"/>
      <w:pPr>
        <w:ind w:left="7047" w:hanging="360"/>
      </w:pPr>
      <w:rPr>
        <w:rFonts w:ascii="Wingdings" w:hAnsi="Wingdings" w:hint="default"/>
      </w:rPr>
    </w:lvl>
  </w:abstractNum>
  <w:abstractNum w:abstractNumId="9" w15:restartNumberingAfterBreak="0">
    <w:nsid w:val="59530382"/>
    <w:multiLevelType w:val="hybridMultilevel"/>
    <w:tmpl w:val="82DA6128"/>
    <w:lvl w:ilvl="0" w:tplc="08090001">
      <w:start w:val="1"/>
      <w:numFmt w:val="bullet"/>
      <w:lvlText w:val=""/>
      <w:lvlJc w:val="left"/>
      <w:pPr>
        <w:ind w:left="1866"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0" w15:restartNumberingAfterBreak="0">
    <w:nsid w:val="648517D8"/>
    <w:multiLevelType w:val="multilevel"/>
    <w:tmpl w:val="BFA232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A196FCE"/>
    <w:multiLevelType w:val="multilevel"/>
    <w:tmpl w:val="E522F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459320">
    <w:abstractNumId w:val="0"/>
  </w:num>
  <w:num w:numId="2" w16cid:durableId="1485439338">
    <w:abstractNumId w:val="8"/>
  </w:num>
  <w:num w:numId="3" w16cid:durableId="2056542831">
    <w:abstractNumId w:val="5"/>
  </w:num>
  <w:num w:numId="4" w16cid:durableId="1570074807">
    <w:abstractNumId w:val="10"/>
  </w:num>
  <w:num w:numId="5" w16cid:durableId="86538006">
    <w:abstractNumId w:val="4"/>
  </w:num>
  <w:num w:numId="6" w16cid:durableId="1694306291">
    <w:abstractNumId w:val="3"/>
  </w:num>
  <w:num w:numId="7" w16cid:durableId="938176832">
    <w:abstractNumId w:val="1"/>
  </w:num>
  <w:num w:numId="8" w16cid:durableId="1730152126">
    <w:abstractNumId w:val="9"/>
  </w:num>
  <w:num w:numId="9" w16cid:durableId="1756708103">
    <w:abstractNumId w:val="6"/>
  </w:num>
  <w:num w:numId="10" w16cid:durableId="42288939">
    <w:abstractNumId w:val="11"/>
  </w:num>
  <w:num w:numId="11" w16cid:durableId="1553737393">
    <w:abstractNumId w:val="7"/>
  </w:num>
  <w:num w:numId="12" w16cid:durableId="13229252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077C4F"/>
    <w:rsid w:val="000035CC"/>
    <w:rsid w:val="00012A37"/>
    <w:rsid w:val="00013307"/>
    <w:rsid w:val="000154A6"/>
    <w:rsid w:val="0002295F"/>
    <w:rsid w:val="000240FB"/>
    <w:rsid w:val="000348D7"/>
    <w:rsid w:val="00045B75"/>
    <w:rsid w:val="00046B15"/>
    <w:rsid w:val="00050499"/>
    <w:rsid w:val="00050622"/>
    <w:rsid w:val="00050DC7"/>
    <w:rsid w:val="000520C6"/>
    <w:rsid w:val="000576B0"/>
    <w:rsid w:val="000608A4"/>
    <w:rsid w:val="00065CF6"/>
    <w:rsid w:val="0006729F"/>
    <w:rsid w:val="00076109"/>
    <w:rsid w:val="00077C4F"/>
    <w:rsid w:val="00081C8C"/>
    <w:rsid w:val="0008210F"/>
    <w:rsid w:val="00083F94"/>
    <w:rsid w:val="00086F4D"/>
    <w:rsid w:val="00091A6C"/>
    <w:rsid w:val="00092465"/>
    <w:rsid w:val="00095854"/>
    <w:rsid w:val="000A2213"/>
    <w:rsid w:val="000A5D3B"/>
    <w:rsid w:val="000A73F0"/>
    <w:rsid w:val="000C5659"/>
    <w:rsid w:val="000C5720"/>
    <w:rsid w:val="000C73FC"/>
    <w:rsid w:val="000D11C0"/>
    <w:rsid w:val="000D4D30"/>
    <w:rsid w:val="000D715B"/>
    <w:rsid w:val="000E08F6"/>
    <w:rsid w:val="000E419E"/>
    <w:rsid w:val="000F3AD3"/>
    <w:rsid w:val="000F5FD8"/>
    <w:rsid w:val="000F7346"/>
    <w:rsid w:val="00101897"/>
    <w:rsid w:val="00102FFB"/>
    <w:rsid w:val="00103925"/>
    <w:rsid w:val="00105E44"/>
    <w:rsid w:val="0011320B"/>
    <w:rsid w:val="00113A32"/>
    <w:rsid w:val="001167C0"/>
    <w:rsid w:val="0012401C"/>
    <w:rsid w:val="0013081B"/>
    <w:rsid w:val="00130EBA"/>
    <w:rsid w:val="00135219"/>
    <w:rsid w:val="00135C2A"/>
    <w:rsid w:val="00141E59"/>
    <w:rsid w:val="00153150"/>
    <w:rsid w:val="0015521D"/>
    <w:rsid w:val="00156A45"/>
    <w:rsid w:val="00156B64"/>
    <w:rsid w:val="00160D04"/>
    <w:rsid w:val="00165EB5"/>
    <w:rsid w:val="0017501B"/>
    <w:rsid w:val="001849C1"/>
    <w:rsid w:val="00196A53"/>
    <w:rsid w:val="0019707D"/>
    <w:rsid w:val="001A0870"/>
    <w:rsid w:val="001A194A"/>
    <w:rsid w:val="001A61FC"/>
    <w:rsid w:val="001B0E0B"/>
    <w:rsid w:val="001B17D7"/>
    <w:rsid w:val="001B538E"/>
    <w:rsid w:val="001C29E3"/>
    <w:rsid w:val="001C3AE8"/>
    <w:rsid w:val="001C4138"/>
    <w:rsid w:val="001C71CB"/>
    <w:rsid w:val="001D0E49"/>
    <w:rsid w:val="001D2C03"/>
    <w:rsid w:val="001E4A76"/>
    <w:rsid w:val="001E6129"/>
    <w:rsid w:val="001F2EC6"/>
    <w:rsid w:val="001F6383"/>
    <w:rsid w:val="001F65D0"/>
    <w:rsid w:val="00200089"/>
    <w:rsid w:val="002046B4"/>
    <w:rsid w:val="00217E59"/>
    <w:rsid w:val="0022725C"/>
    <w:rsid w:val="002311F8"/>
    <w:rsid w:val="00232512"/>
    <w:rsid w:val="00233800"/>
    <w:rsid w:val="0024000B"/>
    <w:rsid w:val="00240E6F"/>
    <w:rsid w:val="00240E74"/>
    <w:rsid w:val="0025166C"/>
    <w:rsid w:val="002528F7"/>
    <w:rsid w:val="00257F0E"/>
    <w:rsid w:val="00273E1E"/>
    <w:rsid w:val="00274C39"/>
    <w:rsid w:val="00286912"/>
    <w:rsid w:val="0029063C"/>
    <w:rsid w:val="0029157D"/>
    <w:rsid w:val="00293D61"/>
    <w:rsid w:val="00295C04"/>
    <w:rsid w:val="00296F03"/>
    <w:rsid w:val="002A3718"/>
    <w:rsid w:val="002A407A"/>
    <w:rsid w:val="002B5FBE"/>
    <w:rsid w:val="002B666A"/>
    <w:rsid w:val="002B796C"/>
    <w:rsid w:val="002D24BB"/>
    <w:rsid w:val="002D31DC"/>
    <w:rsid w:val="002D3F81"/>
    <w:rsid w:val="002D776A"/>
    <w:rsid w:val="002F03FA"/>
    <w:rsid w:val="002F2FA8"/>
    <w:rsid w:val="003004D2"/>
    <w:rsid w:val="0030299A"/>
    <w:rsid w:val="0030557E"/>
    <w:rsid w:val="0030580C"/>
    <w:rsid w:val="003079D9"/>
    <w:rsid w:val="00324B1D"/>
    <w:rsid w:val="00324B73"/>
    <w:rsid w:val="00330B26"/>
    <w:rsid w:val="003349A3"/>
    <w:rsid w:val="00341C92"/>
    <w:rsid w:val="0034309F"/>
    <w:rsid w:val="003433AF"/>
    <w:rsid w:val="0035372A"/>
    <w:rsid w:val="00355BD9"/>
    <w:rsid w:val="00362D18"/>
    <w:rsid w:val="00377967"/>
    <w:rsid w:val="0038121C"/>
    <w:rsid w:val="0038306D"/>
    <w:rsid w:val="00384E10"/>
    <w:rsid w:val="00386143"/>
    <w:rsid w:val="0039094D"/>
    <w:rsid w:val="0039449B"/>
    <w:rsid w:val="003A7029"/>
    <w:rsid w:val="003B58DC"/>
    <w:rsid w:val="003B7501"/>
    <w:rsid w:val="003C6A23"/>
    <w:rsid w:val="003C7D1B"/>
    <w:rsid w:val="003D3CE0"/>
    <w:rsid w:val="003E2CA0"/>
    <w:rsid w:val="003F5673"/>
    <w:rsid w:val="003F686E"/>
    <w:rsid w:val="004363D4"/>
    <w:rsid w:val="00441143"/>
    <w:rsid w:val="00442552"/>
    <w:rsid w:val="004461A3"/>
    <w:rsid w:val="00450129"/>
    <w:rsid w:val="00453105"/>
    <w:rsid w:val="00455A1C"/>
    <w:rsid w:val="0045676E"/>
    <w:rsid w:val="00461B78"/>
    <w:rsid w:val="00463B65"/>
    <w:rsid w:val="00464894"/>
    <w:rsid w:val="004675B5"/>
    <w:rsid w:val="00470FCB"/>
    <w:rsid w:val="004736CF"/>
    <w:rsid w:val="004770D6"/>
    <w:rsid w:val="00477A8B"/>
    <w:rsid w:val="00480009"/>
    <w:rsid w:val="00491499"/>
    <w:rsid w:val="0049246C"/>
    <w:rsid w:val="004977B7"/>
    <w:rsid w:val="004B51FA"/>
    <w:rsid w:val="004B6715"/>
    <w:rsid w:val="004C2611"/>
    <w:rsid w:val="004C34D5"/>
    <w:rsid w:val="004D7628"/>
    <w:rsid w:val="004F6117"/>
    <w:rsid w:val="004F63F1"/>
    <w:rsid w:val="004F651E"/>
    <w:rsid w:val="00502ACF"/>
    <w:rsid w:val="00503419"/>
    <w:rsid w:val="00507ABA"/>
    <w:rsid w:val="00513CF7"/>
    <w:rsid w:val="00514BCD"/>
    <w:rsid w:val="00515689"/>
    <w:rsid w:val="00520273"/>
    <w:rsid w:val="0052596B"/>
    <w:rsid w:val="005323B6"/>
    <w:rsid w:val="00540474"/>
    <w:rsid w:val="00540749"/>
    <w:rsid w:val="0054507A"/>
    <w:rsid w:val="00554D8D"/>
    <w:rsid w:val="00555756"/>
    <w:rsid w:val="00563B98"/>
    <w:rsid w:val="0057082B"/>
    <w:rsid w:val="00573835"/>
    <w:rsid w:val="00575A3B"/>
    <w:rsid w:val="00581306"/>
    <w:rsid w:val="005837F1"/>
    <w:rsid w:val="005A0B03"/>
    <w:rsid w:val="005A0D8A"/>
    <w:rsid w:val="005B0994"/>
    <w:rsid w:val="005B0AB6"/>
    <w:rsid w:val="005B1281"/>
    <w:rsid w:val="005B6461"/>
    <w:rsid w:val="005C3105"/>
    <w:rsid w:val="005C7E41"/>
    <w:rsid w:val="005E4662"/>
    <w:rsid w:val="005E474E"/>
    <w:rsid w:val="005E5EC7"/>
    <w:rsid w:val="005E6249"/>
    <w:rsid w:val="005F65F4"/>
    <w:rsid w:val="00607084"/>
    <w:rsid w:val="00615719"/>
    <w:rsid w:val="00617A3F"/>
    <w:rsid w:val="00625CDB"/>
    <w:rsid w:val="00631834"/>
    <w:rsid w:val="006444A5"/>
    <w:rsid w:val="00644A11"/>
    <w:rsid w:val="00646F40"/>
    <w:rsid w:val="00647A4B"/>
    <w:rsid w:val="006525D5"/>
    <w:rsid w:val="00657DE7"/>
    <w:rsid w:val="00660284"/>
    <w:rsid w:val="00664811"/>
    <w:rsid w:val="00667AFC"/>
    <w:rsid w:val="006767BC"/>
    <w:rsid w:val="00677A95"/>
    <w:rsid w:val="006910C5"/>
    <w:rsid w:val="00692C2F"/>
    <w:rsid w:val="00692FFB"/>
    <w:rsid w:val="006931F2"/>
    <w:rsid w:val="006943BD"/>
    <w:rsid w:val="00695797"/>
    <w:rsid w:val="00696A5E"/>
    <w:rsid w:val="006B1E19"/>
    <w:rsid w:val="006B3B69"/>
    <w:rsid w:val="006B4023"/>
    <w:rsid w:val="006B45F3"/>
    <w:rsid w:val="006B7538"/>
    <w:rsid w:val="006C1914"/>
    <w:rsid w:val="006C2726"/>
    <w:rsid w:val="006C3AFE"/>
    <w:rsid w:val="006D07AA"/>
    <w:rsid w:val="006D09B0"/>
    <w:rsid w:val="006D4067"/>
    <w:rsid w:val="006D6D6F"/>
    <w:rsid w:val="006E5E43"/>
    <w:rsid w:val="0070084C"/>
    <w:rsid w:val="00704796"/>
    <w:rsid w:val="00707FAD"/>
    <w:rsid w:val="00711F98"/>
    <w:rsid w:val="0073252F"/>
    <w:rsid w:val="00734613"/>
    <w:rsid w:val="00735232"/>
    <w:rsid w:val="00746A33"/>
    <w:rsid w:val="00751910"/>
    <w:rsid w:val="00751A0D"/>
    <w:rsid w:val="00751E60"/>
    <w:rsid w:val="007547B5"/>
    <w:rsid w:val="0076061B"/>
    <w:rsid w:val="007707A8"/>
    <w:rsid w:val="007824BF"/>
    <w:rsid w:val="0078546C"/>
    <w:rsid w:val="00795A9E"/>
    <w:rsid w:val="0079708B"/>
    <w:rsid w:val="007A01EC"/>
    <w:rsid w:val="007A21CF"/>
    <w:rsid w:val="007A606D"/>
    <w:rsid w:val="007B2752"/>
    <w:rsid w:val="007B5443"/>
    <w:rsid w:val="007C2214"/>
    <w:rsid w:val="007D168C"/>
    <w:rsid w:val="007F5A8F"/>
    <w:rsid w:val="007F7270"/>
    <w:rsid w:val="00806914"/>
    <w:rsid w:val="0080724A"/>
    <w:rsid w:val="00807B48"/>
    <w:rsid w:val="008135CA"/>
    <w:rsid w:val="0081584F"/>
    <w:rsid w:val="00817E17"/>
    <w:rsid w:val="008201DB"/>
    <w:rsid w:val="00820CA3"/>
    <w:rsid w:val="008229DF"/>
    <w:rsid w:val="00823984"/>
    <w:rsid w:val="0082510B"/>
    <w:rsid w:val="008279C9"/>
    <w:rsid w:val="008313D6"/>
    <w:rsid w:val="00854852"/>
    <w:rsid w:val="00857BFA"/>
    <w:rsid w:val="00866B35"/>
    <w:rsid w:val="008703BF"/>
    <w:rsid w:val="00873545"/>
    <w:rsid w:val="00873E13"/>
    <w:rsid w:val="00873F3E"/>
    <w:rsid w:val="00882045"/>
    <w:rsid w:val="0088525C"/>
    <w:rsid w:val="00885640"/>
    <w:rsid w:val="00890D2B"/>
    <w:rsid w:val="008925CE"/>
    <w:rsid w:val="008947FB"/>
    <w:rsid w:val="008C26D3"/>
    <w:rsid w:val="008C4D41"/>
    <w:rsid w:val="008C634B"/>
    <w:rsid w:val="008D62EF"/>
    <w:rsid w:val="008E00CF"/>
    <w:rsid w:val="008E5DA4"/>
    <w:rsid w:val="009002A5"/>
    <w:rsid w:val="00906D38"/>
    <w:rsid w:val="0092350A"/>
    <w:rsid w:val="00934DF3"/>
    <w:rsid w:val="00936C0C"/>
    <w:rsid w:val="0096001C"/>
    <w:rsid w:val="009647E4"/>
    <w:rsid w:val="00977377"/>
    <w:rsid w:val="00981F45"/>
    <w:rsid w:val="009822EB"/>
    <w:rsid w:val="00985998"/>
    <w:rsid w:val="009931CB"/>
    <w:rsid w:val="00994D12"/>
    <w:rsid w:val="00996D21"/>
    <w:rsid w:val="00997116"/>
    <w:rsid w:val="009A0A12"/>
    <w:rsid w:val="009A4348"/>
    <w:rsid w:val="009A49E1"/>
    <w:rsid w:val="009B128B"/>
    <w:rsid w:val="009B261B"/>
    <w:rsid w:val="009B5BD9"/>
    <w:rsid w:val="009C5EBA"/>
    <w:rsid w:val="009C7D5E"/>
    <w:rsid w:val="009D58B7"/>
    <w:rsid w:val="009E232C"/>
    <w:rsid w:val="009E389C"/>
    <w:rsid w:val="009E6633"/>
    <w:rsid w:val="009E71BA"/>
    <w:rsid w:val="009F21BB"/>
    <w:rsid w:val="009F2FA4"/>
    <w:rsid w:val="009F36ED"/>
    <w:rsid w:val="009F4341"/>
    <w:rsid w:val="009F5B58"/>
    <w:rsid w:val="00A02CF5"/>
    <w:rsid w:val="00A15363"/>
    <w:rsid w:val="00A16364"/>
    <w:rsid w:val="00A16F07"/>
    <w:rsid w:val="00A21051"/>
    <w:rsid w:val="00A218DC"/>
    <w:rsid w:val="00A23A21"/>
    <w:rsid w:val="00A245D5"/>
    <w:rsid w:val="00A26C04"/>
    <w:rsid w:val="00A30CE6"/>
    <w:rsid w:val="00A47A3F"/>
    <w:rsid w:val="00A62C7B"/>
    <w:rsid w:val="00A74F17"/>
    <w:rsid w:val="00A76B36"/>
    <w:rsid w:val="00A7709A"/>
    <w:rsid w:val="00A90788"/>
    <w:rsid w:val="00AA073E"/>
    <w:rsid w:val="00AA5612"/>
    <w:rsid w:val="00AB080F"/>
    <w:rsid w:val="00AB5977"/>
    <w:rsid w:val="00AB6396"/>
    <w:rsid w:val="00AB71E3"/>
    <w:rsid w:val="00AC0909"/>
    <w:rsid w:val="00AC54C0"/>
    <w:rsid w:val="00AE1842"/>
    <w:rsid w:val="00AE3C7C"/>
    <w:rsid w:val="00AE65AF"/>
    <w:rsid w:val="00AF2811"/>
    <w:rsid w:val="00B10D8A"/>
    <w:rsid w:val="00B13535"/>
    <w:rsid w:val="00B16CBA"/>
    <w:rsid w:val="00B31306"/>
    <w:rsid w:val="00B31E76"/>
    <w:rsid w:val="00B42814"/>
    <w:rsid w:val="00B44F2A"/>
    <w:rsid w:val="00B4700B"/>
    <w:rsid w:val="00B547AF"/>
    <w:rsid w:val="00B6613C"/>
    <w:rsid w:val="00B706FE"/>
    <w:rsid w:val="00B73FCF"/>
    <w:rsid w:val="00B74041"/>
    <w:rsid w:val="00B75B63"/>
    <w:rsid w:val="00B76071"/>
    <w:rsid w:val="00B774CD"/>
    <w:rsid w:val="00B83936"/>
    <w:rsid w:val="00BA08AC"/>
    <w:rsid w:val="00BA3F0A"/>
    <w:rsid w:val="00BB4002"/>
    <w:rsid w:val="00BB76E3"/>
    <w:rsid w:val="00BC718F"/>
    <w:rsid w:val="00BD6EB7"/>
    <w:rsid w:val="00BE293A"/>
    <w:rsid w:val="00BE76BE"/>
    <w:rsid w:val="00BF3025"/>
    <w:rsid w:val="00BF34D8"/>
    <w:rsid w:val="00C0338B"/>
    <w:rsid w:val="00C03395"/>
    <w:rsid w:val="00C03842"/>
    <w:rsid w:val="00C05F7F"/>
    <w:rsid w:val="00C06475"/>
    <w:rsid w:val="00C1440D"/>
    <w:rsid w:val="00C15D4D"/>
    <w:rsid w:val="00C15E25"/>
    <w:rsid w:val="00C164B7"/>
    <w:rsid w:val="00C20333"/>
    <w:rsid w:val="00C21FB2"/>
    <w:rsid w:val="00C259AF"/>
    <w:rsid w:val="00C3065F"/>
    <w:rsid w:val="00C34A7E"/>
    <w:rsid w:val="00C525B4"/>
    <w:rsid w:val="00C526C9"/>
    <w:rsid w:val="00C54D27"/>
    <w:rsid w:val="00C63408"/>
    <w:rsid w:val="00C64245"/>
    <w:rsid w:val="00C6427F"/>
    <w:rsid w:val="00C64A59"/>
    <w:rsid w:val="00C64DF2"/>
    <w:rsid w:val="00C64EFF"/>
    <w:rsid w:val="00C76EEB"/>
    <w:rsid w:val="00C8173D"/>
    <w:rsid w:val="00C8224C"/>
    <w:rsid w:val="00C83E6C"/>
    <w:rsid w:val="00C918E1"/>
    <w:rsid w:val="00CA005B"/>
    <w:rsid w:val="00CB47F9"/>
    <w:rsid w:val="00CD2083"/>
    <w:rsid w:val="00CD26F2"/>
    <w:rsid w:val="00CD2CBA"/>
    <w:rsid w:val="00CD4EC7"/>
    <w:rsid w:val="00CD65DF"/>
    <w:rsid w:val="00CE0AF7"/>
    <w:rsid w:val="00CE2FC8"/>
    <w:rsid w:val="00CE4729"/>
    <w:rsid w:val="00CF31B8"/>
    <w:rsid w:val="00CF354F"/>
    <w:rsid w:val="00CF5DC3"/>
    <w:rsid w:val="00CF7631"/>
    <w:rsid w:val="00D01F5A"/>
    <w:rsid w:val="00D03C8F"/>
    <w:rsid w:val="00D10B5D"/>
    <w:rsid w:val="00D1118A"/>
    <w:rsid w:val="00D13C78"/>
    <w:rsid w:val="00D1716E"/>
    <w:rsid w:val="00D32374"/>
    <w:rsid w:val="00D32F81"/>
    <w:rsid w:val="00D41E87"/>
    <w:rsid w:val="00D47888"/>
    <w:rsid w:val="00D62FFE"/>
    <w:rsid w:val="00D64E05"/>
    <w:rsid w:val="00D66CE1"/>
    <w:rsid w:val="00D66DA5"/>
    <w:rsid w:val="00D71472"/>
    <w:rsid w:val="00D81180"/>
    <w:rsid w:val="00D87CE9"/>
    <w:rsid w:val="00D90809"/>
    <w:rsid w:val="00D92FD3"/>
    <w:rsid w:val="00D934D3"/>
    <w:rsid w:val="00D96BD3"/>
    <w:rsid w:val="00DA3B6E"/>
    <w:rsid w:val="00DA45F3"/>
    <w:rsid w:val="00DB2FCF"/>
    <w:rsid w:val="00DB5852"/>
    <w:rsid w:val="00DB7581"/>
    <w:rsid w:val="00DC19E7"/>
    <w:rsid w:val="00DC1EFB"/>
    <w:rsid w:val="00DC2DC7"/>
    <w:rsid w:val="00DC70C1"/>
    <w:rsid w:val="00DD36FA"/>
    <w:rsid w:val="00DD6391"/>
    <w:rsid w:val="00DD77F1"/>
    <w:rsid w:val="00DD7EA4"/>
    <w:rsid w:val="00DE502C"/>
    <w:rsid w:val="00DF2266"/>
    <w:rsid w:val="00DF7AB3"/>
    <w:rsid w:val="00E00A5E"/>
    <w:rsid w:val="00E00BA3"/>
    <w:rsid w:val="00E011A8"/>
    <w:rsid w:val="00E0237C"/>
    <w:rsid w:val="00E07CA5"/>
    <w:rsid w:val="00E14464"/>
    <w:rsid w:val="00E2321B"/>
    <w:rsid w:val="00E30664"/>
    <w:rsid w:val="00E31453"/>
    <w:rsid w:val="00E3356D"/>
    <w:rsid w:val="00E34CB1"/>
    <w:rsid w:val="00E3716E"/>
    <w:rsid w:val="00E42F38"/>
    <w:rsid w:val="00E47945"/>
    <w:rsid w:val="00E54AA5"/>
    <w:rsid w:val="00E75586"/>
    <w:rsid w:val="00E778DA"/>
    <w:rsid w:val="00E808B4"/>
    <w:rsid w:val="00E83C12"/>
    <w:rsid w:val="00E904C8"/>
    <w:rsid w:val="00E93DE9"/>
    <w:rsid w:val="00E9474E"/>
    <w:rsid w:val="00EA0B71"/>
    <w:rsid w:val="00EA1166"/>
    <w:rsid w:val="00EA1BBF"/>
    <w:rsid w:val="00EA1F8D"/>
    <w:rsid w:val="00EB29A9"/>
    <w:rsid w:val="00EB77D2"/>
    <w:rsid w:val="00EC0087"/>
    <w:rsid w:val="00EC06E1"/>
    <w:rsid w:val="00EC50A0"/>
    <w:rsid w:val="00ED7B65"/>
    <w:rsid w:val="00EE1C12"/>
    <w:rsid w:val="00EE3290"/>
    <w:rsid w:val="00EE456F"/>
    <w:rsid w:val="00EE5823"/>
    <w:rsid w:val="00EF36BD"/>
    <w:rsid w:val="00F00723"/>
    <w:rsid w:val="00F03D38"/>
    <w:rsid w:val="00F22CE4"/>
    <w:rsid w:val="00F24724"/>
    <w:rsid w:val="00F316C8"/>
    <w:rsid w:val="00F349A1"/>
    <w:rsid w:val="00F401A0"/>
    <w:rsid w:val="00F42338"/>
    <w:rsid w:val="00F51A62"/>
    <w:rsid w:val="00F54520"/>
    <w:rsid w:val="00F54796"/>
    <w:rsid w:val="00F5542F"/>
    <w:rsid w:val="00F632DE"/>
    <w:rsid w:val="00F646F9"/>
    <w:rsid w:val="00F66E9C"/>
    <w:rsid w:val="00F735E4"/>
    <w:rsid w:val="00F7693A"/>
    <w:rsid w:val="00F828A9"/>
    <w:rsid w:val="00F978C8"/>
    <w:rsid w:val="00FA210C"/>
    <w:rsid w:val="00FB37DF"/>
    <w:rsid w:val="00FB4F0E"/>
    <w:rsid w:val="00FB7834"/>
    <w:rsid w:val="00FC05C4"/>
    <w:rsid w:val="00FC61EE"/>
    <w:rsid w:val="00FD4B6A"/>
    <w:rsid w:val="00FF03A8"/>
    <w:rsid w:val="00FF28B3"/>
    <w:rsid w:val="00FF51AA"/>
    <w:rsid w:val="00FF63EA"/>
    <w:rsid w:val="00FF7E47"/>
    <w:rsid w:val="010F365C"/>
    <w:rsid w:val="019AA573"/>
    <w:rsid w:val="01CCC216"/>
    <w:rsid w:val="0264B6B4"/>
    <w:rsid w:val="0366EB22"/>
    <w:rsid w:val="038E45BB"/>
    <w:rsid w:val="03DFFD70"/>
    <w:rsid w:val="040C4D6D"/>
    <w:rsid w:val="0414C6C8"/>
    <w:rsid w:val="0421DF23"/>
    <w:rsid w:val="04FFBDA0"/>
    <w:rsid w:val="05142FC9"/>
    <w:rsid w:val="05830BE4"/>
    <w:rsid w:val="05B3C291"/>
    <w:rsid w:val="07E245C5"/>
    <w:rsid w:val="07E6F85E"/>
    <w:rsid w:val="085CF18A"/>
    <w:rsid w:val="0864627F"/>
    <w:rsid w:val="089AC0F1"/>
    <w:rsid w:val="0917B860"/>
    <w:rsid w:val="095641A3"/>
    <w:rsid w:val="0957FC63"/>
    <w:rsid w:val="09CA4A15"/>
    <w:rsid w:val="0A0B7071"/>
    <w:rsid w:val="0A3C9540"/>
    <w:rsid w:val="0A412326"/>
    <w:rsid w:val="0ABDDD27"/>
    <w:rsid w:val="0ACF1A98"/>
    <w:rsid w:val="0AFC4A3A"/>
    <w:rsid w:val="0B912426"/>
    <w:rsid w:val="0BBE9DAF"/>
    <w:rsid w:val="0C769464"/>
    <w:rsid w:val="0C7CC4D1"/>
    <w:rsid w:val="0C80749C"/>
    <w:rsid w:val="0CD4CE51"/>
    <w:rsid w:val="0D606271"/>
    <w:rsid w:val="0D9C1DAB"/>
    <w:rsid w:val="0D9F5FE7"/>
    <w:rsid w:val="0DB910AE"/>
    <w:rsid w:val="0DFA6F81"/>
    <w:rsid w:val="0E9C87E8"/>
    <w:rsid w:val="0F202B16"/>
    <w:rsid w:val="0F47BA65"/>
    <w:rsid w:val="0F70EDC3"/>
    <w:rsid w:val="105AF251"/>
    <w:rsid w:val="113652EF"/>
    <w:rsid w:val="121F960E"/>
    <w:rsid w:val="13049976"/>
    <w:rsid w:val="13621E27"/>
    <w:rsid w:val="13EA4E7B"/>
    <w:rsid w:val="141ABDD2"/>
    <w:rsid w:val="14822A6E"/>
    <w:rsid w:val="14A0501E"/>
    <w:rsid w:val="15826677"/>
    <w:rsid w:val="15B36A29"/>
    <w:rsid w:val="15C2E592"/>
    <w:rsid w:val="1696EA68"/>
    <w:rsid w:val="16CD01D1"/>
    <w:rsid w:val="16EDF97B"/>
    <w:rsid w:val="172FB995"/>
    <w:rsid w:val="17425965"/>
    <w:rsid w:val="17484197"/>
    <w:rsid w:val="1774D346"/>
    <w:rsid w:val="17A18D23"/>
    <w:rsid w:val="17E1964E"/>
    <w:rsid w:val="1821A184"/>
    <w:rsid w:val="18B8EC76"/>
    <w:rsid w:val="18D87BE2"/>
    <w:rsid w:val="1903A11C"/>
    <w:rsid w:val="19E591CC"/>
    <w:rsid w:val="19FD3744"/>
    <w:rsid w:val="1A26AE85"/>
    <w:rsid w:val="1A5B7BB9"/>
    <w:rsid w:val="1A7278B9"/>
    <w:rsid w:val="1A84FB21"/>
    <w:rsid w:val="1B296107"/>
    <w:rsid w:val="1BDBFCFE"/>
    <w:rsid w:val="1C0DDDB8"/>
    <w:rsid w:val="1C27D7A9"/>
    <w:rsid w:val="1C3F44B3"/>
    <w:rsid w:val="1C4E6557"/>
    <w:rsid w:val="1CB7CBA3"/>
    <w:rsid w:val="1CD38810"/>
    <w:rsid w:val="1CD5D0FB"/>
    <w:rsid w:val="1D956865"/>
    <w:rsid w:val="1DD45A4B"/>
    <w:rsid w:val="1E98E7D1"/>
    <w:rsid w:val="1F48EEBA"/>
    <w:rsid w:val="1F6F710E"/>
    <w:rsid w:val="1FEACD46"/>
    <w:rsid w:val="208B2ECA"/>
    <w:rsid w:val="20A2D569"/>
    <w:rsid w:val="214610C0"/>
    <w:rsid w:val="217246EF"/>
    <w:rsid w:val="21F0597A"/>
    <w:rsid w:val="22019D64"/>
    <w:rsid w:val="22571639"/>
    <w:rsid w:val="228C2EA7"/>
    <w:rsid w:val="232180AE"/>
    <w:rsid w:val="23D23CF9"/>
    <w:rsid w:val="257CE65D"/>
    <w:rsid w:val="2627548F"/>
    <w:rsid w:val="262EB869"/>
    <w:rsid w:val="2644EFCB"/>
    <w:rsid w:val="2713FEB8"/>
    <w:rsid w:val="27636255"/>
    <w:rsid w:val="276A0F9E"/>
    <w:rsid w:val="27B13E9E"/>
    <w:rsid w:val="27E3FA18"/>
    <w:rsid w:val="285BD225"/>
    <w:rsid w:val="286A04C6"/>
    <w:rsid w:val="291B8D35"/>
    <w:rsid w:val="29A460FA"/>
    <w:rsid w:val="29B15111"/>
    <w:rsid w:val="29C26025"/>
    <w:rsid w:val="2A188448"/>
    <w:rsid w:val="2A71BBE5"/>
    <w:rsid w:val="2B0C78A8"/>
    <w:rsid w:val="2B745305"/>
    <w:rsid w:val="2BDB7DD0"/>
    <w:rsid w:val="2BFAE647"/>
    <w:rsid w:val="2C188C22"/>
    <w:rsid w:val="2C4271FD"/>
    <w:rsid w:val="2CEF5027"/>
    <w:rsid w:val="2CF29287"/>
    <w:rsid w:val="2E48033B"/>
    <w:rsid w:val="2F480A68"/>
    <w:rsid w:val="2F4C5882"/>
    <w:rsid w:val="2F565B45"/>
    <w:rsid w:val="2F926A5B"/>
    <w:rsid w:val="2FB3486A"/>
    <w:rsid w:val="2FC4B566"/>
    <w:rsid w:val="302A344E"/>
    <w:rsid w:val="30457856"/>
    <w:rsid w:val="307C7DFA"/>
    <w:rsid w:val="30CED6DD"/>
    <w:rsid w:val="319F22CE"/>
    <w:rsid w:val="31A66F56"/>
    <w:rsid w:val="31C189C9"/>
    <w:rsid w:val="33719AE8"/>
    <w:rsid w:val="3440ED3B"/>
    <w:rsid w:val="34DEC169"/>
    <w:rsid w:val="354959BD"/>
    <w:rsid w:val="357FBFC8"/>
    <w:rsid w:val="35973EC3"/>
    <w:rsid w:val="35B209A7"/>
    <w:rsid w:val="360830A3"/>
    <w:rsid w:val="360ED153"/>
    <w:rsid w:val="362A1184"/>
    <w:rsid w:val="36349836"/>
    <w:rsid w:val="364AAFFA"/>
    <w:rsid w:val="369E1606"/>
    <w:rsid w:val="36EB401F"/>
    <w:rsid w:val="370AFF91"/>
    <w:rsid w:val="371E649B"/>
    <w:rsid w:val="376A2341"/>
    <w:rsid w:val="377B4AD6"/>
    <w:rsid w:val="37DC7C4F"/>
    <w:rsid w:val="37EB1E4D"/>
    <w:rsid w:val="3825DB6B"/>
    <w:rsid w:val="387EE4C5"/>
    <w:rsid w:val="3A360DDF"/>
    <w:rsid w:val="3AE94CCE"/>
    <w:rsid w:val="3BB915B7"/>
    <w:rsid w:val="3BD3948A"/>
    <w:rsid w:val="3BD83651"/>
    <w:rsid w:val="3BDF9A56"/>
    <w:rsid w:val="3BFA721C"/>
    <w:rsid w:val="3C264222"/>
    <w:rsid w:val="3C5C6E66"/>
    <w:rsid w:val="3D5E83A9"/>
    <w:rsid w:val="3D65BEBE"/>
    <w:rsid w:val="3D7ADD06"/>
    <w:rsid w:val="3E32E7DA"/>
    <w:rsid w:val="3F213155"/>
    <w:rsid w:val="3F2204AF"/>
    <w:rsid w:val="3F6B282C"/>
    <w:rsid w:val="40C6349B"/>
    <w:rsid w:val="411845A1"/>
    <w:rsid w:val="414D61C6"/>
    <w:rsid w:val="426F6C81"/>
    <w:rsid w:val="42A23938"/>
    <w:rsid w:val="432DDF64"/>
    <w:rsid w:val="43368D97"/>
    <w:rsid w:val="434DC100"/>
    <w:rsid w:val="436EC3D8"/>
    <w:rsid w:val="445EA1DD"/>
    <w:rsid w:val="44A59AE7"/>
    <w:rsid w:val="4579FB8D"/>
    <w:rsid w:val="46848798"/>
    <w:rsid w:val="46A746FD"/>
    <w:rsid w:val="472B3353"/>
    <w:rsid w:val="47510E9E"/>
    <w:rsid w:val="479323AE"/>
    <w:rsid w:val="47D7F24A"/>
    <w:rsid w:val="47F1B301"/>
    <w:rsid w:val="47FB5BA0"/>
    <w:rsid w:val="48954A8F"/>
    <w:rsid w:val="496371BB"/>
    <w:rsid w:val="4A42737A"/>
    <w:rsid w:val="4A4E2823"/>
    <w:rsid w:val="4B1DA2FD"/>
    <w:rsid w:val="4B6A86A7"/>
    <w:rsid w:val="4BDD6CDB"/>
    <w:rsid w:val="4BE0209C"/>
    <w:rsid w:val="4C0E2710"/>
    <w:rsid w:val="4C83EED7"/>
    <w:rsid w:val="4D40734D"/>
    <w:rsid w:val="4D8EA9D1"/>
    <w:rsid w:val="4DA78CA8"/>
    <w:rsid w:val="4DC1C9AC"/>
    <w:rsid w:val="4E401BD0"/>
    <w:rsid w:val="4E47F3CA"/>
    <w:rsid w:val="4E8B0017"/>
    <w:rsid w:val="4E9C3DC3"/>
    <w:rsid w:val="4F299C83"/>
    <w:rsid w:val="4FC8FEB7"/>
    <w:rsid w:val="52269C83"/>
    <w:rsid w:val="52C8B903"/>
    <w:rsid w:val="530F8FE7"/>
    <w:rsid w:val="534C0478"/>
    <w:rsid w:val="535D360F"/>
    <w:rsid w:val="53CCE6A4"/>
    <w:rsid w:val="5592EB20"/>
    <w:rsid w:val="55BB5CEC"/>
    <w:rsid w:val="55F0D8B2"/>
    <w:rsid w:val="5650CF4B"/>
    <w:rsid w:val="56E16044"/>
    <w:rsid w:val="5726E3C6"/>
    <w:rsid w:val="57CA2C38"/>
    <w:rsid w:val="57CC5BD9"/>
    <w:rsid w:val="57FB9D64"/>
    <w:rsid w:val="580B29FF"/>
    <w:rsid w:val="585FFC08"/>
    <w:rsid w:val="5887575C"/>
    <w:rsid w:val="58E259CB"/>
    <w:rsid w:val="597E25C2"/>
    <w:rsid w:val="598A0C6C"/>
    <w:rsid w:val="59990F7A"/>
    <w:rsid w:val="5A053CEE"/>
    <w:rsid w:val="5A504C79"/>
    <w:rsid w:val="5ACB4852"/>
    <w:rsid w:val="5AF34981"/>
    <w:rsid w:val="5B2B5AEE"/>
    <w:rsid w:val="5BBFBB55"/>
    <w:rsid w:val="5C331DDB"/>
    <w:rsid w:val="5C35BB49"/>
    <w:rsid w:val="5C523844"/>
    <w:rsid w:val="5CBD141F"/>
    <w:rsid w:val="5CEA17B0"/>
    <w:rsid w:val="5D13E0E4"/>
    <w:rsid w:val="5D3F51B3"/>
    <w:rsid w:val="5D5B7446"/>
    <w:rsid w:val="5D7576E9"/>
    <w:rsid w:val="5D8D48A3"/>
    <w:rsid w:val="5DE892C1"/>
    <w:rsid w:val="5E48188D"/>
    <w:rsid w:val="5E50ECEB"/>
    <w:rsid w:val="5E8BCC1B"/>
    <w:rsid w:val="5EAFA695"/>
    <w:rsid w:val="5EFF0833"/>
    <w:rsid w:val="5F6FA155"/>
    <w:rsid w:val="60488B0E"/>
    <w:rsid w:val="60A55989"/>
    <w:rsid w:val="60A5AE8B"/>
    <w:rsid w:val="6105FCC2"/>
    <w:rsid w:val="6119E29E"/>
    <w:rsid w:val="611C88FE"/>
    <w:rsid w:val="612022FC"/>
    <w:rsid w:val="62A3C0F0"/>
    <w:rsid w:val="62C2B6A1"/>
    <w:rsid w:val="62DEDEBC"/>
    <w:rsid w:val="62E4D861"/>
    <w:rsid w:val="63216AEB"/>
    <w:rsid w:val="6356AF48"/>
    <w:rsid w:val="635A1BAC"/>
    <w:rsid w:val="638B569F"/>
    <w:rsid w:val="63966D33"/>
    <w:rsid w:val="644804F1"/>
    <w:rsid w:val="646C9CC3"/>
    <w:rsid w:val="649E558D"/>
    <w:rsid w:val="64B68F2B"/>
    <w:rsid w:val="65198051"/>
    <w:rsid w:val="651D4FD2"/>
    <w:rsid w:val="67F44886"/>
    <w:rsid w:val="6808153C"/>
    <w:rsid w:val="684F1932"/>
    <w:rsid w:val="685AFC36"/>
    <w:rsid w:val="69D44822"/>
    <w:rsid w:val="6A0BF7EF"/>
    <w:rsid w:val="6A506BCC"/>
    <w:rsid w:val="6A631183"/>
    <w:rsid w:val="6B044F90"/>
    <w:rsid w:val="6B1E9C0C"/>
    <w:rsid w:val="6B2F0BAB"/>
    <w:rsid w:val="6B5B20C8"/>
    <w:rsid w:val="6B9E5DA5"/>
    <w:rsid w:val="6BB61A65"/>
    <w:rsid w:val="6BD3FA64"/>
    <w:rsid w:val="6C096F10"/>
    <w:rsid w:val="6C1D9476"/>
    <w:rsid w:val="6C388D5A"/>
    <w:rsid w:val="6CC4607A"/>
    <w:rsid w:val="6CF3079B"/>
    <w:rsid w:val="6D0DE099"/>
    <w:rsid w:val="6E5A1098"/>
    <w:rsid w:val="6E689F00"/>
    <w:rsid w:val="6ECC0202"/>
    <w:rsid w:val="6EFB00BC"/>
    <w:rsid w:val="6F551DFF"/>
    <w:rsid w:val="6F6BD390"/>
    <w:rsid w:val="6F74FA90"/>
    <w:rsid w:val="6FC51847"/>
    <w:rsid w:val="705E6B7F"/>
    <w:rsid w:val="70AFE09F"/>
    <w:rsid w:val="72213A8E"/>
    <w:rsid w:val="72354820"/>
    <w:rsid w:val="7249B26D"/>
    <w:rsid w:val="724B43AE"/>
    <w:rsid w:val="72C85463"/>
    <w:rsid w:val="72CA0D5B"/>
    <w:rsid w:val="7329E193"/>
    <w:rsid w:val="7367DA4C"/>
    <w:rsid w:val="7397FC26"/>
    <w:rsid w:val="73C2B4B4"/>
    <w:rsid w:val="74419BD5"/>
    <w:rsid w:val="74BB1442"/>
    <w:rsid w:val="74DBFAF1"/>
    <w:rsid w:val="758BE729"/>
    <w:rsid w:val="759906BD"/>
    <w:rsid w:val="75F309F0"/>
    <w:rsid w:val="7622F88E"/>
    <w:rsid w:val="76826A0E"/>
    <w:rsid w:val="7702D741"/>
    <w:rsid w:val="776AF94A"/>
    <w:rsid w:val="7803C1FD"/>
    <w:rsid w:val="780B55D7"/>
    <w:rsid w:val="7822D3FF"/>
    <w:rsid w:val="7872E6E8"/>
    <w:rsid w:val="78BF8D44"/>
    <w:rsid w:val="7A070877"/>
    <w:rsid w:val="7A192AB6"/>
    <w:rsid w:val="7A3D56A4"/>
    <w:rsid w:val="7ABEA821"/>
    <w:rsid w:val="7B0043C6"/>
    <w:rsid w:val="7B51D2FB"/>
    <w:rsid w:val="7BAC7042"/>
    <w:rsid w:val="7C523E55"/>
    <w:rsid w:val="7C821990"/>
    <w:rsid w:val="7CB94A7F"/>
    <w:rsid w:val="7CCEBD0A"/>
    <w:rsid w:val="7CFF069C"/>
    <w:rsid w:val="7D4EDDF7"/>
    <w:rsid w:val="7E115043"/>
    <w:rsid w:val="7E214F73"/>
    <w:rsid w:val="7EA861E1"/>
    <w:rsid w:val="7F4E9B7C"/>
    <w:rsid w:val="7F8B75FD"/>
    <w:rsid w:val="7FB9986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EDBEE9"/>
  <w15:chartTrackingRefBased/>
  <w15:docId w15:val="{DCA992ED-1B9C-4353-A49C-14665B6F4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GB" w:eastAsia="en-US"/>
    </w:rPr>
  </w:style>
  <w:style w:type="paragraph" w:styleId="Heading1">
    <w:name w:val="heading 1"/>
    <w:basedOn w:val="Normal"/>
    <w:next w:val="Normal"/>
    <w:link w:val="Heading1Char"/>
    <w:qFormat/>
    <w:rsid w:val="0008210F"/>
    <w:pPr>
      <w:numPr>
        <w:numId w:val="1"/>
      </w:numPr>
      <w:spacing w:after="0" w:line="288" w:lineRule="auto"/>
      <w:ind w:left="567" w:hanging="567"/>
      <w:jc w:val="both"/>
      <w:outlineLvl w:val="0"/>
    </w:pPr>
    <w:rPr>
      <w:rFonts w:ascii="Times New Roman" w:eastAsia="Times New Roman" w:hAnsi="Times New Roman"/>
      <w:kern w:val="28"/>
      <w:lang w:val="en-US"/>
    </w:rPr>
  </w:style>
  <w:style w:type="paragraph" w:styleId="Heading2">
    <w:name w:val="heading 2"/>
    <w:basedOn w:val="Normal"/>
    <w:next w:val="Normal"/>
    <w:link w:val="Heading2Char"/>
    <w:qFormat/>
    <w:rsid w:val="0008210F"/>
    <w:pPr>
      <w:numPr>
        <w:ilvl w:val="1"/>
        <w:numId w:val="1"/>
      </w:numPr>
      <w:spacing w:after="0" w:line="288" w:lineRule="auto"/>
      <w:ind w:left="567" w:hanging="567"/>
      <w:jc w:val="both"/>
      <w:outlineLvl w:val="1"/>
    </w:pPr>
    <w:rPr>
      <w:rFonts w:ascii="Times New Roman" w:eastAsia="Times New Roman" w:hAnsi="Times New Roman"/>
      <w:lang w:val="en-US"/>
    </w:rPr>
  </w:style>
  <w:style w:type="paragraph" w:styleId="Heading3">
    <w:name w:val="heading 3"/>
    <w:basedOn w:val="Normal"/>
    <w:next w:val="Normal"/>
    <w:link w:val="Heading3Char"/>
    <w:qFormat/>
    <w:rsid w:val="0008210F"/>
    <w:pPr>
      <w:numPr>
        <w:ilvl w:val="2"/>
        <w:numId w:val="1"/>
      </w:numPr>
      <w:spacing w:after="0" w:line="288" w:lineRule="auto"/>
      <w:ind w:left="567" w:hanging="567"/>
      <w:jc w:val="both"/>
      <w:outlineLvl w:val="2"/>
    </w:pPr>
    <w:rPr>
      <w:rFonts w:ascii="Times New Roman" w:eastAsia="Times New Roman" w:hAnsi="Times New Roman"/>
      <w:lang w:val="en-US"/>
    </w:rPr>
  </w:style>
  <w:style w:type="paragraph" w:styleId="Heading4">
    <w:name w:val="heading 4"/>
    <w:basedOn w:val="Normal"/>
    <w:next w:val="Normal"/>
    <w:link w:val="Heading4Char"/>
    <w:qFormat/>
    <w:rsid w:val="0008210F"/>
    <w:pPr>
      <w:numPr>
        <w:ilvl w:val="3"/>
        <w:numId w:val="1"/>
      </w:numPr>
      <w:spacing w:after="0" w:line="288" w:lineRule="auto"/>
      <w:ind w:left="567" w:hanging="567"/>
      <w:jc w:val="both"/>
      <w:outlineLvl w:val="3"/>
    </w:pPr>
    <w:rPr>
      <w:rFonts w:ascii="Times New Roman" w:eastAsia="Times New Roman" w:hAnsi="Times New Roman"/>
      <w:lang w:val="en-US"/>
    </w:rPr>
  </w:style>
  <w:style w:type="paragraph" w:styleId="Heading5">
    <w:name w:val="heading 5"/>
    <w:basedOn w:val="Normal"/>
    <w:next w:val="Normal"/>
    <w:link w:val="Heading5Char"/>
    <w:qFormat/>
    <w:rsid w:val="0008210F"/>
    <w:pPr>
      <w:numPr>
        <w:ilvl w:val="4"/>
        <w:numId w:val="1"/>
      </w:numPr>
      <w:spacing w:after="0" w:line="288" w:lineRule="auto"/>
      <w:ind w:left="567" w:hanging="567"/>
      <w:jc w:val="both"/>
      <w:outlineLvl w:val="4"/>
    </w:pPr>
    <w:rPr>
      <w:rFonts w:ascii="Times New Roman" w:eastAsia="Times New Roman" w:hAnsi="Times New Roman"/>
      <w:lang w:val="en-US"/>
    </w:rPr>
  </w:style>
  <w:style w:type="paragraph" w:styleId="Heading6">
    <w:name w:val="heading 6"/>
    <w:basedOn w:val="Normal"/>
    <w:next w:val="Normal"/>
    <w:link w:val="Heading6Char"/>
    <w:qFormat/>
    <w:rsid w:val="0008210F"/>
    <w:pPr>
      <w:numPr>
        <w:ilvl w:val="5"/>
        <w:numId w:val="1"/>
      </w:numPr>
      <w:spacing w:after="0" w:line="288" w:lineRule="auto"/>
      <w:ind w:left="567" w:hanging="567"/>
      <w:jc w:val="both"/>
      <w:outlineLvl w:val="5"/>
    </w:pPr>
    <w:rPr>
      <w:rFonts w:ascii="Times New Roman" w:eastAsia="Times New Roman" w:hAnsi="Times New Roman"/>
      <w:lang w:val="en-US"/>
    </w:rPr>
  </w:style>
  <w:style w:type="paragraph" w:styleId="Heading7">
    <w:name w:val="heading 7"/>
    <w:basedOn w:val="Normal"/>
    <w:next w:val="Normal"/>
    <w:link w:val="Heading7Char"/>
    <w:qFormat/>
    <w:rsid w:val="0008210F"/>
    <w:pPr>
      <w:numPr>
        <w:ilvl w:val="6"/>
        <w:numId w:val="1"/>
      </w:numPr>
      <w:spacing w:after="0" w:line="288" w:lineRule="auto"/>
      <w:ind w:left="567" w:hanging="567"/>
      <w:jc w:val="both"/>
      <w:outlineLvl w:val="6"/>
    </w:pPr>
    <w:rPr>
      <w:rFonts w:ascii="Times New Roman" w:eastAsia="Times New Roman" w:hAnsi="Times New Roman"/>
      <w:lang w:val="en-US"/>
    </w:rPr>
  </w:style>
  <w:style w:type="paragraph" w:styleId="Heading8">
    <w:name w:val="heading 8"/>
    <w:basedOn w:val="Normal"/>
    <w:next w:val="Normal"/>
    <w:link w:val="Heading8Char"/>
    <w:qFormat/>
    <w:rsid w:val="0008210F"/>
    <w:pPr>
      <w:numPr>
        <w:ilvl w:val="7"/>
        <w:numId w:val="1"/>
      </w:numPr>
      <w:spacing w:after="0" w:line="288" w:lineRule="auto"/>
      <w:ind w:left="567" w:hanging="567"/>
      <w:jc w:val="both"/>
      <w:outlineLvl w:val="7"/>
    </w:pPr>
    <w:rPr>
      <w:rFonts w:ascii="Times New Roman" w:eastAsia="Times New Roman" w:hAnsi="Times New Roman"/>
      <w:lang w:val="en-US"/>
    </w:rPr>
  </w:style>
  <w:style w:type="paragraph" w:styleId="Heading9">
    <w:name w:val="heading 9"/>
    <w:basedOn w:val="Normal"/>
    <w:next w:val="Normal"/>
    <w:link w:val="Heading9Char"/>
    <w:qFormat/>
    <w:rsid w:val="0008210F"/>
    <w:pPr>
      <w:numPr>
        <w:ilvl w:val="8"/>
        <w:numId w:val="1"/>
      </w:numPr>
      <w:spacing w:after="0" w:line="288" w:lineRule="auto"/>
      <w:ind w:left="567" w:hanging="567"/>
      <w:jc w:val="both"/>
      <w:outlineLvl w:val="8"/>
    </w:pPr>
    <w:rPr>
      <w:rFonts w:ascii="Times New Roman" w:eastAsia="Times New Roman" w:hAnsi="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8210F"/>
    <w:rPr>
      <w:rFonts w:ascii="Times New Roman" w:eastAsia="Times New Roman" w:hAnsi="Times New Roman"/>
      <w:kern w:val="28"/>
      <w:sz w:val="22"/>
      <w:szCs w:val="22"/>
      <w:lang w:val="en-US" w:eastAsia="en-US"/>
    </w:rPr>
  </w:style>
  <w:style w:type="character" w:customStyle="1" w:styleId="Heading2Char">
    <w:name w:val="Heading 2 Char"/>
    <w:link w:val="Heading2"/>
    <w:rsid w:val="0008210F"/>
    <w:rPr>
      <w:rFonts w:ascii="Times New Roman" w:eastAsia="Times New Roman" w:hAnsi="Times New Roman"/>
      <w:sz w:val="22"/>
      <w:szCs w:val="22"/>
      <w:lang w:val="en-US" w:eastAsia="en-US"/>
    </w:rPr>
  </w:style>
  <w:style w:type="character" w:customStyle="1" w:styleId="Heading3Char">
    <w:name w:val="Heading 3 Char"/>
    <w:link w:val="Heading3"/>
    <w:rsid w:val="0008210F"/>
    <w:rPr>
      <w:rFonts w:ascii="Times New Roman" w:eastAsia="Times New Roman" w:hAnsi="Times New Roman"/>
      <w:sz w:val="22"/>
      <w:szCs w:val="22"/>
      <w:lang w:val="en-US" w:eastAsia="en-US"/>
    </w:rPr>
  </w:style>
  <w:style w:type="character" w:customStyle="1" w:styleId="Heading4Char">
    <w:name w:val="Heading 4 Char"/>
    <w:link w:val="Heading4"/>
    <w:rsid w:val="0008210F"/>
    <w:rPr>
      <w:rFonts w:ascii="Times New Roman" w:eastAsia="Times New Roman" w:hAnsi="Times New Roman"/>
      <w:sz w:val="22"/>
      <w:szCs w:val="22"/>
      <w:lang w:val="en-US" w:eastAsia="en-US"/>
    </w:rPr>
  </w:style>
  <w:style w:type="character" w:customStyle="1" w:styleId="Heading5Char">
    <w:name w:val="Heading 5 Char"/>
    <w:link w:val="Heading5"/>
    <w:rsid w:val="0008210F"/>
    <w:rPr>
      <w:rFonts w:ascii="Times New Roman" w:eastAsia="Times New Roman" w:hAnsi="Times New Roman"/>
      <w:sz w:val="22"/>
      <w:szCs w:val="22"/>
      <w:lang w:val="en-US" w:eastAsia="en-US"/>
    </w:rPr>
  </w:style>
  <w:style w:type="character" w:customStyle="1" w:styleId="Heading6Char">
    <w:name w:val="Heading 6 Char"/>
    <w:link w:val="Heading6"/>
    <w:rsid w:val="0008210F"/>
    <w:rPr>
      <w:rFonts w:ascii="Times New Roman" w:eastAsia="Times New Roman" w:hAnsi="Times New Roman"/>
      <w:sz w:val="22"/>
      <w:szCs w:val="22"/>
      <w:lang w:val="en-US" w:eastAsia="en-US"/>
    </w:rPr>
  </w:style>
  <w:style w:type="character" w:customStyle="1" w:styleId="Heading7Char">
    <w:name w:val="Heading 7 Char"/>
    <w:link w:val="Heading7"/>
    <w:rsid w:val="0008210F"/>
    <w:rPr>
      <w:rFonts w:ascii="Times New Roman" w:eastAsia="Times New Roman" w:hAnsi="Times New Roman"/>
      <w:sz w:val="22"/>
      <w:szCs w:val="22"/>
      <w:lang w:val="en-US" w:eastAsia="en-US"/>
    </w:rPr>
  </w:style>
  <w:style w:type="character" w:customStyle="1" w:styleId="Heading8Char">
    <w:name w:val="Heading 8 Char"/>
    <w:link w:val="Heading8"/>
    <w:rsid w:val="0008210F"/>
    <w:rPr>
      <w:rFonts w:ascii="Times New Roman" w:eastAsia="Times New Roman" w:hAnsi="Times New Roman"/>
      <w:sz w:val="22"/>
      <w:szCs w:val="22"/>
      <w:lang w:val="en-US" w:eastAsia="en-US"/>
    </w:rPr>
  </w:style>
  <w:style w:type="character" w:customStyle="1" w:styleId="Heading9Char">
    <w:name w:val="Heading 9 Char"/>
    <w:link w:val="Heading9"/>
    <w:rsid w:val="0008210F"/>
    <w:rPr>
      <w:rFonts w:ascii="Times New Roman" w:eastAsia="Times New Roman" w:hAnsi="Times New Roman"/>
      <w:sz w:val="22"/>
      <w:szCs w:val="22"/>
      <w:lang w:val="en-US" w:eastAsia="en-US"/>
    </w:rPr>
  </w:style>
  <w:style w:type="paragraph" w:styleId="FootnoteText">
    <w:name w:val="footnote text"/>
    <w:aliases w:val="Footnote Text Char2 Char,Footnote Text Char Char Char1,Footnote Text Char1 Char Char Char,Footnote Text Char2 Char Char Char Char,Footnote Text Char1 Char1 Char Char Char Char,Footnote Text Char Char1 Char Char Char Cha,fn,footnote text,C"/>
    <w:basedOn w:val="Normal"/>
    <w:link w:val="FootnoteTextChar"/>
    <w:uiPriority w:val="99"/>
    <w:qFormat/>
    <w:rsid w:val="0008210F"/>
    <w:pPr>
      <w:keepLines/>
      <w:spacing w:after="60" w:line="240" w:lineRule="auto"/>
      <w:ind w:left="567" w:hanging="567"/>
      <w:jc w:val="both"/>
    </w:pPr>
    <w:rPr>
      <w:rFonts w:ascii="Times New Roman" w:eastAsia="Times New Roman" w:hAnsi="Times New Roman"/>
      <w:sz w:val="16"/>
      <w:lang w:val="en-US"/>
    </w:rPr>
  </w:style>
  <w:style w:type="character" w:customStyle="1" w:styleId="FootnoteTextChar">
    <w:name w:val="Footnote Text Char"/>
    <w:aliases w:val="Footnote Text Char2 Char Char,Footnote Text Char Char Char1 Char,Footnote Text Char1 Char Char Char Char,Footnote Text Char2 Char Char Char Char Char,Footnote Text Char1 Char1 Char Char Char Char Char,fn Char,footnote text Char,C Char"/>
    <w:link w:val="FootnoteText"/>
    <w:uiPriority w:val="99"/>
    <w:qFormat/>
    <w:rsid w:val="0008210F"/>
    <w:rPr>
      <w:rFonts w:ascii="Times New Roman" w:eastAsia="Times New Roman" w:hAnsi="Times New Roman"/>
      <w:sz w:val="16"/>
      <w:szCs w:val="22"/>
      <w:lang w:val="en-US" w:eastAsia="en-US"/>
    </w:rPr>
  </w:style>
  <w:style w:type="character" w:styleId="FootnoteReference">
    <w:name w:val="footnote reference"/>
    <w:aliases w:val="Footnote symbol,Footnote number,Footnote,note TESI,Ref,de nota al pie,(NECG) Footnote Reference,fr,Footnote Reference1,Footnote Reference11,o,Voetnootverwijzing,Footnotemark,FR,Footnotemark1,Footnotemark2,FR1,Footnotemark3,FR2,FR3,FR4"/>
    <w:link w:val="FootnoteReferenceLVL6"/>
    <w:uiPriority w:val="99"/>
    <w:unhideWhenUsed/>
    <w:qFormat/>
    <w:rsid w:val="0008210F"/>
    <w:rPr>
      <w:sz w:val="24"/>
      <w:vertAlign w:val="superscript"/>
    </w:rPr>
  </w:style>
  <w:style w:type="character" w:styleId="Hyperlink">
    <w:name w:val="Hyperlink"/>
    <w:uiPriority w:val="99"/>
    <w:rsid w:val="0008210F"/>
    <w:rPr>
      <w:color w:val="0000FF"/>
      <w:u w:val="single"/>
    </w:rPr>
  </w:style>
  <w:style w:type="paragraph" w:styleId="ListParagraph">
    <w:name w:val="List Paragraph"/>
    <w:aliases w:val="Fiche List Paragraph,OBC Bullet,Dot pt,F5 List Paragraph,List Paragraph1,No Spacing1,List Paragraph Char Char Char,Indicator Text,Numbered Para 1,Bullet 1,Bullet Points,MAIN CONTENT,List Paragraph11,2,Bullet St,L"/>
    <w:basedOn w:val="Normal"/>
    <w:link w:val="ListParagraphChar"/>
    <w:uiPriority w:val="34"/>
    <w:qFormat/>
    <w:rsid w:val="00B76071"/>
    <w:pPr>
      <w:spacing w:after="160" w:line="259" w:lineRule="auto"/>
      <w:ind w:left="720"/>
      <w:contextualSpacing/>
    </w:pPr>
    <w:rPr>
      <w:lang w:val="en-US"/>
    </w:rPr>
  </w:style>
  <w:style w:type="paragraph" w:styleId="Revision">
    <w:name w:val="Revision"/>
    <w:hidden/>
    <w:uiPriority w:val="99"/>
    <w:semiHidden/>
    <w:rsid w:val="00103925"/>
    <w:rPr>
      <w:sz w:val="22"/>
      <w:szCs w:val="22"/>
      <w:lang w:val="en-GB" w:eastAsia="en-US"/>
    </w:rPr>
  </w:style>
  <w:style w:type="character" w:styleId="UnresolvedMention">
    <w:name w:val="Unresolved Mention"/>
    <w:uiPriority w:val="99"/>
    <w:semiHidden/>
    <w:unhideWhenUsed/>
    <w:rsid w:val="00240E6F"/>
    <w:rPr>
      <w:color w:val="605E5C"/>
      <w:shd w:val="clear" w:color="auto" w:fill="E1DFDD"/>
    </w:rPr>
  </w:style>
  <w:style w:type="paragraph" w:customStyle="1" w:styleId="FootnoteReferenceLVL6">
    <w:name w:val="Footnote Reference_LVL6"/>
    <w:aliases w:val="Footnote Reference_LVL61,Footnote Reference_LVL62,Footnote Reference_LVL63,Footnote Reference_LVL64,Odwo&lt;0142&gt;anie przypisu,SUPER,BVI fnr Char1 Char"/>
    <w:basedOn w:val="Normal"/>
    <w:next w:val="Normal"/>
    <w:link w:val="FootnoteReference"/>
    <w:uiPriority w:val="99"/>
    <w:rsid w:val="0012401C"/>
    <w:pPr>
      <w:spacing w:after="160" w:line="240" w:lineRule="exact"/>
      <w:jc w:val="both"/>
    </w:pPr>
    <w:rPr>
      <w:sz w:val="24"/>
      <w:szCs w:val="20"/>
      <w:vertAlign w:val="superscript"/>
      <w:lang w:eastAsia="en-GB"/>
    </w:rPr>
  </w:style>
  <w:style w:type="character" w:customStyle="1" w:styleId="normaltextrun">
    <w:name w:val="normaltextrun"/>
    <w:basedOn w:val="DefaultParagraphFont"/>
    <w:rsid w:val="0012401C"/>
  </w:style>
  <w:style w:type="paragraph" w:customStyle="1" w:styleId="paragraph">
    <w:name w:val="paragraph"/>
    <w:basedOn w:val="Normal"/>
    <w:rsid w:val="0012401C"/>
    <w:pPr>
      <w:spacing w:before="100" w:beforeAutospacing="1" w:after="100" w:afterAutospacing="1" w:line="240" w:lineRule="auto"/>
    </w:pPr>
    <w:rPr>
      <w:rFonts w:ascii="Times New Roman" w:eastAsia="Times New Roman" w:hAnsi="Times New Roman"/>
      <w:sz w:val="24"/>
      <w:szCs w:val="24"/>
      <w:lang w:val="en-IE" w:eastAsia="en-IE"/>
    </w:rPr>
  </w:style>
  <w:style w:type="character" w:customStyle="1" w:styleId="ListParagraphChar">
    <w:name w:val="List Paragraph Char"/>
    <w:aliases w:val="Fiche List Paragraph Char,OBC Bullet Char,Dot pt Char,F5 List Paragraph Char,List Paragraph1 Char,No Spacing1 Char,List Paragraph Char Char Char Char,Indicator Text Char,Numbered Para 1 Char,Bullet 1 Char,Bullet Points Char,2 Char"/>
    <w:link w:val="ListParagraph"/>
    <w:uiPriority w:val="34"/>
    <w:qFormat/>
    <w:locked/>
    <w:rsid w:val="0012401C"/>
    <w:rPr>
      <w:sz w:val="22"/>
      <w:szCs w:val="22"/>
      <w:lang w:val="en-US" w:eastAsia="en-US"/>
    </w:rPr>
  </w:style>
  <w:style w:type="paragraph" w:customStyle="1" w:styleId="-FNCharCharChar">
    <w:name w:val="Знак сноски-FN Char Char Char"/>
    <w:aliases w:val="сноска Char Char Char,Footnote Reference 2 Char Char Char Char Char,16 Point Char Char Char Char Char,Superscript 6 Point Char Char Char Char Char,BVI fnr Char Char Char Char Char"/>
    <w:basedOn w:val="Normal"/>
    <w:rsid w:val="009B261B"/>
    <w:pPr>
      <w:spacing w:after="160" w:line="240" w:lineRule="exact"/>
    </w:pPr>
    <w:rPr>
      <w:rFonts w:ascii="Arial" w:hAnsi="Arial" w:cs="Arial"/>
      <w:sz w:val="18"/>
      <w:vertAlign w:val="superscript"/>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uiPriority w:val="99"/>
    <w:qFormat/>
    <w:rsid w:val="009B261B"/>
    <w:pPr>
      <w:spacing w:before="60" w:after="160" w:line="240" w:lineRule="exact"/>
      <w:jc w:val="both"/>
    </w:pPr>
    <w:rPr>
      <w:rFonts w:ascii="Times New Roman" w:eastAsia="Times New Roman" w:hAnsi="Times New Roman"/>
      <w:sz w:val="24"/>
      <w:szCs w:val="20"/>
      <w:vertAlign w:val="superscript"/>
    </w:rPr>
  </w:style>
  <w:style w:type="character" w:styleId="FollowedHyperlink">
    <w:name w:val="FollowedHyperlink"/>
    <w:uiPriority w:val="99"/>
    <w:semiHidden/>
    <w:unhideWhenUsed/>
    <w:rsid w:val="00C03842"/>
    <w:rPr>
      <w:color w:val="954F72"/>
      <w:u w:val="single"/>
    </w:rPr>
  </w:style>
  <w:style w:type="paragraph" w:styleId="Header">
    <w:name w:val="header"/>
    <w:basedOn w:val="Normal"/>
    <w:link w:val="HeaderChar"/>
    <w:uiPriority w:val="99"/>
    <w:unhideWhenUsed/>
    <w:rsid w:val="005F65F4"/>
    <w:pPr>
      <w:tabs>
        <w:tab w:val="center" w:pos="4513"/>
        <w:tab w:val="right" w:pos="9026"/>
      </w:tabs>
    </w:pPr>
  </w:style>
  <w:style w:type="character" w:customStyle="1" w:styleId="HeaderChar">
    <w:name w:val="Header Char"/>
    <w:link w:val="Header"/>
    <w:uiPriority w:val="99"/>
    <w:rsid w:val="005F65F4"/>
    <w:rPr>
      <w:sz w:val="22"/>
      <w:szCs w:val="22"/>
      <w:lang w:eastAsia="en-US"/>
    </w:rPr>
  </w:style>
  <w:style w:type="paragraph" w:styleId="Footer">
    <w:name w:val="footer"/>
    <w:basedOn w:val="Normal"/>
    <w:link w:val="FooterChar"/>
    <w:uiPriority w:val="99"/>
    <w:unhideWhenUsed/>
    <w:rsid w:val="005F65F4"/>
    <w:pPr>
      <w:tabs>
        <w:tab w:val="center" w:pos="4513"/>
        <w:tab w:val="right" w:pos="9026"/>
      </w:tabs>
    </w:pPr>
  </w:style>
  <w:style w:type="character" w:customStyle="1" w:styleId="FooterChar">
    <w:name w:val="Footer Char"/>
    <w:link w:val="Footer"/>
    <w:uiPriority w:val="99"/>
    <w:rsid w:val="005F65F4"/>
    <w:rPr>
      <w:sz w:val="22"/>
      <w:szCs w:val="22"/>
      <w:lang w:eastAsia="en-US"/>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link w:val="CommentText"/>
    <w:uiPriority w:val="99"/>
    <w:rPr>
      <w:lang w:val="en-GB" w:eastAsia="en-US"/>
    </w:rPr>
  </w:style>
  <w:style w:type="character" w:styleId="CommentReference">
    <w:name w:val="annotation reference"/>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F42338"/>
    <w:rPr>
      <w:b/>
      <w:bCs/>
    </w:rPr>
  </w:style>
  <w:style w:type="character" w:customStyle="1" w:styleId="CommentSubjectChar">
    <w:name w:val="Comment Subject Char"/>
    <w:link w:val="CommentSubject"/>
    <w:uiPriority w:val="99"/>
    <w:semiHidden/>
    <w:rsid w:val="00F42338"/>
    <w:rPr>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60158">
      <w:bodyDiv w:val="1"/>
      <w:marLeft w:val="0"/>
      <w:marRight w:val="0"/>
      <w:marTop w:val="0"/>
      <w:marBottom w:val="0"/>
      <w:divBdr>
        <w:top w:val="none" w:sz="0" w:space="0" w:color="auto"/>
        <w:left w:val="none" w:sz="0" w:space="0" w:color="auto"/>
        <w:bottom w:val="none" w:sz="0" w:space="0" w:color="auto"/>
        <w:right w:val="none" w:sz="0" w:space="0" w:color="auto"/>
      </w:divBdr>
    </w:div>
    <w:div w:id="274679254">
      <w:bodyDiv w:val="1"/>
      <w:marLeft w:val="0"/>
      <w:marRight w:val="0"/>
      <w:marTop w:val="0"/>
      <w:marBottom w:val="0"/>
      <w:divBdr>
        <w:top w:val="none" w:sz="0" w:space="0" w:color="auto"/>
        <w:left w:val="none" w:sz="0" w:space="0" w:color="auto"/>
        <w:bottom w:val="none" w:sz="0" w:space="0" w:color="auto"/>
        <w:right w:val="none" w:sz="0" w:space="0" w:color="auto"/>
      </w:divBdr>
    </w:div>
    <w:div w:id="284967773">
      <w:bodyDiv w:val="1"/>
      <w:marLeft w:val="0"/>
      <w:marRight w:val="0"/>
      <w:marTop w:val="0"/>
      <w:marBottom w:val="0"/>
      <w:divBdr>
        <w:top w:val="none" w:sz="0" w:space="0" w:color="auto"/>
        <w:left w:val="none" w:sz="0" w:space="0" w:color="auto"/>
        <w:bottom w:val="none" w:sz="0" w:space="0" w:color="auto"/>
        <w:right w:val="none" w:sz="0" w:space="0" w:color="auto"/>
      </w:divBdr>
    </w:div>
    <w:div w:id="552809276">
      <w:bodyDiv w:val="1"/>
      <w:marLeft w:val="0"/>
      <w:marRight w:val="0"/>
      <w:marTop w:val="0"/>
      <w:marBottom w:val="0"/>
      <w:divBdr>
        <w:top w:val="none" w:sz="0" w:space="0" w:color="auto"/>
        <w:left w:val="none" w:sz="0" w:space="0" w:color="auto"/>
        <w:bottom w:val="none" w:sz="0" w:space="0" w:color="auto"/>
        <w:right w:val="none" w:sz="0" w:space="0" w:color="auto"/>
      </w:divBdr>
      <w:divsChild>
        <w:div w:id="431828390">
          <w:marLeft w:val="0"/>
          <w:marRight w:val="0"/>
          <w:marTop w:val="0"/>
          <w:marBottom w:val="0"/>
          <w:divBdr>
            <w:top w:val="none" w:sz="0" w:space="0" w:color="auto"/>
            <w:left w:val="none" w:sz="0" w:space="0" w:color="auto"/>
            <w:bottom w:val="none" w:sz="0" w:space="0" w:color="auto"/>
            <w:right w:val="none" w:sz="0" w:space="0" w:color="auto"/>
          </w:divBdr>
        </w:div>
        <w:div w:id="773935347">
          <w:marLeft w:val="0"/>
          <w:marRight w:val="0"/>
          <w:marTop w:val="0"/>
          <w:marBottom w:val="0"/>
          <w:divBdr>
            <w:top w:val="none" w:sz="0" w:space="0" w:color="auto"/>
            <w:left w:val="none" w:sz="0" w:space="0" w:color="auto"/>
            <w:bottom w:val="none" w:sz="0" w:space="0" w:color="auto"/>
            <w:right w:val="none" w:sz="0" w:space="0" w:color="auto"/>
          </w:divBdr>
        </w:div>
        <w:div w:id="290788551">
          <w:marLeft w:val="0"/>
          <w:marRight w:val="0"/>
          <w:marTop w:val="0"/>
          <w:marBottom w:val="0"/>
          <w:divBdr>
            <w:top w:val="none" w:sz="0" w:space="0" w:color="auto"/>
            <w:left w:val="none" w:sz="0" w:space="0" w:color="auto"/>
            <w:bottom w:val="none" w:sz="0" w:space="0" w:color="auto"/>
            <w:right w:val="none" w:sz="0" w:space="0" w:color="auto"/>
          </w:divBdr>
        </w:div>
      </w:divsChild>
    </w:div>
    <w:div w:id="699822388">
      <w:bodyDiv w:val="1"/>
      <w:marLeft w:val="0"/>
      <w:marRight w:val="0"/>
      <w:marTop w:val="0"/>
      <w:marBottom w:val="0"/>
      <w:divBdr>
        <w:top w:val="none" w:sz="0" w:space="0" w:color="auto"/>
        <w:left w:val="none" w:sz="0" w:space="0" w:color="auto"/>
        <w:bottom w:val="none" w:sz="0" w:space="0" w:color="auto"/>
        <w:right w:val="none" w:sz="0" w:space="0" w:color="auto"/>
      </w:divBdr>
    </w:div>
    <w:div w:id="773401745">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sChild>
        <w:div w:id="713315215">
          <w:marLeft w:val="0"/>
          <w:marRight w:val="0"/>
          <w:marTop w:val="0"/>
          <w:marBottom w:val="0"/>
          <w:divBdr>
            <w:top w:val="none" w:sz="0" w:space="0" w:color="auto"/>
            <w:left w:val="none" w:sz="0" w:space="0" w:color="auto"/>
            <w:bottom w:val="none" w:sz="0" w:space="0" w:color="auto"/>
            <w:right w:val="none" w:sz="0" w:space="0" w:color="auto"/>
          </w:divBdr>
        </w:div>
        <w:div w:id="1330325094">
          <w:marLeft w:val="0"/>
          <w:marRight w:val="0"/>
          <w:marTop w:val="0"/>
          <w:marBottom w:val="0"/>
          <w:divBdr>
            <w:top w:val="none" w:sz="0" w:space="0" w:color="auto"/>
            <w:left w:val="none" w:sz="0" w:space="0" w:color="auto"/>
            <w:bottom w:val="none" w:sz="0" w:space="0" w:color="auto"/>
            <w:right w:val="none" w:sz="0" w:space="0" w:color="auto"/>
          </w:divBdr>
        </w:div>
      </w:divsChild>
    </w:div>
    <w:div w:id="905797182">
      <w:bodyDiv w:val="1"/>
      <w:marLeft w:val="0"/>
      <w:marRight w:val="0"/>
      <w:marTop w:val="0"/>
      <w:marBottom w:val="0"/>
      <w:divBdr>
        <w:top w:val="none" w:sz="0" w:space="0" w:color="auto"/>
        <w:left w:val="none" w:sz="0" w:space="0" w:color="auto"/>
        <w:bottom w:val="none" w:sz="0" w:space="0" w:color="auto"/>
        <w:right w:val="none" w:sz="0" w:space="0" w:color="auto"/>
      </w:divBdr>
    </w:div>
    <w:div w:id="1135755668">
      <w:bodyDiv w:val="1"/>
      <w:marLeft w:val="0"/>
      <w:marRight w:val="0"/>
      <w:marTop w:val="0"/>
      <w:marBottom w:val="0"/>
      <w:divBdr>
        <w:top w:val="none" w:sz="0" w:space="0" w:color="auto"/>
        <w:left w:val="none" w:sz="0" w:space="0" w:color="auto"/>
        <w:bottom w:val="none" w:sz="0" w:space="0" w:color="auto"/>
        <w:right w:val="none" w:sz="0" w:space="0" w:color="auto"/>
      </w:divBdr>
      <w:divsChild>
        <w:div w:id="1420715765">
          <w:marLeft w:val="0"/>
          <w:marRight w:val="0"/>
          <w:marTop w:val="0"/>
          <w:marBottom w:val="0"/>
          <w:divBdr>
            <w:top w:val="none" w:sz="0" w:space="0" w:color="auto"/>
            <w:left w:val="none" w:sz="0" w:space="0" w:color="auto"/>
            <w:bottom w:val="none" w:sz="0" w:space="0" w:color="auto"/>
            <w:right w:val="none" w:sz="0" w:space="0" w:color="auto"/>
          </w:divBdr>
        </w:div>
        <w:div w:id="1840920858">
          <w:marLeft w:val="0"/>
          <w:marRight w:val="0"/>
          <w:marTop w:val="0"/>
          <w:marBottom w:val="0"/>
          <w:divBdr>
            <w:top w:val="none" w:sz="0" w:space="0" w:color="auto"/>
            <w:left w:val="none" w:sz="0" w:space="0" w:color="auto"/>
            <w:bottom w:val="none" w:sz="0" w:space="0" w:color="auto"/>
            <w:right w:val="none" w:sz="0" w:space="0" w:color="auto"/>
          </w:divBdr>
        </w:div>
        <w:div w:id="407118966">
          <w:marLeft w:val="0"/>
          <w:marRight w:val="0"/>
          <w:marTop w:val="0"/>
          <w:marBottom w:val="0"/>
          <w:divBdr>
            <w:top w:val="none" w:sz="0" w:space="0" w:color="auto"/>
            <w:left w:val="none" w:sz="0" w:space="0" w:color="auto"/>
            <w:bottom w:val="none" w:sz="0" w:space="0" w:color="auto"/>
            <w:right w:val="none" w:sz="0" w:space="0" w:color="auto"/>
          </w:divBdr>
        </w:div>
      </w:divsChild>
    </w:div>
    <w:div w:id="1341159579">
      <w:bodyDiv w:val="1"/>
      <w:marLeft w:val="0"/>
      <w:marRight w:val="0"/>
      <w:marTop w:val="0"/>
      <w:marBottom w:val="0"/>
      <w:divBdr>
        <w:top w:val="none" w:sz="0" w:space="0" w:color="auto"/>
        <w:left w:val="none" w:sz="0" w:space="0" w:color="auto"/>
        <w:bottom w:val="none" w:sz="0" w:space="0" w:color="auto"/>
        <w:right w:val="none" w:sz="0" w:space="0" w:color="auto"/>
      </w:divBdr>
    </w:div>
    <w:div w:id="1411270437">
      <w:bodyDiv w:val="1"/>
      <w:marLeft w:val="0"/>
      <w:marRight w:val="0"/>
      <w:marTop w:val="0"/>
      <w:marBottom w:val="0"/>
      <w:divBdr>
        <w:top w:val="none" w:sz="0" w:space="0" w:color="auto"/>
        <w:left w:val="none" w:sz="0" w:space="0" w:color="auto"/>
        <w:bottom w:val="none" w:sz="0" w:space="0" w:color="auto"/>
        <w:right w:val="none" w:sz="0" w:space="0" w:color="auto"/>
      </w:divBdr>
    </w:div>
    <w:div w:id="1467317558">
      <w:bodyDiv w:val="1"/>
      <w:marLeft w:val="0"/>
      <w:marRight w:val="0"/>
      <w:marTop w:val="0"/>
      <w:marBottom w:val="0"/>
      <w:divBdr>
        <w:top w:val="none" w:sz="0" w:space="0" w:color="auto"/>
        <w:left w:val="none" w:sz="0" w:space="0" w:color="auto"/>
        <w:bottom w:val="none" w:sz="0" w:space="0" w:color="auto"/>
        <w:right w:val="none" w:sz="0" w:space="0" w:color="auto"/>
      </w:divBdr>
    </w:div>
    <w:div w:id="1603611494">
      <w:bodyDiv w:val="1"/>
      <w:marLeft w:val="0"/>
      <w:marRight w:val="0"/>
      <w:marTop w:val="0"/>
      <w:marBottom w:val="0"/>
      <w:divBdr>
        <w:top w:val="none" w:sz="0" w:space="0" w:color="auto"/>
        <w:left w:val="none" w:sz="0" w:space="0" w:color="auto"/>
        <w:bottom w:val="none" w:sz="0" w:space="0" w:color="auto"/>
        <w:right w:val="none" w:sz="0" w:space="0" w:color="auto"/>
      </w:divBdr>
    </w:div>
    <w:div w:id="1630622075">
      <w:bodyDiv w:val="1"/>
      <w:marLeft w:val="0"/>
      <w:marRight w:val="0"/>
      <w:marTop w:val="0"/>
      <w:marBottom w:val="0"/>
      <w:divBdr>
        <w:top w:val="none" w:sz="0" w:space="0" w:color="auto"/>
        <w:left w:val="none" w:sz="0" w:space="0" w:color="auto"/>
        <w:bottom w:val="none" w:sz="0" w:space="0" w:color="auto"/>
        <w:right w:val="none" w:sz="0" w:space="0" w:color="auto"/>
      </w:divBdr>
      <w:divsChild>
        <w:div w:id="411197272">
          <w:marLeft w:val="0"/>
          <w:marRight w:val="0"/>
          <w:marTop w:val="0"/>
          <w:marBottom w:val="0"/>
          <w:divBdr>
            <w:top w:val="none" w:sz="0" w:space="0" w:color="auto"/>
            <w:left w:val="none" w:sz="0" w:space="0" w:color="auto"/>
            <w:bottom w:val="none" w:sz="0" w:space="0" w:color="auto"/>
            <w:right w:val="none" w:sz="0" w:space="0" w:color="auto"/>
          </w:divBdr>
        </w:div>
        <w:div w:id="436827925">
          <w:marLeft w:val="0"/>
          <w:marRight w:val="0"/>
          <w:marTop w:val="0"/>
          <w:marBottom w:val="0"/>
          <w:divBdr>
            <w:top w:val="none" w:sz="0" w:space="0" w:color="auto"/>
            <w:left w:val="none" w:sz="0" w:space="0" w:color="auto"/>
            <w:bottom w:val="none" w:sz="0" w:space="0" w:color="auto"/>
            <w:right w:val="none" w:sz="0" w:space="0" w:color="auto"/>
          </w:divBdr>
        </w:div>
      </w:divsChild>
    </w:div>
    <w:div w:id="1845322793">
      <w:bodyDiv w:val="1"/>
      <w:marLeft w:val="0"/>
      <w:marRight w:val="0"/>
      <w:marTop w:val="0"/>
      <w:marBottom w:val="0"/>
      <w:divBdr>
        <w:top w:val="none" w:sz="0" w:space="0" w:color="auto"/>
        <w:left w:val="none" w:sz="0" w:space="0" w:color="auto"/>
        <w:bottom w:val="none" w:sz="0" w:space="0" w:color="auto"/>
        <w:right w:val="none" w:sz="0" w:space="0" w:color="auto"/>
      </w:divBdr>
    </w:div>
    <w:div w:id="1894198028">
      <w:bodyDiv w:val="1"/>
      <w:marLeft w:val="0"/>
      <w:marRight w:val="0"/>
      <w:marTop w:val="0"/>
      <w:marBottom w:val="0"/>
      <w:divBdr>
        <w:top w:val="none" w:sz="0" w:space="0" w:color="auto"/>
        <w:left w:val="none" w:sz="0" w:space="0" w:color="auto"/>
        <w:bottom w:val="none" w:sz="0" w:space="0" w:color="auto"/>
        <w:right w:val="none" w:sz="0" w:space="0" w:color="auto"/>
      </w:divBdr>
    </w:div>
    <w:div w:id="1913197041">
      <w:bodyDiv w:val="1"/>
      <w:marLeft w:val="0"/>
      <w:marRight w:val="0"/>
      <w:marTop w:val="0"/>
      <w:marBottom w:val="0"/>
      <w:divBdr>
        <w:top w:val="none" w:sz="0" w:space="0" w:color="auto"/>
        <w:left w:val="none" w:sz="0" w:space="0" w:color="auto"/>
        <w:bottom w:val="none" w:sz="0" w:space="0" w:color="auto"/>
        <w:right w:val="none" w:sz="0" w:space="0" w:color="auto"/>
      </w:divBdr>
    </w:div>
    <w:div w:id="2028362362">
      <w:bodyDiv w:val="1"/>
      <w:marLeft w:val="0"/>
      <w:marRight w:val="0"/>
      <w:marTop w:val="0"/>
      <w:marBottom w:val="0"/>
      <w:divBdr>
        <w:top w:val="none" w:sz="0" w:space="0" w:color="auto"/>
        <w:left w:val="none" w:sz="0" w:space="0" w:color="auto"/>
        <w:bottom w:val="none" w:sz="0" w:space="0" w:color="auto"/>
        <w:right w:val="none" w:sz="0" w:space="0" w:color="auto"/>
      </w:divBdr>
    </w:div>
    <w:div w:id="2055763543">
      <w:bodyDiv w:val="1"/>
      <w:marLeft w:val="0"/>
      <w:marRight w:val="0"/>
      <w:marTop w:val="0"/>
      <w:marBottom w:val="0"/>
      <w:divBdr>
        <w:top w:val="none" w:sz="0" w:space="0" w:color="auto"/>
        <w:left w:val="none" w:sz="0" w:space="0" w:color="auto"/>
        <w:bottom w:val="none" w:sz="0" w:space="0" w:color="auto"/>
        <w:right w:val="none" w:sz="0" w:space="0" w:color="auto"/>
      </w:divBdr>
    </w:div>
    <w:div w:id="2058242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s://www.un.org/development/desa/disabilities/convention-on-the-rights-of-persons-with-disabilities/article-19-living-independently-and-being-included-in-the-community.html" TargetMode="External"/><Relationship Id="rId13" Type="http://schemas.openxmlformats.org/officeDocument/2006/relationships/hyperlink" Target="https://commission.europa.eu/document/download/b4952371-4308-47ad-b995-02c539b75dda_en?filename=JUST_template_comingsoon_standard.pdf" TargetMode="External"/><Relationship Id="rId18" Type="http://schemas.openxmlformats.org/officeDocument/2006/relationships/hyperlink" Target="https://eur-lex.europa.eu/legal-content/EN/TXT/PDF/?uri=OJ:C_202401115" TargetMode="External"/><Relationship Id="rId26" Type="http://schemas.openxmlformats.org/officeDocument/2006/relationships/hyperlink" Target="https://international-partnerships.ec.europa.eu/policies/team-europe-initiatives_en" TargetMode="External"/><Relationship Id="rId3" Type="http://schemas.openxmlformats.org/officeDocument/2006/relationships/hyperlink" Target="https://digitallibrary.un.org/record/4080772?v=pdf" TargetMode="External"/><Relationship Id="rId21" Type="http://schemas.openxmlformats.org/officeDocument/2006/relationships/hyperlink" Target="http://data.europa.eu/eli/reg/2024/1689/oj" TargetMode="External"/><Relationship Id="rId7" Type="http://schemas.openxmlformats.org/officeDocument/2006/relationships/hyperlink" Target="https://eur-lex.europa.eu/legal-content/EN/TXT/PDF/?uri=OJ:C_202407188" TargetMode="External"/><Relationship Id="rId12" Type="http://schemas.openxmlformats.org/officeDocument/2006/relationships/hyperlink" Target="https://ec.europa.eu/commission/presscorner/detail/en/ip_25_681" TargetMode="External"/><Relationship Id="rId17" Type="http://schemas.openxmlformats.org/officeDocument/2006/relationships/hyperlink" Target="http://data.europa.eu/eli/dir/2024/1385/oj" TargetMode="External"/><Relationship Id="rId25" Type="http://schemas.openxmlformats.org/officeDocument/2006/relationships/hyperlink" Target="https://capacity4dev.europa.eu/library/oecd-handbook-policy-marker-inclusion-and-empowerment-persons-disabilities_en" TargetMode="External"/><Relationship Id="rId2" Type="http://schemas.openxmlformats.org/officeDocument/2006/relationships/hyperlink" Target="https://commission.europa.eu/document/download/faaf33ff-c8c7-49a1-b01d-56681e11a5e6_en?filename=Mission%20letter%20-%20LAHBIB.pdf" TargetMode="External"/><Relationship Id="rId16" Type="http://schemas.openxmlformats.org/officeDocument/2006/relationships/hyperlink" Target="https://accessible-eu-centre.ec.europa.eu/index_en" TargetMode="External"/><Relationship Id="rId20" Type="http://schemas.openxmlformats.org/officeDocument/2006/relationships/hyperlink" Target="http://data.europa.eu/eli/reg/2006/1107/oj" TargetMode="External"/><Relationship Id="rId1" Type="http://schemas.openxmlformats.org/officeDocument/2006/relationships/hyperlink" Target="https://eur-lex.europa.eu/legal-content/EN/TXT/?uri=CELEX%3A52021DC0101" TargetMode="External"/><Relationship Id="rId6" Type="http://schemas.openxmlformats.org/officeDocument/2006/relationships/hyperlink" Target="https://socialinnovationplus.eu/call/esf-si-2025-dep-01/" TargetMode="External"/><Relationship Id="rId11" Type="http://schemas.openxmlformats.org/officeDocument/2006/relationships/hyperlink" Target="https://eur-lex.europa.eu/legal-content/EN/TXT/?uri=celex:52008PC0426" TargetMode="External"/><Relationship Id="rId24" Type="http://schemas.openxmlformats.org/officeDocument/2006/relationships/hyperlink" Target="https://www.globaldisabilitysummit.org/" TargetMode="External"/><Relationship Id="rId5" Type="http://schemas.openxmlformats.org/officeDocument/2006/relationships/hyperlink" Target="https://employment-social-affairs.ec.europa.eu/policies-and-activities/eu-employment-policies/disability-employment-package_en" TargetMode="External"/><Relationship Id="rId15" Type="http://schemas.openxmlformats.org/officeDocument/2006/relationships/hyperlink" Target="http://data.europa.eu/eli/dir/2024/2841/oj" TargetMode="External"/><Relationship Id="rId23" Type="http://schemas.openxmlformats.org/officeDocument/2006/relationships/hyperlink" Target="https://international-partnerships.ec.europa.eu/system/files/2021-01/join-2020-17-final_en.pdf" TargetMode="External"/><Relationship Id="rId10" Type="http://schemas.openxmlformats.org/officeDocument/2006/relationships/hyperlink" Target="https://eur-lex.europa.eu/eli/treaty/char_2012/oj/eng" TargetMode="External"/><Relationship Id="rId19" Type="http://schemas.openxmlformats.org/officeDocument/2006/relationships/hyperlink" Target="https://digitallibrary.un.org/record/4080772?v=pdf" TargetMode="External"/><Relationship Id="rId4" Type="http://schemas.openxmlformats.org/officeDocument/2006/relationships/hyperlink" Target="https://commission.europa.eu/document/e6cd4328-673c-4e7a-8683-f63ffb2cf648_en" TargetMode="External"/><Relationship Id="rId9" Type="http://schemas.openxmlformats.org/officeDocument/2006/relationships/hyperlink" Target="http://data.europa.eu/eli/reg/2021/1060/oj" TargetMode="External"/><Relationship Id="rId14" Type="http://schemas.openxmlformats.org/officeDocument/2006/relationships/hyperlink" Target="https://ec.europa.eu/commission/presscorner/detail/en/ip_20_1813" TargetMode="External"/><Relationship Id="rId22" Type="http://schemas.openxmlformats.org/officeDocument/2006/relationships/hyperlink" Target="https://eur-lex.europa.eu/legal-content/EN/TXT/?uri=CELEX:52020JC0005" TargetMode="External"/><Relationship Id="rId27" Type="http://schemas.openxmlformats.org/officeDocument/2006/relationships/hyperlink" Target="https://commission.europa.eu/document/download/3d1dc4df-7995-44b8-bf08-396930fb8c9d_en?filename=C-2022-2229-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8bf3bd7-73ad-4948-8b71-aa2c92f53103">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3DEBFA01D8CDE41AAE050D7D7CF61F9" ma:contentTypeVersion="12" ma:contentTypeDescription="Create a new document." ma:contentTypeScope="" ma:versionID="e05719df1a50fa58fc7e5c2ec40a7e3e">
  <xsd:schema xmlns:xsd="http://www.w3.org/2001/XMLSchema" xmlns:xs="http://www.w3.org/2001/XMLSchema" xmlns:p="http://schemas.microsoft.com/office/2006/metadata/properties" xmlns:ns2="38bf3bd7-73ad-4948-8b71-aa2c92f53103" targetNamespace="http://schemas.microsoft.com/office/2006/metadata/properties" ma:root="true" ma:fieldsID="1d6115ccae1c3c4d032bb34514824fd0" ns2:_="">
    <xsd:import namespace="38bf3bd7-73ad-4948-8b71-aa2c92f5310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bf3bd7-73ad-4948-8b71-aa2c92f531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77525A-8F07-44FD-A98F-B93DE3EC7D3F}">
  <ds:schemaRefs>
    <ds:schemaRef ds:uri="http://purl.org/dc/terms/"/>
    <ds:schemaRef ds:uri="http://schemas.microsoft.com/office/2006/documentManagement/types"/>
    <ds:schemaRef ds:uri="http://schemas.openxmlformats.org/package/2006/metadata/core-properties"/>
    <ds:schemaRef ds:uri="http://schemas.microsoft.com/office/infopath/2007/PartnerControls"/>
    <ds:schemaRef ds:uri="http://purl.org/dc/dcmitype/"/>
    <ds:schemaRef ds:uri="http://www.w3.org/XML/1998/namespace"/>
    <ds:schemaRef ds:uri="38bf3bd7-73ad-4948-8b71-aa2c92f53103"/>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EC4402AD-0F7D-4733-9FD1-71B97A6F7432}">
  <ds:schemaRefs>
    <ds:schemaRef ds:uri="http://schemas.openxmlformats.org/officeDocument/2006/bibliography"/>
  </ds:schemaRefs>
</ds:datastoreItem>
</file>

<file path=customXml/itemProps3.xml><?xml version="1.0" encoding="utf-8"?>
<ds:datastoreItem xmlns:ds="http://schemas.openxmlformats.org/officeDocument/2006/customXml" ds:itemID="{639F580A-0029-491D-A4A0-AC6DF4E047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bf3bd7-73ad-4948-8b71-aa2c92f531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DAB3DFB-9FBC-4866-BA1A-6DD140A4F58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2813</Words>
  <Characters>15955</Characters>
  <Application>Microsoft Office Word</Application>
  <DocSecurity>0</DocSecurity>
  <Lines>201</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KOLEV Plamen (JUST)</dc:creator>
  <cp:keywords/>
  <cp:lastModifiedBy>ROSSI Simona (SG-EXT)</cp:lastModifiedBy>
  <cp:revision>2</cp:revision>
  <dcterms:created xsi:type="dcterms:W3CDTF">2026-01-08T13:57:00Z</dcterms:created>
  <dcterms:modified xsi:type="dcterms:W3CDTF">2026-01-08T13:57:00Z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2025-08-11T19:37:59Z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b79f78f8-66a1-4687-b4f0-3be2984879a4</vt:lpwstr>
  </property>
  <property fmtid="{D5CDD505-2E9C-101B-9397-08002B2CF9AE}" pid="8" name="MSIP_Label_6bd9ddd1-4d20-43f6-abfa-fc3c07406f94_ContentBits">
    <vt:lpwstr>0</vt:lpwstr>
  </property>
  <property fmtid="{D5CDD505-2E9C-101B-9397-08002B2CF9AE}" pid="9" name="MSIP_Label_6bd9ddd1-4d20-43f6-abfa-fc3c07406f94_Tag">
    <vt:lpwstr>10, 3, 0, 1</vt:lpwstr>
  </property>
  <property fmtid="{D5CDD505-2E9C-101B-9397-08002B2CF9AE}" pid="10" name="ContentTypeId">
    <vt:lpwstr>0x01010093DEBFA01D8CDE41AAE050D7D7CF61F9</vt:lpwstr>
  </property>
</Properties>
</file>