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6620C5" w14:paraId="02555730" w14:textId="246FAD9D">
      <w:pPr>
        <w:jc w:val="right"/>
      </w:pPr>
      <w:r>
        <w:rPr>
          <w:b/>
        </w:rPr>
        <w:t>INT</w:t>
      </w:r>
      <w:r w:rsidRPr="0082636E" w:rsidR="0015330A">
        <w:rPr>
          <w:b/>
        </w:rPr>
        <w:t>/</w:t>
      </w:r>
      <w:r>
        <w:rPr>
          <w:b/>
        </w:rPr>
        <w:t>1</w:t>
      </w:r>
      <w:r w:rsidR="00D109F8">
        <w:rPr>
          <w:b/>
        </w:rPr>
        <w:t>105</w:t>
      </w:r>
    </w:p>
    <w:p w:rsidRPr="00F5134A" w:rsidR="00F5134A" w:rsidP="00B26EA2" w:rsidRDefault="00D109F8" w14:paraId="73CC0A56" w14:textId="02778DC1">
      <w:pPr>
        <w:jc w:val="right"/>
        <w:rPr>
          <w:b/>
        </w:rPr>
      </w:pPr>
      <w:r w:rsidRPr="00D109F8">
        <w:rPr>
          <w:b/>
        </w:rPr>
        <w:t>Apply AI Strategy</w:t>
      </w:r>
    </w:p>
    <w:p w:rsidRPr="00A67235" w:rsidR="000E4B6B" w:rsidP="0015330A" w:rsidRDefault="000E4B6B" w14:paraId="1EFE7F2B" w14:textId="1AE58FD8">
      <w:pPr>
        <w:jc w:val="right"/>
      </w:pP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552A310E">
      <w:pPr>
        <w:jc w:val="right"/>
      </w:pPr>
      <w:r w:rsidRPr="00A67235">
        <w:t xml:space="preserve">Brussels, </w:t>
      </w:r>
      <w:r w:rsidR="00D109F8">
        <w:t>21</w:t>
      </w:r>
      <w:r w:rsidR="00AA4CB6">
        <w:t xml:space="preserve"> </w:t>
      </w:r>
      <w:r w:rsidR="00D109F8">
        <w:t>January</w:t>
      </w:r>
      <w:r w:rsidR="006620C5">
        <w:t xml:space="preserve"> 202</w:t>
      </w:r>
      <w:r w:rsidR="00D109F8">
        <w:t>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437138" w:rsidR="00437138" w:rsidP="00437138" w:rsidRDefault="00964A13" w14:paraId="2C191629" w14:textId="77777777">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437138" w:rsidR="00437138">
        <w:rPr>
          <w:b/>
          <w:bCs/>
        </w:rPr>
        <w:t xml:space="preserve">Communication from the Commission to the European Parliament </w:t>
      </w:r>
    </w:p>
    <w:p w:rsidRPr="00F5134A" w:rsidR="00F5134A" w:rsidP="00437138" w:rsidRDefault="00437138" w14:paraId="783B472F" w14:textId="5973ED5F">
      <w:pPr>
        <w:jc w:val="center"/>
        <w:rPr>
          <w:b/>
          <w:bCs/>
        </w:rPr>
      </w:pPr>
      <w:r w:rsidRPr="00437138">
        <w:rPr>
          <w:b/>
          <w:bCs/>
        </w:rPr>
        <w:t>and the Council – Apply AI Strategy</w:t>
      </w:r>
    </w:p>
    <w:p w:rsidRPr="000C2A4A" w:rsidR="00964A13" w:rsidP="00F5134A" w:rsidRDefault="00357DC2" w14:paraId="1CA7DBC6" w14:textId="12226BB9">
      <w:pPr>
        <w:jc w:val="center"/>
      </w:pPr>
      <w:r>
        <w:rPr>
          <w:sz w:val="24"/>
          <w:szCs w:val="24"/>
        </w:rPr>
        <w:t>[</w:t>
      </w:r>
      <w:r w:rsidRPr="00D109F8" w:rsidR="00D109F8">
        <w:t>COM(2025) 723 final</w:t>
      </w:r>
      <w:r w:rsidR="00A66847">
        <w:rPr>
          <w:sz w:val="24"/>
          <w:szCs w:val="24"/>
        </w:rPr>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D109F8" w14:paraId="0FA745B1" w14:textId="2E006AB2">
      <w:pPr>
        <w:jc w:val="center"/>
        <w:rPr>
          <w:bCs/>
        </w:rPr>
      </w:pPr>
      <w:r>
        <w:t>602</w:t>
      </w:r>
      <w:r w:rsidRPr="00D109F8">
        <w:rPr>
          <w:vertAlign w:val="superscript"/>
        </w:rPr>
        <w:t>nd</w:t>
      </w:r>
      <w:r>
        <w:t xml:space="preserve"> </w:t>
      </w:r>
      <w:r w:rsidR="0015330A">
        <w:t>plenary session</w:t>
      </w:r>
      <w:r w:rsidR="009E138D">
        <w:br/>
      </w:r>
      <w:r w:rsidR="009E138D">
        <w:rPr>
          <w:bCs/>
        </w:rPr>
        <w:br/>
      </w:r>
      <w:r w:rsidRPr="00A67235" w:rsidR="00964A13">
        <w:rPr>
          <w:bCs/>
        </w:rPr>
        <w:t>Brussels</w:t>
      </w:r>
      <w:r w:rsidR="009E138D">
        <w:rPr>
          <w:bCs/>
        </w:rPr>
        <w:br/>
      </w:r>
      <w:r>
        <w:rPr>
          <w:bCs/>
        </w:rPr>
        <w:t>21</w:t>
      </w:r>
      <w:r w:rsidR="00F5134A">
        <w:rPr>
          <w:bCs/>
        </w:rPr>
        <w:t xml:space="preserve"> – </w:t>
      </w:r>
      <w:r>
        <w:rPr>
          <w:bCs/>
        </w:rPr>
        <w:t>22</w:t>
      </w:r>
      <w:r w:rsidR="00F5134A">
        <w:rPr>
          <w:bCs/>
        </w:rPr>
        <w:t xml:space="preserve"> </w:t>
      </w:r>
      <w:r>
        <w:rPr>
          <w:bCs/>
        </w:rPr>
        <w:t>January</w:t>
      </w:r>
      <w:r w:rsidR="00F5134A">
        <w:rPr>
          <w:bCs/>
        </w:rPr>
        <w:t xml:space="preserve"> 202</w:t>
      </w:r>
      <w:r>
        <w:rPr>
          <w:bCs/>
        </w:rPr>
        <w:t>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7A151973">
      <w:pPr>
        <w:jc w:val="center"/>
      </w:pPr>
      <w:r w:rsidRPr="00A67235">
        <w:t xml:space="preserve">Meeting of </w:t>
      </w:r>
      <w:r w:rsidR="00D109F8">
        <w:t>21 January</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1E1533C8">
      <w:pPr>
        <w:pStyle w:val="Footer"/>
        <w:jc w:val="center"/>
      </w:pPr>
      <w:r w:rsidRPr="00A67235">
        <w:t>Agenda item</w:t>
      </w:r>
      <w:r w:rsidR="00F5134A">
        <w:t xml:space="preserve"> </w:t>
      </w:r>
      <w:r w:rsidR="00D109F8">
        <w:t>8</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B224D8" w:rsidR="000E4B6B" w:rsidP="00EC0F0F" w:rsidRDefault="00964A13" w14:paraId="1461B587" w14:textId="2917E9C3">
      <w:r w:rsidRPr="00A67235">
        <w:rPr>
          <w:b/>
          <w:bCs/>
        </w:rPr>
        <w:br w:type="page"/>
      </w:r>
      <w:r w:rsidRPr="00A67235" w:rsidR="000E4B6B">
        <w:rPr>
          <w:b/>
          <w:bCs/>
        </w:rPr>
        <w:lastRenderedPageBreak/>
        <w:t xml:space="preserve">The </w:t>
      </w:r>
      <w:r w:rsidRPr="00B224D8" w:rsidR="000E4B6B">
        <w:rPr>
          <w:b/>
          <w:bCs/>
        </w:rPr>
        <w:t xml:space="preserve">president </w:t>
      </w:r>
      <w:r w:rsidRPr="00B224D8" w:rsidR="000E4B6B">
        <w:t xml:space="preserve">moved that the Committee turn to agenda item </w:t>
      </w:r>
      <w:r w:rsidR="009D18F6">
        <w:t>8</w:t>
      </w:r>
      <w:r w:rsidRPr="00B224D8" w:rsidR="00634B49">
        <w:t xml:space="preserve"> </w:t>
      </w:r>
      <w:r w:rsidRPr="00B224D8" w:rsidR="000E4B6B">
        <w:t>- adoption of an opinion on the</w:t>
      </w:r>
    </w:p>
    <w:p w:rsidRPr="00B224D8" w:rsidR="000E4B6B" w:rsidP="00EC0F0F" w:rsidRDefault="000E4B6B" w14:paraId="037DAC87" w14:textId="77777777"/>
    <w:p w:rsidRPr="009D18F6" w:rsidR="009D18F6" w:rsidP="009D18F6" w:rsidRDefault="009D18F6" w14:paraId="4300CD1E" w14:textId="77777777">
      <w:pPr>
        <w:ind w:left="1430"/>
        <w:rPr>
          <w:i/>
          <w:iCs/>
        </w:rPr>
      </w:pPr>
      <w:r w:rsidRPr="009D18F6">
        <w:rPr>
          <w:i/>
          <w:iCs/>
        </w:rPr>
        <w:t xml:space="preserve">Communication from the Commission to the European Parliament </w:t>
      </w:r>
    </w:p>
    <w:p w:rsidRPr="00AA4CB6" w:rsidR="00AA4CB6" w:rsidP="009D18F6" w:rsidRDefault="009D18F6" w14:paraId="28480E64" w14:textId="10C9CA79">
      <w:pPr>
        <w:ind w:left="1430"/>
        <w:rPr>
          <w:i/>
          <w:iCs/>
        </w:rPr>
      </w:pPr>
      <w:r w:rsidRPr="009D18F6">
        <w:rPr>
          <w:i/>
          <w:iCs/>
        </w:rPr>
        <w:t>and the Council – Apply AI Strategy</w:t>
      </w:r>
    </w:p>
    <w:p w:rsidRPr="00AA4CB6" w:rsidR="000E4B6B" w:rsidP="00AA4CB6" w:rsidRDefault="009D18F6" w14:paraId="305301AD" w14:textId="6F2A6702">
      <w:pPr>
        <w:ind w:left="1430"/>
      </w:pPr>
      <w:r w:rsidRPr="009D18F6">
        <w:t>COM(2025) 723 final</w:t>
      </w:r>
      <w:r w:rsidR="00847356">
        <w:t>.</w:t>
      </w:r>
    </w:p>
    <w:p w:rsidRPr="00B224D8" w:rsidR="000E4B6B" w:rsidP="00EC0F0F" w:rsidRDefault="000E4B6B" w14:paraId="7B740915" w14:textId="77777777"/>
    <w:p w:rsidRPr="00080AD3" w:rsidR="000E4B6B" w:rsidP="00EC0F0F" w:rsidRDefault="000E4B6B" w14:paraId="2708AAF4" w14:textId="626CD119">
      <w:r w:rsidRPr="00080AD3">
        <w:t xml:space="preserve">The preliminary work had been carried out by the Section for </w:t>
      </w:r>
      <w:r w:rsidRPr="00080AD3" w:rsidR="00F5134A">
        <w:t>the Single Market, Production and Consumption</w:t>
      </w:r>
      <w:r w:rsidRPr="00080AD3">
        <w:t xml:space="preserve"> (president:</w:t>
      </w:r>
      <w:r w:rsidRPr="00080AD3" w:rsidR="00177DAC">
        <w:t xml:space="preserve"> </w:t>
      </w:r>
      <w:r w:rsidRPr="00080AD3" w:rsidR="00F5134A">
        <w:rPr>
          <w:b/>
          <w:bCs/>
        </w:rPr>
        <w:t xml:space="preserve">Ms </w:t>
      </w:r>
      <w:r w:rsidR="00437138">
        <w:rPr>
          <w:b/>
          <w:bCs/>
        </w:rPr>
        <w:t>Emilie PROUZET</w:t>
      </w:r>
      <w:r w:rsidRPr="00080AD3">
        <w:t>). The rapporteur was</w:t>
      </w:r>
      <w:r w:rsidRPr="00080AD3">
        <w:rPr>
          <w:b/>
          <w:bCs/>
        </w:rPr>
        <w:t xml:space="preserve"> </w:t>
      </w:r>
      <w:r w:rsidRPr="00080AD3" w:rsidR="009D18F6">
        <w:rPr>
          <w:b/>
          <w:bCs/>
        </w:rPr>
        <w:t xml:space="preserve">Mr Rudolf KOLBE </w:t>
      </w:r>
      <w:r w:rsidRPr="00080AD3" w:rsidR="009D18F6">
        <w:t>and the co</w:t>
      </w:r>
      <w:r w:rsidRPr="00080AD3" w:rsidR="00D069EB">
        <w:t>-</w:t>
      </w:r>
      <w:r w:rsidRPr="00080AD3" w:rsidR="009D18F6">
        <w:t>rapporteur was</w:t>
      </w:r>
      <w:r w:rsidRPr="00080AD3" w:rsidR="009D18F6">
        <w:rPr>
          <w:b/>
          <w:bCs/>
        </w:rPr>
        <w:t xml:space="preserve"> Mr Miroslav HAJNOŠ.</w:t>
      </w:r>
      <w:r w:rsidRPr="00080AD3" w:rsidR="00D069EB">
        <w:rPr>
          <w:b/>
          <w:bCs/>
        </w:rPr>
        <w:t xml:space="preserve"> </w:t>
      </w:r>
      <w:r w:rsidRPr="00080AD3" w:rsidR="00D069EB">
        <w:t>As part of this process, a debate was organized prior to the adoption of the opinion.</w:t>
      </w:r>
    </w:p>
    <w:p w:rsidRPr="00D069EB" w:rsidR="00D069EB" w:rsidP="00EC0F0F" w:rsidRDefault="00D069EB" w14:paraId="48ACAAFC" w14:textId="77777777">
      <w:pPr>
        <w:rPr>
          <w:b/>
          <w:bCs/>
          <w:sz w:val="24"/>
          <w:szCs w:val="24"/>
        </w:rPr>
      </w:pPr>
    </w:p>
    <w:p w:rsidR="00D069EB" w:rsidP="00D069EB" w:rsidRDefault="008F4DFE" w14:paraId="70228864" w14:textId="6606B9D0">
      <w:pPr>
        <w:rPr>
          <w:i/>
          <w:iCs/>
          <w:lang w:val="en-US"/>
        </w:rPr>
      </w:pPr>
      <w:r>
        <w:rPr>
          <w:b/>
          <w:bCs/>
        </w:rPr>
        <w:t xml:space="preserve">The </w:t>
      </w:r>
      <w:r w:rsidRPr="0088536B" w:rsidR="00D069EB">
        <w:rPr>
          <w:b/>
          <w:bCs/>
        </w:rPr>
        <w:t>EESC President</w:t>
      </w:r>
      <w:r w:rsidRPr="0088536B" w:rsidR="00D069EB">
        <w:t xml:space="preserve"> opened the debate on the Apply AI Strategy, welcoming Ms</w:t>
      </w:r>
      <w:r w:rsidRPr="0088536B" w:rsidR="00D069EB">
        <w:rPr>
          <w:lang w:val="en-US"/>
        </w:rPr>
        <w:t xml:space="preserve"> Lucilla</w:t>
      </w:r>
      <w:r w:rsidRPr="0088536B" w:rsidR="00D069EB">
        <w:t xml:space="preserve"> Sioli, Director of EU AI office at  </w:t>
      </w:r>
      <w:r w:rsidRPr="0088536B" w:rsidR="00D069EB">
        <w:rPr>
          <w:lang w:val="en-US"/>
        </w:rPr>
        <w:t xml:space="preserve">Directorate General of </w:t>
      </w:r>
      <w:r w:rsidRPr="0088536B" w:rsidR="00D069EB">
        <w:t>Communications Networks, Content, Technology</w:t>
      </w:r>
      <w:r w:rsidRPr="0088536B" w:rsidR="00D069EB">
        <w:rPr>
          <w:lang w:val="en-US"/>
        </w:rPr>
        <w:t xml:space="preserve"> at the European Commission</w:t>
      </w:r>
      <w:r w:rsidRPr="0088536B" w:rsidR="00D069EB">
        <w:t xml:space="preserve">, Mr Max Reddel, Advanced AI Director at Future Generations, and Mr Andrea Renda, Director of Research at CEPS, linked to the opinion INT/1105 – </w:t>
      </w:r>
      <w:r w:rsidRPr="0088536B" w:rsidR="00D069EB">
        <w:rPr>
          <w:i/>
          <w:iCs/>
        </w:rPr>
        <w:t>Apply AI Strategy</w:t>
      </w:r>
      <w:r w:rsidRPr="0088536B" w:rsidR="00D069EB">
        <w:rPr>
          <w:i/>
          <w:iCs/>
          <w:lang w:val="en-US"/>
        </w:rPr>
        <w:t>.</w:t>
      </w:r>
    </w:p>
    <w:p w:rsidRPr="0088536B" w:rsidR="00D069EB" w:rsidP="00D069EB" w:rsidRDefault="00D069EB" w14:paraId="6A5A865D" w14:textId="77777777">
      <w:pPr>
        <w:rPr>
          <w:rFonts w:eastAsiaTheme="minorHAnsi"/>
          <w:i/>
          <w:iCs/>
          <w:lang w:val="en-US"/>
        </w:rPr>
      </w:pPr>
    </w:p>
    <w:p w:rsidR="00D069EB" w:rsidP="00D069EB" w:rsidRDefault="00D069EB" w14:paraId="77D74A61" w14:textId="115E6CD8">
      <w:r w:rsidRPr="0088536B">
        <w:rPr>
          <w:b/>
          <w:bCs/>
        </w:rPr>
        <w:t>Mr Boland</w:t>
      </w:r>
      <w:r w:rsidRPr="0088536B">
        <w:t xml:space="preserve"> stressed the rapid acceleration of Artificial Intelligence and its growing influence across policy areas, economy, labour markets, consumption, public administration and society. He underlined the EESC’s early engagement with AI topics since 2017 and recalled the Committee’s analytical work, including opinions on AI after the AI Act, research on liberal professions, and a joint CEPS study on generative AI and foundation models. He called for responsible deployment of AI, trust, transparency, and competitiveness.</w:t>
      </w:r>
    </w:p>
    <w:p w:rsidRPr="0088536B" w:rsidR="00D069EB" w:rsidP="00D069EB" w:rsidRDefault="00D069EB" w14:paraId="6E824759" w14:textId="77777777"/>
    <w:p w:rsidR="00D069EB" w:rsidP="00D069EB" w:rsidRDefault="00D069EB" w14:paraId="194D545E" w14:textId="3B0B9022">
      <w:r w:rsidRPr="0088536B">
        <w:rPr>
          <w:b/>
          <w:bCs/>
        </w:rPr>
        <w:t>Ms Sioli</w:t>
      </w:r>
      <w:r w:rsidRPr="0088536B">
        <w:t xml:space="preserve"> described the Apply AI Strategy as a core pillar of the EU’s ambition to become a leading AI continent, stressing the need for enabling AI infrastructures accessible to businesses and an “AI-first policy mindset” to tackle complex challenges and efficiency gaps. She highlighted flagship sectors such as healthcare, autonomous mobility and other strategic industries where AI can boost competitiveness, as well as the role of Digital Innovation Hubs evolving into AI Experience Centres and support mechanisms for SMEs. She announced the Apply AI Platform to coordinate additional sectors like tourism and e-commerce in alignment with national and regional strategies, and noted that the AI Observatory will monitor labour market effects and sectoral impacts. She concluded that trustworthy deployment in public administrations, grounded in procurement practices and EU values, will be key to uptake.</w:t>
      </w:r>
    </w:p>
    <w:p w:rsidRPr="0088536B" w:rsidR="00D069EB" w:rsidP="00D069EB" w:rsidRDefault="00D069EB" w14:paraId="45A534DA" w14:textId="77777777"/>
    <w:p w:rsidRPr="009A184B" w:rsidR="00D069EB" w:rsidP="00D069EB" w:rsidRDefault="00D069EB" w14:paraId="46AA47A1" w14:textId="77777777">
      <w:pPr>
        <w:spacing w:after="160" w:line="259" w:lineRule="auto"/>
        <w:rPr>
          <w:rFonts w:eastAsiaTheme="minorHAnsi"/>
        </w:rPr>
      </w:pPr>
      <w:r w:rsidRPr="0088536B">
        <w:rPr>
          <w:b/>
          <w:bCs/>
        </w:rPr>
        <w:t>Mr Reddel</w:t>
      </w:r>
      <w:r w:rsidRPr="0088536B">
        <w:t xml:space="preserve"> thanked the EESC for its work and called for strategic decisions in the next MFF. He stressed that Europe must develop its own frontier AI models to avoid dependency on non-European technologies</w:t>
      </w:r>
      <w:r w:rsidRPr="0088536B">
        <w:rPr>
          <w:lang w:val="en-US"/>
        </w:rPr>
        <w:t xml:space="preserve">, </w:t>
      </w:r>
      <w:r w:rsidRPr="0088536B">
        <w:t>not for market share, but due to risks related to data sovereignty, service restrictions, and unequal negotiation power.</w:t>
      </w:r>
      <w:r w:rsidRPr="0088536B">
        <w:rPr>
          <w:lang w:val="en-US"/>
        </w:rPr>
        <w:t xml:space="preserve"> </w:t>
      </w:r>
      <w:r w:rsidRPr="0088536B">
        <w:t>He referred to JRC research showing that key sectoral AI relies on foundation models, and argued for clear targets based on trustworthy, transparent and reliable AI as a competitive advantage. He warned that Europe risks deep dependency and economic marginalisation if it does not scale compute infrastructure, talent and resources. He encouraged investment now, as costs and barriers in AI increase rapidly over time.</w:t>
      </w:r>
    </w:p>
    <w:p w:rsidR="00D069EB" w:rsidP="00D069EB" w:rsidRDefault="00D069EB" w14:paraId="0D8ACF25" w14:textId="16886EE4">
      <w:r w:rsidRPr="009C38C1">
        <w:rPr>
          <w:b/>
          <w:bCs/>
        </w:rPr>
        <w:t>Mr Renda</w:t>
      </w:r>
      <w:r w:rsidRPr="009C38C1">
        <w:t xml:space="preserve"> welcomed the Commission’s initiative as timely and distinguished between the data-intensive phase of AI and the emerging phase of “Physical and Applied AI”, where sectoral translation is key for competitiveness in fields such as automotive, healthcare, energy and public services. He stressed the need for vertical ecosystems rather than simple tech boosts and noted territorial disparities in Europe’s readiness, calling for differentiated approaches based on regional capacities. He highlighted environmental sustainability and resource constraints, warning against replacing cloud dependencies with new forms of dependency, and encouraged smaller models and tailored use cases. He concluded that “AI-first cannot mean EU-only”, arguing that sovereignty must coexist with openness, and reaffirmed the EU’s human-centric approach where humans are empowered, not replaced.</w:t>
      </w:r>
    </w:p>
    <w:p w:rsidRPr="009C38C1" w:rsidR="00D069EB" w:rsidP="00D069EB" w:rsidRDefault="00D069EB" w14:paraId="0B12E95D" w14:textId="77777777"/>
    <w:p w:rsidR="00D069EB" w:rsidP="00D069EB" w:rsidRDefault="00D069EB" w14:paraId="2139883F" w14:textId="7A92DC73">
      <w:r w:rsidRPr="009C38C1">
        <w:rPr>
          <w:b/>
          <w:bCs/>
        </w:rPr>
        <w:t xml:space="preserve">The </w:t>
      </w:r>
      <w:r w:rsidR="00164FE8">
        <w:rPr>
          <w:b/>
          <w:bCs/>
        </w:rPr>
        <w:t>r</w:t>
      </w:r>
      <w:r w:rsidRPr="009C38C1">
        <w:rPr>
          <w:b/>
          <w:bCs/>
        </w:rPr>
        <w:t xml:space="preserve">apporteur </w:t>
      </w:r>
      <w:r w:rsidRPr="009C38C1">
        <w:t xml:space="preserve"> outlined the opinion’s key messages: deploying sectoral AI to strengthen public services and businesses, ensuring standards and trust, and prioritising industry, construction and healthcare. </w:t>
      </w:r>
      <w:r w:rsidRPr="009C38C1" w:rsidR="00164FE8">
        <w:rPr>
          <w:b/>
          <w:bCs/>
        </w:rPr>
        <w:t>Mr Kolbe</w:t>
      </w:r>
      <w:r w:rsidRPr="009C38C1">
        <w:t xml:space="preserve"> stressed data security, regional support, SME access to data and skills, clustering for scaling, and clear AI literacy with KPIs tracked through an observatory.</w:t>
      </w:r>
    </w:p>
    <w:p w:rsidR="00D069EB" w:rsidP="00D069EB" w:rsidRDefault="00D069EB" w14:paraId="372CAF81" w14:textId="55C8A825">
      <w:r w:rsidRPr="009C38C1">
        <w:br/>
      </w:r>
      <w:r w:rsidRPr="009C38C1">
        <w:rPr>
          <w:b/>
          <w:bCs/>
        </w:rPr>
        <w:t xml:space="preserve">The </w:t>
      </w:r>
      <w:r w:rsidR="00AB538D">
        <w:rPr>
          <w:b/>
          <w:bCs/>
        </w:rPr>
        <w:t>c</w:t>
      </w:r>
      <w:r w:rsidRPr="009C38C1">
        <w:rPr>
          <w:b/>
          <w:bCs/>
        </w:rPr>
        <w:t>o-</w:t>
      </w:r>
      <w:r w:rsidR="00AB538D">
        <w:rPr>
          <w:b/>
          <w:bCs/>
        </w:rPr>
        <w:t>r</w:t>
      </w:r>
      <w:r w:rsidRPr="009C38C1">
        <w:rPr>
          <w:b/>
          <w:bCs/>
        </w:rPr>
        <w:t xml:space="preserve">apporteur </w:t>
      </w:r>
      <w:r w:rsidRPr="009C38C1">
        <w:t>added that AI is a service, not just a tool, and must align innovation with human-centric values, transparency and rights. Deployment should benefit workers, SMEs and consumers, reduce inequalities and become a societal success story.</w:t>
      </w:r>
    </w:p>
    <w:p w:rsidRPr="009C38C1" w:rsidR="00D069EB" w:rsidP="00D069EB" w:rsidRDefault="00D069EB" w14:paraId="140F5E80" w14:textId="77777777"/>
    <w:p w:rsidR="00D069EB" w:rsidP="00D069EB" w:rsidRDefault="00D069EB" w14:paraId="4855C0CE" w14:textId="7F3B8018">
      <w:r w:rsidRPr="009C38C1">
        <w:t xml:space="preserve">In the </w:t>
      </w:r>
      <w:r>
        <w:t>ensuing</w:t>
      </w:r>
      <w:r w:rsidRPr="009C38C1">
        <w:t xml:space="preserve"> debate, the following members took the floor: </w:t>
      </w:r>
      <w:r w:rsidRPr="009C38C1">
        <w:rPr>
          <w:b/>
          <w:bCs/>
        </w:rPr>
        <w:t xml:space="preserve">Ms Desiano (FR-II), Mr Relić, Ms Parthie (GE-I), Mr Jeambrun (FR-II), Ms Holst (DK-III), Ms Mastantuono (CZ-I), Mr Podruzsik </w:t>
      </w:r>
      <w:r w:rsidRPr="0028047D">
        <w:rPr>
          <w:b/>
          <w:bCs/>
        </w:rPr>
        <w:t>(HU-II)</w:t>
      </w:r>
      <w:r w:rsidRPr="009C38C1">
        <w:rPr>
          <w:b/>
          <w:bCs/>
        </w:rPr>
        <w:t>, Ms Izverniceanu</w:t>
      </w:r>
      <w:r w:rsidRPr="0028047D">
        <w:rPr>
          <w:b/>
          <w:bCs/>
        </w:rPr>
        <w:t xml:space="preserve"> (ES-III)</w:t>
      </w:r>
      <w:r w:rsidRPr="009C38C1">
        <w:rPr>
          <w:b/>
          <w:bCs/>
        </w:rPr>
        <w:t>, Mr Boni</w:t>
      </w:r>
      <w:r w:rsidRPr="0028047D">
        <w:rPr>
          <w:b/>
          <w:bCs/>
        </w:rPr>
        <w:t xml:space="preserve"> (PL-I)</w:t>
      </w:r>
      <w:r w:rsidRPr="009C38C1">
        <w:rPr>
          <w:b/>
          <w:bCs/>
        </w:rPr>
        <w:t>, Ms Corazza</w:t>
      </w:r>
      <w:r w:rsidRPr="0028047D">
        <w:rPr>
          <w:b/>
          <w:bCs/>
        </w:rPr>
        <w:t xml:space="preserve"> (FR-III)</w:t>
      </w:r>
      <w:r w:rsidRPr="009C38C1">
        <w:rPr>
          <w:b/>
          <w:bCs/>
        </w:rPr>
        <w:t>, Ms Miltoviča</w:t>
      </w:r>
      <w:r w:rsidRPr="0028047D">
        <w:rPr>
          <w:b/>
          <w:bCs/>
        </w:rPr>
        <w:t xml:space="preserve"> (LV-III)</w:t>
      </w:r>
      <w:r w:rsidRPr="009C38C1">
        <w:rPr>
          <w:b/>
          <w:bCs/>
        </w:rPr>
        <w:t xml:space="preserve"> </w:t>
      </w:r>
      <w:r w:rsidRPr="009A50D9">
        <w:t>and</w:t>
      </w:r>
      <w:r w:rsidRPr="009C38C1">
        <w:rPr>
          <w:b/>
          <w:bCs/>
        </w:rPr>
        <w:t xml:space="preserve"> Mr Ulgiati</w:t>
      </w:r>
      <w:r w:rsidRPr="0028047D">
        <w:rPr>
          <w:b/>
          <w:bCs/>
        </w:rPr>
        <w:t xml:space="preserve"> (IT-NI)</w:t>
      </w:r>
      <w:r w:rsidRPr="009A50D9">
        <w:rPr>
          <w:b/>
          <w:bCs/>
        </w:rPr>
        <w:t>.</w:t>
      </w:r>
      <w:r w:rsidRPr="009C38C1">
        <w:t xml:space="preserve"> They raised the following key points:</w:t>
      </w:r>
    </w:p>
    <w:p w:rsidRPr="009C38C1" w:rsidR="0081657E" w:rsidP="00D069EB" w:rsidRDefault="0081657E" w14:paraId="28AE0272" w14:textId="77777777">
      <w:pPr>
        <w:rPr>
          <w:sz w:val="24"/>
          <w:szCs w:val="24"/>
        </w:rPr>
      </w:pPr>
    </w:p>
    <w:p w:rsidRPr="009A50D9" w:rsidR="00D069EB" w:rsidP="00D069EB" w:rsidRDefault="00D069EB" w14:paraId="1CD2699E" w14:textId="77777777">
      <w:pPr>
        <w:pStyle w:val="ListParagraph"/>
        <w:numPr>
          <w:ilvl w:val="0"/>
          <w:numId w:val="13"/>
        </w:numPr>
        <w:spacing w:after="160" w:line="259" w:lineRule="auto"/>
      </w:pPr>
      <w:r w:rsidRPr="009A50D9">
        <w:t>The EESC should support responsible AI, regional skills clusters, and digital sovereignty.</w:t>
      </w:r>
    </w:p>
    <w:p w:rsidRPr="009A50D9" w:rsidR="00D069EB" w:rsidP="00D069EB" w:rsidRDefault="00D069EB" w14:paraId="4F2A9083" w14:textId="77777777">
      <w:pPr>
        <w:pStyle w:val="ListParagraph"/>
        <w:numPr>
          <w:ilvl w:val="0"/>
          <w:numId w:val="13"/>
        </w:numPr>
        <w:spacing w:after="160" w:line="259" w:lineRule="auto"/>
      </w:pPr>
      <w:r w:rsidRPr="009A50D9">
        <w:t>Technology alone is not the solution; public understanding and trust are essential.</w:t>
      </w:r>
    </w:p>
    <w:p w:rsidRPr="009A50D9" w:rsidR="00D069EB" w:rsidP="00D069EB" w:rsidRDefault="00D069EB" w14:paraId="2EF6E1AF" w14:textId="77777777">
      <w:pPr>
        <w:pStyle w:val="ListParagraph"/>
        <w:numPr>
          <w:ilvl w:val="0"/>
          <w:numId w:val="13"/>
        </w:numPr>
        <w:spacing w:after="160" w:line="259" w:lineRule="auto"/>
      </w:pPr>
      <w:r w:rsidRPr="009A50D9">
        <w:t>Europe is perceived as lagging; the strategy must enable fast, practical action, IP clarity, scaling across borders, and stronger entrepreneurial ecosystems.</w:t>
      </w:r>
    </w:p>
    <w:p w:rsidRPr="009A50D9" w:rsidR="00D069EB" w:rsidP="00D069EB" w:rsidRDefault="00D069EB" w14:paraId="503CC639" w14:textId="77777777">
      <w:pPr>
        <w:pStyle w:val="ListParagraph"/>
        <w:numPr>
          <w:ilvl w:val="0"/>
          <w:numId w:val="13"/>
        </w:numPr>
        <w:spacing w:after="160" w:line="259" w:lineRule="auto"/>
      </w:pPr>
      <w:r w:rsidRPr="009A50D9">
        <w:t>AI represents both opportunities and strategic risks, and Europe must avoid deeper dependencies in the value chain.</w:t>
      </w:r>
    </w:p>
    <w:p w:rsidRPr="009A50D9" w:rsidR="00D069EB" w:rsidP="00D069EB" w:rsidRDefault="00D069EB" w14:paraId="468D55C5" w14:textId="77777777">
      <w:pPr>
        <w:pStyle w:val="ListParagraph"/>
        <w:numPr>
          <w:ilvl w:val="0"/>
          <w:numId w:val="13"/>
        </w:numPr>
        <w:spacing w:after="160" w:line="259" w:lineRule="auto"/>
      </w:pPr>
      <w:r w:rsidRPr="009A50D9">
        <w:t>AI is not neutral, and risks of bias must be addressed to protect democracy and equality.</w:t>
      </w:r>
    </w:p>
    <w:p w:rsidRPr="009A50D9" w:rsidR="00D069EB" w:rsidP="00D069EB" w:rsidRDefault="00D069EB" w14:paraId="372030F9" w14:textId="77777777">
      <w:pPr>
        <w:pStyle w:val="ListParagraph"/>
        <w:numPr>
          <w:ilvl w:val="0"/>
          <w:numId w:val="13"/>
        </w:numPr>
        <w:spacing w:after="160" w:line="259" w:lineRule="auto"/>
      </w:pPr>
      <w:r w:rsidRPr="009A50D9">
        <w:rPr>
          <w:lang w:val="en-US"/>
        </w:rPr>
        <w:t>"</w:t>
      </w:r>
      <w:r w:rsidRPr="009A50D9">
        <w:t>RegTech</w:t>
      </w:r>
      <w:r w:rsidRPr="009A50D9">
        <w:rPr>
          <w:lang w:val="en-US"/>
        </w:rPr>
        <w:t>"</w:t>
      </w:r>
      <w:r w:rsidRPr="009A50D9">
        <w:t xml:space="preserve"> can reduce administrative burdens and enable smart compliance.</w:t>
      </w:r>
    </w:p>
    <w:p w:rsidRPr="009A50D9" w:rsidR="00D069EB" w:rsidP="00D069EB" w:rsidRDefault="00D069EB" w14:paraId="69038218" w14:textId="77777777">
      <w:pPr>
        <w:pStyle w:val="ListParagraph"/>
        <w:numPr>
          <w:ilvl w:val="0"/>
          <w:numId w:val="13"/>
        </w:numPr>
        <w:spacing w:after="160" w:line="259" w:lineRule="auto"/>
      </w:pPr>
      <w:r w:rsidRPr="009A50D9">
        <w:t>The EU must accelerate deployment for scale-ups and SMEs, ensure funding and simplified rules, and foster practical knowledge and adoption.</w:t>
      </w:r>
    </w:p>
    <w:p w:rsidRPr="009A50D9" w:rsidR="00D069EB" w:rsidP="00D069EB" w:rsidRDefault="00D069EB" w14:paraId="46A2B10E" w14:textId="77777777">
      <w:pPr>
        <w:pStyle w:val="ListParagraph"/>
        <w:numPr>
          <w:ilvl w:val="0"/>
          <w:numId w:val="13"/>
        </w:numPr>
        <w:spacing w:after="160" w:line="259" w:lineRule="auto"/>
      </w:pPr>
      <w:r w:rsidRPr="009A50D9">
        <w:t>Consumers need transparency and legal safeguards, as they are not passive users.</w:t>
      </w:r>
    </w:p>
    <w:p w:rsidRPr="009A50D9" w:rsidR="00D069EB" w:rsidP="00D069EB" w:rsidRDefault="00D069EB" w14:paraId="6A6F33DC" w14:textId="77777777">
      <w:pPr>
        <w:pStyle w:val="ListParagraph"/>
        <w:numPr>
          <w:ilvl w:val="0"/>
          <w:numId w:val="13"/>
        </w:numPr>
        <w:spacing w:after="160" w:line="259" w:lineRule="auto"/>
      </w:pPr>
      <w:r w:rsidRPr="009A50D9">
        <w:t>AI must reinforce human-centric development, territorial cohesion, and trust.</w:t>
      </w:r>
    </w:p>
    <w:p w:rsidRPr="009A50D9" w:rsidR="00D069EB" w:rsidP="00D069EB" w:rsidRDefault="00D069EB" w14:paraId="47256D97" w14:textId="77777777">
      <w:pPr>
        <w:pStyle w:val="ListParagraph"/>
        <w:numPr>
          <w:ilvl w:val="0"/>
          <w:numId w:val="13"/>
        </w:numPr>
        <w:spacing w:after="160" w:line="259" w:lineRule="auto"/>
      </w:pPr>
      <w:r w:rsidRPr="009A50D9">
        <w:t>Gender inclusion in AI careers is fundamental for competitiveness.</w:t>
      </w:r>
    </w:p>
    <w:p w:rsidRPr="009A50D9" w:rsidR="00D069EB" w:rsidP="00D069EB" w:rsidRDefault="00D069EB" w14:paraId="01EA1E90" w14:textId="24E5D237">
      <w:pPr>
        <w:pStyle w:val="ListParagraph"/>
        <w:numPr>
          <w:ilvl w:val="0"/>
          <w:numId w:val="13"/>
        </w:numPr>
        <w:spacing w:after="160" w:line="259" w:lineRule="auto"/>
      </w:pPr>
      <w:r w:rsidRPr="009A50D9">
        <w:t>In tourism and services, AI must not undermine human-centred service delivery.</w:t>
      </w:r>
    </w:p>
    <w:p w:rsidRPr="009A50D9" w:rsidR="00D069EB" w:rsidP="00D069EB" w:rsidRDefault="00D069EB" w14:paraId="0DA33296" w14:textId="77777777">
      <w:pPr>
        <w:pStyle w:val="ListParagraph"/>
        <w:numPr>
          <w:ilvl w:val="0"/>
          <w:numId w:val="13"/>
        </w:numPr>
        <w:spacing w:after="160" w:line="259" w:lineRule="auto"/>
      </w:pPr>
      <w:r w:rsidRPr="009A50D9">
        <w:t>The environmental footprint of AI must be considered to maintain public trust.</w:t>
      </w:r>
    </w:p>
    <w:p w:rsidRPr="009A50D9" w:rsidR="00D069EB" w:rsidP="00D069EB" w:rsidRDefault="00D069EB" w14:paraId="48D867C8" w14:textId="77777777">
      <w:pPr>
        <w:pStyle w:val="ListParagraph"/>
        <w:numPr>
          <w:ilvl w:val="0"/>
          <w:numId w:val="13"/>
        </w:numPr>
        <w:spacing w:after="160" w:line="259" w:lineRule="auto"/>
      </w:pPr>
      <w:r w:rsidRPr="009A50D9">
        <w:t>AI can boost productivity, energy integration and security, and must involve social partners in its application.</w:t>
      </w:r>
    </w:p>
    <w:p w:rsidR="00D069EB" w:rsidP="00D069EB" w:rsidRDefault="00D069EB" w14:paraId="3112327B" w14:textId="4C9E53BB">
      <w:r w:rsidRPr="009A50D9">
        <w:rPr>
          <w:b/>
          <w:bCs/>
        </w:rPr>
        <w:t>Mr Kolbe</w:t>
      </w:r>
      <w:r w:rsidRPr="0028047D">
        <w:t xml:space="preserve"> and </w:t>
      </w:r>
      <w:r w:rsidRPr="009A50D9">
        <w:rPr>
          <w:b/>
          <w:bCs/>
        </w:rPr>
        <w:t xml:space="preserve">Mr </w:t>
      </w:r>
      <w:r w:rsidRPr="009C38C1">
        <w:rPr>
          <w:b/>
          <w:bCs/>
        </w:rPr>
        <w:t>Hajnoš</w:t>
      </w:r>
      <w:r w:rsidRPr="009C38C1">
        <w:rPr>
          <w:lang w:val="en-US"/>
        </w:rPr>
        <w:t xml:space="preserve"> </w:t>
      </w:r>
      <w:r w:rsidRPr="0028047D">
        <w:t>acknowledged the points raised, noting challenges related to energy, data and administrative effectiveness.</w:t>
      </w:r>
    </w:p>
    <w:p w:rsidRPr="0028047D" w:rsidR="00D069EB" w:rsidP="00D069EB" w:rsidRDefault="00D069EB" w14:paraId="70FF1036" w14:textId="77777777"/>
    <w:p w:rsidR="00D069EB" w:rsidP="00D069EB" w:rsidRDefault="00D069EB" w14:paraId="222775D2" w14:textId="730A2B71">
      <w:r w:rsidRPr="009A50D9">
        <w:rPr>
          <w:b/>
          <w:bCs/>
        </w:rPr>
        <w:t>Mr Renda</w:t>
      </w:r>
      <w:r w:rsidRPr="0028047D">
        <w:t xml:space="preserve"> responded on societal impacts and stressed the need for feedback loops with regions and Member States. He noted venture capital imbalances, where military and aviation attract most AI investment, while energy-related AI receives less than 1%. He encouraged keeping open-source at the centre of Europe’s approach and supporting research in emerging areas such as neuroscience-inspired AI.</w:t>
      </w:r>
    </w:p>
    <w:p w:rsidRPr="0028047D" w:rsidR="00D069EB" w:rsidP="00D069EB" w:rsidRDefault="00D069EB" w14:paraId="68317BD2" w14:textId="77777777"/>
    <w:p w:rsidR="00D069EB" w:rsidP="00D069EB" w:rsidRDefault="00D069EB" w14:paraId="5EDFCAA9" w14:textId="0C59E23D">
      <w:r w:rsidRPr="009A50D9">
        <w:rPr>
          <w:b/>
          <w:bCs/>
        </w:rPr>
        <w:t>Mr Reddel</w:t>
      </w:r>
      <w:r w:rsidRPr="0028047D">
        <w:t xml:space="preserve"> highlighted the shortage of EU compute capacity, with Europe holding roughly 5% of global AI compute, and stressed the need for domestic data centres. He underlined the importance of AI literacy to protect people during transitions.</w:t>
      </w:r>
    </w:p>
    <w:p w:rsidRPr="0028047D" w:rsidR="00D069EB" w:rsidP="00D069EB" w:rsidRDefault="00D069EB" w14:paraId="6F48EB44" w14:textId="77777777"/>
    <w:p w:rsidR="00F5134A" w:rsidP="00D069EB" w:rsidRDefault="00D069EB" w14:paraId="0BF87055" w14:textId="0CBD7D83">
      <w:r w:rsidRPr="009A50D9">
        <w:rPr>
          <w:b/>
          <w:bCs/>
        </w:rPr>
        <w:t>Ms Sioli</w:t>
      </w:r>
      <w:r w:rsidRPr="0028047D">
        <w:t xml:space="preserve"> reaffirmed the importance of trustworthy AI and clarified discussions around simplified implementation timelines under the AI Act, including deadlines for transparency rules on general-purpose AI. She referred to the AI Legal Desk, supporting companies with compliance, and to investments in supercomputing and factories for model development. </w:t>
      </w:r>
      <w:r w:rsidRPr="009A50D9">
        <w:t>She stressed that high costs require public-private investment, as seen in other countries such as the US.</w:t>
      </w:r>
    </w:p>
    <w:p w:rsidR="008E531B" w:rsidP="00F5134A" w:rsidRDefault="008E531B" w14:paraId="23394199" w14:textId="77777777"/>
    <w:p w:rsidRPr="00BA38FC" w:rsidR="00F5134A" w:rsidP="00FF2DC5" w:rsidRDefault="00F5134A" w14:paraId="265437EC" w14:textId="2E848E82">
      <w:pPr>
        <w:pStyle w:val="ListParagraph"/>
        <w:numPr>
          <w:ilvl w:val="0"/>
          <w:numId w:val="12"/>
        </w:numPr>
      </w:pPr>
      <w:r>
        <w:t xml:space="preserve">The Assembly then examined the opinion on the basis of the amendment tabled by </w:t>
      </w:r>
      <w:r w:rsidRPr="00FF2DC5" w:rsidR="00E265A5">
        <w:rPr>
          <w:b/>
          <w:bCs/>
        </w:rPr>
        <w:t>Ms</w:t>
      </w:r>
      <w:r w:rsidR="00E265A5">
        <w:t xml:space="preserve"> </w:t>
      </w:r>
      <w:r w:rsidRPr="009D18F6" w:rsidR="009D18F6">
        <w:rPr>
          <w:b/>
          <w:bCs/>
        </w:rPr>
        <w:t>Juliane Marie</w:t>
      </w:r>
      <w:r w:rsidRPr="009D18F6" w:rsidR="009D18F6">
        <w:t xml:space="preserve"> </w:t>
      </w:r>
      <w:r w:rsidRPr="009D18F6" w:rsidR="009D18F6">
        <w:rPr>
          <w:b/>
          <w:bCs/>
        </w:rPr>
        <w:t xml:space="preserve">NEIIENDAM </w:t>
      </w:r>
      <w:r w:rsidRPr="00BA38FC">
        <w:t>(</w:t>
      </w:r>
      <w:r w:rsidRPr="009D18F6" w:rsidR="009D18F6">
        <w:t>EESC-2025-03470-01-00-AMP-TRA</w:t>
      </w:r>
      <w:r w:rsidRPr="00BA38FC">
        <w:t>).</w:t>
      </w:r>
    </w:p>
    <w:p w:rsidRPr="00BA38FC" w:rsidR="00F5134A" w:rsidP="00F5134A" w:rsidRDefault="00F5134A" w14:paraId="07F20FE3" w14:textId="77777777"/>
    <w:p w:rsidR="009D18F6" w:rsidP="009D18F6" w:rsidRDefault="009D18F6" w14:paraId="708DA31C" w14:textId="05C08931">
      <w:pPr>
        <w:rPr>
          <w:b/>
          <w:bCs/>
        </w:rPr>
      </w:pPr>
      <w:r>
        <w:rPr>
          <w:b/>
          <w:bCs/>
        </w:rPr>
        <w:t>Point 3.1.1.2</w:t>
      </w:r>
      <w:r w:rsidRPr="00F5134A">
        <w:rPr>
          <w:b/>
          <w:bCs/>
        </w:rPr>
        <w:t xml:space="preserve">(Amendment </w:t>
      </w:r>
      <w:r>
        <w:rPr>
          <w:b/>
          <w:bCs/>
        </w:rPr>
        <w:t>1</w:t>
      </w:r>
      <w:r w:rsidRPr="00F5134A">
        <w:rPr>
          <w:b/>
          <w:bCs/>
        </w:rPr>
        <w:t>)</w:t>
      </w:r>
    </w:p>
    <w:p w:rsidR="009D18F6" w:rsidP="009D18F6" w:rsidRDefault="009D18F6" w14:paraId="04B76987" w14:textId="77777777">
      <w:pPr>
        <w:rPr>
          <w:b/>
          <w:bCs/>
        </w:rPr>
      </w:pPr>
    </w:p>
    <w:p w:rsidR="00C00026" w:rsidP="009D18F6" w:rsidRDefault="009D18F6" w14:paraId="61E5A0C6" w14:textId="0B58195E">
      <w:r>
        <w:rPr>
          <w:b/>
          <w:bCs/>
        </w:rPr>
        <w:t>Amend as follows</w:t>
      </w:r>
    </w:p>
    <w:p w:rsidRPr="00FF2DC5" w:rsidR="001A776E" w:rsidP="00F5134A" w:rsidRDefault="001A776E" w14:paraId="12A9819D" w14:textId="252962BB"/>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D18F6" w:rsidTr="009A1C10" w14:paraId="2E32B26C" w14:textId="77777777">
        <w:tc>
          <w:tcPr>
            <w:tcW w:w="2500" w:type="pct"/>
            <w:tcBorders>
              <w:top w:val="single" w:color="auto" w:sz="4" w:space="0"/>
              <w:left w:val="single" w:color="auto" w:sz="4" w:space="0"/>
              <w:bottom w:val="single" w:color="auto" w:sz="4" w:space="0"/>
              <w:right w:val="single" w:color="auto" w:sz="4" w:space="0"/>
            </w:tcBorders>
            <w:hideMark/>
          </w:tcPr>
          <w:p w:rsidR="009D18F6" w:rsidP="009A1C10" w:rsidRDefault="009D18F6" w14:paraId="723A247F"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D18F6" w:rsidP="009A1C10" w:rsidRDefault="009D18F6" w14:paraId="3B9715F9" w14:textId="77777777">
            <w:pPr>
              <w:jc w:val="center"/>
              <w:rPr>
                <w:b/>
                <w:bCs/>
                <w:i/>
              </w:rPr>
            </w:pPr>
            <w:r>
              <w:rPr>
                <w:b/>
                <w:bCs/>
                <w:i/>
              </w:rPr>
              <w:t>Amendment</w:t>
            </w:r>
          </w:p>
        </w:tc>
      </w:tr>
      <w:tr w:rsidR="009D18F6" w:rsidTr="009A1C10" w14:paraId="44AA90C4" w14:textId="77777777">
        <w:tc>
          <w:tcPr>
            <w:tcW w:w="2500" w:type="pct"/>
            <w:tcBorders>
              <w:top w:val="single" w:color="auto" w:sz="4" w:space="0"/>
              <w:left w:val="single" w:color="auto" w:sz="4" w:space="0"/>
              <w:bottom w:val="single" w:color="auto" w:sz="4" w:space="0"/>
              <w:right w:val="single" w:color="auto" w:sz="4" w:space="0"/>
            </w:tcBorders>
            <w:hideMark/>
          </w:tcPr>
          <w:p w:rsidR="009D18F6" w:rsidP="009A1C10" w:rsidRDefault="009D18F6" w14:paraId="69F39F37" w14:textId="77777777">
            <w:pPr>
              <w:spacing w:before="80" w:after="80"/>
              <w:ind w:left="80" w:right="80"/>
            </w:pPr>
            <w:r>
              <w:t>The EESC welcomes the initiatives to accelerate AI-driven drug discovery and streamline market entry for medical devices, provided safety is not compromised.</w:t>
            </w:r>
          </w:p>
        </w:tc>
        <w:tc>
          <w:tcPr>
            <w:tcW w:w="2500" w:type="pct"/>
            <w:tcBorders>
              <w:top w:val="single" w:color="auto" w:sz="4" w:space="0"/>
              <w:left w:val="single" w:color="auto" w:sz="4" w:space="0"/>
              <w:bottom w:val="single" w:color="auto" w:sz="4" w:space="0"/>
              <w:right w:val="single" w:color="auto" w:sz="4" w:space="0"/>
            </w:tcBorders>
            <w:hideMark/>
          </w:tcPr>
          <w:p w:rsidR="009D18F6" w:rsidP="009A1C10" w:rsidRDefault="009D18F6" w14:paraId="422FF3D9" w14:textId="77777777">
            <w:pPr>
              <w:spacing w:before="80" w:after="80"/>
              <w:ind w:left="80" w:right="80"/>
            </w:pPr>
            <w:r>
              <w:t>The EESC welcomes the initiatives to accelerate AI-driven drug discovery and streamline market entry for medical devices, provided safety is not compromised.</w:t>
            </w:r>
            <w:r>
              <w:rPr>
                <w:b/>
                <w:bCs/>
                <w:i/>
              </w:rPr>
              <w:t xml:space="preserve"> The EESC recognizes the potential and encourages the use of AI for gender diagnosis and treatment.</w:t>
            </w:r>
          </w:p>
        </w:tc>
      </w:tr>
    </w:tbl>
    <w:p w:rsidR="001A776E" w:rsidP="00F5134A" w:rsidRDefault="001A776E" w14:paraId="49410ADD" w14:textId="77777777"/>
    <w:p w:rsidR="00AE6505" w:rsidP="00AE6505" w:rsidRDefault="00AE6505" w14:paraId="5B89E98D" w14:textId="3918030D">
      <w:r>
        <w:t>The amendment was accepted by the rapporteu</w:t>
      </w:r>
      <w:r w:rsidR="00C00026">
        <w:t>r</w:t>
      </w:r>
      <w:r w:rsidR="009D18F6">
        <w:t xml:space="preserve">, </w:t>
      </w:r>
      <w:r w:rsidR="00BF5020">
        <w:t xml:space="preserve">the </w:t>
      </w:r>
      <w:r w:rsidR="009D18F6">
        <w:t>corapporteur</w:t>
      </w:r>
      <w:r w:rsidR="005E4B5F">
        <w:t xml:space="preserve"> and the Assembly</w:t>
      </w:r>
      <w:r w:rsidR="00C00026">
        <w:t>.</w:t>
      </w:r>
    </w:p>
    <w:p w:rsidR="00F352B2" w:rsidP="00EC0F0F" w:rsidRDefault="00F352B2" w14:paraId="011B351D" w14:textId="77777777"/>
    <w:p w:rsidR="000F139E" w:rsidP="00EC0F0F" w:rsidRDefault="000F139E" w14:paraId="5F429B41" w14:textId="77777777"/>
    <w:p w:rsidR="000E4B6B" w:rsidP="00EC0F0F" w:rsidRDefault="000E4B6B" w14:paraId="0133C75D" w14:textId="14F6AD31">
      <w:r w:rsidRPr="00080AD3">
        <w:t>The opinion</w:t>
      </w:r>
      <w:r w:rsidRPr="00080AD3" w:rsidR="00920A83">
        <w:t>, as amended,</w:t>
      </w:r>
      <w:r w:rsidRPr="00080AD3">
        <w:t xml:space="preserve"> was adopted by</w:t>
      </w:r>
      <w:r w:rsidRPr="00080AD3" w:rsidR="0010466E">
        <w:t xml:space="preserve"> </w:t>
      </w:r>
      <w:r w:rsidRPr="00080AD3" w:rsidR="00D069EB">
        <w:t xml:space="preserve">212 </w:t>
      </w:r>
      <w:r w:rsidRPr="00080AD3" w:rsidR="0010466E">
        <w:t>votes</w:t>
      </w:r>
      <w:r w:rsidRPr="00080AD3" w:rsidR="000944D8">
        <w:t xml:space="preserve">, </w:t>
      </w:r>
      <w:r w:rsidRPr="00080AD3" w:rsidR="00754E50">
        <w:t>with</w:t>
      </w:r>
      <w:r w:rsidRPr="00080AD3" w:rsidR="00CF7C78">
        <w:t xml:space="preserve"> </w:t>
      </w:r>
      <w:r w:rsidR="00437138">
        <w:t>eight</w:t>
      </w:r>
      <w:r w:rsidRPr="00080AD3" w:rsidR="00FB46EB">
        <w:t xml:space="preserve"> </w:t>
      </w:r>
      <w:r w:rsidRPr="00080AD3" w:rsidR="0010466E">
        <w:t>abstentions.</w:t>
      </w:r>
    </w:p>
    <w:p w:rsidRPr="00A67235" w:rsidR="000E4B6B" w:rsidP="00EC0F0F" w:rsidRDefault="000E4B6B" w14:paraId="0B23E20E" w14:textId="77777777">
      <w:pPr>
        <w:jc w:val="center"/>
      </w:pPr>
      <w:r w:rsidRPr="00A67235">
        <w:t>_____________</w:t>
      </w:r>
    </w:p>
    <w:sectPr w:rsidRPr="00A67235" w:rsidR="000E4B6B" w:rsidSect="00D71BB3">
      <w:footerReference w:type="default" r:id="rId12"/>
      <w:pgSz w:w="11907" w:h="16839" w:code="9"/>
      <w:pgMar w:top="993"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75D4" w14:textId="77777777" w:rsidR="000D6AA3" w:rsidRDefault="000D6AA3">
      <w:r>
        <w:separator/>
      </w:r>
    </w:p>
  </w:endnote>
  <w:endnote w:type="continuationSeparator" w:id="0">
    <w:p w14:paraId="6DA1D292"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15E24415" w:rsidR="00964A13" w:rsidRPr="00964A13" w:rsidRDefault="00AA4CB6" w:rsidP="00964A13">
    <w:pPr>
      <w:pStyle w:val="Footer"/>
    </w:pPr>
    <w:r w:rsidRPr="00AA4CB6">
      <w:t>INT/1</w:t>
    </w:r>
    <w:r w:rsidR="00D109F8">
      <w:t>105</w:t>
    </w:r>
    <w:r w:rsidRPr="00AA4CB6">
      <w:t xml:space="preserve"> – EESC-2025-00</w:t>
    </w:r>
    <w:r w:rsidR="00D109F8">
      <w:t>3470</w:t>
    </w:r>
    <w:r w:rsidRPr="00AA4CB6">
      <w:t>-00-00</w:t>
    </w:r>
    <w:r>
      <w:t>-</w:t>
    </w:r>
    <w:r w:rsidR="00964A13">
      <w:t>CR-REF (</w:t>
    </w:r>
    <w:r w:rsidR="00F5134A">
      <w:t>EN</w:t>
    </w:r>
    <w:r w:rsidR="00964A13">
      <w:t xml:space="preserve">) </w:t>
    </w:r>
    <w:r w:rsidR="00964A13">
      <w:fldChar w:fldCharType="begin"/>
    </w:r>
    <w:r w:rsidR="00964A13">
      <w:instrText xml:space="preserve"> PAGE  \* Arabic  \* MERGEFORMAT </w:instrText>
    </w:r>
    <w:r w:rsidR="00964A13">
      <w:fldChar w:fldCharType="separate"/>
    </w:r>
    <w:r w:rsidR="003F3F1A">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3F3F1A">
      <w:rPr>
        <w:noProof/>
      </w:rPr>
      <w:instrText>1</w:instrText>
    </w:r>
    <w:r w:rsidR="00964A13">
      <w:fldChar w:fldCharType="end"/>
    </w:r>
    <w:r w:rsidR="00964A13">
      <w:instrText xml:space="preserve"> -0 </w:instrText>
    </w:r>
    <w:r w:rsidR="00964A13">
      <w:fldChar w:fldCharType="separate"/>
    </w:r>
    <w:r w:rsidR="003F3F1A">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99F0" w14:textId="77777777" w:rsidR="000D6AA3" w:rsidRDefault="000D6AA3">
      <w:r>
        <w:separator/>
      </w:r>
    </w:p>
  </w:footnote>
  <w:footnote w:type="continuationSeparator" w:id="0">
    <w:p w14:paraId="36EE9532"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676143"/>
    <w:multiLevelType w:val="hybridMultilevel"/>
    <w:tmpl w:val="0CF2E3AA"/>
    <w:lvl w:ilvl="0" w:tplc="2C80844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E2524FE"/>
    <w:multiLevelType w:val="hybridMultilevel"/>
    <w:tmpl w:val="F6C2FD18"/>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335996"/>
    <w:multiLevelType w:val="hybridMultilevel"/>
    <w:tmpl w:val="39EC8A4A"/>
    <w:lvl w:ilvl="0" w:tplc="BE80B27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C193E"/>
    <w:multiLevelType w:val="hybridMultilevel"/>
    <w:tmpl w:val="21DE9176"/>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33E81B39"/>
    <w:multiLevelType w:val="hybridMultilevel"/>
    <w:tmpl w:val="F3665436"/>
    <w:lvl w:ilvl="0" w:tplc="9EFA5C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2879B4"/>
    <w:multiLevelType w:val="hybridMultilevel"/>
    <w:tmpl w:val="8C6C744E"/>
    <w:lvl w:ilvl="0" w:tplc="A8B22DA0">
      <w:start w:val="1"/>
      <w:numFmt w:val="bullet"/>
      <w:lvlText w:val="─"/>
      <w:lvlJc w:val="left"/>
      <w:pPr>
        <w:ind w:left="360" w:hanging="360"/>
      </w:pPr>
      <w:rPr>
        <w:rFonts w:ascii="Calibri" w:hAnsi="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4BAC3C2C"/>
    <w:multiLevelType w:val="hybridMultilevel"/>
    <w:tmpl w:val="6ADA93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D672FF9"/>
    <w:multiLevelType w:val="hybridMultilevel"/>
    <w:tmpl w:val="3CA055C6"/>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EE72C5F"/>
    <w:multiLevelType w:val="hybridMultilevel"/>
    <w:tmpl w:val="83DC3308"/>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68804E95"/>
    <w:multiLevelType w:val="hybridMultilevel"/>
    <w:tmpl w:val="4866C094"/>
    <w:lvl w:ilvl="0" w:tplc="684A3C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6"/>
  </w:num>
  <w:num w:numId="3">
    <w:abstractNumId w:val="12"/>
  </w:num>
  <w:num w:numId="4">
    <w:abstractNumId w:val="8"/>
  </w:num>
  <w:num w:numId="5">
    <w:abstractNumId w:val="2"/>
  </w:num>
  <w:num w:numId="6">
    <w:abstractNumId w:val="9"/>
  </w:num>
  <w:num w:numId="7">
    <w:abstractNumId w:val="3"/>
  </w:num>
  <w:num w:numId="8">
    <w:abstractNumId w:val="5"/>
  </w:num>
  <w:num w:numId="9">
    <w:abstractNumId w:val="10"/>
  </w:num>
  <w:num w:numId="10">
    <w:abstractNumId w:val="7"/>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3649F"/>
    <w:rsid w:val="00065797"/>
    <w:rsid w:val="00080AD3"/>
    <w:rsid w:val="000944D8"/>
    <w:rsid w:val="000966D7"/>
    <w:rsid w:val="000B3441"/>
    <w:rsid w:val="000C2A4A"/>
    <w:rsid w:val="000D2363"/>
    <w:rsid w:val="000D6AA3"/>
    <w:rsid w:val="000E4B6B"/>
    <w:rsid w:val="000F03D6"/>
    <w:rsid w:val="000F139E"/>
    <w:rsid w:val="000F5471"/>
    <w:rsid w:val="0010466E"/>
    <w:rsid w:val="00104D61"/>
    <w:rsid w:val="00143A71"/>
    <w:rsid w:val="0014419F"/>
    <w:rsid w:val="0015330A"/>
    <w:rsid w:val="001541C5"/>
    <w:rsid w:val="00164FE8"/>
    <w:rsid w:val="00165632"/>
    <w:rsid w:val="00174797"/>
    <w:rsid w:val="001766AB"/>
    <w:rsid w:val="00177DAC"/>
    <w:rsid w:val="001842CE"/>
    <w:rsid w:val="001A776E"/>
    <w:rsid w:val="001B23E4"/>
    <w:rsid w:val="001B2A4B"/>
    <w:rsid w:val="001C5C73"/>
    <w:rsid w:val="001C7254"/>
    <w:rsid w:val="001D4F67"/>
    <w:rsid w:val="001F22AC"/>
    <w:rsid w:val="001F440A"/>
    <w:rsid w:val="00204CF9"/>
    <w:rsid w:val="002346F9"/>
    <w:rsid w:val="002601CF"/>
    <w:rsid w:val="00273FDB"/>
    <w:rsid w:val="002925F3"/>
    <w:rsid w:val="00297572"/>
    <w:rsid w:val="002D622A"/>
    <w:rsid w:val="00320C0B"/>
    <w:rsid w:val="003439B0"/>
    <w:rsid w:val="00346BEE"/>
    <w:rsid w:val="00357DC2"/>
    <w:rsid w:val="00367702"/>
    <w:rsid w:val="003876B5"/>
    <w:rsid w:val="00392924"/>
    <w:rsid w:val="00393FBA"/>
    <w:rsid w:val="00397DD3"/>
    <w:rsid w:val="003A3048"/>
    <w:rsid w:val="003A46A9"/>
    <w:rsid w:val="003A6491"/>
    <w:rsid w:val="003C15D7"/>
    <w:rsid w:val="003C2604"/>
    <w:rsid w:val="003E1619"/>
    <w:rsid w:val="003F3F1A"/>
    <w:rsid w:val="00407786"/>
    <w:rsid w:val="00423299"/>
    <w:rsid w:val="0043176E"/>
    <w:rsid w:val="00437138"/>
    <w:rsid w:val="00460CC5"/>
    <w:rsid w:val="004A0843"/>
    <w:rsid w:val="004A68DB"/>
    <w:rsid w:val="004B75AC"/>
    <w:rsid w:val="004E0DB6"/>
    <w:rsid w:val="004E5B3F"/>
    <w:rsid w:val="004F1B5B"/>
    <w:rsid w:val="004F3E5C"/>
    <w:rsid w:val="0052086F"/>
    <w:rsid w:val="00524126"/>
    <w:rsid w:val="00552B5D"/>
    <w:rsid w:val="00554D79"/>
    <w:rsid w:val="00557FAD"/>
    <w:rsid w:val="00564B0D"/>
    <w:rsid w:val="00567B2A"/>
    <w:rsid w:val="00590C1E"/>
    <w:rsid w:val="005E1A79"/>
    <w:rsid w:val="005E4615"/>
    <w:rsid w:val="005E4B5F"/>
    <w:rsid w:val="00633712"/>
    <w:rsid w:val="00634B49"/>
    <w:rsid w:val="00646E27"/>
    <w:rsid w:val="006620C5"/>
    <w:rsid w:val="00667453"/>
    <w:rsid w:val="00667EAD"/>
    <w:rsid w:val="0069099A"/>
    <w:rsid w:val="00692A8C"/>
    <w:rsid w:val="00695811"/>
    <w:rsid w:val="00696C62"/>
    <w:rsid w:val="006A0F25"/>
    <w:rsid w:val="006B112B"/>
    <w:rsid w:val="006B6FFC"/>
    <w:rsid w:val="006D1CF4"/>
    <w:rsid w:val="006E45F0"/>
    <w:rsid w:val="00716EB4"/>
    <w:rsid w:val="00722F39"/>
    <w:rsid w:val="0073571F"/>
    <w:rsid w:val="00754E50"/>
    <w:rsid w:val="00766213"/>
    <w:rsid w:val="00793311"/>
    <w:rsid w:val="007B4670"/>
    <w:rsid w:val="007C6A55"/>
    <w:rsid w:val="007C71B0"/>
    <w:rsid w:val="007D44F2"/>
    <w:rsid w:val="007F4F08"/>
    <w:rsid w:val="00815851"/>
    <w:rsid w:val="0081657E"/>
    <w:rsid w:val="00826375"/>
    <w:rsid w:val="00847356"/>
    <w:rsid w:val="0085499C"/>
    <w:rsid w:val="00857316"/>
    <w:rsid w:val="008600EB"/>
    <w:rsid w:val="00862EFF"/>
    <w:rsid w:val="008671AD"/>
    <w:rsid w:val="00893F74"/>
    <w:rsid w:val="008A371F"/>
    <w:rsid w:val="008C5804"/>
    <w:rsid w:val="008C726E"/>
    <w:rsid w:val="008D1F32"/>
    <w:rsid w:val="008D2832"/>
    <w:rsid w:val="008E0097"/>
    <w:rsid w:val="008E531B"/>
    <w:rsid w:val="008F2211"/>
    <w:rsid w:val="008F357E"/>
    <w:rsid w:val="008F4DFE"/>
    <w:rsid w:val="00911202"/>
    <w:rsid w:val="00920A83"/>
    <w:rsid w:val="009263CA"/>
    <w:rsid w:val="009326E3"/>
    <w:rsid w:val="00961F04"/>
    <w:rsid w:val="00964A13"/>
    <w:rsid w:val="009663F3"/>
    <w:rsid w:val="00966445"/>
    <w:rsid w:val="00991FE2"/>
    <w:rsid w:val="009A781A"/>
    <w:rsid w:val="009C40A8"/>
    <w:rsid w:val="009D18F6"/>
    <w:rsid w:val="009E138D"/>
    <w:rsid w:val="009F39AD"/>
    <w:rsid w:val="009F6F6E"/>
    <w:rsid w:val="009F7990"/>
    <w:rsid w:val="00A14D3A"/>
    <w:rsid w:val="00A228AD"/>
    <w:rsid w:val="00A27122"/>
    <w:rsid w:val="00A53158"/>
    <w:rsid w:val="00A64D59"/>
    <w:rsid w:val="00A66847"/>
    <w:rsid w:val="00A67235"/>
    <w:rsid w:val="00A6728D"/>
    <w:rsid w:val="00A70C76"/>
    <w:rsid w:val="00A8654D"/>
    <w:rsid w:val="00A974EE"/>
    <w:rsid w:val="00AA4CB6"/>
    <w:rsid w:val="00AB538D"/>
    <w:rsid w:val="00AE1946"/>
    <w:rsid w:val="00AE6505"/>
    <w:rsid w:val="00B14E64"/>
    <w:rsid w:val="00B15863"/>
    <w:rsid w:val="00B224D8"/>
    <w:rsid w:val="00B26EA2"/>
    <w:rsid w:val="00B5559E"/>
    <w:rsid w:val="00B561DF"/>
    <w:rsid w:val="00B90711"/>
    <w:rsid w:val="00BA38FC"/>
    <w:rsid w:val="00BD3D83"/>
    <w:rsid w:val="00BE7410"/>
    <w:rsid w:val="00BF5020"/>
    <w:rsid w:val="00C00026"/>
    <w:rsid w:val="00C05B64"/>
    <w:rsid w:val="00C16D99"/>
    <w:rsid w:val="00C23FD9"/>
    <w:rsid w:val="00C4683E"/>
    <w:rsid w:val="00C71DCB"/>
    <w:rsid w:val="00C872C9"/>
    <w:rsid w:val="00C87758"/>
    <w:rsid w:val="00CD3BAF"/>
    <w:rsid w:val="00CF69D1"/>
    <w:rsid w:val="00CF7C78"/>
    <w:rsid w:val="00D069EB"/>
    <w:rsid w:val="00D109F8"/>
    <w:rsid w:val="00D45B84"/>
    <w:rsid w:val="00D54F5F"/>
    <w:rsid w:val="00D56AB6"/>
    <w:rsid w:val="00D60289"/>
    <w:rsid w:val="00D71BB3"/>
    <w:rsid w:val="00D806A2"/>
    <w:rsid w:val="00DB5591"/>
    <w:rsid w:val="00DC1D7F"/>
    <w:rsid w:val="00DC55D6"/>
    <w:rsid w:val="00DD05A8"/>
    <w:rsid w:val="00DD7618"/>
    <w:rsid w:val="00E24886"/>
    <w:rsid w:val="00E265A5"/>
    <w:rsid w:val="00E53B94"/>
    <w:rsid w:val="00E55BBF"/>
    <w:rsid w:val="00E623E0"/>
    <w:rsid w:val="00E70261"/>
    <w:rsid w:val="00EC0F0F"/>
    <w:rsid w:val="00ED6BB4"/>
    <w:rsid w:val="00F01EB5"/>
    <w:rsid w:val="00F12244"/>
    <w:rsid w:val="00F126CA"/>
    <w:rsid w:val="00F352B2"/>
    <w:rsid w:val="00F5134A"/>
    <w:rsid w:val="00F64C15"/>
    <w:rsid w:val="00F71E86"/>
    <w:rsid w:val="00F73F28"/>
    <w:rsid w:val="00FA683E"/>
    <w:rsid w:val="00FB46EB"/>
    <w:rsid w:val="00FD1A6B"/>
    <w:rsid w:val="00FD5592"/>
    <w:rsid w:val="00FE69DC"/>
    <w:rsid w:val="00FF2D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4F2"/>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F5134A"/>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51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99C"/>
    <w:pPr>
      <w:ind w:left="720"/>
      <w:contextualSpacing/>
    </w:pPr>
  </w:style>
  <w:style w:type="paragraph" w:styleId="Revision">
    <w:name w:val="Revision"/>
    <w:hidden/>
    <w:uiPriority w:val="99"/>
    <w:semiHidden/>
    <w:rsid w:val="0017479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A6WAAD5KZT2Q-284857674-7542</_dlc_DocId>
    <_dlc_DocIdUrl xmlns="1a33af13-4045-4f88-9d7b-618e30f79918">
      <Url>http://dm/eesc/2025/_layouts/15/DocIdRedir.aspx?ID=A6WAAD5KZT2Q-284857674-7542</Url>
      <Description>A6WAAD5KZT2Q-284857674-7542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2026-01-23T12:00:00+00:00</ProductionDate>
    <FicheYear xmlns="1a33af13-4045-4f88-9d7b-618e30f79918">2025</FicheYear>
    <DocumentNumber xmlns="27994258-8564-426c-a7a1-d6286d62992e">3470</DocumentNumber>
    <DossierNumber xmlns="1a33af13-4045-4f88-9d7b-618e30f79918">1105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1</Value>
      <Value>51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KOLBE &amp; HAJNOŠ</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413</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2026-01-21T12:00:00+00:00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9C85F6AD-28C3-4D0D-B15B-E601227CB127}"/>
</file>

<file path=customXml/itemProps2.xml><?xml version="1.0" encoding="utf-8"?>
<ds:datastoreItem xmlns:ds="http://schemas.openxmlformats.org/officeDocument/2006/customXml" ds:itemID="{25BAB46F-0FFE-42FD-932E-43B73F8857B3}"/>
</file>

<file path=customXml/itemProps3.xml><?xml version="1.0" encoding="utf-8"?>
<ds:datastoreItem xmlns:ds="http://schemas.openxmlformats.org/officeDocument/2006/customXml" ds:itemID="{283FE70A-6B76-466A-915D-BFE21F26A7F6}"/>
</file>

<file path=customXml/itemProps4.xml><?xml version="1.0" encoding="utf-8"?>
<ds:datastoreItem xmlns:ds="http://schemas.openxmlformats.org/officeDocument/2006/customXml" ds:itemID="{5F235EFD-ADE1-428F-9156-E14A1517EC44}"/>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services sector in the European Union</vt:lpstr>
    </vt:vector>
  </TitlesOfParts>
  <Company>CESE-CdR</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AI Strategy</dc:title>
  <dc:subject>Record of proceedings</dc:subject>
  <dc:creator>Hilary Morris</dc:creator>
  <cp:keywords>EESC-2025-03470-00-00-CR-TRA-EN</cp:keywords>
  <dc:description>Rapporteur: - KOLBE &amp; HAJNOŠ Original language: - EN Date of document: - 23/01/2026 Date of meeting: -  External documents: - COM(2025)723- final Administrator responsible: -  ASBOUNI EL OUAHABI YOUSRA</dc:description>
  <cp:lastModifiedBy>TDriveSVCUserProd</cp:lastModifiedBy>
  <cp:revision>13</cp:revision>
  <cp:lastPrinted>2004-02-16T15:16:00Z</cp:lastPrinted>
  <dcterms:created xsi:type="dcterms:W3CDTF">2026-01-21T09:14:00Z</dcterms:created>
  <dcterms:modified xsi:type="dcterms:W3CDTF">2026-01-23T16:58:00Z</dcterms:modified>
  <cp:category>INT/1105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5b01b030-957f-4394-a686-f0660130ca1a</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3470</vt:i4>
  </property>
  <property fmtid="{D5CDD505-2E9C-101B-9397-08002B2CF9AE}" pid="14" name="FicheYear">
    <vt:i4>2025</vt:i4>
  </property>
  <property fmtid="{D5CDD505-2E9C-101B-9397-08002B2CF9AE}" pid="15" name="DocumentVersion">
    <vt:i4>0</vt:i4>
  </property>
  <property fmtid="{D5CDD505-2E9C-101B-9397-08002B2CF9AE}" pid="16" name="DossierNumber">
    <vt:i4>1105</vt:i4>
  </property>
  <property fmtid="{D5CDD505-2E9C-101B-9397-08002B2CF9AE}" pid="17" name="DocumentStatus">
    <vt:lpwstr>3;#REF|722611fd-7eaf-44e3-8780-a3226646f5f0</vt:lpwstr>
  </property>
  <property fmtid="{D5CDD505-2E9C-101B-9397-08002B2CF9AE}" pid="18" name="DossierName">
    <vt:lpwstr>51;#INT|e1edfecb-ed43-427b-bb02-d45fe6645386</vt:lpwstr>
  </property>
  <property fmtid="{D5CDD505-2E9C-101B-9397-08002B2CF9AE}" pid="19" name="RequestingService">
    <vt:lpwstr>Marché unique, production, consommation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5;#EN|f2175f21-25d7-44a3-96da-d6a61b075e1b;#3;#REF|722611fd-7eaf-44e3-8780-a3226646f5f0;#1;#EESC|422833ec-8d7e-4e65-8e4e-8bed07ffb729;#51;#INT|e1edfecb-ed43-427b-bb02-d45fe6645386</vt:lpwstr>
  </property>
  <property fmtid="{D5CDD505-2E9C-101B-9397-08002B2CF9AE}" pid="30" name="Rapporteur">
    <vt:lpwstr>KOLBE &amp; HAJNOŠ</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413</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2026-01-21T12:00:00Z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