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006D748A">
        <w:trPr>
          <w:jc w:val="center"/>
        </w:trPr>
        <w:tc>
          <w:tcPr>
            <w:tcW w:w="10101" w:type="dxa"/>
          </w:tcPr>
          <w:p w14:paraId="3A4EDC3A" w14:textId="7CCF30B8" w:rsidR="001C4138" w:rsidRPr="004F6117" w:rsidRDefault="00592B1A" w:rsidP="006D748A">
            <w:pPr>
              <w:widowControl w:val="0"/>
              <w:spacing w:before="120" w:after="120"/>
              <w:rPr>
                <w:rFonts w:ascii="Times New Roman" w:hAnsi="Times New Roman"/>
                <w:b/>
                <w:sz w:val="24"/>
                <w:szCs w:val="24"/>
              </w:rPr>
            </w:pPr>
            <w:r w:rsidRPr="00FE24CC">
              <w:rPr>
                <w:rFonts w:ascii="Times New Roman" w:hAnsi="Times New Roman"/>
                <w:b/>
                <w:bCs/>
                <w:sz w:val="24"/>
                <w:szCs w:val="24"/>
                <w:lang w:val="en-IE"/>
              </w:rPr>
              <w:t>Enhancing legal and organised labour migration to the EU</w:t>
            </w:r>
            <w:r w:rsidR="00FE24CC" w:rsidRPr="00FE24CC">
              <w:rPr>
                <w:rFonts w:ascii="Times New Roman" w:hAnsi="Times New Roman"/>
                <w:b/>
                <w:bCs/>
                <w:sz w:val="24"/>
                <w:szCs w:val="24"/>
                <w:lang w:val="en-IE"/>
              </w:rPr>
              <w:br/>
            </w:r>
            <w:r w:rsidRPr="00FE24CC">
              <w:rPr>
                <w:rFonts w:ascii="Times New Roman" w:hAnsi="Times New Roman"/>
                <w:b/>
                <w:bCs/>
                <w:sz w:val="24"/>
                <w:szCs w:val="24"/>
                <w:lang w:val="en-IE"/>
              </w:rPr>
              <w:t>(own-initiative opinion)</w:t>
            </w:r>
            <w:r w:rsidRPr="000829FE">
              <w:rPr>
                <w:b/>
                <w:bCs/>
                <w:sz w:val="24"/>
                <w:szCs w:val="24"/>
              </w:rPr>
              <w:br/>
            </w:r>
            <w:r w:rsidRPr="00FE24CC">
              <w:rPr>
                <w:rFonts w:ascii="Times New Roman" w:hAnsi="Times New Roman"/>
                <w:b/>
                <w:bCs/>
                <w:sz w:val="24"/>
                <w:szCs w:val="24"/>
                <w:lang w:val="en-IE"/>
              </w:rPr>
              <w:t>EESC-2025-00142</w:t>
            </w:r>
            <w:r w:rsidR="00FE24CC" w:rsidRPr="00FE24CC">
              <w:rPr>
                <w:rFonts w:ascii="Times New Roman" w:hAnsi="Times New Roman"/>
                <w:b/>
                <w:bCs/>
                <w:sz w:val="24"/>
                <w:szCs w:val="24"/>
                <w:lang w:val="en-IE"/>
              </w:rPr>
              <w:t xml:space="preserve"> </w:t>
            </w:r>
            <w:r w:rsidR="00FE24CC" w:rsidRPr="00FE24CC">
              <w:rPr>
                <w:rFonts w:ascii="Times New Roman" w:hAnsi="Times New Roman"/>
                <w:b/>
                <w:bCs/>
                <w:sz w:val="24"/>
                <w:szCs w:val="24"/>
              </w:rPr>
              <w:t xml:space="preserve">– </w:t>
            </w:r>
            <w:r w:rsidR="00FE24CC" w:rsidRPr="000829FE">
              <w:rPr>
                <w:rFonts w:ascii="Times New Roman" w:hAnsi="Times New Roman"/>
                <w:b/>
                <w:bCs/>
                <w:sz w:val="24"/>
                <w:szCs w:val="24"/>
              </w:rPr>
              <w:t>SOC/824</w:t>
            </w:r>
            <w:r w:rsidRPr="000829FE">
              <w:rPr>
                <w:b/>
                <w:bCs/>
                <w:sz w:val="24"/>
                <w:szCs w:val="24"/>
              </w:rPr>
              <w:br/>
            </w:r>
            <w:r w:rsidRPr="00FE24CC">
              <w:rPr>
                <w:rFonts w:ascii="Times New Roman" w:hAnsi="Times New Roman"/>
                <w:b/>
                <w:bCs/>
                <w:sz w:val="24"/>
                <w:szCs w:val="24"/>
              </w:rPr>
              <w:t>597</w:t>
            </w:r>
            <w:r w:rsidRPr="000829FE">
              <w:rPr>
                <w:rFonts w:ascii="Times New Roman" w:hAnsi="Times New Roman"/>
                <w:b/>
                <w:bCs/>
                <w:sz w:val="24"/>
                <w:szCs w:val="24"/>
                <w:vertAlign w:val="superscript"/>
              </w:rPr>
              <w:t>th</w:t>
            </w:r>
            <w:r w:rsidRPr="00FE24CC">
              <w:rPr>
                <w:rFonts w:ascii="Times New Roman" w:hAnsi="Times New Roman"/>
                <w:b/>
                <w:bCs/>
                <w:sz w:val="24"/>
                <w:szCs w:val="24"/>
              </w:rPr>
              <w:t xml:space="preserve"> Plenary Session – June 2025</w:t>
            </w:r>
            <w:r w:rsidRPr="000829FE">
              <w:rPr>
                <w:b/>
                <w:bCs/>
                <w:sz w:val="24"/>
                <w:szCs w:val="24"/>
              </w:rPr>
              <w:br/>
            </w:r>
            <w:r w:rsidRPr="00FE24CC">
              <w:rPr>
                <w:rFonts w:ascii="Times New Roman" w:hAnsi="Times New Roman"/>
                <w:b/>
                <w:bCs/>
                <w:sz w:val="24"/>
                <w:szCs w:val="24"/>
              </w:rPr>
              <w:t>Rapporteur: Thomas Josef Burkhard WAGNSONNER (AT</w:t>
            </w:r>
            <w:r w:rsidR="00FE24CC" w:rsidRPr="00FE24CC">
              <w:rPr>
                <w:rFonts w:ascii="Times New Roman" w:hAnsi="Times New Roman"/>
                <w:b/>
                <w:bCs/>
                <w:sz w:val="24"/>
                <w:szCs w:val="24"/>
              </w:rPr>
              <w:t>-II</w:t>
            </w:r>
            <w:r w:rsidRPr="00FE24CC">
              <w:rPr>
                <w:rFonts w:ascii="Times New Roman" w:hAnsi="Times New Roman"/>
                <w:b/>
                <w:bCs/>
                <w:sz w:val="24"/>
                <w:szCs w:val="24"/>
              </w:rPr>
              <w:t>)</w:t>
            </w:r>
            <w:r w:rsidRPr="000829FE">
              <w:rPr>
                <w:b/>
                <w:bCs/>
                <w:sz w:val="24"/>
                <w:szCs w:val="24"/>
              </w:rPr>
              <w:br/>
            </w:r>
            <w:r w:rsidRPr="00FE24CC">
              <w:rPr>
                <w:rFonts w:ascii="Times New Roman" w:hAnsi="Times New Roman"/>
                <w:b/>
                <w:bCs/>
                <w:sz w:val="24"/>
                <w:szCs w:val="24"/>
              </w:rPr>
              <w:t xml:space="preserve">DG HOME – Commissioner </w:t>
            </w:r>
            <w:r w:rsidR="00FE24CC" w:rsidRPr="00FE24CC">
              <w:rPr>
                <w:rFonts w:ascii="Times New Roman" w:hAnsi="Times New Roman"/>
                <w:b/>
                <w:bCs/>
                <w:sz w:val="24"/>
                <w:szCs w:val="24"/>
              </w:rPr>
              <w:t>BRUNNER</w:t>
            </w:r>
          </w:p>
        </w:tc>
      </w:tr>
      <w:tr w:rsidR="00734613" w:rsidRPr="00442552" w14:paraId="1937071F" w14:textId="77777777" w:rsidTr="006D748A">
        <w:trPr>
          <w:jc w:val="center"/>
        </w:trPr>
        <w:tc>
          <w:tcPr>
            <w:tcW w:w="10101" w:type="dxa"/>
          </w:tcPr>
          <w:p w14:paraId="1E50B4DB" w14:textId="4CA6D5B7"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FE24CC">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6D748A">
        <w:trPr>
          <w:jc w:val="center"/>
        </w:trPr>
        <w:tc>
          <w:tcPr>
            <w:tcW w:w="10101" w:type="dxa"/>
          </w:tcPr>
          <w:p w14:paraId="2433D9D5" w14:textId="79C948F3" w:rsidR="000633EC" w:rsidRDefault="00CD143D" w:rsidP="006D748A">
            <w:pPr>
              <w:spacing w:before="120" w:after="120"/>
              <w:jc w:val="both"/>
              <w:rPr>
                <w:rFonts w:ascii="Times New Roman" w:hAnsi="Times New Roman"/>
                <w:sz w:val="24"/>
                <w:szCs w:val="24"/>
              </w:rPr>
            </w:pPr>
            <w:r>
              <w:rPr>
                <w:rFonts w:ascii="Times New Roman" w:hAnsi="Times New Roman"/>
                <w:sz w:val="24"/>
                <w:szCs w:val="24"/>
              </w:rPr>
              <w:t>The Commission welcomes the C</w:t>
            </w:r>
            <w:r w:rsidR="00FE24CC" w:rsidRPr="000829FE">
              <w:rPr>
                <w:rFonts w:ascii="Times New Roman" w:hAnsi="Times New Roman"/>
                <w:bCs/>
                <w:sz w:val="24"/>
                <w:szCs w:val="24"/>
              </w:rPr>
              <w:t>ommittee</w:t>
            </w:r>
            <w:r>
              <w:rPr>
                <w:rFonts w:ascii="Times New Roman" w:hAnsi="Times New Roman"/>
                <w:sz w:val="24"/>
                <w:szCs w:val="24"/>
              </w:rPr>
              <w:t xml:space="preserve"> opinion </w:t>
            </w:r>
            <w:r w:rsidR="0091742F">
              <w:rPr>
                <w:rFonts w:ascii="Times New Roman" w:hAnsi="Times New Roman"/>
                <w:sz w:val="24"/>
                <w:szCs w:val="24"/>
              </w:rPr>
              <w:t xml:space="preserve">on </w:t>
            </w:r>
            <w:proofErr w:type="spellStart"/>
            <w:r w:rsidR="00FE24CC">
              <w:rPr>
                <w:rFonts w:ascii="Times New Roman" w:hAnsi="Times New Roman"/>
                <w:sz w:val="24"/>
                <w:szCs w:val="24"/>
              </w:rPr>
              <w:t>ʻ</w:t>
            </w:r>
            <w:r w:rsidR="0091742F" w:rsidRPr="0091742F">
              <w:rPr>
                <w:rFonts w:ascii="Times New Roman" w:hAnsi="Times New Roman"/>
                <w:sz w:val="24"/>
                <w:szCs w:val="24"/>
              </w:rPr>
              <w:t>Enhancing</w:t>
            </w:r>
            <w:proofErr w:type="spellEnd"/>
            <w:r w:rsidR="0091742F" w:rsidRPr="0091742F">
              <w:rPr>
                <w:rFonts w:ascii="Times New Roman" w:hAnsi="Times New Roman"/>
                <w:sz w:val="24"/>
                <w:szCs w:val="24"/>
              </w:rPr>
              <w:t xml:space="preserve"> legal and organised labour migration to the EU</w:t>
            </w:r>
            <w:r w:rsidR="00FE24CC">
              <w:rPr>
                <w:rFonts w:ascii="Times New Roman" w:hAnsi="Times New Roman"/>
                <w:sz w:val="24"/>
                <w:szCs w:val="24"/>
              </w:rPr>
              <w:t>’</w:t>
            </w:r>
            <w:r w:rsidR="0091742F" w:rsidRPr="0091742F">
              <w:rPr>
                <w:rFonts w:ascii="Times New Roman" w:hAnsi="Times New Roman"/>
                <w:sz w:val="24"/>
                <w:szCs w:val="24"/>
              </w:rPr>
              <w:t xml:space="preserve"> (own-initiative opinion)</w:t>
            </w:r>
            <w:r w:rsidR="0091742F">
              <w:rPr>
                <w:rFonts w:ascii="Times New Roman" w:hAnsi="Times New Roman"/>
                <w:sz w:val="24"/>
                <w:szCs w:val="24"/>
              </w:rPr>
              <w:t xml:space="preserve"> and shares the below position on </w:t>
            </w:r>
            <w:r w:rsidR="00812A16">
              <w:rPr>
                <w:rFonts w:ascii="Times New Roman" w:hAnsi="Times New Roman"/>
                <w:sz w:val="24"/>
                <w:szCs w:val="24"/>
              </w:rPr>
              <w:t>certain</w:t>
            </w:r>
            <w:r w:rsidR="0091742F">
              <w:rPr>
                <w:rFonts w:ascii="Times New Roman" w:hAnsi="Times New Roman"/>
                <w:sz w:val="24"/>
                <w:szCs w:val="24"/>
              </w:rPr>
              <w:t xml:space="preserve"> specific points of the EESC opinion.</w:t>
            </w:r>
          </w:p>
          <w:p w14:paraId="08B63D36" w14:textId="3E4DD636" w:rsidR="00A90AAF" w:rsidRDefault="45EB438C" w:rsidP="006D748A">
            <w:pPr>
              <w:spacing w:before="120" w:after="120"/>
              <w:jc w:val="both"/>
              <w:rPr>
                <w:rFonts w:ascii="Times New Roman" w:hAnsi="Times New Roman"/>
                <w:sz w:val="24"/>
                <w:szCs w:val="24"/>
              </w:rPr>
            </w:pPr>
            <w:r w:rsidRPr="01C19B9F">
              <w:rPr>
                <w:rFonts w:ascii="Times New Roman" w:hAnsi="Times New Roman"/>
                <w:sz w:val="24"/>
                <w:szCs w:val="24"/>
              </w:rPr>
              <w:t xml:space="preserve">The EU is working on </w:t>
            </w:r>
            <w:r w:rsidRPr="01C19B9F">
              <w:rPr>
                <w:rFonts w:ascii="Times New Roman" w:hAnsi="Times New Roman"/>
                <w:b/>
                <w:bCs/>
                <w:sz w:val="24"/>
                <w:szCs w:val="24"/>
              </w:rPr>
              <w:t xml:space="preserve">further </w:t>
            </w:r>
            <w:r w:rsidR="00812A16">
              <w:rPr>
                <w:rFonts w:ascii="Times New Roman" w:hAnsi="Times New Roman"/>
                <w:b/>
                <w:bCs/>
                <w:sz w:val="24"/>
                <w:szCs w:val="24"/>
              </w:rPr>
              <w:t>enhancing</w:t>
            </w:r>
            <w:r w:rsidR="00812A16" w:rsidRPr="01C19B9F">
              <w:rPr>
                <w:rFonts w:ascii="Times New Roman" w:hAnsi="Times New Roman"/>
                <w:b/>
                <w:bCs/>
                <w:sz w:val="24"/>
                <w:szCs w:val="24"/>
              </w:rPr>
              <w:t xml:space="preserve"> </w:t>
            </w:r>
            <w:r w:rsidRPr="01C19B9F">
              <w:rPr>
                <w:rFonts w:ascii="Times New Roman" w:hAnsi="Times New Roman"/>
                <w:b/>
                <w:bCs/>
                <w:sz w:val="24"/>
                <w:szCs w:val="24"/>
              </w:rPr>
              <w:t>legal migration policy</w:t>
            </w:r>
            <w:r w:rsidRPr="01C19B9F">
              <w:rPr>
                <w:rFonts w:ascii="Times New Roman" w:hAnsi="Times New Roman"/>
                <w:sz w:val="24"/>
                <w:szCs w:val="24"/>
              </w:rPr>
              <w:t>, including through legislative and operational measures.</w:t>
            </w:r>
          </w:p>
          <w:p w14:paraId="6B77AFB8" w14:textId="5A6D85A6" w:rsidR="00A90AAF" w:rsidRDefault="45EB438C" w:rsidP="006D748A">
            <w:pPr>
              <w:spacing w:before="120" w:after="120"/>
              <w:jc w:val="both"/>
              <w:rPr>
                <w:rFonts w:ascii="Times New Roman" w:hAnsi="Times New Roman"/>
                <w:sz w:val="24"/>
                <w:szCs w:val="24"/>
              </w:rPr>
            </w:pPr>
            <w:r w:rsidRPr="01C19B9F">
              <w:rPr>
                <w:rFonts w:ascii="Times New Roman" w:hAnsi="Times New Roman"/>
                <w:sz w:val="24"/>
                <w:szCs w:val="24"/>
              </w:rPr>
              <w:t xml:space="preserve">On the </w:t>
            </w:r>
            <w:r w:rsidRPr="001A517A">
              <w:rPr>
                <w:rFonts w:ascii="Times New Roman" w:hAnsi="Times New Roman"/>
                <w:b/>
                <w:bCs/>
                <w:sz w:val="24"/>
                <w:szCs w:val="24"/>
              </w:rPr>
              <w:t>legislative side</w:t>
            </w:r>
            <w:r w:rsidRPr="01C19B9F">
              <w:rPr>
                <w:rFonts w:ascii="Times New Roman" w:hAnsi="Times New Roman"/>
                <w:sz w:val="24"/>
                <w:szCs w:val="24"/>
              </w:rPr>
              <w:t>, the recast of the Single Permit Directive</w:t>
            </w:r>
            <w:r w:rsidR="00FE24CC">
              <w:rPr>
                <w:rStyle w:val="FootnoteReference"/>
                <w:rFonts w:ascii="Times New Roman" w:hAnsi="Times New Roman"/>
                <w:szCs w:val="24"/>
              </w:rPr>
              <w:footnoteReference w:id="2"/>
            </w:r>
            <w:r w:rsidRPr="01C19B9F">
              <w:rPr>
                <w:rFonts w:ascii="Times New Roman" w:hAnsi="Times New Roman"/>
                <w:sz w:val="24"/>
                <w:szCs w:val="24"/>
              </w:rPr>
              <w:t xml:space="preserve"> and the revision of the Blue Card Directive</w:t>
            </w:r>
            <w:r w:rsidR="00FE24CC">
              <w:rPr>
                <w:rStyle w:val="FootnoteReference"/>
                <w:rFonts w:ascii="Times New Roman" w:hAnsi="Times New Roman"/>
                <w:szCs w:val="24"/>
              </w:rPr>
              <w:footnoteReference w:id="3"/>
            </w:r>
            <w:r w:rsidRPr="01C19B9F">
              <w:rPr>
                <w:rFonts w:ascii="Times New Roman" w:hAnsi="Times New Roman"/>
                <w:sz w:val="24"/>
                <w:szCs w:val="24"/>
              </w:rPr>
              <w:t xml:space="preserve"> have significantly improved and streamlined </w:t>
            </w:r>
            <w:r w:rsidR="00812A16">
              <w:rPr>
                <w:rFonts w:ascii="Times New Roman" w:hAnsi="Times New Roman"/>
                <w:sz w:val="24"/>
                <w:szCs w:val="24"/>
              </w:rPr>
              <w:t xml:space="preserve">the </w:t>
            </w:r>
            <w:r w:rsidRPr="01C19B9F">
              <w:rPr>
                <w:rFonts w:ascii="Times New Roman" w:hAnsi="Times New Roman"/>
                <w:sz w:val="24"/>
                <w:szCs w:val="24"/>
              </w:rPr>
              <w:t xml:space="preserve">procedures, making them faster and more easily accessible to both non-EU job seekers and EU employers, including </w:t>
            </w:r>
            <w:r w:rsidR="00FE5531">
              <w:rPr>
                <w:rFonts w:ascii="Times New Roman" w:hAnsi="Times New Roman"/>
                <w:sz w:val="24"/>
                <w:szCs w:val="24"/>
              </w:rPr>
              <w:t>s</w:t>
            </w:r>
            <w:r w:rsidR="00FE5531" w:rsidRPr="00FE5531">
              <w:rPr>
                <w:rFonts w:ascii="Times New Roman" w:hAnsi="Times New Roman"/>
                <w:sz w:val="24"/>
                <w:szCs w:val="24"/>
              </w:rPr>
              <w:t xml:space="preserve">mall and medium-sized enterprises </w:t>
            </w:r>
            <w:r w:rsidR="00FE24CC">
              <w:rPr>
                <w:rFonts w:ascii="Times New Roman" w:hAnsi="Times New Roman"/>
                <w:sz w:val="24"/>
                <w:szCs w:val="24"/>
              </w:rPr>
              <w:t>(</w:t>
            </w:r>
            <w:r w:rsidRPr="01C19B9F">
              <w:rPr>
                <w:rFonts w:ascii="Times New Roman" w:hAnsi="Times New Roman"/>
                <w:sz w:val="24"/>
                <w:szCs w:val="24"/>
              </w:rPr>
              <w:t>SMEs</w:t>
            </w:r>
            <w:r w:rsidR="00FE24CC">
              <w:rPr>
                <w:rFonts w:ascii="Times New Roman" w:hAnsi="Times New Roman"/>
                <w:sz w:val="24"/>
                <w:szCs w:val="24"/>
              </w:rPr>
              <w:t>)</w:t>
            </w:r>
            <w:r w:rsidRPr="01C19B9F">
              <w:rPr>
                <w:rFonts w:ascii="Times New Roman" w:hAnsi="Times New Roman"/>
                <w:sz w:val="24"/>
                <w:szCs w:val="24"/>
              </w:rPr>
              <w:t>.</w:t>
            </w:r>
          </w:p>
          <w:p w14:paraId="191A74BC" w14:textId="44004595" w:rsidR="003D1A73" w:rsidRDefault="003D1A73" w:rsidP="006D748A">
            <w:pPr>
              <w:spacing w:before="120" w:after="120"/>
              <w:jc w:val="both"/>
              <w:rPr>
                <w:rFonts w:ascii="Times New Roman" w:hAnsi="Times New Roman"/>
                <w:sz w:val="24"/>
                <w:szCs w:val="24"/>
              </w:rPr>
            </w:pPr>
            <w:r>
              <w:rPr>
                <w:rFonts w:ascii="Times New Roman" w:hAnsi="Times New Roman"/>
                <w:sz w:val="24"/>
                <w:szCs w:val="24"/>
              </w:rPr>
              <w:t xml:space="preserve">As regards </w:t>
            </w:r>
            <w:r w:rsidRPr="000829FE">
              <w:rPr>
                <w:rFonts w:ascii="Times New Roman" w:hAnsi="Times New Roman"/>
                <w:sz w:val="24"/>
                <w:szCs w:val="24"/>
                <w:u w:val="single"/>
              </w:rPr>
              <w:t>points 3.5 and 3.10</w:t>
            </w:r>
            <w:r>
              <w:rPr>
                <w:rFonts w:ascii="Times New Roman" w:hAnsi="Times New Roman"/>
                <w:sz w:val="24"/>
                <w:szCs w:val="24"/>
              </w:rPr>
              <w:t xml:space="preserve"> of the EESC opinion concerning</w:t>
            </w:r>
            <w:r w:rsidRPr="00697136">
              <w:rPr>
                <w:rFonts w:ascii="Times New Roman" w:hAnsi="Times New Roman"/>
                <w:sz w:val="24"/>
                <w:szCs w:val="24"/>
              </w:rPr>
              <w:t xml:space="preserve"> </w:t>
            </w:r>
            <w:r w:rsidRPr="00AA4A30">
              <w:rPr>
                <w:rFonts w:ascii="Times New Roman" w:hAnsi="Times New Roman"/>
                <w:b/>
                <w:bCs/>
                <w:sz w:val="24"/>
                <w:szCs w:val="24"/>
              </w:rPr>
              <w:t>fair and ethical recruitment, respect of human right</w:t>
            </w:r>
            <w:r>
              <w:rPr>
                <w:rFonts w:ascii="Times New Roman" w:hAnsi="Times New Roman"/>
                <w:b/>
                <w:bCs/>
                <w:sz w:val="24"/>
                <w:szCs w:val="24"/>
              </w:rPr>
              <w:t>s</w:t>
            </w:r>
            <w:r w:rsidRPr="00AA4A30">
              <w:rPr>
                <w:rFonts w:ascii="Times New Roman" w:hAnsi="Times New Roman"/>
                <w:b/>
                <w:bCs/>
                <w:sz w:val="24"/>
                <w:szCs w:val="24"/>
              </w:rPr>
              <w:t xml:space="preserve"> and international labour standard</w:t>
            </w:r>
            <w:r w:rsidRPr="00697136">
              <w:rPr>
                <w:rFonts w:ascii="Times New Roman" w:hAnsi="Times New Roman"/>
                <w:sz w:val="24"/>
                <w:szCs w:val="24"/>
              </w:rPr>
              <w:t>s</w:t>
            </w:r>
            <w:r>
              <w:rPr>
                <w:rFonts w:ascii="Times New Roman" w:hAnsi="Times New Roman"/>
                <w:sz w:val="24"/>
                <w:szCs w:val="24"/>
              </w:rPr>
              <w:t>, the Commission recall that a</w:t>
            </w:r>
            <w:r w:rsidR="00A90AAF" w:rsidRPr="00F12B16">
              <w:rPr>
                <w:rFonts w:ascii="Times New Roman" w:hAnsi="Times New Roman"/>
                <w:sz w:val="24"/>
                <w:szCs w:val="24"/>
              </w:rPr>
              <w:t>ll migrant workers covered by the EU legal migration acquis, being recruited under legal labour mobility schemes or through other available legal pathways</w:t>
            </w:r>
            <w:r w:rsidR="00A90AAF">
              <w:rPr>
                <w:rFonts w:ascii="Times New Roman" w:hAnsi="Times New Roman"/>
                <w:sz w:val="24"/>
                <w:szCs w:val="24"/>
              </w:rPr>
              <w:t xml:space="preserve">, enjoy </w:t>
            </w:r>
            <w:r w:rsidR="00A90AAF" w:rsidRPr="001A517A">
              <w:rPr>
                <w:rFonts w:ascii="Times New Roman" w:hAnsi="Times New Roman"/>
                <w:b/>
                <w:bCs/>
                <w:sz w:val="24"/>
                <w:szCs w:val="24"/>
              </w:rPr>
              <w:t>equal treatment</w:t>
            </w:r>
            <w:r w:rsidR="00A90AAF" w:rsidRPr="00697136">
              <w:rPr>
                <w:rFonts w:ascii="Times New Roman" w:hAnsi="Times New Roman"/>
                <w:sz w:val="24"/>
                <w:szCs w:val="24"/>
              </w:rPr>
              <w:t xml:space="preserve"> </w:t>
            </w:r>
            <w:r w:rsidR="00A90AAF">
              <w:rPr>
                <w:rFonts w:ascii="Times New Roman" w:hAnsi="Times New Roman"/>
                <w:sz w:val="24"/>
                <w:szCs w:val="24"/>
              </w:rPr>
              <w:t>with</w:t>
            </w:r>
            <w:r w:rsidR="00A90AAF" w:rsidRPr="00697136">
              <w:rPr>
                <w:rFonts w:ascii="Times New Roman" w:hAnsi="Times New Roman"/>
                <w:sz w:val="24"/>
                <w:szCs w:val="24"/>
              </w:rPr>
              <w:t xml:space="preserve"> </w:t>
            </w:r>
            <w:r w:rsidR="00A90AAF">
              <w:rPr>
                <w:rFonts w:ascii="Times New Roman" w:hAnsi="Times New Roman"/>
                <w:sz w:val="24"/>
                <w:szCs w:val="24"/>
              </w:rPr>
              <w:t xml:space="preserve">EU </w:t>
            </w:r>
            <w:r w:rsidR="00A90AAF" w:rsidRPr="00697136">
              <w:rPr>
                <w:rFonts w:ascii="Times New Roman" w:hAnsi="Times New Roman"/>
                <w:sz w:val="24"/>
                <w:szCs w:val="24"/>
              </w:rPr>
              <w:t>nationals on a</w:t>
            </w:r>
            <w:r w:rsidR="00FE5531">
              <w:rPr>
                <w:rFonts w:ascii="Times New Roman" w:hAnsi="Times New Roman"/>
                <w:sz w:val="24"/>
                <w:szCs w:val="24"/>
              </w:rPr>
              <w:t> </w:t>
            </w:r>
            <w:r w:rsidR="00A90AAF" w:rsidRPr="00697136">
              <w:rPr>
                <w:rFonts w:ascii="Times New Roman" w:hAnsi="Times New Roman"/>
                <w:sz w:val="24"/>
                <w:szCs w:val="24"/>
              </w:rPr>
              <w:t>wide range of topics, including terms of employment</w:t>
            </w:r>
            <w:r w:rsidR="00A90AAF">
              <w:rPr>
                <w:rFonts w:ascii="Times New Roman" w:hAnsi="Times New Roman"/>
                <w:sz w:val="24"/>
                <w:szCs w:val="24"/>
              </w:rPr>
              <w:t>,</w:t>
            </w:r>
            <w:r w:rsidR="00A90AAF" w:rsidRPr="00697136">
              <w:rPr>
                <w:rFonts w:ascii="Times New Roman" w:hAnsi="Times New Roman"/>
                <w:sz w:val="24"/>
                <w:szCs w:val="24"/>
              </w:rPr>
              <w:t xml:space="preserve"> </w:t>
            </w:r>
            <w:r w:rsidR="00A90AAF" w:rsidRPr="00345D07">
              <w:rPr>
                <w:rFonts w:ascii="Times New Roman" w:hAnsi="Times New Roman"/>
                <w:b/>
                <w:bCs/>
                <w:sz w:val="24"/>
                <w:szCs w:val="24"/>
              </w:rPr>
              <w:t>decent working and adequate living conditions</w:t>
            </w:r>
            <w:r w:rsidR="00A90AAF" w:rsidRPr="00697136">
              <w:rPr>
                <w:rFonts w:ascii="Times New Roman" w:hAnsi="Times New Roman"/>
                <w:sz w:val="24"/>
                <w:szCs w:val="24"/>
              </w:rPr>
              <w:t xml:space="preserve">. </w:t>
            </w:r>
            <w:r w:rsidR="00A90AAF" w:rsidRPr="00F12B16">
              <w:rPr>
                <w:rFonts w:ascii="Times New Roman" w:hAnsi="Times New Roman"/>
                <w:sz w:val="24"/>
                <w:szCs w:val="24"/>
              </w:rPr>
              <w:t>They also have access to complaint and legal redress mechanisms to enforce their rights. Member States have an obligation to inform migrant workers in an easily accessible way about their rights, obligations and procedural safeguards, including legal redress mechanisms.</w:t>
            </w:r>
            <w:r w:rsidR="00A90AAF">
              <w:rPr>
                <w:rFonts w:ascii="Times New Roman" w:hAnsi="Times New Roman"/>
                <w:sz w:val="24"/>
                <w:szCs w:val="24"/>
              </w:rPr>
              <w:t xml:space="preserve"> </w:t>
            </w:r>
            <w:r w:rsidRPr="00797029">
              <w:rPr>
                <w:rFonts w:ascii="Times New Roman" w:hAnsi="Times New Roman"/>
                <w:sz w:val="24"/>
                <w:szCs w:val="24"/>
              </w:rPr>
              <w:t xml:space="preserve">Regarding </w:t>
            </w:r>
            <w:r w:rsidRPr="000829FE">
              <w:rPr>
                <w:rFonts w:ascii="Times New Roman" w:hAnsi="Times New Roman"/>
                <w:sz w:val="24"/>
                <w:szCs w:val="24"/>
                <w:u w:val="single"/>
              </w:rPr>
              <w:t>point 4.3</w:t>
            </w:r>
            <w:r>
              <w:rPr>
                <w:rFonts w:ascii="Times New Roman" w:hAnsi="Times New Roman"/>
                <w:sz w:val="24"/>
                <w:szCs w:val="24"/>
              </w:rPr>
              <w:t xml:space="preserve"> and </w:t>
            </w:r>
            <w:r w:rsidRPr="00797029">
              <w:rPr>
                <w:rFonts w:ascii="Times New Roman" w:hAnsi="Times New Roman"/>
                <w:sz w:val="24"/>
                <w:szCs w:val="24"/>
              </w:rPr>
              <w:t xml:space="preserve">the </w:t>
            </w:r>
            <w:r w:rsidRPr="001A517A">
              <w:rPr>
                <w:rFonts w:ascii="Times New Roman" w:hAnsi="Times New Roman"/>
                <w:b/>
                <w:bCs/>
                <w:sz w:val="24"/>
                <w:szCs w:val="24"/>
              </w:rPr>
              <w:t>protection of non-EU workers from labour exploitation</w:t>
            </w:r>
            <w:r>
              <w:rPr>
                <w:rFonts w:ascii="Times New Roman" w:hAnsi="Times New Roman"/>
                <w:sz w:val="24"/>
                <w:szCs w:val="24"/>
              </w:rPr>
              <w:t>, t</w:t>
            </w:r>
            <w:r w:rsidRPr="01C19B9F">
              <w:rPr>
                <w:rFonts w:ascii="Times New Roman" w:hAnsi="Times New Roman"/>
                <w:sz w:val="24"/>
                <w:szCs w:val="24"/>
              </w:rPr>
              <w:t xml:space="preserve">he Employers’ </w:t>
            </w:r>
            <w:r w:rsidR="00DD60D3">
              <w:rPr>
                <w:rFonts w:ascii="Times New Roman" w:hAnsi="Times New Roman"/>
                <w:sz w:val="24"/>
                <w:szCs w:val="24"/>
              </w:rPr>
              <w:t>S</w:t>
            </w:r>
            <w:r w:rsidRPr="01C19B9F">
              <w:rPr>
                <w:rFonts w:ascii="Times New Roman" w:hAnsi="Times New Roman"/>
                <w:sz w:val="24"/>
                <w:szCs w:val="24"/>
              </w:rPr>
              <w:t>anctions Directive</w:t>
            </w:r>
            <w:r>
              <w:rPr>
                <w:rFonts w:ascii="Times New Roman" w:hAnsi="Times New Roman"/>
                <w:sz w:val="24"/>
                <w:szCs w:val="24"/>
              </w:rPr>
              <w:t xml:space="preserve"> </w:t>
            </w:r>
            <w:r w:rsidRPr="01C19B9F">
              <w:rPr>
                <w:rFonts w:ascii="Times New Roman" w:hAnsi="Times New Roman"/>
                <w:sz w:val="24"/>
                <w:szCs w:val="24"/>
              </w:rPr>
              <w:t xml:space="preserve">prohibits the employment of illegally staying third-country nationals and </w:t>
            </w:r>
            <w:r w:rsidR="00DD60D3">
              <w:rPr>
                <w:rFonts w:ascii="Times New Roman" w:hAnsi="Times New Roman"/>
                <w:sz w:val="24"/>
                <w:szCs w:val="24"/>
              </w:rPr>
              <w:t>sets out</w:t>
            </w:r>
            <w:r w:rsidRPr="01C19B9F">
              <w:rPr>
                <w:rFonts w:ascii="Times New Roman" w:hAnsi="Times New Roman"/>
                <w:sz w:val="24"/>
                <w:szCs w:val="24"/>
              </w:rPr>
              <w:t xml:space="preserve"> specific sanctions and criminal penalties against such employers</w:t>
            </w:r>
            <w:r w:rsidR="00DD60D3">
              <w:rPr>
                <w:rFonts w:ascii="Times New Roman" w:hAnsi="Times New Roman"/>
                <w:sz w:val="24"/>
                <w:szCs w:val="24"/>
              </w:rPr>
              <w:t xml:space="preserve">. The </w:t>
            </w:r>
            <w:r w:rsidRPr="01C19B9F">
              <w:rPr>
                <w:rFonts w:ascii="Times New Roman" w:hAnsi="Times New Roman"/>
                <w:sz w:val="24"/>
                <w:szCs w:val="24"/>
              </w:rPr>
              <w:t xml:space="preserve">Seasonal </w:t>
            </w:r>
            <w:r w:rsidR="00DD60D3">
              <w:rPr>
                <w:rFonts w:ascii="Times New Roman" w:hAnsi="Times New Roman"/>
                <w:sz w:val="24"/>
                <w:szCs w:val="24"/>
              </w:rPr>
              <w:t>W</w:t>
            </w:r>
            <w:r w:rsidRPr="01C19B9F">
              <w:rPr>
                <w:rFonts w:ascii="Times New Roman" w:hAnsi="Times New Roman"/>
                <w:sz w:val="24"/>
                <w:szCs w:val="24"/>
              </w:rPr>
              <w:t>orkers Directive</w:t>
            </w:r>
            <w:r w:rsidR="00FE5531">
              <w:rPr>
                <w:rStyle w:val="FootnoteReference"/>
                <w:rFonts w:ascii="Times New Roman" w:hAnsi="Times New Roman"/>
                <w:szCs w:val="24"/>
              </w:rPr>
              <w:footnoteReference w:id="4"/>
            </w:r>
            <w:r>
              <w:rPr>
                <w:rFonts w:ascii="Times New Roman" w:hAnsi="Times New Roman"/>
                <w:sz w:val="24"/>
                <w:szCs w:val="24"/>
              </w:rPr>
              <w:t xml:space="preserve"> </w:t>
            </w:r>
            <w:r w:rsidRPr="01C19B9F">
              <w:rPr>
                <w:rFonts w:ascii="Times New Roman" w:hAnsi="Times New Roman"/>
                <w:sz w:val="24"/>
                <w:szCs w:val="24"/>
              </w:rPr>
              <w:t xml:space="preserve">includes measures for the protection of </w:t>
            </w:r>
            <w:r>
              <w:rPr>
                <w:rFonts w:ascii="Times New Roman" w:hAnsi="Times New Roman"/>
                <w:sz w:val="24"/>
                <w:szCs w:val="24"/>
              </w:rPr>
              <w:t>seasonal</w:t>
            </w:r>
            <w:r w:rsidRPr="01C19B9F">
              <w:rPr>
                <w:rFonts w:ascii="Times New Roman" w:hAnsi="Times New Roman"/>
                <w:sz w:val="24"/>
                <w:szCs w:val="24"/>
              </w:rPr>
              <w:t xml:space="preserve"> workers, notably adequate accommodation and working conditions, compensation measures in case of withdrawal of the permit at the fault of the employer, </w:t>
            </w:r>
            <w:r w:rsidR="00DD60D3">
              <w:rPr>
                <w:rFonts w:ascii="Times New Roman" w:hAnsi="Times New Roman"/>
                <w:sz w:val="24"/>
                <w:szCs w:val="24"/>
              </w:rPr>
              <w:t xml:space="preserve">and </w:t>
            </w:r>
            <w:r w:rsidRPr="01C19B9F">
              <w:rPr>
                <w:rFonts w:ascii="Times New Roman" w:hAnsi="Times New Roman"/>
                <w:sz w:val="24"/>
                <w:szCs w:val="24"/>
              </w:rPr>
              <w:t>procedural safeguards.</w:t>
            </w:r>
          </w:p>
          <w:p w14:paraId="4B71861E" w14:textId="733B7D89" w:rsidR="003D1A73" w:rsidRPr="00797029" w:rsidRDefault="003D1A73" w:rsidP="006D748A">
            <w:pPr>
              <w:spacing w:before="120" w:after="120"/>
              <w:jc w:val="both"/>
              <w:rPr>
                <w:rFonts w:ascii="Times New Roman" w:hAnsi="Times New Roman"/>
                <w:sz w:val="24"/>
                <w:szCs w:val="24"/>
              </w:rPr>
            </w:pPr>
            <w:r w:rsidRPr="00797029">
              <w:rPr>
                <w:rFonts w:ascii="Times New Roman" w:hAnsi="Times New Roman"/>
                <w:sz w:val="24"/>
                <w:szCs w:val="24"/>
              </w:rPr>
              <w:lastRenderedPageBreak/>
              <w:t xml:space="preserve">Regarding </w:t>
            </w:r>
            <w:r w:rsidRPr="000829FE">
              <w:rPr>
                <w:rFonts w:ascii="Times New Roman" w:hAnsi="Times New Roman"/>
                <w:sz w:val="24"/>
                <w:szCs w:val="24"/>
                <w:u w:val="single"/>
              </w:rPr>
              <w:t>point 4.4</w:t>
            </w:r>
            <w:r w:rsidRPr="00797029">
              <w:rPr>
                <w:rFonts w:ascii="Times New Roman" w:hAnsi="Times New Roman"/>
                <w:sz w:val="24"/>
                <w:szCs w:val="24"/>
              </w:rPr>
              <w:t xml:space="preserve">, the Commission recalls that the </w:t>
            </w:r>
            <w:r w:rsidRPr="00256A85">
              <w:rPr>
                <w:rFonts w:ascii="Times New Roman" w:hAnsi="Times New Roman"/>
                <w:b/>
                <w:bCs/>
                <w:sz w:val="24"/>
                <w:szCs w:val="24"/>
              </w:rPr>
              <w:t>recast of the Single Permit Directive</w:t>
            </w:r>
            <w:r w:rsidRPr="00797029">
              <w:rPr>
                <w:rFonts w:ascii="Times New Roman" w:hAnsi="Times New Roman"/>
                <w:sz w:val="24"/>
                <w:szCs w:val="24"/>
              </w:rPr>
              <w:t xml:space="preserve"> allows Member States to make a change of employer conditional upon the fulfilment of a minimum period during which the single permit holder should work for the first employer</w:t>
            </w:r>
            <w:r>
              <w:rPr>
                <w:rFonts w:ascii="Times New Roman" w:hAnsi="Times New Roman"/>
                <w:sz w:val="24"/>
                <w:szCs w:val="24"/>
              </w:rPr>
              <w:t>.</w:t>
            </w:r>
            <w:r w:rsidRPr="00797029">
              <w:rPr>
                <w:rFonts w:ascii="Times New Roman" w:hAnsi="Times New Roman"/>
                <w:sz w:val="24"/>
                <w:szCs w:val="24"/>
              </w:rPr>
              <w:t xml:space="preserve"> </w:t>
            </w:r>
            <w:r>
              <w:rPr>
                <w:rFonts w:ascii="Times New Roman" w:hAnsi="Times New Roman"/>
                <w:sz w:val="24"/>
                <w:szCs w:val="24"/>
              </w:rPr>
              <w:t>I</w:t>
            </w:r>
            <w:r w:rsidRPr="00797029">
              <w:rPr>
                <w:rFonts w:ascii="Times New Roman" w:hAnsi="Times New Roman"/>
                <w:sz w:val="24"/>
                <w:szCs w:val="24"/>
              </w:rPr>
              <w:t>n duly justified cases</w:t>
            </w:r>
            <w:r>
              <w:rPr>
                <w:rFonts w:ascii="Times New Roman" w:hAnsi="Times New Roman"/>
                <w:sz w:val="24"/>
                <w:szCs w:val="24"/>
              </w:rPr>
              <w:t>,</w:t>
            </w:r>
            <w:r w:rsidRPr="00797029">
              <w:rPr>
                <w:rFonts w:ascii="Times New Roman" w:hAnsi="Times New Roman"/>
                <w:sz w:val="24"/>
                <w:szCs w:val="24"/>
              </w:rPr>
              <w:t xml:space="preserve"> such as exploitation or if the employer fails to meet its legal obligations in relation to the single permit holder</w:t>
            </w:r>
            <w:r>
              <w:rPr>
                <w:rFonts w:ascii="Times New Roman" w:hAnsi="Times New Roman"/>
                <w:sz w:val="24"/>
                <w:szCs w:val="24"/>
              </w:rPr>
              <w:t xml:space="preserve">, </w:t>
            </w:r>
            <w:r w:rsidRPr="00797029">
              <w:rPr>
                <w:rFonts w:ascii="Times New Roman" w:hAnsi="Times New Roman"/>
                <w:sz w:val="24"/>
                <w:szCs w:val="24"/>
              </w:rPr>
              <w:t xml:space="preserve">a change of employer </w:t>
            </w:r>
            <w:r>
              <w:rPr>
                <w:rFonts w:ascii="Times New Roman" w:hAnsi="Times New Roman"/>
                <w:sz w:val="24"/>
                <w:szCs w:val="24"/>
              </w:rPr>
              <w:t>must</w:t>
            </w:r>
            <w:r w:rsidRPr="00797029">
              <w:rPr>
                <w:rFonts w:ascii="Times New Roman" w:hAnsi="Times New Roman"/>
                <w:sz w:val="24"/>
                <w:szCs w:val="24"/>
              </w:rPr>
              <w:t xml:space="preserve"> be allowed before the expiration of </w:t>
            </w:r>
            <w:r>
              <w:rPr>
                <w:rFonts w:ascii="Times New Roman" w:hAnsi="Times New Roman"/>
                <w:sz w:val="24"/>
                <w:szCs w:val="24"/>
              </w:rPr>
              <w:t>the</w:t>
            </w:r>
            <w:r w:rsidRPr="00797029">
              <w:rPr>
                <w:rFonts w:ascii="Times New Roman" w:hAnsi="Times New Roman"/>
                <w:sz w:val="24"/>
                <w:szCs w:val="24"/>
              </w:rPr>
              <w:t xml:space="preserve"> minimum period.</w:t>
            </w:r>
            <w:r w:rsidR="00BA5916" w:rsidRPr="01C19B9F">
              <w:rPr>
                <w:rFonts w:ascii="Times New Roman" w:hAnsi="Times New Roman"/>
                <w:sz w:val="24"/>
                <w:szCs w:val="24"/>
              </w:rPr>
              <w:t xml:space="preserve"> Regarding </w:t>
            </w:r>
            <w:r w:rsidR="00BA5916" w:rsidRPr="000829FE">
              <w:rPr>
                <w:rFonts w:ascii="Times New Roman" w:hAnsi="Times New Roman"/>
                <w:sz w:val="24"/>
                <w:szCs w:val="24"/>
                <w:u w:val="single"/>
              </w:rPr>
              <w:t>point 3.6</w:t>
            </w:r>
            <w:r w:rsidR="00BA5916" w:rsidRPr="01C19B9F">
              <w:rPr>
                <w:rFonts w:ascii="Times New Roman" w:hAnsi="Times New Roman"/>
                <w:sz w:val="24"/>
                <w:szCs w:val="24"/>
              </w:rPr>
              <w:t xml:space="preserve">, the Commission agrees that circular migration programmes need to respect </w:t>
            </w:r>
            <w:r w:rsidR="00BA5916" w:rsidRPr="01C19B9F">
              <w:rPr>
                <w:rFonts w:ascii="Times New Roman" w:hAnsi="Times New Roman"/>
                <w:b/>
                <w:bCs/>
                <w:sz w:val="24"/>
                <w:szCs w:val="24"/>
              </w:rPr>
              <w:t>the rights of migrant workers</w:t>
            </w:r>
            <w:r w:rsidR="00BA5916" w:rsidRPr="01C19B9F">
              <w:rPr>
                <w:rFonts w:ascii="Times New Roman" w:hAnsi="Times New Roman"/>
                <w:sz w:val="24"/>
                <w:szCs w:val="24"/>
              </w:rPr>
              <w:t>. Of particular importance is the right to equal access to pensions for nationals having moved back to countries of origin, as introduced in Article 12(1)(e) in conjunction with Article 12(4) of the recast Single Permit Directive.</w:t>
            </w:r>
          </w:p>
          <w:p w14:paraId="07406D3C" w14:textId="2C6EDF6F" w:rsidR="003D1A73" w:rsidRDefault="003D1A73" w:rsidP="006D748A">
            <w:pPr>
              <w:spacing w:before="120" w:after="120"/>
              <w:jc w:val="both"/>
              <w:rPr>
                <w:rFonts w:ascii="Times New Roman" w:hAnsi="Times New Roman"/>
                <w:sz w:val="24"/>
                <w:szCs w:val="24"/>
              </w:rPr>
            </w:pPr>
            <w:r w:rsidRPr="00797029">
              <w:rPr>
                <w:rFonts w:ascii="Times New Roman" w:hAnsi="Times New Roman"/>
                <w:sz w:val="24"/>
                <w:szCs w:val="24"/>
              </w:rPr>
              <w:t xml:space="preserve">Regarding </w:t>
            </w:r>
            <w:r w:rsidRPr="000829FE">
              <w:rPr>
                <w:rFonts w:ascii="Times New Roman" w:hAnsi="Times New Roman"/>
                <w:sz w:val="24"/>
                <w:szCs w:val="24"/>
                <w:u w:val="single"/>
              </w:rPr>
              <w:t>point 4.5</w:t>
            </w:r>
            <w:r w:rsidRPr="00797029">
              <w:rPr>
                <w:rFonts w:ascii="Times New Roman" w:hAnsi="Times New Roman"/>
                <w:sz w:val="24"/>
                <w:szCs w:val="24"/>
              </w:rPr>
              <w:t xml:space="preserve">, the Commission notes that under the rules of the </w:t>
            </w:r>
            <w:r w:rsidRPr="00256A85">
              <w:rPr>
                <w:rFonts w:ascii="Times New Roman" w:hAnsi="Times New Roman"/>
                <w:b/>
                <w:bCs/>
                <w:sz w:val="24"/>
                <w:szCs w:val="24"/>
              </w:rPr>
              <w:t>Family Reunification Directive</w:t>
            </w:r>
            <w:r w:rsidR="00993FA9">
              <w:rPr>
                <w:rStyle w:val="FootnoteReference"/>
                <w:rFonts w:ascii="Times New Roman" w:hAnsi="Times New Roman"/>
                <w:b/>
                <w:bCs/>
                <w:szCs w:val="24"/>
              </w:rPr>
              <w:footnoteReference w:id="5"/>
            </w:r>
            <w:r w:rsidRPr="00B5511E">
              <w:rPr>
                <w:rFonts w:ascii="Times New Roman" w:hAnsi="Times New Roman"/>
                <w:sz w:val="24"/>
                <w:szCs w:val="24"/>
              </w:rPr>
              <w:t>,</w:t>
            </w:r>
            <w:r w:rsidRPr="00797029">
              <w:rPr>
                <w:rFonts w:ascii="Times New Roman" w:hAnsi="Times New Roman"/>
                <w:sz w:val="24"/>
                <w:szCs w:val="24"/>
              </w:rPr>
              <w:t xml:space="preserve"> non-EU citizens who are legally residing in the EU via a valid residence permit of a</w:t>
            </w:r>
            <w:r w:rsidR="000829FE">
              <w:rPr>
                <w:rFonts w:ascii="Times New Roman" w:hAnsi="Times New Roman"/>
                <w:sz w:val="24"/>
                <w:szCs w:val="24"/>
              </w:rPr>
              <w:t> </w:t>
            </w:r>
            <w:r w:rsidRPr="00797029">
              <w:rPr>
                <w:rFonts w:ascii="Times New Roman" w:hAnsi="Times New Roman"/>
                <w:sz w:val="24"/>
                <w:szCs w:val="24"/>
              </w:rPr>
              <w:t>duration of at least 1 year and who have reasonable prospects of obtaining the right of permanent residence can benefit from the right to family reunification with their spouses and minor children.</w:t>
            </w:r>
            <w:r>
              <w:rPr>
                <w:rFonts w:ascii="Times New Roman" w:hAnsi="Times New Roman"/>
                <w:sz w:val="24"/>
                <w:szCs w:val="24"/>
              </w:rPr>
              <w:t xml:space="preserve"> </w:t>
            </w:r>
            <w:r w:rsidRPr="00797029">
              <w:rPr>
                <w:rFonts w:ascii="Times New Roman" w:hAnsi="Times New Roman"/>
                <w:sz w:val="24"/>
                <w:szCs w:val="24"/>
              </w:rPr>
              <w:t>Member States can also adopt more favourable rules, including reunification with unmarried partners, as well as dependant adult children and parents in the ascending line. Other Directives, such as the Blue Card, Students and Researchers Directive</w:t>
            </w:r>
            <w:r w:rsidR="00993FA9">
              <w:rPr>
                <w:rStyle w:val="FootnoteReference"/>
                <w:rFonts w:ascii="Times New Roman" w:hAnsi="Times New Roman"/>
                <w:szCs w:val="24"/>
              </w:rPr>
              <w:footnoteReference w:id="6"/>
            </w:r>
            <w:r w:rsidRPr="00797029">
              <w:rPr>
                <w:rFonts w:ascii="Times New Roman" w:hAnsi="Times New Roman"/>
                <w:sz w:val="24"/>
                <w:szCs w:val="24"/>
              </w:rPr>
              <w:t xml:space="preserve"> and Intra-corporate Transfers Directive</w:t>
            </w:r>
            <w:r w:rsidR="00993FA9">
              <w:rPr>
                <w:rStyle w:val="FootnoteReference"/>
                <w:rFonts w:ascii="Times New Roman" w:hAnsi="Times New Roman"/>
                <w:szCs w:val="24"/>
              </w:rPr>
              <w:footnoteReference w:id="7"/>
            </w:r>
            <w:r w:rsidRPr="00797029">
              <w:rPr>
                <w:rFonts w:ascii="Times New Roman" w:hAnsi="Times New Roman"/>
                <w:sz w:val="24"/>
                <w:szCs w:val="24"/>
              </w:rPr>
              <w:t xml:space="preserve"> also lay down specific rules for family reunification with more favourable regimes</w:t>
            </w:r>
            <w:r w:rsidR="008656C8">
              <w:rPr>
                <w:rFonts w:ascii="Times New Roman" w:hAnsi="Times New Roman"/>
                <w:sz w:val="24"/>
                <w:szCs w:val="24"/>
              </w:rPr>
              <w:t>.</w:t>
            </w:r>
          </w:p>
          <w:p w14:paraId="782E84CD" w14:textId="00E50D1C" w:rsidR="00A90AAF" w:rsidRDefault="003D1A73" w:rsidP="006D748A">
            <w:pPr>
              <w:spacing w:before="120" w:after="120"/>
              <w:jc w:val="both"/>
              <w:rPr>
                <w:rFonts w:ascii="Times New Roman" w:hAnsi="Times New Roman"/>
                <w:sz w:val="24"/>
                <w:szCs w:val="24"/>
              </w:rPr>
            </w:pPr>
            <w:r w:rsidRPr="00CD143D">
              <w:rPr>
                <w:rFonts w:ascii="Times New Roman" w:hAnsi="Times New Roman"/>
                <w:sz w:val="24"/>
                <w:szCs w:val="24"/>
              </w:rPr>
              <w:t xml:space="preserve">Regarding </w:t>
            </w:r>
            <w:r w:rsidRPr="000829FE">
              <w:rPr>
                <w:rFonts w:ascii="Times New Roman" w:hAnsi="Times New Roman"/>
                <w:sz w:val="24"/>
                <w:szCs w:val="24"/>
                <w:u w:val="single"/>
              </w:rPr>
              <w:t>point 4.6</w:t>
            </w:r>
            <w:r w:rsidRPr="00CD143D">
              <w:rPr>
                <w:rFonts w:ascii="Times New Roman" w:hAnsi="Times New Roman"/>
                <w:sz w:val="24"/>
                <w:szCs w:val="24"/>
              </w:rPr>
              <w:t xml:space="preserve">, the Commission highlights that </w:t>
            </w:r>
            <w:r w:rsidRPr="00256A85">
              <w:rPr>
                <w:rFonts w:ascii="Times New Roman" w:hAnsi="Times New Roman"/>
                <w:b/>
                <w:bCs/>
                <w:sz w:val="24"/>
                <w:szCs w:val="24"/>
              </w:rPr>
              <w:t>the EU Blue Card Directive</w:t>
            </w:r>
            <w:r w:rsidRPr="00CD143D">
              <w:rPr>
                <w:rFonts w:ascii="Times New Roman" w:hAnsi="Times New Roman"/>
                <w:sz w:val="24"/>
                <w:szCs w:val="24"/>
              </w:rPr>
              <w:t xml:space="preserve"> includes specific reporting provisions under Article 27 to monitor its implementation. This includes assessing its potential impact on developing countries, in line with Article 7(2), which calls for measures to prevent brain drain and promote brain gain. In this context, facilitating circular and temporary migration can help minimise negative effects such as brain waste, while enhancing the mutual benefits of highly qualified mobility.</w:t>
            </w:r>
          </w:p>
          <w:p w14:paraId="225B40A2" w14:textId="0E3F5C86" w:rsidR="008D0A10" w:rsidRDefault="45EB438C" w:rsidP="006D748A">
            <w:pPr>
              <w:spacing w:before="120" w:after="120"/>
              <w:jc w:val="both"/>
              <w:rPr>
                <w:rFonts w:ascii="Times New Roman" w:hAnsi="Times New Roman"/>
                <w:sz w:val="24"/>
                <w:szCs w:val="24"/>
              </w:rPr>
            </w:pPr>
            <w:r w:rsidRPr="01C19B9F">
              <w:rPr>
                <w:rFonts w:ascii="Times New Roman" w:hAnsi="Times New Roman"/>
                <w:sz w:val="24"/>
                <w:szCs w:val="24"/>
              </w:rPr>
              <w:t xml:space="preserve">In addition, the proposal to establish an </w:t>
            </w:r>
            <w:r w:rsidRPr="001A517A">
              <w:rPr>
                <w:rFonts w:ascii="Times New Roman" w:hAnsi="Times New Roman"/>
                <w:b/>
                <w:bCs/>
                <w:sz w:val="24"/>
                <w:szCs w:val="24"/>
              </w:rPr>
              <w:t>EU Talent Pool</w:t>
            </w:r>
            <w:r w:rsidR="00993FA9">
              <w:rPr>
                <w:rStyle w:val="FootnoteReference"/>
                <w:rFonts w:ascii="Times New Roman" w:hAnsi="Times New Roman"/>
                <w:b/>
                <w:bCs/>
                <w:szCs w:val="24"/>
              </w:rPr>
              <w:footnoteReference w:id="8"/>
            </w:r>
            <w:r w:rsidRPr="01C19B9F">
              <w:rPr>
                <w:rFonts w:ascii="Times New Roman" w:hAnsi="Times New Roman"/>
                <w:sz w:val="24"/>
                <w:szCs w:val="24"/>
              </w:rPr>
              <w:t xml:space="preserve"> aims at facilitating access to legal pathways and making international recruitment easier and faster, overall contributing to make the EU more attractive. It will directly support EU employers facing shortages</w:t>
            </w:r>
            <w:r w:rsidR="00812A16">
              <w:rPr>
                <w:rFonts w:ascii="Times New Roman" w:hAnsi="Times New Roman"/>
                <w:sz w:val="24"/>
                <w:szCs w:val="24"/>
              </w:rPr>
              <w:t>,</w:t>
            </w:r>
            <w:r w:rsidRPr="01C19B9F">
              <w:rPr>
                <w:rFonts w:ascii="Times New Roman" w:hAnsi="Times New Roman"/>
                <w:sz w:val="24"/>
                <w:szCs w:val="24"/>
              </w:rPr>
              <w:t xml:space="preserve"> in particular SMEs. </w:t>
            </w:r>
            <w:r w:rsidR="00A90AAF">
              <w:rPr>
                <w:rFonts w:ascii="Times New Roman" w:hAnsi="Times New Roman"/>
                <w:sz w:val="24"/>
                <w:szCs w:val="24"/>
              </w:rPr>
              <w:t>T</w:t>
            </w:r>
            <w:r w:rsidR="00A90AAF" w:rsidRPr="00697136">
              <w:rPr>
                <w:rFonts w:ascii="Times New Roman" w:hAnsi="Times New Roman"/>
                <w:sz w:val="24"/>
                <w:szCs w:val="24"/>
              </w:rPr>
              <w:t xml:space="preserve">he EU Talent Pool </w:t>
            </w:r>
            <w:r w:rsidR="00A90AAF">
              <w:rPr>
                <w:rFonts w:ascii="Times New Roman" w:hAnsi="Times New Roman"/>
                <w:sz w:val="24"/>
                <w:szCs w:val="24"/>
              </w:rPr>
              <w:t xml:space="preserve">also </w:t>
            </w:r>
            <w:r w:rsidR="00A90AAF" w:rsidRPr="00697136">
              <w:rPr>
                <w:rFonts w:ascii="Times New Roman" w:hAnsi="Times New Roman"/>
                <w:sz w:val="24"/>
                <w:szCs w:val="24"/>
              </w:rPr>
              <w:t>aims at ensuring third country nationals’ protection against unfair recruitment</w:t>
            </w:r>
            <w:r w:rsidR="00A33186">
              <w:rPr>
                <w:rFonts w:ascii="Times New Roman" w:hAnsi="Times New Roman"/>
                <w:sz w:val="24"/>
                <w:szCs w:val="24"/>
              </w:rPr>
              <w:t>, discrimination</w:t>
            </w:r>
            <w:r w:rsidR="00A90AAF" w:rsidRPr="00697136">
              <w:rPr>
                <w:rFonts w:ascii="Times New Roman" w:hAnsi="Times New Roman"/>
                <w:sz w:val="24"/>
                <w:szCs w:val="24"/>
              </w:rPr>
              <w:t xml:space="preserve"> and inadequate working conditions. Hence, employers participating in th</w:t>
            </w:r>
            <w:r w:rsidR="00DD60D3">
              <w:rPr>
                <w:rFonts w:ascii="Times New Roman" w:hAnsi="Times New Roman"/>
                <w:sz w:val="24"/>
                <w:szCs w:val="24"/>
              </w:rPr>
              <w:t>e P</w:t>
            </w:r>
            <w:r w:rsidR="00A90AAF" w:rsidRPr="00697136">
              <w:rPr>
                <w:rFonts w:ascii="Times New Roman" w:hAnsi="Times New Roman"/>
                <w:sz w:val="24"/>
                <w:szCs w:val="24"/>
              </w:rPr>
              <w:t>ool will have to comply with the existing Union and national law and practice. In addition, specific information on available redress mechanisms will be made available.</w:t>
            </w:r>
          </w:p>
          <w:p w14:paraId="1B70BFBA" w14:textId="7638A11E" w:rsidR="000633EC" w:rsidRPr="008D0A10" w:rsidRDefault="000034FA" w:rsidP="006D748A">
            <w:pPr>
              <w:spacing w:before="120" w:after="120"/>
              <w:jc w:val="both"/>
              <w:rPr>
                <w:rFonts w:ascii="Times New Roman" w:hAnsi="Times New Roman"/>
                <w:sz w:val="24"/>
                <w:szCs w:val="24"/>
              </w:rPr>
            </w:pPr>
            <w:r>
              <w:rPr>
                <w:rFonts w:ascii="Times New Roman" w:hAnsi="Times New Roman"/>
                <w:sz w:val="24"/>
                <w:szCs w:val="24"/>
              </w:rPr>
              <w:t>In line with</w:t>
            </w:r>
            <w:r w:rsidRPr="5FAE6BE0">
              <w:rPr>
                <w:rFonts w:ascii="Times New Roman" w:hAnsi="Times New Roman"/>
                <w:sz w:val="24"/>
                <w:szCs w:val="24"/>
              </w:rPr>
              <w:t xml:space="preserve"> </w:t>
            </w:r>
            <w:r w:rsidRPr="000829FE">
              <w:rPr>
                <w:rFonts w:ascii="Times New Roman" w:hAnsi="Times New Roman"/>
                <w:sz w:val="24"/>
                <w:szCs w:val="24"/>
                <w:u w:val="single"/>
              </w:rPr>
              <w:t>points 2.8, 3.8, and 4.2</w:t>
            </w:r>
            <w:r w:rsidR="004C4CE8">
              <w:rPr>
                <w:rFonts w:ascii="Times New Roman" w:hAnsi="Times New Roman"/>
                <w:sz w:val="24"/>
                <w:szCs w:val="24"/>
              </w:rPr>
              <w:t xml:space="preserve"> of the EESC opinion</w:t>
            </w:r>
            <w:r w:rsidRPr="5FAE6BE0">
              <w:rPr>
                <w:rFonts w:ascii="Times New Roman" w:hAnsi="Times New Roman"/>
                <w:sz w:val="24"/>
                <w:szCs w:val="24"/>
              </w:rPr>
              <w:t xml:space="preserve">, the Commission agrees that the EU Talent Pool could support jobseekers from third countries and employers in the </w:t>
            </w:r>
            <w:r>
              <w:rPr>
                <w:rFonts w:ascii="Times New Roman" w:hAnsi="Times New Roman"/>
                <w:sz w:val="24"/>
                <w:szCs w:val="24"/>
              </w:rPr>
              <w:t>M</w:t>
            </w:r>
            <w:r w:rsidRPr="5FAE6BE0">
              <w:rPr>
                <w:rFonts w:ascii="Times New Roman" w:hAnsi="Times New Roman"/>
                <w:sz w:val="24"/>
                <w:szCs w:val="24"/>
              </w:rPr>
              <w:t xml:space="preserve">ember </w:t>
            </w:r>
            <w:r>
              <w:rPr>
                <w:rFonts w:ascii="Times New Roman" w:hAnsi="Times New Roman"/>
                <w:sz w:val="24"/>
                <w:szCs w:val="24"/>
              </w:rPr>
              <w:t>S</w:t>
            </w:r>
            <w:r w:rsidRPr="5FAE6BE0">
              <w:rPr>
                <w:rFonts w:ascii="Times New Roman" w:hAnsi="Times New Roman"/>
                <w:sz w:val="24"/>
                <w:szCs w:val="24"/>
              </w:rPr>
              <w:t xml:space="preserve">tates to facilitate labour </w:t>
            </w:r>
            <w:r w:rsidR="00A33186">
              <w:rPr>
                <w:rFonts w:ascii="Times New Roman" w:hAnsi="Times New Roman"/>
                <w:sz w:val="24"/>
                <w:szCs w:val="24"/>
              </w:rPr>
              <w:t>migration</w:t>
            </w:r>
            <w:r>
              <w:rPr>
                <w:rFonts w:ascii="Times New Roman" w:hAnsi="Times New Roman"/>
                <w:sz w:val="24"/>
                <w:szCs w:val="24"/>
              </w:rPr>
              <w:t xml:space="preserve"> and</w:t>
            </w:r>
            <w:r w:rsidRPr="5FAE6BE0">
              <w:rPr>
                <w:rFonts w:ascii="Times New Roman" w:hAnsi="Times New Roman"/>
                <w:sz w:val="24"/>
                <w:szCs w:val="24"/>
              </w:rPr>
              <w:t xml:space="preserve"> fair recruitment</w:t>
            </w:r>
            <w:r>
              <w:rPr>
                <w:rFonts w:ascii="Times New Roman" w:hAnsi="Times New Roman"/>
                <w:sz w:val="24"/>
                <w:szCs w:val="24"/>
              </w:rPr>
              <w:t>,</w:t>
            </w:r>
            <w:r w:rsidRPr="5FAE6BE0">
              <w:rPr>
                <w:rFonts w:ascii="Times New Roman" w:hAnsi="Times New Roman"/>
                <w:sz w:val="24"/>
                <w:szCs w:val="24"/>
              </w:rPr>
              <w:t xml:space="preserve"> by making available on the platform online information on </w:t>
            </w:r>
            <w:r w:rsidR="00A33186">
              <w:rPr>
                <w:rFonts w:ascii="Times New Roman" w:hAnsi="Times New Roman"/>
                <w:sz w:val="24"/>
                <w:szCs w:val="24"/>
              </w:rPr>
              <w:t>living and working conditions, immigration</w:t>
            </w:r>
            <w:r>
              <w:rPr>
                <w:rFonts w:ascii="Times New Roman" w:hAnsi="Times New Roman"/>
                <w:sz w:val="24"/>
                <w:szCs w:val="24"/>
              </w:rPr>
              <w:t xml:space="preserve"> and </w:t>
            </w:r>
            <w:r w:rsidRPr="5FAE6BE0">
              <w:rPr>
                <w:rFonts w:ascii="Times New Roman" w:hAnsi="Times New Roman"/>
                <w:sz w:val="24"/>
                <w:szCs w:val="24"/>
              </w:rPr>
              <w:t xml:space="preserve">recruitment procedures in the Member States. </w:t>
            </w:r>
            <w:r w:rsidRPr="5FAE6BE0">
              <w:rPr>
                <w:rFonts w:ascii="Times New Roman" w:hAnsi="Times New Roman"/>
                <w:sz w:val="24"/>
                <w:szCs w:val="24"/>
              </w:rPr>
              <w:lastRenderedPageBreak/>
              <w:t>An</w:t>
            </w:r>
            <w:r w:rsidR="002A621A">
              <w:rPr>
                <w:rFonts w:ascii="Times New Roman" w:hAnsi="Times New Roman"/>
                <w:sz w:val="24"/>
                <w:szCs w:val="24"/>
              </w:rPr>
              <w:t> </w:t>
            </w:r>
            <w:r w:rsidRPr="5FAE6BE0">
              <w:rPr>
                <w:rFonts w:ascii="Times New Roman" w:hAnsi="Times New Roman"/>
                <w:sz w:val="24"/>
                <w:szCs w:val="24"/>
              </w:rPr>
              <w:t xml:space="preserve">automated tool on the platform will also ensure effective matching between jobseekers and employers, reducing the risk of mismatches and overqualification of jobseekers. </w:t>
            </w:r>
            <w:r w:rsidR="00F265B8">
              <w:rPr>
                <w:rFonts w:ascii="Times New Roman" w:hAnsi="Times New Roman"/>
                <w:sz w:val="24"/>
                <w:szCs w:val="24"/>
              </w:rPr>
              <w:t>In line with</w:t>
            </w:r>
            <w:r w:rsidR="00F265B8" w:rsidRPr="5FAE6BE0">
              <w:rPr>
                <w:rFonts w:ascii="Times New Roman" w:hAnsi="Times New Roman"/>
                <w:sz w:val="24"/>
                <w:szCs w:val="24"/>
              </w:rPr>
              <w:t xml:space="preserve"> </w:t>
            </w:r>
            <w:r w:rsidR="00F265B8" w:rsidRPr="000829FE">
              <w:rPr>
                <w:rFonts w:ascii="Times New Roman" w:hAnsi="Times New Roman"/>
                <w:sz w:val="24"/>
                <w:szCs w:val="24"/>
                <w:u w:val="single"/>
              </w:rPr>
              <w:t>point 4.2</w:t>
            </w:r>
            <w:r w:rsidR="00F265B8" w:rsidRPr="5FAE6BE0">
              <w:rPr>
                <w:rFonts w:ascii="Times New Roman" w:hAnsi="Times New Roman"/>
                <w:sz w:val="24"/>
                <w:szCs w:val="24"/>
              </w:rPr>
              <w:t xml:space="preserve">, the Commission agrees with the EESC that the EU Talent Pool should be available </w:t>
            </w:r>
            <w:r w:rsidR="00F265B8" w:rsidRPr="001A517A">
              <w:rPr>
                <w:rFonts w:ascii="Times New Roman" w:hAnsi="Times New Roman"/>
                <w:sz w:val="24"/>
                <w:szCs w:val="24"/>
              </w:rPr>
              <w:t>free of charge</w:t>
            </w:r>
            <w:r w:rsidR="00F265B8" w:rsidRPr="5FAE6BE0">
              <w:rPr>
                <w:rFonts w:ascii="Times New Roman" w:hAnsi="Times New Roman"/>
                <w:sz w:val="24"/>
                <w:szCs w:val="24"/>
              </w:rPr>
              <w:t xml:space="preserve"> to </w:t>
            </w:r>
            <w:r w:rsidR="00F265B8">
              <w:rPr>
                <w:rFonts w:ascii="Times New Roman" w:hAnsi="Times New Roman"/>
                <w:sz w:val="24"/>
                <w:szCs w:val="24"/>
              </w:rPr>
              <w:t>both</w:t>
            </w:r>
            <w:r w:rsidR="00F265B8" w:rsidRPr="5FAE6BE0">
              <w:rPr>
                <w:rFonts w:ascii="Times New Roman" w:hAnsi="Times New Roman"/>
                <w:sz w:val="24"/>
                <w:szCs w:val="24"/>
              </w:rPr>
              <w:t xml:space="preserve"> jobseekers and employers. In view of ensuring adequate protection to jobseekers and supporting fair recruitment, the Commission proposal explicitly prohibits employers from charging </w:t>
            </w:r>
            <w:r w:rsidR="00A33186">
              <w:rPr>
                <w:rFonts w:ascii="Times New Roman" w:hAnsi="Times New Roman"/>
                <w:sz w:val="24"/>
                <w:szCs w:val="24"/>
              </w:rPr>
              <w:t>recruitment</w:t>
            </w:r>
            <w:r w:rsidR="00F265B8" w:rsidRPr="5FAE6BE0">
              <w:rPr>
                <w:rFonts w:ascii="Times New Roman" w:hAnsi="Times New Roman"/>
                <w:sz w:val="24"/>
                <w:szCs w:val="24"/>
              </w:rPr>
              <w:t xml:space="preserve"> fees </w:t>
            </w:r>
            <w:r w:rsidR="00A33186">
              <w:rPr>
                <w:rFonts w:ascii="Times New Roman" w:hAnsi="Times New Roman"/>
                <w:sz w:val="24"/>
                <w:szCs w:val="24"/>
              </w:rPr>
              <w:t>to</w:t>
            </w:r>
            <w:r w:rsidR="00F265B8" w:rsidRPr="5FAE6BE0">
              <w:rPr>
                <w:rFonts w:ascii="Times New Roman" w:hAnsi="Times New Roman"/>
                <w:sz w:val="24"/>
                <w:szCs w:val="24"/>
              </w:rPr>
              <w:t xml:space="preserve"> jobseekers.</w:t>
            </w:r>
          </w:p>
          <w:p w14:paraId="4053FE2A" w14:textId="6215ED67" w:rsidR="003620E8" w:rsidRDefault="791C7B61" w:rsidP="006D748A">
            <w:pPr>
              <w:spacing w:before="120" w:after="120"/>
              <w:jc w:val="both"/>
              <w:rPr>
                <w:rFonts w:ascii="Times New Roman" w:hAnsi="Times New Roman"/>
                <w:sz w:val="24"/>
                <w:szCs w:val="24"/>
              </w:rPr>
            </w:pPr>
            <w:r w:rsidRPr="37169F50">
              <w:rPr>
                <w:rFonts w:ascii="Times New Roman" w:hAnsi="Times New Roman"/>
                <w:sz w:val="24"/>
                <w:szCs w:val="24"/>
              </w:rPr>
              <w:t xml:space="preserve">On the operational side, the </w:t>
            </w:r>
            <w:r w:rsidRPr="001A517A">
              <w:rPr>
                <w:rFonts w:ascii="Times New Roman" w:hAnsi="Times New Roman"/>
                <w:b/>
                <w:bCs/>
                <w:sz w:val="24"/>
                <w:szCs w:val="24"/>
              </w:rPr>
              <w:t>Talent Partnerships</w:t>
            </w:r>
            <w:r w:rsidR="00993FA9">
              <w:rPr>
                <w:rStyle w:val="FootnoteReference"/>
                <w:rFonts w:ascii="Times New Roman" w:hAnsi="Times New Roman"/>
                <w:b/>
                <w:bCs/>
                <w:szCs w:val="24"/>
              </w:rPr>
              <w:footnoteReference w:id="9"/>
            </w:r>
            <w:r w:rsidRPr="37169F50">
              <w:rPr>
                <w:rFonts w:ascii="Times New Roman" w:hAnsi="Times New Roman"/>
                <w:sz w:val="24"/>
                <w:szCs w:val="24"/>
              </w:rPr>
              <w:t xml:space="preserve"> </w:t>
            </w:r>
            <w:r w:rsidR="0066081B" w:rsidRPr="5FAE6BE0">
              <w:rPr>
                <w:rFonts w:ascii="Times New Roman" w:hAnsi="Times New Roman"/>
                <w:sz w:val="24"/>
                <w:szCs w:val="24"/>
              </w:rPr>
              <w:t xml:space="preserve">are mutually beneficial partnerships </w:t>
            </w:r>
            <w:r w:rsidRPr="37169F50">
              <w:rPr>
                <w:rFonts w:ascii="Times New Roman" w:hAnsi="Times New Roman"/>
                <w:sz w:val="24"/>
                <w:szCs w:val="24"/>
              </w:rPr>
              <w:t xml:space="preserve">between the EU and partner countries </w:t>
            </w:r>
            <w:r w:rsidR="0066081B">
              <w:rPr>
                <w:rFonts w:ascii="Times New Roman" w:hAnsi="Times New Roman"/>
                <w:sz w:val="24"/>
                <w:szCs w:val="24"/>
              </w:rPr>
              <w:t xml:space="preserve">aimed to </w:t>
            </w:r>
            <w:r w:rsidRPr="37169F50">
              <w:rPr>
                <w:rFonts w:ascii="Times New Roman" w:hAnsi="Times New Roman"/>
                <w:sz w:val="24"/>
                <w:szCs w:val="24"/>
              </w:rPr>
              <w:t>boost skills development</w:t>
            </w:r>
            <w:r w:rsidR="0066081B">
              <w:rPr>
                <w:rFonts w:ascii="Times New Roman" w:hAnsi="Times New Roman"/>
                <w:sz w:val="24"/>
                <w:szCs w:val="24"/>
              </w:rPr>
              <w:t>,</w:t>
            </w:r>
            <w:r w:rsidRPr="37169F50">
              <w:rPr>
                <w:rFonts w:ascii="Times New Roman" w:hAnsi="Times New Roman"/>
                <w:sz w:val="24"/>
                <w:szCs w:val="24"/>
              </w:rPr>
              <w:t xml:space="preserve"> </w:t>
            </w:r>
            <w:r w:rsidR="0066081B" w:rsidRPr="5FAE6BE0">
              <w:rPr>
                <w:rFonts w:ascii="Times New Roman" w:hAnsi="Times New Roman"/>
                <w:sz w:val="24"/>
                <w:szCs w:val="24"/>
              </w:rPr>
              <w:t>capacity building of partner countries</w:t>
            </w:r>
            <w:r w:rsidR="0066081B">
              <w:rPr>
                <w:rFonts w:ascii="Times New Roman" w:hAnsi="Times New Roman"/>
                <w:sz w:val="24"/>
                <w:szCs w:val="24"/>
              </w:rPr>
              <w:t xml:space="preserve">, </w:t>
            </w:r>
            <w:r w:rsidR="0066081B" w:rsidRPr="5FAE6BE0">
              <w:rPr>
                <w:rFonts w:ascii="Times New Roman" w:hAnsi="Times New Roman"/>
                <w:sz w:val="24"/>
                <w:szCs w:val="24"/>
              </w:rPr>
              <w:t>labour mobility</w:t>
            </w:r>
            <w:r w:rsidR="0066081B">
              <w:rPr>
                <w:rFonts w:ascii="Times New Roman" w:hAnsi="Times New Roman"/>
                <w:sz w:val="24"/>
                <w:szCs w:val="24"/>
              </w:rPr>
              <w:t>,</w:t>
            </w:r>
            <w:r w:rsidR="0066081B" w:rsidRPr="5FAE6BE0">
              <w:rPr>
                <w:rFonts w:ascii="Times New Roman" w:hAnsi="Times New Roman"/>
                <w:sz w:val="24"/>
                <w:szCs w:val="24"/>
              </w:rPr>
              <w:t xml:space="preserve"> and </w:t>
            </w:r>
            <w:r w:rsidR="0066081B">
              <w:rPr>
                <w:rFonts w:ascii="Times New Roman" w:hAnsi="Times New Roman"/>
                <w:sz w:val="24"/>
                <w:szCs w:val="24"/>
              </w:rPr>
              <w:t xml:space="preserve">to </w:t>
            </w:r>
            <w:r w:rsidR="0066081B" w:rsidRPr="5FAE6BE0">
              <w:rPr>
                <w:rFonts w:ascii="Times New Roman" w:hAnsi="Times New Roman"/>
                <w:sz w:val="24"/>
                <w:szCs w:val="24"/>
              </w:rPr>
              <w:t>attract talent to the EU</w:t>
            </w:r>
            <w:r w:rsidRPr="37169F50">
              <w:rPr>
                <w:rFonts w:ascii="Times New Roman" w:hAnsi="Times New Roman"/>
                <w:sz w:val="24"/>
                <w:szCs w:val="24"/>
              </w:rPr>
              <w:t xml:space="preserve">. </w:t>
            </w:r>
            <w:r w:rsidR="00E50868">
              <w:rPr>
                <w:rFonts w:ascii="Times New Roman" w:hAnsi="Times New Roman"/>
                <w:sz w:val="24"/>
                <w:szCs w:val="24"/>
              </w:rPr>
              <w:t>Talent Partnerships</w:t>
            </w:r>
            <w:r w:rsidR="00E50868" w:rsidRPr="5FAE6BE0">
              <w:rPr>
                <w:rFonts w:ascii="Times New Roman" w:hAnsi="Times New Roman"/>
                <w:sz w:val="24"/>
                <w:szCs w:val="24"/>
              </w:rPr>
              <w:t xml:space="preserve"> are open to all skill levels and </w:t>
            </w:r>
            <w:r w:rsidR="00E50868">
              <w:rPr>
                <w:rFonts w:ascii="Times New Roman" w:hAnsi="Times New Roman"/>
                <w:sz w:val="24"/>
                <w:szCs w:val="24"/>
              </w:rPr>
              <w:t xml:space="preserve">are built to </w:t>
            </w:r>
            <w:r w:rsidR="00E50868" w:rsidRPr="5FAE6BE0">
              <w:rPr>
                <w:rFonts w:ascii="Times New Roman" w:hAnsi="Times New Roman"/>
                <w:sz w:val="24"/>
                <w:szCs w:val="24"/>
              </w:rPr>
              <w:t>ensure that the risk of brain drain is turned to ‘brain gain’ or ‘brain circulation’ in case of circular migration</w:t>
            </w:r>
            <w:r w:rsidR="00AE0189">
              <w:rPr>
                <w:rFonts w:ascii="Times New Roman" w:hAnsi="Times New Roman"/>
                <w:sz w:val="24"/>
                <w:szCs w:val="24"/>
              </w:rPr>
              <w:t xml:space="preserve"> and</w:t>
            </w:r>
            <w:r w:rsidR="00AE0189" w:rsidRPr="00F12B16">
              <w:rPr>
                <w:rFonts w:ascii="Times New Roman" w:hAnsi="Times New Roman"/>
                <w:sz w:val="24"/>
                <w:szCs w:val="24"/>
              </w:rPr>
              <w:t xml:space="preserve"> combine investment in human capital for both </w:t>
            </w:r>
            <w:r w:rsidR="00AE0189">
              <w:rPr>
                <w:rFonts w:ascii="Times New Roman" w:hAnsi="Times New Roman"/>
                <w:sz w:val="24"/>
                <w:szCs w:val="24"/>
              </w:rPr>
              <w:t xml:space="preserve">the </w:t>
            </w:r>
            <w:r w:rsidR="00AE0189" w:rsidRPr="00F12B16">
              <w:rPr>
                <w:rFonts w:ascii="Times New Roman" w:hAnsi="Times New Roman"/>
                <w:sz w:val="24"/>
                <w:szCs w:val="24"/>
              </w:rPr>
              <w:t>labour market in countries of origin and countries of destination</w:t>
            </w:r>
            <w:r w:rsidR="00E50868" w:rsidRPr="5FAE6BE0">
              <w:rPr>
                <w:rFonts w:ascii="Times New Roman" w:hAnsi="Times New Roman"/>
                <w:sz w:val="24"/>
                <w:szCs w:val="24"/>
              </w:rPr>
              <w:t xml:space="preserve">. </w:t>
            </w:r>
            <w:r w:rsidR="0066081B" w:rsidRPr="5FAE6BE0">
              <w:rPr>
                <w:rFonts w:ascii="Times New Roman" w:hAnsi="Times New Roman"/>
                <w:sz w:val="24"/>
                <w:szCs w:val="24"/>
              </w:rPr>
              <w:t>Th</w:t>
            </w:r>
            <w:r w:rsidR="002A00CA">
              <w:rPr>
                <w:rFonts w:ascii="Times New Roman" w:hAnsi="Times New Roman"/>
                <w:sz w:val="24"/>
                <w:szCs w:val="24"/>
              </w:rPr>
              <w:t xml:space="preserve">is is in line with </w:t>
            </w:r>
            <w:r w:rsidR="0066081B" w:rsidRPr="5FAE6BE0">
              <w:rPr>
                <w:rFonts w:ascii="Times New Roman" w:hAnsi="Times New Roman"/>
                <w:sz w:val="24"/>
                <w:szCs w:val="24"/>
              </w:rPr>
              <w:t xml:space="preserve">EESC </w:t>
            </w:r>
            <w:r w:rsidR="00AE0189" w:rsidRPr="000829FE">
              <w:rPr>
                <w:rFonts w:ascii="Times New Roman" w:hAnsi="Times New Roman"/>
                <w:sz w:val="24"/>
                <w:szCs w:val="24"/>
                <w:u w:val="single"/>
              </w:rPr>
              <w:t>points</w:t>
            </w:r>
            <w:r w:rsidR="0066081B" w:rsidRPr="000829FE">
              <w:rPr>
                <w:rFonts w:ascii="Times New Roman" w:hAnsi="Times New Roman"/>
                <w:sz w:val="24"/>
                <w:szCs w:val="24"/>
                <w:u w:val="single"/>
              </w:rPr>
              <w:t xml:space="preserve"> 3.4</w:t>
            </w:r>
            <w:r w:rsidR="002A00CA" w:rsidRPr="000829FE">
              <w:rPr>
                <w:rFonts w:ascii="Times New Roman" w:hAnsi="Times New Roman"/>
                <w:sz w:val="24"/>
                <w:szCs w:val="24"/>
                <w:u w:val="single"/>
              </w:rPr>
              <w:t xml:space="preserve"> </w:t>
            </w:r>
            <w:r w:rsidR="00AE0189" w:rsidRPr="000829FE">
              <w:rPr>
                <w:rFonts w:ascii="Times New Roman" w:hAnsi="Times New Roman"/>
                <w:sz w:val="24"/>
                <w:szCs w:val="24"/>
                <w:u w:val="single"/>
              </w:rPr>
              <w:t>and 4.7</w:t>
            </w:r>
            <w:r w:rsidR="00AE0189">
              <w:rPr>
                <w:rFonts w:ascii="Times New Roman" w:hAnsi="Times New Roman"/>
                <w:sz w:val="24"/>
                <w:szCs w:val="24"/>
              </w:rPr>
              <w:t xml:space="preserve"> </w:t>
            </w:r>
            <w:r w:rsidR="002A00CA">
              <w:rPr>
                <w:rFonts w:ascii="Times New Roman" w:hAnsi="Times New Roman"/>
                <w:sz w:val="24"/>
                <w:szCs w:val="24"/>
              </w:rPr>
              <w:t>calling for a balanced approach in enhancing legal labour migration</w:t>
            </w:r>
            <w:r w:rsidR="00AE0189">
              <w:rPr>
                <w:rFonts w:ascii="Times New Roman" w:hAnsi="Times New Roman"/>
                <w:sz w:val="24"/>
                <w:szCs w:val="24"/>
              </w:rPr>
              <w:t>, with benefits for partner countries going</w:t>
            </w:r>
            <w:r w:rsidR="00AE0189" w:rsidRPr="00F12B16">
              <w:rPr>
                <w:rFonts w:ascii="Times New Roman" w:hAnsi="Times New Roman"/>
                <w:sz w:val="24"/>
                <w:szCs w:val="24"/>
              </w:rPr>
              <w:t xml:space="preserve"> beyond remittances only.</w:t>
            </w:r>
          </w:p>
          <w:p w14:paraId="0A19D3D0" w14:textId="62B36241" w:rsidR="0066081B" w:rsidRDefault="000034FA" w:rsidP="006D748A">
            <w:pPr>
              <w:spacing w:before="120" w:after="120"/>
              <w:jc w:val="both"/>
              <w:rPr>
                <w:rFonts w:ascii="Times New Roman" w:hAnsi="Times New Roman"/>
                <w:sz w:val="24"/>
                <w:szCs w:val="24"/>
              </w:rPr>
            </w:pPr>
            <w:r w:rsidRPr="00697136">
              <w:rPr>
                <w:rFonts w:ascii="Times New Roman" w:hAnsi="Times New Roman"/>
                <w:sz w:val="24"/>
                <w:szCs w:val="24"/>
              </w:rPr>
              <w:t xml:space="preserve">Regarding </w:t>
            </w:r>
            <w:r w:rsidRPr="000829FE">
              <w:rPr>
                <w:rFonts w:ascii="Times New Roman" w:hAnsi="Times New Roman"/>
                <w:sz w:val="24"/>
                <w:szCs w:val="24"/>
                <w:u w:val="single"/>
              </w:rPr>
              <w:t>point 3.4.3</w:t>
            </w:r>
            <w:r w:rsidRPr="00697136">
              <w:rPr>
                <w:rFonts w:ascii="Times New Roman" w:hAnsi="Times New Roman"/>
                <w:sz w:val="24"/>
                <w:szCs w:val="24"/>
              </w:rPr>
              <w:t xml:space="preserve">, the Commission supports </w:t>
            </w:r>
            <w:r w:rsidRPr="000633EC">
              <w:rPr>
                <w:rFonts w:ascii="Times New Roman" w:hAnsi="Times New Roman"/>
                <w:b/>
                <w:bCs/>
                <w:sz w:val="24"/>
                <w:szCs w:val="24"/>
              </w:rPr>
              <w:t>capacity building and training centres</w:t>
            </w:r>
            <w:r w:rsidRPr="00697136">
              <w:rPr>
                <w:rFonts w:ascii="Times New Roman" w:hAnsi="Times New Roman"/>
                <w:sz w:val="24"/>
                <w:szCs w:val="24"/>
              </w:rPr>
              <w:t xml:space="preserve"> in partner countries, including through </w:t>
            </w:r>
            <w:r w:rsidRPr="002D2822">
              <w:rPr>
                <w:rFonts w:ascii="Times New Roman" w:hAnsi="Times New Roman"/>
                <w:sz w:val="24"/>
                <w:szCs w:val="24"/>
              </w:rPr>
              <w:t>Technical and Vocational Education and Training</w:t>
            </w:r>
            <w:r w:rsidR="00993FA9">
              <w:rPr>
                <w:rFonts w:ascii="Times New Roman" w:hAnsi="Times New Roman"/>
                <w:sz w:val="24"/>
                <w:szCs w:val="24"/>
              </w:rPr>
              <w:t> </w:t>
            </w:r>
            <w:r>
              <w:rPr>
                <w:rFonts w:ascii="Times New Roman" w:hAnsi="Times New Roman"/>
                <w:sz w:val="24"/>
                <w:szCs w:val="24"/>
              </w:rPr>
              <w:t>(</w:t>
            </w:r>
            <w:r w:rsidRPr="00697136">
              <w:rPr>
                <w:rFonts w:ascii="Times New Roman" w:hAnsi="Times New Roman"/>
                <w:sz w:val="24"/>
                <w:szCs w:val="24"/>
              </w:rPr>
              <w:t>TVET</w:t>
            </w:r>
            <w:r>
              <w:rPr>
                <w:rFonts w:ascii="Times New Roman" w:hAnsi="Times New Roman"/>
                <w:sz w:val="24"/>
                <w:szCs w:val="24"/>
              </w:rPr>
              <w:t>)</w:t>
            </w:r>
            <w:r w:rsidRPr="00697136">
              <w:rPr>
                <w:rFonts w:ascii="Times New Roman" w:hAnsi="Times New Roman"/>
                <w:sz w:val="24"/>
                <w:szCs w:val="24"/>
              </w:rPr>
              <w:t xml:space="preserve"> programmes and Talent Partnerships. Under Talent Partnership</w:t>
            </w:r>
            <w:r>
              <w:rPr>
                <w:rFonts w:ascii="Times New Roman" w:hAnsi="Times New Roman"/>
                <w:sz w:val="24"/>
                <w:szCs w:val="24"/>
              </w:rPr>
              <w:t>s</w:t>
            </w:r>
            <w:r w:rsidRPr="00697136">
              <w:rPr>
                <w:rFonts w:ascii="Times New Roman" w:hAnsi="Times New Roman"/>
                <w:sz w:val="24"/>
                <w:szCs w:val="24"/>
              </w:rPr>
              <w:t xml:space="preserve">, the EU </w:t>
            </w:r>
            <w:r>
              <w:rPr>
                <w:rFonts w:ascii="Times New Roman" w:hAnsi="Times New Roman"/>
                <w:sz w:val="24"/>
                <w:szCs w:val="24"/>
              </w:rPr>
              <w:t xml:space="preserve">aims to </w:t>
            </w:r>
            <w:r w:rsidRPr="00697136">
              <w:rPr>
                <w:rFonts w:ascii="Times New Roman" w:hAnsi="Times New Roman"/>
                <w:sz w:val="24"/>
                <w:szCs w:val="24"/>
              </w:rPr>
              <w:t>fund training</w:t>
            </w:r>
            <w:r w:rsidR="004C4CE8">
              <w:rPr>
                <w:rFonts w:ascii="Times New Roman" w:hAnsi="Times New Roman"/>
                <w:sz w:val="24"/>
                <w:szCs w:val="24"/>
              </w:rPr>
              <w:t xml:space="preserve"> programmes</w:t>
            </w:r>
            <w:r w:rsidRPr="00697136">
              <w:rPr>
                <w:rFonts w:ascii="Times New Roman" w:hAnsi="Times New Roman"/>
                <w:sz w:val="24"/>
                <w:szCs w:val="24"/>
              </w:rPr>
              <w:t xml:space="preserve"> in partner countries </w:t>
            </w:r>
            <w:r>
              <w:rPr>
                <w:rFonts w:ascii="Times New Roman" w:hAnsi="Times New Roman"/>
                <w:sz w:val="24"/>
                <w:szCs w:val="24"/>
              </w:rPr>
              <w:t>that address the s</w:t>
            </w:r>
            <w:r w:rsidRPr="00697136">
              <w:rPr>
                <w:rFonts w:ascii="Times New Roman" w:hAnsi="Times New Roman"/>
                <w:sz w:val="24"/>
                <w:szCs w:val="24"/>
              </w:rPr>
              <w:t xml:space="preserve">kills needed </w:t>
            </w:r>
            <w:r>
              <w:rPr>
                <w:rFonts w:ascii="Times New Roman" w:hAnsi="Times New Roman"/>
                <w:sz w:val="24"/>
                <w:szCs w:val="24"/>
              </w:rPr>
              <w:t xml:space="preserve">in both partner countries’ </w:t>
            </w:r>
            <w:r w:rsidRPr="00697136">
              <w:rPr>
                <w:rFonts w:ascii="Times New Roman" w:hAnsi="Times New Roman"/>
                <w:sz w:val="24"/>
                <w:szCs w:val="24"/>
              </w:rPr>
              <w:t>and EU’s labour market. ‘Train to hire programmes’ are critical to address workforce needs in Europe and contribute to the skills development of partner countries.</w:t>
            </w:r>
          </w:p>
          <w:p w14:paraId="4CCA71EC" w14:textId="73ECBF69" w:rsidR="000034FA" w:rsidRPr="000829FE" w:rsidRDefault="000034FA" w:rsidP="006D748A">
            <w:pPr>
              <w:spacing w:before="120" w:after="120"/>
              <w:jc w:val="both"/>
              <w:rPr>
                <w:rFonts w:ascii="Times New Roman" w:hAnsi="Times New Roman"/>
                <w:sz w:val="24"/>
                <w:szCs w:val="24"/>
                <w:lang w:val="en-IE"/>
              </w:rPr>
            </w:pPr>
            <w:r w:rsidRPr="5FAE6BE0">
              <w:rPr>
                <w:rFonts w:ascii="Times New Roman" w:hAnsi="Times New Roman"/>
                <w:sz w:val="24"/>
                <w:szCs w:val="24"/>
              </w:rPr>
              <w:t xml:space="preserve">Regarding </w:t>
            </w:r>
            <w:r w:rsidRPr="000829FE">
              <w:rPr>
                <w:rFonts w:ascii="Times New Roman" w:hAnsi="Times New Roman"/>
                <w:sz w:val="24"/>
                <w:szCs w:val="24"/>
                <w:u w:val="single"/>
              </w:rPr>
              <w:t>points 4,1, 4.11 and 4.7</w:t>
            </w:r>
            <w:r w:rsidRPr="5FAE6BE0">
              <w:rPr>
                <w:rFonts w:ascii="Times New Roman" w:hAnsi="Times New Roman"/>
                <w:sz w:val="24"/>
                <w:szCs w:val="24"/>
              </w:rPr>
              <w:t xml:space="preserve">, the annual </w:t>
            </w:r>
            <w:r w:rsidRPr="5FAE6BE0">
              <w:rPr>
                <w:rFonts w:ascii="Times New Roman" w:hAnsi="Times New Roman"/>
                <w:b/>
                <w:bCs/>
                <w:sz w:val="24"/>
                <w:szCs w:val="24"/>
              </w:rPr>
              <w:t>Talent Partnership Roundtables</w:t>
            </w:r>
            <w:r w:rsidRPr="5FAE6BE0">
              <w:rPr>
                <w:rFonts w:ascii="Times New Roman" w:hAnsi="Times New Roman"/>
                <w:sz w:val="24"/>
                <w:szCs w:val="24"/>
              </w:rPr>
              <w:t xml:space="preserve"> with each partner country provide a common structured framework for cooperation, bringing together the EU and its Member States, partner countries and all relevant actors. The partnerships are tailor-made and focus on the jointly agreed objectives set out in the Roadmaps for each Talent Partnership. These Roadmaps also include an overview of the activities contributing to the agreed objectives. </w:t>
            </w:r>
            <w:r w:rsidRPr="5FAE6BE0">
              <w:rPr>
                <w:rFonts w:ascii="Times New Roman" w:hAnsi="Times New Roman"/>
                <w:b/>
                <w:bCs/>
                <w:sz w:val="24"/>
                <w:szCs w:val="24"/>
              </w:rPr>
              <w:t>Transparency</w:t>
            </w:r>
            <w:r w:rsidRPr="5FAE6BE0">
              <w:rPr>
                <w:rFonts w:ascii="Times New Roman" w:hAnsi="Times New Roman"/>
                <w:sz w:val="24"/>
                <w:szCs w:val="24"/>
              </w:rPr>
              <w:t xml:space="preserve"> is ensured through open exchanges among relevant stakeholders. In addition, the EU ensures transparency on all the relevant EU-funded programmes/projects, including the THAMM</w:t>
            </w:r>
            <w:r w:rsidR="003835D9">
              <w:rPr>
                <w:rFonts w:ascii="Times New Roman" w:hAnsi="Times New Roman"/>
                <w:sz w:val="24"/>
                <w:szCs w:val="24"/>
              </w:rPr>
              <w:t> (</w:t>
            </w:r>
            <w:r w:rsidR="003835D9" w:rsidRPr="000829FE">
              <w:rPr>
                <w:rFonts w:ascii="Times New Roman" w:hAnsi="Times New Roman"/>
                <w:sz w:val="24"/>
                <w:szCs w:val="24"/>
              </w:rPr>
              <w:t>Towards a</w:t>
            </w:r>
            <w:r w:rsidR="000829FE">
              <w:rPr>
                <w:rFonts w:ascii="Times New Roman" w:hAnsi="Times New Roman"/>
                <w:sz w:val="24"/>
                <w:szCs w:val="24"/>
              </w:rPr>
              <w:t> </w:t>
            </w:r>
            <w:r w:rsidR="003835D9" w:rsidRPr="000829FE">
              <w:rPr>
                <w:rFonts w:ascii="Times New Roman" w:hAnsi="Times New Roman"/>
                <w:sz w:val="24"/>
                <w:szCs w:val="24"/>
              </w:rPr>
              <w:t>Holistic Approach to Labour Migration Governance and Labour Mobility in North Africa)</w:t>
            </w:r>
            <w:r w:rsidRPr="5FAE6BE0">
              <w:rPr>
                <w:rFonts w:ascii="Times New Roman" w:hAnsi="Times New Roman"/>
                <w:sz w:val="24"/>
                <w:szCs w:val="24"/>
              </w:rPr>
              <w:t xml:space="preserve"> regional programme and the projects under the Migration Partnership Facility – on which information is available on a dedicated website</w:t>
            </w:r>
            <w:r w:rsidRPr="5FAE6BE0">
              <w:rPr>
                <w:rStyle w:val="FootnoteReference"/>
                <w:rFonts w:ascii="Times New Roman" w:hAnsi="Times New Roman"/>
                <w:szCs w:val="24"/>
              </w:rPr>
              <w:footnoteReference w:id="10"/>
            </w:r>
            <w:r w:rsidRPr="5FAE6BE0">
              <w:rPr>
                <w:rFonts w:ascii="Times New Roman" w:hAnsi="Times New Roman"/>
                <w:sz w:val="24"/>
                <w:szCs w:val="24"/>
              </w:rPr>
              <w:t>.</w:t>
            </w:r>
            <w:r w:rsidR="00AE0189">
              <w:rPr>
                <w:rFonts w:ascii="Times New Roman" w:hAnsi="Times New Roman"/>
                <w:sz w:val="24"/>
                <w:szCs w:val="24"/>
              </w:rPr>
              <w:t xml:space="preserve"> </w:t>
            </w:r>
            <w:r w:rsidRPr="5FAE6BE0">
              <w:rPr>
                <w:rFonts w:ascii="Times New Roman" w:hAnsi="Times New Roman"/>
                <w:sz w:val="24"/>
                <w:szCs w:val="24"/>
              </w:rPr>
              <w:t xml:space="preserve">There is a regular </w:t>
            </w:r>
            <w:r w:rsidRPr="5FAE6BE0">
              <w:rPr>
                <w:rFonts w:ascii="Times New Roman" w:hAnsi="Times New Roman"/>
                <w:b/>
                <w:bCs/>
                <w:sz w:val="24"/>
                <w:szCs w:val="24"/>
              </w:rPr>
              <w:t>internal and external evaluation</w:t>
            </w:r>
            <w:r w:rsidRPr="5FAE6BE0">
              <w:rPr>
                <w:rFonts w:ascii="Times New Roman" w:hAnsi="Times New Roman"/>
                <w:sz w:val="24"/>
                <w:szCs w:val="24"/>
              </w:rPr>
              <w:t xml:space="preserve"> taking place on all EU-funded programmes/projects supporting the implementation of Talent Partnerships, including the THAMM programme in Tunisia, Morocco and Egypt, labour mobility projects under the Migration Partnership Facility</w:t>
            </w:r>
            <w:r w:rsidR="003835D9">
              <w:rPr>
                <w:rFonts w:ascii="Times New Roman" w:hAnsi="Times New Roman"/>
                <w:sz w:val="24"/>
                <w:szCs w:val="24"/>
              </w:rPr>
              <w:t> </w:t>
            </w:r>
            <w:r w:rsidRPr="5FAE6BE0">
              <w:rPr>
                <w:rFonts w:ascii="Times New Roman" w:hAnsi="Times New Roman"/>
                <w:sz w:val="24"/>
                <w:szCs w:val="24"/>
              </w:rPr>
              <w:t>(MPF) and NDICI</w:t>
            </w:r>
            <w:r w:rsidR="003835D9">
              <w:rPr>
                <w:rFonts w:ascii="Times New Roman" w:hAnsi="Times New Roman"/>
                <w:sz w:val="24"/>
                <w:szCs w:val="24"/>
              </w:rPr>
              <w:t> (</w:t>
            </w:r>
            <w:r w:rsidR="003835D9" w:rsidRPr="003835D9">
              <w:rPr>
                <w:rFonts w:ascii="Times New Roman" w:hAnsi="Times New Roman"/>
                <w:sz w:val="24"/>
                <w:szCs w:val="24"/>
                <w:lang w:val="en-IE"/>
              </w:rPr>
              <w:t>Neighbourhood, Development and International Cooperation Instrument</w:t>
            </w:r>
            <w:r w:rsidR="003835D9">
              <w:rPr>
                <w:rFonts w:ascii="Times New Roman" w:hAnsi="Times New Roman"/>
                <w:sz w:val="24"/>
                <w:szCs w:val="24"/>
                <w:lang w:val="en-IE"/>
              </w:rPr>
              <w:t>)</w:t>
            </w:r>
            <w:r w:rsidRPr="5FAE6BE0">
              <w:rPr>
                <w:rFonts w:ascii="Times New Roman" w:hAnsi="Times New Roman"/>
                <w:sz w:val="24"/>
                <w:szCs w:val="24"/>
              </w:rPr>
              <w:t xml:space="preserve">-funded Talent Partnership programmes in Bangladesh and Pakistan. Lessons learnt are identified and inform the design and implementation of future initiatives/projects, </w:t>
            </w:r>
            <w:r w:rsidR="00567AD4">
              <w:rPr>
                <w:rFonts w:ascii="Times New Roman" w:hAnsi="Times New Roman"/>
                <w:sz w:val="24"/>
                <w:szCs w:val="24"/>
              </w:rPr>
              <w:t xml:space="preserve">and </w:t>
            </w:r>
            <w:r w:rsidRPr="5FAE6BE0">
              <w:rPr>
                <w:rFonts w:ascii="Times New Roman" w:hAnsi="Times New Roman"/>
                <w:sz w:val="24"/>
                <w:szCs w:val="24"/>
              </w:rPr>
              <w:t>examples of relevant reports are also available on the MPF website</w:t>
            </w:r>
            <w:r w:rsidRPr="5FAE6BE0">
              <w:rPr>
                <w:rStyle w:val="FootnoteReference"/>
                <w:rFonts w:ascii="Times New Roman" w:hAnsi="Times New Roman"/>
                <w:szCs w:val="24"/>
              </w:rPr>
              <w:footnoteReference w:id="11"/>
            </w:r>
            <w:r w:rsidRPr="5FAE6BE0">
              <w:rPr>
                <w:rFonts w:ascii="Times New Roman" w:hAnsi="Times New Roman"/>
                <w:sz w:val="24"/>
                <w:szCs w:val="24"/>
              </w:rPr>
              <w:t>.</w:t>
            </w:r>
          </w:p>
          <w:p w14:paraId="26B74C8D" w14:textId="282D4B51" w:rsidR="0066081B" w:rsidRDefault="000034FA" w:rsidP="006D748A">
            <w:pPr>
              <w:spacing w:before="120" w:after="120"/>
              <w:jc w:val="both"/>
              <w:rPr>
                <w:rFonts w:ascii="Times New Roman" w:hAnsi="Times New Roman"/>
                <w:sz w:val="24"/>
                <w:szCs w:val="24"/>
              </w:rPr>
            </w:pPr>
            <w:r w:rsidRPr="00F12B16">
              <w:rPr>
                <w:rFonts w:ascii="Times New Roman" w:hAnsi="Times New Roman"/>
                <w:sz w:val="24"/>
                <w:szCs w:val="24"/>
              </w:rPr>
              <w:t xml:space="preserve">Regarding the </w:t>
            </w:r>
            <w:r w:rsidRPr="00345D07">
              <w:rPr>
                <w:rFonts w:ascii="Times New Roman" w:hAnsi="Times New Roman"/>
                <w:b/>
                <w:bCs/>
                <w:sz w:val="24"/>
                <w:szCs w:val="24"/>
              </w:rPr>
              <w:t>selection criteria</w:t>
            </w:r>
            <w:r>
              <w:rPr>
                <w:rFonts w:ascii="Times New Roman" w:hAnsi="Times New Roman"/>
                <w:b/>
                <w:bCs/>
                <w:sz w:val="24"/>
                <w:szCs w:val="24"/>
              </w:rPr>
              <w:t xml:space="preserve"> </w:t>
            </w:r>
            <w:r>
              <w:rPr>
                <w:rFonts w:ascii="Times New Roman" w:hAnsi="Times New Roman"/>
                <w:sz w:val="24"/>
                <w:szCs w:val="24"/>
              </w:rPr>
              <w:t>for countries benefiting from Talent Partnerships</w:t>
            </w:r>
            <w:r w:rsidRPr="00F12B16">
              <w:rPr>
                <w:rFonts w:ascii="Times New Roman" w:hAnsi="Times New Roman"/>
                <w:sz w:val="24"/>
                <w:szCs w:val="24"/>
              </w:rPr>
              <w:t xml:space="preserve">, the </w:t>
            </w:r>
            <w:r w:rsidR="003620E8">
              <w:rPr>
                <w:rFonts w:ascii="Times New Roman" w:hAnsi="Times New Roman"/>
                <w:sz w:val="24"/>
                <w:szCs w:val="24"/>
              </w:rPr>
              <w:t>Commission</w:t>
            </w:r>
            <w:r w:rsidRPr="00F12B16">
              <w:rPr>
                <w:rFonts w:ascii="Times New Roman" w:hAnsi="Times New Roman"/>
                <w:sz w:val="24"/>
                <w:szCs w:val="24"/>
              </w:rPr>
              <w:t xml:space="preserve"> </w:t>
            </w:r>
            <w:r w:rsidRPr="00F12B16">
              <w:rPr>
                <w:rFonts w:ascii="Times New Roman" w:hAnsi="Times New Roman"/>
                <w:sz w:val="24"/>
                <w:szCs w:val="24"/>
              </w:rPr>
              <w:lastRenderedPageBreak/>
              <w:t xml:space="preserve">agrees with </w:t>
            </w:r>
            <w:r>
              <w:rPr>
                <w:rFonts w:ascii="Times New Roman" w:hAnsi="Times New Roman"/>
                <w:sz w:val="24"/>
                <w:szCs w:val="24"/>
              </w:rPr>
              <w:t xml:space="preserve">the </w:t>
            </w:r>
            <w:r w:rsidRPr="00F12B16">
              <w:rPr>
                <w:rFonts w:ascii="Times New Roman" w:hAnsi="Times New Roman"/>
                <w:sz w:val="24"/>
                <w:szCs w:val="24"/>
              </w:rPr>
              <w:t xml:space="preserve">EESC and reaffirms its commitment to upholding human and labour rights in its external relations. Protecting labour rights of migrant workers is one of the key objectives of each Talent Partnerships, including through promoting fair and ethical recruitment in line with the </w:t>
            </w:r>
            <w:r w:rsidR="003835D9" w:rsidRPr="003835D9">
              <w:rPr>
                <w:rFonts w:ascii="Times New Roman" w:hAnsi="Times New Roman"/>
                <w:sz w:val="24"/>
                <w:szCs w:val="24"/>
              </w:rPr>
              <w:t>International Labour Organization</w:t>
            </w:r>
            <w:r w:rsidR="003835D9">
              <w:rPr>
                <w:rFonts w:ascii="Times New Roman" w:hAnsi="Times New Roman"/>
                <w:sz w:val="24"/>
                <w:szCs w:val="24"/>
              </w:rPr>
              <w:t> (</w:t>
            </w:r>
            <w:r w:rsidRPr="00F12B16">
              <w:rPr>
                <w:rFonts w:ascii="Times New Roman" w:hAnsi="Times New Roman"/>
                <w:sz w:val="24"/>
                <w:szCs w:val="24"/>
              </w:rPr>
              <w:t>ILO</w:t>
            </w:r>
            <w:r w:rsidR="003835D9">
              <w:rPr>
                <w:rFonts w:ascii="Times New Roman" w:hAnsi="Times New Roman"/>
                <w:sz w:val="24"/>
                <w:szCs w:val="24"/>
              </w:rPr>
              <w:t>)</w:t>
            </w:r>
            <w:r w:rsidRPr="00F12B16">
              <w:rPr>
                <w:rFonts w:ascii="Times New Roman" w:hAnsi="Times New Roman"/>
                <w:sz w:val="24"/>
                <w:szCs w:val="24"/>
              </w:rPr>
              <w:t xml:space="preserve"> international guidelines.</w:t>
            </w:r>
          </w:p>
          <w:p w14:paraId="0011D29F" w14:textId="3A66E30E" w:rsidR="00942573" w:rsidRDefault="791C7B61" w:rsidP="006D748A">
            <w:pPr>
              <w:spacing w:before="120" w:after="120"/>
              <w:jc w:val="both"/>
              <w:rPr>
                <w:rFonts w:ascii="Times New Roman" w:hAnsi="Times New Roman"/>
                <w:sz w:val="24"/>
                <w:szCs w:val="24"/>
              </w:rPr>
            </w:pPr>
            <w:r w:rsidRPr="37169F50">
              <w:rPr>
                <w:rFonts w:ascii="Times New Roman" w:hAnsi="Times New Roman"/>
                <w:sz w:val="24"/>
                <w:szCs w:val="24"/>
              </w:rPr>
              <w:t xml:space="preserve">As part of the wider efforts to facilitate legal migration, the Commission, together with Member States, is currently in the process of </w:t>
            </w:r>
            <w:r w:rsidR="6039E365" w:rsidRPr="37169F50">
              <w:rPr>
                <w:rFonts w:ascii="Times New Roman" w:hAnsi="Times New Roman"/>
                <w:sz w:val="24"/>
                <w:szCs w:val="24"/>
              </w:rPr>
              <w:t xml:space="preserve">piloting </w:t>
            </w:r>
            <w:r w:rsidR="00942573">
              <w:rPr>
                <w:rFonts w:ascii="Times New Roman" w:hAnsi="Times New Roman"/>
                <w:b/>
                <w:bCs/>
                <w:sz w:val="24"/>
                <w:szCs w:val="24"/>
              </w:rPr>
              <w:t>European</w:t>
            </w:r>
            <w:r w:rsidR="00942573" w:rsidRPr="001A517A">
              <w:rPr>
                <w:rFonts w:ascii="Times New Roman" w:hAnsi="Times New Roman"/>
                <w:b/>
                <w:bCs/>
                <w:sz w:val="24"/>
                <w:szCs w:val="24"/>
              </w:rPr>
              <w:t xml:space="preserve"> </w:t>
            </w:r>
            <w:r w:rsidRPr="001A517A">
              <w:rPr>
                <w:rFonts w:ascii="Times New Roman" w:hAnsi="Times New Roman"/>
                <w:b/>
                <w:bCs/>
                <w:sz w:val="24"/>
                <w:szCs w:val="24"/>
              </w:rPr>
              <w:t>Legal Gateway Offices</w:t>
            </w:r>
            <w:r w:rsidRPr="37169F50">
              <w:rPr>
                <w:rFonts w:ascii="Times New Roman" w:hAnsi="Times New Roman"/>
                <w:sz w:val="24"/>
                <w:szCs w:val="24"/>
              </w:rPr>
              <w:t xml:space="preserve"> in partner countries. These offices </w:t>
            </w:r>
            <w:r w:rsidR="6039E365" w:rsidRPr="37169F50">
              <w:rPr>
                <w:rFonts w:ascii="Times New Roman" w:hAnsi="Times New Roman"/>
                <w:sz w:val="24"/>
                <w:szCs w:val="24"/>
              </w:rPr>
              <w:t>would be set up jointly with Member States to provide additional support to employers in finding the skills they need in priority sectors</w:t>
            </w:r>
            <w:r w:rsidRPr="37169F50">
              <w:rPr>
                <w:rFonts w:ascii="Times New Roman" w:hAnsi="Times New Roman"/>
                <w:sz w:val="24"/>
                <w:szCs w:val="24"/>
              </w:rPr>
              <w:t xml:space="preserve">. They </w:t>
            </w:r>
            <w:r w:rsidR="6039E365" w:rsidRPr="37169F50">
              <w:rPr>
                <w:rFonts w:ascii="Times New Roman" w:hAnsi="Times New Roman"/>
                <w:sz w:val="24"/>
                <w:szCs w:val="24"/>
              </w:rPr>
              <w:t>c</w:t>
            </w:r>
            <w:r w:rsidRPr="37169F50">
              <w:rPr>
                <w:rFonts w:ascii="Times New Roman" w:hAnsi="Times New Roman"/>
                <w:sz w:val="24"/>
                <w:szCs w:val="24"/>
              </w:rPr>
              <w:t>ould for example provid</w:t>
            </w:r>
            <w:r w:rsidR="6039E365" w:rsidRPr="37169F50">
              <w:rPr>
                <w:rFonts w:ascii="Times New Roman" w:hAnsi="Times New Roman"/>
                <w:sz w:val="24"/>
                <w:szCs w:val="24"/>
              </w:rPr>
              <w:t>e</w:t>
            </w:r>
            <w:r w:rsidRPr="37169F50">
              <w:rPr>
                <w:rFonts w:ascii="Times New Roman" w:hAnsi="Times New Roman"/>
                <w:sz w:val="24"/>
                <w:szCs w:val="24"/>
              </w:rPr>
              <w:t xml:space="preserve"> information on legal pathways, support candidates and EU employers with requirements and procedures for the recognition of qualifications and facilitate contacts with the employers in the EU. On both these initiatives, engaging with employers, </w:t>
            </w:r>
            <w:r w:rsidR="00812A16">
              <w:rPr>
                <w:rFonts w:ascii="Times New Roman" w:hAnsi="Times New Roman"/>
                <w:sz w:val="24"/>
                <w:szCs w:val="24"/>
              </w:rPr>
              <w:t>notably</w:t>
            </w:r>
            <w:r w:rsidRPr="37169F50">
              <w:rPr>
                <w:rFonts w:ascii="Times New Roman" w:hAnsi="Times New Roman"/>
                <w:sz w:val="24"/>
                <w:szCs w:val="24"/>
              </w:rPr>
              <w:t xml:space="preserve"> SMEs, is key. </w:t>
            </w:r>
            <w:r w:rsidR="4A409215" w:rsidRPr="37169F50">
              <w:rPr>
                <w:rFonts w:ascii="Times New Roman" w:hAnsi="Times New Roman"/>
                <w:sz w:val="24"/>
                <w:szCs w:val="24"/>
              </w:rPr>
              <w:t>Their input is essential to help us</w:t>
            </w:r>
            <w:r w:rsidRPr="37169F50">
              <w:rPr>
                <w:rFonts w:ascii="Times New Roman" w:hAnsi="Times New Roman"/>
                <w:sz w:val="24"/>
                <w:szCs w:val="24"/>
              </w:rPr>
              <w:t xml:space="preserve"> understand the</w:t>
            </w:r>
            <w:r w:rsidR="4A409215" w:rsidRPr="37169F50">
              <w:rPr>
                <w:rFonts w:ascii="Times New Roman" w:hAnsi="Times New Roman"/>
                <w:sz w:val="24"/>
                <w:szCs w:val="24"/>
              </w:rPr>
              <w:t>ir</w:t>
            </w:r>
            <w:r w:rsidRPr="37169F50">
              <w:rPr>
                <w:rFonts w:ascii="Times New Roman" w:hAnsi="Times New Roman"/>
                <w:sz w:val="24"/>
                <w:szCs w:val="24"/>
              </w:rPr>
              <w:t xml:space="preserve"> needs </w:t>
            </w:r>
            <w:r w:rsidR="4A409215" w:rsidRPr="37169F50">
              <w:rPr>
                <w:rFonts w:ascii="Times New Roman" w:hAnsi="Times New Roman"/>
                <w:sz w:val="24"/>
                <w:szCs w:val="24"/>
              </w:rPr>
              <w:t xml:space="preserve">and </w:t>
            </w:r>
            <w:r w:rsidRPr="37169F50">
              <w:rPr>
                <w:rFonts w:ascii="Times New Roman" w:hAnsi="Times New Roman"/>
                <w:sz w:val="24"/>
                <w:szCs w:val="24"/>
              </w:rPr>
              <w:t>make sure that we are investing in the right sectors and addressing the right needs for skills development, facilitat</w:t>
            </w:r>
            <w:r w:rsidR="00812A16">
              <w:rPr>
                <w:rFonts w:ascii="Times New Roman" w:hAnsi="Times New Roman"/>
                <w:sz w:val="24"/>
                <w:szCs w:val="24"/>
              </w:rPr>
              <w:t>ing</w:t>
            </w:r>
            <w:r w:rsidRPr="37169F50">
              <w:rPr>
                <w:rFonts w:ascii="Times New Roman" w:hAnsi="Times New Roman"/>
                <w:sz w:val="24"/>
                <w:szCs w:val="24"/>
              </w:rPr>
              <w:t xml:space="preserve"> the matching and recruitment of candidates.</w:t>
            </w:r>
          </w:p>
          <w:p w14:paraId="725A4D97" w14:textId="2D35BE70" w:rsidR="00812A16" w:rsidRDefault="00942573" w:rsidP="006D748A">
            <w:pPr>
              <w:spacing w:before="120" w:after="120"/>
              <w:jc w:val="both"/>
              <w:rPr>
                <w:rFonts w:ascii="Times New Roman" w:hAnsi="Times New Roman"/>
                <w:sz w:val="24"/>
                <w:szCs w:val="24"/>
              </w:rPr>
            </w:pPr>
            <w:r w:rsidRPr="00B7686F">
              <w:rPr>
                <w:rFonts w:ascii="Times New Roman" w:hAnsi="Times New Roman"/>
                <w:sz w:val="24"/>
                <w:szCs w:val="24"/>
              </w:rPr>
              <w:t xml:space="preserve">The EU is notably currently collaborating with India to launch the first pilot European Legal Gateway Office in India, a one-stop hub to provide information and support the movement of workers to the EU, starting with the </w:t>
            </w:r>
            <w:r w:rsidR="003835D9" w:rsidRPr="003835D9">
              <w:rPr>
                <w:rFonts w:ascii="Times New Roman" w:hAnsi="Times New Roman"/>
                <w:sz w:val="24"/>
                <w:szCs w:val="24"/>
              </w:rPr>
              <w:t>information and communications technology</w:t>
            </w:r>
            <w:r w:rsidR="003835D9">
              <w:rPr>
                <w:rFonts w:ascii="Times New Roman" w:hAnsi="Times New Roman"/>
                <w:sz w:val="24"/>
                <w:szCs w:val="24"/>
              </w:rPr>
              <w:t> (</w:t>
            </w:r>
            <w:r w:rsidRPr="00B7686F">
              <w:rPr>
                <w:rFonts w:ascii="Times New Roman" w:hAnsi="Times New Roman"/>
                <w:sz w:val="24"/>
                <w:szCs w:val="24"/>
              </w:rPr>
              <w:t>ICT</w:t>
            </w:r>
            <w:r w:rsidR="003835D9">
              <w:rPr>
                <w:rFonts w:ascii="Times New Roman" w:hAnsi="Times New Roman"/>
                <w:sz w:val="24"/>
                <w:szCs w:val="24"/>
              </w:rPr>
              <w:t>)</w:t>
            </w:r>
            <w:r w:rsidRPr="00B7686F">
              <w:rPr>
                <w:rFonts w:ascii="Times New Roman" w:hAnsi="Times New Roman"/>
                <w:sz w:val="24"/>
                <w:szCs w:val="24"/>
              </w:rPr>
              <w:t xml:space="preserve"> sector. The Commission is coordinating with Member States and industry to ensure a swift, market-aligned launch. The initiative tackles operational barriers, responds to strong demand, and may expand to digital skills in </w:t>
            </w:r>
            <w:r w:rsidR="003835D9">
              <w:rPr>
                <w:rFonts w:ascii="Times New Roman" w:hAnsi="Times New Roman"/>
                <w:sz w:val="24"/>
                <w:szCs w:val="24"/>
              </w:rPr>
              <w:t>artificial intelligence (</w:t>
            </w:r>
            <w:r w:rsidRPr="00B7686F">
              <w:rPr>
                <w:rFonts w:ascii="Times New Roman" w:hAnsi="Times New Roman"/>
                <w:sz w:val="24"/>
                <w:szCs w:val="24"/>
              </w:rPr>
              <w:t>AI</w:t>
            </w:r>
            <w:r w:rsidR="003835D9">
              <w:rPr>
                <w:rFonts w:ascii="Times New Roman" w:hAnsi="Times New Roman"/>
                <w:sz w:val="24"/>
                <w:szCs w:val="24"/>
              </w:rPr>
              <w:t>)</w:t>
            </w:r>
            <w:r w:rsidRPr="00B7686F">
              <w:rPr>
                <w:rFonts w:ascii="Times New Roman" w:hAnsi="Times New Roman"/>
                <w:sz w:val="24"/>
                <w:szCs w:val="24"/>
              </w:rPr>
              <w:t>, data, quantum, and supercomputing.</w:t>
            </w:r>
          </w:p>
          <w:p w14:paraId="08E89ACA" w14:textId="1F01A22C" w:rsidR="00F265B8" w:rsidRDefault="00812A16" w:rsidP="006D748A">
            <w:pPr>
              <w:spacing w:before="120" w:after="120"/>
              <w:jc w:val="both"/>
              <w:rPr>
                <w:rFonts w:ascii="Times New Roman" w:hAnsi="Times New Roman"/>
                <w:sz w:val="24"/>
                <w:szCs w:val="24"/>
              </w:rPr>
            </w:pPr>
            <w:r>
              <w:rPr>
                <w:rFonts w:ascii="Times New Roman" w:hAnsi="Times New Roman"/>
                <w:sz w:val="24"/>
                <w:szCs w:val="24"/>
              </w:rPr>
              <w:t xml:space="preserve">Furthermore, </w:t>
            </w:r>
            <w:r w:rsidRPr="008D0A10">
              <w:rPr>
                <w:rFonts w:ascii="Times New Roman" w:hAnsi="Times New Roman"/>
                <w:sz w:val="24"/>
                <w:szCs w:val="24"/>
              </w:rPr>
              <w:t xml:space="preserve">due </w:t>
            </w:r>
            <w:r>
              <w:rPr>
                <w:rFonts w:ascii="Times New Roman" w:hAnsi="Times New Roman"/>
                <w:sz w:val="24"/>
                <w:szCs w:val="24"/>
              </w:rPr>
              <w:t>an</w:t>
            </w:r>
            <w:r w:rsidRPr="008D0A10">
              <w:rPr>
                <w:rFonts w:ascii="Times New Roman" w:hAnsi="Times New Roman"/>
                <w:sz w:val="24"/>
                <w:szCs w:val="24"/>
              </w:rPr>
              <w:t xml:space="preserve"> increasing demand for efficient labour migration to help fill vacancies in shortage occupations in the EU, </w:t>
            </w:r>
            <w:r>
              <w:rPr>
                <w:rFonts w:ascii="Times New Roman" w:hAnsi="Times New Roman"/>
                <w:sz w:val="24"/>
                <w:szCs w:val="24"/>
              </w:rPr>
              <w:t>a number of</w:t>
            </w:r>
            <w:r w:rsidRPr="008D0A10">
              <w:rPr>
                <w:rFonts w:ascii="Times New Roman" w:hAnsi="Times New Roman"/>
                <w:sz w:val="24"/>
                <w:szCs w:val="24"/>
              </w:rPr>
              <w:t xml:space="preserve"> Member States have been streamlining their procedures for admission </w:t>
            </w:r>
            <w:r>
              <w:rPr>
                <w:rFonts w:ascii="Times New Roman" w:hAnsi="Times New Roman"/>
                <w:sz w:val="24"/>
                <w:szCs w:val="24"/>
              </w:rPr>
              <w:t xml:space="preserve">of migrants for employment purposes </w:t>
            </w:r>
            <w:r w:rsidRPr="008D0A10">
              <w:rPr>
                <w:rFonts w:ascii="Times New Roman" w:hAnsi="Times New Roman"/>
                <w:sz w:val="24"/>
                <w:szCs w:val="24"/>
              </w:rPr>
              <w:t xml:space="preserve">and </w:t>
            </w:r>
            <w:r>
              <w:rPr>
                <w:rFonts w:ascii="Times New Roman" w:hAnsi="Times New Roman"/>
                <w:sz w:val="24"/>
                <w:szCs w:val="24"/>
              </w:rPr>
              <w:t>for the</w:t>
            </w:r>
            <w:r w:rsidRPr="008D0A10">
              <w:rPr>
                <w:rFonts w:ascii="Times New Roman" w:hAnsi="Times New Roman"/>
                <w:sz w:val="24"/>
                <w:szCs w:val="24"/>
              </w:rPr>
              <w:t xml:space="preserve"> recognition of qualifications </w:t>
            </w:r>
            <w:r>
              <w:rPr>
                <w:rFonts w:ascii="Times New Roman" w:hAnsi="Times New Roman"/>
                <w:sz w:val="24"/>
                <w:szCs w:val="24"/>
              </w:rPr>
              <w:t>of third country nationals, including to facilitate access to talent from abroad for SMEs</w:t>
            </w:r>
            <w:r w:rsidRPr="008D0A10">
              <w:rPr>
                <w:rFonts w:ascii="Times New Roman" w:hAnsi="Times New Roman"/>
                <w:sz w:val="24"/>
                <w:szCs w:val="24"/>
              </w:rPr>
              <w:t>.</w:t>
            </w:r>
          </w:p>
          <w:p w14:paraId="3A013638" w14:textId="3A1C7DE7" w:rsidR="00D33AA2" w:rsidRDefault="00D33AA2" w:rsidP="006D748A">
            <w:pPr>
              <w:spacing w:before="120" w:after="120"/>
              <w:jc w:val="both"/>
              <w:rPr>
                <w:rFonts w:ascii="Times New Roman" w:hAnsi="Times New Roman"/>
                <w:sz w:val="24"/>
                <w:szCs w:val="24"/>
              </w:rPr>
            </w:pPr>
            <w:r w:rsidRPr="00D33AA2">
              <w:rPr>
                <w:rFonts w:ascii="Times New Roman" w:hAnsi="Times New Roman"/>
                <w:sz w:val="24"/>
                <w:szCs w:val="24"/>
              </w:rPr>
              <w:t xml:space="preserve">The Commission welcomes the </w:t>
            </w:r>
            <w:r w:rsidR="001D1D6D" w:rsidRPr="00D33AA2">
              <w:rPr>
                <w:rFonts w:ascii="Times New Roman" w:hAnsi="Times New Roman"/>
                <w:sz w:val="24"/>
                <w:szCs w:val="24"/>
              </w:rPr>
              <w:t xml:space="preserve">EESC </w:t>
            </w:r>
            <w:r w:rsidR="00812A16">
              <w:rPr>
                <w:rFonts w:ascii="Times New Roman" w:hAnsi="Times New Roman"/>
                <w:sz w:val="24"/>
                <w:szCs w:val="24"/>
              </w:rPr>
              <w:t>general comment</w:t>
            </w:r>
            <w:r w:rsidR="00812A16" w:rsidRPr="00D33AA2">
              <w:rPr>
                <w:rFonts w:ascii="Times New Roman" w:hAnsi="Times New Roman"/>
                <w:sz w:val="24"/>
                <w:szCs w:val="24"/>
              </w:rPr>
              <w:t xml:space="preserve"> </w:t>
            </w:r>
            <w:r w:rsidRPr="00D33AA2">
              <w:rPr>
                <w:rFonts w:ascii="Times New Roman" w:hAnsi="Times New Roman"/>
                <w:sz w:val="24"/>
                <w:szCs w:val="24"/>
              </w:rPr>
              <w:t xml:space="preserve">in </w:t>
            </w:r>
            <w:r w:rsidRPr="000829FE">
              <w:rPr>
                <w:rFonts w:ascii="Times New Roman" w:hAnsi="Times New Roman"/>
                <w:sz w:val="24"/>
                <w:szCs w:val="24"/>
                <w:u w:val="single"/>
              </w:rPr>
              <w:t>point 3.3</w:t>
            </w:r>
            <w:r w:rsidRPr="00D33AA2">
              <w:rPr>
                <w:rFonts w:ascii="Times New Roman" w:hAnsi="Times New Roman"/>
                <w:sz w:val="24"/>
                <w:szCs w:val="24"/>
              </w:rPr>
              <w:t xml:space="preserve">, which is reflected in </w:t>
            </w:r>
            <w:r w:rsidRPr="000633EC">
              <w:rPr>
                <w:rFonts w:ascii="Times New Roman" w:hAnsi="Times New Roman"/>
                <w:b/>
                <w:bCs/>
                <w:sz w:val="24"/>
                <w:szCs w:val="24"/>
              </w:rPr>
              <w:t>the Union of Skills Communication</w:t>
            </w:r>
            <w:r w:rsidR="003835D9" w:rsidRPr="000829FE">
              <w:rPr>
                <w:rStyle w:val="FootnoteReference"/>
                <w:rFonts w:ascii="Times New Roman" w:hAnsi="Times New Roman"/>
                <w:szCs w:val="24"/>
              </w:rPr>
              <w:footnoteReference w:id="12"/>
            </w:r>
            <w:r w:rsidRPr="00D33AA2">
              <w:rPr>
                <w:rFonts w:ascii="Times New Roman" w:hAnsi="Times New Roman"/>
                <w:sz w:val="24"/>
                <w:szCs w:val="24"/>
              </w:rPr>
              <w:t xml:space="preserve"> </w:t>
            </w:r>
            <w:r w:rsidR="00812A16">
              <w:rPr>
                <w:rFonts w:ascii="Times New Roman" w:hAnsi="Times New Roman"/>
                <w:sz w:val="24"/>
                <w:szCs w:val="24"/>
              </w:rPr>
              <w:t>of</w:t>
            </w:r>
            <w:r w:rsidRPr="00D33AA2">
              <w:rPr>
                <w:rFonts w:ascii="Times New Roman" w:hAnsi="Times New Roman"/>
                <w:sz w:val="24"/>
                <w:szCs w:val="24"/>
              </w:rPr>
              <w:t xml:space="preserve"> March 2025</w:t>
            </w:r>
            <w:r w:rsidR="00812A16">
              <w:rPr>
                <w:rFonts w:ascii="Times New Roman" w:hAnsi="Times New Roman"/>
                <w:sz w:val="24"/>
                <w:szCs w:val="24"/>
              </w:rPr>
              <w:t>. This Communication</w:t>
            </w:r>
            <w:r w:rsidRPr="00D33AA2">
              <w:rPr>
                <w:rFonts w:ascii="Times New Roman" w:hAnsi="Times New Roman"/>
                <w:sz w:val="24"/>
                <w:szCs w:val="24"/>
              </w:rPr>
              <w:t xml:space="preserve"> emphasises the importan</w:t>
            </w:r>
            <w:r w:rsidR="00812A16">
              <w:rPr>
                <w:rFonts w:ascii="Times New Roman" w:hAnsi="Times New Roman"/>
                <w:sz w:val="24"/>
                <w:szCs w:val="24"/>
              </w:rPr>
              <w:t>ce</w:t>
            </w:r>
            <w:r w:rsidRPr="00D33AA2">
              <w:rPr>
                <w:rFonts w:ascii="Times New Roman" w:hAnsi="Times New Roman"/>
                <w:sz w:val="24"/>
                <w:szCs w:val="24"/>
              </w:rPr>
              <w:t xml:space="preserve"> of upskilling and reskilling the domestic labour force in the EU, including the under-mobilised groups. Where labour shortages cannot b</w:t>
            </w:r>
            <w:r w:rsidR="0066081B">
              <w:rPr>
                <w:rFonts w:ascii="Times New Roman" w:hAnsi="Times New Roman"/>
                <w:sz w:val="24"/>
                <w:szCs w:val="24"/>
              </w:rPr>
              <w:t>e</w:t>
            </w:r>
            <w:r w:rsidRPr="00D33AA2">
              <w:rPr>
                <w:rFonts w:ascii="Times New Roman" w:hAnsi="Times New Roman"/>
                <w:sz w:val="24"/>
                <w:szCs w:val="24"/>
              </w:rPr>
              <w:t xml:space="preserve"> filled by the domestic labour work force, the EU should attract and develop talent from abroad to ensure the EU’s competitiveness.</w:t>
            </w:r>
            <w:r w:rsidR="00F265B8" w:rsidRPr="00BF4638">
              <w:rPr>
                <w:rFonts w:ascii="Times New Roman" w:hAnsi="Times New Roman"/>
                <w:sz w:val="24"/>
                <w:szCs w:val="24"/>
              </w:rPr>
              <w:t xml:space="preserve"> Another important element is the work on the </w:t>
            </w:r>
            <w:r w:rsidR="00F265B8" w:rsidRPr="00AA4A30">
              <w:rPr>
                <w:rFonts w:ascii="Times New Roman" w:hAnsi="Times New Roman"/>
                <w:b/>
                <w:bCs/>
                <w:sz w:val="24"/>
                <w:szCs w:val="24"/>
              </w:rPr>
              <w:t>portability of skills</w:t>
            </w:r>
            <w:r w:rsidR="00F265B8" w:rsidRPr="00BF4638">
              <w:rPr>
                <w:rFonts w:ascii="Times New Roman" w:hAnsi="Times New Roman"/>
                <w:sz w:val="24"/>
                <w:szCs w:val="24"/>
              </w:rPr>
              <w:t>. As outlined in the Union of Skills Communication adopted in March 2025, the Commission will develop a Skills Portability Initiative</w:t>
            </w:r>
            <w:r w:rsidR="008656C8">
              <w:rPr>
                <w:rStyle w:val="FootnoteReference"/>
                <w:rFonts w:ascii="Times New Roman" w:hAnsi="Times New Roman"/>
                <w:szCs w:val="24"/>
              </w:rPr>
              <w:footnoteReference w:id="13"/>
            </w:r>
            <w:r w:rsidR="00F265B8" w:rsidRPr="00BF4638">
              <w:rPr>
                <w:rFonts w:ascii="Times New Roman" w:hAnsi="Times New Roman"/>
                <w:sz w:val="24"/>
                <w:szCs w:val="24"/>
              </w:rPr>
              <w:t xml:space="preserve"> to </w:t>
            </w:r>
            <w:r w:rsidR="00F265B8">
              <w:rPr>
                <w:rFonts w:ascii="Times New Roman" w:hAnsi="Times New Roman"/>
                <w:sz w:val="24"/>
                <w:szCs w:val="24"/>
              </w:rPr>
              <w:t>provide</w:t>
            </w:r>
            <w:r w:rsidR="00F265B8" w:rsidRPr="00BF4638">
              <w:rPr>
                <w:rFonts w:ascii="Times New Roman" w:hAnsi="Times New Roman"/>
                <w:sz w:val="24"/>
                <w:szCs w:val="24"/>
              </w:rPr>
              <w:t xml:space="preserve"> more opportunities for workers and businesses to fully capture the potential of the </w:t>
            </w:r>
            <w:r w:rsidR="00F265B8">
              <w:rPr>
                <w:rFonts w:ascii="Times New Roman" w:hAnsi="Times New Roman"/>
                <w:sz w:val="24"/>
                <w:szCs w:val="24"/>
              </w:rPr>
              <w:t>S</w:t>
            </w:r>
            <w:r w:rsidR="00F265B8" w:rsidRPr="00BF4638">
              <w:rPr>
                <w:rFonts w:ascii="Times New Roman" w:hAnsi="Times New Roman"/>
                <w:sz w:val="24"/>
                <w:szCs w:val="24"/>
              </w:rPr>
              <w:t xml:space="preserve">ingle </w:t>
            </w:r>
            <w:r w:rsidR="00F265B8">
              <w:rPr>
                <w:rFonts w:ascii="Times New Roman" w:hAnsi="Times New Roman"/>
                <w:sz w:val="24"/>
                <w:szCs w:val="24"/>
              </w:rPr>
              <w:t>M</w:t>
            </w:r>
            <w:r w:rsidR="00F265B8" w:rsidRPr="00BF4638">
              <w:rPr>
                <w:rFonts w:ascii="Times New Roman" w:hAnsi="Times New Roman"/>
                <w:sz w:val="24"/>
                <w:szCs w:val="24"/>
              </w:rPr>
              <w:t xml:space="preserve">arket. </w:t>
            </w:r>
            <w:r w:rsidR="00F265B8">
              <w:rPr>
                <w:rFonts w:ascii="Times New Roman" w:hAnsi="Times New Roman"/>
                <w:sz w:val="24"/>
                <w:szCs w:val="24"/>
              </w:rPr>
              <w:t xml:space="preserve">As part of this, the Commission will </w:t>
            </w:r>
            <w:r w:rsidR="00F265B8" w:rsidRPr="00BF4638">
              <w:rPr>
                <w:rFonts w:ascii="Times New Roman" w:hAnsi="Times New Roman"/>
                <w:sz w:val="24"/>
                <w:szCs w:val="24"/>
              </w:rPr>
              <w:t xml:space="preserve">explore </w:t>
            </w:r>
            <w:r w:rsidR="00A33186">
              <w:rPr>
                <w:rFonts w:ascii="Times New Roman" w:hAnsi="Times New Roman"/>
                <w:sz w:val="24"/>
                <w:szCs w:val="24"/>
              </w:rPr>
              <w:t>the possibility for</w:t>
            </w:r>
            <w:r w:rsidR="00F265B8">
              <w:rPr>
                <w:rFonts w:ascii="Times New Roman" w:hAnsi="Times New Roman"/>
                <w:sz w:val="24"/>
                <w:szCs w:val="24"/>
              </w:rPr>
              <w:t xml:space="preserve"> common rules for simpler procedures for handling the recognition of qualifications and skills of third country nationals</w:t>
            </w:r>
            <w:r w:rsidR="00F265B8" w:rsidRPr="00BF4638">
              <w:rPr>
                <w:rFonts w:ascii="Times New Roman" w:hAnsi="Times New Roman"/>
                <w:sz w:val="24"/>
                <w:szCs w:val="24"/>
              </w:rPr>
              <w:t>.</w:t>
            </w:r>
          </w:p>
          <w:p w14:paraId="2788E949" w14:textId="7216CC73" w:rsidR="000034FA" w:rsidRDefault="00697136" w:rsidP="006D748A">
            <w:pPr>
              <w:spacing w:before="120" w:after="120"/>
              <w:jc w:val="both"/>
              <w:rPr>
                <w:rFonts w:ascii="Times New Roman" w:hAnsi="Times New Roman"/>
                <w:sz w:val="24"/>
                <w:szCs w:val="24"/>
              </w:rPr>
            </w:pPr>
            <w:r w:rsidRPr="00697136">
              <w:rPr>
                <w:rFonts w:ascii="Times New Roman" w:hAnsi="Times New Roman"/>
                <w:sz w:val="24"/>
                <w:szCs w:val="24"/>
              </w:rPr>
              <w:t xml:space="preserve">Regarding </w:t>
            </w:r>
            <w:r w:rsidRPr="000829FE">
              <w:rPr>
                <w:rFonts w:ascii="Times New Roman" w:hAnsi="Times New Roman"/>
                <w:sz w:val="24"/>
                <w:szCs w:val="24"/>
                <w:u w:val="single"/>
              </w:rPr>
              <w:t>point 3.4.1</w:t>
            </w:r>
            <w:r w:rsidRPr="00697136">
              <w:rPr>
                <w:rFonts w:ascii="Times New Roman" w:hAnsi="Times New Roman"/>
                <w:sz w:val="24"/>
                <w:szCs w:val="24"/>
              </w:rPr>
              <w:t xml:space="preserve">, the Commission agrees with the importance to </w:t>
            </w:r>
            <w:r w:rsidRPr="000633EC">
              <w:rPr>
                <w:rFonts w:ascii="Times New Roman" w:hAnsi="Times New Roman"/>
                <w:b/>
                <w:bCs/>
                <w:sz w:val="24"/>
                <w:szCs w:val="24"/>
              </w:rPr>
              <w:t xml:space="preserve">increase the involvement of </w:t>
            </w:r>
            <w:r w:rsidR="00DB1D14">
              <w:rPr>
                <w:rFonts w:ascii="Times New Roman" w:hAnsi="Times New Roman"/>
                <w:b/>
                <w:bCs/>
                <w:sz w:val="24"/>
                <w:szCs w:val="24"/>
              </w:rPr>
              <w:t>civil society organisations</w:t>
            </w:r>
            <w:r w:rsidRPr="000633EC">
              <w:rPr>
                <w:rFonts w:ascii="Times New Roman" w:hAnsi="Times New Roman"/>
                <w:b/>
                <w:bCs/>
                <w:sz w:val="24"/>
                <w:szCs w:val="24"/>
              </w:rPr>
              <w:t xml:space="preserve"> and social partners</w:t>
            </w:r>
            <w:r w:rsidR="00A33186">
              <w:rPr>
                <w:rFonts w:ascii="Times New Roman" w:hAnsi="Times New Roman"/>
                <w:sz w:val="24"/>
                <w:szCs w:val="24"/>
              </w:rPr>
              <w:t xml:space="preserve"> in the field of labour migration</w:t>
            </w:r>
            <w:r w:rsidRPr="00697136">
              <w:rPr>
                <w:rFonts w:ascii="Times New Roman" w:hAnsi="Times New Roman"/>
                <w:sz w:val="24"/>
                <w:szCs w:val="24"/>
              </w:rPr>
              <w:t xml:space="preserve">. For this purpose, the Commission launched the </w:t>
            </w:r>
            <w:r w:rsidR="001B2FCB">
              <w:rPr>
                <w:rFonts w:ascii="Times New Roman" w:hAnsi="Times New Roman"/>
                <w:sz w:val="24"/>
                <w:szCs w:val="24"/>
              </w:rPr>
              <w:t>Labour</w:t>
            </w:r>
            <w:r w:rsidRPr="00697136">
              <w:rPr>
                <w:rFonts w:ascii="Times New Roman" w:hAnsi="Times New Roman"/>
                <w:sz w:val="24"/>
                <w:szCs w:val="24"/>
              </w:rPr>
              <w:t xml:space="preserve"> Migration </w:t>
            </w:r>
            <w:r w:rsidR="000633EC" w:rsidRPr="00697136">
              <w:rPr>
                <w:rFonts w:ascii="Times New Roman" w:hAnsi="Times New Roman"/>
                <w:sz w:val="24"/>
                <w:szCs w:val="24"/>
              </w:rPr>
              <w:t>Platform</w:t>
            </w:r>
            <w:r w:rsidRPr="00697136">
              <w:rPr>
                <w:rFonts w:ascii="Times New Roman" w:hAnsi="Times New Roman"/>
                <w:sz w:val="24"/>
                <w:szCs w:val="24"/>
              </w:rPr>
              <w:t xml:space="preserve">. It gathers the Commission and Member States’ migration and employment representatives, as well as European </w:t>
            </w:r>
            <w:r w:rsidR="00812A16">
              <w:rPr>
                <w:rFonts w:ascii="Times New Roman" w:hAnsi="Times New Roman"/>
                <w:sz w:val="24"/>
                <w:szCs w:val="24"/>
              </w:rPr>
              <w:t>s</w:t>
            </w:r>
            <w:r w:rsidRPr="00697136">
              <w:rPr>
                <w:rFonts w:ascii="Times New Roman" w:hAnsi="Times New Roman"/>
                <w:sz w:val="24"/>
                <w:szCs w:val="24"/>
              </w:rPr>
              <w:t xml:space="preserve">ocial </w:t>
            </w:r>
            <w:r w:rsidR="00812A16">
              <w:rPr>
                <w:rFonts w:ascii="Times New Roman" w:hAnsi="Times New Roman"/>
                <w:sz w:val="24"/>
                <w:szCs w:val="24"/>
              </w:rPr>
              <w:t>p</w:t>
            </w:r>
            <w:r w:rsidRPr="00697136">
              <w:rPr>
                <w:rFonts w:ascii="Times New Roman" w:hAnsi="Times New Roman"/>
                <w:sz w:val="24"/>
                <w:szCs w:val="24"/>
              </w:rPr>
              <w:t>artners, to discuss</w:t>
            </w:r>
            <w:r w:rsidR="00812A16">
              <w:rPr>
                <w:rFonts w:ascii="Times New Roman" w:hAnsi="Times New Roman"/>
                <w:sz w:val="24"/>
                <w:szCs w:val="24"/>
              </w:rPr>
              <w:t xml:space="preserve"> </w:t>
            </w:r>
            <w:r w:rsidRPr="00697136">
              <w:rPr>
                <w:rFonts w:ascii="Times New Roman" w:hAnsi="Times New Roman"/>
                <w:sz w:val="24"/>
                <w:szCs w:val="24"/>
              </w:rPr>
              <w:t>legal migration and employment</w:t>
            </w:r>
            <w:r w:rsidR="00812A16">
              <w:rPr>
                <w:rFonts w:ascii="Times New Roman" w:hAnsi="Times New Roman"/>
                <w:sz w:val="24"/>
                <w:szCs w:val="24"/>
              </w:rPr>
              <w:t>,</w:t>
            </w:r>
            <w:r w:rsidRPr="00697136">
              <w:rPr>
                <w:rFonts w:ascii="Times New Roman" w:hAnsi="Times New Roman"/>
                <w:sz w:val="24"/>
                <w:szCs w:val="24"/>
              </w:rPr>
              <w:t xml:space="preserve"> and </w:t>
            </w:r>
            <w:r w:rsidR="00812A16">
              <w:rPr>
                <w:rFonts w:ascii="Times New Roman" w:hAnsi="Times New Roman"/>
                <w:sz w:val="24"/>
                <w:szCs w:val="24"/>
              </w:rPr>
              <w:t xml:space="preserve">to </w:t>
            </w:r>
            <w:r w:rsidRPr="00697136">
              <w:rPr>
                <w:rFonts w:ascii="Times New Roman" w:hAnsi="Times New Roman"/>
                <w:sz w:val="24"/>
                <w:szCs w:val="24"/>
              </w:rPr>
              <w:t xml:space="preserve">support the effective operationalisation of EU-level initiatives in </w:t>
            </w:r>
            <w:r w:rsidRPr="00697136">
              <w:rPr>
                <w:rFonts w:ascii="Times New Roman" w:hAnsi="Times New Roman"/>
                <w:sz w:val="24"/>
                <w:szCs w:val="24"/>
              </w:rPr>
              <w:lastRenderedPageBreak/>
              <w:t xml:space="preserve">this area. The Commission is also in contact with several </w:t>
            </w:r>
            <w:r w:rsidR="00812A16">
              <w:rPr>
                <w:rFonts w:ascii="Times New Roman" w:hAnsi="Times New Roman"/>
                <w:sz w:val="24"/>
                <w:szCs w:val="24"/>
              </w:rPr>
              <w:t>s</w:t>
            </w:r>
            <w:r w:rsidRPr="00697136">
              <w:rPr>
                <w:rFonts w:ascii="Times New Roman" w:hAnsi="Times New Roman"/>
                <w:sz w:val="24"/>
                <w:szCs w:val="24"/>
              </w:rPr>
              <w:t xml:space="preserve">ectoral </w:t>
            </w:r>
            <w:r w:rsidR="00812A16">
              <w:rPr>
                <w:rFonts w:ascii="Times New Roman" w:hAnsi="Times New Roman"/>
                <w:sz w:val="24"/>
                <w:szCs w:val="24"/>
              </w:rPr>
              <w:t>s</w:t>
            </w:r>
            <w:r w:rsidRPr="00697136">
              <w:rPr>
                <w:rFonts w:ascii="Times New Roman" w:hAnsi="Times New Roman"/>
                <w:sz w:val="24"/>
                <w:szCs w:val="24"/>
              </w:rPr>
              <w:t xml:space="preserve">ocial </w:t>
            </w:r>
            <w:r w:rsidR="00812A16">
              <w:rPr>
                <w:rFonts w:ascii="Times New Roman" w:hAnsi="Times New Roman"/>
                <w:sz w:val="24"/>
                <w:szCs w:val="24"/>
              </w:rPr>
              <w:t>d</w:t>
            </w:r>
            <w:r w:rsidRPr="00697136">
              <w:rPr>
                <w:rFonts w:ascii="Times New Roman" w:hAnsi="Times New Roman"/>
                <w:sz w:val="24"/>
                <w:szCs w:val="24"/>
              </w:rPr>
              <w:t xml:space="preserve">ialogue </w:t>
            </w:r>
            <w:r w:rsidR="00812A16">
              <w:rPr>
                <w:rFonts w:ascii="Times New Roman" w:hAnsi="Times New Roman"/>
                <w:sz w:val="24"/>
                <w:szCs w:val="24"/>
              </w:rPr>
              <w:t>c</w:t>
            </w:r>
            <w:r w:rsidRPr="00697136">
              <w:rPr>
                <w:rFonts w:ascii="Times New Roman" w:hAnsi="Times New Roman"/>
                <w:sz w:val="24"/>
                <w:szCs w:val="24"/>
              </w:rPr>
              <w:t xml:space="preserve">ommittees (ICT, Road Transport) to discuss ongoing and upcoming initiatives relevant for </w:t>
            </w:r>
            <w:r w:rsidR="00812A16">
              <w:rPr>
                <w:rFonts w:ascii="Times New Roman" w:hAnsi="Times New Roman"/>
                <w:sz w:val="24"/>
                <w:szCs w:val="24"/>
              </w:rPr>
              <w:t>s</w:t>
            </w:r>
            <w:r w:rsidRPr="00697136">
              <w:rPr>
                <w:rFonts w:ascii="Times New Roman" w:hAnsi="Times New Roman"/>
                <w:sz w:val="24"/>
                <w:szCs w:val="24"/>
              </w:rPr>
              <w:t xml:space="preserve">ocial </w:t>
            </w:r>
            <w:r w:rsidR="00812A16">
              <w:rPr>
                <w:rFonts w:ascii="Times New Roman" w:hAnsi="Times New Roman"/>
                <w:sz w:val="24"/>
                <w:szCs w:val="24"/>
              </w:rPr>
              <w:t>p</w:t>
            </w:r>
            <w:r w:rsidRPr="00697136">
              <w:rPr>
                <w:rFonts w:ascii="Times New Roman" w:hAnsi="Times New Roman"/>
                <w:sz w:val="24"/>
                <w:szCs w:val="24"/>
              </w:rPr>
              <w:t xml:space="preserve">artners. </w:t>
            </w:r>
            <w:r w:rsidR="002A00CA" w:rsidRPr="002A00CA">
              <w:rPr>
                <w:rFonts w:ascii="Times New Roman" w:hAnsi="Times New Roman"/>
                <w:sz w:val="24"/>
                <w:szCs w:val="24"/>
              </w:rPr>
              <w:t xml:space="preserve">The Commission is </w:t>
            </w:r>
            <w:r w:rsidR="002A00CA">
              <w:rPr>
                <w:rFonts w:ascii="Times New Roman" w:hAnsi="Times New Roman"/>
                <w:sz w:val="24"/>
                <w:szCs w:val="24"/>
              </w:rPr>
              <w:t>also regularly consulting civil society organisations and social partners</w:t>
            </w:r>
            <w:r w:rsidR="002A00CA" w:rsidRPr="002A00CA">
              <w:rPr>
                <w:rFonts w:ascii="Times New Roman" w:hAnsi="Times New Roman"/>
                <w:sz w:val="24"/>
                <w:szCs w:val="24"/>
              </w:rPr>
              <w:t xml:space="preserve"> within the framework of the Talent Partnerships, through annual roundtables and technical meetings.</w:t>
            </w:r>
            <w:r w:rsidR="002A00CA">
              <w:t xml:space="preserve"> </w:t>
            </w:r>
            <w:r w:rsidR="002A00CA" w:rsidRPr="002A00CA">
              <w:rPr>
                <w:rFonts w:ascii="Times New Roman" w:hAnsi="Times New Roman"/>
                <w:sz w:val="24"/>
                <w:szCs w:val="24"/>
              </w:rPr>
              <w:t>The Commission also regularly consults an Expert Group on the views of migrants, which is composed of migrants and organisations representing their interests, on the design and implementation of EU policies in the field of migration, asylum and integration.</w:t>
            </w:r>
          </w:p>
          <w:p w14:paraId="30D14481" w14:textId="49838572" w:rsidR="0049246C" w:rsidRPr="00256A85" w:rsidRDefault="00F12B16" w:rsidP="006D748A">
            <w:pPr>
              <w:spacing w:before="120" w:after="120"/>
              <w:jc w:val="both"/>
              <w:rPr>
                <w:rFonts w:ascii="Times New Roman" w:hAnsi="Times New Roman"/>
                <w:sz w:val="24"/>
                <w:szCs w:val="24"/>
              </w:rPr>
            </w:pPr>
            <w:r w:rsidRPr="00F12B16">
              <w:rPr>
                <w:rFonts w:ascii="Times New Roman" w:hAnsi="Times New Roman"/>
                <w:sz w:val="24"/>
                <w:szCs w:val="24"/>
              </w:rPr>
              <w:t xml:space="preserve">Regarding the </w:t>
            </w:r>
            <w:r w:rsidRPr="000829FE">
              <w:rPr>
                <w:rFonts w:ascii="Times New Roman" w:hAnsi="Times New Roman"/>
                <w:sz w:val="24"/>
                <w:szCs w:val="24"/>
                <w:u w:val="single"/>
              </w:rPr>
              <w:t>point 3.11</w:t>
            </w:r>
            <w:r w:rsidRPr="00F12B16">
              <w:rPr>
                <w:rFonts w:ascii="Times New Roman" w:hAnsi="Times New Roman"/>
                <w:sz w:val="24"/>
                <w:szCs w:val="24"/>
              </w:rPr>
              <w:t xml:space="preserve">, the Commission released a </w:t>
            </w:r>
            <w:r w:rsidRPr="00345D07">
              <w:rPr>
                <w:rFonts w:ascii="Times New Roman" w:hAnsi="Times New Roman"/>
                <w:b/>
                <w:bCs/>
                <w:sz w:val="24"/>
                <w:szCs w:val="24"/>
              </w:rPr>
              <w:t>mid-term review of the implementation of the Action Plan on Integration and Inclusion 2021-2027</w:t>
            </w:r>
            <w:r w:rsidR="008656C8" w:rsidRPr="000829FE">
              <w:rPr>
                <w:rStyle w:val="FootnoteReference"/>
                <w:rFonts w:ascii="Times New Roman" w:hAnsi="Times New Roman"/>
                <w:szCs w:val="24"/>
              </w:rPr>
              <w:footnoteReference w:id="14"/>
            </w:r>
            <w:r w:rsidRPr="00F12B16">
              <w:rPr>
                <w:rFonts w:ascii="Times New Roman" w:hAnsi="Times New Roman"/>
                <w:sz w:val="24"/>
                <w:szCs w:val="24"/>
              </w:rPr>
              <w:t xml:space="preserve"> on 11 June 2025. The review underlines the importance of continuing to support migrant integration in order to foster the long-term cohesion of European societies.</w:t>
            </w:r>
          </w:p>
        </w:tc>
      </w:tr>
    </w:tbl>
    <w:p w14:paraId="4B31F071" w14:textId="77777777" w:rsidR="00077C4F" w:rsidRPr="006D748A" w:rsidRDefault="00077C4F" w:rsidP="006D748A">
      <w:pPr>
        <w:spacing w:after="0" w:line="240" w:lineRule="auto"/>
        <w:ind w:left="-426"/>
        <w:rPr>
          <w:rFonts w:ascii="Times New Roman" w:hAnsi="Times New Roman"/>
          <w:sz w:val="16"/>
          <w:szCs w:val="16"/>
        </w:rPr>
      </w:pPr>
    </w:p>
    <w:sectPr w:rsidR="00077C4F" w:rsidRPr="006D748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D48F" w14:textId="77777777" w:rsidR="00AA391F" w:rsidRDefault="00AA391F" w:rsidP="00FF63EA">
      <w:pPr>
        <w:spacing w:after="0" w:line="240" w:lineRule="auto"/>
      </w:pPr>
      <w:r>
        <w:separator/>
      </w:r>
    </w:p>
  </w:endnote>
  <w:endnote w:type="continuationSeparator" w:id="0">
    <w:p w14:paraId="6E18B96E" w14:textId="77777777" w:rsidR="00AA391F" w:rsidRDefault="00AA391F" w:rsidP="00FF63EA">
      <w:pPr>
        <w:spacing w:after="0" w:line="240" w:lineRule="auto"/>
      </w:pPr>
      <w:r>
        <w:continuationSeparator/>
      </w:r>
    </w:p>
  </w:endnote>
  <w:endnote w:type="continuationNotice" w:id="1">
    <w:p w14:paraId="0DED4CE8" w14:textId="77777777" w:rsidR="00AA391F" w:rsidRDefault="00AA3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A426" w14:textId="77777777" w:rsidR="00E64807" w:rsidRDefault="00E64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205F" w14:textId="77777777" w:rsidR="00E64807" w:rsidRDefault="00E64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F63F" w14:textId="77777777" w:rsidR="00E64807" w:rsidRDefault="00E6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19A1" w14:textId="77777777" w:rsidR="00AA391F" w:rsidRDefault="00AA391F" w:rsidP="00FF63EA">
      <w:pPr>
        <w:spacing w:after="0" w:line="240" w:lineRule="auto"/>
      </w:pPr>
      <w:r>
        <w:separator/>
      </w:r>
    </w:p>
  </w:footnote>
  <w:footnote w:type="continuationSeparator" w:id="0">
    <w:p w14:paraId="1DC10DD4" w14:textId="77777777" w:rsidR="00AA391F" w:rsidRDefault="00AA391F" w:rsidP="00FF63EA">
      <w:pPr>
        <w:spacing w:after="0" w:line="240" w:lineRule="auto"/>
      </w:pPr>
      <w:r>
        <w:continuationSeparator/>
      </w:r>
    </w:p>
  </w:footnote>
  <w:footnote w:type="continuationNotice" w:id="1">
    <w:p w14:paraId="2DE3F6AD" w14:textId="77777777" w:rsidR="00AA391F" w:rsidRDefault="00AA391F">
      <w:pPr>
        <w:spacing w:after="0" w:line="240" w:lineRule="auto"/>
      </w:pPr>
    </w:p>
  </w:footnote>
  <w:footnote w:id="2">
    <w:p w14:paraId="4AAA4131" w14:textId="71018158" w:rsidR="00FE24CC" w:rsidRPr="000829FE" w:rsidRDefault="00FE24CC" w:rsidP="000829FE">
      <w:pPr>
        <w:pStyle w:val="FootnoteText"/>
        <w:keepLines w:val="0"/>
        <w:widowControl w:val="0"/>
        <w:spacing w:after="0"/>
        <w:ind w:left="-141" w:right="-425" w:hanging="284"/>
        <w:rPr>
          <w:sz w:val="20"/>
          <w:szCs w:val="20"/>
          <w:lang w:val="en-IE"/>
        </w:rPr>
      </w:pPr>
      <w:r w:rsidRPr="000829FE">
        <w:rPr>
          <w:rStyle w:val="FootnoteReference"/>
          <w:sz w:val="20"/>
          <w:szCs w:val="20"/>
        </w:rPr>
        <w:footnoteRef/>
      </w:r>
      <w:r w:rsidRPr="000829FE">
        <w:rPr>
          <w:sz w:val="20"/>
          <w:szCs w:val="20"/>
        </w:rPr>
        <w:t xml:space="preserve"> </w:t>
      </w:r>
      <w:r w:rsidRPr="000829FE">
        <w:rPr>
          <w:sz w:val="20"/>
          <w:szCs w:val="20"/>
          <w:lang w:val="en-IE"/>
        </w:rPr>
        <w:tab/>
      </w:r>
      <w:r w:rsidRPr="000829FE">
        <w:rPr>
          <w:sz w:val="20"/>
          <w:szCs w:val="20"/>
        </w:rPr>
        <w:t>Directive (EU) 2024/1233 of the European Parliament and of the Council of 24 April 2024 on a single application procedure for a single permit for third-country nationals to reside and work in the territory of a Member State and on a common set of rights for third-country workers legally residing in a Member State (recast) (</w:t>
      </w:r>
      <w:hyperlink r:id="rId1" w:tooltip="Gives access to this document through its ELI URI." w:history="1">
        <w:r w:rsidRPr="000829FE">
          <w:rPr>
            <w:rStyle w:val="Hyperlink"/>
            <w:sz w:val="20"/>
            <w:szCs w:val="20"/>
          </w:rPr>
          <w:t>http://data.europa.eu/eli/dir/2024/1233/oj</w:t>
        </w:r>
      </w:hyperlink>
      <w:r w:rsidRPr="000829FE">
        <w:rPr>
          <w:sz w:val="20"/>
          <w:szCs w:val="20"/>
        </w:rPr>
        <w:t>).</w:t>
      </w:r>
    </w:p>
  </w:footnote>
  <w:footnote w:id="3">
    <w:p w14:paraId="1E4625AA" w14:textId="7709E5B4" w:rsidR="00FE24CC" w:rsidRPr="000829FE" w:rsidRDefault="00FE24CC" w:rsidP="000829FE">
      <w:pPr>
        <w:pStyle w:val="FootnoteText"/>
        <w:keepLines w:val="0"/>
        <w:widowControl w:val="0"/>
        <w:spacing w:after="0"/>
        <w:ind w:left="-141" w:right="-425"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Directive (EU) 2021/1883 of the European Parliament and of the Council of 20 October 2021 on the conditions of entry and residence of third-country nationals for the purpose of highly qualified employment, and repealing Council Directive 2009/50/EC (</w:t>
      </w:r>
      <w:hyperlink r:id="rId2" w:tooltip="Gives access to this document through its ELI URI." w:history="1">
        <w:r w:rsidRPr="000829FE">
          <w:rPr>
            <w:rStyle w:val="Hyperlink"/>
            <w:sz w:val="20"/>
            <w:szCs w:val="20"/>
          </w:rPr>
          <w:t>http://data.europa.eu/eli/dir/2021/1883/oj</w:t>
        </w:r>
      </w:hyperlink>
      <w:r w:rsidRPr="000829FE">
        <w:rPr>
          <w:sz w:val="20"/>
          <w:szCs w:val="20"/>
        </w:rPr>
        <w:t>).</w:t>
      </w:r>
    </w:p>
  </w:footnote>
  <w:footnote w:id="4">
    <w:p w14:paraId="7999B7AC" w14:textId="694006DA" w:rsidR="00FE5531" w:rsidRPr="000829FE" w:rsidRDefault="00FE5531" w:rsidP="000829FE">
      <w:pPr>
        <w:pStyle w:val="FootnoteText"/>
        <w:keepLines w:val="0"/>
        <w:widowControl w:val="0"/>
        <w:spacing w:after="0"/>
        <w:ind w:left="-141" w:right="-425"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Directive 2014/36/EU of the European Parliament and of the Council of 26 February 2014 on the conditions of entry and stay of third-country nationals for the purpose of employment as seasonal workers (</w:t>
      </w:r>
      <w:hyperlink r:id="rId3" w:tooltip="Gives access to this document through its ELI URI." w:history="1">
        <w:r w:rsidRPr="000829FE">
          <w:rPr>
            <w:rStyle w:val="Hyperlink"/>
            <w:sz w:val="20"/>
            <w:szCs w:val="20"/>
          </w:rPr>
          <w:t>http://data.europa.eu/eli/dir/2014/36/oj</w:t>
        </w:r>
      </w:hyperlink>
      <w:r w:rsidRPr="000829FE">
        <w:rPr>
          <w:sz w:val="20"/>
          <w:szCs w:val="20"/>
        </w:rPr>
        <w:t>).</w:t>
      </w:r>
    </w:p>
  </w:footnote>
  <w:footnote w:id="5">
    <w:p w14:paraId="61FE7C44" w14:textId="18A61DB7" w:rsidR="00993FA9" w:rsidRPr="000829FE" w:rsidRDefault="00993FA9" w:rsidP="000829FE">
      <w:pPr>
        <w:pStyle w:val="FootnoteText"/>
        <w:keepLines w:val="0"/>
        <w:widowControl w:val="0"/>
        <w:spacing w:after="0"/>
        <w:ind w:left="-142" w:right="-426"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Council Directive 2003/86/EC of 22 September 2003 on the right to family reunification (</w:t>
      </w:r>
      <w:hyperlink r:id="rId4" w:tooltip="Gives access to this document through its ELI URI." w:history="1">
        <w:r w:rsidRPr="000829FE">
          <w:rPr>
            <w:rStyle w:val="Hyperlink"/>
            <w:sz w:val="20"/>
            <w:szCs w:val="20"/>
          </w:rPr>
          <w:t>http://data.europa.eu/eli/dir/2003/86/oj</w:t>
        </w:r>
      </w:hyperlink>
      <w:r w:rsidRPr="000829FE">
        <w:rPr>
          <w:sz w:val="20"/>
          <w:szCs w:val="20"/>
        </w:rPr>
        <w:t>).</w:t>
      </w:r>
    </w:p>
  </w:footnote>
  <w:footnote w:id="6">
    <w:p w14:paraId="05C7D160" w14:textId="36C148D2" w:rsidR="00993FA9" w:rsidRPr="000829FE" w:rsidRDefault="00993FA9" w:rsidP="000829FE">
      <w:pPr>
        <w:pStyle w:val="FootnoteText"/>
        <w:keepLines w:val="0"/>
        <w:widowControl w:val="0"/>
        <w:spacing w:after="0"/>
        <w:ind w:left="-141" w:right="-425"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Directive (EU) 2016/801 of the European Parliament and of the Council of 11 May 2016 on the conditions of entry and residence of third-country nationals for the purposes of research, studies, training, voluntary service, pupil exchange schemes or educational projects and au pairing (recast) (</w:t>
      </w:r>
      <w:hyperlink r:id="rId5" w:tooltip="Gives access to this document through its ELI URI." w:history="1">
        <w:r w:rsidRPr="000829FE">
          <w:rPr>
            <w:rStyle w:val="Hyperlink"/>
            <w:sz w:val="20"/>
            <w:szCs w:val="20"/>
          </w:rPr>
          <w:t>http://data.europa.eu/eli/dir/2016/801/oj</w:t>
        </w:r>
      </w:hyperlink>
      <w:r w:rsidRPr="000829FE">
        <w:rPr>
          <w:sz w:val="20"/>
          <w:szCs w:val="20"/>
        </w:rPr>
        <w:t>).</w:t>
      </w:r>
    </w:p>
  </w:footnote>
  <w:footnote w:id="7">
    <w:p w14:paraId="160F3039" w14:textId="5A3EBCC1" w:rsidR="00993FA9" w:rsidRPr="000829FE" w:rsidRDefault="00993FA9" w:rsidP="000829FE">
      <w:pPr>
        <w:pStyle w:val="FootnoteText"/>
        <w:keepLines w:val="0"/>
        <w:widowControl w:val="0"/>
        <w:spacing w:after="0"/>
        <w:ind w:left="-141" w:right="-425"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Directive 2014/66/EU of the European Parliament and of the Council of 15 May 2014 on the conditions of entry and residence of third-country nationals in the framework of an intra-corporate transfer (</w:t>
      </w:r>
      <w:hyperlink r:id="rId6" w:tooltip="Gives access to this document through its ELI URI." w:history="1">
        <w:r w:rsidRPr="000829FE">
          <w:rPr>
            <w:rStyle w:val="Hyperlink"/>
            <w:sz w:val="20"/>
            <w:szCs w:val="20"/>
          </w:rPr>
          <w:t>http://data.europa.eu/eli/dir/2014/66/oj</w:t>
        </w:r>
      </w:hyperlink>
      <w:r w:rsidRPr="000829FE">
        <w:rPr>
          <w:sz w:val="20"/>
          <w:szCs w:val="20"/>
        </w:rPr>
        <w:t>).</w:t>
      </w:r>
    </w:p>
  </w:footnote>
  <w:footnote w:id="8">
    <w:p w14:paraId="2FCD2F83" w14:textId="525726DF" w:rsidR="00993FA9" w:rsidRPr="000829FE" w:rsidRDefault="00993FA9" w:rsidP="000829FE">
      <w:pPr>
        <w:pStyle w:val="FootnoteText"/>
        <w:keepLines w:val="0"/>
        <w:widowControl w:val="0"/>
        <w:spacing w:after="0"/>
        <w:ind w:left="-141" w:hanging="284"/>
        <w:rPr>
          <w:sz w:val="20"/>
          <w:szCs w:val="20"/>
        </w:rPr>
      </w:pPr>
      <w:r w:rsidRPr="000829FE">
        <w:rPr>
          <w:rStyle w:val="FootnoteReference"/>
          <w:sz w:val="20"/>
          <w:szCs w:val="20"/>
        </w:rPr>
        <w:footnoteRef/>
      </w:r>
      <w:r w:rsidRPr="000829FE">
        <w:rPr>
          <w:sz w:val="20"/>
          <w:szCs w:val="20"/>
        </w:rPr>
        <w:t xml:space="preserve"> </w:t>
      </w:r>
      <w:r w:rsidRPr="000829FE">
        <w:rPr>
          <w:sz w:val="20"/>
          <w:szCs w:val="20"/>
        </w:rPr>
        <w:tab/>
        <w:t>COM(2023) 716 final (</w:t>
      </w:r>
      <w:hyperlink r:id="rId7" w:history="1">
        <w:r w:rsidRPr="000829FE">
          <w:rPr>
            <w:rStyle w:val="Hyperlink"/>
            <w:sz w:val="20"/>
            <w:szCs w:val="20"/>
          </w:rPr>
          <w:t>EUR-Lex - 52023PC0716 - EN - EUR-Lex</w:t>
        </w:r>
      </w:hyperlink>
      <w:r w:rsidRPr="000829FE">
        <w:rPr>
          <w:sz w:val="20"/>
          <w:szCs w:val="20"/>
        </w:rPr>
        <w:t>).</w:t>
      </w:r>
    </w:p>
  </w:footnote>
  <w:footnote w:id="9">
    <w:p w14:paraId="7E418459" w14:textId="30D55DD3" w:rsidR="00993FA9" w:rsidRPr="000829FE" w:rsidRDefault="00993FA9" w:rsidP="000829FE">
      <w:pPr>
        <w:pStyle w:val="FootnoteText"/>
        <w:keepLines w:val="0"/>
        <w:widowControl w:val="0"/>
        <w:spacing w:after="0"/>
        <w:ind w:left="-141" w:hanging="284"/>
        <w:rPr>
          <w:sz w:val="20"/>
          <w:szCs w:val="20"/>
          <w:lang w:val="en-IE"/>
        </w:rPr>
      </w:pPr>
      <w:r w:rsidRPr="000829FE">
        <w:rPr>
          <w:rStyle w:val="FootnoteReference"/>
          <w:sz w:val="20"/>
          <w:szCs w:val="20"/>
        </w:rPr>
        <w:footnoteRef/>
      </w:r>
      <w:r w:rsidRPr="000829FE">
        <w:rPr>
          <w:sz w:val="20"/>
          <w:szCs w:val="20"/>
        </w:rPr>
        <w:t xml:space="preserve"> </w:t>
      </w:r>
      <w:r w:rsidRPr="000829FE">
        <w:rPr>
          <w:sz w:val="20"/>
          <w:szCs w:val="20"/>
          <w:lang w:val="en-IE"/>
        </w:rPr>
        <w:tab/>
      </w:r>
      <w:hyperlink r:id="rId8" w:history="1">
        <w:r w:rsidRPr="000829FE">
          <w:rPr>
            <w:rStyle w:val="Hyperlink"/>
            <w:sz w:val="20"/>
            <w:szCs w:val="20"/>
          </w:rPr>
          <w:t>Talent Partnerships - Migration and Home Affairs - European Commission</w:t>
        </w:r>
      </w:hyperlink>
      <w:r w:rsidRPr="000829FE">
        <w:rPr>
          <w:sz w:val="20"/>
          <w:szCs w:val="20"/>
          <w:lang w:val="en-IE"/>
        </w:rPr>
        <w:t>.</w:t>
      </w:r>
    </w:p>
  </w:footnote>
  <w:footnote w:id="10">
    <w:p w14:paraId="03B4A801" w14:textId="7AD4CCE7" w:rsidR="000034FA" w:rsidRPr="000829FE" w:rsidRDefault="000034FA" w:rsidP="000829FE">
      <w:pPr>
        <w:pStyle w:val="FootnoteText"/>
        <w:keepLines w:val="0"/>
        <w:widowControl w:val="0"/>
        <w:spacing w:after="0"/>
        <w:ind w:left="-141" w:right="-425" w:hanging="284"/>
        <w:rPr>
          <w:sz w:val="20"/>
          <w:szCs w:val="20"/>
        </w:rPr>
      </w:pPr>
      <w:r w:rsidRPr="000829FE">
        <w:rPr>
          <w:rStyle w:val="FootnoteReference"/>
          <w:sz w:val="20"/>
          <w:szCs w:val="20"/>
        </w:rPr>
        <w:footnoteRef/>
      </w:r>
      <w:r w:rsidRPr="000829FE">
        <w:rPr>
          <w:sz w:val="20"/>
          <w:szCs w:val="20"/>
        </w:rPr>
        <w:t xml:space="preserve"> </w:t>
      </w:r>
      <w:r w:rsidR="00FE24CC" w:rsidRPr="000829FE">
        <w:rPr>
          <w:sz w:val="20"/>
          <w:szCs w:val="20"/>
        </w:rPr>
        <w:tab/>
      </w:r>
      <w:hyperlink r:id="rId9" w:history="1">
        <w:r w:rsidR="00FE24CC" w:rsidRPr="000829FE">
          <w:rPr>
            <w:rStyle w:val="Hyperlink"/>
            <w:sz w:val="20"/>
            <w:szCs w:val="20"/>
          </w:rPr>
          <w:t>https://www.migrationpartnershipfacility.eu/mpf-projects</w:t>
        </w:r>
      </w:hyperlink>
      <w:r w:rsidR="00FE24CC">
        <w:rPr>
          <w:sz w:val="20"/>
          <w:szCs w:val="20"/>
        </w:rPr>
        <w:t>.</w:t>
      </w:r>
    </w:p>
  </w:footnote>
  <w:footnote w:id="11">
    <w:p w14:paraId="449DEAC1" w14:textId="6FAE4731" w:rsidR="000034FA" w:rsidRDefault="000034FA" w:rsidP="000829FE">
      <w:pPr>
        <w:pStyle w:val="FootnoteText"/>
        <w:keepLines w:val="0"/>
        <w:widowControl w:val="0"/>
        <w:spacing w:after="0"/>
        <w:ind w:left="-141" w:right="-425" w:hanging="284"/>
      </w:pPr>
      <w:r w:rsidRPr="000829FE">
        <w:rPr>
          <w:rStyle w:val="FootnoteReference"/>
          <w:sz w:val="20"/>
          <w:szCs w:val="20"/>
        </w:rPr>
        <w:footnoteRef/>
      </w:r>
      <w:r w:rsidRPr="000829FE">
        <w:rPr>
          <w:sz w:val="20"/>
          <w:szCs w:val="20"/>
        </w:rPr>
        <w:t xml:space="preserve"> </w:t>
      </w:r>
      <w:r w:rsidR="00FE24CC" w:rsidRPr="000829FE">
        <w:rPr>
          <w:sz w:val="20"/>
          <w:szCs w:val="20"/>
        </w:rPr>
        <w:tab/>
      </w:r>
      <w:r w:rsidRPr="000829FE">
        <w:rPr>
          <w:sz w:val="20"/>
          <w:szCs w:val="20"/>
        </w:rPr>
        <w:t xml:space="preserve">See for instance reports from 2021 </w:t>
      </w:r>
      <w:hyperlink r:id="rId10" w:history="1">
        <w:r w:rsidRPr="000829FE">
          <w:rPr>
            <w:rStyle w:val="Hyperlink"/>
            <w:sz w:val="20"/>
            <w:szCs w:val="20"/>
          </w:rPr>
          <w:t>https://www.icmpd.org/news/import-news-september/tapping-into-global-talent-putting-the-eu-talent-partnerships-in-motion</w:t>
        </w:r>
      </w:hyperlink>
      <w:r w:rsidRPr="000829FE">
        <w:rPr>
          <w:sz w:val="20"/>
          <w:szCs w:val="20"/>
        </w:rPr>
        <w:t xml:space="preserve"> and from 2022 </w:t>
      </w:r>
      <w:hyperlink r:id="rId11" w:history="1">
        <w:r w:rsidRPr="000829FE">
          <w:rPr>
            <w:rStyle w:val="Hyperlink"/>
            <w:sz w:val="20"/>
            <w:szCs w:val="20"/>
          </w:rPr>
          <w:t>case-study-talent-partnerships-short-version-en.pdf</w:t>
        </w:r>
      </w:hyperlink>
      <w:r w:rsidR="00FE24CC">
        <w:rPr>
          <w:sz w:val="20"/>
          <w:szCs w:val="20"/>
        </w:rPr>
        <w:t>.</w:t>
      </w:r>
    </w:p>
  </w:footnote>
  <w:footnote w:id="12">
    <w:p w14:paraId="54DCC557" w14:textId="064268A4" w:rsidR="003835D9" w:rsidRPr="000829FE" w:rsidRDefault="003835D9" w:rsidP="000829FE">
      <w:pPr>
        <w:pStyle w:val="FootnoteText"/>
        <w:keepLines w:val="0"/>
        <w:widowControl w:val="0"/>
        <w:spacing w:after="0"/>
        <w:ind w:left="-141" w:hanging="284"/>
        <w:rPr>
          <w:sz w:val="20"/>
          <w:szCs w:val="20"/>
          <w:lang w:val="fr-BE"/>
        </w:rPr>
      </w:pPr>
      <w:r w:rsidRPr="000829FE">
        <w:rPr>
          <w:rStyle w:val="FootnoteReference"/>
          <w:sz w:val="20"/>
          <w:szCs w:val="20"/>
        </w:rPr>
        <w:footnoteRef/>
      </w:r>
      <w:r w:rsidRPr="000829FE">
        <w:rPr>
          <w:sz w:val="20"/>
          <w:szCs w:val="20"/>
          <w:lang w:val="fr-BE"/>
        </w:rPr>
        <w:t xml:space="preserve"> </w:t>
      </w:r>
      <w:r w:rsidRPr="000829FE">
        <w:rPr>
          <w:sz w:val="20"/>
          <w:szCs w:val="20"/>
          <w:lang w:val="fr-BE"/>
        </w:rPr>
        <w:tab/>
      </w:r>
      <w:r w:rsidRPr="003835D9">
        <w:rPr>
          <w:sz w:val="20"/>
          <w:szCs w:val="20"/>
          <w:lang w:val="fr-BE"/>
        </w:rPr>
        <w:t>COM(2025) 90 final (</w:t>
      </w:r>
      <w:r>
        <w:fldChar w:fldCharType="begin"/>
      </w:r>
      <w:r w:rsidRPr="002A621A">
        <w:rPr>
          <w:lang w:val="fr-BE"/>
        </w:rPr>
        <w:instrText>HYPERLINK "https://eur-lex.europa.eu/legal-content/EN/TXT/?uri=celex:52025DC0090"</w:instrText>
      </w:r>
      <w:r>
        <w:fldChar w:fldCharType="separate"/>
      </w:r>
      <w:r w:rsidRPr="003835D9">
        <w:rPr>
          <w:rStyle w:val="Hyperlink"/>
          <w:sz w:val="20"/>
          <w:szCs w:val="20"/>
          <w:lang w:val="fr-BE"/>
        </w:rPr>
        <w:t>EUR-Lex - 52025DC0090 - EN - EUR-Lex</w:t>
      </w:r>
      <w:r>
        <w:fldChar w:fldCharType="end"/>
      </w:r>
      <w:r w:rsidRPr="003835D9">
        <w:rPr>
          <w:sz w:val="20"/>
          <w:szCs w:val="20"/>
          <w:lang w:val="fr-BE"/>
        </w:rPr>
        <w:t>).</w:t>
      </w:r>
    </w:p>
  </w:footnote>
  <w:footnote w:id="13">
    <w:p w14:paraId="64590859" w14:textId="1614E16F" w:rsidR="008656C8" w:rsidRPr="000829FE" w:rsidRDefault="008656C8" w:rsidP="000829FE">
      <w:pPr>
        <w:pStyle w:val="FootnoteText"/>
        <w:keepLines w:val="0"/>
        <w:widowControl w:val="0"/>
        <w:spacing w:after="0"/>
        <w:ind w:left="-141" w:hanging="284"/>
        <w:rPr>
          <w:sz w:val="20"/>
          <w:szCs w:val="20"/>
          <w:lang w:val="en-IE"/>
        </w:rPr>
      </w:pPr>
      <w:r w:rsidRPr="000829FE">
        <w:rPr>
          <w:rStyle w:val="FootnoteReference"/>
          <w:sz w:val="20"/>
          <w:szCs w:val="20"/>
        </w:rPr>
        <w:footnoteRef/>
      </w:r>
      <w:r w:rsidRPr="000829FE">
        <w:rPr>
          <w:sz w:val="20"/>
          <w:szCs w:val="20"/>
        </w:rPr>
        <w:t xml:space="preserve"> </w:t>
      </w:r>
      <w:r w:rsidRPr="000829FE">
        <w:rPr>
          <w:sz w:val="20"/>
          <w:szCs w:val="20"/>
          <w:lang w:val="en-IE"/>
        </w:rPr>
        <w:tab/>
      </w:r>
      <w:hyperlink r:id="rId12" w:history="1">
        <w:r w:rsidRPr="000829FE">
          <w:rPr>
            <w:rStyle w:val="Hyperlink"/>
            <w:sz w:val="20"/>
            <w:szCs w:val="20"/>
          </w:rPr>
          <w:t>Towards qualifications recognition and skills portability: charting a path for Europe | CEDEFOP</w:t>
        </w:r>
      </w:hyperlink>
      <w:r w:rsidRPr="000829FE">
        <w:rPr>
          <w:sz w:val="20"/>
          <w:szCs w:val="20"/>
          <w:lang w:val="en-IE"/>
        </w:rPr>
        <w:t>.</w:t>
      </w:r>
    </w:p>
  </w:footnote>
  <w:footnote w:id="14">
    <w:p w14:paraId="55A3328A" w14:textId="6F95E0AA" w:rsidR="008656C8" w:rsidRPr="000829FE" w:rsidRDefault="008656C8" w:rsidP="000829FE">
      <w:pPr>
        <w:pStyle w:val="FootnoteText"/>
        <w:keepLines w:val="0"/>
        <w:widowControl w:val="0"/>
        <w:spacing w:after="0"/>
        <w:ind w:left="-141" w:right="-567" w:hanging="284"/>
        <w:rPr>
          <w:sz w:val="20"/>
          <w:szCs w:val="20"/>
          <w:lang w:val="fr-BE"/>
        </w:rPr>
      </w:pPr>
      <w:r w:rsidRPr="000829FE">
        <w:rPr>
          <w:rStyle w:val="FootnoteReference"/>
          <w:sz w:val="20"/>
          <w:szCs w:val="20"/>
        </w:rPr>
        <w:footnoteRef/>
      </w:r>
      <w:r w:rsidRPr="000829FE">
        <w:rPr>
          <w:sz w:val="20"/>
          <w:szCs w:val="20"/>
          <w:lang w:val="fr-BE"/>
        </w:rPr>
        <w:t xml:space="preserve"> </w:t>
      </w:r>
      <w:r w:rsidRPr="000829FE">
        <w:rPr>
          <w:sz w:val="20"/>
          <w:szCs w:val="20"/>
          <w:lang w:val="fr-BE"/>
        </w:rPr>
        <w:tab/>
        <w:t>SWD(2025) 162 final (</w:t>
      </w:r>
      <w:r>
        <w:fldChar w:fldCharType="begin"/>
      </w:r>
      <w:r w:rsidRPr="002A621A">
        <w:rPr>
          <w:lang w:val="fr-BE"/>
        </w:rPr>
        <w:instrText>HYPERLINK "https://eur-lex.europa.eu/legal-content/EN/TXT/?uri=CELEX%3A52025SC0162"</w:instrText>
      </w:r>
      <w:r>
        <w:fldChar w:fldCharType="separate"/>
      </w:r>
      <w:r w:rsidRPr="000829FE">
        <w:rPr>
          <w:rStyle w:val="Hyperlink"/>
          <w:sz w:val="20"/>
          <w:szCs w:val="20"/>
          <w:lang w:val="fr-BE"/>
        </w:rPr>
        <w:t>EUR-Lex - 52025SC0162 - EN - EUR-Lex</w:t>
      </w:r>
      <w:r>
        <w:fldChar w:fldCharType="end"/>
      </w:r>
      <w:r w:rsidRPr="000829FE">
        <w:rPr>
          <w:sz w:val="20"/>
          <w:szCs w:val="20"/>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4E32" w14:textId="77777777" w:rsidR="00E64807" w:rsidRDefault="00E6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2D88" w14:textId="77777777" w:rsidR="00E64807" w:rsidRDefault="00E64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D718" w14:textId="77777777" w:rsidR="00E64807" w:rsidRDefault="00E6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2F42"/>
    <w:multiLevelType w:val="hybridMultilevel"/>
    <w:tmpl w:val="8BC21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CF63AF9"/>
    <w:multiLevelType w:val="hybridMultilevel"/>
    <w:tmpl w:val="FFFFFFFF"/>
    <w:lvl w:ilvl="0" w:tplc="733C2B78">
      <w:start w:val="1"/>
      <w:numFmt w:val="bullet"/>
      <w:lvlText w:val="-"/>
      <w:lvlJc w:val="left"/>
      <w:pPr>
        <w:ind w:left="720" w:hanging="360"/>
      </w:pPr>
      <w:rPr>
        <w:rFonts w:ascii="Aptos" w:hAnsi="Aptos" w:hint="default"/>
      </w:rPr>
    </w:lvl>
    <w:lvl w:ilvl="1" w:tplc="04CC7036">
      <w:start w:val="1"/>
      <w:numFmt w:val="bullet"/>
      <w:lvlText w:val="o"/>
      <w:lvlJc w:val="left"/>
      <w:pPr>
        <w:ind w:left="1440" w:hanging="360"/>
      </w:pPr>
      <w:rPr>
        <w:rFonts w:ascii="Courier New" w:hAnsi="Courier New" w:hint="default"/>
      </w:rPr>
    </w:lvl>
    <w:lvl w:ilvl="2" w:tplc="5658E8AC">
      <w:start w:val="1"/>
      <w:numFmt w:val="bullet"/>
      <w:lvlText w:val=""/>
      <w:lvlJc w:val="left"/>
      <w:pPr>
        <w:ind w:left="2160" w:hanging="360"/>
      </w:pPr>
      <w:rPr>
        <w:rFonts w:ascii="Wingdings" w:hAnsi="Wingdings" w:hint="default"/>
      </w:rPr>
    </w:lvl>
    <w:lvl w:ilvl="3" w:tplc="BED68922">
      <w:start w:val="1"/>
      <w:numFmt w:val="bullet"/>
      <w:lvlText w:val=""/>
      <w:lvlJc w:val="left"/>
      <w:pPr>
        <w:ind w:left="2880" w:hanging="360"/>
      </w:pPr>
      <w:rPr>
        <w:rFonts w:ascii="Symbol" w:hAnsi="Symbol" w:hint="default"/>
      </w:rPr>
    </w:lvl>
    <w:lvl w:ilvl="4" w:tplc="58DA23F4">
      <w:start w:val="1"/>
      <w:numFmt w:val="bullet"/>
      <w:lvlText w:val="o"/>
      <w:lvlJc w:val="left"/>
      <w:pPr>
        <w:ind w:left="3600" w:hanging="360"/>
      </w:pPr>
      <w:rPr>
        <w:rFonts w:ascii="Courier New" w:hAnsi="Courier New" w:hint="default"/>
      </w:rPr>
    </w:lvl>
    <w:lvl w:ilvl="5" w:tplc="CDACE516">
      <w:start w:val="1"/>
      <w:numFmt w:val="bullet"/>
      <w:lvlText w:val=""/>
      <w:lvlJc w:val="left"/>
      <w:pPr>
        <w:ind w:left="4320" w:hanging="360"/>
      </w:pPr>
      <w:rPr>
        <w:rFonts w:ascii="Wingdings" w:hAnsi="Wingdings" w:hint="default"/>
      </w:rPr>
    </w:lvl>
    <w:lvl w:ilvl="6" w:tplc="187830D2">
      <w:start w:val="1"/>
      <w:numFmt w:val="bullet"/>
      <w:lvlText w:val=""/>
      <w:lvlJc w:val="left"/>
      <w:pPr>
        <w:ind w:left="5040" w:hanging="360"/>
      </w:pPr>
      <w:rPr>
        <w:rFonts w:ascii="Symbol" w:hAnsi="Symbol" w:hint="default"/>
      </w:rPr>
    </w:lvl>
    <w:lvl w:ilvl="7" w:tplc="748ED864">
      <w:start w:val="1"/>
      <w:numFmt w:val="bullet"/>
      <w:lvlText w:val="o"/>
      <w:lvlJc w:val="left"/>
      <w:pPr>
        <w:ind w:left="5760" w:hanging="360"/>
      </w:pPr>
      <w:rPr>
        <w:rFonts w:ascii="Courier New" w:hAnsi="Courier New" w:hint="default"/>
      </w:rPr>
    </w:lvl>
    <w:lvl w:ilvl="8" w:tplc="1DE0916C">
      <w:start w:val="1"/>
      <w:numFmt w:val="bullet"/>
      <w:lvlText w:val=""/>
      <w:lvlJc w:val="left"/>
      <w:pPr>
        <w:ind w:left="6480" w:hanging="360"/>
      </w:pPr>
      <w:rPr>
        <w:rFonts w:ascii="Wingdings" w:hAnsi="Wingdings" w:hint="default"/>
      </w:rPr>
    </w:lvl>
  </w:abstractNum>
  <w:num w:numId="1" w16cid:durableId="937105448">
    <w:abstractNumId w:val="1"/>
  </w:num>
  <w:num w:numId="2" w16cid:durableId="188340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077C4F"/>
    <w:rsid w:val="000034FA"/>
    <w:rsid w:val="00012A37"/>
    <w:rsid w:val="00026635"/>
    <w:rsid w:val="00045915"/>
    <w:rsid w:val="00046B15"/>
    <w:rsid w:val="00050DC7"/>
    <w:rsid w:val="000633EC"/>
    <w:rsid w:val="00076109"/>
    <w:rsid w:val="00077C4F"/>
    <w:rsid w:val="000829FE"/>
    <w:rsid w:val="00083879"/>
    <w:rsid w:val="000D4587"/>
    <w:rsid w:val="000E294E"/>
    <w:rsid w:val="000F5FD8"/>
    <w:rsid w:val="000F6D1D"/>
    <w:rsid w:val="001167C0"/>
    <w:rsid w:val="00135C2A"/>
    <w:rsid w:val="00170071"/>
    <w:rsid w:val="0019112E"/>
    <w:rsid w:val="001A517A"/>
    <w:rsid w:val="001B0E0B"/>
    <w:rsid w:val="001B2FCB"/>
    <w:rsid w:val="001C4138"/>
    <w:rsid w:val="001D1D6D"/>
    <w:rsid w:val="001F2EC6"/>
    <w:rsid w:val="001F65D0"/>
    <w:rsid w:val="00217E59"/>
    <w:rsid w:val="002462DC"/>
    <w:rsid w:val="00256A85"/>
    <w:rsid w:val="00281A15"/>
    <w:rsid w:val="00291870"/>
    <w:rsid w:val="002A00CA"/>
    <w:rsid w:val="002A621A"/>
    <w:rsid w:val="002A6522"/>
    <w:rsid w:val="002B192B"/>
    <w:rsid w:val="002D2822"/>
    <w:rsid w:val="002F03FA"/>
    <w:rsid w:val="003004D2"/>
    <w:rsid w:val="003349A3"/>
    <w:rsid w:val="00337627"/>
    <w:rsid w:val="00345D07"/>
    <w:rsid w:val="003620E8"/>
    <w:rsid w:val="003719BF"/>
    <w:rsid w:val="0037362D"/>
    <w:rsid w:val="00377967"/>
    <w:rsid w:val="00380523"/>
    <w:rsid w:val="003835D9"/>
    <w:rsid w:val="00386143"/>
    <w:rsid w:val="003B58DC"/>
    <w:rsid w:val="003C36F2"/>
    <w:rsid w:val="003D1A73"/>
    <w:rsid w:val="003D4C9D"/>
    <w:rsid w:val="003F1CFC"/>
    <w:rsid w:val="003F686E"/>
    <w:rsid w:val="00413B7A"/>
    <w:rsid w:val="00414C21"/>
    <w:rsid w:val="00442552"/>
    <w:rsid w:val="00455A1C"/>
    <w:rsid w:val="00457A89"/>
    <w:rsid w:val="00464B1D"/>
    <w:rsid w:val="004675B5"/>
    <w:rsid w:val="004770D6"/>
    <w:rsid w:val="0049246C"/>
    <w:rsid w:val="00496F3C"/>
    <w:rsid w:val="004B18B7"/>
    <w:rsid w:val="004B66C3"/>
    <w:rsid w:val="004C236C"/>
    <w:rsid w:val="004C4CE8"/>
    <w:rsid w:val="004C7173"/>
    <w:rsid w:val="004F191C"/>
    <w:rsid w:val="004F6117"/>
    <w:rsid w:val="004F63F1"/>
    <w:rsid w:val="004F651E"/>
    <w:rsid w:val="0052596B"/>
    <w:rsid w:val="00554D8D"/>
    <w:rsid w:val="00567AD4"/>
    <w:rsid w:val="00573835"/>
    <w:rsid w:val="00581306"/>
    <w:rsid w:val="00592B1A"/>
    <w:rsid w:val="005C3105"/>
    <w:rsid w:val="005C5E87"/>
    <w:rsid w:val="00605CB7"/>
    <w:rsid w:val="00637A5C"/>
    <w:rsid w:val="006514B3"/>
    <w:rsid w:val="0066081B"/>
    <w:rsid w:val="00692C2F"/>
    <w:rsid w:val="00695797"/>
    <w:rsid w:val="00696A5E"/>
    <w:rsid w:val="00697136"/>
    <w:rsid w:val="006A6477"/>
    <w:rsid w:val="006A64C5"/>
    <w:rsid w:val="006B3B69"/>
    <w:rsid w:val="006D748A"/>
    <w:rsid w:val="006F7066"/>
    <w:rsid w:val="00706E68"/>
    <w:rsid w:val="00734613"/>
    <w:rsid w:val="00751910"/>
    <w:rsid w:val="00751E60"/>
    <w:rsid w:val="007547B5"/>
    <w:rsid w:val="007845CC"/>
    <w:rsid w:val="00795A9E"/>
    <w:rsid w:val="00797029"/>
    <w:rsid w:val="007A606D"/>
    <w:rsid w:val="007B3537"/>
    <w:rsid w:val="007C2214"/>
    <w:rsid w:val="007D0BCF"/>
    <w:rsid w:val="007E4C5A"/>
    <w:rsid w:val="007E6E74"/>
    <w:rsid w:val="00807B48"/>
    <w:rsid w:val="00812A16"/>
    <w:rsid w:val="008135CA"/>
    <w:rsid w:val="0081584F"/>
    <w:rsid w:val="00820F0F"/>
    <w:rsid w:val="00824F12"/>
    <w:rsid w:val="008415B4"/>
    <w:rsid w:val="00850756"/>
    <w:rsid w:val="008656C8"/>
    <w:rsid w:val="008703BF"/>
    <w:rsid w:val="0088748A"/>
    <w:rsid w:val="008925CE"/>
    <w:rsid w:val="00892870"/>
    <w:rsid w:val="008B673C"/>
    <w:rsid w:val="008C4D41"/>
    <w:rsid w:val="008D0A10"/>
    <w:rsid w:val="008E0152"/>
    <w:rsid w:val="008E7223"/>
    <w:rsid w:val="00905A4B"/>
    <w:rsid w:val="009122DF"/>
    <w:rsid w:val="0091278E"/>
    <w:rsid w:val="009135F7"/>
    <w:rsid w:val="0091742F"/>
    <w:rsid w:val="00942573"/>
    <w:rsid w:val="00981F45"/>
    <w:rsid w:val="00993FA9"/>
    <w:rsid w:val="00994D12"/>
    <w:rsid w:val="009B128B"/>
    <w:rsid w:val="009B5974"/>
    <w:rsid w:val="009C3AC8"/>
    <w:rsid w:val="00A1279A"/>
    <w:rsid w:val="00A16F07"/>
    <w:rsid w:val="00A31235"/>
    <w:rsid w:val="00A31E4A"/>
    <w:rsid w:val="00A33186"/>
    <w:rsid w:val="00A62C7B"/>
    <w:rsid w:val="00A7709A"/>
    <w:rsid w:val="00A90AAF"/>
    <w:rsid w:val="00AA391F"/>
    <w:rsid w:val="00AA4A30"/>
    <w:rsid w:val="00AC5C29"/>
    <w:rsid w:val="00AE0189"/>
    <w:rsid w:val="00AE1842"/>
    <w:rsid w:val="00AE3C7C"/>
    <w:rsid w:val="00B31306"/>
    <w:rsid w:val="00B42814"/>
    <w:rsid w:val="00B42979"/>
    <w:rsid w:val="00B53F37"/>
    <w:rsid w:val="00B53FF1"/>
    <w:rsid w:val="00B83936"/>
    <w:rsid w:val="00BA5916"/>
    <w:rsid w:val="00BB25BE"/>
    <w:rsid w:val="00BD6EB7"/>
    <w:rsid w:val="00BF4638"/>
    <w:rsid w:val="00BF5612"/>
    <w:rsid w:val="00BF703A"/>
    <w:rsid w:val="00C54D27"/>
    <w:rsid w:val="00C76EEB"/>
    <w:rsid w:val="00C81C20"/>
    <w:rsid w:val="00CD143D"/>
    <w:rsid w:val="00D01F5A"/>
    <w:rsid w:val="00D1716E"/>
    <w:rsid w:val="00D33AA2"/>
    <w:rsid w:val="00D64E05"/>
    <w:rsid w:val="00D81F56"/>
    <w:rsid w:val="00D92FD3"/>
    <w:rsid w:val="00D93484"/>
    <w:rsid w:val="00D93A68"/>
    <w:rsid w:val="00D94FFD"/>
    <w:rsid w:val="00DA3B6E"/>
    <w:rsid w:val="00DB1D14"/>
    <w:rsid w:val="00DB7581"/>
    <w:rsid w:val="00DC70C1"/>
    <w:rsid w:val="00DD60D3"/>
    <w:rsid w:val="00DF50BD"/>
    <w:rsid w:val="00E50868"/>
    <w:rsid w:val="00E64807"/>
    <w:rsid w:val="00E83C12"/>
    <w:rsid w:val="00E904C8"/>
    <w:rsid w:val="00EA1BBF"/>
    <w:rsid w:val="00EB29A9"/>
    <w:rsid w:val="00EB77D2"/>
    <w:rsid w:val="00EC121D"/>
    <w:rsid w:val="00EC65A1"/>
    <w:rsid w:val="00F07A2C"/>
    <w:rsid w:val="00F12B16"/>
    <w:rsid w:val="00F2387A"/>
    <w:rsid w:val="00F265B8"/>
    <w:rsid w:val="00F316C8"/>
    <w:rsid w:val="00F55761"/>
    <w:rsid w:val="00F632DE"/>
    <w:rsid w:val="00F735E4"/>
    <w:rsid w:val="00F93433"/>
    <w:rsid w:val="00FB7834"/>
    <w:rsid w:val="00FD012E"/>
    <w:rsid w:val="00FD4B6A"/>
    <w:rsid w:val="00FE24CC"/>
    <w:rsid w:val="00FE5531"/>
    <w:rsid w:val="00FF03A8"/>
    <w:rsid w:val="00FF63EA"/>
    <w:rsid w:val="01C19B9F"/>
    <w:rsid w:val="02F1A8FD"/>
    <w:rsid w:val="0FAB1F8D"/>
    <w:rsid w:val="10E9A008"/>
    <w:rsid w:val="1CE6F7DD"/>
    <w:rsid w:val="1D7EC439"/>
    <w:rsid w:val="26426589"/>
    <w:rsid w:val="28B03CCA"/>
    <w:rsid w:val="291289FD"/>
    <w:rsid w:val="2CD15643"/>
    <w:rsid w:val="30AF6076"/>
    <w:rsid w:val="37169F50"/>
    <w:rsid w:val="38FE2E3E"/>
    <w:rsid w:val="3B4110CF"/>
    <w:rsid w:val="41905BF5"/>
    <w:rsid w:val="45EB438C"/>
    <w:rsid w:val="4A409215"/>
    <w:rsid w:val="536FF06C"/>
    <w:rsid w:val="5462D21D"/>
    <w:rsid w:val="550A836F"/>
    <w:rsid w:val="561A1ADD"/>
    <w:rsid w:val="5D7787CB"/>
    <w:rsid w:val="5FAE6BE0"/>
    <w:rsid w:val="6039E365"/>
    <w:rsid w:val="63E65C14"/>
    <w:rsid w:val="6527FC93"/>
    <w:rsid w:val="7222FDEA"/>
    <w:rsid w:val="732F8BF0"/>
    <w:rsid w:val="76162074"/>
    <w:rsid w:val="7852E5B0"/>
    <w:rsid w:val="785431DD"/>
    <w:rsid w:val="7906E39F"/>
    <w:rsid w:val="791C7B61"/>
    <w:rsid w:val="7BDF96C8"/>
    <w:rsid w:val="7C11B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F1384F31-BD1B-4972-A2C5-37E28A6E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3835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7136"/>
    <w:rPr>
      <w:color w:val="0000FF"/>
      <w:u w:val="single"/>
    </w:rPr>
  </w:style>
  <w:style w:type="paragraph" w:styleId="FootnoteText">
    <w:name w:val="footnote text"/>
    <w:basedOn w:val="Normal"/>
    <w:link w:val="FootnoteTextChar"/>
    <w:qFormat/>
    <w:rsid w:val="00F12B16"/>
    <w:pPr>
      <w:keepLines/>
      <w:spacing w:after="60" w:line="240" w:lineRule="auto"/>
      <w:ind w:left="567" w:hanging="567"/>
      <w:jc w:val="both"/>
    </w:pPr>
    <w:rPr>
      <w:rFonts w:ascii="Times New Roman" w:eastAsia="Times New Roman" w:hAnsi="Times New Roman"/>
      <w:sz w:val="16"/>
    </w:rPr>
  </w:style>
  <w:style w:type="character" w:customStyle="1" w:styleId="FootnoteTextChar">
    <w:name w:val="Footnote Text Char"/>
    <w:basedOn w:val="DefaultParagraphFont"/>
    <w:link w:val="FootnoteText"/>
    <w:rsid w:val="00F12B16"/>
    <w:rPr>
      <w:rFonts w:ascii="Times New Roman" w:eastAsia="Times New Roman" w:hAnsi="Times New Roman"/>
      <w:sz w:val="16"/>
      <w:szCs w:val="22"/>
      <w:lang w:eastAsia="en-US"/>
    </w:rPr>
  </w:style>
  <w:style w:type="character" w:styleId="FootnoteReference">
    <w:name w:val="footnote reference"/>
    <w:unhideWhenUsed/>
    <w:qFormat/>
    <w:rsid w:val="00F12B16"/>
    <w:rPr>
      <w:sz w:val="24"/>
      <w:vertAlign w:val="superscript"/>
    </w:rPr>
  </w:style>
  <w:style w:type="paragraph" w:styleId="ListParagraph">
    <w:name w:val="List Paragraph"/>
    <w:basedOn w:val="Normal"/>
    <w:uiPriority w:val="34"/>
    <w:qFormat/>
    <w:rsid w:val="00797029"/>
    <w:pPr>
      <w:ind w:left="720"/>
      <w:contextualSpacing/>
    </w:pPr>
  </w:style>
  <w:style w:type="paragraph" w:styleId="Revision">
    <w:name w:val="Revision"/>
    <w:hidden/>
    <w:uiPriority w:val="99"/>
    <w:semiHidden/>
    <w:rsid w:val="00464B1D"/>
    <w:rPr>
      <w:sz w:val="22"/>
      <w:szCs w:val="22"/>
      <w:lang w:eastAsia="en-US"/>
    </w:rPr>
  </w:style>
  <w:style w:type="character" w:styleId="CommentReference">
    <w:name w:val="annotation reference"/>
    <w:basedOn w:val="DefaultParagraphFont"/>
    <w:uiPriority w:val="99"/>
    <w:semiHidden/>
    <w:unhideWhenUsed/>
    <w:rsid w:val="00BF5612"/>
    <w:rPr>
      <w:sz w:val="16"/>
      <w:szCs w:val="16"/>
    </w:rPr>
  </w:style>
  <w:style w:type="paragraph" w:styleId="CommentText">
    <w:name w:val="annotation text"/>
    <w:basedOn w:val="Normal"/>
    <w:link w:val="CommentTextChar"/>
    <w:uiPriority w:val="99"/>
    <w:unhideWhenUsed/>
    <w:rsid w:val="00BF5612"/>
    <w:rPr>
      <w:sz w:val="20"/>
      <w:szCs w:val="20"/>
    </w:rPr>
  </w:style>
  <w:style w:type="character" w:customStyle="1" w:styleId="CommentTextChar">
    <w:name w:val="Comment Text Char"/>
    <w:basedOn w:val="DefaultParagraphFont"/>
    <w:link w:val="CommentText"/>
    <w:uiPriority w:val="99"/>
    <w:rsid w:val="00BF5612"/>
    <w:rPr>
      <w:lang w:eastAsia="en-US"/>
    </w:rPr>
  </w:style>
  <w:style w:type="paragraph" w:styleId="CommentSubject">
    <w:name w:val="annotation subject"/>
    <w:basedOn w:val="CommentText"/>
    <w:next w:val="CommentText"/>
    <w:link w:val="CommentSubjectChar"/>
    <w:uiPriority w:val="99"/>
    <w:semiHidden/>
    <w:unhideWhenUsed/>
    <w:rsid w:val="00BF5612"/>
    <w:rPr>
      <w:b/>
      <w:bCs/>
    </w:rPr>
  </w:style>
  <w:style w:type="character" w:customStyle="1" w:styleId="CommentSubjectChar">
    <w:name w:val="Comment Subject Char"/>
    <w:basedOn w:val="CommentTextChar"/>
    <w:link w:val="CommentSubject"/>
    <w:uiPriority w:val="99"/>
    <w:semiHidden/>
    <w:rsid w:val="00BF5612"/>
    <w:rPr>
      <w:b/>
      <w:bCs/>
      <w:lang w:eastAsia="en-US"/>
    </w:rPr>
  </w:style>
  <w:style w:type="paragraph" w:styleId="Header">
    <w:name w:val="header"/>
    <w:basedOn w:val="Normal"/>
    <w:link w:val="HeaderChar"/>
    <w:uiPriority w:val="99"/>
    <w:unhideWhenUsed/>
    <w:rsid w:val="00E64807"/>
    <w:pPr>
      <w:tabs>
        <w:tab w:val="center" w:pos="4513"/>
        <w:tab w:val="right" w:pos="9026"/>
      </w:tabs>
    </w:pPr>
  </w:style>
  <w:style w:type="character" w:customStyle="1" w:styleId="HeaderChar">
    <w:name w:val="Header Char"/>
    <w:basedOn w:val="DefaultParagraphFont"/>
    <w:link w:val="Header"/>
    <w:uiPriority w:val="99"/>
    <w:rsid w:val="00E64807"/>
    <w:rPr>
      <w:sz w:val="22"/>
      <w:szCs w:val="22"/>
      <w:lang w:eastAsia="en-US"/>
    </w:rPr>
  </w:style>
  <w:style w:type="paragraph" w:styleId="Footer">
    <w:name w:val="footer"/>
    <w:basedOn w:val="Normal"/>
    <w:link w:val="FooterChar"/>
    <w:uiPriority w:val="99"/>
    <w:unhideWhenUsed/>
    <w:rsid w:val="00E64807"/>
    <w:pPr>
      <w:tabs>
        <w:tab w:val="center" w:pos="4513"/>
        <w:tab w:val="right" w:pos="9026"/>
      </w:tabs>
    </w:pPr>
  </w:style>
  <w:style w:type="character" w:customStyle="1" w:styleId="FooterChar">
    <w:name w:val="Footer Char"/>
    <w:basedOn w:val="DefaultParagraphFont"/>
    <w:link w:val="Footer"/>
    <w:uiPriority w:val="99"/>
    <w:rsid w:val="00E64807"/>
    <w:rPr>
      <w:sz w:val="22"/>
      <w:szCs w:val="22"/>
      <w:lang w:eastAsia="en-US"/>
    </w:rPr>
  </w:style>
  <w:style w:type="character" w:styleId="UnresolvedMention">
    <w:name w:val="Unresolved Mention"/>
    <w:basedOn w:val="DefaultParagraphFont"/>
    <w:uiPriority w:val="99"/>
    <w:semiHidden/>
    <w:unhideWhenUsed/>
    <w:rsid w:val="00FE24CC"/>
    <w:rPr>
      <w:color w:val="605E5C"/>
      <w:shd w:val="clear" w:color="auto" w:fill="E1DFDD"/>
    </w:rPr>
  </w:style>
  <w:style w:type="character" w:customStyle="1" w:styleId="Heading1Char">
    <w:name w:val="Heading 1 Char"/>
    <w:basedOn w:val="DefaultParagraphFont"/>
    <w:link w:val="Heading1"/>
    <w:uiPriority w:val="9"/>
    <w:rsid w:val="003835D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52663">
      <w:bodyDiv w:val="1"/>
      <w:marLeft w:val="0"/>
      <w:marRight w:val="0"/>
      <w:marTop w:val="0"/>
      <w:marBottom w:val="0"/>
      <w:divBdr>
        <w:top w:val="none" w:sz="0" w:space="0" w:color="auto"/>
        <w:left w:val="none" w:sz="0" w:space="0" w:color="auto"/>
        <w:bottom w:val="none" w:sz="0" w:space="0" w:color="auto"/>
        <w:right w:val="none" w:sz="0" w:space="0" w:color="auto"/>
      </w:divBdr>
    </w:div>
    <w:div w:id="904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home-affairs.ec.europa.eu/policies/migration-and-asylum/legal-migration-and-resettlement/talent-partnerships_en" TargetMode="External"/><Relationship Id="rId3" Type="http://schemas.openxmlformats.org/officeDocument/2006/relationships/hyperlink" Target="http://data.europa.eu/eli/dir/2014/36/oj" TargetMode="External"/><Relationship Id="rId7" Type="http://schemas.openxmlformats.org/officeDocument/2006/relationships/hyperlink" Target="https://eur-lex.europa.eu/legal-content/EN/TXT/?uri=COM%3A2023%3A716%3AFIN" TargetMode="External"/><Relationship Id="rId12" Type="http://schemas.openxmlformats.org/officeDocument/2006/relationships/hyperlink" Target="https://www.cedefop.europa.eu/en/news/towards-qualifications-recognition-and-skills-portability-charting-path-europe" TargetMode="External"/><Relationship Id="rId2" Type="http://schemas.openxmlformats.org/officeDocument/2006/relationships/hyperlink" Target="http://data.europa.eu/eli/dir/2021/1883/oj" TargetMode="External"/><Relationship Id="rId1" Type="http://schemas.openxmlformats.org/officeDocument/2006/relationships/hyperlink" Target="http://data.europa.eu/eli/dir/2024/1233/oj" TargetMode="External"/><Relationship Id="rId6" Type="http://schemas.openxmlformats.org/officeDocument/2006/relationships/hyperlink" Target="http://data.europa.eu/eli/dir/2014/66/oj" TargetMode="External"/><Relationship Id="rId11" Type="http://schemas.openxmlformats.org/officeDocument/2006/relationships/hyperlink" Target="https://www.migrationpartnershipfacility.eu/storage/files/case-study-talent-partnerships-short-version-en.pdf" TargetMode="External"/><Relationship Id="rId5" Type="http://schemas.openxmlformats.org/officeDocument/2006/relationships/hyperlink" Target="http://data.europa.eu/eli/dir/2016/801/oj" TargetMode="External"/><Relationship Id="rId10" Type="http://schemas.openxmlformats.org/officeDocument/2006/relationships/hyperlink" Target="https://www.icmpd.org/news/import-news-september/tapping-into-global-talent-putting-the-eu-talent-partnerships-in-motion" TargetMode="External"/><Relationship Id="rId4" Type="http://schemas.openxmlformats.org/officeDocument/2006/relationships/hyperlink" Target="http://data.europa.eu/eli/dir/2003/86/oj" TargetMode="External"/><Relationship Id="rId9" Type="http://schemas.openxmlformats.org/officeDocument/2006/relationships/hyperlink" Target="https://www.migrationpartnershipfacility.eu/mpf-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16" ma:contentTypeDescription="Create a new document." ma:contentTypeScope="" ma:versionID="9f14011152c4003fce1a5fa53660a125">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878262e3414961f4b3ffa0d5511503a2"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opic"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opic" ma:index="21" nillable="true" ma:displayName="Topic" ma:format="Dropdown" ma:internalName="Topic">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07f447f-a667-47e0-b765-8b655ed2f3a6}" ma:internalName="TaxCatchAll" ma:showField="CatchAllData" ma:web="25f659ec-8fe1-4a92-bf8c-a2c6902536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f659ec-8fe1-4a92-bf8c-a2c690253614" xsi:nil="true"/>
    <lcf76f155ced4ddcb4097134ff3c332f xmlns="0220d199-1883-45bd-877c-911a5caedb7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opic xmlns="0220d199-1883-45bd-877c-911a5caedb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F6405-1437-41F9-ACCC-7408CCAF5652}">
  <ds:schemaRefs>
    <ds:schemaRef ds:uri="http://schemas.microsoft.com/sharepoint/v3/contenttype/forms"/>
  </ds:schemaRefs>
</ds:datastoreItem>
</file>

<file path=customXml/itemProps2.xml><?xml version="1.0" encoding="utf-8"?>
<ds:datastoreItem xmlns:ds="http://schemas.openxmlformats.org/officeDocument/2006/customXml" ds:itemID="{04A29E47-3C2C-4929-9717-42C1EE53D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1C1A3-BC54-4999-B034-972F325A1993}">
  <ds:schemaRefs>
    <ds:schemaRef ds:uri="http://schemas.microsoft.com/office/2006/metadata/properties"/>
    <ds:schemaRef ds:uri="http://schemas.microsoft.com/office/infopath/2007/PartnerControls"/>
    <ds:schemaRef ds:uri="25f659ec-8fe1-4a92-bf8c-a2c690253614"/>
    <ds:schemaRef ds:uri="0220d199-1883-45bd-877c-911a5caedb78"/>
  </ds:schemaRefs>
</ds:datastoreItem>
</file>

<file path=customXml/itemProps4.xml><?xml version="1.0" encoding="utf-8"?>
<ds:datastoreItem xmlns:ds="http://schemas.openxmlformats.org/officeDocument/2006/customXml" ds:itemID="{3D4EACF8-6742-4FE0-93E0-7FC42D7E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1959</Words>
  <Characters>11423</Characters>
  <Application>Microsoft Office Word</Application>
  <DocSecurity>0</DocSecurity>
  <Lines>152</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2013-02-27T18:02:00Z</cp:lastPrinted>
  <dcterms:created xsi:type="dcterms:W3CDTF">2026-01-20T14:17:00Z</dcterms:created>
  <dcterms:modified xsi:type="dcterms:W3CDTF">2026-01-20T14:18:00Z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0x0101001EF5110FB1CEE74294A4AD2C62020E74</vt:lpwstr>
  </property>
  <property fmtid="{D5CDD505-2E9C-101B-9397-08002B2CF9AE}" pid="11" name="MediaServiceImageTags">
    <vt:lpwstr/>
  </property>
</Properties>
</file>