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1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10"/>
      </w:tblGrid>
      <w:tr w:rsidR="001C4138" w:rsidRPr="004F6117" w14:paraId="30B76F57" w14:textId="77777777" w:rsidTr="00765D19">
        <w:trPr>
          <w:jc w:val="center"/>
        </w:trPr>
        <w:tc>
          <w:tcPr>
            <w:tcW w:w="10110" w:type="dxa"/>
          </w:tcPr>
          <w:p w14:paraId="3A99935F" w14:textId="2D7A5E13" w:rsidR="001C4138" w:rsidRPr="004F6117" w:rsidRDefault="00D652DD" w:rsidP="00765D19">
            <w:pPr>
              <w:widowControl w:val="0"/>
              <w:spacing w:before="120" w:after="120"/>
              <w:rPr>
                <w:rFonts w:ascii="Times New Roman" w:hAnsi="Times New Roman"/>
                <w:b/>
                <w:sz w:val="24"/>
                <w:szCs w:val="24"/>
              </w:rPr>
            </w:pPr>
            <w:r>
              <w:rPr>
                <w:rFonts w:ascii="Times New Roman" w:hAnsi="Times New Roman"/>
                <w:b/>
                <w:sz w:val="24"/>
                <w:szCs w:val="24"/>
              </w:rPr>
              <w:t>Automotive Industry Action Plan</w:t>
            </w:r>
            <w:r w:rsidR="00DA03A5">
              <w:rPr>
                <w:rFonts w:ascii="Times New Roman" w:hAnsi="Times New Roman"/>
                <w:b/>
                <w:sz w:val="24"/>
                <w:szCs w:val="24"/>
              </w:rPr>
              <w:br/>
              <w:t>(optional opinion)</w:t>
            </w:r>
            <w:r w:rsidR="001C4138" w:rsidRPr="004F6117">
              <w:rPr>
                <w:rFonts w:ascii="Times New Roman" w:hAnsi="Times New Roman"/>
                <w:b/>
                <w:sz w:val="24"/>
                <w:szCs w:val="24"/>
              </w:rPr>
              <w:br/>
            </w:r>
            <w:proofErr w:type="gramStart"/>
            <w:r w:rsidRPr="00D652DD">
              <w:rPr>
                <w:rFonts w:ascii="Times New Roman" w:hAnsi="Times New Roman"/>
                <w:b/>
                <w:sz w:val="24"/>
                <w:szCs w:val="24"/>
              </w:rPr>
              <w:t>COM(</w:t>
            </w:r>
            <w:proofErr w:type="gramEnd"/>
            <w:r w:rsidRPr="00D652DD">
              <w:rPr>
                <w:rFonts w:ascii="Times New Roman" w:hAnsi="Times New Roman"/>
                <w:b/>
                <w:sz w:val="24"/>
                <w:szCs w:val="24"/>
              </w:rPr>
              <w:t>2025) 95 final</w:t>
            </w:r>
            <w:r w:rsidR="001C4138" w:rsidRPr="004F6117">
              <w:rPr>
                <w:rFonts w:ascii="Times New Roman" w:hAnsi="Times New Roman"/>
                <w:b/>
                <w:sz w:val="24"/>
                <w:szCs w:val="24"/>
              </w:rPr>
              <w:br/>
              <w:t>EESC-20</w:t>
            </w:r>
            <w:r>
              <w:rPr>
                <w:rFonts w:ascii="Times New Roman" w:hAnsi="Times New Roman"/>
                <w:b/>
                <w:sz w:val="24"/>
                <w:szCs w:val="24"/>
              </w:rPr>
              <w:t>25</w:t>
            </w:r>
            <w:r w:rsidR="001C4138" w:rsidRPr="004F6117">
              <w:rPr>
                <w:rFonts w:ascii="Times New Roman" w:hAnsi="Times New Roman"/>
                <w:b/>
                <w:sz w:val="24"/>
                <w:szCs w:val="24"/>
              </w:rPr>
              <w:t>-</w:t>
            </w:r>
            <w:r w:rsidRPr="00D652DD">
              <w:rPr>
                <w:rFonts w:ascii="Times New Roman" w:hAnsi="Times New Roman"/>
                <w:b/>
                <w:sz w:val="24"/>
                <w:szCs w:val="24"/>
              </w:rPr>
              <w:t>01374</w:t>
            </w:r>
            <w:r>
              <w:rPr>
                <w:rFonts w:ascii="Times New Roman" w:hAnsi="Times New Roman"/>
                <w:b/>
                <w:sz w:val="24"/>
                <w:szCs w:val="24"/>
              </w:rPr>
              <w:t xml:space="preserve"> </w:t>
            </w:r>
            <w:r w:rsidR="001C4138" w:rsidRPr="004F6117">
              <w:rPr>
                <w:rFonts w:ascii="Times New Roman" w:hAnsi="Times New Roman"/>
                <w:b/>
                <w:sz w:val="24"/>
                <w:szCs w:val="24"/>
              </w:rPr>
              <w:t xml:space="preserve">– </w:t>
            </w:r>
            <w:r>
              <w:rPr>
                <w:rFonts w:ascii="Times New Roman" w:hAnsi="Times New Roman"/>
                <w:b/>
                <w:sz w:val="24"/>
                <w:szCs w:val="24"/>
              </w:rPr>
              <w:t>CCMI</w:t>
            </w:r>
            <w:r w:rsidR="001C4138" w:rsidRPr="004F6117">
              <w:rPr>
                <w:rFonts w:ascii="Times New Roman" w:hAnsi="Times New Roman"/>
                <w:b/>
                <w:sz w:val="24"/>
                <w:szCs w:val="24"/>
              </w:rPr>
              <w:t>/</w:t>
            </w:r>
            <w:r>
              <w:rPr>
                <w:rFonts w:ascii="Times New Roman" w:hAnsi="Times New Roman"/>
                <w:b/>
                <w:sz w:val="24"/>
                <w:szCs w:val="24"/>
              </w:rPr>
              <w:t>249</w:t>
            </w:r>
            <w:r w:rsidR="001C4138" w:rsidRPr="004F6117">
              <w:rPr>
                <w:rFonts w:ascii="Times New Roman" w:hAnsi="Times New Roman"/>
                <w:b/>
                <w:sz w:val="24"/>
                <w:szCs w:val="24"/>
              </w:rPr>
              <w:br/>
              <w:t>5</w:t>
            </w:r>
            <w:r>
              <w:rPr>
                <w:rFonts w:ascii="Times New Roman" w:hAnsi="Times New Roman"/>
                <w:b/>
                <w:sz w:val="24"/>
                <w:szCs w:val="24"/>
              </w:rPr>
              <w:t>98</w:t>
            </w:r>
            <w:r w:rsidR="001C4138" w:rsidRPr="0049246C">
              <w:rPr>
                <w:rFonts w:ascii="Times New Roman" w:hAnsi="Times New Roman"/>
                <w:b/>
                <w:sz w:val="24"/>
                <w:szCs w:val="24"/>
                <w:vertAlign w:val="superscript"/>
              </w:rPr>
              <w:t>th</w:t>
            </w:r>
            <w:r w:rsidR="001C4138" w:rsidRPr="004F6117">
              <w:rPr>
                <w:rFonts w:ascii="Times New Roman" w:hAnsi="Times New Roman"/>
                <w:b/>
                <w:sz w:val="24"/>
                <w:szCs w:val="24"/>
              </w:rPr>
              <w:t xml:space="preserve"> Plenary Session – July 20</w:t>
            </w:r>
            <w:r>
              <w:rPr>
                <w:rFonts w:ascii="Times New Roman" w:hAnsi="Times New Roman"/>
                <w:b/>
                <w:sz w:val="24"/>
                <w:szCs w:val="24"/>
              </w:rPr>
              <w:t>25</w:t>
            </w:r>
            <w:r w:rsidR="001C4138" w:rsidRPr="004F6117">
              <w:rPr>
                <w:rFonts w:ascii="Times New Roman" w:hAnsi="Times New Roman"/>
                <w:b/>
                <w:sz w:val="24"/>
                <w:szCs w:val="24"/>
              </w:rPr>
              <w:br/>
              <w:t>Rapporteur: G</w:t>
            </w:r>
            <w:r>
              <w:rPr>
                <w:rFonts w:ascii="Times New Roman" w:hAnsi="Times New Roman"/>
                <w:b/>
                <w:sz w:val="24"/>
                <w:szCs w:val="24"/>
              </w:rPr>
              <w:t xml:space="preserve">onçalo LOBO-XAVIER </w:t>
            </w:r>
            <w:r w:rsidR="001C4138" w:rsidRPr="004F6117">
              <w:rPr>
                <w:rFonts w:ascii="Times New Roman" w:hAnsi="Times New Roman"/>
                <w:b/>
                <w:sz w:val="24"/>
                <w:szCs w:val="24"/>
              </w:rPr>
              <w:t>(</w:t>
            </w:r>
            <w:r>
              <w:rPr>
                <w:rFonts w:ascii="Times New Roman" w:hAnsi="Times New Roman"/>
                <w:b/>
                <w:sz w:val="24"/>
                <w:szCs w:val="24"/>
              </w:rPr>
              <w:t>P</w:t>
            </w:r>
            <w:r w:rsidR="001C4138" w:rsidRPr="004F6117">
              <w:rPr>
                <w:rFonts w:ascii="Times New Roman" w:hAnsi="Times New Roman"/>
                <w:b/>
                <w:sz w:val="24"/>
                <w:szCs w:val="24"/>
              </w:rPr>
              <w:t>T</w:t>
            </w:r>
            <w:r w:rsidR="00DA03A5">
              <w:rPr>
                <w:rFonts w:ascii="Times New Roman" w:hAnsi="Times New Roman"/>
                <w:b/>
                <w:sz w:val="24"/>
                <w:szCs w:val="24"/>
              </w:rPr>
              <w:t>-I</w:t>
            </w:r>
            <w:r w:rsidR="001C4138" w:rsidRPr="004F6117">
              <w:rPr>
                <w:rFonts w:ascii="Times New Roman" w:hAnsi="Times New Roman"/>
                <w:b/>
                <w:sz w:val="24"/>
                <w:szCs w:val="24"/>
              </w:rPr>
              <w:t>)</w:t>
            </w:r>
            <w:r w:rsidR="001C4138" w:rsidRPr="004F6117">
              <w:rPr>
                <w:rFonts w:ascii="Times New Roman" w:hAnsi="Times New Roman"/>
                <w:b/>
                <w:sz w:val="24"/>
                <w:szCs w:val="24"/>
              </w:rPr>
              <w:br/>
              <w:t xml:space="preserve">Co-rapporteur: </w:t>
            </w:r>
            <w:r>
              <w:rPr>
                <w:rFonts w:ascii="Times New Roman" w:hAnsi="Times New Roman"/>
                <w:b/>
                <w:sz w:val="24"/>
                <w:szCs w:val="24"/>
              </w:rPr>
              <w:t>Guido NELISSEN</w:t>
            </w:r>
            <w:r w:rsidR="001C4138" w:rsidRPr="004F6117">
              <w:rPr>
                <w:rFonts w:ascii="Times New Roman" w:hAnsi="Times New Roman"/>
                <w:b/>
                <w:sz w:val="24"/>
                <w:szCs w:val="24"/>
              </w:rPr>
              <w:t xml:space="preserve"> (</w:t>
            </w:r>
            <w:r>
              <w:rPr>
                <w:rFonts w:ascii="Times New Roman" w:hAnsi="Times New Roman"/>
                <w:b/>
                <w:sz w:val="24"/>
                <w:szCs w:val="24"/>
              </w:rPr>
              <w:t>BE</w:t>
            </w:r>
            <w:r w:rsidR="00DA03A5">
              <w:rPr>
                <w:rFonts w:ascii="Times New Roman" w:hAnsi="Times New Roman"/>
                <w:b/>
                <w:sz w:val="24"/>
                <w:szCs w:val="24"/>
              </w:rPr>
              <w:t>-II</w:t>
            </w:r>
            <w:r w:rsidR="001C4138" w:rsidRPr="004F6117">
              <w:rPr>
                <w:rFonts w:ascii="Times New Roman" w:hAnsi="Times New Roman"/>
                <w:b/>
                <w:sz w:val="24"/>
                <w:szCs w:val="24"/>
              </w:rPr>
              <w:t>)</w:t>
            </w:r>
            <w:r w:rsidR="001C4138" w:rsidRPr="004F6117">
              <w:rPr>
                <w:rFonts w:ascii="Times New Roman" w:hAnsi="Times New Roman"/>
                <w:b/>
                <w:sz w:val="24"/>
                <w:szCs w:val="24"/>
              </w:rPr>
              <w:br/>
              <w:t xml:space="preserve">DG </w:t>
            </w:r>
            <w:r>
              <w:rPr>
                <w:rFonts w:ascii="Times New Roman" w:hAnsi="Times New Roman"/>
                <w:b/>
                <w:sz w:val="24"/>
                <w:szCs w:val="24"/>
              </w:rPr>
              <w:t>GROW</w:t>
            </w:r>
            <w:r w:rsidR="001C4138" w:rsidRPr="004F6117">
              <w:rPr>
                <w:rFonts w:ascii="Times New Roman" w:hAnsi="Times New Roman"/>
                <w:b/>
                <w:sz w:val="24"/>
                <w:szCs w:val="24"/>
              </w:rPr>
              <w:t xml:space="preserve"> – </w:t>
            </w:r>
            <w:r>
              <w:rPr>
                <w:rFonts w:ascii="Times New Roman" w:hAnsi="Times New Roman"/>
                <w:b/>
                <w:sz w:val="24"/>
                <w:szCs w:val="24"/>
              </w:rPr>
              <w:t xml:space="preserve">Executive Vice-President </w:t>
            </w:r>
            <w:r w:rsidR="00DA03A5">
              <w:rPr>
                <w:rFonts w:ascii="Times New Roman" w:hAnsi="Times New Roman"/>
                <w:b/>
                <w:sz w:val="24"/>
                <w:szCs w:val="24"/>
              </w:rPr>
              <w:t>SÉJOURNÉ</w:t>
            </w:r>
            <w:r>
              <w:rPr>
                <w:rFonts w:ascii="Times New Roman" w:hAnsi="Times New Roman"/>
                <w:b/>
                <w:sz w:val="24"/>
                <w:szCs w:val="24"/>
              </w:rPr>
              <w:t xml:space="preserve"> </w:t>
            </w:r>
          </w:p>
        </w:tc>
      </w:tr>
      <w:tr w:rsidR="004F6117" w:rsidRPr="004F6117" w14:paraId="041809D9" w14:textId="77777777" w:rsidTr="00765D19">
        <w:trPr>
          <w:jc w:val="center"/>
        </w:trPr>
        <w:tc>
          <w:tcPr>
            <w:tcW w:w="10110" w:type="dxa"/>
          </w:tcPr>
          <w:p w14:paraId="52C253DC" w14:textId="413533FD" w:rsidR="004F6117" w:rsidRPr="004F6117" w:rsidRDefault="0049246C" w:rsidP="00765D19">
            <w:pPr>
              <w:widowControl w:val="0"/>
              <w:spacing w:before="120" w:after="120"/>
              <w:jc w:val="center"/>
              <w:rPr>
                <w:rFonts w:ascii="Times New Roman" w:hAnsi="Times New Roman"/>
                <w:b/>
                <w:sz w:val="24"/>
                <w:szCs w:val="24"/>
                <w:highlight w:val="yellow"/>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of the European Economic and Social Committee</w:t>
            </w:r>
            <w:r w:rsidR="00D652DD">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4F6117" w:rsidRPr="008B0A4C" w14:paraId="461CAB07" w14:textId="77777777" w:rsidTr="00765D19">
        <w:trPr>
          <w:jc w:val="center"/>
        </w:trPr>
        <w:tc>
          <w:tcPr>
            <w:tcW w:w="10110" w:type="dxa"/>
          </w:tcPr>
          <w:p w14:paraId="617348DE" w14:textId="5414AD36" w:rsidR="004F6117" w:rsidRPr="004F6117" w:rsidRDefault="27414B1B" w:rsidP="00765D19">
            <w:pPr>
              <w:widowControl w:val="0"/>
              <w:spacing w:before="120" w:after="120"/>
              <w:jc w:val="both"/>
            </w:pPr>
            <w:r w:rsidRPr="1D6102B3">
              <w:rPr>
                <w:rFonts w:ascii="Times New Roman" w:eastAsia="Times New Roman" w:hAnsi="Times New Roman"/>
                <w:sz w:val="24"/>
                <w:szCs w:val="24"/>
                <w:lang w:val="en-GB"/>
              </w:rPr>
              <w:t xml:space="preserve">The Commission acknowledges the comprehensive opinion provided by the </w:t>
            </w:r>
            <w:r w:rsidR="00396D2E">
              <w:rPr>
                <w:rFonts w:ascii="Times New Roman" w:eastAsia="Times New Roman" w:hAnsi="Times New Roman"/>
                <w:sz w:val="24"/>
                <w:szCs w:val="24"/>
                <w:lang w:val="en-GB"/>
              </w:rPr>
              <w:t xml:space="preserve">Committee </w:t>
            </w:r>
            <w:r w:rsidRPr="1D6102B3">
              <w:rPr>
                <w:rFonts w:ascii="Times New Roman" w:eastAsia="Times New Roman" w:hAnsi="Times New Roman"/>
                <w:sz w:val="24"/>
                <w:szCs w:val="24"/>
                <w:lang w:val="en-GB"/>
              </w:rPr>
              <w:t>on the Industrial Action Plan for the European automotive sector</w:t>
            </w:r>
            <w:r w:rsidR="337157C7" w:rsidRPr="1D6102B3">
              <w:rPr>
                <w:rFonts w:ascii="Times New Roman" w:eastAsia="Times New Roman" w:hAnsi="Times New Roman"/>
                <w:sz w:val="24"/>
                <w:szCs w:val="24"/>
                <w:lang w:val="en-GB"/>
              </w:rPr>
              <w:t>.</w:t>
            </w:r>
            <w:r w:rsidR="009F1F71">
              <w:rPr>
                <w:rStyle w:val="FootnoteReference"/>
                <w:rFonts w:ascii="Times New Roman" w:eastAsia="Times New Roman" w:hAnsi="Times New Roman"/>
                <w:sz w:val="24"/>
                <w:szCs w:val="24"/>
                <w:lang w:val="en-GB"/>
              </w:rPr>
              <w:footnoteReference w:id="2"/>
            </w:r>
            <w:r w:rsidRPr="1D6102B3">
              <w:rPr>
                <w:rFonts w:ascii="Times New Roman" w:eastAsia="Times New Roman" w:hAnsi="Times New Roman"/>
                <w:sz w:val="24"/>
                <w:szCs w:val="24"/>
                <w:lang w:val="en-GB"/>
              </w:rPr>
              <w:t xml:space="preserve"> </w:t>
            </w:r>
          </w:p>
          <w:p w14:paraId="42D495B0" w14:textId="560A0129" w:rsidR="004F6117" w:rsidRPr="004F6117" w:rsidRDefault="27414B1B" w:rsidP="00765D19">
            <w:pPr>
              <w:widowControl w:val="0"/>
              <w:spacing w:before="120" w:after="120"/>
              <w:jc w:val="both"/>
            </w:pPr>
            <w:r w:rsidRPr="1D6102B3">
              <w:rPr>
                <w:rFonts w:ascii="Times New Roman" w:eastAsia="Times New Roman" w:hAnsi="Times New Roman"/>
                <w:sz w:val="24"/>
                <w:szCs w:val="24"/>
                <w:lang w:val="en-GB"/>
              </w:rPr>
              <w:t xml:space="preserve">Building on </w:t>
            </w:r>
            <w:r w:rsidR="2F562EF4" w:rsidRPr="1D6102B3">
              <w:rPr>
                <w:rFonts w:ascii="Times New Roman" w:eastAsia="Times New Roman" w:hAnsi="Times New Roman"/>
                <w:sz w:val="24"/>
                <w:szCs w:val="24"/>
                <w:lang w:val="en-GB"/>
              </w:rPr>
              <w:t>the Competitiveness</w:t>
            </w:r>
            <w:r w:rsidRPr="1D6102B3">
              <w:rPr>
                <w:rFonts w:ascii="Times New Roman" w:eastAsia="Times New Roman" w:hAnsi="Times New Roman"/>
                <w:sz w:val="24"/>
                <w:szCs w:val="24"/>
                <w:lang w:val="en-GB"/>
              </w:rPr>
              <w:t xml:space="preserve"> Compass</w:t>
            </w:r>
            <w:r w:rsidR="00D01DB4">
              <w:rPr>
                <w:rStyle w:val="FootnoteReference"/>
                <w:rFonts w:ascii="Times New Roman" w:eastAsia="Times New Roman" w:hAnsi="Times New Roman"/>
                <w:sz w:val="24"/>
                <w:szCs w:val="24"/>
                <w:lang w:val="en-GB"/>
              </w:rPr>
              <w:footnoteReference w:id="3"/>
            </w:r>
            <w:r w:rsidRPr="1D6102B3">
              <w:rPr>
                <w:rFonts w:ascii="Times New Roman" w:eastAsia="Times New Roman" w:hAnsi="Times New Roman"/>
                <w:sz w:val="24"/>
                <w:szCs w:val="24"/>
                <w:lang w:val="en-GB"/>
              </w:rPr>
              <w:t xml:space="preserve"> and the Clean Industrial Deal</w:t>
            </w:r>
            <w:r w:rsidR="00060989">
              <w:rPr>
                <w:rStyle w:val="FootnoteReference"/>
                <w:rFonts w:ascii="Times New Roman" w:eastAsia="Times New Roman" w:hAnsi="Times New Roman"/>
                <w:sz w:val="24"/>
                <w:szCs w:val="24"/>
                <w:lang w:val="en-GB"/>
              </w:rPr>
              <w:footnoteReference w:id="4"/>
            </w:r>
            <w:r w:rsidRPr="1D6102B3">
              <w:rPr>
                <w:rFonts w:ascii="Times New Roman" w:eastAsia="Times New Roman" w:hAnsi="Times New Roman"/>
                <w:sz w:val="24"/>
                <w:szCs w:val="24"/>
                <w:lang w:val="en-GB"/>
              </w:rPr>
              <w:t xml:space="preserve">, the Automotive Action Plan sets out concrete measures to ensure the competitiveness of the automotive industry, addressing the issues of digitalisation, clean mobility, workforce transition and competitiveness, as highlighted in the opinion. The Commission fully recognises the challenges ahead </w:t>
            </w:r>
            <w:r w:rsidR="0B9CBF2C" w:rsidRPr="1D6102B3">
              <w:rPr>
                <w:rFonts w:ascii="Times New Roman" w:eastAsia="Times New Roman" w:hAnsi="Times New Roman"/>
                <w:sz w:val="24"/>
                <w:szCs w:val="24"/>
                <w:lang w:val="en-GB"/>
              </w:rPr>
              <w:t xml:space="preserve">in the transition towards </w:t>
            </w:r>
            <w:r w:rsidR="0EB9DA1B" w:rsidRPr="1D6102B3">
              <w:rPr>
                <w:rFonts w:ascii="Times New Roman" w:eastAsia="Times New Roman" w:hAnsi="Times New Roman"/>
                <w:sz w:val="24"/>
                <w:szCs w:val="24"/>
                <w:lang w:val="en-GB"/>
              </w:rPr>
              <w:t xml:space="preserve">zero-emission mobility </w:t>
            </w:r>
            <w:r w:rsidRPr="1D6102B3">
              <w:rPr>
                <w:rFonts w:ascii="Times New Roman" w:eastAsia="Times New Roman" w:hAnsi="Times New Roman"/>
                <w:sz w:val="24"/>
                <w:szCs w:val="24"/>
                <w:lang w:val="en-GB"/>
              </w:rPr>
              <w:t xml:space="preserve">and remains committed to ensuring a fair and competitive transition of this strategically important sector and welcomes the contributions made by the EESC to this initiative. </w:t>
            </w:r>
          </w:p>
          <w:p w14:paraId="027F3E7B" w14:textId="3B1CBA51" w:rsidR="004F6117" w:rsidRPr="004F6117" w:rsidRDefault="27414B1B" w:rsidP="00765D19">
            <w:pPr>
              <w:widowControl w:val="0"/>
              <w:spacing w:before="120" w:after="120"/>
              <w:jc w:val="both"/>
            </w:pPr>
            <w:r w:rsidRPr="1D6102B3">
              <w:rPr>
                <w:rFonts w:ascii="Times New Roman" w:eastAsia="Times New Roman" w:hAnsi="Times New Roman"/>
                <w:b/>
                <w:bCs/>
                <w:sz w:val="24"/>
                <w:szCs w:val="24"/>
                <w:lang w:val="en-GB"/>
              </w:rPr>
              <w:t>Digitalisation: the road to the next automotive paradigm</w:t>
            </w:r>
          </w:p>
          <w:p w14:paraId="7D4248E6" w14:textId="6144440A" w:rsidR="004F6117" w:rsidRPr="004F6117" w:rsidRDefault="27414B1B" w:rsidP="00765D19">
            <w:pPr>
              <w:widowControl w:val="0"/>
              <w:spacing w:before="120" w:after="120"/>
              <w:jc w:val="both"/>
            </w:pPr>
            <w:r w:rsidRPr="5AFD246C">
              <w:rPr>
                <w:rFonts w:ascii="Times New Roman" w:eastAsia="Times New Roman" w:hAnsi="Times New Roman"/>
                <w:sz w:val="24"/>
                <w:szCs w:val="24"/>
                <w:lang w:val="en-GB"/>
              </w:rPr>
              <w:t xml:space="preserve">As underlined </w:t>
            </w:r>
            <w:r w:rsidR="5EFA4CF4" w:rsidRPr="5AFD246C">
              <w:rPr>
                <w:rFonts w:ascii="Times New Roman" w:eastAsia="Times New Roman" w:hAnsi="Times New Roman"/>
                <w:sz w:val="24"/>
                <w:szCs w:val="24"/>
                <w:lang w:val="en-GB"/>
              </w:rPr>
              <w:t>by the</w:t>
            </w:r>
            <w:r w:rsidRPr="5AFD246C">
              <w:rPr>
                <w:rFonts w:ascii="Times New Roman" w:eastAsia="Times New Roman" w:hAnsi="Times New Roman"/>
                <w:sz w:val="24"/>
                <w:szCs w:val="24"/>
                <w:lang w:val="en-GB"/>
              </w:rPr>
              <w:t xml:space="preserve"> Automotive Action Plan, the Commission </w:t>
            </w:r>
            <w:r w:rsidR="290A79FD" w:rsidRPr="5AFD246C">
              <w:rPr>
                <w:rFonts w:ascii="Times New Roman" w:eastAsia="Times New Roman" w:hAnsi="Times New Roman"/>
                <w:sz w:val="24"/>
                <w:szCs w:val="24"/>
                <w:lang w:val="en-GB"/>
              </w:rPr>
              <w:t>agrees</w:t>
            </w:r>
            <w:r w:rsidRPr="5AFD246C">
              <w:rPr>
                <w:rFonts w:ascii="Times New Roman" w:eastAsia="Times New Roman" w:hAnsi="Times New Roman"/>
                <w:sz w:val="24"/>
                <w:szCs w:val="24"/>
                <w:lang w:val="en-GB"/>
              </w:rPr>
              <w:t xml:space="preserve"> on the importance of </w:t>
            </w:r>
            <w:r w:rsidR="6149227B" w:rsidRPr="5AFD246C">
              <w:rPr>
                <w:rFonts w:ascii="Times New Roman" w:eastAsia="Times New Roman" w:hAnsi="Times New Roman"/>
                <w:sz w:val="24"/>
                <w:szCs w:val="24"/>
                <w:lang w:val="en-GB"/>
              </w:rPr>
              <w:t>using</w:t>
            </w:r>
            <w:r w:rsidRPr="5AFD246C">
              <w:rPr>
                <w:rFonts w:ascii="Times New Roman" w:eastAsia="Times New Roman" w:hAnsi="Times New Roman"/>
                <w:sz w:val="24"/>
                <w:szCs w:val="24"/>
                <w:lang w:val="en-GB"/>
              </w:rPr>
              <w:t xml:space="preserve"> the digital transformation to regain competitiveness by reinforcing </w:t>
            </w:r>
            <w:r w:rsidR="3847921D" w:rsidRPr="5AFD246C">
              <w:rPr>
                <w:rFonts w:ascii="Times New Roman" w:eastAsia="Times New Roman" w:hAnsi="Times New Roman"/>
                <w:sz w:val="24"/>
                <w:szCs w:val="24"/>
                <w:lang w:val="en-GB"/>
              </w:rPr>
              <w:t xml:space="preserve">the </w:t>
            </w:r>
            <w:r w:rsidRPr="5AFD246C">
              <w:rPr>
                <w:rFonts w:ascii="Times New Roman" w:eastAsia="Times New Roman" w:hAnsi="Times New Roman"/>
                <w:sz w:val="24"/>
                <w:szCs w:val="24"/>
                <w:lang w:val="en-GB"/>
              </w:rPr>
              <w:t>shift towards software-</w:t>
            </w:r>
            <w:r w:rsidR="22995DE6" w:rsidRPr="5AFD246C">
              <w:rPr>
                <w:rFonts w:ascii="Times New Roman" w:eastAsia="Times New Roman" w:hAnsi="Times New Roman"/>
                <w:sz w:val="24"/>
                <w:szCs w:val="24"/>
                <w:lang w:val="en-GB"/>
              </w:rPr>
              <w:t>defined</w:t>
            </w:r>
            <w:r w:rsidRPr="5AFD246C">
              <w:rPr>
                <w:rFonts w:ascii="Times New Roman" w:eastAsia="Times New Roman" w:hAnsi="Times New Roman"/>
                <w:sz w:val="24"/>
                <w:szCs w:val="24"/>
                <w:lang w:val="en-GB"/>
              </w:rPr>
              <w:t>, AI powered</w:t>
            </w:r>
            <w:r w:rsidR="7255ABCC" w:rsidRPr="5AFD246C">
              <w:rPr>
                <w:rFonts w:ascii="Times New Roman" w:eastAsia="Times New Roman" w:hAnsi="Times New Roman"/>
                <w:sz w:val="24"/>
                <w:szCs w:val="24"/>
                <w:lang w:val="en-GB"/>
              </w:rPr>
              <w:t>, connected</w:t>
            </w:r>
            <w:r w:rsidR="493479CF" w:rsidRPr="5AFD246C">
              <w:rPr>
                <w:rFonts w:ascii="Times New Roman" w:eastAsia="Times New Roman" w:hAnsi="Times New Roman"/>
                <w:sz w:val="24"/>
                <w:szCs w:val="24"/>
                <w:lang w:val="en-GB"/>
              </w:rPr>
              <w:t xml:space="preserve"> and automated</w:t>
            </w:r>
            <w:r w:rsidRPr="5AFD246C">
              <w:rPr>
                <w:rFonts w:ascii="Times New Roman" w:eastAsia="Times New Roman" w:hAnsi="Times New Roman"/>
                <w:sz w:val="24"/>
                <w:szCs w:val="24"/>
                <w:lang w:val="en-GB"/>
              </w:rPr>
              <w:t xml:space="preserve"> vehicles.</w:t>
            </w:r>
            <w:r w:rsidR="00396D2E">
              <w:rPr>
                <w:rFonts w:ascii="Times New Roman" w:eastAsia="Times New Roman" w:hAnsi="Times New Roman"/>
                <w:sz w:val="24"/>
                <w:szCs w:val="24"/>
                <w:lang w:val="en-GB"/>
              </w:rPr>
              <w:t xml:space="preserve"> </w:t>
            </w:r>
          </w:p>
          <w:p w14:paraId="0D08BB67" w14:textId="46B7B686" w:rsidR="004F6117" w:rsidRPr="006B377D" w:rsidRDefault="325B562E" w:rsidP="00765D19">
            <w:pPr>
              <w:widowControl w:val="0"/>
              <w:spacing w:before="120" w:after="120"/>
              <w:jc w:val="both"/>
              <w:rPr>
                <w:rFonts w:ascii="Times New Roman" w:eastAsia="Times New Roman" w:hAnsi="Times New Roman"/>
                <w:sz w:val="24"/>
                <w:szCs w:val="24"/>
              </w:rPr>
            </w:pPr>
            <w:r w:rsidRPr="00CF38A8">
              <w:rPr>
                <w:rFonts w:ascii="Times New Roman" w:eastAsia="Times New Roman" w:hAnsi="Times New Roman"/>
                <w:sz w:val="24"/>
                <w:szCs w:val="24"/>
                <w:lang w:val="en-US"/>
              </w:rPr>
              <w:t>The E</w:t>
            </w:r>
            <w:r w:rsidR="00583CEC">
              <w:rPr>
                <w:rFonts w:ascii="Times New Roman" w:eastAsia="Times New Roman" w:hAnsi="Times New Roman"/>
                <w:sz w:val="24"/>
                <w:szCs w:val="24"/>
                <w:lang w:val="en-US"/>
              </w:rPr>
              <w:t xml:space="preserve">uropean </w:t>
            </w:r>
            <w:r w:rsidRPr="00CF38A8">
              <w:rPr>
                <w:rFonts w:ascii="Times New Roman" w:eastAsia="Times New Roman" w:hAnsi="Times New Roman"/>
                <w:sz w:val="24"/>
                <w:szCs w:val="24"/>
                <w:lang w:val="en-US"/>
              </w:rPr>
              <w:t>U</w:t>
            </w:r>
            <w:r w:rsidR="00583CEC">
              <w:rPr>
                <w:rFonts w:ascii="Times New Roman" w:eastAsia="Times New Roman" w:hAnsi="Times New Roman"/>
                <w:sz w:val="24"/>
                <w:szCs w:val="24"/>
                <w:lang w:val="en-US"/>
              </w:rPr>
              <w:t>nion</w:t>
            </w:r>
            <w:r w:rsidRPr="00CF38A8">
              <w:rPr>
                <w:rFonts w:ascii="Times New Roman" w:eastAsia="Times New Roman" w:hAnsi="Times New Roman"/>
                <w:sz w:val="24"/>
                <w:szCs w:val="24"/>
                <w:lang w:val="en-US"/>
              </w:rPr>
              <w:t xml:space="preserve">, Member States, industry and road operators </w:t>
            </w:r>
            <w:r w:rsidRPr="00CF38A8">
              <w:rPr>
                <w:rFonts w:ascii="Times New Roman" w:eastAsia="Times New Roman" w:hAnsi="Times New Roman"/>
                <w:sz w:val="24"/>
                <w:szCs w:val="24"/>
                <w:u w:val="single"/>
                <w:lang w:val="en-US"/>
              </w:rPr>
              <w:t>must regain technology leadership</w:t>
            </w:r>
            <w:r w:rsidRPr="00CF38A8">
              <w:rPr>
                <w:rFonts w:ascii="Times New Roman" w:eastAsia="Times New Roman" w:hAnsi="Times New Roman"/>
                <w:sz w:val="24"/>
                <w:szCs w:val="24"/>
                <w:lang w:val="en-US"/>
              </w:rPr>
              <w:t xml:space="preserve"> and accelerate </w:t>
            </w:r>
            <w:r w:rsidR="00396D2E">
              <w:rPr>
                <w:rFonts w:ascii="Times New Roman" w:eastAsia="Times New Roman" w:hAnsi="Times New Roman"/>
                <w:sz w:val="24"/>
                <w:szCs w:val="24"/>
                <w:lang w:val="en-US"/>
              </w:rPr>
              <w:t xml:space="preserve">setting up </w:t>
            </w:r>
            <w:r w:rsidRPr="00CF38A8">
              <w:rPr>
                <w:rFonts w:ascii="Times New Roman" w:eastAsia="Times New Roman" w:hAnsi="Times New Roman"/>
                <w:sz w:val="24"/>
                <w:szCs w:val="24"/>
                <w:lang w:val="en-US"/>
              </w:rPr>
              <w:t>the European testing infrastructure for connected and autonomous driving</w:t>
            </w:r>
            <w:r w:rsidR="00226DBA">
              <w:rPr>
                <w:rFonts w:ascii="Times New Roman" w:eastAsia="Times New Roman" w:hAnsi="Times New Roman"/>
                <w:sz w:val="24"/>
                <w:szCs w:val="24"/>
                <w:lang w:val="en-US"/>
              </w:rPr>
              <w:t>.</w:t>
            </w:r>
            <w:r w:rsidRPr="4EDC655D">
              <w:rPr>
                <w:rFonts w:ascii="Times New Roman" w:eastAsia="Times New Roman" w:hAnsi="Times New Roman"/>
                <w:sz w:val="24"/>
                <w:szCs w:val="24"/>
                <w:lang w:val="en-GB"/>
              </w:rPr>
              <w:t xml:space="preserve"> </w:t>
            </w:r>
            <w:r w:rsidR="27414B1B" w:rsidRPr="4EDC655D">
              <w:rPr>
                <w:rFonts w:ascii="Times New Roman" w:eastAsia="Times New Roman" w:hAnsi="Times New Roman"/>
                <w:sz w:val="24"/>
                <w:szCs w:val="24"/>
                <w:lang w:val="en-GB"/>
              </w:rPr>
              <w:t>To create favourable market conditions for connected and automated vehicles, the Commission is working on creating a Single Market for autonomous driving through an appropriate and harmonised regulatory framework</w:t>
            </w:r>
            <w:r w:rsidR="26D48C7D" w:rsidRPr="4EDC655D">
              <w:rPr>
                <w:rFonts w:ascii="Times New Roman" w:eastAsia="Times New Roman" w:hAnsi="Times New Roman"/>
                <w:sz w:val="24"/>
                <w:szCs w:val="24"/>
                <w:lang w:val="en-GB"/>
              </w:rPr>
              <w:t xml:space="preserve"> for the type-approval </w:t>
            </w:r>
            <w:r w:rsidR="42372172" w:rsidRPr="4EDC655D">
              <w:rPr>
                <w:rFonts w:ascii="Times New Roman" w:eastAsia="Times New Roman" w:hAnsi="Times New Roman"/>
                <w:sz w:val="24"/>
                <w:szCs w:val="24"/>
                <w:lang w:val="en-GB"/>
              </w:rPr>
              <w:t xml:space="preserve">of </w:t>
            </w:r>
            <w:r w:rsidR="26D48C7D" w:rsidRPr="4EDC655D">
              <w:rPr>
                <w:rFonts w:ascii="Times New Roman" w:eastAsia="Times New Roman" w:hAnsi="Times New Roman"/>
                <w:sz w:val="24"/>
                <w:szCs w:val="24"/>
                <w:lang w:val="en-GB"/>
              </w:rPr>
              <w:t>automated vehicles</w:t>
            </w:r>
            <w:r w:rsidR="27414B1B" w:rsidRPr="4EDC655D">
              <w:rPr>
                <w:rFonts w:ascii="Times New Roman" w:eastAsia="Times New Roman" w:hAnsi="Times New Roman"/>
                <w:sz w:val="24"/>
                <w:szCs w:val="24"/>
                <w:lang w:val="en-GB"/>
              </w:rPr>
              <w:t>, large-scale cross-border testbeds</w:t>
            </w:r>
            <w:r w:rsidR="64896C73" w:rsidRPr="4EDC655D">
              <w:rPr>
                <w:rFonts w:ascii="Times New Roman" w:eastAsia="Times New Roman" w:hAnsi="Times New Roman"/>
                <w:sz w:val="24"/>
                <w:szCs w:val="24"/>
                <w:lang w:val="en-GB"/>
              </w:rPr>
              <w:t>,</w:t>
            </w:r>
            <w:r w:rsidR="64CC9950" w:rsidRPr="4EDC655D">
              <w:rPr>
                <w:rFonts w:ascii="Times New Roman" w:eastAsia="Times New Roman" w:hAnsi="Times New Roman"/>
                <w:sz w:val="24"/>
                <w:szCs w:val="24"/>
                <w:lang w:val="en-GB"/>
              </w:rPr>
              <w:t xml:space="preserve"> and</w:t>
            </w:r>
            <w:r w:rsidR="13D38127" w:rsidRPr="4EDC655D">
              <w:rPr>
                <w:rFonts w:ascii="Times New Roman" w:eastAsia="Times New Roman" w:hAnsi="Times New Roman"/>
                <w:sz w:val="24"/>
                <w:szCs w:val="24"/>
                <w:lang w:val="en-GB"/>
              </w:rPr>
              <w:t xml:space="preserve"> guidelines for testing on public roads</w:t>
            </w:r>
            <w:r w:rsidR="2C9CF17E" w:rsidRPr="4EDC655D">
              <w:rPr>
                <w:rFonts w:ascii="Times New Roman" w:eastAsia="Times New Roman" w:hAnsi="Times New Roman"/>
                <w:sz w:val="24"/>
                <w:szCs w:val="24"/>
                <w:lang w:val="en-GB"/>
              </w:rPr>
              <w:t xml:space="preserve"> a</w:t>
            </w:r>
            <w:r w:rsidR="4A49047C" w:rsidRPr="4EDC655D">
              <w:rPr>
                <w:rFonts w:ascii="Times New Roman" w:eastAsia="Times New Roman" w:hAnsi="Times New Roman"/>
                <w:sz w:val="24"/>
                <w:szCs w:val="24"/>
                <w:lang w:val="en-GB"/>
              </w:rPr>
              <w:t xml:space="preserve">s well as </w:t>
            </w:r>
            <w:r w:rsidR="27414B1B" w:rsidRPr="4EDC655D">
              <w:rPr>
                <w:rFonts w:ascii="Times New Roman" w:eastAsia="Times New Roman" w:hAnsi="Times New Roman"/>
                <w:sz w:val="24"/>
                <w:szCs w:val="24"/>
                <w:lang w:val="en-GB"/>
              </w:rPr>
              <w:t>digital infrastructure</w:t>
            </w:r>
            <w:r w:rsidR="26123687" w:rsidRPr="4EDC655D">
              <w:rPr>
                <w:rFonts w:ascii="Times New Roman" w:eastAsia="Times New Roman" w:hAnsi="Times New Roman"/>
                <w:sz w:val="24"/>
                <w:szCs w:val="24"/>
                <w:lang w:val="en-GB"/>
              </w:rPr>
              <w:t xml:space="preserve"> for intelligent transport systems. </w:t>
            </w:r>
          </w:p>
          <w:p w14:paraId="2D4119B0" w14:textId="339EA33D" w:rsidR="004F6117" w:rsidRPr="004F6117" w:rsidRDefault="6B87850C" w:rsidP="00765D19">
            <w:pPr>
              <w:widowControl w:val="0"/>
              <w:spacing w:before="120" w:after="120"/>
              <w:jc w:val="both"/>
              <w:rPr>
                <w:rFonts w:ascii="Times New Roman" w:eastAsia="Times New Roman" w:hAnsi="Times New Roman"/>
                <w:sz w:val="24"/>
                <w:szCs w:val="24"/>
              </w:rPr>
            </w:pPr>
            <w:r w:rsidRPr="6B3709BD">
              <w:rPr>
                <w:rFonts w:ascii="Times New Roman" w:eastAsia="Times New Roman" w:hAnsi="Times New Roman"/>
                <w:sz w:val="24"/>
                <w:szCs w:val="24"/>
                <w:lang w:val="en-GB"/>
              </w:rPr>
              <w:t>T</w:t>
            </w:r>
            <w:r w:rsidR="3699A2E6" w:rsidRPr="6B3709BD">
              <w:rPr>
                <w:rFonts w:ascii="Times New Roman" w:eastAsia="Times New Roman" w:hAnsi="Times New Roman"/>
                <w:sz w:val="24"/>
                <w:szCs w:val="24"/>
                <w:lang w:val="en-GB"/>
              </w:rPr>
              <w:t>he European Connected and Autonomous Vehicle Alliance</w:t>
            </w:r>
            <w:r w:rsidR="03171E3C" w:rsidRPr="6B3709BD">
              <w:rPr>
                <w:rFonts w:ascii="Times New Roman" w:eastAsia="Times New Roman" w:hAnsi="Times New Roman"/>
                <w:sz w:val="24"/>
                <w:szCs w:val="24"/>
                <w:lang w:val="en-GB"/>
              </w:rPr>
              <w:t xml:space="preserve"> (ECAVA)</w:t>
            </w:r>
            <w:r w:rsidR="3699A2E6" w:rsidRPr="6B3709BD">
              <w:rPr>
                <w:rFonts w:ascii="Times New Roman" w:eastAsia="Times New Roman" w:hAnsi="Times New Roman"/>
                <w:sz w:val="24"/>
                <w:szCs w:val="24"/>
                <w:lang w:val="en-GB"/>
              </w:rPr>
              <w:t xml:space="preserve"> </w:t>
            </w:r>
            <w:r w:rsidR="00CF38A8">
              <w:rPr>
                <w:rFonts w:ascii="Times New Roman" w:eastAsia="Times New Roman" w:hAnsi="Times New Roman"/>
                <w:sz w:val="24"/>
                <w:szCs w:val="24"/>
                <w:lang w:val="en-GB"/>
              </w:rPr>
              <w:t>was</w:t>
            </w:r>
            <w:r w:rsidR="3699A2E6" w:rsidRPr="6B3709BD">
              <w:rPr>
                <w:rFonts w:ascii="Times New Roman" w:eastAsia="Times New Roman" w:hAnsi="Times New Roman"/>
                <w:sz w:val="24"/>
                <w:szCs w:val="24"/>
                <w:lang w:val="en-GB"/>
              </w:rPr>
              <w:t xml:space="preserve"> launched in </w:t>
            </w:r>
            <w:r w:rsidR="0E899B51" w:rsidRPr="6B3709BD">
              <w:rPr>
                <w:rFonts w:ascii="Times New Roman" w:eastAsia="Times New Roman" w:hAnsi="Times New Roman"/>
                <w:sz w:val="24"/>
                <w:szCs w:val="24"/>
                <w:lang w:val="en-GB"/>
              </w:rPr>
              <w:t>August</w:t>
            </w:r>
            <w:r w:rsidR="00396D2E">
              <w:rPr>
                <w:rFonts w:ascii="Times New Roman" w:eastAsia="Times New Roman" w:hAnsi="Times New Roman"/>
                <w:sz w:val="24"/>
                <w:szCs w:val="24"/>
                <w:lang w:val="en-GB"/>
              </w:rPr>
              <w:t xml:space="preserve"> 2025</w:t>
            </w:r>
            <w:r w:rsidR="0E899B51" w:rsidRPr="6B3709BD">
              <w:rPr>
                <w:rFonts w:ascii="Times New Roman" w:eastAsia="Times New Roman" w:hAnsi="Times New Roman"/>
                <w:sz w:val="24"/>
                <w:szCs w:val="24"/>
                <w:lang w:val="en-GB"/>
              </w:rPr>
              <w:t xml:space="preserve"> </w:t>
            </w:r>
            <w:r w:rsidR="3699A2E6" w:rsidRPr="6B3709BD">
              <w:rPr>
                <w:rFonts w:ascii="Times New Roman" w:eastAsia="Times New Roman" w:hAnsi="Times New Roman"/>
                <w:sz w:val="24"/>
                <w:szCs w:val="24"/>
                <w:lang w:val="en-GB"/>
              </w:rPr>
              <w:t xml:space="preserve">to </w:t>
            </w:r>
            <w:r w:rsidR="42D405DB" w:rsidRPr="6B3709BD">
              <w:rPr>
                <w:rFonts w:ascii="Times New Roman" w:eastAsia="Times New Roman" w:hAnsi="Times New Roman"/>
                <w:sz w:val="24"/>
                <w:szCs w:val="24"/>
                <w:lang w:val="en-GB"/>
              </w:rPr>
              <w:t xml:space="preserve">provide strategic guidance and facilitate EU-driven collaborations in Software-Defined Vehicles (SDVs), hardware computing architectures and automotive electronics, AI models, and the development, piloting and testing of autonomous driving. </w:t>
            </w:r>
            <w:r w:rsidR="5C3F7F2F" w:rsidRPr="00CF38A8">
              <w:rPr>
                <w:rFonts w:ascii="Times New Roman" w:eastAsia="Times New Roman" w:hAnsi="Times New Roman"/>
                <w:sz w:val="24"/>
                <w:szCs w:val="24"/>
                <w:lang w:val="en-GB"/>
              </w:rPr>
              <w:t>With a mid-term focus, ECAVA w</w:t>
            </w:r>
            <w:r w:rsidR="00CF38A8">
              <w:rPr>
                <w:rFonts w:ascii="Times New Roman" w:eastAsia="Times New Roman" w:hAnsi="Times New Roman"/>
                <w:sz w:val="24"/>
                <w:szCs w:val="24"/>
                <w:lang w:val="en-GB"/>
              </w:rPr>
              <w:t>ould</w:t>
            </w:r>
            <w:r w:rsidR="5C3F7F2F" w:rsidRPr="00CF38A8">
              <w:rPr>
                <w:rFonts w:ascii="Times New Roman" w:eastAsia="Times New Roman" w:hAnsi="Times New Roman"/>
                <w:sz w:val="24"/>
                <w:szCs w:val="24"/>
                <w:lang w:val="en-GB"/>
              </w:rPr>
              <w:t xml:space="preserve"> also provide strategic guidance for the </w:t>
            </w:r>
            <w:r w:rsidR="5C3F7F2F" w:rsidRPr="00CF38A8">
              <w:rPr>
                <w:rFonts w:ascii="Times New Roman" w:eastAsia="Times New Roman" w:hAnsi="Times New Roman"/>
                <w:sz w:val="24"/>
                <w:szCs w:val="24"/>
              </w:rPr>
              <w:t xml:space="preserve">Strategic Research and Innovation Agenda (SRIA) for the next MFF </w:t>
            </w:r>
            <w:r w:rsidR="5C3F7F2F" w:rsidRPr="00CF38A8">
              <w:rPr>
                <w:rFonts w:ascii="Times New Roman" w:eastAsia="Times New Roman" w:hAnsi="Times New Roman"/>
                <w:sz w:val="24"/>
                <w:szCs w:val="24"/>
              </w:rPr>
              <w:lastRenderedPageBreak/>
              <w:t>(2028-2034).</w:t>
            </w:r>
            <w:r w:rsidR="5C3F7F2F" w:rsidRPr="6B3709BD">
              <w:rPr>
                <w:rFonts w:ascii="Times New Roman" w:eastAsia="Times New Roman" w:hAnsi="Times New Roman"/>
                <w:sz w:val="24"/>
                <w:szCs w:val="24"/>
                <w:lang w:val="en-GB"/>
              </w:rPr>
              <w:t xml:space="preserve"> </w:t>
            </w:r>
          </w:p>
          <w:p w14:paraId="253969F5" w14:textId="5645E327" w:rsidR="00CF38A8" w:rsidRPr="00CF38A8" w:rsidRDefault="22C94973" w:rsidP="00765D19">
            <w:pPr>
              <w:widowControl w:val="0"/>
              <w:spacing w:before="120" w:after="120"/>
              <w:jc w:val="both"/>
              <w:rPr>
                <w:rFonts w:ascii="Times New Roman" w:eastAsia="Times New Roman" w:hAnsi="Times New Roman"/>
                <w:sz w:val="24"/>
                <w:szCs w:val="24"/>
              </w:rPr>
            </w:pPr>
            <w:r w:rsidRPr="00CF38A8">
              <w:rPr>
                <w:rFonts w:ascii="Times New Roman" w:eastAsia="Times New Roman" w:hAnsi="Times New Roman"/>
                <w:sz w:val="24"/>
                <w:szCs w:val="24"/>
              </w:rPr>
              <w:t xml:space="preserve">The </w:t>
            </w:r>
            <w:r w:rsidR="00583CEC">
              <w:rPr>
                <w:rFonts w:ascii="Times New Roman" w:eastAsia="Times New Roman" w:hAnsi="Times New Roman"/>
                <w:sz w:val="24"/>
                <w:szCs w:val="24"/>
              </w:rPr>
              <w:t>E</w:t>
            </w:r>
            <w:r w:rsidRPr="00CF38A8">
              <w:rPr>
                <w:rFonts w:ascii="Times New Roman" w:eastAsia="Times New Roman" w:hAnsi="Times New Roman"/>
                <w:sz w:val="24"/>
                <w:szCs w:val="24"/>
              </w:rPr>
              <w:t>U, Member States and industry through the Chips Joint Undertaking are investing in 2025-2027 around EUR 500 million (25% EU, 25% Member States, 50% industry), to develop a</w:t>
            </w:r>
            <w:r w:rsidR="002A6D83">
              <w:rPr>
                <w:rFonts w:ascii="Times New Roman" w:eastAsia="Times New Roman" w:hAnsi="Times New Roman"/>
                <w:sz w:val="24"/>
                <w:szCs w:val="24"/>
              </w:rPr>
              <w:t> </w:t>
            </w:r>
            <w:r w:rsidRPr="00CF38A8">
              <w:rPr>
                <w:rFonts w:ascii="Times New Roman" w:eastAsia="Times New Roman" w:hAnsi="Times New Roman"/>
                <w:sz w:val="24"/>
                <w:szCs w:val="24"/>
              </w:rPr>
              <w:t xml:space="preserve">European computing and software car stack for future autonomous vehicles. This investment includes support for the development of advanced </w:t>
            </w:r>
            <w:r w:rsidR="00CF38A8">
              <w:rPr>
                <w:rFonts w:ascii="Times New Roman" w:eastAsia="Times New Roman" w:hAnsi="Times New Roman"/>
                <w:sz w:val="24"/>
                <w:szCs w:val="24"/>
              </w:rPr>
              <w:t xml:space="preserve">Automotive AI processors </w:t>
            </w:r>
            <w:r w:rsidRPr="00CF38A8">
              <w:rPr>
                <w:rFonts w:ascii="Times New Roman" w:eastAsia="Times New Roman" w:hAnsi="Times New Roman"/>
                <w:sz w:val="24"/>
                <w:szCs w:val="24"/>
              </w:rPr>
              <w:t>for autonomous and digital vehicles.</w:t>
            </w:r>
            <w:r w:rsidRPr="4EDC655D">
              <w:rPr>
                <w:rFonts w:ascii="Times New Roman" w:eastAsia="Times New Roman" w:hAnsi="Times New Roman"/>
                <w:sz w:val="24"/>
                <w:szCs w:val="24"/>
              </w:rPr>
              <w:t xml:space="preserve"> Further, t</w:t>
            </w:r>
            <w:r w:rsidRPr="00CF38A8">
              <w:rPr>
                <w:rFonts w:ascii="Times New Roman" w:eastAsia="Times New Roman" w:hAnsi="Times New Roman"/>
                <w:sz w:val="24"/>
                <w:szCs w:val="24"/>
              </w:rPr>
              <w:t>hrough 2025-2026, at least 15 AI Factories are expected to be operational, with some focusing on training of models for the automotive sector</w:t>
            </w:r>
            <w:r w:rsidR="00CF38A8">
              <w:rPr>
                <w:rFonts w:ascii="Times New Roman" w:eastAsia="Times New Roman" w:hAnsi="Times New Roman"/>
                <w:sz w:val="24"/>
                <w:szCs w:val="24"/>
              </w:rPr>
              <w:t>.</w:t>
            </w:r>
            <w:r w:rsidR="00396D2E">
              <w:rPr>
                <w:rFonts w:ascii="Times New Roman" w:eastAsia="Times New Roman" w:hAnsi="Times New Roman"/>
                <w:sz w:val="24"/>
                <w:szCs w:val="24"/>
              </w:rPr>
              <w:t xml:space="preserve"> </w:t>
            </w:r>
          </w:p>
          <w:p w14:paraId="2B901FA5" w14:textId="2F31C907" w:rsidR="004F6117" w:rsidRPr="004F6117" w:rsidRDefault="1640E0C9" w:rsidP="00765D19">
            <w:pPr>
              <w:widowControl w:val="0"/>
              <w:spacing w:before="120" w:after="120"/>
              <w:jc w:val="both"/>
              <w:rPr>
                <w:rFonts w:ascii="Times New Roman" w:eastAsia="Times New Roman" w:hAnsi="Times New Roman"/>
                <w:sz w:val="24"/>
                <w:szCs w:val="24"/>
              </w:rPr>
            </w:pPr>
            <w:r w:rsidRPr="1D6102B3">
              <w:rPr>
                <w:rFonts w:ascii="Times New Roman" w:eastAsia="Times New Roman" w:hAnsi="Times New Roman"/>
                <w:sz w:val="24"/>
                <w:szCs w:val="24"/>
                <w:lang w:val="en-GB"/>
              </w:rPr>
              <w:t>The Commission draws attention to the important role of Member States in updating their regulatory frameworks to facilitate the deployment of connected and automated vehicles</w:t>
            </w:r>
            <w:r w:rsidR="1C5479E7" w:rsidRPr="1D6102B3">
              <w:rPr>
                <w:rFonts w:ascii="Times New Roman" w:eastAsia="Times New Roman" w:hAnsi="Times New Roman"/>
                <w:sz w:val="24"/>
                <w:szCs w:val="24"/>
                <w:lang w:val="en-GB"/>
              </w:rPr>
              <w:t xml:space="preserve"> on public roads</w:t>
            </w:r>
            <w:r w:rsidRPr="1D6102B3">
              <w:rPr>
                <w:rFonts w:ascii="Times New Roman" w:eastAsia="Times New Roman" w:hAnsi="Times New Roman"/>
                <w:sz w:val="24"/>
                <w:szCs w:val="24"/>
                <w:lang w:val="en-GB"/>
              </w:rPr>
              <w:t>.</w:t>
            </w:r>
            <w:r w:rsidR="00396D2E">
              <w:rPr>
                <w:rFonts w:ascii="Times New Roman" w:eastAsia="Times New Roman" w:hAnsi="Times New Roman"/>
                <w:sz w:val="24"/>
                <w:szCs w:val="24"/>
                <w:lang w:val="en-GB"/>
              </w:rPr>
              <w:t xml:space="preserve"> </w:t>
            </w:r>
          </w:p>
          <w:p w14:paraId="69BCCCFA" w14:textId="2BAE24B4" w:rsidR="004F6117" w:rsidRPr="004F6117" w:rsidRDefault="27414B1B" w:rsidP="00765D19">
            <w:pPr>
              <w:widowControl w:val="0"/>
              <w:spacing w:before="120" w:after="120"/>
              <w:jc w:val="both"/>
            </w:pPr>
            <w:r w:rsidRPr="1D6102B3">
              <w:rPr>
                <w:rFonts w:ascii="Times New Roman" w:eastAsia="Times New Roman" w:hAnsi="Times New Roman"/>
                <w:b/>
                <w:bCs/>
                <w:sz w:val="24"/>
                <w:szCs w:val="24"/>
                <w:lang w:val="en-GB"/>
              </w:rPr>
              <w:t>The rise of clean mobility</w:t>
            </w:r>
          </w:p>
          <w:p w14:paraId="780846A6" w14:textId="462560E6" w:rsidR="004F6117" w:rsidRPr="004F6117" w:rsidRDefault="27414B1B" w:rsidP="00765D19">
            <w:pPr>
              <w:widowControl w:val="0"/>
              <w:spacing w:before="120" w:after="120"/>
              <w:jc w:val="both"/>
              <w:rPr>
                <w:rFonts w:ascii="Times New Roman" w:eastAsia="Times New Roman" w:hAnsi="Times New Roman"/>
                <w:sz w:val="24"/>
                <w:szCs w:val="24"/>
              </w:rPr>
            </w:pPr>
            <w:r w:rsidRPr="1D6102B3">
              <w:rPr>
                <w:rFonts w:ascii="Times New Roman" w:eastAsia="Times New Roman" w:hAnsi="Times New Roman"/>
                <w:sz w:val="24"/>
                <w:szCs w:val="24"/>
                <w:lang w:val="en-GB"/>
              </w:rPr>
              <w:t>The Commission agrees with the EESC on the importance of transitioning towards clean mobility and is currently working on several initiatives to boost the demand</w:t>
            </w:r>
            <w:r w:rsidR="6D81D2B5" w:rsidRPr="1D6102B3">
              <w:rPr>
                <w:rFonts w:ascii="Times New Roman" w:eastAsia="Times New Roman" w:hAnsi="Times New Roman"/>
                <w:sz w:val="24"/>
                <w:szCs w:val="24"/>
                <w:lang w:val="en-GB"/>
              </w:rPr>
              <w:t xml:space="preserve"> for zero-emission vehicles</w:t>
            </w:r>
            <w:r w:rsidRPr="1D6102B3">
              <w:rPr>
                <w:rFonts w:ascii="Times New Roman" w:eastAsia="Times New Roman" w:hAnsi="Times New Roman"/>
                <w:sz w:val="24"/>
                <w:szCs w:val="24"/>
                <w:lang w:val="en-GB"/>
              </w:rPr>
              <w:t>. To better coordinate incentive schemes across Member States, the Commission is working on a</w:t>
            </w:r>
            <w:r w:rsidR="006D3B68">
              <w:rPr>
                <w:rFonts w:ascii="Times New Roman" w:eastAsia="Times New Roman" w:hAnsi="Times New Roman"/>
                <w:sz w:val="24"/>
                <w:szCs w:val="24"/>
                <w:lang w:val="en-GB"/>
              </w:rPr>
              <w:t> </w:t>
            </w:r>
            <w:r w:rsidRPr="1D6102B3">
              <w:rPr>
                <w:rFonts w:ascii="Times New Roman" w:eastAsia="Times New Roman" w:hAnsi="Times New Roman"/>
                <w:sz w:val="24"/>
                <w:szCs w:val="24"/>
                <w:lang w:val="en-GB"/>
              </w:rPr>
              <w:t xml:space="preserve">Recommendation on fiscal and non-fiscal demand side incentives, which </w:t>
            </w:r>
            <w:r w:rsidR="004E6190">
              <w:rPr>
                <w:rFonts w:ascii="Times New Roman" w:eastAsia="Times New Roman" w:hAnsi="Times New Roman"/>
                <w:sz w:val="24"/>
                <w:szCs w:val="24"/>
                <w:lang w:val="en-GB"/>
              </w:rPr>
              <w:t>is</w:t>
            </w:r>
            <w:r w:rsidRPr="1D6102B3">
              <w:rPr>
                <w:rFonts w:ascii="Times New Roman" w:eastAsia="Times New Roman" w:hAnsi="Times New Roman"/>
                <w:sz w:val="24"/>
                <w:szCs w:val="24"/>
                <w:lang w:val="en-GB"/>
              </w:rPr>
              <w:t xml:space="preserve"> to be expected </w:t>
            </w:r>
            <w:r w:rsidR="00AD237D">
              <w:rPr>
                <w:rFonts w:ascii="Times New Roman" w:eastAsia="Times New Roman" w:hAnsi="Times New Roman"/>
                <w:sz w:val="24"/>
                <w:szCs w:val="24"/>
                <w:lang w:val="en-GB"/>
              </w:rPr>
              <w:t>in</w:t>
            </w:r>
            <w:r w:rsidRPr="1D6102B3">
              <w:rPr>
                <w:rFonts w:ascii="Times New Roman" w:eastAsia="Times New Roman" w:hAnsi="Times New Roman"/>
                <w:sz w:val="24"/>
                <w:szCs w:val="24"/>
                <w:lang w:val="en-GB"/>
              </w:rPr>
              <w:t xml:space="preserve"> 2026. Furthermore, as highlighted by the EESC, </w:t>
            </w:r>
            <w:r w:rsidR="00663793">
              <w:rPr>
                <w:rFonts w:ascii="Times New Roman" w:eastAsia="Times New Roman" w:hAnsi="Times New Roman"/>
                <w:sz w:val="24"/>
                <w:szCs w:val="24"/>
                <w:lang w:val="en-GB"/>
              </w:rPr>
              <w:t xml:space="preserve">to </w:t>
            </w:r>
            <w:r w:rsidRPr="1D6102B3">
              <w:rPr>
                <w:rFonts w:ascii="Times New Roman" w:eastAsia="Times New Roman" w:hAnsi="Times New Roman"/>
                <w:sz w:val="24"/>
                <w:szCs w:val="24"/>
                <w:lang w:val="en-GB"/>
              </w:rPr>
              <w:t>ensur</w:t>
            </w:r>
            <w:r w:rsidR="00663793">
              <w:rPr>
                <w:rFonts w:ascii="Times New Roman" w:eastAsia="Times New Roman" w:hAnsi="Times New Roman"/>
                <w:sz w:val="24"/>
                <w:szCs w:val="24"/>
                <w:lang w:val="en-GB"/>
              </w:rPr>
              <w:t>e</w:t>
            </w:r>
            <w:r w:rsidRPr="1D6102B3">
              <w:rPr>
                <w:rFonts w:ascii="Times New Roman" w:eastAsia="Times New Roman" w:hAnsi="Times New Roman"/>
                <w:sz w:val="24"/>
                <w:szCs w:val="24"/>
                <w:lang w:val="en-GB"/>
              </w:rPr>
              <w:t xml:space="preserve"> a just transition for households in need, the </w:t>
            </w:r>
            <w:r w:rsidR="00CF38A8" w:rsidRPr="1D6102B3">
              <w:rPr>
                <w:rFonts w:ascii="Times New Roman" w:eastAsia="Times New Roman" w:hAnsi="Times New Roman"/>
                <w:sz w:val="24"/>
                <w:szCs w:val="24"/>
                <w:lang w:val="en-GB"/>
              </w:rPr>
              <w:t>Commission will</w:t>
            </w:r>
            <w:r w:rsidR="40BCFE71" w:rsidRPr="1D6102B3">
              <w:rPr>
                <w:rFonts w:ascii="Times New Roman" w:eastAsia="Times New Roman" w:hAnsi="Times New Roman"/>
                <w:sz w:val="24"/>
                <w:szCs w:val="24"/>
                <w:lang w:val="en-GB"/>
              </w:rPr>
              <w:t xml:space="preserve"> provide support to measures and</w:t>
            </w:r>
            <w:r w:rsidRPr="1D6102B3">
              <w:rPr>
                <w:rFonts w:ascii="Times New Roman" w:eastAsia="Times New Roman" w:hAnsi="Times New Roman"/>
                <w:sz w:val="24"/>
                <w:szCs w:val="24"/>
                <w:lang w:val="en-GB"/>
              </w:rPr>
              <w:t xml:space="preserve"> </w:t>
            </w:r>
            <w:r w:rsidR="4962AC2C" w:rsidRPr="1D6102B3">
              <w:rPr>
                <w:rFonts w:ascii="Times New Roman" w:eastAsia="Times New Roman" w:hAnsi="Times New Roman"/>
                <w:sz w:val="24"/>
                <w:szCs w:val="24"/>
                <w:lang w:val="en-GB"/>
              </w:rPr>
              <w:t xml:space="preserve">investments to promote sustainable mobility and address transport poverty through the Social Climate Fund, which will be available from 2026 until 2032. It already </w:t>
            </w:r>
            <w:r w:rsidRPr="1D6102B3">
              <w:rPr>
                <w:rFonts w:ascii="Times New Roman" w:eastAsia="Times New Roman" w:hAnsi="Times New Roman"/>
                <w:sz w:val="24"/>
                <w:szCs w:val="24"/>
                <w:lang w:val="en-GB"/>
              </w:rPr>
              <w:t>published its Recommendation on transport poverty</w:t>
            </w:r>
            <w:r w:rsidR="00B51E03">
              <w:rPr>
                <w:rStyle w:val="FootnoteReference"/>
                <w:rFonts w:ascii="Times New Roman" w:eastAsia="Times New Roman" w:hAnsi="Times New Roman"/>
                <w:sz w:val="24"/>
                <w:szCs w:val="24"/>
                <w:lang w:val="en-GB"/>
              </w:rPr>
              <w:footnoteReference w:id="5"/>
            </w:r>
            <w:r w:rsidRPr="1D6102B3">
              <w:rPr>
                <w:rFonts w:ascii="Times New Roman" w:eastAsia="Times New Roman" w:hAnsi="Times New Roman"/>
                <w:sz w:val="24"/>
                <w:szCs w:val="24"/>
                <w:lang w:val="en-GB"/>
              </w:rPr>
              <w:t xml:space="preserve"> in May 2025 </w:t>
            </w:r>
            <w:proofErr w:type="gramStart"/>
            <w:r w:rsidRPr="1D6102B3">
              <w:rPr>
                <w:rFonts w:ascii="Times New Roman" w:eastAsia="Times New Roman" w:hAnsi="Times New Roman"/>
                <w:sz w:val="24"/>
                <w:szCs w:val="24"/>
                <w:lang w:val="en-GB"/>
              </w:rPr>
              <w:t>in order to</w:t>
            </w:r>
            <w:proofErr w:type="gramEnd"/>
            <w:r w:rsidRPr="1D6102B3">
              <w:rPr>
                <w:rFonts w:ascii="Times New Roman" w:eastAsia="Times New Roman" w:hAnsi="Times New Roman"/>
                <w:sz w:val="24"/>
                <w:szCs w:val="24"/>
                <w:lang w:val="en-GB"/>
              </w:rPr>
              <w:t xml:space="preserve"> support Member States in their endeavours within their Social Climate Plans. </w:t>
            </w:r>
            <w:r w:rsidR="4DD60DED" w:rsidRPr="1D6102B3">
              <w:rPr>
                <w:rFonts w:ascii="Times New Roman" w:eastAsia="Times New Roman" w:hAnsi="Times New Roman"/>
                <w:sz w:val="24"/>
                <w:szCs w:val="24"/>
                <w:lang w:val="en-GB"/>
              </w:rPr>
              <w:t>The Commission is also preparing a legislative proposal to decarbonise corporate fleets.</w:t>
            </w:r>
            <w:r w:rsidR="001A19BF">
              <w:rPr>
                <w:rFonts w:ascii="Times New Roman" w:eastAsia="Times New Roman" w:hAnsi="Times New Roman"/>
                <w:sz w:val="24"/>
                <w:szCs w:val="24"/>
                <w:lang w:val="en-GB"/>
              </w:rPr>
              <w:t xml:space="preserve"> Moreover,</w:t>
            </w:r>
            <w:r w:rsidR="007672FB">
              <w:rPr>
                <w:rFonts w:ascii="Times New Roman" w:eastAsia="Times New Roman" w:hAnsi="Times New Roman"/>
                <w:sz w:val="24"/>
                <w:szCs w:val="24"/>
                <w:lang w:val="en-GB"/>
              </w:rPr>
              <w:t xml:space="preserve"> to ensure access to affordable, Europe-made electric cars</w:t>
            </w:r>
            <w:r w:rsidR="00A06D02">
              <w:rPr>
                <w:rFonts w:ascii="Times New Roman" w:eastAsia="Times New Roman" w:hAnsi="Times New Roman"/>
                <w:sz w:val="24"/>
                <w:szCs w:val="24"/>
                <w:lang w:val="en-GB"/>
              </w:rPr>
              <w:t xml:space="preserve"> for all Europeans</w:t>
            </w:r>
            <w:r w:rsidR="007672FB">
              <w:rPr>
                <w:rFonts w:ascii="Times New Roman" w:eastAsia="Times New Roman" w:hAnsi="Times New Roman"/>
                <w:sz w:val="24"/>
                <w:szCs w:val="24"/>
                <w:lang w:val="en-GB"/>
              </w:rPr>
              <w:t xml:space="preserve">, </w:t>
            </w:r>
            <w:r w:rsidR="001A19BF">
              <w:rPr>
                <w:rFonts w:ascii="Times New Roman" w:eastAsia="Times New Roman" w:hAnsi="Times New Roman"/>
                <w:sz w:val="24"/>
                <w:szCs w:val="24"/>
                <w:lang w:val="en-GB"/>
              </w:rPr>
              <w:t xml:space="preserve">the Commission proposed </w:t>
            </w:r>
            <w:r w:rsidR="008A751E">
              <w:rPr>
                <w:rFonts w:ascii="Times New Roman" w:eastAsia="Times New Roman" w:hAnsi="Times New Roman"/>
                <w:sz w:val="24"/>
                <w:szCs w:val="24"/>
                <w:lang w:val="en-GB"/>
              </w:rPr>
              <w:t>to work with industry on a new</w:t>
            </w:r>
            <w:r w:rsidR="001A19BF">
              <w:rPr>
                <w:rFonts w:ascii="Times New Roman" w:eastAsia="Times New Roman" w:hAnsi="Times New Roman"/>
                <w:sz w:val="24"/>
                <w:szCs w:val="24"/>
                <w:lang w:val="en-GB"/>
              </w:rPr>
              <w:t xml:space="preserve"> Small Affordable Cars initiative. </w:t>
            </w:r>
          </w:p>
          <w:p w14:paraId="075C8FB4" w14:textId="77777777" w:rsidR="00A06D02" w:rsidRDefault="27414B1B" w:rsidP="00765D19">
            <w:pPr>
              <w:widowControl w:val="0"/>
              <w:spacing w:before="120" w:after="120"/>
              <w:jc w:val="both"/>
              <w:rPr>
                <w:rFonts w:ascii="Times New Roman" w:eastAsia="Times New Roman" w:hAnsi="Times New Roman"/>
                <w:sz w:val="24"/>
                <w:szCs w:val="24"/>
                <w:lang w:val="en-GB"/>
              </w:rPr>
            </w:pPr>
            <w:r w:rsidRPr="5C6420CF">
              <w:rPr>
                <w:rFonts w:ascii="Times New Roman" w:eastAsia="Times New Roman" w:hAnsi="Times New Roman"/>
                <w:sz w:val="24"/>
                <w:szCs w:val="24"/>
                <w:lang w:val="en-GB"/>
              </w:rPr>
              <w:t xml:space="preserve">Furthermore, the Commission agrees with the EESC </w:t>
            </w:r>
            <w:r w:rsidR="63FB0F3E" w:rsidRPr="5C6420CF">
              <w:rPr>
                <w:rFonts w:ascii="Times New Roman" w:eastAsia="Times New Roman" w:hAnsi="Times New Roman"/>
                <w:sz w:val="24"/>
                <w:szCs w:val="24"/>
                <w:lang w:val="en-GB"/>
              </w:rPr>
              <w:t>on the importance of charging infrastructure</w:t>
            </w:r>
            <w:r w:rsidRPr="5C6420CF">
              <w:rPr>
                <w:rFonts w:ascii="Times New Roman" w:eastAsia="Times New Roman" w:hAnsi="Times New Roman"/>
                <w:sz w:val="24"/>
                <w:szCs w:val="24"/>
                <w:lang w:val="en-GB"/>
              </w:rPr>
              <w:t xml:space="preserve"> </w:t>
            </w:r>
            <w:r w:rsidR="6CA25F43" w:rsidRPr="5C6420CF">
              <w:rPr>
                <w:rFonts w:ascii="Times New Roman" w:eastAsia="Times New Roman" w:hAnsi="Times New Roman"/>
                <w:sz w:val="24"/>
                <w:szCs w:val="24"/>
                <w:lang w:val="en-GB"/>
              </w:rPr>
              <w:t>for</w:t>
            </w:r>
            <w:r w:rsidRPr="5C6420CF">
              <w:rPr>
                <w:rFonts w:ascii="Times New Roman" w:eastAsia="Times New Roman" w:hAnsi="Times New Roman"/>
                <w:sz w:val="24"/>
                <w:szCs w:val="24"/>
                <w:lang w:val="en-GB"/>
              </w:rPr>
              <w:t xml:space="preserve"> the uptake of zero-emission vehicles. The </w:t>
            </w:r>
            <w:r w:rsidR="6F1CBF2E" w:rsidRPr="5C6420CF">
              <w:rPr>
                <w:rFonts w:ascii="Times New Roman" w:eastAsia="Times New Roman" w:hAnsi="Times New Roman"/>
                <w:sz w:val="24"/>
                <w:szCs w:val="24"/>
                <w:lang w:val="en-GB"/>
              </w:rPr>
              <w:t xml:space="preserve">Commission is </w:t>
            </w:r>
            <w:r w:rsidR="63A93884" w:rsidRPr="5C6420CF">
              <w:rPr>
                <w:rFonts w:ascii="Times New Roman" w:eastAsia="Times New Roman" w:hAnsi="Times New Roman"/>
                <w:sz w:val="24"/>
                <w:szCs w:val="24"/>
                <w:lang w:val="en-GB"/>
              </w:rPr>
              <w:t>coordinating work with Member States to establish</w:t>
            </w:r>
            <w:r w:rsidR="6F1CBF2E" w:rsidRPr="5C6420CF">
              <w:rPr>
                <w:rFonts w:ascii="Times New Roman" w:eastAsia="Times New Roman" w:hAnsi="Times New Roman"/>
                <w:sz w:val="24"/>
                <w:szCs w:val="24"/>
                <w:lang w:val="en-GB"/>
              </w:rPr>
              <w:t xml:space="preserve"> </w:t>
            </w:r>
            <w:r w:rsidR="18402BAF" w:rsidRPr="5C6420CF">
              <w:rPr>
                <w:rFonts w:ascii="Times New Roman" w:eastAsia="Times New Roman" w:hAnsi="Times New Roman"/>
                <w:sz w:val="24"/>
                <w:szCs w:val="24"/>
                <w:lang w:val="en-GB"/>
              </w:rPr>
              <w:t>Clean</w:t>
            </w:r>
            <w:r w:rsidR="6F1CBF2E" w:rsidRPr="5C6420CF">
              <w:rPr>
                <w:rFonts w:ascii="Times New Roman" w:eastAsia="Times New Roman" w:hAnsi="Times New Roman"/>
                <w:sz w:val="24"/>
                <w:szCs w:val="24"/>
                <w:lang w:val="en-GB"/>
              </w:rPr>
              <w:t xml:space="preserve"> Transport Corridors for the fast-charging infrastructure for electric trucks.</w:t>
            </w:r>
            <w:r w:rsidR="16298F9D" w:rsidRPr="5C6420CF">
              <w:rPr>
                <w:rFonts w:ascii="Times New Roman" w:eastAsia="Times New Roman" w:hAnsi="Times New Roman"/>
                <w:sz w:val="24"/>
                <w:szCs w:val="24"/>
                <w:lang w:val="en-GB"/>
              </w:rPr>
              <w:t xml:space="preserve"> </w:t>
            </w:r>
          </w:p>
          <w:p w14:paraId="4EC8612F" w14:textId="2A9522DE" w:rsidR="009D7E94" w:rsidRDefault="00D136A0" w:rsidP="00765D19">
            <w:pPr>
              <w:widowControl w:val="0"/>
              <w:spacing w:before="120" w:after="120"/>
              <w:jc w:val="both"/>
              <w:rPr>
                <w:rFonts w:ascii="Times New Roman" w:eastAsia="Times New Roman" w:hAnsi="Times New Roman"/>
                <w:sz w:val="24"/>
                <w:szCs w:val="24"/>
                <w:lang w:val="en-GB"/>
              </w:rPr>
            </w:pPr>
            <w:r>
              <w:rPr>
                <w:rFonts w:ascii="Times New Roman" w:eastAsia="Times New Roman" w:hAnsi="Times New Roman"/>
                <w:sz w:val="24"/>
                <w:szCs w:val="24"/>
                <w:lang w:val="en-GB"/>
              </w:rPr>
              <w:t>Moreover,</w:t>
            </w:r>
            <w:r w:rsidR="00A06D02">
              <w:t xml:space="preserve"> </w:t>
            </w:r>
            <w:r w:rsidR="008A751E">
              <w:rPr>
                <w:rFonts w:ascii="Times New Roman" w:eastAsia="Times New Roman" w:hAnsi="Times New Roman"/>
                <w:sz w:val="24"/>
                <w:szCs w:val="24"/>
                <w:lang w:val="en-GB"/>
              </w:rPr>
              <w:t>t</w:t>
            </w:r>
            <w:r w:rsidR="00A06D02">
              <w:rPr>
                <w:rFonts w:ascii="Times New Roman" w:eastAsia="Times New Roman" w:hAnsi="Times New Roman"/>
                <w:sz w:val="24"/>
                <w:szCs w:val="24"/>
                <w:lang w:val="en-GB"/>
              </w:rPr>
              <w:t>he Commission</w:t>
            </w:r>
            <w:r w:rsidR="00A06D02">
              <w:t xml:space="preserve"> </w:t>
            </w:r>
            <w:r w:rsidR="00A06D02" w:rsidRPr="00A06D02">
              <w:rPr>
                <w:rFonts w:ascii="Times New Roman" w:eastAsia="Times New Roman" w:hAnsi="Times New Roman"/>
                <w:sz w:val="24"/>
                <w:szCs w:val="24"/>
                <w:lang w:val="en-GB"/>
              </w:rPr>
              <w:t xml:space="preserve">is accelerating work on the preparation of </w:t>
            </w:r>
            <w:r w:rsidR="009D7E94" w:rsidRPr="00A06D02">
              <w:rPr>
                <w:rFonts w:ascii="Times New Roman" w:eastAsia="Times New Roman" w:hAnsi="Times New Roman"/>
                <w:sz w:val="24"/>
                <w:szCs w:val="24"/>
                <w:lang w:val="en-GB"/>
              </w:rPr>
              <w:t>the review</w:t>
            </w:r>
            <w:r w:rsidR="008A751E">
              <w:rPr>
                <w:rFonts w:ascii="Times New Roman" w:eastAsia="Times New Roman" w:hAnsi="Times New Roman"/>
                <w:sz w:val="24"/>
                <w:szCs w:val="24"/>
                <w:lang w:val="en-GB"/>
              </w:rPr>
              <w:t xml:space="preserve"> of the CO2 standards for cars and vans</w:t>
            </w:r>
            <w:r w:rsidR="00A06D02">
              <w:rPr>
                <w:rFonts w:ascii="Times New Roman" w:eastAsia="Times New Roman" w:hAnsi="Times New Roman"/>
                <w:sz w:val="24"/>
                <w:szCs w:val="24"/>
                <w:lang w:val="en-GB"/>
              </w:rPr>
              <w:t xml:space="preserve">, </w:t>
            </w:r>
            <w:proofErr w:type="gramStart"/>
            <w:r w:rsidR="00A06D02" w:rsidRPr="00A06D02">
              <w:rPr>
                <w:rFonts w:ascii="Times New Roman" w:eastAsia="Times New Roman" w:hAnsi="Times New Roman"/>
                <w:sz w:val="24"/>
                <w:szCs w:val="24"/>
                <w:lang w:val="en-GB"/>
              </w:rPr>
              <w:t>taking into account</w:t>
            </w:r>
            <w:proofErr w:type="gramEnd"/>
            <w:r w:rsidR="00A06D02" w:rsidRPr="00A06D02">
              <w:rPr>
                <w:rFonts w:ascii="Times New Roman" w:eastAsia="Times New Roman" w:hAnsi="Times New Roman"/>
                <w:sz w:val="24"/>
                <w:szCs w:val="24"/>
                <w:lang w:val="en-GB"/>
              </w:rPr>
              <w:t xml:space="preserve"> all relevant technological developments, and the importance of an economically viable and socially fair transition towards zero-emission mobility.</w:t>
            </w:r>
            <w:r w:rsidR="00396D2E">
              <w:rPr>
                <w:rFonts w:ascii="Times New Roman" w:eastAsia="Times New Roman" w:hAnsi="Times New Roman"/>
                <w:sz w:val="24"/>
                <w:szCs w:val="24"/>
                <w:lang w:val="en-GB"/>
              </w:rPr>
              <w:t xml:space="preserve"> </w:t>
            </w:r>
          </w:p>
          <w:p w14:paraId="42C1B332" w14:textId="5CF56FA1" w:rsidR="004F6117" w:rsidRPr="004F6117" w:rsidRDefault="27414B1B" w:rsidP="00765D19">
            <w:pPr>
              <w:widowControl w:val="0"/>
              <w:spacing w:before="120" w:after="120"/>
              <w:jc w:val="both"/>
              <w:rPr>
                <w:rFonts w:ascii="Times New Roman" w:eastAsia="Times New Roman" w:hAnsi="Times New Roman"/>
                <w:sz w:val="24"/>
                <w:szCs w:val="24"/>
              </w:rPr>
            </w:pPr>
            <w:r w:rsidRPr="1D6102B3">
              <w:rPr>
                <w:rFonts w:ascii="Times New Roman" w:eastAsia="Times New Roman" w:hAnsi="Times New Roman"/>
                <w:b/>
                <w:bCs/>
                <w:sz w:val="24"/>
                <w:szCs w:val="24"/>
                <w:lang w:val="en-GB"/>
              </w:rPr>
              <w:t xml:space="preserve">Addressing the workforce transition </w:t>
            </w:r>
          </w:p>
          <w:p w14:paraId="41FE1649" w14:textId="353C48A7" w:rsidR="004F6117" w:rsidRPr="004F6117" w:rsidRDefault="27414B1B" w:rsidP="00765D19">
            <w:pPr>
              <w:widowControl w:val="0"/>
              <w:spacing w:before="120" w:after="120"/>
              <w:jc w:val="both"/>
              <w:rPr>
                <w:rFonts w:ascii="Times New Roman" w:eastAsia="Times New Roman" w:hAnsi="Times New Roman"/>
                <w:sz w:val="24"/>
                <w:szCs w:val="24"/>
                <w:lang w:val="en-GB"/>
              </w:rPr>
            </w:pPr>
            <w:r w:rsidRPr="2F7BA2FB">
              <w:rPr>
                <w:rFonts w:ascii="Times New Roman" w:eastAsia="Times New Roman" w:hAnsi="Times New Roman"/>
                <w:sz w:val="24"/>
                <w:szCs w:val="24"/>
                <w:lang w:val="en-GB"/>
              </w:rPr>
              <w:t xml:space="preserve">The Commission </w:t>
            </w:r>
            <w:proofErr w:type="gramStart"/>
            <w:r w:rsidRPr="2F7BA2FB">
              <w:rPr>
                <w:rFonts w:ascii="Times New Roman" w:eastAsia="Times New Roman" w:hAnsi="Times New Roman"/>
                <w:sz w:val="24"/>
                <w:szCs w:val="24"/>
                <w:lang w:val="en-GB"/>
              </w:rPr>
              <w:t>is well aware that</w:t>
            </w:r>
            <w:proofErr w:type="gramEnd"/>
            <w:r w:rsidRPr="2F7BA2FB">
              <w:rPr>
                <w:rFonts w:ascii="Times New Roman" w:eastAsia="Times New Roman" w:hAnsi="Times New Roman"/>
                <w:sz w:val="24"/>
                <w:szCs w:val="24"/>
                <w:lang w:val="en-GB"/>
              </w:rPr>
              <w:t xml:space="preserve"> employment in the </w:t>
            </w:r>
            <w:r w:rsidR="5309B304" w:rsidRPr="2F7BA2FB">
              <w:rPr>
                <w:rFonts w:ascii="Times New Roman" w:eastAsia="Times New Roman" w:hAnsi="Times New Roman"/>
                <w:sz w:val="24"/>
                <w:szCs w:val="24"/>
                <w:lang w:val="en-GB"/>
              </w:rPr>
              <w:t xml:space="preserve">traditional </w:t>
            </w:r>
            <w:r w:rsidRPr="2F7BA2FB">
              <w:rPr>
                <w:rFonts w:ascii="Times New Roman" w:eastAsia="Times New Roman" w:hAnsi="Times New Roman"/>
                <w:sz w:val="24"/>
                <w:szCs w:val="24"/>
                <w:lang w:val="en-GB"/>
              </w:rPr>
              <w:t xml:space="preserve">automotive sector is </w:t>
            </w:r>
            <w:r w:rsidR="4760781A" w:rsidRPr="2F7BA2FB">
              <w:rPr>
                <w:rFonts w:ascii="Times New Roman" w:eastAsia="Times New Roman" w:hAnsi="Times New Roman"/>
                <w:sz w:val="24"/>
                <w:szCs w:val="24"/>
                <w:lang w:val="en-GB"/>
              </w:rPr>
              <w:t>likely</w:t>
            </w:r>
            <w:r w:rsidRPr="2F7BA2FB">
              <w:rPr>
                <w:rFonts w:ascii="Times New Roman" w:eastAsia="Times New Roman" w:hAnsi="Times New Roman"/>
                <w:sz w:val="24"/>
                <w:szCs w:val="24"/>
                <w:lang w:val="en-GB"/>
              </w:rPr>
              <w:t xml:space="preserve"> to fall in the coming years as raised by the EESC and acknowledges the importance of anticipating and managing the change in order to ensure a fair transition. As noted by the Committee in 5.4, initiatives such as the Union of Skills, the Automotive Skills Alliance, the European Fair Transition </w:t>
            </w:r>
            <w:r w:rsidR="2570B808" w:rsidRPr="2F7BA2FB">
              <w:rPr>
                <w:rFonts w:ascii="Times New Roman" w:eastAsia="Times New Roman" w:hAnsi="Times New Roman"/>
                <w:sz w:val="24"/>
                <w:szCs w:val="24"/>
                <w:lang w:val="en-GB"/>
              </w:rPr>
              <w:t>O</w:t>
            </w:r>
            <w:r w:rsidRPr="2F7BA2FB">
              <w:rPr>
                <w:rFonts w:ascii="Times New Roman" w:eastAsia="Times New Roman" w:hAnsi="Times New Roman"/>
                <w:sz w:val="24"/>
                <w:szCs w:val="24"/>
                <w:lang w:val="en-GB"/>
              </w:rPr>
              <w:t xml:space="preserve">bservatory are already underway, </w:t>
            </w:r>
            <w:r w:rsidR="11C1D97A" w:rsidRPr="2F7BA2FB">
              <w:rPr>
                <w:rFonts w:ascii="Times New Roman" w:eastAsia="Times New Roman" w:hAnsi="Times New Roman"/>
                <w:sz w:val="24"/>
                <w:szCs w:val="24"/>
                <w:lang w:val="en-GB"/>
              </w:rPr>
              <w:t>The European Social Fund Plus (ESF+) support</w:t>
            </w:r>
            <w:r w:rsidR="431F4BC2" w:rsidRPr="2F7BA2FB">
              <w:rPr>
                <w:rFonts w:ascii="Times New Roman" w:eastAsia="Times New Roman" w:hAnsi="Times New Roman"/>
                <w:sz w:val="24"/>
                <w:szCs w:val="24"/>
                <w:lang w:val="en-GB"/>
              </w:rPr>
              <w:t>s</w:t>
            </w:r>
            <w:r w:rsidR="11C1D97A" w:rsidRPr="2F7BA2FB">
              <w:rPr>
                <w:rFonts w:ascii="Times New Roman" w:eastAsia="Times New Roman" w:hAnsi="Times New Roman"/>
                <w:sz w:val="24"/>
                <w:szCs w:val="24"/>
                <w:lang w:val="en-GB"/>
              </w:rPr>
              <w:t xml:space="preserve"> Member States in managing the social and employment impact of the </w:t>
            </w:r>
            <w:r w:rsidR="3914A561" w:rsidRPr="2F7BA2FB">
              <w:rPr>
                <w:rFonts w:ascii="Times New Roman" w:eastAsia="Times New Roman" w:hAnsi="Times New Roman"/>
                <w:sz w:val="24"/>
                <w:szCs w:val="24"/>
                <w:lang w:val="en-GB"/>
              </w:rPr>
              <w:t>transition</w:t>
            </w:r>
            <w:r w:rsidR="11C1D97A" w:rsidRPr="2F7BA2FB">
              <w:rPr>
                <w:rFonts w:ascii="Times New Roman" w:eastAsia="Times New Roman" w:hAnsi="Times New Roman"/>
                <w:sz w:val="24"/>
                <w:szCs w:val="24"/>
                <w:lang w:val="en-GB"/>
              </w:rPr>
              <w:t xml:space="preserve">. </w:t>
            </w:r>
            <w:r w:rsidR="20FC95AE" w:rsidRPr="2F7BA2FB">
              <w:rPr>
                <w:rFonts w:ascii="Times New Roman" w:eastAsia="Times New Roman" w:hAnsi="Times New Roman"/>
                <w:sz w:val="24"/>
                <w:szCs w:val="24"/>
                <w:lang w:val="en-GB"/>
              </w:rPr>
              <w:t>Upon proposal by t</w:t>
            </w:r>
            <w:r w:rsidR="11C1D97A" w:rsidRPr="2F7BA2FB">
              <w:rPr>
                <w:rFonts w:ascii="Times New Roman" w:eastAsia="Times New Roman" w:hAnsi="Times New Roman"/>
                <w:sz w:val="24"/>
                <w:szCs w:val="24"/>
                <w:lang w:val="en-GB"/>
              </w:rPr>
              <w:t>he Commission</w:t>
            </w:r>
            <w:r w:rsidR="5BD86335" w:rsidRPr="2F7BA2FB">
              <w:rPr>
                <w:rFonts w:ascii="Times New Roman" w:eastAsia="Times New Roman" w:hAnsi="Times New Roman"/>
                <w:sz w:val="24"/>
                <w:szCs w:val="24"/>
                <w:lang w:val="en-GB"/>
              </w:rPr>
              <w:t>, the co-legislators</w:t>
            </w:r>
            <w:r w:rsidR="23E5BC01" w:rsidRPr="2F7BA2FB">
              <w:rPr>
                <w:rFonts w:ascii="Times New Roman" w:eastAsia="Times New Roman" w:hAnsi="Times New Roman"/>
                <w:sz w:val="24"/>
                <w:szCs w:val="24"/>
                <w:lang w:val="en-GB"/>
              </w:rPr>
              <w:t xml:space="preserve"> </w:t>
            </w:r>
            <w:r w:rsidR="56288BE8" w:rsidRPr="2F7BA2FB">
              <w:rPr>
                <w:rFonts w:ascii="Times New Roman" w:eastAsia="Times New Roman" w:hAnsi="Times New Roman"/>
                <w:sz w:val="24"/>
                <w:szCs w:val="24"/>
                <w:lang w:val="en-GB"/>
              </w:rPr>
              <w:t xml:space="preserve">decided to </w:t>
            </w:r>
            <w:r w:rsidR="23E5BC01" w:rsidRPr="2F7BA2FB">
              <w:rPr>
                <w:rFonts w:ascii="Times New Roman" w:eastAsia="Times New Roman" w:hAnsi="Times New Roman"/>
                <w:sz w:val="24"/>
                <w:szCs w:val="24"/>
                <w:lang w:val="en-GB"/>
              </w:rPr>
              <w:t>further</w:t>
            </w:r>
            <w:r w:rsidR="11C1D97A" w:rsidRPr="2F7BA2FB">
              <w:rPr>
                <w:rFonts w:ascii="Times New Roman" w:eastAsia="Times New Roman" w:hAnsi="Times New Roman"/>
                <w:sz w:val="24"/>
                <w:szCs w:val="24"/>
                <w:lang w:val="en-GB"/>
              </w:rPr>
              <w:t xml:space="preserve"> use the opportunity of the midterm review of cohesion programmes</w:t>
            </w:r>
            <w:r w:rsidR="43E14042" w:rsidRPr="2F7BA2FB">
              <w:rPr>
                <w:rFonts w:ascii="Times New Roman" w:eastAsia="Times New Roman" w:hAnsi="Times New Roman"/>
                <w:sz w:val="24"/>
                <w:szCs w:val="24"/>
                <w:lang w:val="en-GB"/>
              </w:rPr>
              <w:t xml:space="preserve">, </w:t>
            </w:r>
            <w:r w:rsidR="43E14042" w:rsidRPr="2F7BA2FB">
              <w:rPr>
                <w:rFonts w:ascii="Times New Roman" w:eastAsia="Times New Roman" w:hAnsi="Times New Roman"/>
                <w:sz w:val="24"/>
                <w:szCs w:val="24"/>
                <w:lang w:val="en-GB"/>
              </w:rPr>
              <w:lastRenderedPageBreak/>
              <w:t>including the ESF+</w:t>
            </w:r>
            <w:r w:rsidR="2AA0CFDF" w:rsidRPr="2F7BA2FB">
              <w:rPr>
                <w:rFonts w:ascii="Times New Roman" w:eastAsia="Times New Roman" w:hAnsi="Times New Roman"/>
                <w:sz w:val="24"/>
                <w:szCs w:val="24"/>
                <w:lang w:val="en-GB"/>
              </w:rPr>
              <w:t>,</w:t>
            </w:r>
            <w:r w:rsidR="11C1D97A" w:rsidRPr="2F7BA2FB">
              <w:rPr>
                <w:rFonts w:ascii="Times New Roman" w:eastAsia="Times New Roman" w:hAnsi="Times New Roman"/>
                <w:sz w:val="24"/>
                <w:szCs w:val="24"/>
                <w:lang w:val="en-GB"/>
              </w:rPr>
              <w:t xml:space="preserve"> to introduce new priorities that stem from the current geopolitical and economic challenges.</w:t>
            </w:r>
            <w:r w:rsidR="004E6190">
              <w:rPr>
                <w:rFonts w:ascii="Times New Roman" w:eastAsia="Times New Roman" w:hAnsi="Times New Roman"/>
                <w:sz w:val="24"/>
                <w:szCs w:val="24"/>
                <w:lang w:val="en-GB"/>
              </w:rPr>
              <w:t xml:space="preserve"> </w:t>
            </w:r>
            <w:r w:rsidR="73ADB101" w:rsidRPr="2F7BA2FB">
              <w:rPr>
                <w:rFonts w:ascii="Times New Roman" w:eastAsia="Times New Roman" w:hAnsi="Times New Roman"/>
                <w:sz w:val="24"/>
                <w:szCs w:val="24"/>
                <w:lang w:val="en-GB"/>
              </w:rPr>
              <w:t>Among others</w:t>
            </w:r>
            <w:r w:rsidR="004E6190">
              <w:rPr>
                <w:rFonts w:ascii="Times New Roman" w:eastAsia="Times New Roman" w:hAnsi="Times New Roman"/>
                <w:sz w:val="24"/>
                <w:szCs w:val="24"/>
                <w:lang w:val="en-GB"/>
              </w:rPr>
              <w:t>,</w:t>
            </w:r>
            <w:r w:rsidR="73ADB101" w:rsidRPr="2F7BA2FB">
              <w:rPr>
                <w:rFonts w:ascii="Times New Roman" w:eastAsia="Times New Roman" w:hAnsi="Times New Roman"/>
                <w:sz w:val="24"/>
                <w:szCs w:val="24"/>
                <w:lang w:val="en-GB"/>
              </w:rPr>
              <w:t xml:space="preserve"> </w:t>
            </w:r>
            <w:r w:rsidRPr="2F7BA2FB">
              <w:rPr>
                <w:rFonts w:ascii="Times New Roman" w:eastAsia="Times New Roman" w:hAnsi="Times New Roman"/>
                <w:sz w:val="24"/>
                <w:szCs w:val="24"/>
                <w:lang w:val="en-GB"/>
              </w:rPr>
              <w:t xml:space="preserve">the </w:t>
            </w:r>
            <w:r w:rsidR="00CF38A8" w:rsidRPr="2F7BA2FB">
              <w:rPr>
                <w:rFonts w:ascii="Times New Roman" w:eastAsia="Times New Roman" w:hAnsi="Times New Roman"/>
                <w:sz w:val="24"/>
                <w:szCs w:val="24"/>
                <w:lang w:val="en-GB"/>
              </w:rPr>
              <w:t>Commission prepared</w:t>
            </w:r>
            <w:r w:rsidRPr="2F7BA2FB">
              <w:rPr>
                <w:rFonts w:ascii="Times New Roman" w:eastAsia="Times New Roman" w:hAnsi="Times New Roman"/>
                <w:sz w:val="24"/>
                <w:szCs w:val="24"/>
                <w:lang w:val="en-GB"/>
              </w:rPr>
              <w:t xml:space="preserve"> legal amendments to the E</w:t>
            </w:r>
            <w:r w:rsidR="553DB3BB" w:rsidRPr="2F7BA2FB">
              <w:rPr>
                <w:rFonts w:ascii="Times New Roman" w:eastAsia="Times New Roman" w:hAnsi="Times New Roman"/>
                <w:sz w:val="24"/>
                <w:szCs w:val="24"/>
                <w:lang w:val="en-GB"/>
              </w:rPr>
              <w:t xml:space="preserve">uropean </w:t>
            </w:r>
            <w:r w:rsidRPr="2F7BA2FB">
              <w:rPr>
                <w:rFonts w:ascii="Times New Roman" w:eastAsia="Times New Roman" w:hAnsi="Times New Roman"/>
                <w:sz w:val="24"/>
                <w:szCs w:val="24"/>
                <w:lang w:val="en-GB"/>
              </w:rPr>
              <w:t>G</w:t>
            </w:r>
            <w:r w:rsidR="0AEA6246" w:rsidRPr="2F7BA2FB">
              <w:rPr>
                <w:rFonts w:ascii="Times New Roman" w:eastAsia="Times New Roman" w:hAnsi="Times New Roman"/>
                <w:sz w:val="24"/>
                <w:szCs w:val="24"/>
                <w:lang w:val="en-GB"/>
              </w:rPr>
              <w:t xml:space="preserve">lobalisation Adjustment </w:t>
            </w:r>
            <w:r w:rsidRPr="2F7BA2FB">
              <w:rPr>
                <w:rFonts w:ascii="Times New Roman" w:eastAsia="Times New Roman" w:hAnsi="Times New Roman"/>
                <w:sz w:val="24"/>
                <w:szCs w:val="24"/>
                <w:lang w:val="en-GB"/>
              </w:rPr>
              <w:t>F</w:t>
            </w:r>
            <w:r w:rsidR="213214C5" w:rsidRPr="2F7BA2FB">
              <w:rPr>
                <w:rFonts w:ascii="Times New Roman" w:eastAsia="Times New Roman" w:hAnsi="Times New Roman"/>
                <w:sz w:val="24"/>
                <w:szCs w:val="24"/>
                <w:lang w:val="en-GB"/>
              </w:rPr>
              <w:t>und</w:t>
            </w:r>
            <w:r w:rsidRPr="2F7BA2FB">
              <w:rPr>
                <w:rFonts w:ascii="Times New Roman" w:eastAsia="Times New Roman" w:hAnsi="Times New Roman"/>
                <w:sz w:val="24"/>
                <w:szCs w:val="24"/>
                <w:lang w:val="en-GB"/>
              </w:rPr>
              <w:t xml:space="preserve"> Regulation. </w:t>
            </w:r>
          </w:p>
          <w:p w14:paraId="59354F23" w14:textId="31456F8B" w:rsidR="004F6117" w:rsidRPr="004F6117" w:rsidRDefault="27414B1B" w:rsidP="00765D19">
            <w:pPr>
              <w:widowControl w:val="0"/>
              <w:spacing w:before="120" w:after="120"/>
              <w:jc w:val="both"/>
              <w:rPr>
                <w:rFonts w:ascii="Times New Roman" w:eastAsia="Times New Roman" w:hAnsi="Times New Roman"/>
                <w:sz w:val="24"/>
                <w:szCs w:val="24"/>
              </w:rPr>
            </w:pPr>
            <w:r w:rsidRPr="1D6102B3">
              <w:rPr>
                <w:rFonts w:ascii="Times New Roman" w:eastAsia="Times New Roman" w:hAnsi="Times New Roman"/>
                <w:sz w:val="24"/>
                <w:szCs w:val="24"/>
                <w:lang w:val="en-GB"/>
              </w:rPr>
              <w:t>Moreover, the Commission welcomes the EESC’s suggestion to establish a meaningful social dialogue to address the challenges of the transformation, also underlined by the upcoming Quality Jobs Roadmap, expected by the end of 2025 after consultation with social partners</w:t>
            </w:r>
            <w:r w:rsidR="47A14824" w:rsidRPr="1D6102B3">
              <w:rPr>
                <w:rFonts w:ascii="Times New Roman" w:eastAsia="Times New Roman" w:hAnsi="Times New Roman"/>
                <w:sz w:val="24"/>
                <w:szCs w:val="24"/>
                <w:lang w:val="en-GB"/>
              </w:rPr>
              <w:t>.</w:t>
            </w:r>
            <w:r w:rsidR="008954AB" w:rsidRPr="008954AB">
              <w:rPr>
                <w:rFonts w:ascii="Times New Roman" w:eastAsia="Times New Roman" w:hAnsi="Times New Roman"/>
                <w:sz w:val="24"/>
                <w:szCs w:val="24"/>
                <w:lang w:val="en-GB"/>
              </w:rPr>
              <w:t xml:space="preserve"> </w:t>
            </w:r>
            <w:r w:rsidR="008954AB" w:rsidRPr="00CF38A8">
              <w:rPr>
                <w:rFonts w:ascii="Times New Roman" w:eastAsia="Times New Roman" w:hAnsi="Times New Roman"/>
                <w:sz w:val="24"/>
                <w:szCs w:val="24"/>
                <w:lang w:val="en-GB"/>
              </w:rPr>
              <w:t xml:space="preserve">The Commission promotes the role of social dialogue and of the social partners, in line with the Treaty on the Functioning of the EU and with due respect to national competences and the autonomy of social partners. Recent commitments, such as the signature of the 2025 Pact for European Social Dialogue reaffirmed the importance of social dialogue as part of the EU social and economic model. The Council Recommendation on strengthening social dialogue in the EU adopted in </w:t>
            </w:r>
            <w:r w:rsidR="00CF38A8" w:rsidRPr="00CF38A8">
              <w:rPr>
                <w:rFonts w:ascii="Times New Roman" w:eastAsia="Times New Roman" w:hAnsi="Times New Roman"/>
                <w:sz w:val="24"/>
                <w:szCs w:val="24"/>
                <w:lang w:val="en-GB"/>
              </w:rPr>
              <w:t>2023</w:t>
            </w:r>
            <w:r w:rsidR="00071B7A">
              <w:rPr>
                <w:rStyle w:val="FootnoteReference"/>
                <w:rFonts w:ascii="Times New Roman" w:eastAsia="Times New Roman" w:hAnsi="Times New Roman"/>
                <w:sz w:val="24"/>
                <w:szCs w:val="24"/>
                <w:lang w:val="en-GB"/>
              </w:rPr>
              <w:footnoteReference w:id="6"/>
            </w:r>
            <w:r w:rsidR="00CF38A8" w:rsidRPr="00CF38A8">
              <w:rPr>
                <w:rFonts w:ascii="Times New Roman" w:eastAsia="Times New Roman" w:hAnsi="Times New Roman"/>
                <w:sz w:val="24"/>
                <w:szCs w:val="24"/>
                <w:lang w:val="en-GB"/>
              </w:rPr>
              <w:t>, advised</w:t>
            </w:r>
            <w:r w:rsidR="008954AB" w:rsidRPr="00CF38A8">
              <w:rPr>
                <w:rFonts w:ascii="Times New Roman" w:eastAsia="Times New Roman" w:hAnsi="Times New Roman"/>
                <w:sz w:val="24"/>
                <w:szCs w:val="24"/>
                <w:lang w:val="en-GB"/>
              </w:rPr>
              <w:t xml:space="preserve"> Member States to ensure an enabling environment for bipartite and tripartite social dialogue, including collective bargaining, in the public and private sectors. The Recommendation calls on Member States to support national social partners to explore new activities fit for the future of work, the green and demographic transitions and new labour market conditions. The Commission supports the Employment Committee in monitoring the implementation of the Council Recommendation</w:t>
            </w:r>
            <w:r w:rsidR="008954AB" w:rsidRPr="008954AB">
              <w:rPr>
                <w:rFonts w:ascii="Times New Roman" w:eastAsia="Times New Roman" w:hAnsi="Times New Roman"/>
                <w:sz w:val="24"/>
                <w:szCs w:val="24"/>
                <w:lang w:val="en-GB"/>
              </w:rPr>
              <w:t>.</w:t>
            </w:r>
            <w:r w:rsidR="00571D29">
              <w:rPr>
                <w:rFonts w:ascii="Times New Roman" w:eastAsia="Times New Roman" w:hAnsi="Times New Roman"/>
                <w:sz w:val="24"/>
                <w:szCs w:val="24"/>
                <w:lang w:val="en-GB"/>
              </w:rPr>
              <w:t xml:space="preserve"> </w:t>
            </w:r>
          </w:p>
          <w:p w14:paraId="7FD58F57" w14:textId="624BBBE4" w:rsidR="004B7C54" w:rsidRDefault="1442A95C" w:rsidP="00765D19">
            <w:pPr>
              <w:widowControl w:val="0"/>
              <w:spacing w:before="120" w:after="120"/>
              <w:jc w:val="both"/>
              <w:rPr>
                <w:rFonts w:ascii="Times New Roman" w:eastAsia="Times New Roman" w:hAnsi="Times New Roman"/>
                <w:sz w:val="24"/>
                <w:szCs w:val="24"/>
                <w:lang w:val="en-GB"/>
              </w:rPr>
            </w:pPr>
            <w:r w:rsidRPr="1D6102B3">
              <w:rPr>
                <w:rFonts w:ascii="Times New Roman" w:eastAsia="Times New Roman" w:hAnsi="Times New Roman"/>
                <w:sz w:val="24"/>
                <w:szCs w:val="24"/>
                <w:lang w:val="en-GB"/>
              </w:rPr>
              <w:t>The Commission draws attention to the important role of Member States</w:t>
            </w:r>
            <w:r w:rsidR="0EF15DE2" w:rsidRPr="1D6102B3">
              <w:rPr>
                <w:rFonts w:ascii="Times New Roman" w:eastAsia="Times New Roman" w:hAnsi="Times New Roman"/>
                <w:sz w:val="24"/>
                <w:szCs w:val="24"/>
                <w:lang w:val="en-GB"/>
              </w:rPr>
              <w:t xml:space="preserve"> and</w:t>
            </w:r>
            <w:r w:rsidRPr="1D6102B3">
              <w:rPr>
                <w:rFonts w:ascii="Times New Roman" w:eastAsia="Times New Roman" w:hAnsi="Times New Roman"/>
                <w:sz w:val="24"/>
                <w:szCs w:val="24"/>
                <w:lang w:val="en-GB"/>
              </w:rPr>
              <w:t xml:space="preserve"> regions for implementing reskilling and upskilling measures</w:t>
            </w:r>
            <w:r w:rsidR="0A951701" w:rsidRPr="1D6102B3">
              <w:rPr>
                <w:rFonts w:ascii="Times New Roman" w:eastAsia="Times New Roman" w:hAnsi="Times New Roman"/>
                <w:sz w:val="24"/>
                <w:szCs w:val="24"/>
                <w:lang w:val="en-GB"/>
              </w:rPr>
              <w:t>, including with support from EU funds,</w:t>
            </w:r>
            <w:r w:rsidR="0BCB3D95" w:rsidRPr="1D6102B3">
              <w:rPr>
                <w:rFonts w:ascii="Times New Roman" w:eastAsia="Times New Roman" w:hAnsi="Times New Roman"/>
                <w:sz w:val="24"/>
                <w:szCs w:val="24"/>
                <w:lang w:val="en-GB"/>
              </w:rPr>
              <w:t xml:space="preserve"> </w:t>
            </w:r>
            <w:proofErr w:type="gramStart"/>
            <w:r w:rsidR="0BCB3D95" w:rsidRPr="1D6102B3">
              <w:rPr>
                <w:rFonts w:ascii="Times New Roman" w:eastAsia="Times New Roman" w:hAnsi="Times New Roman"/>
                <w:sz w:val="24"/>
                <w:szCs w:val="24"/>
                <w:lang w:val="en-GB"/>
              </w:rPr>
              <w:t>and also</w:t>
            </w:r>
            <w:proofErr w:type="gramEnd"/>
            <w:r w:rsidR="0BCB3D95" w:rsidRPr="1D6102B3">
              <w:rPr>
                <w:rFonts w:ascii="Times New Roman" w:eastAsia="Times New Roman" w:hAnsi="Times New Roman"/>
                <w:sz w:val="24"/>
                <w:szCs w:val="24"/>
                <w:lang w:val="en-GB"/>
              </w:rPr>
              <w:t xml:space="preserve"> for </w:t>
            </w:r>
            <w:r w:rsidR="5A0D81BF" w:rsidRPr="1D6102B3">
              <w:rPr>
                <w:rFonts w:ascii="Times New Roman" w:eastAsia="Times New Roman" w:hAnsi="Times New Roman"/>
                <w:sz w:val="24"/>
                <w:szCs w:val="24"/>
                <w:lang w:val="en-GB"/>
              </w:rPr>
              <w:t>offering targeted support measures for</w:t>
            </w:r>
            <w:r w:rsidR="0BCB3D95" w:rsidRPr="1D6102B3">
              <w:rPr>
                <w:rFonts w:ascii="Times New Roman" w:eastAsia="Times New Roman" w:hAnsi="Times New Roman"/>
                <w:sz w:val="24"/>
                <w:szCs w:val="24"/>
                <w:lang w:val="en-GB"/>
              </w:rPr>
              <w:t xml:space="preserve"> </w:t>
            </w:r>
            <w:r w:rsidR="00071B7A" w:rsidRPr="00071B7A">
              <w:rPr>
                <w:rFonts w:ascii="Times New Roman" w:eastAsia="Times New Roman" w:hAnsi="Times New Roman"/>
                <w:sz w:val="24"/>
                <w:szCs w:val="24"/>
                <w:lang w:val="en-GB"/>
              </w:rPr>
              <w:t xml:space="preserve">small and medium-sized enterprises </w:t>
            </w:r>
            <w:r w:rsidR="00071B7A">
              <w:rPr>
                <w:rFonts w:ascii="Times New Roman" w:eastAsia="Times New Roman" w:hAnsi="Times New Roman"/>
                <w:sz w:val="24"/>
                <w:szCs w:val="24"/>
                <w:lang w:val="en-GB"/>
              </w:rPr>
              <w:t>(</w:t>
            </w:r>
            <w:r w:rsidR="0BCB3D95" w:rsidRPr="1D6102B3">
              <w:rPr>
                <w:rFonts w:ascii="Times New Roman" w:eastAsia="Times New Roman" w:hAnsi="Times New Roman"/>
                <w:sz w:val="24"/>
                <w:szCs w:val="24"/>
                <w:lang w:val="en-GB"/>
              </w:rPr>
              <w:t>SMEs</w:t>
            </w:r>
            <w:r w:rsidR="00071B7A">
              <w:rPr>
                <w:rFonts w:ascii="Times New Roman" w:eastAsia="Times New Roman" w:hAnsi="Times New Roman"/>
                <w:sz w:val="24"/>
                <w:szCs w:val="24"/>
                <w:lang w:val="en-GB"/>
              </w:rPr>
              <w:t>)</w:t>
            </w:r>
            <w:r w:rsidR="0BCB3D95" w:rsidRPr="1D6102B3">
              <w:rPr>
                <w:rFonts w:ascii="Times New Roman" w:eastAsia="Times New Roman" w:hAnsi="Times New Roman"/>
                <w:sz w:val="24"/>
                <w:szCs w:val="24"/>
                <w:lang w:val="en-GB"/>
              </w:rPr>
              <w:t xml:space="preserve"> in the transformation process</w:t>
            </w:r>
            <w:r w:rsidRPr="1D6102B3">
              <w:rPr>
                <w:rFonts w:ascii="Times New Roman" w:eastAsia="Times New Roman" w:hAnsi="Times New Roman"/>
                <w:sz w:val="24"/>
                <w:szCs w:val="24"/>
                <w:lang w:val="en-GB"/>
              </w:rPr>
              <w:t xml:space="preserve">. </w:t>
            </w:r>
          </w:p>
          <w:p w14:paraId="5DC0F06B" w14:textId="7086D63B" w:rsidR="004F6117" w:rsidRPr="004F6117" w:rsidRDefault="27414B1B" w:rsidP="00765D19">
            <w:pPr>
              <w:widowControl w:val="0"/>
              <w:spacing w:before="120" w:after="120"/>
              <w:jc w:val="both"/>
              <w:rPr>
                <w:rFonts w:ascii="Times New Roman" w:eastAsia="Times New Roman" w:hAnsi="Times New Roman"/>
                <w:sz w:val="24"/>
                <w:szCs w:val="24"/>
                <w:highlight w:val="yellow"/>
              </w:rPr>
            </w:pPr>
            <w:r w:rsidRPr="1D6102B3">
              <w:rPr>
                <w:rFonts w:ascii="Times New Roman" w:eastAsia="Times New Roman" w:hAnsi="Times New Roman"/>
                <w:b/>
                <w:bCs/>
                <w:sz w:val="24"/>
                <w:szCs w:val="24"/>
                <w:lang w:val="en-GB"/>
              </w:rPr>
              <w:t xml:space="preserve">Competitiveness </w:t>
            </w:r>
          </w:p>
          <w:p w14:paraId="41ADDDA4" w14:textId="35A56F7B" w:rsidR="004F6117" w:rsidRPr="00B51E03" w:rsidRDefault="005A1789" w:rsidP="00765D19">
            <w:pPr>
              <w:widowControl w:val="0"/>
              <w:spacing w:before="120" w:after="120"/>
              <w:jc w:val="both"/>
              <w:rPr>
                <w:rFonts w:ascii="Times New Roman" w:eastAsia="Times New Roman" w:hAnsi="Times New Roman"/>
                <w:sz w:val="24"/>
                <w:szCs w:val="24"/>
              </w:rPr>
            </w:pPr>
            <w:r w:rsidRPr="1D6102B3">
              <w:rPr>
                <w:rFonts w:ascii="Times New Roman" w:eastAsia="Times New Roman" w:hAnsi="Times New Roman"/>
                <w:sz w:val="24"/>
                <w:szCs w:val="24"/>
                <w:lang w:val="en-GB"/>
              </w:rPr>
              <w:t xml:space="preserve">As noted by the EESC, the European automotive ecosystem </w:t>
            </w:r>
            <w:r>
              <w:rPr>
                <w:rFonts w:ascii="Times New Roman" w:eastAsia="Times New Roman" w:hAnsi="Times New Roman"/>
                <w:sz w:val="24"/>
                <w:szCs w:val="24"/>
                <w:lang w:val="en-GB"/>
              </w:rPr>
              <w:t xml:space="preserve">is exposed to global supply risks and </w:t>
            </w:r>
            <w:r w:rsidRPr="1D6102B3">
              <w:rPr>
                <w:rFonts w:ascii="Times New Roman" w:eastAsia="Times New Roman" w:hAnsi="Times New Roman"/>
                <w:sz w:val="24"/>
                <w:szCs w:val="24"/>
                <w:lang w:val="en-GB"/>
              </w:rPr>
              <w:t>dependencies</w:t>
            </w:r>
            <w:r>
              <w:rPr>
                <w:rFonts w:ascii="Times New Roman" w:eastAsia="Times New Roman" w:hAnsi="Times New Roman"/>
                <w:sz w:val="24"/>
                <w:szCs w:val="24"/>
                <w:lang w:val="en-GB"/>
              </w:rPr>
              <w:t xml:space="preserve"> </w:t>
            </w:r>
            <w:r w:rsidRPr="1D6102B3">
              <w:rPr>
                <w:rFonts w:ascii="Times New Roman" w:eastAsia="Times New Roman" w:hAnsi="Times New Roman"/>
                <w:sz w:val="24"/>
                <w:szCs w:val="24"/>
                <w:lang w:val="en-GB"/>
              </w:rPr>
              <w:t>on third countries for batteries and critical raw materials</w:t>
            </w:r>
            <w:r>
              <w:rPr>
                <w:rFonts w:ascii="Times New Roman" w:eastAsia="Times New Roman" w:hAnsi="Times New Roman"/>
                <w:sz w:val="24"/>
                <w:szCs w:val="24"/>
                <w:lang w:val="en-GB"/>
              </w:rPr>
              <w:t>. T</w:t>
            </w:r>
            <w:r w:rsidRPr="1D6102B3">
              <w:rPr>
                <w:rFonts w:ascii="Times New Roman" w:eastAsia="Times New Roman" w:hAnsi="Times New Roman"/>
                <w:sz w:val="24"/>
                <w:szCs w:val="24"/>
                <w:lang w:val="en-GB"/>
              </w:rPr>
              <w:t xml:space="preserve">he automotive industry is affected by geopolitical tensions, unfair competition and increased tariffs. With the upcoming Industrial Accelerator Act, the Commission will </w:t>
            </w:r>
            <w:r>
              <w:rPr>
                <w:rFonts w:ascii="Times New Roman" w:eastAsia="Times New Roman" w:hAnsi="Times New Roman"/>
                <w:sz w:val="24"/>
                <w:szCs w:val="24"/>
                <w:lang w:val="en-GB"/>
              </w:rPr>
              <w:t>propose</w:t>
            </w:r>
            <w:r w:rsidRPr="1D6102B3">
              <w:rPr>
                <w:rFonts w:ascii="Times New Roman" w:eastAsia="Times New Roman" w:hAnsi="Times New Roman"/>
                <w:sz w:val="24"/>
                <w:szCs w:val="24"/>
                <w:lang w:val="en-GB"/>
              </w:rPr>
              <w:t xml:space="preserve"> </w:t>
            </w:r>
            <w:r w:rsidR="00D84751">
              <w:rPr>
                <w:rFonts w:ascii="Times New Roman" w:eastAsia="Times New Roman" w:hAnsi="Times New Roman"/>
                <w:sz w:val="24"/>
                <w:szCs w:val="24"/>
                <w:lang w:val="en-GB"/>
              </w:rPr>
              <w:t>M</w:t>
            </w:r>
            <w:r w:rsidR="00663793">
              <w:rPr>
                <w:rFonts w:ascii="Times New Roman" w:eastAsia="Times New Roman" w:hAnsi="Times New Roman"/>
                <w:sz w:val="24"/>
                <w:szCs w:val="24"/>
                <w:lang w:val="en-GB"/>
              </w:rPr>
              <w:t>ade in Europe</w:t>
            </w:r>
            <w:r w:rsidRPr="1D6102B3">
              <w:rPr>
                <w:rFonts w:ascii="Times New Roman" w:eastAsia="Times New Roman" w:hAnsi="Times New Roman"/>
                <w:sz w:val="24"/>
                <w:szCs w:val="24"/>
                <w:lang w:val="en-GB"/>
              </w:rPr>
              <w:t xml:space="preserve"> and sustainability criteria to foster a European supply chain for the energy intensive industries</w:t>
            </w:r>
            <w:r w:rsidR="004E6190">
              <w:rPr>
                <w:rFonts w:ascii="Times New Roman" w:eastAsia="Times New Roman" w:hAnsi="Times New Roman"/>
                <w:sz w:val="24"/>
                <w:szCs w:val="24"/>
                <w:lang w:val="en-GB"/>
              </w:rPr>
              <w:t>, as well as for strategic</w:t>
            </w:r>
            <w:r w:rsidRPr="1D6102B3">
              <w:rPr>
                <w:rFonts w:ascii="Times New Roman" w:eastAsia="Times New Roman" w:hAnsi="Times New Roman"/>
                <w:sz w:val="24"/>
                <w:szCs w:val="24"/>
                <w:lang w:val="en-GB"/>
              </w:rPr>
              <w:t xml:space="preserve"> and clean tech products</w:t>
            </w:r>
            <w:r>
              <w:rPr>
                <w:rFonts w:ascii="Times New Roman" w:eastAsia="Times New Roman" w:hAnsi="Times New Roman"/>
                <w:sz w:val="24"/>
                <w:szCs w:val="24"/>
                <w:lang w:val="en-GB"/>
              </w:rPr>
              <w:t xml:space="preserve"> in line with international commitments</w:t>
            </w:r>
            <w:r w:rsidRPr="1D6102B3">
              <w:rPr>
                <w:rFonts w:ascii="Times New Roman" w:eastAsia="Times New Roman" w:hAnsi="Times New Roman"/>
                <w:sz w:val="24"/>
                <w:szCs w:val="24"/>
                <w:lang w:val="en-GB"/>
              </w:rPr>
              <w:t>, including in the automotive industry.</w:t>
            </w:r>
            <w:r w:rsidR="008A751E">
              <w:rPr>
                <w:rFonts w:ascii="Times New Roman" w:eastAsia="Times New Roman" w:hAnsi="Times New Roman"/>
                <w:sz w:val="24"/>
                <w:szCs w:val="24"/>
                <w:lang w:val="en-GB"/>
              </w:rPr>
              <w:t xml:space="preserve"> The Commission will also launch the Battery Booster to </w:t>
            </w:r>
            <w:r w:rsidR="004E6190">
              <w:rPr>
                <w:rFonts w:ascii="Times New Roman" w:eastAsia="Times New Roman" w:hAnsi="Times New Roman"/>
                <w:sz w:val="24"/>
                <w:szCs w:val="24"/>
                <w:lang w:val="en-GB"/>
              </w:rPr>
              <w:t xml:space="preserve">support the EU battery industry and </w:t>
            </w:r>
            <w:r w:rsidR="008A751E">
              <w:rPr>
                <w:rFonts w:ascii="Times New Roman" w:eastAsia="Times New Roman" w:hAnsi="Times New Roman"/>
                <w:sz w:val="24"/>
                <w:szCs w:val="24"/>
                <w:lang w:val="en-GB"/>
              </w:rPr>
              <w:t>boost production in Europe.</w:t>
            </w:r>
            <w:r w:rsidRPr="1D6102B3">
              <w:rPr>
                <w:rFonts w:ascii="Times New Roman" w:eastAsia="Times New Roman" w:hAnsi="Times New Roman"/>
                <w:sz w:val="24"/>
                <w:szCs w:val="24"/>
                <w:lang w:val="en-GB"/>
              </w:rPr>
              <w:t xml:space="preserve"> </w:t>
            </w:r>
            <w:r w:rsidR="00B70B8E">
              <w:rPr>
                <w:rFonts w:ascii="Times New Roman" w:eastAsia="Times New Roman" w:hAnsi="Times New Roman"/>
                <w:sz w:val="24"/>
                <w:szCs w:val="24"/>
                <w:lang w:val="en-GB"/>
              </w:rPr>
              <w:t>Moreover, t</w:t>
            </w:r>
            <w:r w:rsidRPr="1D6102B3">
              <w:rPr>
                <w:rFonts w:ascii="Times New Roman" w:eastAsia="Times New Roman" w:hAnsi="Times New Roman"/>
                <w:sz w:val="24"/>
                <w:szCs w:val="24"/>
                <w:lang w:val="en-GB"/>
              </w:rPr>
              <w:t xml:space="preserve">he Commission is committed to enhancing market access and trade diversification by further pursuing </w:t>
            </w:r>
            <w:r>
              <w:rPr>
                <w:rFonts w:ascii="Times New Roman" w:eastAsia="Times New Roman" w:hAnsi="Times New Roman"/>
                <w:sz w:val="24"/>
                <w:szCs w:val="24"/>
                <w:lang w:val="en-GB"/>
              </w:rPr>
              <w:t xml:space="preserve">negotiations of </w:t>
            </w:r>
            <w:r w:rsidRPr="1D6102B3">
              <w:rPr>
                <w:rFonts w:ascii="Times New Roman" w:eastAsia="Times New Roman" w:hAnsi="Times New Roman"/>
                <w:sz w:val="24"/>
                <w:szCs w:val="24"/>
                <w:lang w:val="en-GB"/>
              </w:rPr>
              <w:t xml:space="preserve">Free Trade Agreements and mutually beneficial international partnerships to diversify supply chains. </w:t>
            </w:r>
            <w:r w:rsidR="00B70B8E">
              <w:rPr>
                <w:rFonts w:ascii="Times New Roman" w:eastAsia="Times New Roman" w:hAnsi="Times New Roman"/>
                <w:sz w:val="24"/>
                <w:szCs w:val="24"/>
                <w:lang w:val="en-GB"/>
              </w:rPr>
              <w:t>In addition, t</w:t>
            </w:r>
            <w:r w:rsidRPr="1D6102B3">
              <w:rPr>
                <w:rFonts w:ascii="Times New Roman" w:eastAsia="Times New Roman" w:hAnsi="Times New Roman"/>
                <w:sz w:val="24"/>
                <w:szCs w:val="24"/>
                <w:lang w:val="en-GB"/>
              </w:rPr>
              <w:t xml:space="preserve">he Commission will engage with Member States </w:t>
            </w:r>
            <w:r>
              <w:rPr>
                <w:rFonts w:ascii="Times New Roman" w:eastAsia="Times New Roman" w:hAnsi="Times New Roman"/>
                <w:sz w:val="24"/>
                <w:szCs w:val="24"/>
                <w:lang w:val="en-GB"/>
              </w:rPr>
              <w:t xml:space="preserve">and industry </w:t>
            </w:r>
            <w:r w:rsidRPr="1D6102B3">
              <w:rPr>
                <w:rFonts w:ascii="Times New Roman" w:eastAsia="Times New Roman" w:hAnsi="Times New Roman"/>
                <w:sz w:val="24"/>
                <w:szCs w:val="24"/>
                <w:lang w:val="en-GB"/>
              </w:rPr>
              <w:t>on the approach applied to preferential rules of origin and remains committed to making use of Trade Defence Instruments and the Foreign Subsidies Regulations</w:t>
            </w:r>
            <w:r w:rsidR="004E6190">
              <w:rPr>
                <w:rFonts w:ascii="Times New Roman" w:eastAsia="Times New Roman" w:hAnsi="Times New Roman"/>
                <w:sz w:val="24"/>
                <w:szCs w:val="24"/>
                <w:lang w:val="en-GB"/>
              </w:rPr>
              <w:t>,</w:t>
            </w:r>
            <w:r w:rsidRPr="1D6102B3">
              <w:rPr>
                <w:rFonts w:ascii="Times New Roman" w:eastAsia="Times New Roman" w:hAnsi="Times New Roman"/>
                <w:sz w:val="24"/>
                <w:szCs w:val="24"/>
                <w:lang w:val="en-GB"/>
              </w:rPr>
              <w:t xml:space="preserve"> if necessary</w:t>
            </w:r>
            <w:r w:rsidR="004E6190">
              <w:rPr>
                <w:rFonts w:ascii="Times New Roman" w:eastAsia="Times New Roman" w:hAnsi="Times New Roman"/>
                <w:sz w:val="24"/>
                <w:szCs w:val="24"/>
                <w:lang w:val="en-GB"/>
              </w:rPr>
              <w:t>,</w:t>
            </w:r>
            <w:r w:rsidRPr="1D6102B3">
              <w:rPr>
                <w:rFonts w:ascii="Times New Roman" w:eastAsia="Times New Roman" w:hAnsi="Times New Roman"/>
                <w:sz w:val="24"/>
                <w:szCs w:val="24"/>
                <w:lang w:val="en-GB"/>
              </w:rPr>
              <w:t xml:space="preserve"> to address unfair practices. The Commission is also </w:t>
            </w:r>
            <w:r>
              <w:rPr>
                <w:rFonts w:ascii="Times New Roman" w:eastAsia="Times New Roman" w:hAnsi="Times New Roman"/>
                <w:sz w:val="24"/>
                <w:szCs w:val="24"/>
                <w:lang w:val="en-GB"/>
              </w:rPr>
              <w:t>exploring</w:t>
            </w:r>
            <w:r w:rsidRPr="1D6102B3">
              <w:rPr>
                <w:rFonts w:ascii="Times New Roman" w:eastAsia="Times New Roman" w:hAnsi="Times New Roman"/>
                <w:sz w:val="24"/>
                <w:szCs w:val="24"/>
                <w:lang w:val="en-GB"/>
              </w:rPr>
              <w:t xml:space="preserve"> conditionalities for foreign direct investment</w:t>
            </w:r>
            <w:r w:rsidR="004E6190">
              <w:rPr>
                <w:rFonts w:ascii="Times New Roman" w:eastAsia="Times New Roman" w:hAnsi="Times New Roman"/>
                <w:sz w:val="24"/>
                <w:szCs w:val="24"/>
                <w:lang w:val="en-GB"/>
              </w:rPr>
              <w:t xml:space="preserve"> to </w:t>
            </w:r>
            <w:r w:rsidR="00B612A4">
              <w:rPr>
                <w:rFonts w:ascii="Times New Roman" w:eastAsia="Times New Roman" w:hAnsi="Times New Roman"/>
                <w:sz w:val="24"/>
                <w:szCs w:val="24"/>
                <w:lang w:val="en-GB"/>
              </w:rPr>
              <w:t>en</w:t>
            </w:r>
            <w:r w:rsidR="004E6190">
              <w:rPr>
                <w:rFonts w:ascii="Times New Roman" w:eastAsia="Times New Roman" w:hAnsi="Times New Roman"/>
                <w:sz w:val="24"/>
                <w:szCs w:val="24"/>
                <w:lang w:val="en-GB"/>
              </w:rPr>
              <w:t xml:space="preserve">sure their value-adding nature </w:t>
            </w:r>
            <w:r w:rsidR="00F6677F">
              <w:rPr>
                <w:rFonts w:ascii="Times New Roman" w:eastAsia="Times New Roman" w:hAnsi="Times New Roman"/>
                <w:sz w:val="24"/>
                <w:szCs w:val="24"/>
                <w:lang w:val="en-GB"/>
              </w:rPr>
              <w:t>and integration with existing EU value chains</w:t>
            </w:r>
            <w:r w:rsidRPr="1D6102B3">
              <w:rPr>
                <w:rFonts w:ascii="Times New Roman" w:eastAsia="Times New Roman" w:hAnsi="Times New Roman"/>
                <w:sz w:val="24"/>
                <w:szCs w:val="24"/>
                <w:lang w:val="en-GB"/>
              </w:rPr>
              <w:t>. Furthermore, the Commission agrees on the need for regulatory simplification.</w:t>
            </w:r>
          </w:p>
        </w:tc>
      </w:tr>
    </w:tbl>
    <w:p w14:paraId="6AF07B14" w14:textId="26AEAB66" w:rsidR="004F6117" w:rsidRPr="00765D19" w:rsidRDefault="004F6117" w:rsidP="00751910">
      <w:pPr>
        <w:rPr>
          <w:rFonts w:ascii="Times New Roman" w:hAnsi="Times New Roman"/>
          <w:b/>
          <w:strike/>
          <w:sz w:val="2"/>
          <w:szCs w:val="2"/>
          <w:u w:val="single"/>
        </w:rPr>
      </w:pPr>
    </w:p>
    <w:sectPr w:rsidR="004F6117" w:rsidRPr="00765D1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CDE1" w14:textId="77777777" w:rsidR="00DB7B02" w:rsidRDefault="00DB7B02" w:rsidP="00FF63EA">
      <w:pPr>
        <w:spacing w:after="0" w:line="240" w:lineRule="auto"/>
      </w:pPr>
      <w:r>
        <w:separator/>
      </w:r>
    </w:p>
  </w:endnote>
  <w:endnote w:type="continuationSeparator" w:id="0">
    <w:p w14:paraId="7621AABF" w14:textId="77777777" w:rsidR="00DB7B02" w:rsidRDefault="00DB7B02" w:rsidP="00FF63EA">
      <w:pPr>
        <w:spacing w:after="0" w:line="240" w:lineRule="auto"/>
      </w:pPr>
      <w:r>
        <w:continuationSeparator/>
      </w:r>
    </w:p>
  </w:endnote>
  <w:endnote w:type="continuationNotice" w:id="1">
    <w:p w14:paraId="163481F8" w14:textId="77777777" w:rsidR="00DB7B02" w:rsidRDefault="00DB7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3D2A" w14:textId="77777777" w:rsidR="00DE7322" w:rsidRDefault="00DE7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BE7A" w14:textId="77777777" w:rsidR="00DE7322" w:rsidRPr="00DE7322" w:rsidRDefault="00DE7322">
    <w:pPr>
      <w:pStyle w:val="Footer"/>
      <w:jc w:val="center"/>
      <w:rPr>
        <w:rFonts w:ascii="Times New Roman" w:hAnsi="Times New Roman"/>
        <w:caps/>
        <w:noProof/>
      </w:rPr>
    </w:pPr>
    <w:r w:rsidRPr="00DE7322">
      <w:rPr>
        <w:rFonts w:ascii="Times New Roman" w:hAnsi="Times New Roman"/>
        <w:caps/>
      </w:rPr>
      <w:fldChar w:fldCharType="begin"/>
    </w:r>
    <w:r w:rsidRPr="00DE7322">
      <w:rPr>
        <w:rFonts w:ascii="Times New Roman" w:hAnsi="Times New Roman"/>
        <w:caps/>
      </w:rPr>
      <w:instrText xml:space="preserve"> PAGE   \* MERGEFORMAT </w:instrText>
    </w:r>
    <w:r w:rsidRPr="00DE7322">
      <w:rPr>
        <w:rFonts w:ascii="Times New Roman" w:hAnsi="Times New Roman"/>
        <w:caps/>
      </w:rPr>
      <w:fldChar w:fldCharType="separate"/>
    </w:r>
    <w:r w:rsidRPr="00DE7322">
      <w:rPr>
        <w:rFonts w:ascii="Times New Roman" w:hAnsi="Times New Roman"/>
        <w:caps/>
        <w:noProof/>
      </w:rPr>
      <w:t>2</w:t>
    </w:r>
    <w:r w:rsidRPr="00DE7322">
      <w:rPr>
        <w:rFonts w:ascii="Times New Roman" w:hAnsi="Times New Roman"/>
        <w:caps/>
        <w:noProof/>
      </w:rPr>
      <w:fldChar w:fldCharType="end"/>
    </w:r>
  </w:p>
  <w:p w14:paraId="5ADF41F8" w14:textId="77777777" w:rsidR="00DE7322" w:rsidRDefault="00DE7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49B1" w14:textId="77777777" w:rsidR="00DE7322" w:rsidRDefault="00DE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8CAC" w14:textId="77777777" w:rsidR="00DB7B02" w:rsidRDefault="00DB7B02" w:rsidP="00FF63EA">
      <w:pPr>
        <w:spacing w:after="0" w:line="240" w:lineRule="auto"/>
      </w:pPr>
      <w:r>
        <w:separator/>
      </w:r>
    </w:p>
  </w:footnote>
  <w:footnote w:type="continuationSeparator" w:id="0">
    <w:p w14:paraId="47602139" w14:textId="77777777" w:rsidR="00DB7B02" w:rsidRDefault="00DB7B02" w:rsidP="00FF63EA">
      <w:pPr>
        <w:spacing w:after="0" w:line="240" w:lineRule="auto"/>
      </w:pPr>
      <w:r>
        <w:continuationSeparator/>
      </w:r>
    </w:p>
  </w:footnote>
  <w:footnote w:type="continuationNotice" w:id="1">
    <w:p w14:paraId="412B82CE" w14:textId="77777777" w:rsidR="00DB7B02" w:rsidRDefault="00DB7B02">
      <w:pPr>
        <w:spacing w:after="0" w:line="240" w:lineRule="auto"/>
      </w:pPr>
    </w:p>
  </w:footnote>
  <w:footnote w:id="2">
    <w:p w14:paraId="7BABB2FB" w14:textId="6209374B" w:rsidR="009F1F71" w:rsidRPr="00DC5D78" w:rsidRDefault="009F1F71" w:rsidP="00831296">
      <w:pPr>
        <w:pStyle w:val="FootnoteText"/>
        <w:widowControl w:val="0"/>
        <w:spacing w:after="0" w:line="240" w:lineRule="auto"/>
        <w:ind w:right="-426" w:hanging="284"/>
        <w:jc w:val="both"/>
        <w:rPr>
          <w:rFonts w:ascii="Times New Roman" w:hAnsi="Times New Roman"/>
          <w:lang w:val="pt-BR"/>
        </w:rPr>
      </w:pPr>
      <w:r w:rsidRPr="00DC5D78">
        <w:rPr>
          <w:rStyle w:val="FootnoteReference"/>
          <w:rFonts w:ascii="Times New Roman" w:hAnsi="Times New Roman"/>
        </w:rPr>
        <w:footnoteRef/>
      </w:r>
      <w:r w:rsidRPr="00DC5D78">
        <w:rPr>
          <w:rFonts w:ascii="Times New Roman" w:hAnsi="Times New Roman"/>
          <w:lang w:val="pt-BR"/>
        </w:rPr>
        <w:t xml:space="preserve"> </w:t>
      </w:r>
      <w:r w:rsidR="008436AE" w:rsidRPr="00DC5D78">
        <w:rPr>
          <w:rFonts w:ascii="Times New Roman" w:hAnsi="Times New Roman"/>
          <w:lang w:val="pt-BR"/>
        </w:rPr>
        <w:tab/>
      </w:r>
      <w:r w:rsidRPr="00DC5D78">
        <w:rPr>
          <w:rFonts w:ascii="Times New Roman" w:hAnsi="Times New Roman"/>
          <w:lang w:val="pt-BR"/>
        </w:rPr>
        <w:t>COM(2025) 95 final</w:t>
      </w:r>
      <w:r w:rsidR="00B36E61" w:rsidRPr="00DC5D78">
        <w:rPr>
          <w:rFonts w:ascii="Times New Roman" w:hAnsi="Times New Roman"/>
          <w:lang w:val="pt-BR"/>
        </w:rPr>
        <w:t xml:space="preserve"> (</w:t>
      </w:r>
      <w:r w:rsidR="00CF38A8" w:rsidRPr="00765D19">
        <w:rPr>
          <w:rFonts w:ascii="Times New Roman" w:hAnsi="Times New Roman"/>
        </w:rPr>
        <w:fldChar w:fldCharType="begin"/>
      </w:r>
      <w:r w:rsidR="00CF38A8" w:rsidRPr="00765D19">
        <w:rPr>
          <w:rFonts w:ascii="Times New Roman" w:hAnsi="Times New Roman"/>
        </w:rPr>
        <w:instrText>HYPERLINK "https://eur-lex.europa.eu/legal-content/EN/TXT/PDF/?uri=celex:52025DC0095"</w:instrText>
      </w:r>
      <w:r w:rsidR="00CF38A8" w:rsidRPr="00765D19">
        <w:rPr>
          <w:rFonts w:ascii="Times New Roman" w:hAnsi="Times New Roman"/>
        </w:rPr>
      </w:r>
      <w:r w:rsidR="00CF38A8" w:rsidRPr="00765D19">
        <w:rPr>
          <w:rFonts w:ascii="Times New Roman" w:hAnsi="Times New Roman"/>
        </w:rPr>
        <w:fldChar w:fldCharType="separate"/>
      </w:r>
      <w:r w:rsidR="00CF38A8" w:rsidRPr="00DC5D78">
        <w:rPr>
          <w:rStyle w:val="Hyperlink"/>
          <w:rFonts w:ascii="Times New Roman" w:hAnsi="Times New Roman"/>
          <w:lang w:val="pt-BR"/>
        </w:rPr>
        <w:t>eur-lex.europa.eu/legal-content/EN/TXT/PDF/?uri=celex:52025DC0095</w:t>
      </w:r>
      <w:r w:rsidR="00CF38A8" w:rsidRPr="00765D19">
        <w:rPr>
          <w:rFonts w:ascii="Times New Roman" w:hAnsi="Times New Roman"/>
        </w:rPr>
        <w:fldChar w:fldCharType="end"/>
      </w:r>
      <w:r w:rsidR="00B36E61" w:rsidRPr="00DC5D78">
        <w:rPr>
          <w:rFonts w:ascii="Times New Roman" w:hAnsi="Times New Roman"/>
          <w:lang w:val="pt-BR"/>
        </w:rPr>
        <w:t>)</w:t>
      </w:r>
      <w:r w:rsidR="001D7E64" w:rsidRPr="00DC5D78">
        <w:rPr>
          <w:rFonts w:ascii="Times New Roman" w:hAnsi="Times New Roman"/>
          <w:lang w:val="pt-BR"/>
        </w:rPr>
        <w:t>.</w:t>
      </w:r>
    </w:p>
  </w:footnote>
  <w:footnote w:id="3">
    <w:p w14:paraId="1FCB1D91" w14:textId="787FA8CA" w:rsidR="00060989" w:rsidRPr="00DC5D78" w:rsidRDefault="00D01DB4" w:rsidP="00831296">
      <w:pPr>
        <w:pStyle w:val="FootnoteText"/>
        <w:widowControl w:val="0"/>
        <w:spacing w:after="0" w:line="240" w:lineRule="auto"/>
        <w:ind w:right="-426" w:hanging="284"/>
        <w:jc w:val="both"/>
        <w:rPr>
          <w:rFonts w:ascii="Times New Roman" w:hAnsi="Times New Roman"/>
          <w:lang w:val="pt-BR"/>
        </w:rPr>
      </w:pPr>
      <w:r w:rsidRPr="00DC5D78">
        <w:rPr>
          <w:rStyle w:val="FootnoteReference"/>
          <w:rFonts w:ascii="Times New Roman" w:hAnsi="Times New Roman"/>
        </w:rPr>
        <w:footnoteRef/>
      </w:r>
      <w:r w:rsidRPr="00DC5D78">
        <w:rPr>
          <w:rFonts w:ascii="Times New Roman" w:hAnsi="Times New Roman"/>
          <w:lang w:val="pt-BR"/>
        </w:rPr>
        <w:t xml:space="preserve"> </w:t>
      </w:r>
      <w:r w:rsidR="008436AE" w:rsidRPr="00DC5D78">
        <w:rPr>
          <w:rFonts w:ascii="Times New Roman" w:hAnsi="Times New Roman"/>
          <w:lang w:val="pt-BR"/>
        </w:rPr>
        <w:tab/>
      </w:r>
      <w:r w:rsidRPr="00DC5D78">
        <w:rPr>
          <w:rFonts w:ascii="Times New Roman" w:hAnsi="Times New Roman"/>
          <w:lang w:val="pt-BR"/>
        </w:rPr>
        <w:t>COM/2025/30</w:t>
      </w:r>
      <w:r w:rsidR="009F1F71" w:rsidRPr="00DC5D78">
        <w:rPr>
          <w:rFonts w:ascii="Times New Roman" w:hAnsi="Times New Roman"/>
          <w:lang w:val="pt-BR"/>
        </w:rPr>
        <w:t xml:space="preserve"> final</w:t>
      </w:r>
      <w:r w:rsidR="00060989" w:rsidRPr="00DC5D78">
        <w:rPr>
          <w:rFonts w:ascii="Times New Roman" w:hAnsi="Times New Roman"/>
          <w:lang w:val="pt-BR"/>
        </w:rPr>
        <w:t xml:space="preserve"> </w:t>
      </w:r>
      <w:r w:rsidR="00060989" w:rsidRPr="00DC5D78">
        <w:rPr>
          <w:rFonts w:ascii="Times New Roman" w:hAnsi="Times New Roman"/>
          <w:lang w:val="pt-BR"/>
        </w:rPr>
        <w:t>(</w:t>
      </w:r>
      <w:r w:rsidR="00060989" w:rsidRPr="00765D19">
        <w:rPr>
          <w:rFonts w:ascii="Times New Roman" w:hAnsi="Times New Roman"/>
        </w:rPr>
        <w:fldChar w:fldCharType="begin"/>
      </w:r>
      <w:r w:rsidR="00060989" w:rsidRPr="00765D19">
        <w:rPr>
          <w:rFonts w:ascii="Times New Roman" w:hAnsi="Times New Roman"/>
        </w:rPr>
        <w:instrText>HYPERLINK "https://eur-lex.europa.eu/legal-content/EN/TXT/?uri=CELEX%3A52025DC0030"</w:instrText>
      </w:r>
      <w:r w:rsidR="00060989" w:rsidRPr="00765D19">
        <w:rPr>
          <w:rFonts w:ascii="Times New Roman" w:hAnsi="Times New Roman"/>
        </w:rPr>
      </w:r>
      <w:r w:rsidR="00060989" w:rsidRPr="00765D19">
        <w:rPr>
          <w:rFonts w:ascii="Times New Roman" w:hAnsi="Times New Roman"/>
        </w:rPr>
        <w:fldChar w:fldCharType="separate"/>
      </w:r>
      <w:r w:rsidR="00060989" w:rsidRPr="00DC5D78">
        <w:rPr>
          <w:rStyle w:val="Hyperlink"/>
          <w:rFonts w:ascii="Times New Roman" w:hAnsi="Times New Roman"/>
          <w:lang w:val="pt-BR"/>
        </w:rPr>
        <w:t>https://eur-lex.europa.eu/legal-content/EN/TXT/?uri=CELEX%3A52025DC0030</w:t>
      </w:r>
      <w:r w:rsidR="00060989" w:rsidRPr="00765D19">
        <w:rPr>
          <w:rFonts w:ascii="Times New Roman" w:hAnsi="Times New Roman"/>
        </w:rPr>
        <w:fldChar w:fldCharType="end"/>
      </w:r>
      <w:r w:rsidR="00060989" w:rsidRPr="00DC5D78">
        <w:rPr>
          <w:rFonts w:ascii="Times New Roman" w:hAnsi="Times New Roman"/>
          <w:lang w:val="pt-BR"/>
        </w:rPr>
        <w:t>)</w:t>
      </w:r>
      <w:r w:rsidR="001D7E64" w:rsidRPr="00DC5D78">
        <w:rPr>
          <w:rFonts w:ascii="Times New Roman" w:hAnsi="Times New Roman"/>
          <w:lang w:val="pt-BR"/>
        </w:rPr>
        <w:t>.</w:t>
      </w:r>
    </w:p>
  </w:footnote>
  <w:footnote w:id="4">
    <w:p w14:paraId="5746CB6A" w14:textId="2A314020" w:rsidR="00060989" w:rsidRPr="00446D4D" w:rsidRDefault="00060989" w:rsidP="00831296">
      <w:pPr>
        <w:pStyle w:val="FootnoteText"/>
        <w:widowControl w:val="0"/>
        <w:spacing w:after="0" w:line="240" w:lineRule="auto"/>
        <w:ind w:right="-426" w:hanging="284"/>
        <w:jc w:val="both"/>
        <w:rPr>
          <w:lang w:val="pt-BR"/>
        </w:rPr>
      </w:pPr>
      <w:r w:rsidRPr="00DC5D78">
        <w:rPr>
          <w:rStyle w:val="FootnoteReference"/>
          <w:rFonts w:ascii="Times New Roman" w:hAnsi="Times New Roman"/>
        </w:rPr>
        <w:footnoteRef/>
      </w:r>
      <w:r w:rsidRPr="00DC5D78">
        <w:rPr>
          <w:rFonts w:ascii="Times New Roman" w:hAnsi="Times New Roman"/>
          <w:lang w:val="pt-BR"/>
        </w:rPr>
        <w:t xml:space="preserve"> </w:t>
      </w:r>
      <w:r w:rsidR="008436AE" w:rsidRPr="00DC5D78">
        <w:rPr>
          <w:rFonts w:ascii="Times New Roman" w:hAnsi="Times New Roman"/>
          <w:lang w:val="pt-BR"/>
        </w:rPr>
        <w:tab/>
      </w:r>
      <w:r w:rsidR="0023036A" w:rsidRPr="00DC5D78">
        <w:rPr>
          <w:rFonts w:ascii="Times New Roman" w:hAnsi="Times New Roman"/>
          <w:lang w:val="pt-BR"/>
        </w:rPr>
        <w:t>COM/2025/85</w:t>
      </w:r>
      <w:r w:rsidR="009F1F71" w:rsidRPr="00DC5D78">
        <w:rPr>
          <w:rFonts w:ascii="Times New Roman" w:hAnsi="Times New Roman"/>
          <w:lang w:val="pt-BR"/>
        </w:rPr>
        <w:t xml:space="preserve"> final</w:t>
      </w:r>
      <w:r w:rsidR="0023036A" w:rsidRPr="00DC5D78">
        <w:rPr>
          <w:rFonts w:ascii="Times New Roman" w:hAnsi="Times New Roman"/>
          <w:lang w:val="pt-BR"/>
        </w:rPr>
        <w:t xml:space="preserve"> </w:t>
      </w:r>
      <w:r w:rsidR="0023036A" w:rsidRPr="00DC5D78">
        <w:rPr>
          <w:rFonts w:ascii="Times New Roman" w:hAnsi="Times New Roman"/>
          <w:lang w:val="pt-BR"/>
        </w:rPr>
        <w:t>(</w:t>
      </w:r>
      <w:r w:rsidR="00446D4D" w:rsidRPr="00765D19">
        <w:rPr>
          <w:rFonts w:ascii="Times New Roman" w:hAnsi="Times New Roman"/>
        </w:rPr>
        <w:fldChar w:fldCharType="begin"/>
      </w:r>
      <w:r w:rsidR="00446D4D" w:rsidRPr="00765D19">
        <w:rPr>
          <w:rFonts w:ascii="Times New Roman" w:hAnsi="Times New Roman"/>
        </w:rPr>
        <w:instrText>HYPERLINK "https://eur-lex.europa.eu/legal-content/EN/TXT/?uri=celex:52025DC0085"</w:instrText>
      </w:r>
      <w:r w:rsidR="00446D4D" w:rsidRPr="00765D19">
        <w:rPr>
          <w:rFonts w:ascii="Times New Roman" w:hAnsi="Times New Roman"/>
        </w:rPr>
      </w:r>
      <w:r w:rsidR="00446D4D" w:rsidRPr="00765D19">
        <w:rPr>
          <w:rFonts w:ascii="Times New Roman" w:hAnsi="Times New Roman"/>
        </w:rPr>
        <w:fldChar w:fldCharType="separate"/>
      </w:r>
      <w:r w:rsidR="00446D4D" w:rsidRPr="00DC5D78">
        <w:rPr>
          <w:rStyle w:val="Hyperlink"/>
          <w:rFonts w:ascii="Times New Roman" w:hAnsi="Times New Roman"/>
          <w:lang w:val="pt-BR"/>
        </w:rPr>
        <w:t>https://eur-lex.europa.eu/legal-content/EN/TXT/?uri=celex:52025DC0085</w:t>
      </w:r>
      <w:r w:rsidR="00446D4D" w:rsidRPr="00765D19">
        <w:rPr>
          <w:rFonts w:ascii="Times New Roman" w:hAnsi="Times New Roman"/>
        </w:rPr>
        <w:fldChar w:fldCharType="end"/>
      </w:r>
      <w:r w:rsidR="00446D4D" w:rsidRPr="00DC5D78">
        <w:rPr>
          <w:rFonts w:ascii="Times New Roman" w:hAnsi="Times New Roman"/>
          <w:lang w:val="pt-BR"/>
        </w:rPr>
        <w:t>)</w:t>
      </w:r>
      <w:r w:rsidR="001D7E64" w:rsidRPr="00DC5D78">
        <w:rPr>
          <w:rFonts w:ascii="Times New Roman" w:hAnsi="Times New Roman"/>
          <w:lang w:val="pt-BR"/>
        </w:rPr>
        <w:t>.</w:t>
      </w:r>
    </w:p>
  </w:footnote>
  <w:footnote w:id="5">
    <w:p w14:paraId="3462D048" w14:textId="731DD6F0" w:rsidR="00B51E03" w:rsidRPr="006D3B68" w:rsidRDefault="00B51E03" w:rsidP="00831296">
      <w:pPr>
        <w:widowControl w:val="0"/>
        <w:spacing w:after="0" w:line="240" w:lineRule="auto"/>
        <w:ind w:left="-142" w:right="-425" w:hanging="284"/>
        <w:jc w:val="both"/>
        <w:rPr>
          <w:rFonts w:ascii="Times New Roman" w:hAnsi="Times New Roman"/>
          <w:sz w:val="20"/>
          <w:szCs w:val="20"/>
          <w:lang w:val="fr-FR"/>
        </w:rPr>
      </w:pPr>
      <w:r w:rsidRPr="006D3B68">
        <w:rPr>
          <w:rStyle w:val="FootnoteReference"/>
          <w:rFonts w:ascii="Times New Roman" w:hAnsi="Times New Roman"/>
          <w:sz w:val="20"/>
          <w:szCs w:val="20"/>
        </w:rPr>
        <w:footnoteRef/>
      </w:r>
      <w:r w:rsidRPr="006D3B68">
        <w:rPr>
          <w:rFonts w:ascii="Times New Roman" w:hAnsi="Times New Roman"/>
          <w:sz w:val="20"/>
          <w:szCs w:val="20"/>
          <w:lang w:val="fr-FR"/>
        </w:rPr>
        <w:t xml:space="preserve"> </w:t>
      </w:r>
      <w:r w:rsidR="008436AE" w:rsidRPr="006D3B68">
        <w:rPr>
          <w:rFonts w:ascii="Times New Roman" w:hAnsi="Times New Roman"/>
          <w:sz w:val="20"/>
          <w:szCs w:val="20"/>
          <w:lang w:val="fr-FR"/>
        </w:rPr>
        <w:tab/>
      </w:r>
      <w:r w:rsidRPr="006D3B68">
        <w:rPr>
          <w:rFonts w:ascii="Times New Roman" w:eastAsia="Times New Roman" w:hAnsi="Times New Roman"/>
          <w:sz w:val="20"/>
          <w:szCs w:val="20"/>
          <w:lang w:val="fr-FR"/>
        </w:rPr>
        <w:t xml:space="preserve">Commission </w:t>
      </w:r>
      <w:proofErr w:type="spellStart"/>
      <w:r w:rsidRPr="006D3B68">
        <w:rPr>
          <w:rFonts w:ascii="Times New Roman" w:eastAsia="Times New Roman" w:hAnsi="Times New Roman"/>
          <w:sz w:val="20"/>
          <w:szCs w:val="20"/>
          <w:lang w:val="fr-FR"/>
        </w:rPr>
        <w:t>Recommendation</w:t>
      </w:r>
      <w:proofErr w:type="spellEnd"/>
      <w:r w:rsidRPr="006D3B68">
        <w:rPr>
          <w:rFonts w:ascii="Times New Roman" w:eastAsia="Times New Roman" w:hAnsi="Times New Roman"/>
          <w:sz w:val="20"/>
          <w:szCs w:val="20"/>
          <w:lang w:val="fr-FR"/>
        </w:rPr>
        <w:t xml:space="preserve"> (EU) 2025/1021</w:t>
      </w:r>
      <w:r w:rsidR="00D04839" w:rsidRPr="006D3B68">
        <w:rPr>
          <w:rFonts w:ascii="Times New Roman" w:eastAsia="Times New Roman" w:hAnsi="Times New Roman"/>
          <w:sz w:val="20"/>
          <w:szCs w:val="20"/>
          <w:lang w:val="fr-FR"/>
        </w:rPr>
        <w:t xml:space="preserve"> </w:t>
      </w:r>
      <w:r w:rsidRPr="006D3B68">
        <w:rPr>
          <w:rFonts w:ascii="Times New Roman" w:eastAsia="Times New Roman" w:hAnsi="Times New Roman"/>
          <w:sz w:val="20"/>
          <w:szCs w:val="20"/>
          <w:lang w:val="fr-FR"/>
        </w:rPr>
        <w:t>(</w:t>
      </w:r>
      <w:r w:rsidR="00CF38A8">
        <w:fldChar w:fldCharType="begin"/>
      </w:r>
      <w:r w:rsidR="00CF38A8" w:rsidRPr="00C049D9">
        <w:rPr>
          <w:lang w:val="fr-BE"/>
          <w:rPrChange w:id="0" w:author="ROSSI Simona (SG-EXT)" w:date="2026-01-09T12:02:00Z" w16du:dateUtc="2026-01-09T11:02:00Z">
            <w:rPr/>
          </w:rPrChange>
        </w:rPr>
        <w:instrText>HYPERLINK "https://eur-lex.europa.eu/legal-content/EN/TXT/PDF/?uri=OJ:L_202501021"</w:instrText>
      </w:r>
      <w:r w:rsidR="00CF38A8">
        <w:fldChar w:fldCharType="separate"/>
      </w:r>
      <w:r w:rsidR="00CF38A8" w:rsidRPr="006D3B68">
        <w:rPr>
          <w:rStyle w:val="Hyperlink"/>
          <w:rFonts w:ascii="Times New Roman" w:eastAsia="Times New Roman" w:hAnsi="Times New Roman"/>
          <w:sz w:val="20"/>
          <w:szCs w:val="20"/>
          <w:lang w:val="fr-FR"/>
        </w:rPr>
        <w:t>https://eur-lex.europa.eu/legal-content/EN/TXT/PDF/?uri=OJ:L_202501021</w:t>
      </w:r>
      <w:r w:rsidR="00CF38A8">
        <w:fldChar w:fldCharType="end"/>
      </w:r>
      <w:r w:rsidRPr="006D3B68">
        <w:rPr>
          <w:rFonts w:ascii="Times New Roman" w:eastAsia="Times New Roman" w:hAnsi="Times New Roman"/>
          <w:sz w:val="20"/>
          <w:szCs w:val="20"/>
          <w:lang w:val="fr-FR"/>
        </w:rPr>
        <w:t>)</w:t>
      </w:r>
      <w:r w:rsidR="001D7E64" w:rsidRPr="006D3B68">
        <w:rPr>
          <w:rFonts w:ascii="Times New Roman" w:eastAsia="Times New Roman" w:hAnsi="Times New Roman"/>
          <w:sz w:val="20"/>
          <w:szCs w:val="20"/>
          <w:lang w:val="fr-FR"/>
        </w:rPr>
        <w:t>.</w:t>
      </w:r>
    </w:p>
  </w:footnote>
  <w:footnote w:id="6">
    <w:p w14:paraId="6565527F" w14:textId="0205C8E7" w:rsidR="00071B7A" w:rsidRPr="006D3B68" w:rsidRDefault="00071B7A" w:rsidP="00831296">
      <w:pPr>
        <w:pStyle w:val="FootnoteText"/>
        <w:widowControl w:val="0"/>
        <w:spacing w:after="0" w:line="240" w:lineRule="auto"/>
        <w:ind w:left="-141" w:right="-426" w:hanging="284"/>
        <w:jc w:val="both"/>
        <w:rPr>
          <w:rFonts w:ascii="Times New Roman" w:hAnsi="Times New Roman"/>
        </w:rPr>
      </w:pPr>
      <w:r w:rsidRPr="006D3B68">
        <w:rPr>
          <w:rStyle w:val="FootnoteReference"/>
          <w:rFonts w:ascii="Times New Roman" w:hAnsi="Times New Roman"/>
        </w:rPr>
        <w:footnoteRef/>
      </w:r>
      <w:r w:rsidRPr="006D3B68">
        <w:rPr>
          <w:rFonts w:ascii="Times New Roman" w:hAnsi="Times New Roman"/>
        </w:rPr>
        <w:t xml:space="preserve"> </w:t>
      </w:r>
      <w:r w:rsidRPr="006D3B68">
        <w:rPr>
          <w:rFonts w:ascii="Times New Roman" w:hAnsi="Times New Roman"/>
        </w:rPr>
        <w:tab/>
        <w:t>Council Recommendation of 12 June 2023 on strengthening social dialogue in the European Union (</w:t>
      </w:r>
      <w:hyperlink r:id="rId1" w:history="1">
        <w:r w:rsidRPr="006D3B68">
          <w:rPr>
            <w:rStyle w:val="Hyperlink"/>
            <w:rFonts w:ascii="Times New Roman" w:hAnsi="Times New Roman"/>
          </w:rPr>
          <w:t>http://data.europa.eu/eli/C/2023/1389/oj</w:t>
        </w:r>
      </w:hyperlink>
      <w:r w:rsidRPr="006D3B6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BBFB" w14:textId="77777777" w:rsidR="00DE7322" w:rsidRDefault="00DE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A3A8" w14:textId="77777777" w:rsidR="00DE7322" w:rsidRDefault="00DE7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E198" w14:textId="77777777" w:rsidR="00DE7322" w:rsidRDefault="00DE732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SI Simona (SG-EXT)">
    <w15:presenceInfo w15:providerId="AD" w15:userId="S::Simona.ROSSI@ext.ec.europa.eu::03d79afa-981d-4143-a7b7-3a0747e471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6355"/>
    <w:rsid w:val="00012A37"/>
    <w:rsid w:val="000133E1"/>
    <w:rsid w:val="00046B15"/>
    <w:rsid w:val="00050DC7"/>
    <w:rsid w:val="00060989"/>
    <w:rsid w:val="00071B7A"/>
    <w:rsid w:val="00076109"/>
    <w:rsid w:val="0007730C"/>
    <w:rsid w:val="00077C4F"/>
    <w:rsid w:val="000F5FD8"/>
    <w:rsid w:val="000F7C50"/>
    <w:rsid w:val="001167C0"/>
    <w:rsid w:val="00133460"/>
    <w:rsid w:val="00135C2A"/>
    <w:rsid w:val="00146988"/>
    <w:rsid w:val="001A1421"/>
    <w:rsid w:val="001A19BF"/>
    <w:rsid w:val="001B0E0B"/>
    <w:rsid w:val="001C0177"/>
    <w:rsid w:val="001C16D1"/>
    <w:rsid w:val="001C4138"/>
    <w:rsid w:val="001C748C"/>
    <w:rsid w:val="001D7E64"/>
    <w:rsid w:val="001E084F"/>
    <w:rsid w:val="001F2EC6"/>
    <w:rsid w:val="001F65D0"/>
    <w:rsid w:val="002178ED"/>
    <w:rsid w:val="00217E59"/>
    <w:rsid w:val="00226DBA"/>
    <w:rsid w:val="0023036A"/>
    <w:rsid w:val="00233F29"/>
    <w:rsid w:val="00292709"/>
    <w:rsid w:val="002A6D83"/>
    <w:rsid w:val="002D413C"/>
    <w:rsid w:val="002E3387"/>
    <w:rsid w:val="002F03FA"/>
    <w:rsid w:val="002F5C6F"/>
    <w:rsid w:val="003004D2"/>
    <w:rsid w:val="00300F21"/>
    <w:rsid w:val="003349A3"/>
    <w:rsid w:val="00366925"/>
    <w:rsid w:val="00377967"/>
    <w:rsid w:val="00386143"/>
    <w:rsid w:val="00396D2E"/>
    <w:rsid w:val="003A0D51"/>
    <w:rsid w:val="003B1236"/>
    <w:rsid w:val="003B2FCD"/>
    <w:rsid w:val="003B58DC"/>
    <w:rsid w:val="003C7258"/>
    <w:rsid w:val="003E7C75"/>
    <w:rsid w:val="003F686E"/>
    <w:rsid w:val="00404C62"/>
    <w:rsid w:val="00412FED"/>
    <w:rsid w:val="00424096"/>
    <w:rsid w:val="00426FF3"/>
    <w:rsid w:val="00442552"/>
    <w:rsid w:val="00446D4D"/>
    <w:rsid w:val="00455A1C"/>
    <w:rsid w:val="004675B5"/>
    <w:rsid w:val="004715A6"/>
    <w:rsid w:val="00475FFE"/>
    <w:rsid w:val="004770D6"/>
    <w:rsid w:val="0049246C"/>
    <w:rsid w:val="004B7C54"/>
    <w:rsid w:val="004C1B09"/>
    <w:rsid w:val="004C5262"/>
    <w:rsid w:val="004E6190"/>
    <w:rsid w:val="004F6117"/>
    <w:rsid w:val="004F63F1"/>
    <w:rsid w:val="004F651E"/>
    <w:rsid w:val="00502036"/>
    <w:rsid w:val="0052596B"/>
    <w:rsid w:val="00550E49"/>
    <w:rsid w:val="00554D8D"/>
    <w:rsid w:val="0057108E"/>
    <w:rsid w:val="00571D29"/>
    <w:rsid w:val="00573835"/>
    <w:rsid w:val="00573A8A"/>
    <w:rsid w:val="00581306"/>
    <w:rsid w:val="00583CEC"/>
    <w:rsid w:val="005A096F"/>
    <w:rsid w:val="005A1789"/>
    <w:rsid w:val="005C3105"/>
    <w:rsid w:val="005C6FD8"/>
    <w:rsid w:val="005F3970"/>
    <w:rsid w:val="00606A71"/>
    <w:rsid w:val="00614D51"/>
    <w:rsid w:val="00650D90"/>
    <w:rsid w:val="006636B5"/>
    <w:rsid w:val="00663793"/>
    <w:rsid w:val="00674207"/>
    <w:rsid w:val="00692C2F"/>
    <w:rsid w:val="00695797"/>
    <w:rsid w:val="00696A5E"/>
    <w:rsid w:val="006B377D"/>
    <w:rsid w:val="006B3B69"/>
    <w:rsid w:val="006C6B60"/>
    <w:rsid w:val="006D3B68"/>
    <w:rsid w:val="00703192"/>
    <w:rsid w:val="00720B6B"/>
    <w:rsid w:val="00721534"/>
    <w:rsid w:val="00734073"/>
    <w:rsid w:val="00734613"/>
    <w:rsid w:val="0073490B"/>
    <w:rsid w:val="00744AC9"/>
    <w:rsid w:val="00751910"/>
    <w:rsid w:val="00751E60"/>
    <w:rsid w:val="007547B5"/>
    <w:rsid w:val="0075591C"/>
    <w:rsid w:val="00765D19"/>
    <w:rsid w:val="007672FB"/>
    <w:rsid w:val="00793DDF"/>
    <w:rsid w:val="00795A9E"/>
    <w:rsid w:val="007A305C"/>
    <w:rsid w:val="007A606D"/>
    <w:rsid w:val="007A654E"/>
    <w:rsid w:val="007C2214"/>
    <w:rsid w:val="007C22D8"/>
    <w:rsid w:val="007D1B40"/>
    <w:rsid w:val="007D4A76"/>
    <w:rsid w:val="0080790A"/>
    <w:rsid w:val="00807B48"/>
    <w:rsid w:val="008135CA"/>
    <w:rsid w:val="0081584F"/>
    <w:rsid w:val="008244CC"/>
    <w:rsid w:val="00831296"/>
    <w:rsid w:val="008436AE"/>
    <w:rsid w:val="00851786"/>
    <w:rsid w:val="008647D5"/>
    <w:rsid w:val="008703BF"/>
    <w:rsid w:val="00884B9A"/>
    <w:rsid w:val="008925CE"/>
    <w:rsid w:val="00892CF8"/>
    <w:rsid w:val="008954AB"/>
    <w:rsid w:val="008A751E"/>
    <w:rsid w:val="008B0A4C"/>
    <w:rsid w:val="008C4D41"/>
    <w:rsid w:val="009021FD"/>
    <w:rsid w:val="009107E7"/>
    <w:rsid w:val="00936916"/>
    <w:rsid w:val="00965CF5"/>
    <w:rsid w:val="00971296"/>
    <w:rsid w:val="00981F45"/>
    <w:rsid w:val="00994D12"/>
    <w:rsid w:val="009B128B"/>
    <w:rsid w:val="009D7E94"/>
    <w:rsid w:val="009F1F71"/>
    <w:rsid w:val="00A06D02"/>
    <w:rsid w:val="00A16F07"/>
    <w:rsid w:val="00A41FBB"/>
    <w:rsid w:val="00A52C44"/>
    <w:rsid w:val="00A62C7B"/>
    <w:rsid w:val="00A7709A"/>
    <w:rsid w:val="00A95C17"/>
    <w:rsid w:val="00AA6C4C"/>
    <w:rsid w:val="00AD237D"/>
    <w:rsid w:val="00AE1842"/>
    <w:rsid w:val="00AE3C7C"/>
    <w:rsid w:val="00B31306"/>
    <w:rsid w:val="00B32968"/>
    <w:rsid w:val="00B36E61"/>
    <w:rsid w:val="00B42814"/>
    <w:rsid w:val="00B430B9"/>
    <w:rsid w:val="00B51E03"/>
    <w:rsid w:val="00B612A4"/>
    <w:rsid w:val="00B70B8E"/>
    <w:rsid w:val="00B83936"/>
    <w:rsid w:val="00B951A6"/>
    <w:rsid w:val="00BD6EB7"/>
    <w:rsid w:val="00C02905"/>
    <w:rsid w:val="00C049D9"/>
    <w:rsid w:val="00C07A77"/>
    <w:rsid w:val="00C35282"/>
    <w:rsid w:val="00C36864"/>
    <w:rsid w:val="00C44CA9"/>
    <w:rsid w:val="00C54D27"/>
    <w:rsid w:val="00C75343"/>
    <w:rsid w:val="00C76EEB"/>
    <w:rsid w:val="00C93E11"/>
    <w:rsid w:val="00CF38A8"/>
    <w:rsid w:val="00D01DB4"/>
    <w:rsid w:val="00D01F5A"/>
    <w:rsid w:val="00D04839"/>
    <w:rsid w:val="00D136A0"/>
    <w:rsid w:val="00D1716E"/>
    <w:rsid w:val="00D333E9"/>
    <w:rsid w:val="00D64E05"/>
    <w:rsid w:val="00D652DD"/>
    <w:rsid w:val="00D6607C"/>
    <w:rsid w:val="00D84751"/>
    <w:rsid w:val="00D866E1"/>
    <w:rsid w:val="00D90831"/>
    <w:rsid w:val="00D92FD3"/>
    <w:rsid w:val="00DA03A5"/>
    <w:rsid w:val="00DA3B6E"/>
    <w:rsid w:val="00DB7581"/>
    <w:rsid w:val="00DB7B02"/>
    <w:rsid w:val="00DC5D78"/>
    <w:rsid w:val="00DC70C1"/>
    <w:rsid w:val="00DC7CDC"/>
    <w:rsid w:val="00DE533F"/>
    <w:rsid w:val="00DE7322"/>
    <w:rsid w:val="00DF7F18"/>
    <w:rsid w:val="00E07795"/>
    <w:rsid w:val="00E13F48"/>
    <w:rsid w:val="00E27685"/>
    <w:rsid w:val="00E83C12"/>
    <w:rsid w:val="00E904C8"/>
    <w:rsid w:val="00E92416"/>
    <w:rsid w:val="00EA1BBF"/>
    <w:rsid w:val="00EA65DA"/>
    <w:rsid w:val="00EB29A9"/>
    <w:rsid w:val="00EB5A82"/>
    <w:rsid w:val="00EB77D2"/>
    <w:rsid w:val="00EC0D58"/>
    <w:rsid w:val="00F11E5C"/>
    <w:rsid w:val="00F22BF9"/>
    <w:rsid w:val="00F316C8"/>
    <w:rsid w:val="00F53E24"/>
    <w:rsid w:val="00F632DE"/>
    <w:rsid w:val="00F6677F"/>
    <w:rsid w:val="00F735E4"/>
    <w:rsid w:val="00F80AC5"/>
    <w:rsid w:val="00F97339"/>
    <w:rsid w:val="00FB7834"/>
    <w:rsid w:val="00FC7CFE"/>
    <w:rsid w:val="00FD4B6A"/>
    <w:rsid w:val="00FF03A8"/>
    <w:rsid w:val="00FF63EA"/>
    <w:rsid w:val="01BB93E0"/>
    <w:rsid w:val="01BCBF19"/>
    <w:rsid w:val="01E718C8"/>
    <w:rsid w:val="03171E3C"/>
    <w:rsid w:val="03538446"/>
    <w:rsid w:val="059031E1"/>
    <w:rsid w:val="06C6AA25"/>
    <w:rsid w:val="07E4F075"/>
    <w:rsid w:val="07E62B91"/>
    <w:rsid w:val="0852F793"/>
    <w:rsid w:val="0A951701"/>
    <w:rsid w:val="0AEA6246"/>
    <w:rsid w:val="0B9CBF2C"/>
    <w:rsid w:val="0BCB3D95"/>
    <w:rsid w:val="0C1CEFC9"/>
    <w:rsid w:val="0DF0C9AD"/>
    <w:rsid w:val="0E071D20"/>
    <w:rsid w:val="0E899B51"/>
    <w:rsid w:val="0E8C33B8"/>
    <w:rsid w:val="0EB9DA1B"/>
    <w:rsid w:val="0EF15DE2"/>
    <w:rsid w:val="11C1D97A"/>
    <w:rsid w:val="12372F74"/>
    <w:rsid w:val="12DBF28E"/>
    <w:rsid w:val="13CE7486"/>
    <w:rsid w:val="13D38127"/>
    <w:rsid w:val="1442A95C"/>
    <w:rsid w:val="1504118D"/>
    <w:rsid w:val="156E30BB"/>
    <w:rsid w:val="159F927A"/>
    <w:rsid w:val="15DDE6EC"/>
    <w:rsid w:val="16298F9D"/>
    <w:rsid w:val="1640E0C9"/>
    <w:rsid w:val="1655426F"/>
    <w:rsid w:val="183AAFBB"/>
    <w:rsid w:val="18402BAF"/>
    <w:rsid w:val="18F4F784"/>
    <w:rsid w:val="192800D1"/>
    <w:rsid w:val="19A14204"/>
    <w:rsid w:val="1C5479E7"/>
    <w:rsid w:val="1D1AA80E"/>
    <w:rsid w:val="1D27D5E9"/>
    <w:rsid w:val="1D6102B3"/>
    <w:rsid w:val="1DB4D021"/>
    <w:rsid w:val="1DDD71E7"/>
    <w:rsid w:val="1EBB715F"/>
    <w:rsid w:val="20FC95AE"/>
    <w:rsid w:val="213214C5"/>
    <w:rsid w:val="2133D232"/>
    <w:rsid w:val="223094D0"/>
    <w:rsid w:val="2259FD73"/>
    <w:rsid w:val="22995DE6"/>
    <w:rsid w:val="22C94973"/>
    <w:rsid w:val="230C1274"/>
    <w:rsid w:val="2324E56E"/>
    <w:rsid w:val="23E5BC01"/>
    <w:rsid w:val="24C3939E"/>
    <w:rsid w:val="25463CE8"/>
    <w:rsid w:val="2570B808"/>
    <w:rsid w:val="2589221D"/>
    <w:rsid w:val="25A71C6F"/>
    <w:rsid w:val="26123687"/>
    <w:rsid w:val="26D48C7D"/>
    <w:rsid w:val="27414B1B"/>
    <w:rsid w:val="28D3E012"/>
    <w:rsid w:val="290A79FD"/>
    <w:rsid w:val="2A85DE26"/>
    <w:rsid w:val="2AA0CFDF"/>
    <w:rsid w:val="2AA3EBF5"/>
    <w:rsid w:val="2C7FF5BB"/>
    <w:rsid w:val="2C9CF17E"/>
    <w:rsid w:val="2D16115E"/>
    <w:rsid w:val="2DDA9954"/>
    <w:rsid w:val="2E27AE7B"/>
    <w:rsid w:val="2E5094D3"/>
    <w:rsid w:val="2E7588AD"/>
    <w:rsid w:val="2F562EF4"/>
    <w:rsid w:val="2F7BA2FB"/>
    <w:rsid w:val="30314753"/>
    <w:rsid w:val="325B562E"/>
    <w:rsid w:val="33309841"/>
    <w:rsid w:val="337157C7"/>
    <w:rsid w:val="337AB642"/>
    <w:rsid w:val="338FA12A"/>
    <w:rsid w:val="3699A2E6"/>
    <w:rsid w:val="37D973BA"/>
    <w:rsid w:val="3847921D"/>
    <w:rsid w:val="3914A561"/>
    <w:rsid w:val="399ABF4C"/>
    <w:rsid w:val="39E3BEB3"/>
    <w:rsid w:val="3B364032"/>
    <w:rsid w:val="3C3ADD72"/>
    <w:rsid w:val="3F00AC97"/>
    <w:rsid w:val="3F4AE9E4"/>
    <w:rsid w:val="3F61307F"/>
    <w:rsid w:val="3FCC5E1C"/>
    <w:rsid w:val="3FCFCE84"/>
    <w:rsid w:val="40BCFE71"/>
    <w:rsid w:val="42372172"/>
    <w:rsid w:val="4237ABB4"/>
    <w:rsid w:val="42D405DB"/>
    <w:rsid w:val="43190D4A"/>
    <w:rsid w:val="431F4BC2"/>
    <w:rsid w:val="43794499"/>
    <w:rsid w:val="43A4ABAD"/>
    <w:rsid w:val="43E14042"/>
    <w:rsid w:val="443D059D"/>
    <w:rsid w:val="447B0712"/>
    <w:rsid w:val="447E8F6F"/>
    <w:rsid w:val="4760781A"/>
    <w:rsid w:val="476238FE"/>
    <w:rsid w:val="47A14824"/>
    <w:rsid w:val="480CA72D"/>
    <w:rsid w:val="493479CF"/>
    <w:rsid w:val="4962AC2C"/>
    <w:rsid w:val="4A025A76"/>
    <w:rsid w:val="4A49047C"/>
    <w:rsid w:val="4AE01751"/>
    <w:rsid w:val="4CDAB8BE"/>
    <w:rsid w:val="4DD60DED"/>
    <w:rsid w:val="4DE3D12D"/>
    <w:rsid w:val="4EDC655D"/>
    <w:rsid w:val="4F3E8D88"/>
    <w:rsid w:val="4FA62C6D"/>
    <w:rsid w:val="4FB28760"/>
    <w:rsid w:val="4FEDCB76"/>
    <w:rsid w:val="501D0589"/>
    <w:rsid w:val="514E1D0B"/>
    <w:rsid w:val="5309B304"/>
    <w:rsid w:val="536ACDD8"/>
    <w:rsid w:val="553DB3BB"/>
    <w:rsid w:val="55492F99"/>
    <w:rsid w:val="554FDD87"/>
    <w:rsid w:val="56288BE8"/>
    <w:rsid w:val="565D0C0D"/>
    <w:rsid w:val="56B94FD7"/>
    <w:rsid w:val="56C07B8A"/>
    <w:rsid w:val="585A46B8"/>
    <w:rsid w:val="5929C341"/>
    <w:rsid w:val="5A0D81BF"/>
    <w:rsid w:val="5AB77943"/>
    <w:rsid w:val="5AFD246C"/>
    <w:rsid w:val="5BD86335"/>
    <w:rsid w:val="5C3F7F2F"/>
    <w:rsid w:val="5C6420CF"/>
    <w:rsid w:val="5D9574A0"/>
    <w:rsid w:val="5EFA4CF4"/>
    <w:rsid w:val="5F9A8BAD"/>
    <w:rsid w:val="6103DBD3"/>
    <w:rsid w:val="613B8727"/>
    <w:rsid w:val="6142F3EE"/>
    <w:rsid w:val="6149227B"/>
    <w:rsid w:val="62CB6C05"/>
    <w:rsid w:val="62F03EC4"/>
    <w:rsid w:val="63A93884"/>
    <w:rsid w:val="63FB0F3E"/>
    <w:rsid w:val="64896C73"/>
    <w:rsid w:val="64CC9950"/>
    <w:rsid w:val="64E30A15"/>
    <w:rsid w:val="6644EE7C"/>
    <w:rsid w:val="67515B74"/>
    <w:rsid w:val="6823DB26"/>
    <w:rsid w:val="6AB672F7"/>
    <w:rsid w:val="6B3709BD"/>
    <w:rsid w:val="6B87850C"/>
    <w:rsid w:val="6C58F9F5"/>
    <w:rsid w:val="6CA25F43"/>
    <w:rsid w:val="6D81D2B5"/>
    <w:rsid w:val="6DE3E50B"/>
    <w:rsid w:val="6E8E226B"/>
    <w:rsid w:val="6F1CBF2E"/>
    <w:rsid w:val="6F64BBA7"/>
    <w:rsid w:val="7255ABCC"/>
    <w:rsid w:val="72D32808"/>
    <w:rsid w:val="73ADB101"/>
    <w:rsid w:val="746F4A13"/>
    <w:rsid w:val="76753A30"/>
    <w:rsid w:val="789F4906"/>
    <w:rsid w:val="79526C66"/>
    <w:rsid w:val="7A972116"/>
    <w:rsid w:val="7B2928F3"/>
    <w:rsid w:val="7C0A583C"/>
    <w:rsid w:val="7C0B5BC3"/>
    <w:rsid w:val="7C5C64EC"/>
    <w:rsid w:val="7D28EF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7ADF9CBA-491C-412C-81E3-B5073F7E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1D6102B3"/>
    <w:rPr>
      <w:color w:val="0563C1"/>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Header">
    <w:name w:val="header"/>
    <w:basedOn w:val="Normal"/>
    <w:link w:val="HeaderChar"/>
    <w:uiPriority w:val="99"/>
    <w:unhideWhenUsed/>
    <w:rsid w:val="002D413C"/>
    <w:pPr>
      <w:tabs>
        <w:tab w:val="center" w:pos="4513"/>
        <w:tab w:val="right" w:pos="9026"/>
      </w:tabs>
    </w:pPr>
  </w:style>
  <w:style w:type="character" w:customStyle="1" w:styleId="HeaderChar">
    <w:name w:val="Header Char"/>
    <w:link w:val="Header"/>
    <w:uiPriority w:val="99"/>
    <w:rsid w:val="002D413C"/>
    <w:rPr>
      <w:sz w:val="22"/>
      <w:szCs w:val="22"/>
      <w:lang w:eastAsia="en-US"/>
    </w:rPr>
  </w:style>
  <w:style w:type="paragraph" w:styleId="Footer">
    <w:name w:val="footer"/>
    <w:basedOn w:val="Normal"/>
    <w:link w:val="FooterChar"/>
    <w:uiPriority w:val="99"/>
    <w:unhideWhenUsed/>
    <w:rsid w:val="002D413C"/>
    <w:pPr>
      <w:tabs>
        <w:tab w:val="center" w:pos="4513"/>
        <w:tab w:val="right" w:pos="9026"/>
      </w:tabs>
    </w:pPr>
  </w:style>
  <w:style w:type="character" w:customStyle="1" w:styleId="FooterChar">
    <w:name w:val="Footer Char"/>
    <w:link w:val="Footer"/>
    <w:uiPriority w:val="99"/>
    <w:rsid w:val="002D413C"/>
    <w:rPr>
      <w:sz w:val="22"/>
      <w:szCs w:val="22"/>
      <w:lang w:eastAsia="en-US"/>
    </w:rPr>
  </w:style>
  <w:style w:type="paragraph" w:styleId="FootnoteText">
    <w:name w:val="footnote text"/>
    <w:basedOn w:val="Normal"/>
    <w:link w:val="FootnoteTextChar"/>
    <w:uiPriority w:val="99"/>
    <w:semiHidden/>
    <w:unhideWhenUsed/>
    <w:rsid w:val="00D01DB4"/>
    <w:rPr>
      <w:sz w:val="20"/>
      <w:szCs w:val="20"/>
    </w:rPr>
  </w:style>
  <w:style w:type="character" w:customStyle="1" w:styleId="FootnoteTextChar">
    <w:name w:val="Footnote Text Char"/>
    <w:link w:val="FootnoteText"/>
    <w:uiPriority w:val="99"/>
    <w:semiHidden/>
    <w:rsid w:val="00D01DB4"/>
    <w:rPr>
      <w:lang w:eastAsia="en-US"/>
    </w:rPr>
  </w:style>
  <w:style w:type="character" w:styleId="FootnoteReference">
    <w:name w:val="footnote reference"/>
    <w:uiPriority w:val="99"/>
    <w:semiHidden/>
    <w:unhideWhenUsed/>
    <w:rsid w:val="00D01DB4"/>
    <w:rPr>
      <w:vertAlign w:val="superscript"/>
    </w:rPr>
  </w:style>
  <w:style w:type="character" w:styleId="UnresolvedMention">
    <w:name w:val="Unresolved Mention"/>
    <w:uiPriority w:val="99"/>
    <w:semiHidden/>
    <w:unhideWhenUsed/>
    <w:rsid w:val="00060989"/>
    <w:rPr>
      <w:color w:val="605E5C"/>
      <w:shd w:val="clear" w:color="auto" w:fill="E1DFDD"/>
    </w:rPr>
  </w:style>
  <w:style w:type="paragraph" w:styleId="Revision">
    <w:name w:val="Revision"/>
    <w:hidden/>
    <w:uiPriority w:val="99"/>
    <w:semiHidden/>
    <w:rsid w:val="00D333E9"/>
    <w:rPr>
      <w:sz w:val="22"/>
      <w:szCs w:val="22"/>
      <w:lang w:eastAsia="en-US"/>
    </w:rPr>
  </w:style>
  <w:style w:type="paragraph" w:styleId="CommentSubject">
    <w:name w:val="annotation subject"/>
    <w:basedOn w:val="CommentText"/>
    <w:next w:val="CommentText"/>
    <w:link w:val="CommentSubjectChar"/>
    <w:uiPriority w:val="99"/>
    <w:semiHidden/>
    <w:unhideWhenUsed/>
    <w:rsid w:val="00A06D02"/>
    <w:rPr>
      <w:b/>
      <w:bCs/>
    </w:rPr>
  </w:style>
  <w:style w:type="character" w:customStyle="1" w:styleId="CommentSubjectChar">
    <w:name w:val="Comment Subject Char"/>
    <w:link w:val="CommentSubject"/>
    <w:uiPriority w:val="99"/>
    <w:semiHidden/>
    <w:rsid w:val="00A06D02"/>
    <w:rPr>
      <w:b/>
      <w:bCs/>
      <w:lang w:eastAsia="en-US"/>
    </w:rPr>
  </w:style>
  <w:style w:type="character" w:styleId="FollowedHyperlink">
    <w:name w:val="FollowedHyperlink"/>
    <w:basedOn w:val="DefaultParagraphFont"/>
    <w:uiPriority w:val="99"/>
    <w:semiHidden/>
    <w:unhideWhenUsed/>
    <w:rsid w:val="00D04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08371">
      <w:bodyDiv w:val="1"/>
      <w:marLeft w:val="0"/>
      <w:marRight w:val="0"/>
      <w:marTop w:val="0"/>
      <w:marBottom w:val="0"/>
      <w:divBdr>
        <w:top w:val="none" w:sz="0" w:space="0" w:color="auto"/>
        <w:left w:val="none" w:sz="0" w:space="0" w:color="auto"/>
        <w:bottom w:val="none" w:sz="0" w:space="0" w:color="auto"/>
        <w:right w:val="none" w:sz="0" w:space="0" w:color="auto"/>
      </w:divBdr>
    </w:div>
    <w:div w:id="79325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3/138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77bd4c56248ebdf5993d09df5533488f">
  <xsd:schema xmlns:xsd="http://www.w3.org/2001/XMLSchema" xmlns:xs="http://www.w3.org/2001/XMLSchema" xmlns:p="http://schemas.microsoft.com/office/2006/metadata/properties" xmlns:ns2="2a565401-6124-4834-af4c-bc1a772a6083" targetNamespace="http://schemas.microsoft.com/office/2006/metadata/properties" ma:root="true" ma:fieldsID="0d21c66c8a208a651832a9e3056369d0"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1B19B-BCAF-48A7-BEBB-3F5348833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65AE5-564E-42A9-B800-9ABA0F649C5B}">
  <ds:schemaRefs>
    <ds:schemaRef ds:uri="http://schemas.openxmlformats.org/officeDocument/2006/bibliography"/>
  </ds:schemaRefs>
</ds:datastoreItem>
</file>

<file path=customXml/itemProps3.xml><?xml version="1.0" encoding="utf-8"?>
<ds:datastoreItem xmlns:ds="http://schemas.openxmlformats.org/officeDocument/2006/customXml" ds:itemID="{D27FA0F2-827B-49B7-B267-9DC1E2B178D5}">
  <ds:schemaRefs>
    <ds:schemaRef ds:uri="http://schemas.microsoft.com/sharepoint/v3/contenttype/forms"/>
  </ds:schemaRefs>
</ds:datastoreItem>
</file>

<file path=customXml/itemProps4.xml><?xml version="1.0" encoding="utf-8"?>
<ds:datastoreItem xmlns:ds="http://schemas.openxmlformats.org/officeDocument/2006/customXml" ds:itemID="{7CB3D680-6F04-4875-8B98-9069739134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1273</Words>
  <Characters>7630</Characters>
  <Application>Microsoft Office Word</Application>
  <DocSecurity>0</DocSecurity>
  <Lines>107</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2013-02-28T03:02:00Z</cp:lastPrinted>
  <dcterms:created xsi:type="dcterms:W3CDTF">2026-01-09T11:03:00Z</dcterms:created>
  <dcterms:modified xsi:type="dcterms:W3CDTF">2026-01-09T11:06:00Z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