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818"/>
      </w:tblGrid>
      <w:tr w:rsidR="001C4138" w:rsidRPr="00442552" w14:paraId="7E6372DC" w14:textId="77777777" w:rsidTr="008223AF">
        <w:trPr>
          <w:jc w:val="center"/>
        </w:trPr>
        <w:tc>
          <w:tcPr>
            <w:tcW w:w="9818" w:type="dxa"/>
          </w:tcPr>
          <w:p w14:paraId="3A4EDC3A" w14:textId="04093BF1" w:rsidR="001C4138" w:rsidRPr="004F6117" w:rsidRDefault="59FB7A81" w:rsidP="003B594B">
            <w:pPr>
              <w:widowControl w:val="0"/>
              <w:spacing w:before="120" w:after="120"/>
              <w:rPr>
                <w:rFonts w:ascii="Times New Roman" w:hAnsi="Times New Roman"/>
                <w:b/>
                <w:bCs/>
                <w:sz w:val="24"/>
                <w:szCs w:val="24"/>
              </w:rPr>
            </w:pPr>
            <w:r w:rsidRPr="4050AC3D">
              <w:rPr>
                <w:rFonts w:ascii="Times New Roman" w:hAnsi="Times New Roman"/>
                <w:b/>
                <w:bCs/>
                <w:sz w:val="24"/>
                <w:szCs w:val="24"/>
              </w:rPr>
              <w:t>EU Steel and Metals Action Plan</w:t>
            </w:r>
            <w:r w:rsidR="003B594B">
              <w:rPr>
                <w:rFonts w:ascii="Times New Roman" w:hAnsi="Times New Roman"/>
                <w:b/>
                <w:bCs/>
                <w:sz w:val="24"/>
                <w:szCs w:val="24"/>
              </w:rPr>
              <w:br/>
              <w:t>(optional opinion)</w:t>
            </w:r>
            <w:r w:rsidR="001C4138">
              <w:br/>
            </w:r>
            <w:proofErr w:type="gramStart"/>
            <w:r w:rsidR="1560A426" w:rsidRPr="4050AC3D">
              <w:rPr>
                <w:rFonts w:ascii="Times New Roman" w:hAnsi="Times New Roman"/>
                <w:b/>
                <w:bCs/>
                <w:sz w:val="24"/>
                <w:szCs w:val="24"/>
              </w:rPr>
              <w:t>COM(</w:t>
            </w:r>
            <w:proofErr w:type="gramEnd"/>
            <w:r w:rsidR="1560A426" w:rsidRPr="4050AC3D">
              <w:rPr>
                <w:rFonts w:ascii="Times New Roman" w:hAnsi="Times New Roman"/>
                <w:b/>
                <w:bCs/>
                <w:sz w:val="24"/>
                <w:szCs w:val="24"/>
              </w:rPr>
              <w:t>2025) 125 final</w:t>
            </w:r>
            <w:r w:rsidR="003B594B">
              <w:rPr>
                <w:rFonts w:ascii="Times New Roman" w:hAnsi="Times New Roman"/>
                <w:b/>
                <w:bCs/>
                <w:sz w:val="24"/>
                <w:szCs w:val="24"/>
              </w:rPr>
              <w:br/>
            </w:r>
            <w:r w:rsidR="001C4138" w:rsidRPr="4050AC3D">
              <w:rPr>
                <w:rFonts w:ascii="Times New Roman" w:hAnsi="Times New Roman"/>
                <w:b/>
                <w:bCs/>
                <w:sz w:val="24"/>
                <w:szCs w:val="24"/>
              </w:rPr>
              <w:t>EESC-</w:t>
            </w:r>
            <w:r w:rsidR="01AA3BC6" w:rsidRPr="4050AC3D">
              <w:rPr>
                <w:rFonts w:ascii="Times New Roman" w:hAnsi="Times New Roman"/>
                <w:b/>
                <w:bCs/>
                <w:sz w:val="24"/>
                <w:szCs w:val="24"/>
              </w:rPr>
              <w:t>2025</w:t>
            </w:r>
            <w:r w:rsidR="003B594B">
              <w:rPr>
                <w:rFonts w:ascii="Times New Roman" w:hAnsi="Times New Roman"/>
                <w:b/>
                <w:bCs/>
                <w:sz w:val="24"/>
                <w:szCs w:val="24"/>
              </w:rPr>
              <w:t>-</w:t>
            </w:r>
            <w:r w:rsidR="01AA3BC6" w:rsidRPr="4050AC3D">
              <w:rPr>
                <w:rFonts w:ascii="Times New Roman" w:hAnsi="Times New Roman"/>
                <w:b/>
                <w:bCs/>
                <w:sz w:val="24"/>
                <w:szCs w:val="24"/>
              </w:rPr>
              <w:t>01425</w:t>
            </w:r>
            <w:r w:rsidR="6AB47E30" w:rsidRPr="4050AC3D">
              <w:rPr>
                <w:rFonts w:ascii="Times New Roman" w:hAnsi="Times New Roman"/>
                <w:b/>
                <w:bCs/>
                <w:sz w:val="24"/>
                <w:szCs w:val="24"/>
              </w:rPr>
              <w:t xml:space="preserve"> </w:t>
            </w:r>
            <w:r w:rsidR="003B594B" w:rsidRPr="328A7610">
              <w:rPr>
                <w:rFonts w:ascii="Times New Roman" w:hAnsi="Times New Roman"/>
                <w:b/>
                <w:bCs/>
                <w:sz w:val="24"/>
                <w:szCs w:val="24"/>
              </w:rPr>
              <w:t>–</w:t>
            </w:r>
            <w:r w:rsidR="003B594B">
              <w:rPr>
                <w:rFonts w:ascii="Times New Roman" w:hAnsi="Times New Roman"/>
                <w:b/>
                <w:bCs/>
                <w:sz w:val="24"/>
                <w:szCs w:val="24"/>
              </w:rPr>
              <w:t xml:space="preserve"> </w:t>
            </w:r>
            <w:r w:rsidR="6AB47E30" w:rsidRPr="4050AC3D">
              <w:rPr>
                <w:rFonts w:ascii="Times New Roman" w:hAnsi="Times New Roman"/>
                <w:b/>
                <w:bCs/>
                <w:sz w:val="24"/>
                <w:szCs w:val="24"/>
              </w:rPr>
              <w:t>CCMI/24</w:t>
            </w:r>
            <w:r w:rsidR="3F91B2E3" w:rsidRPr="4050AC3D">
              <w:rPr>
                <w:rFonts w:ascii="Times New Roman" w:hAnsi="Times New Roman"/>
                <w:b/>
                <w:bCs/>
                <w:sz w:val="24"/>
                <w:szCs w:val="24"/>
              </w:rPr>
              <w:t>5</w:t>
            </w:r>
            <w:r w:rsidR="001C4138">
              <w:br/>
            </w:r>
            <w:r w:rsidR="09188288" w:rsidRPr="4050AC3D">
              <w:rPr>
                <w:rFonts w:ascii="Times New Roman" w:hAnsi="Times New Roman"/>
                <w:b/>
                <w:bCs/>
                <w:sz w:val="24"/>
                <w:szCs w:val="24"/>
              </w:rPr>
              <w:t>599</w:t>
            </w:r>
            <w:r w:rsidR="09188288" w:rsidRPr="00041A3A">
              <w:rPr>
                <w:rFonts w:ascii="Times New Roman" w:hAnsi="Times New Roman"/>
                <w:b/>
                <w:bCs/>
                <w:sz w:val="24"/>
                <w:szCs w:val="24"/>
                <w:vertAlign w:val="superscript"/>
              </w:rPr>
              <w:t>th</w:t>
            </w:r>
            <w:r w:rsidR="09188288" w:rsidRPr="4050AC3D">
              <w:rPr>
                <w:rFonts w:ascii="Times New Roman" w:hAnsi="Times New Roman"/>
                <w:b/>
                <w:bCs/>
                <w:sz w:val="24"/>
                <w:szCs w:val="24"/>
              </w:rPr>
              <w:t xml:space="preserve"> </w:t>
            </w:r>
            <w:r w:rsidR="001C4138" w:rsidRPr="4050AC3D">
              <w:rPr>
                <w:rFonts w:ascii="Times New Roman" w:hAnsi="Times New Roman"/>
                <w:b/>
                <w:bCs/>
                <w:sz w:val="24"/>
                <w:szCs w:val="24"/>
              </w:rPr>
              <w:t>Plenary Session –</w:t>
            </w:r>
            <w:r w:rsidR="2D895F78" w:rsidRPr="4050AC3D">
              <w:rPr>
                <w:rFonts w:ascii="Times New Roman" w:hAnsi="Times New Roman"/>
                <w:b/>
                <w:bCs/>
                <w:sz w:val="24"/>
                <w:szCs w:val="24"/>
              </w:rPr>
              <w:t xml:space="preserve"> September 2025</w:t>
            </w:r>
            <w:r w:rsidR="001C4138">
              <w:br/>
            </w:r>
            <w:r w:rsidR="001C4138" w:rsidRPr="4050AC3D">
              <w:rPr>
                <w:rFonts w:ascii="Times New Roman" w:hAnsi="Times New Roman"/>
                <w:b/>
                <w:bCs/>
                <w:sz w:val="24"/>
                <w:szCs w:val="24"/>
              </w:rPr>
              <w:t>Rapporteur:</w:t>
            </w:r>
            <w:r w:rsidR="50674B4E" w:rsidRPr="4050AC3D">
              <w:rPr>
                <w:rFonts w:ascii="Times New Roman" w:hAnsi="Times New Roman"/>
                <w:b/>
                <w:bCs/>
                <w:sz w:val="24"/>
                <w:szCs w:val="24"/>
              </w:rPr>
              <w:t xml:space="preserve"> </w:t>
            </w:r>
            <w:r w:rsidR="2FE9517A" w:rsidRPr="4050AC3D">
              <w:rPr>
                <w:rFonts w:ascii="Times New Roman" w:hAnsi="Times New Roman"/>
                <w:b/>
                <w:bCs/>
                <w:sz w:val="24"/>
                <w:szCs w:val="24"/>
              </w:rPr>
              <w:t>Anastasis YIAPANIS</w:t>
            </w:r>
            <w:r w:rsidR="50674B4E" w:rsidRPr="4050AC3D">
              <w:rPr>
                <w:rFonts w:ascii="Times New Roman" w:hAnsi="Times New Roman"/>
                <w:b/>
                <w:bCs/>
                <w:sz w:val="24"/>
                <w:szCs w:val="24"/>
              </w:rPr>
              <w:t xml:space="preserve"> (</w:t>
            </w:r>
            <w:r w:rsidR="62929F3B" w:rsidRPr="4050AC3D">
              <w:rPr>
                <w:rFonts w:ascii="Times New Roman" w:hAnsi="Times New Roman"/>
                <w:b/>
                <w:bCs/>
                <w:sz w:val="24"/>
                <w:szCs w:val="24"/>
              </w:rPr>
              <w:t>CY</w:t>
            </w:r>
            <w:r w:rsidR="50674B4E" w:rsidRPr="4050AC3D">
              <w:rPr>
                <w:rFonts w:ascii="Times New Roman" w:hAnsi="Times New Roman"/>
                <w:b/>
                <w:bCs/>
                <w:sz w:val="24"/>
                <w:szCs w:val="24"/>
              </w:rPr>
              <w:t>-III)</w:t>
            </w:r>
            <w:r w:rsidR="003B594B">
              <w:rPr>
                <w:rFonts w:ascii="Times New Roman" w:hAnsi="Times New Roman"/>
                <w:b/>
                <w:bCs/>
                <w:sz w:val="24"/>
                <w:szCs w:val="24"/>
              </w:rPr>
              <w:br/>
            </w:r>
            <w:r w:rsidR="50674B4E" w:rsidRPr="4050AC3D">
              <w:rPr>
                <w:rFonts w:ascii="Times New Roman" w:hAnsi="Times New Roman"/>
                <w:b/>
                <w:bCs/>
                <w:sz w:val="24"/>
                <w:szCs w:val="24"/>
              </w:rPr>
              <w:t xml:space="preserve">Co-rapporteur: </w:t>
            </w:r>
            <w:r w:rsidR="0365D7C2" w:rsidRPr="4050AC3D">
              <w:rPr>
                <w:rFonts w:ascii="Times New Roman" w:hAnsi="Times New Roman"/>
                <w:b/>
                <w:bCs/>
                <w:sz w:val="24"/>
                <w:szCs w:val="24"/>
              </w:rPr>
              <w:t xml:space="preserve">Michal PINTÉR </w:t>
            </w:r>
            <w:r w:rsidR="50674B4E" w:rsidRPr="4050AC3D">
              <w:rPr>
                <w:rFonts w:ascii="Times New Roman" w:hAnsi="Times New Roman"/>
                <w:b/>
                <w:bCs/>
                <w:sz w:val="24"/>
                <w:szCs w:val="24"/>
              </w:rPr>
              <w:t>(</w:t>
            </w:r>
            <w:r w:rsidR="4511F1BA" w:rsidRPr="4050AC3D">
              <w:rPr>
                <w:rFonts w:ascii="Times New Roman" w:hAnsi="Times New Roman"/>
                <w:b/>
                <w:bCs/>
                <w:sz w:val="24"/>
                <w:szCs w:val="24"/>
              </w:rPr>
              <w:t>SK</w:t>
            </w:r>
            <w:r w:rsidR="50674B4E" w:rsidRPr="4050AC3D">
              <w:rPr>
                <w:rFonts w:ascii="Times New Roman" w:hAnsi="Times New Roman"/>
                <w:b/>
                <w:bCs/>
                <w:sz w:val="24"/>
                <w:szCs w:val="24"/>
              </w:rPr>
              <w:t>-</w:t>
            </w:r>
            <w:r w:rsidR="003B594B">
              <w:rPr>
                <w:rFonts w:ascii="Times New Roman" w:hAnsi="Times New Roman"/>
                <w:b/>
                <w:bCs/>
                <w:sz w:val="24"/>
                <w:szCs w:val="24"/>
              </w:rPr>
              <w:t>I</w:t>
            </w:r>
            <w:r w:rsidR="50674B4E" w:rsidRPr="4050AC3D">
              <w:rPr>
                <w:rFonts w:ascii="Times New Roman" w:hAnsi="Times New Roman"/>
                <w:b/>
                <w:bCs/>
                <w:sz w:val="24"/>
                <w:szCs w:val="24"/>
              </w:rPr>
              <w:t>)</w:t>
            </w:r>
            <w:r w:rsidR="003B594B">
              <w:rPr>
                <w:rFonts w:ascii="Times New Roman" w:hAnsi="Times New Roman"/>
                <w:b/>
                <w:bCs/>
                <w:sz w:val="24"/>
                <w:szCs w:val="24"/>
              </w:rPr>
              <w:br/>
            </w:r>
            <w:r w:rsidR="50674B4E" w:rsidRPr="328A7610">
              <w:rPr>
                <w:rFonts w:ascii="Times New Roman" w:hAnsi="Times New Roman"/>
                <w:b/>
                <w:bCs/>
                <w:sz w:val="24"/>
                <w:szCs w:val="24"/>
              </w:rPr>
              <w:t>DG GROW – Executive Vice-President S</w:t>
            </w:r>
            <w:r w:rsidR="003B594B">
              <w:rPr>
                <w:rFonts w:ascii="Times New Roman" w:hAnsi="Times New Roman"/>
                <w:b/>
                <w:bCs/>
                <w:sz w:val="24"/>
                <w:szCs w:val="24"/>
              </w:rPr>
              <w:t>É</w:t>
            </w:r>
            <w:r w:rsidR="50674B4E" w:rsidRPr="328A7610">
              <w:rPr>
                <w:rFonts w:ascii="Times New Roman" w:hAnsi="Times New Roman"/>
                <w:b/>
                <w:bCs/>
                <w:sz w:val="24"/>
                <w:szCs w:val="24"/>
              </w:rPr>
              <w:t>JOURN</w:t>
            </w:r>
            <w:r w:rsidR="003B594B">
              <w:rPr>
                <w:rFonts w:ascii="Times New Roman" w:hAnsi="Times New Roman"/>
                <w:b/>
                <w:bCs/>
                <w:sz w:val="24"/>
                <w:szCs w:val="24"/>
              </w:rPr>
              <w:t>É</w:t>
            </w:r>
          </w:p>
        </w:tc>
      </w:tr>
      <w:tr w:rsidR="00734613" w:rsidRPr="00442552" w14:paraId="1937071F" w14:textId="77777777" w:rsidTr="008223AF">
        <w:trPr>
          <w:jc w:val="center"/>
        </w:trPr>
        <w:tc>
          <w:tcPr>
            <w:tcW w:w="9818" w:type="dxa"/>
          </w:tcPr>
          <w:p w14:paraId="1E50B4DB" w14:textId="695E9463" w:rsidR="00734613" w:rsidRPr="00695797" w:rsidRDefault="004F6117" w:rsidP="003B594B">
            <w:pPr>
              <w:widowControl w:val="0"/>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CF7BA0">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8223AF">
        <w:trPr>
          <w:jc w:val="center"/>
        </w:trPr>
        <w:tc>
          <w:tcPr>
            <w:tcW w:w="9818" w:type="dxa"/>
          </w:tcPr>
          <w:p w14:paraId="2DFD6FC7" w14:textId="3B619AE4" w:rsidR="00734613" w:rsidRPr="004F6117" w:rsidRDefault="65B65BF7" w:rsidP="003B594B">
            <w:pPr>
              <w:widowControl w:val="0"/>
              <w:spacing w:before="120" w:after="120"/>
              <w:jc w:val="both"/>
              <w:rPr>
                <w:rFonts w:ascii="Times New Roman" w:hAnsi="Times New Roman"/>
                <w:sz w:val="24"/>
                <w:szCs w:val="24"/>
              </w:rPr>
            </w:pPr>
            <w:r w:rsidRPr="4210F205">
              <w:rPr>
                <w:rFonts w:ascii="Times New Roman" w:hAnsi="Times New Roman"/>
                <w:sz w:val="24"/>
                <w:szCs w:val="24"/>
              </w:rPr>
              <w:t xml:space="preserve">The </w:t>
            </w:r>
            <w:r w:rsidR="00530465">
              <w:rPr>
                <w:rFonts w:ascii="Times New Roman" w:hAnsi="Times New Roman"/>
                <w:sz w:val="24"/>
                <w:szCs w:val="24"/>
              </w:rPr>
              <w:t xml:space="preserve">European </w:t>
            </w:r>
            <w:r w:rsidRPr="4210F205">
              <w:rPr>
                <w:rFonts w:ascii="Times New Roman" w:hAnsi="Times New Roman"/>
                <w:sz w:val="24"/>
                <w:szCs w:val="24"/>
              </w:rPr>
              <w:t xml:space="preserve">Steel and Metals Action Plan </w:t>
            </w:r>
            <w:r w:rsidR="00530465">
              <w:rPr>
                <w:rFonts w:ascii="Times New Roman" w:hAnsi="Times New Roman"/>
                <w:sz w:val="24"/>
                <w:szCs w:val="24"/>
              </w:rPr>
              <w:t>(ESMAP)</w:t>
            </w:r>
            <w:r w:rsidR="00041A3A">
              <w:rPr>
                <w:rFonts w:ascii="Times New Roman" w:hAnsi="Times New Roman"/>
                <w:sz w:val="24"/>
                <w:szCs w:val="24"/>
              </w:rPr>
              <w:t xml:space="preserve"> </w:t>
            </w:r>
            <w:r w:rsidRPr="4210F205">
              <w:rPr>
                <w:rFonts w:ascii="Times New Roman" w:hAnsi="Times New Roman"/>
                <w:sz w:val="24"/>
                <w:szCs w:val="24"/>
              </w:rPr>
              <w:t>is a key component of the Commission’s broader competitiveness and clean industrial agenda. It complements the Clean Industrial Deal</w:t>
            </w:r>
            <w:r w:rsidR="00530465">
              <w:rPr>
                <w:rFonts w:ascii="Times New Roman" w:hAnsi="Times New Roman"/>
                <w:sz w:val="24"/>
                <w:szCs w:val="24"/>
              </w:rPr>
              <w:t> (CID)</w:t>
            </w:r>
            <w:r w:rsidR="00025F22" w:rsidRPr="4210F205">
              <w:rPr>
                <w:rStyle w:val="FootnoteReference"/>
                <w:rFonts w:ascii="Times New Roman" w:hAnsi="Times New Roman"/>
                <w:sz w:val="24"/>
                <w:szCs w:val="24"/>
              </w:rPr>
              <w:footnoteReference w:id="2"/>
            </w:r>
            <w:r w:rsidRPr="4210F205">
              <w:rPr>
                <w:rFonts w:ascii="Times New Roman" w:hAnsi="Times New Roman"/>
                <w:sz w:val="24"/>
                <w:szCs w:val="24"/>
              </w:rPr>
              <w:t xml:space="preserve"> and the Action Plan on Affordable Energy</w:t>
            </w:r>
            <w:r w:rsidR="008A62D4" w:rsidRPr="4210F205">
              <w:rPr>
                <w:rStyle w:val="FootnoteReference"/>
                <w:rFonts w:ascii="Times New Roman" w:hAnsi="Times New Roman"/>
                <w:sz w:val="24"/>
                <w:szCs w:val="24"/>
              </w:rPr>
              <w:footnoteReference w:id="3"/>
            </w:r>
            <w:r w:rsidRPr="4210F205">
              <w:rPr>
                <w:rFonts w:ascii="Times New Roman" w:hAnsi="Times New Roman"/>
                <w:sz w:val="24"/>
                <w:szCs w:val="24"/>
              </w:rPr>
              <w:t>, responding to the challenges of high energy costs, global overcapacity, unfair trade practices and the need to accelerate decarbonisation. Steel and metals are indispensable for the EU’s resilience, economic security and defence, and the Commission is determined to secure their long-term competitiveness.</w:t>
            </w:r>
          </w:p>
          <w:p w14:paraId="509CDED3" w14:textId="2DCB2F8B" w:rsidR="00734613" w:rsidRPr="004F6117" w:rsidRDefault="65B65BF7" w:rsidP="003B594B">
            <w:pPr>
              <w:widowControl w:val="0"/>
              <w:spacing w:before="120" w:after="120"/>
              <w:jc w:val="both"/>
              <w:rPr>
                <w:rFonts w:ascii="Times New Roman" w:hAnsi="Times New Roman"/>
                <w:sz w:val="24"/>
                <w:szCs w:val="24"/>
              </w:rPr>
            </w:pPr>
            <w:r w:rsidRPr="4210F205">
              <w:rPr>
                <w:rFonts w:ascii="Times New Roman" w:hAnsi="Times New Roman"/>
                <w:sz w:val="24"/>
                <w:szCs w:val="24"/>
              </w:rPr>
              <w:t>The Action Plan sets out concrete measures across six pillars: access to affordable clean energy, carbon leakage prevention, protection of industrial capacities, circularity, quality industrial jobs, and de-risking of decarbonisation investments. Implementation requires close cooperation with industry, social partners and civil society</w:t>
            </w:r>
            <w:r w:rsidR="00AC655A" w:rsidRPr="4210F205">
              <w:rPr>
                <w:rFonts w:ascii="Times New Roman" w:hAnsi="Times New Roman"/>
                <w:sz w:val="24"/>
                <w:szCs w:val="24"/>
              </w:rPr>
              <w:t>.</w:t>
            </w:r>
          </w:p>
          <w:p w14:paraId="251A37B2" w14:textId="0088C0FF" w:rsidR="00C364A0" w:rsidRDefault="00C364A0" w:rsidP="003B594B">
            <w:pPr>
              <w:widowControl w:val="0"/>
              <w:spacing w:before="120" w:after="120"/>
              <w:jc w:val="both"/>
              <w:rPr>
                <w:rFonts w:ascii="Times New Roman" w:hAnsi="Times New Roman"/>
                <w:sz w:val="24"/>
                <w:szCs w:val="24"/>
              </w:rPr>
            </w:pPr>
            <w:r w:rsidRPr="00C364A0">
              <w:rPr>
                <w:rFonts w:ascii="Times New Roman" w:hAnsi="Times New Roman"/>
                <w:b/>
                <w:bCs/>
                <w:sz w:val="24"/>
                <w:szCs w:val="24"/>
              </w:rPr>
              <w:t>Ensuring availability and affordability of clean energy</w:t>
            </w:r>
            <w:r w:rsidR="00530465">
              <w:rPr>
                <w:rFonts w:ascii="Times New Roman" w:hAnsi="Times New Roman"/>
                <w:b/>
                <w:bCs/>
                <w:sz w:val="24"/>
                <w:szCs w:val="24"/>
              </w:rPr>
              <w:t>:</w:t>
            </w:r>
          </w:p>
          <w:p w14:paraId="34007E55" w14:textId="5B8BE435" w:rsidR="00734613" w:rsidRPr="005E03DB" w:rsidRDefault="186C97AA" w:rsidP="003B594B">
            <w:pPr>
              <w:widowControl w:val="0"/>
              <w:spacing w:before="120" w:after="120"/>
              <w:jc w:val="both"/>
              <w:rPr>
                <w:rFonts w:ascii="Times New Roman" w:hAnsi="Times New Roman"/>
                <w:sz w:val="24"/>
                <w:szCs w:val="24"/>
              </w:rPr>
            </w:pPr>
            <w:proofErr w:type="gramStart"/>
            <w:r w:rsidRPr="42AC96F6">
              <w:rPr>
                <w:rFonts w:ascii="Times New Roman" w:hAnsi="Times New Roman"/>
                <w:sz w:val="24"/>
                <w:szCs w:val="24"/>
              </w:rPr>
              <w:t>A number of</w:t>
            </w:r>
            <w:proofErr w:type="gramEnd"/>
            <w:r w:rsidRPr="42AC96F6">
              <w:rPr>
                <w:rFonts w:ascii="Times New Roman" w:hAnsi="Times New Roman"/>
                <w:sz w:val="24"/>
                <w:szCs w:val="24"/>
              </w:rPr>
              <w:t xml:space="preserve"> actions are underway to support industry in the energy transition. </w:t>
            </w:r>
            <w:r w:rsidR="2C59743E" w:rsidRPr="42AC96F6">
              <w:rPr>
                <w:rFonts w:ascii="Times New Roman" w:hAnsi="Times New Roman"/>
                <w:sz w:val="24"/>
                <w:szCs w:val="24"/>
              </w:rPr>
              <w:t>T</w:t>
            </w:r>
            <w:r w:rsidR="10EA33E2" w:rsidRPr="42AC96F6">
              <w:rPr>
                <w:rFonts w:ascii="Times New Roman" w:hAnsi="Times New Roman"/>
                <w:sz w:val="24"/>
                <w:szCs w:val="24"/>
              </w:rPr>
              <w:t>he Clean Industrial State Aid Framework</w:t>
            </w:r>
            <w:r w:rsidR="00BD6C75">
              <w:rPr>
                <w:rFonts w:ascii="Times New Roman" w:hAnsi="Times New Roman"/>
                <w:sz w:val="24"/>
                <w:szCs w:val="24"/>
              </w:rPr>
              <w:t> </w:t>
            </w:r>
            <w:r w:rsidR="333B5005" w:rsidRPr="42AC96F6">
              <w:rPr>
                <w:rFonts w:ascii="Times New Roman" w:hAnsi="Times New Roman"/>
                <w:sz w:val="24"/>
                <w:szCs w:val="24"/>
              </w:rPr>
              <w:t>(CISAF)</w:t>
            </w:r>
            <w:r w:rsidR="050EF36B" w:rsidRPr="42AC96F6">
              <w:rPr>
                <w:rFonts w:ascii="Times New Roman" w:hAnsi="Times New Roman"/>
                <w:sz w:val="24"/>
                <w:szCs w:val="24"/>
              </w:rPr>
              <w:t>, adopted on 25 June 2025,</w:t>
            </w:r>
            <w:r w:rsidR="333B5005" w:rsidRPr="42AC96F6">
              <w:rPr>
                <w:rFonts w:ascii="Times New Roman" w:hAnsi="Times New Roman"/>
                <w:sz w:val="24"/>
                <w:szCs w:val="24"/>
              </w:rPr>
              <w:t xml:space="preserve"> </w:t>
            </w:r>
            <w:r w:rsidR="19BC4B36" w:rsidRPr="42AC96F6">
              <w:rPr>
                <w:rFonts w:ascii="Times New Roman" w:hAnsi="Times New Roman"/>
                <w:sz w:val="24"/>
                <w:szCs w:val="24"/>
              </w:rPr>
              <w:t>facilitates industrial decarbonisation</w:t>
            </w:r>
            <w:r w:rsidR="40CFAE71" w:rsidRPr="42AC96F6">
              <w:rPr>
                <w:rFonts w:ascii="Times New Roman" w:hAnsi="Times New Roman"/>
                <w:sz w:val="24"/>
                <w:szCs w:val="24"/>
              </w:rPr>
              <w:t xml:space="preserve"> further</w:t>
            </w:r>
            <w:r w:rsidR="10EA33E2" w:rsidRPr="42AC96F6">
              <w:rPr>
                <w:rFonts w:ascii="Times New Roman" w:hAnsi="Times New Roman"/>
                <w:sz w:val="24"/>
                <w:szCs w:val="24"/>
              </w:rPr>
              <w:t xml:space="preserve">, </w:t>
            </w:r>
            <w:r w:rsidR="08B9DE73" w:rsidRPr="42AC96F6">
              <w:rPr>
                <w:rFonts w:ascii="Times New Roman" w:hAnsi="Times New Roman"/>
                <w:sz w:val="24"/>
                <w:szCs w:val="24"/>
              </w:rPr>
              <w:t xml:space="preserve">and a specific </w:t>
            </w:r>
            <w:r w:rsidR="1F331C37" w:rsidRPr="42AC96F6">
              <w:rPr>
                <w:rFonts w:ascii="Times New Roman" w:hAnsi="Times New Roman"/>
                <w:sz w:val="24"/>
                <w:szCs w:val="24"/>
              </w:rPr>
              <w:t>section allows Member States</w:t>
            </w:r>
            <w:r w:rsidR="007A5E4A">
              <w:rPr>
                <w:rFonts w:ascii="Times New Roman" w:hAnsi="Times New Roman"/>
                <w:sz w:val="24"/>
                <w:szCs w:val="24"/>
              </w:rPr>
              <w:t xml:space="preserve"> to put into effect</w:t>
            </w:r>
            <w:r w:rsidR="1F331C37" w:rsidRPr="42AC96F6">
              <w:rPr>
                <w:rFonts w:ascii="Times New Roman" w:hAnsi="Times New Roman"/>
                <w:sz w:val="24"/>
                <w:szCs w:val="24"/>
              </w:rPr>
              <w:t xml:space="preserve"> price support for electro-intensive industries</w:t>
            </w:r>
            <w:r w:rsidR="009F49DD">
              <w:rPr>
                <w:rFonts w:ascii="Times New Roman" w:hAnsi="Times New Roman"/>
                <w:sz w:val="24"/>
                <w:szCs w:val="24"/>
              </w:rPr>
              <w:t xml:space="preserve"> subject to investments that contribute to the green transition</w:t>
            </w:r>
            <w:r w:rsidR="1F331C37" w:rsidRPr="42AC96F6">
              <w:rPr>
                <w:rFonts w:ascii="Times New Roman" w:hAnsi="Times New Roman"/>
                <w:sz w:val="24"/>
                <w:szCs w:val="24"/>
              </w:rPr>
              <w:t xml:space="preserve">. </w:t>
            </w:r>
            <w:r w:rsidR="368A6A05" w:rsidRPr="42AC96F6">
              <w:rPr>
                <w:rFonts w:ascii="Times New Roman" w:hAnsi="Times New Roman"/>
                <w:sz w:val="24"/>
                <w:szCs w:val="24"/>
              </w:rPr>
              <w:t>The CISAF also facilitates the deployment of renewable energy and non-fossil flexibility in the transition of the electricity system.</w:t>
            </w:r>
            <w:r w:rsidR="10EA33E2" w:rsidRPr="42AC96F6">
              <w:rPr>
                <w:rFonts w:ascii="Times New Roman" w:hAnsi="Times New Roman"/>
                <w:sz w:val="24"/>
                <w:szCs w:val="24"/>
              </w:rPr>
              <w:t xml:space="preserve"> </w:t>
            </w:r>
            <w:r w:rsidR="006272EB" w:rsidRPr="42AC96F6">
              <w:rPr>
                <w:rFonts w:ascii="Times New Roman" w:hAnsi="Times New Roman"/>
                <w:sz w:val="24"/>
                <w:szCs w:val="24"/>
              </w:rPr>
              <w:t xml:space="preserve">Guidance on Contracts for Differences will explicitly allow a share of clean electricity to be channelled at predictable cost to industries in the form of Power Purchase Agreements. </w:t>
            </w:r>
            <w:r w:rsidR="009F49DD">
              <w:rPr>
                <w:rFonts w:ascii="Times New Roman" w:hAnsi="Times New Roman"/>
                <w:sz w:val="24"/>
                <w:szCs w:val="24"/>
              </w:rPr>
              <w:t>The Commission will also publish a guidance on Carbon Contracts for Differences for industrial decarbonisation.</w:t>
            </w:r>
            <w:r w:rsidR="009F49DD" w:rsidRPr="42AC96F6">
              <w:rPr>
                <w:rFonts w:ascii="Times New Roman" w:hAnsi="Times New Roman"/>
                <w:sz w:val="24"/>
                <w:szCs w:val="24"/>
              </w:rPr>
              <w:t xml:space="preserve"> </w:t>
            </w:r>
            <w:r w:rsidR="10EA33E2" w:rsidRPr="42AC96F6">
              <w:rPr>
                <w:rFonts w:ascii="Times New Roman" w:hAnsi="Times New Roman"/>
                <w:sz w:val="24"/>
                <w:szCs w:val="24"/>
              </w:rPr>
              <w:t>In parallel, the Commission is pursuing an accelerated grid access to bring structural benefits.</w:t>
            </w:r>
            <w:r w:rsidR="16C9C2F1" w:rsidRPr="42AC96F6">
              <w:rPr>
                <w:rFonts w:ascii="Times New Roman" w:hAnsi="Times New Roman"/>
                <w:sz w:val="24"/>
                <w:szCs w:val="24"/>
              </w:rPr>
              <w:t xml:space="preserve"> </w:t>
            </w:r>
            <w:r w:rsidR="0ED8CCFD" w:rsidRPr="42AC96F6">
              <w:rPr>
                <w:rFonts w:ascii="Times New Roman" w:hAnsi="Times New Roman"/>
                <w:sz w:val="24"/>
                <w:szCs w:val="24"/>
              </w:rPr>
              <w:t>The European Grid</w:t>
            </w:r>
            <w:r w:rsidR="215CAFF2" w:rsidRPr="42AC96F6">
              <w:rPr>
                <w:rFonts w:ascii="Times New Roman" w:hAnsi="Times New Roman"/>
                <w:sz w:val="24"/>
                <w:szCs w:val="24"/>
              </w:rPr>
              <w:t>s</w:t>
            </w:r>
            <w:r w:rsidR="0ED8CCFD" w:rsidRPr="42AC96F6">
              <w:rPr>
                <w:rFonts w:ascii="Times New Roman" w:hAnsi="Times New Roman"/>
                <w:sz w:val="24"/>
                <w:szCs w:val="24"/>
              </w:rPr>
              <w:t xml:space="preserve"> Package aims to speed up secure, cost-efficient and reliable energy infrastructure and ensure more efficient use of existing infrastructure. This will help the decarbonisation of hard-to-abate sectors and their competitiveness.</w:t>
            </w:r>
          </w:p>
          <w:p w14:paraId="12BB70C9" w14:textId="20BE9C2C" w:rsidR="00734613" w:rsidRPr="00ED5B95" w:rsidRDefault="692C8B20" w:rsidP="003B594B">
            <w:pPr>
              <w:widowControl w:val="0"/>
              <w:spacing w:before="120" w:after="120"/>
              <w:jc w:val="both"/>
              <w:rPr>
                <w:rFonts w:ascii="Times New Roman" w:hAnsi="Times New Roman"/>
                <w:sz w:val="24"/>
              </w:rPr>
            </w:pPr>
            <w:r w:rsidRPr="4210F205">
              <w:rPr>
                <w:rFonts w:ascii="Times New Roman" w:hAnsi="Times New Roman"/>
                <w:sz w:val="24"/>
                <w:szCs w:val="24"/>
              </w:rPr>
              <w:t xml:space="preserve">On hydrogen, the </w:t>
            </w:r>
            <w:r w:rsidR="2B1A47D5" w:rsidRPr="4210F205">
              <w:rPr>
                <w:rFonts w:ascii="Times New Roman" w:hAnsi="Times New Roman"/>
                <w:sz w:val="24"/>
                <w:szCs w:val="24"/>
              </w:rPr>
              <w:t>delegated act on low-carbon hydrogen</w:t>
            </w:r>
            <w:r w:rsidR="00975F4D" w:rsidRPr="4210F205">
              <w:rPr>
                <w:rStyle w:val="FootnoteReference"/>
                <w:rFonts w:ascii="Times New Roman" w:hAnsi="Times New Roman"/>
                <w:sz w:val="24"/>
                <w:szCs w:val="24"/>
              </w:rPr>
              <w:footnoteReference w:id="4"/>
            </w:r>
            <w:r w:rsidR="2B1A47D5" w:rsidRPr="4210F205">
              <w:rPr>
                <w:rFonts w:ascii="Times New Roman" w:hAnsi="Times New Roman"/>
                <w:sz w:val="24"/>
                <w:szCs w:val="24"/>
              </w:rPr>
              <w:t xml:space="preserve"> was adopted on 8</w:t>
            </w:r>
            <w:r w:rsidR="00BD6C75">
              <w:rPr>
                <w:rFonts w:ascii="Times New Roman" w:hAnsi="Times New Roman"/>
                <w:sz w:val="24"/>
                <w:szCs w:val="24"/>
              </w:rPr>
              <w:t> </w:t>
            </w:r>
            <w:r w:rsidR="2B1A47D5" w:rsidRPr="4210F205">
              <w:rPr>
                <w:rFonts w:ascii="Times New Roman" w:hAnsi="Times New Roman"/>
                <w:sz w:val="24"/>
                <w:szCs w:val="24"/>
              </w:rPr>
              <w:t xml:space="preserve">July 2025, providing the necessary regulatory clarity and investment certainty for the scale-up of clean hydrogen </w:t>
            </w:r>
            <w:r w:rsidR="2B1A47D5" w:rsidRPr="4210F205">
              <w:rPr>
                <w:rFonts w:ascii="Times New Roman" w:hAnsi="Times New Roman"/>
                <w:sz w:val="24"/>
                <w:szCs w:val="24"/>
              </w:rPr>
              <w:lastRenderedPageBreak/>
              <w:t>production in Europe</w:t>
            </w:r>
            <w:r w:rsidRPr="4210F205">
              <w:rPr>
                <w:rFonts w:ascii="Times New Roman" w:hAnsi="Times New Roman"/>
                <w:sz w:val="24"/>
                <w:szCs w:val="24"/>
              </w:rPr>
              <w:t>. These measures respond directly to the concern that industrial users must have timely and affordable access to hydrogen.</w:t>
            </w:r>
          </w:p>
          <w:p w14:paraId="1A965CB7" w14:textId="03056870" w:rsidR="00734613" w:rsidRPr="004F6117" w:rsidRDefault="413A2C50" w:rsidP="003B594B">
            <w:pPr>
              <w:widowControl w:val="0"/>
              <w:spacing w:before="120" w:after="120"/>
              <w:jc w:val="both"/>
              <w:rPr>
                <w:rFonts w:ascii="Times New Roman" w:hAnsi="Times New Roman"/>
                <w:b/>
                <w:bCs/>
                <w:sz w:val="24"/>
                <w:szCs w:val="24"/>
              </w:rPr>
            </w:pPr>
            <w:r w:rsidRPr="09A8B624">
              <w:rPr>
                <w:rFonts w:ascii="Times New Roman" w:hAnsi="Times New Roman"/>
                <w:b/>
                <w:bCs/>
                <w:sz w:val="24"/>
                <w:szCs w:val="24"/>
              </w:rPr>
              <w:t>Preventing carbon leakage</w:t>
            </w:r>
            <w:r w:rsidR="00530465">
              <w:rPr>
                <w:rFonts w:ascii="Times New Roman" w:hAnsi="Times New Roman"/>
                <w:b/>
                <w:bCs/>
                <w:sz w:val="24"/>
                <w:szCs w:val="24"/>
              </w:rPr>
              <w:t>:</w:t>
            </w:r>
          </w:p>
          <w:p w14:paraId="409EBACA" w14:textId="4B7A126F" w:rsidR="008B3AB4" w:rsidRPr="008B3AB4" w:rsidRDefault="1317E2D1" w:rsidP="003B594B">
            <w:pPr>
              <w:widowControl w:val="0"/>
              <w:spacing w:before="120" w:after="120"/>
              <w:jc w:val="both"/>
              <w:rPr>
                <w:rFonts w:ascii="Times New Roman" w:hAnsi="Times New Roman"/>
                <w:sz w:val="24"/>
                <w:szCs w:val="24"/>
              </w:rPr>
            </w:pPr>
            <w:r w:rsidRPr="400637B3">
              <w:rPr>
                <w:rFonts w:ascii="Times New Roman" w:hAnsi="Times New Roman"/>
                <w:sz w:val="24"/>
                <w:szCs w:val="24"/>
              </w:rPr>
              <w:t>As announced in the CID and ESMAP, t</w:t>
            </w:r>
            <w:r w:rsidR="41F76B46" w:rsidRPr="400637B3">
              <w:rPr>
                <w:rFonts w:ascii="Times New Roman" w:hAnsi="Times New Roman"/>
                <w:sz w:val="24"/>
                <w:szCs w:val="24"/>
              </w:rPr>
              <w:t xml:space="preserve">he Commission </w:t>
            </w:r>
            <w:r w:rsidRPr="400637B3">
              <w:rPr>
                <w:rFonts w:ascii="Times New Roman" w:hAnsi="Times New Roman"/>
                <w:sz w:val="24"/>
                <w:szCs w:val="24"/>
              </w:rPr>
              <w:t xml:space="preserve">is currently working towards </w:t>
            </w:r>
            <w:r w:rsidR="68D511C5" w:rsidRPr="400637B3">
              <w:rPr>
                <w:rFonts w:ascii="Times New Roman" w:hAnsi="Times New Roman"/>
                <w:sz w:val="24"/>
                <w:szCs w:val="24"/>
              </w:rPr>
              <w:t>tabl</w:t>
            </w:r>
            <w:r w:rsidRPr="400637B3">
              <w:rPr>
                <w:rFonts w:ascii="Times New Roman" w:hAnsi="Times New Roman"/>
                <w:sz w:val="24"/>
                <w:szCs w:val="24"/>
              </w:rPr>
              <w:t>ing</w:t>
            </w:r>
            <w:r w:rsidR="68D511C5" w:rsidRPr="400637B3">
              <w:rPr>
                <w:rFonts w:ascii="Times New Roman" w:hAnsi="Times New Roman"/>
                <w:sz w:val="24"/>
                <w:szCs w:val="24"/>
              </w:rPr>
              <w:t xml:space="preserve"> a</w:t>
            </w:r>
            <w:r w:rsidR="00463022">
              <w:rPr>
                <w:rFonts w:ascii="Times New Roman" w:hAnsi="Times New Roman"/>
                <w:sz w:val="24"/>
                <w:szCs w:val="24"/>
              </w:rPr>
              <w:t> </w:t>
            </w:r>
            <w:r w:rsidR="68D511C5" w:rsidRPr="400637B3">
              <w:rPr>
                <w:rFonts w:ascii="Times New Roman" w:hAnsi="Times New Roman"/>
                <w:sz w:val="24"/>
                <w:szCs w:val="24"/>
              </w:rPr>
              <w:t>legislative proposal to address</w:t>
            </w:r>
            <w:r w:rsidR="00051CA9">
              <w:rPr>
                <w:rFonts w:ascii="Times New Roman" w:hAnsi="Times New Roman"/>
                <w:sz w:val="24"/>
                <w:szCs w:val="24"/>
              </w:rPr>
              <w:t xml:space="preserve"> the risk of export</w:t>
            </w:r>
            <w:r w:rsidR="68D511C5" w:rsidRPr="400637B3">
              <w:rPr>
                <w:rFonts w:ascii="Times New Roman" w:hAnsi="Times New Roman"/>
                <w:sz w:val="24"/>
                <w:szCs w:val="24"/>
              </w:rPr>
              <w:t xml:space="preserve"> carbon leakage in </w:t>
            </w:r>
            <w:r w:rsidR="00530465">
              <w:rPr>
                <w:rFonts w:ascii="Times New Roman" w:hAnsi="Times New Roman"/>
                <w:sz w:val="24"/>
                <w:szCs w:val="24"/>
              </w:rPr>
              <w:t>Carbon Border Adjustment Mechanism</w:t>
            </w:r>
            <w:r w:rsidR="00BD6C75">
              <w:rPr>
                <w:rFonts w:ascii="Times New Roman" w:hAnsi="Times New Roman"/>
                <w:sz w:val="24"/>
                <w:szCs w:val="24"/>
              </w:rPr>
              <w:t> </w:t>
            </w:r>
            <w:r w:rsidR="00530465">
              <w:rPr>
                <w:rFonts w:ascii="Times New Roman" w:hAnsi="Times New Roman"/>
                <w:sz w:val="24"/>
                <w:szCs w:val="24"/>
              </w:rPr>
              <w:t>(</w:t>
            </w:r>
            <w:r w:rsidR="68D511C5" w:rsidRPr="400637B3">
              <w:rPr>
                <w:rFonts w:ascii="Times New Roman" w:hAnsi="Times New Roman"/>
                <w:sz w:val="24"/>
                <w:szCs w:val="24"/>
              </w:rPr>
              <w:t>CBAM</w:t>
            </w:r>
            <w:r w:rsidR="00530465">
              <w:rPr>
                <w:rFonts w:ascii="Times New Roman" w:hAnsi="Times New Roman"/>
                <w:sz w:val="24"/>
                <w:szCs w:val="24"/>
              </w:rPr>
              <w:t>)</w:t>
            </w:r>
            <w:r w:rsidR="68D511C5" w:rsidRPr="400637B3">
              <w:rPr>
                <w:rFonts w:ascii="Times New Roman" w:hAnsi="Times New Roman"/>
                <w:sz w:val="24"/>
                <w:szCs w:val="24"/>
              </w:rPr>
              <w:t xml:space="preserve"> sectors. </w:t>
            </w:r>
            <w:r w:rsidRPr="400637B3">
              <w:rPr>
                <w:rFonts w:ascii="Times New Roman" w:hAnsi="Times New Roman"/>
                <w:sz w:val="24"/>
                <w:szCs w:val="24"/>
              </w:rPr>
              <w:t xml:space="preserve">In </w:t>
            </w:r>
            <w:r w:rsidR="00530465">
              <w:rPr>
                <w:rFonts w:ascii="Times New Roman" w:hAnsi="Times New Roman"/>
                <w:sz w:val="24"/>
                <w:szCs w:val="24"/>
              </w:rPr>
              <w:t xml:space="preserve">the fourth quarter of </w:t>
            </w:r>
            <w:r w:rsidRPr="400637B3">
              <w:rPr>
                <w:rFonts w:ascii="Times New Roman" w:hAnsi="Times New Roman"/>
                <w:sz w:val="24"/>
                <w:szCs w:val="24"/>
              </w:rPr>
              <w:t>2025</w:t>
            </w:r>
            <w:r w:rsidR="68D511C5" w:rsidRPr="400637B3">
              <w:rPr>
                <w:rFonts w:ascii="Times New Roman" w:hAnsi="Times New Roman"/>
                <w:sz w:val="24"/>
                <w:szCs w:val="24"/>
              </w:rPr>
              <w:t>, it will</w:t>
            </w:r>
            <w:r w:rsidRPr="400637B3">
              <w:rPr>
                <w:rFonts w:ascii="Times New Roman" w:hAnsi="Times New Roman"/>
                <w:sz w:val="24"/>
                <w:szCs w:val="24"/>
              </w:rPr>
              <w:t xml:space="preserve"> also</w:t>
            </w:r>
            <w:r w:rsidR="68D511C5" w:rsidRPr="400637B3">
              <w:rPr>
                <w:rFonts w:ascii="Times New Roman" w:hAnsi="Times New Roman"/>
                <w:sz w:val="24"/>
                <w:szCs w:val="24"/>
              </w:rPr>
              <w:t xml:space="preserve"> present a comprehensive CBAM review</w:t>
            </w:r>
            <w:r w:rsidRPr="400637B3">
              <w:rPr>
                <w:rFonts w:ascii="Times New Roman" w:hAnsi="Times New Roman"/>
                <w:sz w:val="24"/>
                <w:szCs w:val="24"/>
              </w:rPr>
              <w:t xml:space="preserve">, </w:t>
            </w:r>
            <w:r w:rsidR="2438FACC" w:rsidRPr="400637B3">
              <w:rPr>
                <w:rFonts w:ascii="Times New Roman" w:hAnsi="Times New Roman"/>
                <w:sz w:val="24"/>
                <w:szCs w:val="24"/>
              </w:rPr>
              <w:t>including an assessment of CBA</w:t>
            </w:r>
            <w:r w:rsidR="1102925E" w:rsidRPr="400637B3">
              <w:rPr>
                <w:rFonts w:ascii="Times New Roman" w:hAnsi="Times New Roman"/>
                <w:sz w:val="24"/>
                <w:szCs w:val="24"/>
              </w:rPr>
              <w:t>M’s impact</w:t>
            </w:r>
            <w:r w:rsidR="2438FACC" w:rsidRPr="400637B3">
              <w:rPr>
                <w:rFonts w:ascii="Times New Roman" w:hAnsi="Times New Roman"/>
                <w:sz w:val="24"/>
                <w:szCs w:val="24"/>
              </w:rPr>
              <w:t xml:space="preserve"> on </w:t>
            </w:r>
            <w:r w:rsidR="2D5DDBAE" w:rsidRPr="400637B3">
              <w:rPr>
                <w:rFonts w:ascii="Times New Roman" w:hAnsi="Times New Roman"/>
                <w:sz w:val="24"/>
                <w:szCs w:val="24"/>
              </w:rPr>
              <w:t>third countries</w:t>
            </w:r>
            <w:r w:rsidRPr="400637B3">
              <w:rPr>
                <w:rFonts w:ascii="Times New Roman" w:hAnsi="Times New Roman"/>
                <w:sz w:val="24"/>
                <w:szCs w:val="24"/>
              </w:rPr>
              <w:t xml:space="preserve"> </w:t>
            </w:r>
            <w:r w:rsidR="2438FACC" w:rsidRPr="400637B3">
              <w:rPr>
                <w:rFonts w:ascii="Times New Roman" w:hAnsi="Times New Roman"/>
                <w:sz w:val="24"/>
                <w:szCs w:val="24"/>
              </w:rPr>
              <w:t>and</w:t>
            </w:r>
            <w:r w:rsidRPr="400637B3">
              <w:rPr>
                <w:rFonts w:ascii="Times New Roman" w:hAnsi="Times New Roman"/>
                <w:sz w:val="24"/>
                <w:szCs w:val="24"/>
              </w:rPr>
              <w:t xml:space="preserve"> </w:t>
            </w:r>
            <w:r w:rsidR="17F7E951" w:rsidRPr="400637B3">
              <w:rPr>
                <w:rFonts w:ascii="Times New Roman" w:hAnsi="Times New Roman"/>
                <w:sz w:val="24"/>
                <w:szCs w:val="24"/>
              </w:rPr>
              <w:t xml:space="preserve">analysing the </w:t>
            </w:r>
            <w:r w:rsidR="0F1D6102" w:rsidRPr="400637B3">
              <w:rPr>
                <w:rFonts w:ascii="Times New Roman" w:hAnsi="Times New Roman"/>
                <w:sz w:val="24"/>
                <w:szCs w:val="24"/>
              </w:rPr>
              <w:t xml:space="preserve">potential extension of its </w:t>
            </w:r>
            <w:r w:rsidR="38E0DCDA" w:rsidRPr="400637B3">
              <w:rPr>
                <w:rFonts w:ascii="Times New Roman" w:hAnsi="Times New Roman"/>
                <w:sz w:val="24"/>
                <w:szCs w:val="24"/>
              </w:rPr>
              <w:t>scope, accompanied</w:t>
            </w:r>
            <w:r w:rsidRPr="400637B3">
              <w:rPr>
                <w:rFonts w:ascii="Times New Roman" w:hAnsi="Times New Roman"/>
                <w:sz w:val="24"/>
                <w:szCs w:val="24"/>
              </w:rPr>
              <w:t xml:space="preserve"> by an anti-circumvention strategy. It will also present </w:t>
            </w:r>
            <w:r w:rsidR="68D511C5" w:rsidRPr="400637B3">
              <w:rPr>
                <w:rFonts w:ascii="Times New Roman" w:hAnsi="Times New Roman"/>
                <w:sz w:val="24"/>
                <w:szCs w:val="24"/>
              </w:rPr>
              <w:t>a legislative proposal to extend CBAM to selected downstream products and</w:t>
            </w:r>
            <w:r w:rsidRPr="400637B3">
              <w:rPr>
                <w:rFonts w:ascii="Times New Roman" w:hAnsi="Times New Roman"/>
                <w:sz w:val="24"/>
                <w:szCs w:val="24"/>
              </w:rPr>
              <w:t xml:space="preserve"> include additional anti-circumvention measures.</w:t>
            </w:r>
          </w:p>
          <w:p w14:paraId="5C140E9E" w14:textId="3A7609E7" w:rsidR="00210AAF" w:rsidRPr="00CC7D95" w:rsidRDefault="00ED5B95" w:rsidP="003B594B">
            <w:pPr>
              <w:widowControl w:val="0"/>
              <w:spacing w:before="120" w:after="120"/>
              <w:jc w:val="both"/>
              <w:rPr>
                <w:rFonts w:ascii="Times New Roman" w:hAnsi="Times New Roman"/>
                <w:sz w:val="24"/>
              </w:rPr>
            </w:pPr>
            <w:r>
              <w:rPr>
                <w:rFonts w:ascii="Times New Roman" w:hAnsi="Times New Roman"/>
                <w:sz w:val="24"/>
                <w:szCs w:val="24"/>
              </w:rPr>
              <w:t xml:space="preserve">The </w:t>
            </w:r>
            <w:r w:rsidR="0487D0B8" w:rsidRPr="4210F205">
              <w:rPr>
                <w:rFonts w:ascii="Times New Roman" w:hAnsi="Times New Roman"/>
                <w:sz w:val="24"/>
                <w:szCs w:val="24"/>
              </w:rPr>
              <w:t>Omnibus I</w:t>
            </w:r>
            <w:r w:rsidR="008A4236" w:rsidRPr="4210F205">
              <w:rPr>
                <w:rStyle w:val="FootnoteReference"/>
                <w:rFonts w:ascii="Times New Roman" w:hAnsi="Times New Roman"/>
                <w:sz w:val="24"/>
                <w:szCs w:val="24"/>
              </w:rPr>
              <w:footnoteReference w:id="5"/>
            </w:r>
            <w:r w:rsidR="2706C742" w:rsidRPr="4210F205">
              <w:rPr>
                <w:rFonts w:ascii="Times New Roman" w:hAnsi="Times New Roman"/>
                <w:sz w:val="24"/>
                <w:szCs w:val="24"/>
              </w:rPr>
              <w:t xml:space="preserve">, </w:t>
            </w:r>
            <w:r w:rsidR="5384FFE9" w:rsidRPr="4210F205">
              <w:rPr>
                <w:rFonts w:ascii="Times New Roman" w:hAnsi="Times New Roman"/>
                <w:sz w:val="24"/>
                <w:szCs w:val="24"/>
              </w:rPr>
              <w:t xml:space="preserve">proposed by the Commission on </w:t>
            </w:r>
            <w:r w:rsidR="0487D0B8" w:rsidRPr="4210F205">
              <w:rPr>
                <w:rFonts w:ascii="Times New Roman" w:hAnsi="Times New Roman"/>
                <w:sz w:val="24"/>
                <w:szCs w:val="24"/>
              </w:rPr>
              <w:t>26</w:t>
            </w:r>
            <w:r w:rsidR="00BD6C75">
              <w:rPr>
                <w:rFonts w:ascii="Times New Roman" w:hAnsi="Times New Roman"/>
                <w:sz w:val="24"/>
                <w:szCs w:val="24"/>
              </w:rPr>
              <w:t> </w:t>
            </w:r>
            <w:r w:rsidR="0487D0B8" w:rsidRPr="4210F205">
              <w:rPr>
                <w:rFonts w:ascii="Times New Roman" w:hAnsi="Times New Roman"/>
                <w:sz w:val="24"/>
                <w:szCs w:val="24"/>
              </w:rPr>
              <w:t>February 2025</w:t>
            </w:r>
            <w:r w:rsidR="0850AA06" w:rsidRPr="4210F205">
              <w:rPr>
                <w:rFonts w:ascii="Times New Roman" w:hAnsi="Times New Roman"/>
                <w:sz w:val="24"/>
                <w:szCs w:val="24"/>
              </w:rPr>
              <w:t>,</w:t>
            </w:r>
            <w:r w:rsidR="5384FFE9" w:rsidRPr="4210F205">
              <w:rPr>
                <w:rFonts w:ascii="Times New Roman" w:hAnsi="Times New Roman"/>
                <w:sz w:val="24"/>
                <w:szCs w:val="24"/>
              </w:rPr>
              <w:t xml:space="preserve"> was recently adopted by the co-legislators. It</w:t>
            </w:r>
            <w:r w:rsidR="0487D0B8" w:rsidRPr="4210F205">
              <w:rPr>
                <w:rFonts w:ascii="Times New Roman" w:hAnsi="Times New Roman"/>
                <w:sz w:val="24"/>
                <w:szCs w:val="24"/>
              </w:rPr>
              <w:t xml:space="preserve"> </w:t>
            </w:r>
            <w:r w:rsidR="778ED645" w:rsidRPr="4210F205">
              <w:rPr>
                <w:rFonts w:ascii="Times New Roman" w:hAnsi="Times New Roman"/>
                <w:sz w:val="24"/>
                <w:szCs w:val="24"/>
              </w:rPr>
              <w:t>already delivered important simplifications. It amended the CBAM Regulation to streamline reporting obligations and reduce unnecessary</w:t>
            </w:r>
            <w:r w:rsidR="007A5E4A">
              <w:rPr>
                <w:rFonts w:ascii="Times New Roman" w:hAnsi="Times New Roman"/>
                <w:sz w:val="24"/>
                <w:szCs w:val="24"/>
              </w:rPr>
              <w:t xml:space="preserve"> administrative</w:t>
            </w:r>
            <w:r w:rsidR="778ED645" w:rsidRPr="4210F205">
              <w:rPr>
                <w:rFonts w:ascii="Times New Roman" w:hAnsi="Times New Roman"/>
                <w:sz w:val="24"/>
                <w:szCs w:val="24"/>
              </w:rPr>
              <w:t xml:space="preserve"> burden, particularly for </w:t>
            </w:r>
            <w:r w:rsidR="00530465">
              <w:rPr>
                <w:rFonts w:ascii="Times New Roman" w:hAnsi="Times New Roman"/>
                <w:sz w:val="24"/>
                <w:szCs w:val="24"/>
              </w:rPr>
              <w:t>small and medium-sized enterprises</w:t>
            </w:r>
            <w:r w:rsidR="00BD6C75">
              <w:rPr>
                <w:rFonts w:ascii="Times New Roman" w:hAnsi="Times New Roman"/>
                <w:sz w:val="24"/>
                <w:szCs w:val="24"/>
              </w:rPr>
              <w:t> </w:t>
            </w:r>
            <w:r w:rsidR="00530465">
              <w:rPr>
                <w:rFonts w:ascii="Times New Roman" w:hAnsi="Times New Roman"/>
                <w:sz w:val="24"/>
                <w:szCs w:val="24"/>
              </w:rPr>
              <w:t>(</w:t>
            </w:r>
            <w:r w:rsidR="778ED645" w:rsidRPr="4210F205">
              <w:rPr>
                <w:rFonts w:ascii="Times New Roman" w:hAnsi="Times New Roman"/>
                <w:sz w:val="24"/>
                <w:szCs w:val="24"/>
              </w:rPr>
              <w:t>SMEs</w:t>
            </w:r>
            <w:r w:rsidR="00530465">
              <w:rPr>
                <w:rFonts w:ascii="Times New Roman" w:hAnsi="Times New Roman"/>
                <w:sz w:val="24"/>
                <w:szCs w:val="24"/>
              </w:rPr>
              <w:t>)</w:t>
            </w:r>
            <w:r w:rsidR="778ED645" w:rsidRPr="4210F205">
              <w:rPr>
                <w:rFonts w:ascii="Times New Roman" w:hAnsi="Times New Roman"/>
                <w:sz w:val="24"/>
                <w:szCs w:val="24"/>
              </w:rPr>
              <w:t xml:space="preserve">, while strengthening enforcement. </w:t>
            </w:r>
            <w:r w:rsidR="29F5C588" w:rsidRPr="4210F205">
              <w:rPr>
                <w:rFonts w:ascii="Times New Roman" w:hAnsi="Times New Roman"/>
                <w:sz w:val="24"/>
                <w:szCs w:val="24"/>
              </w:rPr>
              <w:t xml:space="preserve">It introduced a ‘de minimis’ mass threshold whereby imports up to 50 tonnes per importer per year will not be subject to CBAM rules. </w:t>
            </w:r>
            <w:r w:rsidR="778ED645" w:rsidRPr="4210F205">
              <w:rPr>
                <w:rFonts w:ascii="Times New Roman" w:hAnsi="Times New Roman"/>
                <w:sz w:val="24"/>
                <w:szCs w:val="24"/>
              </w:rPr>
              <w:t>It also</w:t>
            </w:r>
            <w:r w:rsidR="6380C977" w:rsidRPr="4210F205">
              <w:rPr>
                <w:rFonts w:ascii="Times New Roman" w:hAnsi="Times New Roman"/>
                <w:sz w:val="24"/>
                <w:szCs w:val="24"/>
              </w:rPr>
              <w:t xml:space="preserve"> provided further adjustments to facilitate the </w:t>
            </w:r>
            <w:r w:rsidR="72A051E3" w:rsidRPr="4210F205">
              <w:rPr>
                <w:rFonts w:ascii="Times New Roman" w:hAnsi="Times New Roman"/>
                <w:sz w:val="24"/>
                <w:szCs w:val="24"/>
              </w:rPr>
              <w:t>compliance by</w:t>
            </w:r>
            <w:r w:rsidR="6380C977" w:rsidRPr="4210F205">
              <w:rPr>
                <w:rFonts w:ascii="Times New Roman" w:hAnsi="Times New Roman"/>
                <w:sz w:val="24"/>
                <w:szCs w:val="24"/>
              </w:rPr>
              <w:t xml:space="preserve"> declarants, such as removing the obligation to buy CBAM certificates on a quarterly basis</w:t>
            </w:r>
            <w:r w:rsidR="671FB070" w:rsidRPr="4210F205">
              <w:rPr>
                <w:rFonts w:ascii="Times New Roman" w:hAnsi="Times New Roman"/>
                <w:sz w:val="24"/>
                <w:szCs w:val="24"/>
              </w:rPr>
              <w:t xml:space="preserve"> in 2026</w:t>
            </w:r>
            <w:r w:rsidR="6380C977" w:rsidRPr="4210F205">
              <w:rPr>
                <w:rFonts w:ascii="Times New Roman" w:hAnsi="Times New Roman"/>
                <w:sz w:val="24"/>
                <w:szCs w:val="24"/>
              </w:rPr>
              <w:t>, which will start in February 2027 instead</w:t>
            </w:r>
            <w:r w:rsidR="778ED645" w:rsidRPr="4210F205">
              <w:rPr>
                <w:rFonts w:ascii="Times New Roman" w:hAnsi="Times New Roman"/>
                <w:sz w:val="24"/>
                <w:szCs w:val="24"/>
              </w:rPr>
              <w:t xml:space="preserve"> </w:t>
            </w:r>
            <w:r w:rsidR="6380C977" w:rsidRPr="4210F205">
              <w:rPr>
                <w:rFonts w:ascii="Times New Roman" w:hAnsi="Times New Roman"/>
                <w:sz w:val="24"/>
                <w:szCs w:val="24"/>
              </w:rPr>
              <w:t>and postponing the deadline to submit annual CBAM declarations from 31</w:t>
            </w:r>
            <w:r w:rsidR="00BD6C75">
              <w:rPr>
                <w:rFonts w:ascii="Times New Roman" w:hAnsi="Times New Roman"/>
                <w:sz w:val="24"/>
                <w:szCs w:val="24"/>
              </w:rPr>
              <w:t> </w:t>
            </w:r>
            <w:r w:rsidR="6380C977" w:rsidRPr="4210F205">
              <w:rPr>
                <w:rFonts w:ascii="Times New Roman" w:hAnsi="Times New Roman"/>
                <w:sz w:val="24"/>
                <w:szCs w:val="24"/>
              </w:rPr>
              <w:t xml:space="preserve">May to 30 September. </w:t>
            </w:r>
            <w:r w:rsidR="778ED645" w:rsidRPr="4210F205">
              <w:rPr>
                <w:rFonts w:ascii="Times New Roman" w:hAnsi="Times New Roman"/>
                <w:sz w:val="24"/>
                <w:szCs w:val="24"/>
              </w:rPr>
              <w:t xml:space="preserve">Together, these measures </w:t>
            </w:r>
            <w:r w:rsidR="0361A62D" w:rsidRPr="4210F205">
              <w:rPr>
                <w:rFonts w:ascii="Times New Roman" w:hAnsi="Times New Roman"/>
                <w:sz w:val="24"/>
                <w:szCs w:val="24"/>
              </w:rPr>
              <w:t xml:space="preserve">significantly decrease the number of importers covered by the scope of CBAM, </w:t>
            </w:r>
            <w:r w:rsidR="778ED645" w:rsidRPr="4210F205">
              <w:rPr>
                <w:rFonts w:ascii="Times New Roman" w:hAnsi="Times New Roman"/>
                <w:sz w:val="24"/>
                <w:szCs w:val="24"/>
              </w:rPr>
              <w:t>reduce administrative costs and improve legal certainty for companies, while safeguarding environmental objectives.</w:t>
            </w:r>
          </w:p>
          <w:p w14:paraId="348B20A2" w14:textId="793D41C3" w:rsidR="00734613" w:rsidRPr="004F6117" w:rsidRDefault="5E2F640F" w:rsidP="003B594B">
            <w:pPr>
              <w:widowControl w:val="0"/>
              <w:spacing w:before="120" w:after="120"/>
              <w:jc w:val="both"/>
              <w:rPr>
                <w:rFonts w:ascii="Times New Roman" w:hAnsi="Times New Roman"/>
                <w:sz w:val="24"/>
                <w:szCs w:val="24"/>
              </w:rPr>
            </w:pPr>
            <w:r w:rsidRPr="4210F205">
              <w:rPr>
                <w:rFonts w:ascii="Times New Roman" w:hAnsi="Times New Roman"/>
                <w:sz w:val="24"/>
                <w:szCs w:val="24"/>
              </w:rPr>
              <w:t xml:space="preserve">The Commission is also reviewing the State aid guidelines for the </w:t>
            </w:r>
            <w:r w:rsidR="3CE1C8D1" w:rsidRPr="4210F205">
              <w:rPr>
                <w:rFonts w:ascii="Times New Roman" w:hAnsi="Times New Roman"/>
                <w:sz w:val="24"/>
                <w:szCs w:val="24"/>
              </w:rPr>
              <w:t xml:space="preserve">cost of </w:t>
            </w:r>
            <w:r w:rsidRPr="4210F205">
              <w:rPr>
                <w:rFonts w:ascii="Times New Roman" w:hAnsi="Times New Roman"/>
                <w:sz w:val="24"/>
                <w:szCs w:val="24"/>
              </w:rPr>
              <w:t>indirect</w:t>
            </w:r>
            <w:r w:rsidR="5FA2C0C8" w:rsidRPr="4210F205">
              <w:rPr>
                <w:rFonts w:ascii="Times New Roman" w:hAnsi="Times New Roman"/>
                <w:sz w:val="24"/>
                <w:szCs w:val="24"/>
              </w:rPr>
              <w:t xml:space="preserve"> emissions in the electricity price notably with a view to </w:t>
            </w:r>
            <w:proofErr w:type="gramStart"/>
            <w:r w:rsidR="0312E8A3" w:rsidRPr="4210F205">
              <w:rPr>
                <w:rFonts w:ascii="Times New Roman" w:hAnsi="Times New Roman"/>
                <w:sz w:val="24"/>
                <w:szCs w:val="24"/>
              </w:rPr>
              <w:t>take into account</w:t>
            </w:r>
            <w:proofErr w:type="gramEnd"/>
            <w:r w:rsidR="0312E8A3" w:rsidRPr="4210F205">
              <w:rPr>
                <w:rFonts w:ascii="Times New Roman" w:hAnsi="Times New Roman"/>
                <w:sz w:val="24"/>
                <w:szCs w:val="24"/>
              </w:rPr>
              <w:t xml:space="preserve"> increased risks of carbon leakage for</w:t>
            </w:r>
            <w:r w:rsidR="68240FD2" w:rsidRPr="4210F205">
              <w:rPr>
                <w:rFonts w:ascii="Times New Roman" w:hAnsi="Times New Roman"/>
                <w:sz w:val="24"/>
                <w:szCs w:val="24"/>
              </w:rPr>
              <w:t xml:space="preserve"> certain</w:t>
            </w:r>
            <w:r w:rsidR="0312E8A3" w:rsidRPr="4210F205">
              <w:rPr>
                <w:rFonts w:ascii="Times New Roman" w:hAnsi="Times New Roman"/>
                <w:sz w:val="24"/>
                <w:szCs w:val="24"/>
              </w:rPr>
              <w:t xml:space="preserve"> sectors that </w:t>
            </w:r>
            <w:r w:rsidR="0C6FA125" w:rsidRPr="4210F205">
              <w:rPr>
                <w:rFonts w:ascii="Times New Roman" w:hAnsi="Times New Roman"/>
                <w:sz w:val="24"/>
                <w:szCs w:val="24"/>
              </w:rPr>
              <w:t>are currently not eligible under the guidelines.</w:t>
            </w:r>
          </w:p>
          <w:p w14:paraId="542F2DAE" w14:textId="148A01B8" w:rsidR="00734613" w:rsidRPr="004F6117" w:rsidRDefault="413A2C50" w:rsidP="003B594B">
            <w:pPr>
              <w:widowControl w:val="0"/>
              <w:spacing w:before="120" w:after="120"/>
              <w:jc w:val="both"/>
              <w:rPr>
                <w:rFonts w:ascii="Times New Roman" w:hAnsi="Times New Roman"/>
                <w:b/>
                <w:bCs/>
                <w:sz w:val="24"/>
                <w:szCs w:val="24"/>
              </w:rPr>
            </w:pPr>
            <w:r w:rsidRPr="73FD30D8">
              <w:rPr>
                <w:rFonts w:ascii="Times New Roman" w:hAnsi="Times New Roman"/>
                <w:b/>
                <w:bCs/>
                <w:sz w:val="24"/>
                <w:szCs w:val="24"/>
              </w:rPr>
              <w:t>Promoting and protecting European industrial capacities</w:t>
            </w:r>
            <w:r w:rsidR="00530465">
              <w:rPr>
                <w:rFonts w:ascii="Times New Roman" w:hAnsi="Times New Roman"/>
                <w:b/>
                <w:bCs/>
                <w:sz w:val="24"/>
                <w:szCs w:val="24"/>
              </w:rPr>
              <w:t>:</w:t>
            </w:r>
          </w:p>
          <w:p w14:paraId="087C79FC" w14:textId="275E3328" w:rsidR="00734613" w:rsidRPr="00624A81" w:rsidRDefault="413A2C50" w:rsidP="003B594B">
            <w:pPr>
              <w:widowControl w:val="0"/>
              <w:spacing w:before="120" w:after="120"/>
              <w:jc w:val="both"/>
            </w:pPr>
            <w:r w:rsidRPr="265B44A4">
              <w:rPr>
                <w:rFonts w:ascii="Times New Roman" w:hAnsi="Times New Roman"/>
                <w:sz w:val="24"/>
                <w:szCs w:val="24"/>
              </w:rPr>
              <w:t xml:space="preserve">The Commission </w:t>
            </w:r>
            <w:r w:rsidR="08953DEE" w:rsidRPr="265B44A4">
              <w:rPr>
                <w:rFonts w:ascii="Times New Roman" w:hAnsi="Times New Roman"/>
                <w:sz w:val="24"/>
                <w:szCs w:val="24"/>
              </w:rPr>
              <w:t>adopted on 7 October 2025 a proposal for a long-term trade instrument to succeed the current steel safeguard</w:t>
            </w:r>
            <w:r w:rsidR="00E13890">
              <w:rPr>
                <w:rStyle w:val="FootnoteReference"/>
                <w:rFonts w:ascii="Times New Roman" w:hAnsi="Times New Roman"/>
                <w:sz w:val="24"/>
                <w:szCs w:val="24"/>
              </w:rPr>
              <w:footnoteReference w:id="6"/>
            </w:r>
            <w:r w:rsidR="08953DEE" w:rsidRPr="265B44A4">
              <w:rPr>
                <w:rFonts w:ascii="Times New Roman" w:hAnsi="Times New Roman"/>
                <w:sz w:val="24"/>
                <w:szCs w:val="24"/>
              </w:rPr>
              <w:t>, which will expire in July 2026.</w:t>
            </w:r>
            <w:r w:rsidRPr="265B44A4">
              <w:rPr>
                <w:rFonts w:ascii="Times New Roman" w:hAnsi="Times New Roman"/>
                <w:sz w:val="24"/>
                <w:szCs w:val="24"/>
              </w:rPr>
              <w:t xml:space="preserve"> </w:t>
            </w:r>
            <w:r w:rsidR="00D43472">
              <w:rPr>
                <w:rFonts w:ascii="Times New Roman" w:hAnsi="Times New Roman"/>
                <w:sz w:val="24"/>
                <w:szCs w:val="24"/>
              </w:rPr>
              <w:t>The proposal, applicable to all origins (except</w:t>
            </w:r>
            <w:r w:rsidR="00BB1B80">
              <w:rPr>
                <w:rFonts w:ascii="Times New Roman" w:hAnsi="Times New Roman"/>
                <w:sz w:val="24"/>
                <w:szCs w:val="24"/>
              </w:rPr>
              <w:t xml:space="preserve"> the</w:t>
            </w:r>
            <w:r w:rsidR="00D43472">
              <w:rPr>
                <w:rFonts w:ascii="Times New Roman" w:hAnsi="Times New Roman"/>
                <w:sz w:val="24"/>
                <w:szCs w:val="24"/>
              </w:rPr>
              <w:t xml:space="preserve"> </w:t>
            </w:r>
            <w:r w:rsidR="00E13890">
              <w:rPr>
                <w:rFonts w:ascii="Times New Roman" w:hAnsi="Times New Roman"/>
                <w:sz w:val="24"/>
                <w:szCs w:val="24"/>
              </w:rPr>
              <w:t>European Economic Area (</w:t>
            </w:r>
            <w:r w:rsidR="00D43472">
              <w:rPr>
                <w:rFonts w:ascii="Times New Roman" w:hAnsi="Times New Roman"/>
                <w:sz w:val="24"/>
                <w:szCs w:val="24"/>
              </w:rPr>
              <w:t>EEA</w:t>
            </w:r>
            <w:r w:rsidR="00E13890">
              <w:rPr>
                <w:rFonts w:ascii="Times New Roman" w:hAnsi="Times New Roman"/>
                <w:sz w:val="24"/>
                <w:szCs w:val="24"/>
              </w:rPr>
              <w:t>)</w:t>
            </w:r>
            <w:r w:rsidR="00D43472">
              <w:rPr>
                <w:rFonts w:ascii="Times New Roman" w:hAnsi="Times New Roman"/>
                <w:sz w:val="24"/>
                <w:szCs w:val="24"/>
              </w:rPr>
              <w:t xml:space="preserve">) sets out a volume of quotas which are 47% lower than under the current safeguard and the out-of-quota duty is set at 50%. </w:t>
            </w:r>
            <w:r w:rsidRPr="73FD30D8">
              <w:rPr>
                <w:rFonts w:ascii="Times New Roman" w:hAnsi="Times New Roman"/>
                <w:sz w:val="24"/>
                <w:szCs w:val="24"/>
              </w:rPr>
              <w:t xml:space="preserve">This </w:t>
            </w:r>
            <w:r w:rsidR="00D43472">
              <w:rPr>
                <w:rFonts w:ascii="Times New Roman" w:hAnsi="Times New Roman"/>
                <w:sz w:val="24"/>
                <w:szCs w:val="24"/>
              </w:rPr>
              <w:t>ambitious proposal</w:t>
            </w:r>
            <w:r w:rsidRPr="265B44A4">
              <w:rPr>
                <w:rFonts w:ascii="Times New Roman" w:hAnsi="Times New Roman"/>
                <w:sz w:val="24"/>
                <w:szCs w:val="24"/>
              </w:rPr>
              <w:t xml:space="preserve"> responds to the </w:t>
            </w:r>
            <w:r w:rsidR="1451513C" w:rsidRPr="265B44A4">
              <w:rPr>
                <w:rFonts w:ascii="Times New Roman" w:hAnsi="Times New Roman"/>
                <w:sz w:val="24"/>
                <w:szCs w:val="24"/>
              </w:rPr>
              <w:t>EESC</w:t>
            </w:r>
            <w:r w:rsidRPr="265B44A4">
              <w:rPr>
                <w:rFonts w:ascii="Times New Roman" w:hAnsi="Times New Roman"/>
                <w:sz w:val="24"/>
                <w:szCs w:val="24"/>
              </w:rPr>
              <w:t>’s request for effective protection</w:t>
            </w:r>
            <w:r w:rsidR="0B8308C4">
              <w:t xml:space="preserve"> </w:t>
            </w:r>
            <w:r w:rsidR="0B8308C4" w:rsidRPr="265B44A4">
              <w:rPr>
                <w:rFonts w:ascii="Times New Roman" w:hAnsi="Times New Roman"/>
                <w:sz w:val="24"/>
                <w:szCs w:val="24"/>
              </w:rPr>
              <w:t xml:space="preserve">against global overcapacity, while introducing a </w:t>
            </w:r>
            <w:r w:rsidR="00771AE1" w:rsidRPr="265B44A4">
              <w:rPr>
                <w:rFonts w:ascii="Times New Roman" w:hAnsi="Times New Roman"/>
                <w:sz w:val="24"/>
                <w:szCs w:val="24"/>
              </w:rPr>
              <w:t>tariff rate quota</w:t>
            </w:r>
            <w:r w:rsidR="0009087C" w:rsidRPr="265B44A4">
              <w:rPr>
                <w:rFonts w:ascii="Times New Roman" w:hAnsi="Times New Roman"/>
                <w:sz w:val="24"/>
                <w:szCs w:val="24"/>
              </w:rPr>
              <w:t xml:space="preserve"> that</w:t>
            </w:r>
            <w:r w:rsidR="0B8308C4" w:rsidRPr="265B44A4">
              <w:rPr>
                <w:rFonts w:ascii="Times New Roman" w:hAnsi="Times New Roman"/>
                <w:sz w:val="24"/>
                <w:szCs w:val="24"/>
              </w:rPr>
              <w:t xml:space="preserve"> balance</w:t>
            </w:r>
            <w:r w:rsidR="00BB1B80">
              <w:rPr>
                <w:rFonts w:ascii="Times New Roman" w:hAnsi="Times New Roman"/>
                <w:sz w:val="24"/>
                <w:szCs w:val="24"/>
              </w:rPr>
              <w:t>s</w:t>
            </w:r>
            <w:r w:rsidR="0B8308C4" w:rsidRPr="265B44A4">
              <w:rPr>
                <w:rFonts w:ascii="Times New Roman" w:hAnsi="Times New Roman"/>
                <w:sz w:val="24"/>
                <w:szCs w:val="24"/>
              </w:rPr>
              <w:t xml:space="preserve"> the interests of EU producers with the needs of downstream users. It also provides the flexibility to adjust country allocations</w:t>
            </w:r>
            <w:r w:rsidR="00D43472">
              <w:rPr>
                <w:rFonts w:ascii="Times New Roman" w:hAnsi="Times New Roman"/>
                <w:sz w:val="24"/>
                <w:szCs w:val="24"/>
              </w:rPr>
              <w:t>, and other features of the measure, such as quota volumes</w:t>
            </w:r>
            <w:r w:rsidR="0B8308C4" w:rsidRPr="265B44A4">
              <w:rPr>
                <w:rFonts w:ascii="Times New Roman" w:hAnsi="Times New Roman"/>
                <w:sz w:val="24"/>
                <w:szCs w:val="24"/>
              </w:rPr>
              <w:t xml:space="preserve"> over time, in line with market developments and international commitments.</w:t>
            </w:r>
            <w:r w:rsidR="38EAA1E5" w:rsidRPr="265B44A4">
              <w:rPr>
                <w:rFonts w:ascii="Times New Roman" w:hAnsi="Times New Roman"/>
                <w:sz w:val="24"/>
                <w:szCs w:val="24"/>
              </w:rPr>
              <w:t xml:space="preserve"> </w:t>
            </w:r>
            <w:r w:rsidR="28477CB6" w:rsidRPr="265B44A4">
              <w:rPr>
                <w:rFonts w:ascii="Times New Roman" w:hAnsi="Times New Roman"/>
                <w:sz w:val="24"/>
                <w:szCs w:val="24"/>
              </w:rPr>
              <w:t xml:space="preserve">The Commission recognises the urgency of the </w:t>
            </w:r>
            <w:r w:rsidR="00CF7BA0" w:rsidRPr="265B44A4">
              <w:rPr>
                <w:rFonts w:ascii="Times New Roman" w:hAnsi="Times New Roman"/>
                <w:sz w:val="24"/>
                <w:szCs w:val="24"/>
              </w:rPr>
              <w:t xml:space="preserve">EESC’s </w:t>
            </w:r>
            <w:r w:rsidR="28477CB6" w:rsidRPr="265B44A4">
              <w:rPr>
                <w:rFonts w:ascii="Times New Roman" w:hAnsi="Times New Roman"/>
                <w:sz w:val="24"/>
                <w:szCs w:val="24"/>
              </w:rPr>
              <w:t xml:space="preserve">request on circumvention. </w:t>
            </w:r>
            <w:r w:rsidR="45A22B00" w:rsidRPr="265B44A4">
              <w:rPr>
                <w:rFonts w:ascii="Times New Roman" w:hAnsi="Times New Roman"/>
                <w:sz w:val="24"/>
                <w:szCs w:val="24"/>
              </w:rPr>
              <w:t>The</w:t>
            </w:r>
            <w:r w:rsidR="771D7326" w:rsidRPr="265B44A4">
              <w:rPr>
                <w:rFonts w:ascii="Times New Roman" w:hAnsi="Times New Roman"/>
                <w:sz w:val="24"/>
                <w:szCs w:val="24"/>
              </w:rPr>
              <w:t xml:space="preserve"> requirement to identify the place of melting and pouring</w:t>
            </w:r>
            <w:r w:rsidR="57003B5C" w:rsidRPr="265B44A4">
              <w:rPr>
                <w:rFonts w:ascii="Times New Roman" w:hAnsi="Times New Roman"/>
                <w:sz w:val="24"/>
                <w:szCs w:val="24"/>
              </w:rPr>
              <w:t xml:space="preserve"> has been </w:t>
            </w:r>
            <w:r w:rsidR="46AC3E70" w:rsidRPr="265B44A4">
              <w:rPr>
                <w:rFonts w:ascii="Times New Roman" w:hAnsi="Times New Roman"/>
                <w:sz w:val="24"/>
                <w:szCs w:val="24"/>
              </w:rPr>
              <w:t>introduced</w:t>
            </w:r>
            <w:r w:rsidR="57003B5C" w:rsidRPr="265B44A4">
              <w:rPr>
                <w:rFonts w:ascii="Times New Roman" w:hAnsi="Times New Roman"/>
                <w:sz w:val="24"/>
                <w:szCs w:val="24"/>
              </w:rPr>
              <w:t xml:space="preserve"> into the Commission’s proposal for the new steel </w:t>
            </w:r>
            <w:r w:rsidR="00D43472">
              <w:rPr>
                <w:rFonts w:ascii="Times New Roman" w:hAnsi="Times New Roman"/>
                <w:sz w:val="24"/>
                <w:szCs w:val="24"/>
              </w:rPr>
              <w:t>measure</w:t>
            </w:r>
            <w:r w:rsidR="57003B5C" w:rsidRPr="265B44A4">
              <w:rPr>
                <w:rFonts w:ascii="Times New Roman" w:hAnsi="Times New Roman"/>
                <w:sz w:val="24"/>
                <w:szCs w:val="24"/>
              </w:rPr>
              <w:t xml:space="preserve">. </w:t>
            </w:r>
            <w:r w:rsidR="28477CB6" w:rsidRPr="265B44A4">
              <w:rPr>
                <w:rFonts w:ascii="Times New Roman" w:hAnsi="Times New Roman"/>
                <w:sz w:val="24"/>
                <w:szCs w:val="24"/>
              </w:rPr>
              <w:t>The Commission is also reviewing the</w:t>
            </w:r>
            <w:r w:rsidR="00505709">
              <w:rPr>
                <w:rFonts w:ascii="Times New Roman" w:hAnsi="Times New Roman"/>
                <w:sz w:val="24"/>
                <w:szCs w:val="24"/>
              </w:rPr>
              <w:t xml:space="preserve"> ‘</w:t>
            </w:r>
            <w:r w:rsidR="28477CB6" w:rsidRPr="265B44A4">
              <w:rPr>
                <w:rFonts w:ascii="Times New Roman" w:hAnsi="Times New Roman"/>
                <w:sz w:val="24"/>
                <w:szCs w:val="24"/>
              </w:rPr>
              <w:t xml:space="preserve">lesser </w:t>
            </w:r>
            <w:r w:rsidR="28477CB6" w:rsidRPr="265B44A4">
              <w:rPr>
                <w:rFonts w:ascii="Times New Roman" w:hAnsi="Times New Roman"/>
                <w:sz w:val="24"/>
                <w:szCs w:val="24"/>
              </w:rPr>
              <w:lastRenderedPageBreak/>
              <w:t>duty</w:t>
            </w:r>
            <w:r w:rsidR="00505709">
              <w:rPr>
                <w:rFonts w:ascii="Times New Roman" w:hAnsi="Times New Roman"/>
                <w:sz w:val="24"/>
                <w:szCs w:val="24"/>
              </w:rPr>
              <w:t>’</w:t>
            </w:r>
            <w:r w:rsidR="28477CB6" w:rsidRPr="265B44A4">
              <w:rPr>
                <w:rFonts w:ascii="Times New Roman" w:hAnsi="Times New Roman"/>
                <w:sz w:val="24"/>
                <w:szCs w:val="24"/>
              </w:rPr>
              <w:t xml:space="preserve"> rule</w:t>
            </w:r>
            <w:r w:rsidR="00D43472">
              <w:rPr>
                <w:rFonts w:ascii="Times New Roman" w:hAnsi="Times New Roman"/>
                <w:sz w:val="24"/>
                <w:szCs w:val="24"/>
              </w:rPr>
              <w:t xml:space="preserve"> applied in trade defence instrument cases</w:t>
            </w:r>
            <w:r w:rsidR="78D4DD8F" w:rsidRPr="73FD30D8">
              <w:rPr>
                <w:rFonts w:ascii="Times New Roman" w:hAnsi="Times New Roman"/>
                <w:sz w:val="24"/>
                <w:szCs w:val="24"/>
              </w:rPr>
              <w:t xml:space="preserve">; </w:t>
            </w:r>
            <w:r w:rsidR="00D43472">
              <w:rPr>
                <w:rFonts w:ascii="Times New Roman" w:hAnsi="Times New Roman"/>
                <w:sz w:val="24"/>
                <w:szCs w:val="24"/>
              </w:rPr>
              <w:t>its</w:t>
            </w:r>
            <w:r w:rsidR="28477CB6" w:rsidRPr="265B44A4">
              <w:rPr>
                <w:rFonts w:ascii="Times New Roman" w:hAnsi="Times New Roman"/>
                <w:sz w:val="24"/>
                <w:szCs w:val="24"/>
              </w:rPr>
              <w:t xml:space="preserve"> suspension in targeted cases is one of the options under consideration.</w:t>
            </w:r>
          </w:p>
          <w:p w14:paraId="609D0EF3" w14:textId="69C15BA6" w:rsidR="00734613" w:rsidRPr="004F6117" w:rsidRDefault="413A2C50" w:rsidP="003B594B">
            <w:pPr>
              <w:widowControl w:val="0"/>
              <w:spacing w:before="120" w:after="120"/>
              <w:jc w:val="both"/>
              <w:rPr>
                <w:rFonts w:ascii="Times New Roman" w:hAnsi="Times New Roman"/>
                <w:b/>
                <w:bCs/>
                <w:sz w:val="24"/>
                <w:szCs w:val="24"/>
              </w:rPr>
            </w:pPr>
            <w:r w:rsidRPr="73FD30D8">
              <w:rPr>
                <w:rFonts w:ascii="Times New Roman" w:hAnsi="Times New Roman"/>
                <w:b/>
                <w:bCs/>
                <w:sz w:val="24"/>
                <w:szCs w:val="24"/>
              </w:rPr>
              <w:t>Promoting circularity for metals</w:t>
            </w:r>
            <w:r w:rsidR="00530465">
              <w:rPr>
                <w:rFonts w:ascii="Times New Roman" w:hAnsi="Times New Roman"/>
                <w:b/>
                <w:bCs/>
                <w:sz w:val="24"/>
                <w:szCs w:val="24"/>
              </w:rPr>
              <w:t>:</w:t>
            </w:r>
          </w:p>
          <w:p w14:paraId="142C4827" w14:textId="3D36270B" w:rsidR="00734613" w:rsidRPr="00CC7D95" w:rsidRDefault="1F846020" w:rsidP="003B594B">
            <w:pPr>
              <w:widowControl w:val="0"/>
              <w:spacing w:before="120" w:after="120"/>
              <w:jc w:val="both"/>
              <w:rPr>
                <w:rFonts w:ascii="Times New Roman" w:hAnsi="Times New Roman"/>
                <w:sz w:val="24"/>
              </w:rPr>
            </w:pPr>
            <w:r w:rsidRPr="4210F205">
              <w:rPr>
                <w:rFonts w:ascii="Times New Roman" w:hAnsi="Times New Roman"/>
                <w:sz w:val="24"/>
                <w:szCs w:val="24"/>
              </w:rPr>
              <w:t xml:space="preserve">The Commission shares the </w:t>
            </w:r>
            <w:r w:rsidR="19E22DD8" w:rsidRPr="4210F205">
              <w:rPr>
                <w:rFonts w:ascii="Times New Roman" w:hAnsi="Times New Roman"/>
                <w:sz w:val="24"/>
                <w:szCs w:val="24"/>
              </w:rPr>
              <w:t xml:space="preserve">EESC’s </w:t>
            </w:r>
            <w:r w:rsidRPr="4210F205">
              <w:rPr>
                <w:rFonts w:ascii="Times New Roman" w:hAnsi="Times New Roman"/>
                <w:sz w:val="24"/>
                <w:szCs w:val="24"/>
              </w:rPr>
              <w:t xml:space="preserve">view that scrap is </w:t>
            </w:r>
            <w:r w:rsidR="6C8E74D1" w:rsidRPr="4210F205">
              <w:rPr>
                <w:rFonts w:ascii="Times New Roman" w:hAnsi="Times New Roman"/>
                <w:sz w:val="24"/>
                <w:szCs w:val="24"/>
              </w:rPr>
              <w:t xml:space="preserve">a </w:t>
            </w:r>
            <w:r w:rsidR="6C8E74D1" w:rsidRPr="00CC7D95">
              <w:rPr>
                <w:rFonts w:ascii="Times New Roman" w:hAnsi="Times New Roman"/>
                <w:sz w:val="24"/>
              </w:rPr>
              <w:t>strategic secondary raw material both in terms of</w:t>
            </w:r>
            <w:r w:rsidR="4855D2B4" w:rsidRPr="4210F205">
              <w:rPr>
                <w:rFonts w:ascii="Times New Roman" w:hAnsi="Times New Roman"/>
                <w:sz w:val="24"/>
                <w:szCs w:val="24"/>
              </w:rPr>
              <w:t xml:space="preserve"> competitiveness and circular economy</w:t>
            </w:r>
            <w:r w:rsidRPr="4210F205">
              <w:rPr>
                <w:rFonts w:ascii="Times New Roman" w:hAnsi="Times New Roman"/>
                <w:sz w:val="24"/>
                <w:szCs w:val="24"/>
              </w:rPr>
              <w:t xml:space="preserve">. A monitoring and surveillance system for exports </w:t>
            </w:r>
            <w:r w:rsidR="5FC8A7A0" w:rsidRPr="4210F205">
              <w:rPr>
                <w:rFonts w:ascii="Times New Roman" w:hAnsi="Times New Roman"/>
                <w:sz w:val="24"/>
                <w:szCs w:val="24"/>
              </w:rPr>
              <w:t>has already activated the customs surveillance system to monitor imports and exports of metal scrap, covering ferrous scrap (including steel), aluminium and copper. This provides structured and timely data on trade flows. Building on this monitoring, the Commission will continue to assess developments</w:t>
            </w:r>
            <w:r w:rsidR="15A6C803" w:rsidRPr="4210F205">
              <w:rPr>
                <w:rFonts w:ascii="Times New Roman" w:hAnsi="Times New Roman"/>
                <w:sz w:val="24"/>
                <w:szCs w:val="24"/>
              </w:rPr>
              <w:t xml:space="preserve"> and </w:t>
            </w:r>
            <w:r w:rsidR="05C91A13" w:rsidRPr="4210F205">
              <w:rPr>
                <w:rFonts w:ascii="Times New Roman" w:hAnsi="Times New Roman"/>
                <w:sz w:val="24"/>
                <w:szCs w:val="24"/>
              </w:rPr>
              <w:t xml:space="preserve">consider </w:t>
            </w:r>
            <w:r w:rsidR="15A6C803" w:rsidRPr="4210F205">
              <w:rPr>
                <w:rFonts w:ascii="Times New Roman" w:hAnsi="Times New Roman"/>
                <w:sz w:val="24"/>
                <w:szCs w:val="24"/>
              </w:rPr>
              <w:t>measures, if appropriate</w:t>
            </w:r>
            <w:r w:rsidRPr="4210F205">
              <w:rPr>
                <w:rFonts w:ascii="Times New Roman" w:hAnsi="Times New Roman"/>
                <w:sz w:val="24"/>
                <w:szCs w:val="24"/>
              </w:rPr>
              <w:t xml:space="preserve">. </w:t>
            </w:r>
            <w:r w:rsidR="715318D8" w:rsidRPr="4210F205">
              <w:rPr>
                <w:rFonts w:ascii="Times New Roman" w:hAnsi="Times New Roman"/>
                <w:sz w:val="24"/>
                <w:szCs w:val="24"/>
              </w:rPr>
              <w:t>The Commission agrees that the e</w:t>
            </w:r>
            <w:r w:rsidRPr="4210F205">
              <w:rPr>
                <w:rFonts w:ascii="Times New Roman" w:hAnsi="Times New Roman"/>
                <w:sz w:val="24"/>
                <w:szCs w:val="24"/>
              </w:rPr>
              <w:t>nforcement of the revised Waste Shipment Regulation</w:t>
            </w:r>
            <w:r w:rsidR="0098375C">
              <w:rPr>
                <w:rStyle w:val="FootnoteReference"/>
                <w:rFonts w:ascii="Times New Roman" w:hAnsi="Times New Roman"/>
                <w:sz w:val="24"/>
                <w:szCs w:val="24"/>
              </w:rPr>
              <w:footnoteReference w:id="7"/>
            </w:r>
            <w:r w:rsidRPr="4210F205">
              <w:rPr>
                <w:rFonts w:ascii="Times New Roman" w:hAnsi="Times New Roman"/>
                <w:sz w:val="24"/>
                <w:szCs w:val="24"/>
              </w:rPr>
              <w:t xml:space="preserve"> will be </w:t>
            </w:r>
            <w:r w:rsidR="715318D8" w:rsidRPr="4210F205">
              <w:rPr>
                <w:rFonts w:ascii="Times New Roman" w:hAnsi="Times New Roman"/>
                <w:sz w:val="24"/>
                <w:szCs w:val="24"/>
              </w:rPr>
              <w:t xml:space="preserve">key </w:t>
            </w:r>
            <w:r w:rsidRPr="4210F205">
              <w:rPr>
                <w:rFonts w:ascii="Times New Roman" w:hAnsi="Times New Roman"/>
                <w:sz w:val="24"/>
                <w:szCs w:val="24"/>
              </w:rPr>
              <w:t>to ensure exports only go to destinations with standards equivalent to those in the EU.</w:t>
            </w:r>
          </w:p>
          <w:p w14:paraId="0B59287C" w14:textId="1DDED4C8" w:rsidR="00734613" w:rsidRPr="00624A81" w:rsidRDefault="2AA7D444" w:rsidP="003B594B">
            <w:pPr>
              <w:widowControl w:val="0"/>
              <w:spacing w:before="120" w:after="120"/>
              <w:jc w:val="both"/>
              <w:rPr>
                <w:rFonts w:ascii="Times New Roman" w:hAnsi="Times New Roman"/>
                <w:sz w:val="24"/>
              </w:rPr>
            </w:pPr>
            <w:r w:rsidRPr="400637B3">
              <w:rPr>
                <w:rFonts w:ascii="Times New Roman" w:hAnsi="Times New Roman"/>
                <w:sz w:val="24"/>
                <w:szCs w:val="24"/>
              </w:rPr>
              <w:t xml:space="preserve">Work is also ongoing to </w:t>
            </w:r>
            <w:r w:rsidR="3EC8471E" w:rsidRPr="400637B3">
              <w:rPr>
                <w:rFonts w:ascii="Times New Roman" w:hAnsi="Times New Roman"/>
                <w:sz w:val="24"/>
                <w:szCs w:val="24"/>
              </w:rPr>
              <w:t>explore</w:t>
            </w:r>
            <w:r w:rsidR="5479202B" w:rsidRPr="400637B3">
              <w:rPr>
                <w:rFonts w:ascii="Times New Roman" w:hAnsi="Times New Roman"/>
                <w:sz w:val="24"/>
                <w:szCs w:val="24"/>
              </w:rPr>
              <w:t xml:space="preserve"> the merits of </w:t>
            </w:r>
            <w:r w:rsidR="5AE4CED6" w:rsidRPr="400637B3">
              <w:rPr>
                <w:rFonts w:ascii="Times New Roman" w:hAnsi="Times New Roman"/>
                <w:sz w:val="24"/>
                <w:szCs w:val="24"/>
              </w:rPr>
              <w:t xml:space="preserve">setting </w:t>
            </w:r>
            <w:r w:rsidRPr="400637B3">
              <w:rPr>
                <w:rFonts w:ascii="Times New Roman" w:hAnsi="Times New Roman"/>
                <w:sz w:val="24"/>
                <w:szCs w:val="24"/>
              </w:rPr>
              <w:t>recycled-content requirements in key sectors</w:t>
            </w:r>
            <w:r w:rsidR="30D8BA85" w:rsidRPr="400637B3">
              <w:rPr>
                <w:rFonts w:ascii="Times New Roman" w:hAnsi="Times New Roman"/>
                <w:sz w:val="24"/>
                <w:szCs w:val="24"/>
              </w:rPr>
              <w:t>, for instance</w:t>
            </w:r>
            <w:r w:rsidRPr="400637B3">
              <w:rPr>
                <w:rFonts w:ascii="Times New Roman" w:hAnsi="Times New Roman"/>
                <w:sz w:val="24"/>
                <w:szCs w:val="24"/>
              </w:rPr>
              <w:t xml:space="preserve"> </w:t>
            </w:r>
            <w:r w:rsidR="61F649CF" w:rsidRPr="400637B3">
              <w:rPr>
                <w:rFonts w:ascii="Times New Roman" w:hAnsi="Times New Roman"/>
                <w:sz w:val="24"/>
                <w:szCs w:val="24"/>
              </w:rPr>
              <w:t xml:space="preserve">in the context of </w:t>
            </w:r>
            <w:r w:rsidRPr="400637B3">
              <w:rPr>
                <w:rFonts w:ascii="Times New Roman" w:hAnsi="Times New Roman"/>
                <w:sz w:val="24"/>
                <w:szCs w:val="24"/>
              </w:rPr>
              <w:t>the forthcoming Circular Economy Act.</w:t>
            </w:r>
            <w:r w:rsidR="4D6B4BF3" w:rsidRPr="400637B3">
              <w:rPr>
                <w:rFonts w:ascii="Times New Roman" w:hAnsi="Times New Roman"/>
                <w:sz w:val="24"/>
                <w:szCs w:val="24"/>
              </w:rPr>
              <w:t xml:space="preserve"> </w:t>
            </w:r>
            <w:proofErr w:type="gramStart"/>
            <w:r w:rsidR="4D6B4BF3" w:rsidRPr="400637B3">
              <w:rPr>
                <w:rFonts w:ascii="Times New Roman" w:eastAsia="Times New Roman" w:hAnsi="Times New Roman"/>
                <w:sz w:val="24"/>
                <w:szCs w:val="24"/>
              </w:rPr>
              <w:t>With regard to</w:t>
            </w:r>
            <w:proofErr w:type="gramEnd"/>
            <w:r w:rsidR="4D6B4BF3" w:rsidRPr="400637B3">
              <w:rPr>
                <w:rFonts w:ascii="Times New Roman" w:eastAsia="Times New Roman" w:hAnsi="Times New Roman"/>
                <w:sz w:val="24"/>
                <w:szCs w:val="24"/>
              </w:rPr>
              <w:t xml:space="preserve"> the Regulation on circularity requirements for vehicle design and on management of end-of-life vehicles</w:t>
            </w:r>
            <w:r w:rsidR="00FC4C91">
              <w:rPr>
                <w:rStyle w:val="FootnoteReference"/>
                <w:rFonts w:ascii="Times New Roman" w:eastAsia="Times New Roman" w:hAnsi="Times New Roman"/>
                <w:sz w:val="24"/>
                <w:szCs w:val="24"/>
              </w:rPr>
              <w:footnoteReference w:id="8"/>
            </w:r>
            <w:r w:rsidR="4D6B4BF3" w:rsidRPr="400637B3">
              <w:rPr>
                <w:rFonts w:ascii="Times New Roman" w:eastAsia="Times New Roman" w:hAnsi="Times New Roman"/>
                <w:sz w:val="24"/>
                <w:szCs w:val="24"/>
              </w:rPr>
              <w:t>, work is also ongoing to explore a more wholesome approach covering the entire life cycle of vehicles – from design, to production, to waste and end-of-life management.</w:t>
            </w:r>
            <w:r w:rsidRPr="400637B3">
              <w:rPr>
                <w:rFonts w:ascii="Times New Roman" w:hAnsi="Times New Roman"/>
                <w:sz w:val="24"/>
                <w:szCs w:val="24"/>
              </w:rPr>
              <w:t xml:space="preserve"> The</w:t>
            </w:r>
            <w:r w:rsidR="7F63CB36" w:rsidRPr="400637B3">
              <w:rPr>
                <w:rFonts w:ascii="Times New Roman" w:hAnsi="Times New Roman"/>
                <w:sz w:val="24"/>
                <w:szCs w:val="24"/>
              </w:rPr>
              <w:t xml:space="preserve"> objective of such </w:t>
            </w:r>
            <w:r w:rsidRPr="400637B3">
              <w:rPr>
                <w:rFonts w:ascii="Times New Roman" w:hAnsi="Times New Roman"/>
                <w:sz w:val="24"/>
                <w:szCs w:val="24"/>
              </w:rPr>
              <w:t xml:space="preserve">measures </w:t>
            </w:r>
            <w:r w:rsidR="3F8F2677" w:rsidRPr="400637B3">
              <w:rPr>
                <w:rFonts w:ascii="Times New Roman" w:hAnsi="Times New Roman"/>
                <w:sz w:val="24"/>
                <w:szCs w:val="24"/>
              </w:rPr>
              <w:t xml:space="preserve">would be to </w:t>
            </w:r>
            <w:r w:rsidRPr="400637B3">
              <w:rPr>
                <w:rFonts w:ascii="Times New Roman" w:hAnsi="Times New Roman"/>
                <w:sz w:val="24"/>
                <w:szCs w:val="24"/>
              </w:rPr>
              <w:t>strengthen EU recycling infrastructure</w:t>
            </w:r>
            <w:r w:rsidR="2F3C6F95" w:rsidRPr="400637B3">
              <w:rPr>
                <w:rFonts w:ascii="Times New Roman" w:hAnsi="Times New Roman"/>
                <w:sz w:val="24"/>
                <w:szCs w:val="24"/>
              </w:rPr>
              <w:t>, contribute to the decarbonisation of the EU industry</w:t>
            </w:r>
            <w:r w:rsidRPr="400637B3">
              <w:rPr>
                <w:rFonts w:ascii="Times New Roman" w:hAnsi="Times New Roman"/>
                <w:sz w:val="24"/>
                <w:szCs w:val="24"/>
              </w:rPr>
              <w:t xml:space="preserve"> and reduce dependency on primary imports.</w:t>
            </w:r>
          </w:p>
          <w:p w14:paraId="2F8F4EFE" w14:textId="76EDF2B5" w:rsidR="00734613" w:rsidRPr="004F6117" w:rsidRDefault="413A2C50" w:rsidP="003B594B">
            <w:pPr>
              <w:widowControl w:val="0"/>
              <w:spacing w:before="120" w:after="120"/>
              <w:jc w:val="both"/>
              <w:rPr>
                <w:rFonts w:ascii="Times New Roman" w:hAnsi="Times New Roman"/>
                <w:b/>
                <w:bCs/>
                <w:sz w:val="24"/>
                <w:szCs w:val="24"/>
              </w:rPr>
            </w:pPr>
            <w:r w:rsidRPr="73FD30D8">
              <w:rPr>
                <w:rFonts w:ascii="Times New Roman" w:hAnsi="Times New Roman"/>
                <w:b/>
                <w:bCs/>
                <w:sz w:val="24"/>
                <w:szCs w:val="24"/>
              </w:rPr>
              <w:t>Defending quality industrial jobs</w:t>
            </w:r>
            <w:r w:rsidR="00530465">
              <w:rPr>
                <w:rFonts w:ascii="Times New Roman" w:hAnsi="Times New Roman"/>
                <w:b/>
                <w:bCs/>
                <w:sz w:val="24"/>
                <w:szCs w:val="24"/>
              </w:rPr>
              <w:t>:</w:t>
            </w:r>
          </w:p>
          <w:p w14:paraId="72EDB44B" w14:textId="6C6F84F6" w:rsidR="00734613" w:rsidRPr="004F6117" w:rsidRDefault="270BAE2F" w:rsidP="003B594B">
            <w:pPr>
              <w:widowControl w:val="0"/>
              <w:spacing w:before="120" w:after="120"/>
              <w:jc w:val="both"/>
            </w:pPr>
            <w:r w:rsidRPr="6A52E6F2">
              <w:rPr>
                <w:rFonts w:ascii="Times New Roman" w:hAnsi="Times New Roman"/>
                <w:sz w:val="24"/>
                <w:szCs w:val="24"/>
              </w:rPr>
              <w:t xml:space="preserve">The Commission underlines that social fairness is integral to </w:t>
            </w:r>
            <w:r w:rsidR="34FA5D86" w:rsidRPr="6A52E6F2">
              <w:rPr>
                <w:rFonts w:ascii="Times New Roman" w:hAnsi="Times New Roman"/>
                <w:sz w:val="24"/>
                <w:szCs w:val="24"/>
              </w:rPr>
              <w:t>the</w:t>
            </w:r>
            <w:r w:rsidR="00505709">
              <w:rPr>
                <w:rFonts w:ascii="Times New Roman" w:hAnsi="Times New Roman"/>
                <w:sz w:val="24"/>
              </w:rPr>
              <w:t xml:space="preserve"> </w:t>
            </w:r>
            <w:proofErr w:type="gramStart"/>
            <w:r w:rsidR="00505709">
              <w:rPr>
                <w:rFonts w:ascii="Times New Roman" w:hAnsi="Times New Roman"/>
                <w:sz w:val="24"/>
              </w:rPr>
              <w:t>ESMAP</w:t>
            </w:r>
            <w:r w:rsidR="00AA0703">
              <w:rPr>
                <w:rFonts w:ascii="Times New Roman" w:eastAsia="Times New Roman" w:hAnsi="Times New Roman"/>
                <w:sz w:val="24"/>
                <w:szCs w:val="24"/>
              </w:rPr>
              <w:t>, and</w:t>
            </w:r>
            <w:proofErr w:type="gramEnd"/>
            <w:r w:rsidR="00AA0703">
              <w:rPr>
                <w:rFonts w:ascii="Times New Roman" w:eastAsia="Times New Roman" w:hAnsi="Times New Roman"/>
                <w:sz w:val="24"/>
                <w:szCs w:val="24"/>
              </w:rPr>
              <w:t xml:space="preserve"> sets out the promotion and protection of</w:t>
            </w:r>
            <w:r w:rsidR="00AA0703" w:rsidRPr="00AA0703">
              <w:rPr>
                <w:rFonts w:ascii="Times New Roman" w:eastAsia="Times New Roman" w:hAnsi="Times New Roman"/>
                <w:sz w:val="24"/>
                <w:szCs w:val="24"/>
              </w:rPr>
              <w:t xml:space="preserve"> quality industrial jobs, with decent pay</w:t>
            </w:r>
            <w:r w:rsidR="00E34725">
              <w:rPr>
                <w:rFonts w:ascii="Times New Roman" w:eastAsia="Times New Roman" w:hAnsi="Times New Roman"/>
                <w:sz w:val="24"/>
                <w:szCs w:val="24"/>
              </w:rPr>
              <w:t>,</w:t>
            </w:r>
            <w:r w:rsidR="00AA0703" w:rsidRPr="00AA0703">
              <w:rPr>
                <w:rFonts w:ascii="Times New Roman" w:eastAsia="Times New Roman" w:hAnsi="Times New Roman"/>
                <w:sz w:val="24"/>
                <w:szCs w:val="24"/>
              </w:rPr>
              <w:t xml:space="preserve"> transparent and predictable working conditions</w:t>
            </w:r>
            <w:r w:rsidR="00E34725">
              <w:rPr>
                <w:rFonts w:ascii="Times New Roman" w:eastAsia="Times New Roman" w:hAnsi="Times New Roman"/>
                <w:sz w:val="24"/>
                <w:szCs w:val="24"/>
              </w:rPr>
              <w:t>,</w:t>
            </w:r>
            <w:r w:rsidR="00AA0703" w:rsidRPr="00AA0703">
              <w:rPr>
                <w:rFonts w:ascii="Times New Roman" w:eastAsia="Times New Roman" w:hAnsi="Times New Roman"/>
                <w:sz w:val="24"/>
                <w:szCs w:val="24"/>
              </w:rPr>
              <w:t xml:space="preserve"> and high health and safety standards</w:t>
            </w:r>
            <w:r w:rsidRPr="6A52E6F2">
              <w:rPr>
                <w:rFonts w:ascii="Times New Roman" w:hAnsi="Times New Roman"/>
                <w:sz w:val="24"/>
                <w:szCs w:val="24"/>
              </w:rPr>
              <w:t xml:space="preserve">. </w:t>
            </w:r>
            <w:r w:rsidR="00D22F16">
              <w:rPr>
                <w:rFonts w:ascii="Times New Roman" w:hAnsi="Times New Roman"/>
                <w:sz w:val="24"/>
                <w:szCs w:val="24"/>
              </w:rPr>
              <w:t xml:space="preserve">The </w:t>
            </w:r>
            <w:r w:rsidR="00D22F16" w:rsidRPr="6A52E6F2">
              <w:rPr>
                <w:rFonts w:ascii="Times New Roman" w:hAnsi="Times New Roman"/>
                <w:sz w:val="24"/>
                <w:szCs w:val="24"/>
              </w:rPr>
              <w:t>European Globalisation Adjustment Fund Regulation</w:t>
            </w:r>
            <w:r w:rsidR="00FC4C91">
              <w:rPr>
                <w:rStyle w:val="FootnoteReference"/>
                <w:rFonts w:ascii="Times New Roman" w:hAnsi="Times New Roman"/>
                <w:sz w:val="24"/>
                <w:szCs w:val="24"/>
              </w:rPr>
              <w:footnoteReference w:id="9"/>
            </w:r>
            <w:r w:rsidR="00D22F16" w:rsidRPr="6A52E6F2">
              <w:rPr>
                <w:rFonts w:ascii="Times New Roman" w:hAnsi="Times New Roman"/>
                <w:sz w:val="24"/>
                <w:szCs w:val="24"/>
              </w:rPr>
              <w:t xml:space="preserve"> support</w:t>
            </w:r>
            <w:r w:rsidR="00D22F16">
              <w:rPr>
                <w:rFonts w:ascii="Times New Roman" w:hAnsi="Times New Roman"/>
                <w:sz w:val="24"/>
                <w:szCs w:val="24"/>
              </w:rPr>
              <w:t>s</w:t>
            </w:r>
            <w:r w:rsidR="00D22F16" w:rsidRPr="6A52E6F2">
              <w:rPr>
                <w:rFonts w:ascii="Times New Roman" w:hAnsi="Times New Roman"/>
                <w:sz w:val="24"/>
                <w:szCs w:val="24"/>
              </w:rPr>
              <w:t xml:space="preserve"> restructuring companies and workers.</w:t>
            </w:r>
            <w:r w:rsidR="00D22F16">
              <w:rPr>
                <w:rFonts w:ascii="Times New Roman" w:hAnsi="Times New Roman"/>
                <w:sz w:val="24"/>
                <w:szCs w:val="24"/>
              </w:rPr>
              <w:t xml:space="preserve"> In line with the amendment to the Regulation proposed by the Commission in April</w:t>
            </w:r>
            <w:r w:rsidR="00505709">
              <w:rPr>
                <w:rFonts w:ascii="Times New Roman" w:hAnsi="Times New Roman"/>
                <w:sz w:val="24"/>
                <w:szCs w:val="24"/>
              </w:rPr>
              <w:t xml:space="preserve"> 2025</w:t>
            </w:r>
            <w:r w:rsidR="00D22F16">
              <w:rPr>
                <w:rFonts w:ascii="Times New Roman" w:hAnsi="Times New Roman"/>
                <w:sz w:val="24"/>
                <w:szCs w:val="24"/>
              </w:rPr>
              <w:t xml:space="preserve">, earlier intervention assisting workers </w:t>
            </w:r>
            <w:r w:rsidR="008A01DA" w:rsidRPr="008A01DA">
              <w:rPr>
                <w:rFonts w:ascii="Times New Roman" w:hAnsi="Times New Roman"/>
                <w:sz w:val="24"/>
                <w:szCs w:val="24"/>
              </w:rPr>
              <w:t xml:space="preserve">affected by imminent job displacement </w:t>
            </w:r>
            <w:r w:rsidR="00D22F16">
              <w:rPr>
                <w:rFonts w:ascii="Times New Roman" w:hAnsi="Times New Roman"/>
                <w:sz w:val="24"/>
                <w:szCs w:val="24"/>
              </w:rPr>
              <w:t>will be possible</w:t>
            </w:r>
            <w:r w:rsidR="00B2084D">
              <w:rPr>
                <w:rFonts w:ascii="Times New Roman" w:hAnsi="Times New Roman"/>
                <w:sz w:val="24"/>
                <w:szCs w:val="24"/>
              </w:rPr>
              <w:t xml:space="preserve">, including </w:t>
            </w:r>
            <w:r w:rsidR="00740B49">
              <w:rPr>
                <w:rFonts w:ascii="Times New Roman" w:hAnsi="Times New Roman"/>
                <w:sz w:val="24"/>
                <w:szCs w:val="24"/>
              </w:rPr>
              <w:t>for the</w:t>
            </w:r>
            <w:r w:rsidR="00967B53" w:rsidRPr="00967B53">
              <w:rPr>
                <w:rFonts w:ascii="Times New Roman" w:hAnsi="Times New Roman"/>
                <w:sz w:val="24"/>
                <w:szCs w:val="24"/>
              </w:rPr>
              <w:t xml:space="preserve"> acqui</w:t>
            </w:r>
            <w:r w:rsidR="00740B49">
              <w:rPr>
                <w:rFonts w:ascii="Times New Roman" w:hAnsi="Times New Roman"/>
                <w:sz w:val="24"/>
                <w:szCs w:val="24"/>
              </w:rPr>
              <w:t>sition of</w:t>
            </w:r>
            <w:r w:rsidR="00967B53" w:rsidRPr="00967B53">
              <w:rPr>
                <w:rFonts w:ascii="Times New Roman" w:hAnsi="Times New Roman"/>
                <w:sz w:val="24"/>
                <w:szCs w:val="24"/>
              </w:rPr>
              <w:t xml:space="preserve"> the skills needed to help them transfer into a different role, or to change jobs</w:t>
            </w:r>
            <w:r w:rsidR="00D22F16">
              <w:rPr>
                <w:rFonts w:ascii="Times New Roman" w:hAnsi="Times New Roman"/>
                <w:sz w:val="24"/>
                <w:szCs w:val="24"/>
              </w:rPr>
              <w:t xml:space="preserve">. </w:t>
            </w:r>
            <w:r w:rsidR="008C48CD">
              <w:rPr>
                <w:rFonts w:ascii="Times New Roman" w:hAnsi="Times New Roman"/>
                <w:sz w:val="24"/>
                <w:szCs w:val="24"/>
              </w:rPr>
              <w:t>Th</w:t>
            </w:r>
            <w:r w:rsidR="00B2084D">
              <w:rPr>
                <w:rFonts w:ascii="Times New Roman" w:hAnsi="Times New Roman"/>
                <w:sz w:val="24"/>
                <w:szCs w:val="24"/>
              </w:rPr>
              <w:t>is complements the</w:t>
            </w:r>
            <w:r w:rsidRPr="6A52E6F2">
              <w:rPr>
                <w:rFonts w:ascii="Times New Roman" w:hAnsi="Times New Roman"/>
                <w:sz w:val="24"/>
                <w:szCs w:val="24"/>
              </w:rPr>
              <w:t xml:space="preserve"> </w:t>
            </w:r>
            <w:r w:rsidR="00FC4C91" w:rsidRPr="00FC4C91">
              <w:rPr>
                <w:rFonts w:ascii="Times New Roman" w:hAnsi="Times New Roman"/>
                <w:sz w:val="24"/>
                <w:szCs w:val="24"/>
              </w:rPr>
              <w:t>European Social Fund Plus</w:t>
            </w:r>
            <w:r w:rsidR="00FC4C91">
              <w:rPr>
                <w:rFonts w:ascii="Times New Roman" w:hAnsi="Times New Roman"/>
                <w:sz w:val="24"/>
                <w:szCs w:val="24"/>
              </w:rPr>
              <w:t xml:space="preserve"> (</w:t>
            </w:r>
            <w:r w:rsidRPr="6A52E6F2">
              <w:rPr>
                <w:rFonts w:ascii="Times New Roman" w:hAnsi="Times New Roman"/>
                <w:sz w:val="24"/>
                <w:szCs w:val="24"/>
              </w:rPr>
              <w:t>ESF+</w:t>
            </w:r>
            <w:r w:rsidR="00FC4C91">
              <w:rPr>
                <w:rFonts w:ascii="Times New Roman" w:hAnsi="Times New Roman"/>
                <w:sz w:val="24"/>
                <w:szCs w:val="24"/>
              </w:rPr>
              <w:t>)</w:t>
            </w:r>
            <w:r w:rsidRPr="6A52E6F2">
              <w:rPr>
                <w:rFonts w:ascii="Times New Roman" w:hAnsi="Times New Roman"/>
                <w:sz w:val="24"/>
                <w:szCs w:val="24"/>
              </w:rPr>
              <w:t xml:space="preserve"> and the Pact for Skills</w:t>
            </w:r>
            <w:r w:rsidR="008C48CD">
              <w:rPr>
                <w:rFonts w:ascii="Times New Roman" w:hAnsi="Times New Roman"/>
                <w:sz w:val="24"/>
                <w:szCs w:val="24"/>
              </w:rPr>
              <w:t>, reinforced in the framework of the Union of Ski</w:t>
            </w:r>
            <w:r w:rsidR="0027687D">
              <w:rPr>
                <w:rFonts w:ascii="Times New Roman" w:hAnsi="Times New Roman"/>
                <w:sz w:val="24"/>
                <w:szCs w:val="24"/>
              </w:rPr>
              <w:t>ll</w:t>
            </w:r>
            <w:r w:rsidR="008C48CD">
              <w:rPr>
                <w:rFonts w:ascii="Times New Roman" w:hAnsi="Times New Roman"/>
                <w:sz w:val="24"/>
                <w:szCs w:val="24"/>
              </w:rPr>
              <w:t>s</w:t>
            </w:r>
            <w:r w:rsidR="00E449CB">
              <w:rPr>
                <w:rStyle w:val="FootnoteReference"/>
                <w:rFonts w:ascii="Times New Roman" w:hAnsi="Times New Roman"/>
                <w:sz w:val="24"/>
                <w:szCs w:val="24"/>
              </w:rPr>
              <w:footnoteReference w:id="10"/>
            </w:r>
            <w:r w:rsidR="004E67A4">
              <w:rPr>
                <w:rFonts w:ascii="Times New Roman" w:hAnsi="Times New Roman"/>
                <w:sz w:val="24"/>
                <w:szCs w:val="24"/>
              </w:rPr>
              <w:t>, which</w:t>
            </w:r>
            <w:r w:rsidRPr="6A52E6F2">
              <w:rPr>
                <w:rFonts w:ascii="Times New Roman" w:hAnsi="Times New Roman"/>
                <w:sz w:val="24"/>
                <w:szCs w:val="24"/>
              </w:rPr>
              <w:t xml:space="preserve"> provide up- and re-skilling opportunities for workers in energy-intensive industries.</w:t>
            </w:r>
          </w:p>
          <w:p w14:paraId="7216BE55" w14:textId="0D4CB9E5" w:rsidR="4BB5C342" w:rsidRDefault="1C6C2AA5" w:rsidP="003B594B">
            <w:pPr>
              <w:widowControl w:val="0"/>
              <w:spacing w:before="120" w:after="120"/>
              <w:jc w:val="both"/>
              <w:rPr>
                <w:rFonts w:ascii="Times New Roman" w:hAnsi="Times New Roman"/>
                <w:sz w:val="24"/>
                <w:szCs w:val="24"/>
              </w:rPr>
            </w:pPr>
            <w:r w:rsidRPr="00CC7D95">
              <w:rPr>
                <w:rFonts w:ascii="Times New Roman" w:hAnsi="Times New Roman"/>
                <w:sz w:val="24"/>
                <w:szCs w:val="24"/>
              </w:rPr>
              <w:t xml:space="preserve">Continued support will be </w:t>
            </w:r>
            <w:r w:rsidR="47606486" w:rsidRPr="6F50561C">
              <w:rPr>
                <w:rFonts w:ascii="Times New Roman" w:hAnsi="Times New Roman"/>
                <w:sz w:val="24"/>
                <w:szCs w:val="24"/>
              </w:rPr>
              <w:t>available</w:t>
            </w:r>
            <w:r w:rsidRPr="00CC7D95">
              <w:rPr>
                <w:rFonts w:ascii="Times New Roman" w:hAnsi="Times New Roman"/>
                <w:sz w:val="24"/>
                <w:szCs w:val="24"/>
              </w:rPr>
              <w:t xml:space="preserve"> to ensure a just transition to a climate-neutral economy, incl</w:t>
            </w:r>
            <w:r w:rsidR="7EB06209" w:rsidRPr="6F50561C">
              <w:rPr>
                <w:rFonts w:ascii="Times New Roman" w:hAnsi="Times New Roman"/>
                <w:sz w:val="24"/>
                <w:szCs w:val="24"/>
              </w:rPr>
              <w:t>uding</w:t>
            </w:r>
            <w:r w:rsidRPr="00CC7D95">
              <w:rPr>
                <w:rFonts w:ascii="Times New Roman" w:hAnsi="Times New Roman"/>
                <w:sz w:val="24"/>
                <w:szCs w:val="24"/>
              </w:rPr>
              <w:t xml:space="preserve"> in the steel and metals sectors, building on lessons from the Just Transition Fund.</w:t>
            </w:r>
          </w:p>
          <w:p w14:paraId="0A1E88E6" w14:textId="23AE5396" w:rsidR="00734613" w:rsidRPr="00624A81" w:rsidRDefault="622318A5" w:rsidP="003B594B">
            <w:pPr>
              <w:widowControl w:val="0"/>
              <w:spacing w:before="120" w:after="120"/>
              <w:jc w:val="both"/>
              <w:rPr>
                <w:rFonts w:ascii="Times New Roman" w:hAnsi="Times New Roman"/>
                <w:sz w:val="24"/>
              </w:rPr>
            </w:pPr>
            <w:r w:rsidRPr="2E9B2454">
              <w:rPr>
                <w:rFonts w:ascii="Times New Roman" w:hAnsi="Times New Roman"/>
                <w:sz w:val="24"/>
                <w:szCs w:val="24"/>
              </w:rPr>
              <w:t>The European Fair Transition Observatory</w:t>
            </w:r>
            <w:r w:rsidR="00E012BA">
              <w:rPr>
                <w:rFonts w:ascii="Times New Roman" w:hAnsi="Times New Roman"/>
                <w:sz w:val="24"/>
                <w:szCs w:val="24"/>
              </w:rPr>
              <w:t>, a f</w:t>
            </w:r>
            <w:r w:rsidR="003866D3">
              <w:rPr>
                <w:rFonts w:ascii="Times New Roman" w:hAnsi="Times New Roman"/>
                <w:sz w:val="24"/>
                <w:szCs w:val="24"/>
              </w:rPr>
              <w:t xml:space="preserve">lagship initiative under the </w:t>
            </w:r>
            <w:r w:rsidR="00505709">
              <w:rPr>
                <w:rFonts w:ascii="Times New Roman" w:hAnsi="Times New Roman"/>
                <w:sz w:val="24"/>
                <w:szCs w:val="24"/>
              </w:rPr>
              <w:t xml:space="preserve">CID </w:t>
            </w:r>
            <w:r w:rsidRPr="2E9B2454">
              <w:rPr>
                <w:rFonts w:ascii="Times New Roman" w:hAnsi="Times New Roman"/>
                <w:sz w:val="24"/>
                <w:szCs w:val="24"/>
              </w:rPr>
              <w:t>will</w:t>
            </w:r>
            <w:r w:rsidR="007A4D86" w:rsidRPr="007A4D86">
              <w:rPr>
                <w:rFonts w:ascii="Aptos" w:hAnsi="Aptos"/>
              </w:rPr>
              <w:t xml:space="preserve"> </w:t>
            </w:r>
            <w:r w:rsidR="007A4D86" w:rsidRPr="007A4D86">
              <w:rPr>
                <w:rFonts w:ascii="Times New Roman" w:hAnsi="Times New Roman"/>
                <w:sz w:val="24"/>
                <w:szCs w:val="24"/>
              </w:rPr>
              <w:t xml:space="preserve">strengthen the </w:t>
            </w:r>
            <w:r w:rsidR="007A4D86" w:rsidRPr="007A4D86">
              <w:rPr>
                <w:rFonts w:ascii="Times New Roman" w:hAnsi="Times New Roman"/>
                <w:sz w:val="24"/>
                <w:szCs w:val="24"/>
              </w:rPr>
              <w:lastRenderedPageBreak/>
              <w:t>evidence base</w:t>
            </w:r>
            <w:r w:rsidR="007A4D86">
              <w:rPr>
                <w:rFonts w:ascii="Times New Roman" w:hAnsi="Times New Roman"/>
                <w:sz w:val="24"/>
                <w:szCs w:val="24"/>
              </w:rPr>
              <w:t xml:space="preserve"> </w:t>
            </w:r>
            <w:r w:rsidR="007A4D86" w:rsidRPr="007A4D86">
              <w:rPr>
                <w:rFonts w:ascii="Times New Roman" w:hAnsi="Times New Roman"/>
                <w:sz w:val="24"/>
                <w:szCs w:val="24"/>
              </w:rPr>
              <w:t>and support monitoring</w:t>
            </w:r>
            <w:r w:rsidR="009D30D5">
              <w:rPr>
                <w:rFonts w:ascii="Times New Roman" w:hAnsi="Times New Roman"/>
                <w:sz w:val="24"/>
                <w:szCs w:val="24"/>
              </w:rPr>
              <w:t xml:space="preserve"> </w:t>
            </w:r>
            <w:r w:rsidR="007606C4">
              <w:rPr>
                <w:rFonts w:ascii="Times New Roman" w:hAnsi="Times New Roman"/>
                <w:sz w:val="24"/>
                <w:szCs w:val="24"/>
              </w:rPr>
              <w:t>of the</w:t>
            </w:r>
            <w:r w:rsidRPr="2E9B2454">
              <w:rPr>
                <w:rFonts w:ascii="Times New Roman" w:hAnsi="Times New Roman"/>
                <w:sz w:val="24"/>
                <w:szCs w:val="24"/>
              </w:rPr>
              <w:t xml:space="preserve"> impacts on workers and regions</w:t>
            </w:r>
            <w:r w:rsidR="008A1B7C">
              <w:rPr>
                <w:rFonts w:ascii="Times New Roman" w:hAnsi="Times New Roman"/>
                <w:sz w:val="24"/>
                <w:szCs w:val="24"/>
              </w:rPr>
              <w:t xml:space="preserve">. </w:t>
            </w:r>
            <w:r w:rsidR="00801F13" w:rsidRPr="00801F13">
              <w:rPr>
                <w:rFonts w:ascii="Times New Roman" w:hAnsi="Times New Roman"/>
                <w:sz w:val="24"/>
                <w:szCs w:val="24"/>
              </w:rPr>
              <w:t xml:space="preserve">Continuously supporting and </w:t>
            </w:r>
            <w:r w:rsidR="00C915D9">
              <w:rPr>
                <w:rFonts w:ascii="Times New Roman" w:hAnsi="Times New Roman"/>
                <w:sz w:val="24"/>
                <w:szCs w:val="24"/>
              </w:rPr>
              <w:t>reinforcing</w:t>
            </w:r>
            <w:r w:rsidR="00801F13" w:rsidRPr="00801F13">
              <w:rPr>
                <w:rFonts w:ascii="Times New Roman" w:hAnsi="Times New Roman"/>
                <w:sz w:val="24"/>
                <w:szCs w:val="24"/>
              </w:rPr>
              <w:t xml:space="preserve"> social dialogue is key to managing the transition effectively</w:t>
            </w:r>
            <w:r w:rsidR="00A6010E">
              <w:rPr>
                <w:rFonts w:ascii="Times New Roman" w:hAnsi="Times New Roman"/>
                <w:sz w:val="24"/>
                <w:szCs w:val="24"/>
              </w:rPr>
              <w:t xml:space="preserve">, </w:t>
            </w:r>
            <w:proofErr w:type="gramStart"/>
            <w:r w:rsidR="009B4812">
              <w:rPr>
                <w:rFonts w:ascii="Times New Roman" w:hAnsi="Times New Roman"/>
                <w:sz w:val="24"/>
                <w:szCs w:val="24"/>
              </w:rPr>
              <w:t>in order to</w:t>
            </w:r>
            <w:proofErr w:type="gramEnd"/>
            <w:r w:rsidR="008A1B7C" w:rsidRPr="008A1B7C">
              <w:rPr>
                <w:rFonts w:ascii="Times New Roman" w:hAnsi="Times New Roman"/>
                <w:sz w:val="24"/>
                <w:szCs w:val="24"/>
              </w:rPr>
              <w:t xml:space="preserve"> foster inclusive decision-making and</w:t>
            </w:r>
            <w:r w:rsidR="009B4812">
              <w:rPr>
                <w:rFonts w:ascii="Times New Roman" w:hAnsi="Times New Roman"/>
                <w:sz w:val="24"/>
                <w:szCs w:val="24"/>
              </w:rPr>
              <w:t xml:space="preserve"> to</w:t>
            </w:r>
            <w:r w:rsidR="008A1B7C" w:rsidRPr="008A1B7C">
              <w:rPr>
                <w:rFonts w:ascii="Times New Roman" w:hAnsi="Times New Roman"/>
                <w:sz w:val="24"/>
                <w:szCs w:val="24"/>
              </w:rPr>
              <w:t xml:space="preserve"> secur</w:t>
            </w:r>
            <w:r w:rsidR="009B4812">
              <w:rPr>
                <w:rFonts w:ascii="Times New Roman" w:hAnsi="Times New Roman"/>
                <w:sz w:val="24"/>
                <w:szCs w:val="24"/>
              </w:rPr>
              <w:t>e</w:t>
            </w:r>
            <w:r w:rsidR="008A1B7C" w:rsidRPr="008A1B7C">
              <w:rPr>
                <w:rFonts w:ascii="Times New Roman" w:hAnsi="Times New Roman"/>
                <w:sz w:val="24"/>
                <w:szCs w:val="24"/>
              </w:rPr>
              <w:t xml:space="preserve"> a fair and sustainable future for workers and the industry alike</w:t>
            </w:r>
            <w:r w:rsidRPr="2E9B2454">
              <w:rPr>
                <w:rFonts w:ascii="Times New Roman" w:hAnsi="Times New Roman"/>
                <w:sz w:val="24"/>
                <w:szCs w:val="24"/>
              </w:rPr>
              <w:t>. The Commission agrees that no worker or region should be left behind and will ensure that social partners are systematically involved in transition policies.</w:t>
            </w:r>
          </w:p>
          <w:p w14:paraId="1D71A80E" w14:textId="4002364F" w:rsidR="00734613" w:rsidRPr="004F6117" w:rsidRDefault="413A2C50" w:rsidP="003B594B">
            <w:pPr>
              <w:widowControl w:val="0"/>
              <w:spacing w:before="120" w:after="120"/>
              <w:jc w:val="both"/>
              <w:rPr>
                <w:rFonts w:ascii="Times New Roman" w:hAnsi="Times New Roman"/>
                <w:b/>
                <w:bCs/>
                <w:sz w:val="24"/>
                <w:szCs w:val="24"/>
              </w:rPr>
            </w:pPr>
            <w:r w:rsidRPr="73FD30D8">
              <w:rPr>
                <w:rFonts w:ascii="Times New Roman" w:hAnsi="Times New Roman"/>
                <w:b/>
                <w:bCs/>
                <w:sz w:val="24"/>
                <w:szCs w:val="24"/>
              </w:rPr>
              <w:t>De-risking through lead markets and support to investments</w:t>
            </w:r>
            <w:r w:rsidR="00530465">
              <w:rPr>
                <w:rFonts w:ascii="Times New Roman" w:hAnsi="Times New Roman"/>
                <w:b/>
                <w:bCs/>
                <w:sz w:val="24"/>
                <w:szCs w:val="24"/>
              </w:rPr>
              <w:t>:</w:t>
            </w:r>
          </w:p>
          <w:p w14:paraId="70BA8661" w14:textId="5D66ACDF" w:rsidR="00734613" w:rsidRPr="00CC7D95" w:rsidRDefault="413A2C50" w:rsidP="003B594B">
            <w:pPr>
              <w:widowControl w:val="0"/>
              <w:spacing w:before="120" w:after="120"/>
              <w:jc w:val="both"/>
              <w:rPr>
                <w:rFonts w:ascii="Times New Roman" w:hAnsi="Times New Roman"/>
                <w:sz w:val="24"/>
              </w:rPr>
            </w:pPr>
            <w:r w:rsidRPr="1C4354F9">
              <w:rPr>
                <w:rFonts w:ascii="Times New Roman" w:hAnsi="Times New Roman"/>
                <w:sz w:val="24"/>
                <w:szCs w:val="24"/>
              </w:rPr>
              <w:t xml:space="preserve">The Commission recognises that large-scale decarbonisation projects remain high-risk. A pilot auction </w:t>
            </w:r>
            <w:r w:rsidR="6C9B31BC" w:rsidRPr="1C4354F9">
              <w:rPr>
                <w:rFonts w:ascii="Times New Roman" w:hAnsi="Times New Roman"/>
                <w:sz w:val="24"/>
                <w:szCs w:val="24"/>
              </w:rPr>
              <w:t xml:space="preserve">will </w:t>
            </w:r>
            <w:r w:rsidR="009046D8" w:rsidRPr="1C4354F9">
              <w:rPr>
                <w:rFonts w:ascii="Times New Roman" w:hAnsi="Times New Roman"/>
                <w:sz w:val="24"/>
                <w:szCs w:val="24"/>
              </w:rPr>
              <w:t>be</w:t>
            </w:r>
            <w:r w:rsidRPr="1C4354F9">
              <w:rPr>
                <w:rFonts w:ascii="Times New Roman" w:hAnsi="Times New Roman"/>
                <w:sz w:val="24"/>
                <w:szCs w:val="24"/>
              </w:rPr>
              <w:t xml:space="preserve"> launched in 2025, paving the way for </w:t>
            </w:r>
            <w:r w:rsidR="0039676B" w:rsidRPr="1C4354F9">
              <w:rPr>
                <w:rFonts w:ascii="Times New Roman" w:hAnsi="Times New Roman"/>
                <w:sz w:val="24"/>
                <w:szCs w:val="24"/>
              </w:rPr>
              <w:t>the forthcoming Industrial Decarbonisation Bank</w:t>
            </w:r>
            <w:r w:rsidRPr="1C4354F9">
              <w:rPr>
                <w:rFonts w:ascii="Times New Roman" w:hAnsi="Times New Roman"/>
                <w:sz w:val="24"/>
                <w:szCs w:val="24"/>
              </w:rPr>
              <w:t xml:space="preserve">. </w:t>
            </w:r>
            <w:r w:rsidR="00FC4C91">
              <w:rPr>
                <w:rFonts w:ascii="Times New Roman" w:hAnsi="Times New Roman"/>
                <w:sz w:val="24"/>
                <w:szCs w:val="24"/>
              </w:rPr>
              <w:t>Emissions Trading System</w:t>
            </w:r>
            <w:r w:rsidR="00BD6C75">
              <w:rPr>
                <w:rFonts w:ascii="Times New Roman" w:hAnsi="Times New Roman"/>
                <w:sz w:val="24"/>
                <w:szCs w:val="24"/>
              </w:rPr>
              <w:t> </w:t>
            </w:r>
            <w:r w:rsidR="00FC4C91">
              <w:rPr>
                <w:rFonts w:ascii="Times New Roman" w:hAnsi="Times New Roman"/>
                <w:sz w:val="24"/>
                <w:szCs w:val="24"/>
              </w:rPr>
              <w:t>(</w:t>
            </w:r>
            <w:r w:rsidRPr="1C4354F9">
              <w:rPr>
                <w:rFonts w:ascii="Times New Roman" w:hAnsi="Times New Roman"/>
                <w:sz w:val="24"/>
                <w:szCs w:val="24"/>
              </w:rPr>
              <w:t>ETS</w:t>
            </w:r>
            <w:r w:rsidR="00FC4C91">
              <w:rPr>
                <w:rFonts w:ascii="Times New Roman" w:hAnsi="Times New Roman"/>
                <w:sz w:val="24"/>
                <w:szCs w:val="24"/>
              </w:rPr>
              <w:t>)</w:t>
            </w:r>
            <w:r w:rsidRPr="1C4354F9">
              <w:rPr>
                <w:rFonts w:ascii="Times New Roman" w:hAnsi="Times New Roman"/>
                <w:sz w:val="24"/>
                <w:szCs w:val="24"/>
              </w:rPr>
              <w:t xml:space="preserve"> revenues and Innovation Fund resources are already supporting industrial projects; the Commission will continue to ensure that available instruments are channelled effectively towards steel and metals.</w:t>
            </w:r>
          </w:p>
          <w:p w14:paraId="30D14481" w14:textId="4702CB91" w:rsidR="0049246C" w:rsidRPr="004F6117" w:rsidRDefault="440CAA6E" w:rsidP="003B594B">
            <w:pPr>
              <w:widowControl w:val="0"/>
              <w:spacing w:before="120" w:after="120"/>
              <w:jc w:val="both"/>
              <w:rPr>
                <w:rFonts w:ascii="Times New Roman" w:hAnsi="Times New Roman"/>
                <w:b/>
                <w:bCs/>
                <w:sz w:val="24"/>
                <w:szCs w:val="24"/>
              </w:rPr>
            </w:pPr>
            <w:r w:rsidRPr="4210F205">
              <w:rPr>
                <w:rFonts w:ascii="Times New Roman" w:hAnsi="Times New Roman"/>
                <w:sz w:val="24"/>
                <w:szCs w:val="24"/>
              </w:rPr>
              <w:t xml:space="preserve">As mentioned by President </w:t>
            </w:r>
            <w:r w:rsidR="00505709">
              <w:rPr>
                <w:rFonts w:ascii="Times New Roman" w:hAnsi="Times New Roman"/>
                <w:sz w:val="24"/>
                <w:szCs w:val="24"/>
              </w:rPr>
              <w:t xml:space="preserve">von der Leyen </w:t>
            </w:r>
            <w:r w:rsidRPr="4210F205">
              <w:rPr>
                <w:rFonts w:ascii="Times New Roman" w:hAnsi="Times New Roman"/>
                <w:sz w:val="24"/>
                <w:szCs w:val="24"/>
              </w:rPr>
              <w:t xml:space="preserve">in </w:t>
            </w:r>
            <w:r w:rsidR="00745E12">
              <w:rPr>
                <w:rFonts w:ascii="Times New Roman" w:hAnsi="Times New Roman"/>
                <w:sz w:val="24"/>
                <w:szCs w:val="24"/>
              </w:rPr>
              <w:t>her</w:t>
            </w:r>
            <w:r w:rsidRPr="4210F205">
              <w:rPr>
                <w:rFonts w:ascii="Times New Roman" w:hAnsi="Times New Roman"/>
                <w:sz w:val="24"/>
                <w:szCs w:val="24"/>
              </w:rPr>
              <w:t xml:space="preserve"> State of the Union address, the </w:t>
            </w:r>
            <w:r w:rsidR="622318A5" w:rsidRPr="4210F205">
              <w:rPr>
                <w:rFonts w:ascii="Times New Roman" w:hAnsi="Times New Roman"/>
                <w:sz w:val="24"/>
                <w:szCs w:val="24"/>
              </w:rPr>
              <w:t xml:space="preserve">Industrial Accelerator Act </w:t>
            </w:r>
            <w:r w:rsidR="7DC0FC72" w:rsidRPr="4210F205">
              <w:rPr>
                <w:rFonts w:ascii="Times New Roman" w:hAnsi="Times New Roman"/>
                <w:sz w:val="24"/>
                <w:szCs w:val="24"/>
              </w:rPr>
              <w:t xml:space="preserve">will boost demand for clean and made in Europe products in key strategic sectors and technologies. </w:t>
            </w:r>
            <w:r w:rsidR="18A765CF" w:rsidRPr="7385E483">
              <w:rPr>
                <w:rFonts w:ascii="Times New Roman" w:hAnsi="Times New Roman"/>
                <w:sz w:val="24"/>
                <w:szCs w:val="24"/>
              </w:rPr>
              <w:t>It was also announced that</w:t>
            </w:r>
            <w:r w:rsidR="7DC0FC72" w:rsidRPr="4210F205">
              <w:rPr>
                <w:rFonts w:ascii="Times New Roman" w:hAnsi="Times New Roman"/>
                <w:sz w:val="24"/>
                <w:szCs w:val="24"/>
              </w:rPr>
              <w:t xml:space="preserve"> ‘Made in Europe’ criteria </w:t>
            </w:r>
            <w:r w:rsidR="307A8A0F" w:rsidRPr="7385E483">
              <w:rPr>
                <w:rFonts w:ascii="Times New Roman" w:hAnsi="Times New Roman"/>
                <w:sz w:val="24"/>
                <w:szCs w:val="24"/>
              </w:rPr>
              <w:t xml:space="preserve">will be introduced </w:t>
            </w:r>
            <w:r w:rsidR="7DC0FC72" w:rsidRPr="4210F205">
              <w:rPr>
                <w:rFonts w:ascii="Times New Roman" w:hAnsi="Times New Roman"/>
                <w:sz w:val="24"/>
                <w:szCs w:val="24"/>
              </w:rPr>
              <w:t xml:space="preserve">in public procurement. The objective is to increase decarbonised and resilient industrial production in the EU manufacturing industry, by supporting European lead markets for low-carbon and/or made in EU </w:t>
            </w:r>
            <w:r w:rsidR="00FC4C91" w:rsidRPr="00FC4C91">
              <w:rPr>
                <w:rFonts w:ascii="Times New Roman" w:hAnsi="Times New Roman"/>
                <w:sz w:val="24"/>
                <w:szCs w:val="24"/>
              </w:rPr>
              <w:t>Energy-Intensive Industries</w:t>
            </w:r>
            <w:r w:rsidR="00BD6C75">
              <w:rPr>
                <w:rFonts w:ascii="Times New Roman" w:hAnsi="Times New Roman"/>
                <w:sz w:val="24"/>
                <w:szCs w:val="24"/>
              </w:rPr>
              <w:t> </w:t>
            </w:r>
            <w:r w:rsidR="00FC4C91">
              <w:rPr>
                <w:rFonts w:ascii="Times New Roman" w:hAnsi="Times New Roman"/>
                <w:sz w:val="24"/>
                <w:szCs w:val="24"/>
              </w:rPr>
              <w:t>(</w:t>
            </w:r>
            <w:r w:rsidR="7DC0FC72" w:rsidRPr="4210F205">
              <w:rPr>
                <w:rFonts w:ascii="Times New Roman" w:hAnsi="Times New Roman"/>
                <w:sz w:val="24"/>
                <w:szCs w:val="24"/>
              </w:rPr>
              <w:t>EII</w:t>
            </w:r>
            <w:r w:rsidR="00FC4C91">
              <w:rPr>
                <w:rFonts w:ascii="Times New Roman" w:hAnsi="Times New Roman"/>
                <w:sz w:val="24"/>
                <w:szCs w:val="24"/>
              </w:rPr>
              <w:t>)</w:t>
            </w:r>
            <w:r w:rsidR="7DC0FC72" w:rsidRPr="4210F205">
              <w:rPr>
                <w:rFonts w:ascii="Times New Roman" w:hAnsi="Times New Roman"/>
                <w:sz w:val="24"/>
                <w:szCs w:val="24"/>
              </w:rPr>
              <w:t xml:space="preserve"> industrial products and clean tech, and by speeding up related planning, tendering and permitting processes.</w:t>
            </w:r>
          </w:p>
        </w:tc>
      </w:tr>
    </w:tbl>
    <w:p w14:paraId="6AF07B14" w14:textId="26AEAB66" w:rsidR="004F6117" w:rsidRPr="00041A3A" w:rsidRDefault="004F6117" w:rsidP="003B594B">
      <w:pPr>
        <w:spacing w:after="0" w:line="240" w:lineRule="auto"/>
        <w:rPr>
          <w:rFonts w:ascii="Times New Roman" w:hAnsi="Times New Roman"/>
          <w:bCs/>
          <w:strike/>
          <w:sz w:val="8"/>
          <w:szCs w:val="8"/>
          <w:u w:val="single"/>
        </w:rPr>
      </w:pPr>
    </w:p>
    <w:sectPr w:rsidR="004F6117" w:rsidRPr="00041A3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872C" w14:textId="77777777" w:rsidR="00D57D91" w:rsidRDefault="00D57D91" w:rsidP="00FF63EA">
      <w:pPr>
        <w:spacing w:after="0" w:line="240" w:lineRule="auto"/>
      </w:pPr>
      <w:r>
        <w:separator/>
      </w:r>
    </w:p>
  </w:endnote>
  <w:endnote w:type="continuationSeparator" w:id="0">
    <w:p w14:paraId="55C3624A" w14:textId="77777777" w:rsidR="00D57D91" w:rsidRDefault="00D57D91" w:rsidP="00FF63EA">
      <w:pPr>
        <w:spacing w:after="0" w:line="240" w:lineRule="auto"/>
      </w:pPr>
      <w:r>
        <w:continuationSeparator/>
      </w:r>
    </w:p>
  </w:endnote>
  <w:endnote w:type="continuationNotice" w:id="1">
    <w:p w14:paraId="34D50607" w14:textId="77777777" w:rsidR="00D57D91" w:rsidRDefault="00D57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AE13" w14:textId="77777777" w:rsidR="00ED5B95" w:rsidRDefault="00ED5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9538" w14:textId="77777777" w:rsidR="00ED5B95" w:rsidRPr="00ED5B95" w:rsidRDefault="00ED5B95">
    <w:pPr>
      <w:pStyle w:val="Footer"/>
      <w:jc w:val="center"/>
      <w:rPr>
        <w:rFonts w:ascii="Times New Roman" w:hAnsi="Times New Roman"/>
        <w:caps/>
        <w:noProof/>
      </w:rPr>
    </w:pPr>
    <w:r w:rsidRPr="00ED5B95">
      <w:rPr>
        <w:rFonts w:ascii="Times New Roman" w:hAnsi="Times New Roman"/>
        <w:caps/>
      </w:rPr>
      <w:fldChar w:fldCharType="begin"/>
    </w:r>
    <w:r w:rsidRPr="00ED5B95">
      <w:rPr>
        <w:rFonts w:ascii="Times New Roman" w:hAnsi="Times New Roman"/>
        <w:caps/>
      </w:rPr>
      <w:instrText xml:space="preserve"> PAGE   \* MERGEFORMAT </w:instrText>
    </w:r>
    <w:r w:rsidRPr="00ED5B95">
      <w:rPr>
        <w:rFonts w:ascii="Times New Roman" w:hAnsi="Times New Roman"/>
        <w:caps/>
      </w:rPr>
      <w:fldChar w:fldCharType="separate"/>
    </w:r>
    <w:r w:rsidRPr="00ED5B95">
      <w:rPr>
        <w:rFonts w:ascii="Times New Roman" w:hAnsi="Times New Roman"/>
        <w:caps/>
        <w:noProof/>
      </w:rPr>
      <w:t>2</w:t>
    </w:r>
    <w:r w:rsidRPr="00ED5B95">
      <w:rPr>
        <w:rFonts w:ascii="Times New Roman" w:hAnsi="Times New Roman"/>
        <w:caps/>
        <w:noProof/>
      </w:rPr>
      <w:fldChar w:fldCharType="end"/>
    </w:r>
  </w:p>
  <w:p w14:paraId="205C2E23" w14:textId="77777777" w:rsidR="00A42654" w:rsidRDefault="00A42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952D" w14:textId="77777777" w:rsidR="00ED5B95" w:rsidRDefault="00ED5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AB25B" w14:textId="77777777" w:rsidR="00D57D91" w:rsidRDefault="00D57D91" w:rsidP="00FF63EA">
      <w:pPr>
        <w:spacing w:after="0" w:line="240" w:lineRule="auto"/>
      </w:pPr>
      <w:r>
        <w:separator/>
      </w:r>
    </w:p>
  </w:footnote>
  <w:footnote w:type="continuationSeparator" w:id="0">
    <w:p w14:paraId="1A22C9B5" w14:textId="77777777" w:rsidR="00D57D91" w:rsidRDefault="00D57D91" w:rsidP="00FF63EA">
      <w:pPr>
        <w:spacing w:after="0" w:line="240" w:lineRule="auto"/>
      </w:pPr>
      <w:r>
        <w:continuationSeparator/>
      </w:r>
    </w:p>
  </w:footnote>
  <w:footnote w:type="continuationNotice" w:id="1">
    <w:p w14:paraId="10B311A5" w14:textId="77777777" w:rsidR="00D57D91" w:rsidRDefault="00D57D91">
      <w:pPr>
        <w:spacing w:after="0" w:line="240" w:lineRule="auto"/>
      </w:pPr>
    </w:p>
  </w:footnote>
  <w:footnote w:id="2">
    <w:p w14:paraId="1406F7CF" w14:textId="013324CB" w:rsidR="00025F22" w:rsidRPr="00BD6C75" w:rsidRDefault="00025F22" w:rsidP="00041A3A">
      <w:pPr>
        <w:pStyle w:val="FootnoteText"/>
        <w:widowControl w:val="0"/>
        <w:spacing w:after="0" w:line="240" w:lineRule="auto"/>
        <w:ind w:left="142" w:right="-284" w:hanging="284"/>
        <w:jc w:val="both"/>
        <w:rPr>
          <w:rFonts w:ascii="Times New Roman" w:eastAsia="Yu Mincho" w:hAnsi="Times New Roman"/>
          <w:lang w:val="pt-PT"/>
        </w:rPr>
      </w:pPr>
      <w:r w:rsidRPr="00BD6C75">
        <w:rPr>
          <w:rStyle w:val="FootnoteReference"/>
          <w:rFonts w:ascii="Times New Roman" w:hAnsi="Times New Roman"/>
        </w:rPr>
        <w:footnoteRef/>
      </w:r>
      <w:r w:rsidRPr="00BD6C75">
        <w:rPr>
          <w:rStyle w:val="FootnoteReference"/>
          <w:rFonts w:ascii="Times New Roman" w:hAnsi="Times New Roman"/>
          <w:lang w:val="pt-BR"/>
        </w:rPr>
        <w:t xml:space="preserve"> </w:t>
      </w:r>
      <w:r w:rsidR="00F80D59" w:rsidRPr="00BD6C75">
        <w:rPr>
          <w:rFonts w:ascii="Times New Roman" w:hAnsi="Times New Roman"/>
          <w:lang w:val="pt-BR"/>
        </w:rPr>
        <w:tab/>
      </w:r>
      <w:proofErr w:type="gramStart"/>
      <w:r w:rsidRPr="00BD6C75">
        <w:rPr>
          <w:rFonts w:ascii="Times New Roman" w:eastAsia="Yu Mincho" w:hAnsi="Times New Roman"/>
          <w:lang w:val="pt-PT"/>
        </w:rPr>
        <w:t>COM(</w:t>
      </w:r>
      <w:proofErr w:type="gramEnd"/>
      <w:r w:rsidRPr="00BD6C75">
        <w:rPr>
          <w:rFonts w:ascii="Times New Roman" w:eastAsia="Yu Mincho" w:hAnsi="Times New Roman"/>
          <w:lang w:val="pt-PT"/>
        </w:rPr>
        <w:t>2025) 85 final (</w:t>
      </w:r>
      <w:hyperlink r:id="rId1" w:history="1">
        <w:r w:rsidR="00F80D59" w:rsidRPr="00475D59">
          <w:rPr>
            <w:rStyle w:val="Hyperlink"/>
            <w:rFonts w:ascii="Times New Roman" w:hAnsi="Times New Roman"/>
            <w:lang w:val="pt-PT"/>
          </w:rPr>
          <w:t>https://eur-lex.europa.eu/legal-content/EN/TXT/?uri=celex:52025DC0085</w:t>
        </w:r>
      </w:hyperlink>
      <w:r w:rsidRPr="00BD6C75">
        <w:rPr>
          <w:rFonts w:ascii="Times New Roman" w:eastAsia="Yu Mincho" w:hAnsi="Times New Roman"/>
          <w:lang w:val="pt-PT"/>
        </w:rPr>
        <w:t>).</w:t>
      </w:r>
    </w:p>
  </w:footnote>
  <w:footnote w:id="3">
    <w:p w14:paraId="11E8A9DF" w14:textId="112D54E8" w:rsidR="008A62D4" w:rsidRPr="00BD6C75" w:rsidRDefault="008A62D4" w:rsidP="00041A3A">
      <w:pPr>
        <w:pStyle w:val="FootnoteText"/>
        <w:widowControl w:val="0"/>
        <w:spacing w:after="0" w:line="240" w:lineRule="auto"/>
        <w:ind w:left="142" w:right="-284" w:hanging="284"/>
        <w:jc w:val="both"/>
        <w:rPr>
          <w:rFonts w:ascii="Times New Roman" w:hAnsi="Times New Roman"/>
          <w:lang w:val="pt-BR"/>
        </w:rPr>
      </w:pPr>
      <w:r w:rsidRPr="00BD6C75">
        <w:rPr>
          <w:rStyle w:val="FootnoteReference"/>
          <w:rFonts w:ascii="Times New Roman" w:hAnsi="Times New Roman"/>
        </w:rPr>
        <w:footnoteRef/>
      </w:r>
      <w:r w:rsidRPr="00BD6C75">
        <w:rPr>
          <w:rStyle w:val="FootnoteReference"/>
          <w:rFonts w:ascii="Times New Roman" w:hAnsi="Times New Roman"/>
          <w:lang w:val="pt-BR"/>
        </w:rPr>
        <w:t xml:space="preserve"> </w:t>
      </w:r>
      <w:r w:rsidR="00F80D59" w:rsidRPr="00BD6C75">
        <w:rPr>
          <w:rFonts w:ascii="Times New Roman" w:hAnsi="Times New Roman"/>
          <w:lang w:val="pt-BR"/>
        </w:rPr>
        <w:tab/>
      </w:r>
      <w:proofErr w:type="gramStart"/>
      <w:r w:rsidR="00B01C02" w:rsidRPr="00BD6C75">
        <w:rPr>
          <w:rFonts w:ascii="Times New Roman" w:eastAsia="Yu Mincho" w:hAnsi="Times New Roman"/>
          <w:lang w:val="pt-PT"/>
        </w:rPr>
        <w:t>COM(</w:t>
      </w:r>
      <w:proofErr w:type="gramEnd"/>
      <w:r w:rsidR="00B01C02" w:rsidRPr="00BD6C75">
        <w:rPr>
          <w:rFonts w:ascii="Times New Roman" w:eastAsia="Yu Mincho" w:hAnsi="Times New Roman"/>
          <w:lang w:val="pt-PT"/>
        </w:rPr>
        <w:t>2025) 79 final (</w:t>
      </w:r>
      <w:hyperlink r:id="rId2" w:history="1">
        <w:r w:rsidR="00F80D59" w:rsidRPr="00475D59">
          <w:rPr>
            <w:rStyle w:val="Hyperlink"/>
            <w:rFonts w:ascii="Times New Roman" w:hAnsi="Times New Roman"/>
            <w:lang w:val="pt-PT"/>
          </w:rPr>
          <w:t>https://eur-lex.europa.eu/legal-content/EN/TXT/?uri=celex:52025DC0079</w:t>
        </w:r>
      </w:hyperlink>
      <w:r w:rsidR="00B01C02" w:rsidRPr="00BD6C75">
        <w:rPr>
          <w:rFonts w:ascii="Times New Roman" w:eastAsia="Yu Mincho" w:hAnsi="Times New Roman"/>
          <w:lang w:val="pt-PT"/>
        </w:rPr>
        <w:t>).</w:t>
      </w:r>
    </w:p>
  </w:footnote>
  <w:footnote w:id="4">
    <w:p w14:paraId="45D4E027" w14:textId="67B53261" w:rsidR="00975F4D" w:rsidRPr="00BD6C75" w:rsidRDefault="00975F4D" w:rsidP="00041A3A">
      <w:pPr>
        <w:pStyle w:val="FootnoteText"/>
        <w:widowControl w:val="0"/>
        <w:spacing w:after="0" w:line="240" w:lineRule="auto"/>
        <w:ind w:left="142" w:hanging="284"/>
        <w:jc w:val="both"/>
        <w:rPr>
          <w:rFonts w:ascii="Times New Roman" w:hAnsi="Times New Roman"/>
          <w:lang w:val="pt-BR"/>
        </w:rPr>
      </w:pPr>
      <w:r w:rsidRPr="00BD6C75">
        <w:rPr>
          <w:rStyle w:val="FootnoteReference"/>
          <w:rFonts w:ascii="Times New Roman" w:hAnsi="Times New Roman"/>
        </w:rPr>
        <w:footnoteRef/>
      </w:r>
      <w:r w:rsidRPr="00BD6C75">
        <w:rPr>
          <w:rFonts w:ascii="Times New Roman" w:hAnsi="Times New Roman"/>
          <w:lang w:val="pt-BR"/>
        </w:rPr>
        <w:t xml:space="preserve"> </w:t>
      </w:r>
      <w:r w:rsidR="00F80D59" w:rsidRPr="00BD6C75">
        <w:rPr>
          <w:rFonts w:ascii="Times New Roman" w:hAnsi="Times New Roman"/>
          <w:lang w:val="pt-BR"/>
        </w:rPr>
        <w:tab/>
      </w:r>
      <w:proofErr w:type="gramStart"/>
      <w:r w:rsidR="003F7122" w:rsidRPr="00BD6C75">
        <w:rPr>
          <w:rFonts w:ascii="Times New Roman" w:eastAsia="Yu Mincho" w:hAnsi="Times New Roman"/>
          <w:lang w:val="pt-PT"/>
        </w:rPr>
        <w:t>C</w:t>
      </w:r>
      <w:r w:rsidRPr="00BD6C75">
        <w:rPr>
          <w:rFonts w:ascii="Times New Roman" w:eastAsia="Yu Mincho" w:hAnsi="Times New Roman"/>
          <w:lang w:val="pt-PT"/>
        </w:rPr>
        <w:t>(</w:t>
      </w:r>
      <w:proofErr w:type="gramEnd"/>
      <w:r w:rsidRPr="00BD6C75">
        <w:rPr>
          <w:rFonts w:ascii="Times New Roman" w:eastAsia="Yu Mincho" w:hAnsi="Times New Roman"/>
          <w:lang w:val="pt-PT"/>
        </w:rPr>
        <w:t>2025) 4674 final (</w:t>
      </w:r>
      <w:hyperlink r:id="rId3" w:history="1">
        <w:r w:rsidR="00F80D59" w:rsidRPr="00475D59">
          <w:rPr>
            <w:rStyle w:val="Hyperlink"/>
            <w:rFonts w:ascii="Times New Roman" w:hAnsi="Times New Roman"/>
            <w:lang w:val="pt-PT"/>
          </w:rPr>
          <w:t>https://eur-lex.europa.eu/legal-content/EN/TXT/?uri=pi_com%3AC%282025%294674</w:t>
        </w:r>
      </w:hyperlink>
      <w:r w:rsidR="00A82DA6" w:rsidRPr="00BD6C75">
        <w:rPr>
          <w:rFonts w:ascii="Times New Roman" w:eastAsia="Yu Mincho" w:hAnsi="Times New Roman"/>
          <w:lang w:val="pt-PT"/>
        </w:rPr>
        <w:t>)</w:t>
      </w:r>
      <w:r w:rsidR="00F80D59" w:rsidRPr="00BD6C75">
        <w:rPr>
          <w:rFonts w:ascii="Times New Roman" w:eastAsia="Yu Mincho" w:hAnsi="Times New Roman"/>
          <w:lang w:val="pt-PT"/>
        </w:rPr>
        <w:t>.</w:t>
      </w:r>
    </w:p>
  </w:footnote>
  <w:footnote w:id="5">
    <w:p w14:paraId="183898C1" w14:textId="0D697AC0" w:rsidR="008A4236" w:rsidRPr="00041A3A" w:rsidRDefault="008A4236" w:rsidP="00041A3A">
      <w:pPr>
        <w:widowControl w:val="0"/>
        <w:spacing w:after="0" w:line="240" w:lineRule="auto"/>
        <w:ind w:left="142" w:right="-284" w:hanging="284"/>
        <w:jc w:val="both"/>
        <w:rPr>
          <w:rFonts w:ascii="Times New Roman" w:hAnsi="Times New Roman"/>
          <w:sz w:val="20"/>
          <w:szCs w:val="20"/>
          <w:lang w:val="pt-BR"/>
        </w:rPr>
      </w:pPr>
      <w:r w:rsidRPr="00CC7D95">
        <w:rPr>
          <w:rStyle w:val="FootnoteReference"/>
          <w:sz w:val="16"/>
          <w:szCs w:val="16"/>
        </w:rPr>
        <w:footnoteRef/>
      </w:r>
      <w:r w:rsidRPr="00CC7D95">
        <w:rPr>
          <w:sz w:val="16"/>
          <w:szCs w:val="16"/>
          <w:lang w:val="pt-BR"/>
        </w:rPr>
        <w:t xml:space="preserve"> </w:t>
      </w:r>
      <w:r w:rsidR="00E13890" w:rsidRPr="00041A3A">
        <w:rPr>
          <w:rFonts w:ascii="Times New Roman" w:hAnsi="Times New Roman"/>
          <w:sz w:val="20"/>
          <w:szCs w:val="20"/>
          <w:lang w:val="pt-BR"/>
        </w:rPr>
        <w:tab/>
      </w:r>
      <w:r w:rsidR="008011D3" w:rsidRPr="00041A3A">
        <w:rPr>
          <w:rFonts w:ascii="Times New Roman" w:hAnsi="Times New Roman"/>
          <w:sz w:val="20"/>
          <w:szCs w:val="20"/>
          <w:lang w:val="pt-BR"/>
        </w:rPr>
        <w:t>COM</w:t>
      </w:r>
      <w:r w:rsidR="00475D59">
        <w:rPr>
          <w:rFonts w:ascii="Times New Roman" w:hAnsi="Times New Roman"/>
          <w:sz w:val="20"/>
          <w:szCs w:val="20"/>
          <w:lang w:val="pt-BR"/>
        </w:rPr>
        <w:t>(</w:t>
      </w:r>
      <w:r w:rsidR="008011D3" w:rsidRPr="00041A3A">
        <w:rPr>
          <w:rFonts w:ascii="Times New Roman" w:hAnsi="Times New Roman"/>
          <w:sz w:val="20"/>
          <w:szCs w:val="20"/>
          <w:lang w:val="pt-BR"/>
        </w:rPr>
        <w:t>2025</w:t>
      </w:r>
      <w:r w:rsidR="00BD6C75">
        <w:rPr>
          <w:rFonts w:ascii="Times New Roman" w:hAnsi="Times New Roman"/>
          <w:sz w:val="20"/>
          <w:szCs w:val="20"/>
          <w:lang w:val="pt-BR"/>
        </w:rPr>
        <w:t>)</w:t>
      </w:r>
      <w:r w:rsidR="008011D3" w:rsidRPr="00041A3A">
        <w:rPr>
          <w:rFonts w:ascii="Times New Roman" w:hAnsi="Times New Roman"/>
          <w:sz w:val="20"/>
          <w:szCs w:val="20"/>
          <w:lang w:val="pt-BR"/>
        </w:rPr>
        <w:t>80 final (</w:t>
      </w:r>
      <w:hyperlink r:id="rId4" w:history="1">
        <w:r w:rsidR="008011D3" w:rsidRPr="00041A3A">
          <w:rPr>
            <w:rStyle w:val="Hyperlink"/>
            <w:rFonts w:ascii="Times New Roman" w:hAnsi="Times New Roman"/>
            <w:sz w:val="20"/>
            <w:szCs w:val="20"/>
            <w:lang w:val="pt-BR"/>
          </w:rPr>
          <w:t>https://eur-lex.europa.eu/legal-content/EN/TXT/?uri=celex:52025PC0080</w:t>
        </w:r>
      </w:hyperlink>
      <w:r w:rsidR="008011D3" w:rsidRPr="00041A3A">
        <w:rPr>
          <w:rFonts w:ascii="Times New Roman" w:hAnsi="Times New Roman"/>
          <w:sz w:val="20"/>
          <w:szCs w:val="20"/>
          <w:lang w:val="pt-BR"/>
        </w:rPr>
        <w:t>), COM</w:t>
      </w:r>
      <w:r w:rsidR="00BD6C75">
        <w:rPr>
          <w:rFonts w:ascii="Times New Roman" w:hAnsi="Times New Roman"/>
          <w:sz w:val="20"/>
          <w:szCs w:val="20"/>
          <w:lang w:val="pt-BR"/>
        </w:rPr>
        <w:t>(</w:t>
      </w:r>
      <w:r w:rsidR="008011D3" w:rsidRPr="00041A3A">
        <w:rPr>
          <w:rFonts w:ascii="Times New Roman" w:hAnsi="Times New Roman"/>
          <w:sz w:val="20"/>
          <w:szCs w:val="20"/>
          <w:lang w:val="pt-BR"/>
        </w:rPr>
        <w:t>2025</w:t>
      </w:r>
      <w:r w:rsidR="00BD6C75">
        <w:rPr>
          <w:rFonts w:ascii="Times New Roman" w:hAnsi="Times New Roman"/>
          <w:sz w:val="20"/>
          <w:szCs w:val="20"/>
          <w:lang w:val="pt-BR"/>
        </w:rPr>
        <w:t xml:space="preserve">) </w:t>
      </w:r>
      <w:r w:rsidR="008011D3" w:rsidRPr="00041A3A">
        <w:rPr>
          <w:rFonts w:ascii="Times New Roman" w:hAnsi="Times New Roman"/>
          <w:sz w:val="20"/>
          <w:szCs w:val="20"/>
          <w:lang w:val="pt-BR"/>
        </w:rPr>
        <w:t>81 final (</w:t>
      </w:r>
      <w:hyperlink r:id="rId5" w:history="1">
        <w:r w:rsidR="008011D3" w:rsidRPr="00041A3A">
          <w:rPr>
            <w:rStyle w:val="Hyperlink"/>
            <w:rFonts w:ascii="Times New Roman" w:hAnsi="Times New Roman"/>
            <w:sz w:val="20"/>
            <w:szCs w:val="20"/>
            <w:lang w:val="pt-BR"/>
          </w:rPr>
          <w:t>https://eur-lex.europa.eu/legal-content/EN/TXT/?uri=celex:52025PC0081</w:t>
        </w:r>
      </w:hyperlink>
      <w:r w:rsidR="008011D3" w:rsidRPr="00041A3A">
        <w:rPr>
          <w:rFonts w:ascii="Times New Roman" w:hAnsi="Times New Roman"/>
          <w:sz w:val="20"/>
          <w:szCs w:val="20"/>
          <w:lang w:val="pt-BR"/>
        </w:rPr>
        <w:t xml:space="preserve">), and </w:t>
      </w:r>
      <w:r w:rsidR="00CB1D27" w:rsidRPr="00041A3A">
        <w:rPr>
          <w:rFonts w:ascii="Times New Roman" w:hAnsi="Times New Roman"/>
          <w:sz w:val="20"/>
          <w:szCs w:val="20"/>
          <w:lang w:val="pt-BR"/>
        </w:rPr>
        <w:t>COM</w:t>
      </w:r>
      <w:r w:rsidR="00BD6C75">
        <w:rPr>
          <w:rFonts w:ascii="Times New Roman" w:hAnsi="Times New Roman"/>
          <w:sz w:val="20"/>
          <w:szCs w:val="20"/>
          <w:lang w:val="pt-BR"/>
        </w:rPr>
        <w:t>(</w:t>
      </w:r>
      <w:r w:rsidR="00CB1D27" w:rsidRPr="00041A3A">
        <w:rPr>
          <w:rFonts w:ascii="Times New Roman" w:hAnsi="Times New Roman"/>
          <w:sz w:val="20"/>
          <w:szCs w:val="20"/>
          <w:lang w:val="pt-BR"/>
        </w:rPr>
        <w:t>2025</w:t>
      </w:r>
      <w:r w:rsidR="00BD6C75">
        <w:rPr>
          <w:rFonts w:ascii="Times New Roman" w:hAnsi="Times New Roman"/>
          <w:sz w:val="20"/>
          <w:szCs w:val="20"/>
          <w:lang w:val="pt-BR"/>
        </w:rPr>
        <w:t xml:space="preserve">) </w:t>
      </w:r>
      <w:r w:rsidR="00CB1D27" w:rsidRPr="00041A3A">
        <w:rPr>
          <w:rFonts w:ascii="Times New Roman" w:hAnsi="Times New Roman"/>
          <w:sz w:val="20"/>
          <w:szCs w:val="20"/>
          <w:lang w:val="pt-BR"/>
        </w:rPr>
        <w:t>87 final (</w:t>
      </w:r>
      <w:hyperlink r:id="rId6" w:history="1">
        <w:r w:rsidR="005E7F06" w:rsidRPr="00041A3A">
          <w:rPr>
            <w:rStyle w:val="Hyperlink"/>
            <w:rFonts w:ascii="Times New Roman" w:hAnsi="Times New Roman"/>
            <w:sz w:val="20"/>
            <w:szCs w:val="20"/>
            <w:lang w:val="pt-BR"/>
          </w:rPr>
          <w:t>https://eur-lex.europa.eu/legal-content/EN/TXT/?uri=celex:52025PC0087</w:t>
        </w:r>
      </w:hyperlink>
      <w:r w:rsidR="00CB1D27" w:rsidRPr="00041A3A">
        <w:rPr>
          <w:rFonts w:ascii="Times New Roman" w:hAnsi="Times New Roman"/>
          <w:sz w:val="20"/>
          <w:szCs w:val="20"/>
          <w:lang w:val="pt-BR"/>
        </w:rPr>
        <w:t>)</w:t>
      </w:r>
      <w:r w:rsidR="00E13890" w:rsidRPr="00041A3A">
        <w:rPr>
          <w:rFonts w:ascii="Times New Roman" w:hAnsi="Times New Roman"/>
          <w:sz w:val="20"/>
          <w:szCs w:val="20"/>
          <w:lang w:val="pt-BR"/>
        </w:rPr>
        <w:t>.</w:t>
      </w:r>
    </w:p>
  </w:footnote>
  <w:footnote w:id="6">
    <w:p w14:paraId="6C1B6642" w14:textId="00BD38A3" w:rsidR="00E13890" w:rsidRPr="00041A3A" w:rsidRDefault="00E13890" w:rsidP="00041A3A">
      <w:pPr>
        <w:pStyle w:val="FootnoteText"/>
        <w:widowControl w:val="0"/>
        <w:spacing w:after="0" w:line="240" w:lineRule="auto"/>
        <w:ind w:left="142" w:right="-284" w:hanging="284"/>
        <w:jc w:val="both"/>
        <w:rPr>
          <w:lang w:val="fr-BE"/>
        </w:rPr>
      </w:pPr>
      <w:r w:rsidRPr="00041A3A">
        <w:rPr>
          <w:rStyle w:val="FootnoteReference"/>
          <w:rFonts w:ascii="Times New Roman" w:hAnsi="Times New Roman"/>
        </w:rPr>
        <w:footnoteRef/>
      </w:r>
      <w:r w:rsidRPr="00041A3A">
        <w:rPr>
          <w:rFonts w:ascii="Times New Roman" w:hAnsi="Times New Roman"/>
          <w:lang w:val="fr-BE"/>
        </w:rPr>
        <w:t xml:space="preserve"> </w:t>
      </w:r>
      <w:r w:rsidRPr="00041A3A">
        <w:rPr>
          <w:rFonts w:ascii="Times New Roman" w:hAnsi="Times New Roman"/>
          <w:lang w:val="fr-BE"/>
        </w:rPr>
        <w:tab/>
      </w:r>
      <w:proofErr w:type="gramStart"/>
      <w:r w:rsidRPr="00041A3A">
        <w:rPr>
          <w:rFonts w:ascii="Times New Roman" w:hAnsi="Times New Roman"/>
          <w:lang w:val="fr-BE"/>
        </w:rPr>
        <w:t>SWD(</w:t>
      </w:r>
      <w:proofErr w:type="gramEnd"/>
      <w:r w:rsidRPr="00041A3A">
        <w:rPr>
          <w:rFonts w:ascii="Times New Roman" w:hAnsi="Times New Roman"/>
          <w:lang w:val="fr-BE"/>
        </w:rPr>
        <w:t>2025) 780 final (</w:t>
      </w:r>
      <w:hyperlink r:id="rId7" w:history="1">
        <w:r w:rsidRPr="00041A3A">
          <w:rPr>
            <w:rStyle w:val="Hyperlink"/>
            <w:rFonts w:ascii="Times New Roman" w:hAnsi="Times New Roman"/>
            <w:lang w:val="fr-BE"/>
          </w:rPr>
          <w:t>EUR-Lex - 52025SC0780 - EN - EUR-Lex</w:t>
        </w:r>
      </w:hyperlink>
      <w:r w:rsidRPr="00041A3A">
        <w:rPr>
          <w:rFonts w:ascii="Times New Roman" w:hAnsi="Times New Roman"/>
          <w:lang w:val="fr-BE"/>
        </w:rPr>
        <w:t>).</w:t>
      </w:r>
    </w:p>
  </w:footnote>
  <w:footnote w:id="7">
    <w:p w14:paraId="24BBADCA" w14:textId="7B9D3291" w:rsidR="0098375C" w:rsidRPr="00041A3A" w:rsidRDefault="0098375C" w:rsidP="00041A3A">
      <w:pPr>
        <w:pStyle w:val="FootnoteText"/>
        <w:widowControl w:val="0"/>
        <w:spacing w:after="0" w:line="240" w:lineRule="auto"/>
        <w:ind w:left="142" w:right="-284" w:hanging="284"/>
        <w:jc w:val="both"/>
        <w:rPr>
          <w:rFonts w:ascii="Times New Roman" w:hAnsi="Times New Roman"/>
        </w:rPr>
      </w:pPr>
      <w:r w:rsidRPr="00041A3A">
        <w:rPr>
          <w:rStyle w:val="FootnoteReference"/>
          <w:rFonts w:ascii="Times New Roman" w:hAnsi="Times New Roman"/>
        </w:rPr>
        <w:footnoteRef/>
      </w:r>
      <w:r w:rsidRPr="00041A3A">
        <w:rPr>
          <w:rFonts w:ascii="Times New Roman" w:hAnsi="Times New Roman"/>
        </w:rPr>
        <w:t xml:space="preserve"> </w:t>
      </w:r>
      <w:r w:rsidRPr="00041A3A">
        <w:rPr>
          <w:rFonts w:ascii="Times New Roman" w:hAnsi="Times New Roman"/>
        </w:rPr>
        <w:tab/>
        <w:t>Regulation (EU) 2024/1157 of the European Parliament and of the Council of 11 April 2024 on shipments of waste, amending Regulations (EU) No 1257/2013 and (EU) 2020/1056 and repealing Regulation (EC) No</w:t>
      </w:r>
      <w:r w:rsidR="00BD6C75">
        <w:rPr>
          <w:rFonts w:ascii="Times New Roman" w:hAnsi="Times New Roman"/>
        </w:rPr>
        <w:t> </w:t>
      </w:r>
      <w:r w:rsidRPr="00041A3A">
        <w:rPr>
          <w:rFonts w:ascii="Times New Roman" w:hAnsi="Times New Roman"/>
        </w:rPr>
        <w:t>1013/2006 (</w:t>
      </w:r>
      <w:hyperlink r:id="rId8" w:tooltip="Gives access to this document through its ELI URI." w:history="1">
        <w:r w:rsidRPr="00041A3A">
          <w:rPr>
            <w:rStyle w:val="Hyperlink"/>
            <w:rFonts w:ascii="Times New Roman" w:hAnsi="Times New Roman"/>
          </w:rPr>
          <w:t>http://data.europa.eu/eli/reg/2024/1157/oj</w:t>
        </w:r>
      </w:hyperlink>
      <w:r w:rsidRPr="00041A3A">
        <w:rPr>
          <w:rFonts w:ascii="Times New Roman" w:hAnsi="Times New Roman"/>
        </w:rPr>
        <w:t>).</w:t>
      </w:r>
    </w:p>
  </w:footnote>
  <w:footnote w:id="8">
    <w:p w14:paraId="0895CE68" w14:textId="58A9D67E" w:rsidR="00FC4C91" w:rsidRPr="00AE111D" w:rsidRDefault="00FC4C91" w:rsidP="00041A3A">
      <w:pPr>
        <w:pStyle w:val="FootnoteText"/>
        <w:widowControl w:val="0"/>
        <w:spacing w:after="0" w:line="240" w:lineRule="auto"/>
        <w:ind w:left="142" w:right="-284" w:hanging="284"/>
        <w:jc w:val="both"/>
        <w:rPr>
          <w:rFonts w:ascii="Times New Roman" w:hAnsi="Times New Roman"/>
          <w:lang w:val="pt-PT"/>
        </w:rPr>
      </w:pPr>
      <w:r w:rsidRPr="00041A3A">
        <w:rPr>
          <w:rStyle w:val="FootnoteReference"/>
          <w:rFonts w:ascii="Times New Roman" w:hAnsi="Times New Roman"/>
        </w:rPr>
        <w:footnoteRef/>
      </w:r>
      <w:r w:rsidRPr="00AE111D">
        <w:rPr>
          <w:rFonts w:ascii="Times New Roman" w:hAnsi="Times New Roman"/>
          <w:lang w:val="pt-PT"/>
        </w:rPr>
        <w:t xml:space="preserve"> </w:t>
      </w:r>
      <w:r w:rsidRPr="00AE111D">
        <w:rPr>
          <w:rFonts w:ascii="Times New Roman" w:hAnsi="Times New Roman"/>
          <w:lang w:val="pt-PT"/>
        </w:rPr>
        <w:tab/>
      </w:r>
      <w:proofErr w:type="gramStart"/>
      <w:r w:rsidRPr="00AE111D">
        <w:rPr>
          <w:rFonts w:ascii="Times New Roman" w:hAnsi="Times New Roman"/>
          <w:lang w:val="pt-PT"/>
        </w:rPr>
        <w:t>COM(</w:t>
      </w:r>
      <w:proofErr w:type="gramEnd"/>
      <w:r w:rsidRPr="00AE111D">
        <w:rPr>
          <w:rFonts w:ascii="Times New Roman" w:hAnsi="Times New Roman"/>
          <w:lang w:val="pt-PT"/>
        </w:rPr>
        <w:t>2023)</w:t>
      </w:r>
      <w:r w:rsidR="00BD6C75">
        <w:rPr>
          <w:rFonts w:ascii="Times New Roman" w:hAnsi="Times New Roman"/>
          <w:lang w:val="pt-PT"/>
        </w:rPr>
        <w:t xml:space="preserve"> </w:t>
      </w:r>
      <w:r w:rsidRPr="00AE111D">
        <w:rPr>
          <w:rFonts w:ascii="Times New Roman" w:hAnsi="Times New Roman"/>
          <w:lang w:val="pt-PT"/>
        </w:rPr>
        <w:t>451 final (</w:t>
      </w:r>
      <w:hyperlink r:id="rId9" w:history="1">
        <w:r w:rsidR="00BD6C75" w:rsidRPr="00211567">
          <w:rPr>
            <w:rStyle w:val="Hyperlink"/>
            <w:rFonts w:ascii="Times New Roman" w:hAnsi="Times New Roman"/>
            <w:lang w:val="pt-PT"/>
          </w:rPr>
          <w:t>https://eur-lex.europa.eu/legal-content/EN/TXT/?uri=celex:52023PC0451</w:t>
        </w:r>
      </w:hyperlink>
      <w:r w:rsidR="00BD6C75">
        <w:rPr>
          <w:rFonts w:ascii="Times New Roman" w:hAnsi="Times New Roman"/>
          <w:lang w:val="pt-PT"/>
        </w:rPr>
        <w:t>)</w:t>
      </w:r>
      <w:r w:rsidRPr="00AE111D">
        <w:rPr>
          <w:rFonts w:ascii="Times New Roman" w:hAnsi="Times New Roman"/>
          <w:lang w:val="pt-PT"/>
        </w:rPr>
        <w:t>.</w:t>
      </w:r>
    </w:p>
  </w:footnote>
  <w:footnote w:id="9">
    <w:p w14:paraId="57BC4A1C" w14:textId="06967652" w:rsidR="00FC4C91" w:rsidRPr="00041A3A" w:rsidRDefault="00FC4C91" w:rsidP="00041A3A">
      <w:pPr>
        <w:pStyle w:val="FootnoteText"/>
        <w:widowControl w:val="0"/>
        <w:spacing w:after="0" w:line="240" w:lineRule="auto"/>
        <w:ind w:left="142" w:right="-284" w:hanging="284"/>
        <w:jc w:val="both"/>
        <w:rPr>
          <w:rFonts w:ascii="Times New Roman" w:hAnsi="Times New Roman"/>
        </w:rPr>
      </w:pPr>
      <w:r w:rsidRPr="00041A3A">
        <w:rPr>
          <w:rStyle w:val="FootnoteReference"/>
          <w:rFonts w:ascii="Times New Roman" w:hAnsi="Times New Roman"/>
        </w:rPr>
        <w:footnoteRef/>
      </w:r>
      <w:r w:rsidRPr="00041A3A">
        <w:rPr>
          <w:rFonts w:ascii="Times New Roman" w:hAnsi="Times New Roman"/>
        </w:rPr>
        <w:t xml:space="preserve"> </w:t>
      </w:r>
      <w:r w:rsidRPr="00041A3A">
        <w:rPr>
          <w:rFonts w:ascii="Times New Roman" w:hAnsi="Times New Roman"/>
        </w:rPr>
        <w:tab/>
        <w:t>Regulation (EC) No 1927/2006 of the European Parliament and of the Council of 20 December 2006 on establishing the European Globalisation Adjustment Fund (</w:t>
      </w:r>
      <w:hyperlink r:id="rId10" w:history="1">
        <w:r w:rsidR="00BD6C75" w:rsidRPr="00211567">
          <w:rPr>
            <w:rStyle w:val="Hyperlink"/>
            <w:rFonts w:ascii="Times New Roman" w:hAnsi="Times New Roman"/>
          </w:rPr>
          <w:t>https://eur-lex.europa.eu/legal-content/en/TXT/?uri=CELEX%3A32013R1309</w:t>
        </w:r>
      </w:hyperlink>
      <w:r w:rsidR="00BD6C75">
        <w:rPr>
          <w:rFonts w:ascii="Times New Roman" w:hAnsi="Times New Roman"/>
        </w:rPr>
        <w:t>)</w:t>
      </w:r>
      <w:r w:rsidRPr="00041A3A">
        <w:rPr>
          <w:rFonts w:ascii="Times New Roman" w:hAnsi="Times New Roman"/>
        </w:rPr>
        <w:t>.</w:t>
      </w:r>
    </w:p>
  </w:footnote>
  <w:footnote w:id="10">
    <w:p w14:paraId="11F2ABE2" w14:textId="5545D365" w:rsidR="00E449CB" w:rsidRPr="00AE111D" w:rsidRDefault="00E449CB" w:rsidP="00041A3A">
      <w:pPr>
        <w:pStyle w:val="FootnoteText"/>
        <w:widowControl w:val="0"/>
        <w:spacing w:after="0" w:line="240" w:lineRule="auto"/>
        <w:ind w:left="142" w:right="-284" w:hanging="284"/>
        <w:jc w:val="both"/>
        <w:rPr>
          <w:lang w:val="pt-PT"/>
        </w:rPr>
      </w:pPr>
      <w:r w:rsidRPr="00041A3A">
        <w:rPr>
          <w:rStyle w:val="FootnoteReference"/>
          <w:rFonts w:ascii="Times New Roman" w:hAnsi="Times New Roman"/>
        </w:rPr>
        <w:footnoteRef/>
      </w:r>
      <w:r w:rsidRPr="00AE111D">
        <w:rPr>
          <w:rFonts w:ascii="Times New Roman" w:hAnsi="Times New Roman"/>
          <w:lang w:val="pt-PT"/>
        </w:rPr>
        <w:t xml:space="preserve"> </w:t>
      </w:r>
      <w:r w:rsidRPr="00AE111D">
        <w:rPr>
          <w:rFonts w:ascii="Times New Roman" w:hAnsi="Times New Roman"/>
          <w:lang w:val="pt-PT"/>
        </w:rPr>
        <w:tab/>
      </w:r>
      <w:proofErr w:type="gramStart"/>
      <w:r w:rsidRPr="00AE111D">
        <w:rPr>
          <w:rFonts w:ascii="Times New Roman" w:hAnsi="Times New Roman"/>
          <w:lang w:val="pt-PT"/>
        </w:rPr>
        <w:t>COM(</w:t>
      </w:r>
      <w:proofErr w:type="gramEnd"/>
      <w:r w:rsidRPr="00AE111D">
        <w:rPr>
          <w:rFonts w:ascii="Times New Roman" w:hAnsi="Times New Roman"/>
          <w:lang w:val="pt-PT"/>
        </w:rPr>
        <w:t>2025) 90 final (</w:t>
      </w:r>
      <w:hyperlink r:id="rId11" w:history="1">
        <w:r w:rsidR="00BD6C75" w:rsidRPr="00211567">
          <w:rPr>
            <w:rStyle w:val="Hyperlink"/>
            <w:rFonts w:ascii="Times New Roman" w:hAnsi="Times New Roman"/>
            <w:lang w:val="pt-PT"/>
          </w:rPr>
          <w:t>https://eur-lex.europa.eu/legal-content/EN/TXT/?uri=celex:52025DC0090</w:t>
        </w:r>
      </w:hyperlink>
      <w:r w:rsidR="00BD6C75">
        <w:rPr>
          <w:rFonts w:ascii="Times New Roman" w:hAnsi="Times New Roman"/>
          <w:lang w:val="pt-PT"/>
        </w:rPr>
        <w:t>)</w:t>
      </w:r>
      <w:r w:rsidRPr="00AE111D">
        <w:rPr>
          <w:rFonts w:ascii="Times New Roman" w:hAnsi="Times New Roman"/>
          <w:lang w:val="pt-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CD3A" w14:textId="77777777" w:rsidR="00ED5B95" w:rsidRDefault="00ED5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D7A7" w14:textId="77777777" w:rsidR="00A42654" w:rsidRDefault="00A42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514B" w14:textId="77777777" w:rsidR="00ED5B95" w:rsidRDefault="00ED5B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02DB3"/>
    <w:rsid w:val="00004456"/>
    <w:rsid w:val="000065AF"/>
    <w:rsid w:val="00007FFB"/>
    <w:rsid w:val="000100CA"/>
    <w:rsid w:val="00012A37"/>
    <w:rsid w:val="00016DF1"/>
    <w:rsid w:val="00022D0D"/>
    <w:rsid w:val="00025F22"/>
    <w:rsid w:val="000347DC"/>
    <w:rsid w:val="00041A3A"/>
    <w:rsid w:val="0004424E"/>
    <w:rsid w:val="00046B15"/>
    <w:rsid w:val="00050DC7"/>
    <w:rsid w:val="00051CA9"/>
    <w:rsid w:val="0005488F"/>
    <w:rsid w:val="000703AC"/>
    <w:rsid w:val="0007065A"/>
    <w:rsid w:val="00072C2E"/>
    <w:rsid w:val="000730A1"/>
    <w:rsid w:val="00076109"/>
    <w:rsid w:val="000772E6"/>
    <w:rsid w:val="0007789F"/>
    <w:rsid w:val="00077C4F"/>
    <w:rsid w:val="00082155"/>
    <w:rsid w:val="0009087C"/>
    <w:rsid w:val="000944BD"/>
    <w:rsid w:val="000A4286"/>
    <w:rsid w:val="000A56DC"/>
    <w:rsid w:val="000B39C2"/>
    <w:rsid w:val="000B72AC"/>
    <w:rsid w:val="000C5A60"/>
    <w:rsid w:val="000E05CF"/>
    <w:rsid w:val="000E6D3A"/>
    <w:rsid w:val="000E6F64"/>
    <w:rsid w:val="000F28F1"/>
    <w:rsid w:val="000F2DF7"/>
    <w:rsid w:val="000F32F8"/>
    <w:rsid w:val="000F3871"/>
    <w:rsid w:val="000F5FD8"/>
    <w:rsid w:val="000F6E9A"/>
    <w:rsid w:val="001031B9"/>
    <w:rsid w:val="00104621"/>
    <w:rsid w:val="00107932"/>
    <w:rsid w:val="0011420B"/>
    <w:rsid w:val="001167C0"/>
    <w:rsid w:val="0012255B"/>
    <w:rsid w:val="001308EF"/>
    <w:rsid w:val="00132C19"/>
    <w:rsid w:val="00135C2A"/>
    <w:rsid w:val="001442BA"/>
    <w:rsid w:val="001468FE"/>
    <w:rsid w:val="00152778"/>
    <w:rsid w:val="00153546"/>
    <w:rsid w:val="001609E5"/>
    <w:rsid w:val="00161452"/>
    <w:rsid w:val="00172C3E"/>
    <w:rsid w:val="00177AA5"/>
    <w:rsid w:val="001819B4"/>
    <w:rsid w:val="001A5791"/>
    <w:rsid w:val="001A7DAE"/>
    <w:rsid w:val="001B02F6"/>
    <w:rsid w:val="001B0E0B"/>
    <w:rsid w:val="001C4138"/>
    <w:rsid w:val="001C6175"/>
    <w:rsid w:val="001D00D1"/>
    <w:rsid w:val="001D207B"/>
    <w:rsid w:val="001D5D5B"/>
    <w:rsid w:val="001E4E04"/>
    <w:rsid w:val="001E605C"/>
    <w:rsid w:val="001F2EC6"/>
    <w:rsid w:val="001F4132"/>
    <w:rsid w:val="001F65D0"/>
    <w:rsid w:val="00210AAF"/>
    <w:rsid w:val="00214C59"/>
    <w:rsid w:val="00217E59"/>
    <w:rsid w:val="00234DAD"/>
    <w:rsid w:val="00236B03"/>
    <w:rsid w:val="0024495E"/>
    <w:rsid w:val="002458B2"/>
    <w:rsid w:val="00254692"/>
    <w:rsid w:val="00254FAF"/>
    <w:rsid w:val="002651CE"/>
    <w:rsid w:val="00270772"/>
    <w:rsid w:val="0027135A"/>
    <w:rsid w:val="002737AD"/>
    <w:rsid w:val="0027687D"/>
    <w:rsid w:val="002A671F"/>
    <w:rsid w:val="002A6AB7"/>
    <w:rsid w:val="002C25ED"/>
    <w:rsid w:val="002D0575"/>
    <w:rsid w:val="002D4233"/>
    <w:rsid w:val="002D6853"/>
    <w:rsid w:val="002D78B3"/>
    <w:rsid w:val="002E22E7"/>
    <w:rsid w:val="002F03FA"/>
    <w:rsid w:val="002F6BC1"/>
    <w:rsid w:val="002F7CEA"/>
    <w:rsid w:val="003004D2"/>
    <w:rsid w:val="00300A43"/>
    <w:rsid w:val="00314177"/>
    <w:rsid w:val="00314C15"/>
    <w:rsid w:val="00325CF3"/>
    <w:rsid w:val="003349A3"/>
    <w:rsid w:val="00337809"/>
    <w:rsid w:val="0034075E"/>
    <w:rsid w:val="00340CB7"/>
    <w:rsid w:val="003443FB"/>
    <w:rsid w:val="00356F41"/>
    <w:rsid w:val="00362B27"/>
    <w:rsid w:val="00363509"/>
    <w:rsid w:val="00370B3C"/>
    <w:rsid w:val="003743E6"/>
    <w:rsid w:val="00375547"/>
    <w:rsid w:val="00377967"/>
    <w:rsid w:val="00384F3D"/>
    <w:rsid w:val="00386143"/>
    <w:rsid w:val="00386642"/>
    <w:rsid w:val="003866D3"/>
    <w:rsid w:val="0039152C"/>
    <w:rsid w:val="0039676B"/>
    <w:rsid w:val="003A7428"/>
    <w:rsid w:val="003B0032"/>
    <w:rsid w:val="003B58DC"/>
    <w:rsid w:val="003B594B"/>
    <w:rsid w:val="003C3777"/>
    <w:rsid w:val="003D771C"/>
    <w:rsid w:val="003F11C9"/>
    <w:rsid w:val="003F3450"/>
    <w:rsid w:val="003F3987"/>
    <w:rsid w:val="003F5575"/>
    <w:rsid w:val="003F686E"/>
    <w:rsid w:val="003F7122"/>
    <w:rsid w:val="00401A64"/>
    <w:rsid w:val="00402B1F"/>
    <w:rsid w:val="00423F8C"/>
    <w:rsid w:val="00426688"/>
    <w:rsid w:val="00430F24"/>
    <w:rsid w:val="0043E8BF"/>
    <w:rsid w:val="00442552"/>
    <w:rsid w:val="004532C0"/>
    <w:rsid w:val="00455A1C"/>
    <w:rsid w:val="004570AC"/>
    <w:rsid w:val="0045772B"/>
    <w:rsid w:val="00462AD0"/>
    <w:rsid w:val="00463022"/>
    <w:rsid w:val="004675B5"/>
    <w:rsid w:val="00475D59"/>
    <w:rsid w:val="004770D6"/>
    <w:rsid w:val="00477829"/>
    <w:rsid w:val="00481F3D"/>
    <w:rsid w:val="00487979"/>
    <w:rsid w:val="0049246C"/>
    <w:rsid w:val="0049267C"/>
    <w:rsid w:val="004935FA"/>
    <w:rsid w:val="0049613D"/>
    <w:rsid w:val="004A04E5"/>
    <w:rsid w:val="004A3866"/>
    <w:rsid w:val="004A6C21"/>
    <w:rsid w:val="004B1C9E"/>
    <w:rsid w:val="004D0FB8"/>
    <w:rsid w:val="004D14A6"/>
    <w:rsid w:val="004D635C"/>
    <w:rsid w:val="004E0B3D"/>
    <w:rsid w:val="004E439C"/>
    <w:rsid w:val="004E67A4"/>
    <w:rsid w:val="004F0968"/>
    <w:rsid w:val="004F6117"/>
    <w:rsid w:val="004F62C2"/>
    <w:rsid w:val="004F63F1"/>
    <w:rsid w:val="004F651E"/>
    <w:rsid w:val="004F688C"/>
    <w:rsid w:val="004F7C59"/>
    <w:rsid w:val="0050149A"/>
    <w:rsid w:val="00505709"/>
    <w:rsid w:val="0051022B"/>
    <w:rsid w:val="005139C6"/>
    <w:rsid w:val="00513B7A"/>
    <w:rsid w:val="00517750"/>
    <w:rsid w:val="00517D44"/>
    <w:rsid w:val="0052205A"/>
    <w:rsid w:val="0052596B"/>
    <w:rsid w:val="00530465"/>
    <w:rsid w:val="00551E8F"/>
    <w:rsid w:val="00554D8D"/>
    <w:rsid w:val="0055794F"/>
    <w:rsid w:val="00564FC4"/>
    <w:rsid w:val="00565D67"/>
    <w:rsid w:val="00566355"/>
    <w:rsid w:val="0057039F"/>
    <w:rsid w:val="00570B5E"/>
    <w:rsid w:val="005731A1"/>
    <w:rsid w:val="00573835"/>
    <w:rsid w:val="00576EAA"/>
    <w:rsid w:val="00581306"/>
    <w:rsid w:val="00582A4A"/>
    <w:rsid w:val="00585A2B"/>
    <w:rsid w:val="00595719"/>
    <w:rsid w:val="005B7882"/>
    <w:rsid w:val="005C3105"/>
    <w:rsid w:val="005C5926"/>
    <w:rsid w:val="005C6B66"/>
    <w:rsid w:val="005C7490"/>
    <w:rsid w:val="005E03DB"/>
    <w:rsid w:val="005E7F06"/>
    <w:rsid w:val="005F21B1"/>
    <w:rsid w:val="005F6422"/>
    <w:rsid w:val="006036C1"/>
    <w:rsid w:val="00603BC1"/>
    <w:rsid w:val="00615ABD"/>
    <w:rsid w:val="00621A69"/>
    <w:rsid w:val="00624A81"/>
    <w:rsid w:val="006272EB"/>
    <w:rsid w:val="00630AF5"/>
    <w:rsid w:val="00633BD4"/>
    <w:rsid w:val="0063538B"/>
    <w:rsid w:val="00645C7F"/>
    <w:rsid w:val="006573E4"/>
    <w:rsid w:val="00661E6B"/>
    <w:rsid w:val="00661F97"/>
    <w:rsid w:val="0066202A"/>
    <w:rsid w:val="006914E1"/>
    <w:rsid w:val="00692C2F"/>
    <w:rsid w:val="00695797"/>
    <w:rsid w:val="00696A5E"/>
    <w:rsid w:val="006A197F"/>
    <w:rsid w:val="006A1E1B"/>
    <w:rsid w:val="006A3095"/>
    <w:rsid w:val="006A51BA"/>
    <w:rsid w:val="006B0284"/>
    <w:rsid w:val="006B058D"/>
    <w:rsid w:val="006B071A"/>
    <w:rsid w:val="006B3B69"/>
    <w:rsid w:val="006F17E0"/>
    <w:rsid w:val="006F242A"/>
    <w:rsid w:val="006F531A"/>
    <w:rsid w:val="00701BAD"/>
    <w:rsid w:val="00711AC4"/>
    <w:rsid w:val="0071611D"/>
    <w:rsid w:val="0071B697"/>
    <w:rsid w:val="007206F6"/>
    <w:rsid w:val="00722141"/>
    <w:rsid w:val="00734613"/>
    <w:rsid w:val="00737EE8"/>
    <w:rsid w:val="00740619"/>
    <w:rsid w:val="00740B49"/>
    <w:rsid w:val="00740F84"/>
    <w:rsid w:val="00745E12"/>
    <w:rsid w:val="00751910"/>
    <w:rsid w:val="00751E60"/>
    <w:rsid w:val="007547B5"/>
    <w:rsid w:val="007606C4"/>
    <w:rsid w:val="00760D5F"/>
    <w:rsid w:val="00760DBB"/>
    <w:rsid w:val="00763788"/>
    <w:rsid w:val="00767D90"/>
    <w:rsid w:val="00771AE1"/>
    <w:rsid w:val="00772CF1"/>
    <w:rsid w:val="00772D89"/>
    <w:rsid w:val="00772F9C"/>
    <w:rsid w:val="00787A32"/>
    <w:rsid w:val="00795A9E"/>
    <w:rsid w:val="007A29B7"/>
    <w:rsid w:val="007A494C"/>
    <w:rsid w:val="007A4D86"/>
    <w:rsid w:val="007A5E4A"/>
    <w:rsid w:val="007A606D"/>
    <w:rsid w:val="007A74FE"/>
    <w:rsid w:val="007A7C4E"/>
    <w:rsid w:val="007B01F3"/>
    <w:rsid w:val="007B3618"/>
    <w:rsid w:val="007B51E6"/>
    <w:rsid w:val="007C11C7"/>
    <w:rsid w:val="007C2214"/>
    <w:rsid w:val="007C2A1B"/>
    <w:rsid w:val="007C3D5C"/>
    <w:rsid w:val="007C6906"/>
    <w:rsid w:val="007D2282"/>
    <w:rsid w:val="007D424C"/>
    <w:rsid w:val="007F1C6F"/>
    <w:rsid w:val="007F419E"/>
    <w:rsid w:val="008011D3"/>
    <w:rsid w:val="00801F13"/>
    <w:rsid w:val="00802276"/>
    <w:rsid w:val="00807B48"/>
    <w:rsid w:val="008135CA"/>
    <w:rsid w:val="0081366C"/>
    <w:rsid w:val="00814F23"/>
    <w:rsid w:val="0081584F"/>
    <w:rsid w:val="00821221"/>
    <w:rsid w:val="00821609"/>
    <w:rsid w:val="008223AF"/>
    <w:rsid w:val="00832987"/>
    <w:rsid w:val="00833E53"/>
    <w:rsid w:val="008408B4"/>
    <w:rsid w:val="008432FC"/>
    <w:rsid w:val="00843923"/>
    <w:rsid w:val="008442D8"/>
    <w:rsid w:val="00854660"/>
    <w:rsid w:val="00856D4E"/>
    <w:rsid w:val="00863568"/>
    <w:rsid w:val="008675E1"/>
    <w:rsid w:val="00867C19"/>
    <w:rsid w:val="008703BF"/>
    <w:rsid w:val="0087377E"/>
    <w:rsid w:val="00874DF1"/>
    <w:rsid w:val="008925CE"/>
    <w:rsid w:val="008A01DA"/>
    <w:rsid w:val="008A18DB"/>
    <w:rsid w:val="008A1B7C"/>
    <w:rsid w:val="008A4236"/>
    <w:rsid w:val="008A6245"/>
    <w:rsid w:val="008A62D4"/>
    <w:rsid w:val="008A63BE"/>
    <w:rsid w:val="008B096A"/>
    <w:rsid w:val="008B3AB4"/>
    <w:rsid w:val="008C1A59"/>
    <w:rsid w:val="008C48CD"/>
    <w:rsid w:val="008C4D41"/>
    <w:rsid w:val="008C5BD1"/>
    <w:rsid w:val="008D0BDD"/>
    <w:rsid w:val="008D5025"/>
    <w:rsid w:val="008E21EB"/>
    <w:rsid w:val="008E37F3"/>
    <w:rsid w:val="008E37F4"/>
    <w:rsid w:val="008E59E9"/>
    <w:rsid w:val="008E75FB"/>
    <w:rsid w:val="009046D8"/>
    <w:rsid w:val="00922910"/>
    <w:rsid w:val="00934C41"/>
    <w:rsid w:val="009413AC"/>
    <w:rsid w:val="009514C1"/>
    <w:rsid w:val="00954152"/>
    <w:rsid w:val="0095785A"/>
    <w:rsid w:val="00963399"/>
    <w:rsid w:val="00964A40"/>
    <w:rsid w:val="00965D6A"/>
    <w:rsid w:val="00967B53"/>
    <w:rsid w:val="0097252D"/>
    <w:rsid w:val="00975F4D"/>
    <w:rsid w:val="00981F45"/>
    <w:rsid w:val="00982A1C"/>
    <w:rsid w:val="0098375C"/>
    <w:rsid w:val="00994D12"/>
    <w:rsid w:val="009A0DF9"/>
    <w:rsid w:val="009B10CF"/>
    <w:rsid w:val="009B128B"/>
    <w:rsid w:val="009B4812"/>
    <w:rsid w:val="009B5EA4"/>
    <w:rsid w:val="009C32A0"/>
    <w:rsid w:val="009C6352"/>
    <w:rsid w:val="009D01DA"/>
    <w:rsid w:val="009D30D5"/>
    <w:rsid w:val="009E18B8"/>
    <w:rsid w:val="009E2A5A"/>
    <w:rsid w:val="009E3328"/>
    <w:rsid w:val="009E4632"/>
    <w:rsid w:val="009F0314"/>
    <w:rsid w:val="009F49DD"/>
    <w:rsid w:val="00A07F27"/>
    <w:rsid w:val="00A07FFA"/>
    <w:rsid w:val="00A15CCA"/>
    <w:rsid w:val="00A16F07"/>
    <w:rsid w:val="00A20921"/>
    <w:rsid w:val="00A3528A"/>
    <w:rsid w:val="00A42654"/>
    <w:rsid w:val="00A4669B"/>
    <w:rsid w:val="00A53644"/>
    <w:rsid w:val="00A53C18"/>
    <w:rsid w:val="00A6010E"/>
    <w:rsid w:val="00A61DFF"/>
    <w:rsid w:val="00A62C7B"/>
    <w:rsid w:val="00A63CD7"/>
    <w:rsid w:val="00A70BD9"/>
    <w:rsid w:val="00A76C56"/>
    <w:rsid w:val="00A7709A"/>
    <w:rsid w:val="00A82DA6"/>
    <w:rsid w:val="00A92B99"/>
    <w:rsid w:val="00A9427D"/>
    <w:rsid w:val="00A956D9"/>
    <w:rsid w:val="00AA0703"/>
    <w:rsid w:val="00AA4C30"/>
    <w:rsid w:val="00AA7ECF"/>
    <w:rsid w:val="00AB4CE7"/>
    <w:rsid w:val="00AB54CB"/>
    <w:rsid w:val="00AB599A"/>
    <w:rsid w:val="00AB7DA3"/>
    <w:rsid w:val="00AC375B"/>
    <w:rsid w:val="00AC655A"/>
    <w:rsid w:val="00AC7D03"/>
    <w:rsid w:val="00AE111D"/>
    <w:rsid w:val="00AE1842"/>
    <w:rsid w:val="00AE3C7C"/>
    <w:rsid w:val="00AE3E8E"/>
    <w:rsid w:val="00AF2495"/>
    <w:rsid w:val="00B01C02"/>
    <w:rsid w:val="00B032E0"/>
    <w:rsid w:val="00B2084D"/>
    <w:rsid w:val="00B21D90"/>
    <w:rsid w:val="00B225F9"/>
    <w:rsid w:val="00B31306"/>
    <w:rsid w:val="00B36931"/>
    <w:rsid w:val="00B40D9D"/>
    <w:rsid w:val="00B42814"/>
    <w:rsid w:val="00B6084A"/>
    <w:rsid w:val="00B61E0D"/>
    <w:rsid w:val="00B61E72"/>
    <w:rsid w:val="00B64423"/>
    <w:rsid w:val="00B715B6"/>
    <w:rsid w:val="00B76E1A"/>
    <w:rsid w:val="00B83936"/>
    <w:rsid w:val="00B93851"/>
    <w:rsid w:val="00BA104A"/>
    <w:rsid w:val="00BA27DA"/>
    <w:rsid w:val="00BA3D06"/>
    <w:rsid w:val="00BB1B80"/>
    <w:rsid w:val="00BB3D44"/>
    <w:rsid w:val="00BC3E3E"/>
    <w:rsid w:val="00BC74C8"/>
    <w:rsid w:val="00BD1182"/>
    <w:rsid w:val="00BD310C"/>
    <w:rsid w:val="00BD6C75"/>
    <w:rsid w:val="00BD6EB7"/>
    <w:rsid w:val="00BE3563"/>
    <w:rsid w:val="00BF6D49"/>
    <w:rsid w:val="00C00CFB"/>
    <w:rsid w:val="00C07A77"/>
    <w:rsid w:val="00C14E35"/>
    <w:rsid w:val="00C364A0"/>
    <w:rsid w:val="00C37995"/>
    <w:rsid w:val="00C42B3B"/>
    <w:rsid w:val="00C54D27"/>
    <w:rsid w:val="00C614FE"/>
    <w:rsid w:val="00C71A86"/>
    <w:rsid w:val="00C7439C"/>
    <w:rsid w:val="00C748ED"/>
    <w:rsid w:val="00C76967"/>
    <w:rsid w:val="00C76EEB"/>
    <w:rsid w:val="00C835F5"/>
    <w:rsid w:val="00C83826"/>
    <w:rsid w:val="00C84A3D"/>
    <w:rsid w:val="00C84C44"/>
    <w:rsid w:val="00C8691F"/>
    <w:rsid w:val="00C915D9"/>
    <w:rsid w:val="00C9209D"/>
    <w:rsid w:val="00C970F3"/>
    <w:rsid w:val="00CA1255"/>
    <w:rsid w:val="00CA352A"/>
    <w:rsid w:val="00CB04F7"/>
    <w:rsid w:val="00CB1D27"/>
    <w:rsid w:val="00CB6889"/>
    <w:rsid w:val="00CB6CD1"/>
    <w:rsid w:val="00CC4936"/>
    <w:rsid w:val="00CC7D95"/>
    <w:rsid w:val="00CE1EE5"/>
    <w:rsid w:val="00CE3F00"/>
    <w:rsid w:val="00CE4845"/>
    <w:rsid w:val="00CE738F"/>
    <w:rsid w:val="00CF7BA0"/>
    <w:rsid w:val="00D01F5A"/>
    <w:rsid w:val="00D03885"/>
    <w:rsid w:val="00D03CC0"/>
    <w:rsid w:val="00D04BF2"/>
    <w:rsid w:val="00D06603"/>
    <w:rsid w:val="00D14AEE"/>
    <w:rsid w:val="00D1716E"/>
    <w:rsid w:val="00D22F16"/>
    <w:rsid w:val="00D24947"/>
    <w:rsid w:val="00D252D4"/>
    <w:rsid w:val="00D34068"/>
    <w:rsid w:val="00D3440A"/>
    <w:rsid w:val="00D41C1A"/>
    <w:rsid w:val="00D43472"/>
    <w:rsid w:val="00D43543"/>
    <w:rsid w:val="00D46814"/>
    <w:rsid w:val="00D47EBE"/>
    <w:rsid w:val="00D57334"/>
    <w:rsid w:val="00D57D91"/>
    <w:rsid w:val="00D64148"/>
    <w:rsid w:val="00D64E05"/>
    <w:rsid w:val="00D71602"/>
    <w:rsid w:val="00D718BF"/>
    <w:rsid w:val="00D71D02"/>
    <w:rsid w:val="00D727E4"/>
    <w:rsid w:val="00D8566B"/>
    <w:rsid w:val="00D856D4"/>
    <w:rsid w:val="00D90230"/>
    <w:rsid w:val="00D9193A"/>
    <w:rsid w:val="00D9208B"/>
    <w:rsid w:val="00D92FD3"/>
    <w:rsid w:val="00D93473"/>
    <w:rsid w:val="00D95F65"/>
    <w:rsid w:val="00DA3B6E"/>
    <w:rsid w:val="00DB0D38"/>
    <w:rsid w:val="00DB2996"/>
    <w:rsid w:val="00DB4AFC"/>
    <w:rsid w:val="00DB7581"/>
    <w:rsid w:val="00DC02EF"/>
    <w:rsid w:val="00DC6585"/>
    <w:rsid w:val="00DC70C1"/>
    <w:rsid w:val="00DD16D6"/>
    <w:rsid w:val="00DD2671"/>
    <w:rsid w:val="00DD6D10"/>
    <w:rsid w:val="00DE3052"/>
    <w:rsid w:val="00DF079B"/>
    <w:rsid w:val="00DF69B8"/>
    <w:rsid w:val="00DF73FC"/>
    <w:rsid w:val="00E01139"/>
    <w:rsid w:val="00E012BA"/>
    <w:rsid w:val="00E02F7C"/>
    <w:rsid w:val="00E060F1"/>
    <w:rsid w:val="00E13890"/>
    <w:rsid w:val="00E141D7"/>
    <w:rsid w:val="00E155B0"/>
    <w:rsid w:val="00E315F8"/>
    <w:rsid w:val="00E338ED"/>
    <w:rsid w:val="00E34725"/>
    <w:rsid w:val="00E34972"/>
    <w:rsid w:val="00E35D35"/>
    <w:rsid w:val="00E4096B"/>
    <w:rsid w:val="00E449CB"/>
    <w:rsid w:val="00E560E8"/>
    <w:rsid w:val="00E72174"/>
    <w:rsid w:val="00E77CC7"/>
    <w:rsid w:val="00E83C12"/>
    <w:rsid w:val="00E842E4"/>
    <w:rsid w:val="00E868B8"/>
    <w:rsid w:val="00E86D14"/>
    <w:rsid w:val="00E904C8"/>
    <w:rsid w:val="00E93329"/>
    <w:rsid w:val="00E941A0"/>
    <w:rsid w:val="00E97A2F"/>
    <w:rsid w:val="00E97BF2"/>
    <w:rsid w:val="00EA1BBF"/>
    <w:rsid w:val="00EB0E0F"/>
    <w:rsid w:val="00EB29A9"/>
    <w:rsid w:val="00EB77D2"/>
    <w:rsid w:val="00EC3DD0"/>
    <w:rsid w:val="00EC495B"/>
    <w:rsid w:val="00EC5934"/>
    <w:rsid w:val="00ED0CF2"/>
    <w:rsid w:val="00ED2902"/>
    <w:rsid w:val="00ED511D"/>
    <w:rsid w:val="00ED5B95"/>
    <w:rsid w:val="00EE3D5E"/>
    <w:rsid w:val="00EF55EB"/>
    <w:rsid w:val="00EF7378"/>
    <w:rsid w:val="00F00196"/>
    <w:rsid w:val="00F011AA"/>
    <w:rsid w:val="00F043FB"/>
    <w:rsid w:val="00F13472"/>
    <w:rsid w:val="00F157AC"/>
    <w:rsid w:val="00F21DBE"/>
    <w:rsid w:val="00F30FCD"/>
    <w:rsid w:val="00F316C8"/>
    <w:rsid w:val="00F37232"/>
    <w:rsid w:val="00F37D38"/>
    <w:rsid w:val="00F40D2D"/>
    <w:rsid w:val="00F42419"/>
    <w:rsid w:val="00F42DF5"/>
    <w:rsid w:val="00F5302E"/>
    <w:rsid w:val="00F534E6"/>
    <w:rsid w:val="00F541F0"/>
    <w:rsid w:val="00F62B5D"/>
    <w:rsid w:val="00F632DE"/>
    <w:rsid w:val="00F64E7F"/>
    <w:rsid w:val="00F670A4"/>
    <w:rsid w:val="00F735E4"/>
    <w:rsid w:val="00F80D59"/>
    <w:rsid w:val="00F90AC3"/>
    <w:rsid w:val="00F93F05"/>
    <w:rsid w:val="00F96671"/>
    <w:rsid w:val="00FA20DB"/>
    <w:rsid w:val="00FA3AF2"/>
    <w:rsid w:val="00FA7595"/>
    <w:rsid w:val="00FB05F0"/>
    <w:rsid w:val="00FB7834"/>
    <w:rsid w:val="00FC4C91"/>
    <w:rsid w:val="00FC5CA4"/>
    <w:rsid w:val="00FC661A"/>
    <w:rsid w:val="00FC67D7"/>
    <w:rsid w:val="00FD04EA"/>
    <w:rsid w:val="00FD0505"/>
    <w:rsid w:val="00FD2F97"/>
    <w:rsid w:val="00FD418A"/>
    <w:rsid w:val="00FD4B6A"/>
    <w:rsid w:val="00FD75D9"/>
    <w:rsid w:val="00FE2038"/>
    <w:rsid w:val="00FF03A8"/>
    <w:rsid w:val="00FF1F1D"/>
    <w:rsid w:val="00FF63EA"/>
    <w:rsid w:val="01AA3BC6"/>
    <w:rsid w:val="01BBC3F3"/>
    <w:rsid w:val="01E64F85"/>
    <w:rsid w:val="024BB366"/>
    <w:rsid w:val="029C158C"/>
    <w:rsid w:val="02F63548"/>
    <w:rsid w:val="0312E8A3"/>
    <w:rsid w:val="03139611"/>
    <w:rsid w:val="0346C967"/>
    <w:rsid w:val="0361A62D"/>
    <w:rsid w:val="0365D7C2"/>
    <w:rsid w:val="03A4191E"/>
    <w:rsid w:val="0487D0B8"/>
    <w:rsid w:val="04D48639"/>
    <w:rsid w:val="050EF36B"/>
    <w:rsid w:val="05C91A13"/>
    <w:rsid w:val="07621F92"/>
    <w:rsid w:val="07850631"/>
    <w:rsid w:val="078BC0D9"/>
    <w:rsid w:val="07CA50B0"/>
    <w:rsid w:val="07F6A607"/>
    <w:rsid w:val="0850AA06"/>
    <w:rsid w:val="0863E7EF"/>
    <w:rsid w:val="08953DEE"/>
    <w:rsid w:val="08B9DE73"/>
    <w:rsid w:val="08E3B678"/>
    <w:rsid w:val="09188288"/>
    <w:rsid w:val="0996F8EB"/>
    <w:rsid w:val="09A8B624"/>
    <w:rsid w:val="0A3D5B2F"/>
    <w:rsid w:val="0A82BEF2"/>
    <w:rsid w:val="0A9DCE7D"/>
    <w:rsid w:val="0ADED61B"/>
    <w:rsid w:val="0B8308C4"/>
    <w:rsid w:val="0BA5D1CE"/>
    <w:rsid w:val="0C6FA125"/>
    <w:rsid w:val="0CA9716C"/>
    <w:rsid w:val="0DA1949C"/>
    <w:rsid w:val="0ED8CCFD"/>
    <w:rsid w:val="0F1D6102"/>
    <w:rsid w:val="10EA33E2"/>
    <w:rsid w:val="1102925E"/>
    <w:rsid w:val="1158DB41"/>
    <w:rsid w:val="11E0AFE1"/>
    <w:rsid w:val="12599B75"/>
    <w:rsid w:val="128E1B8E"/>
    <w:rsid w:val="12AA18E6"/>
    <w:rsid w:val="1317E2D1"/>
    <w:rsid w:val="1359216E"/>
    <w:rsid w:val="1451513C"/>
    <w:rsid w:val="1560A426"/>
    <w:rsid w:val="156F4120"/>
    <w:rsid w:val="15A6C803"/>
    <w:rsid w:val="15BCAECE"/>
    <w:rsid w:val="166F49D9"/>
    <w:rsid w:val="16C9C2F1"/>
    <w:rsid w:val="16D2435A"/>
    <w:rsid w:val="170F1637"/>
    <w:rsid w:val="17F7E951"/>
    <w:rsid w:val="186C97AA"/>
    <w:rsid w:val="18A765CF"/>
    <w:rsid w:val="18F543C8"/>
    <w:rsid w:val="19BC4B36"/>
    <w:rsid w:val="19E22DD8"/>
    <w:rsid w:val="1B642835"/>
    <w:rsid w:val="1BD12855"/>
    <w:rsid w:val="1BDE80ED"/>
    <w:rsid w:val="1BFCDAE0"/>
    <w:rsid w:val="1C4354F9"/>
    <w:rsid w:val="1C6C2AA5"/>
    <w:rsid w:val="1C70837D"/>
    <w:rsid w:val="1C8A536D"/>
    <w:rsid w:val="1EE408C6"/>
    <w:rsid w:val="1F331C37"/>
    <w:rsid w:val="1F846020"/>
    <w:rsid w:val="1F9A35BE"/>
    <w:rsid w:val="202F55CF"/>
    <w:rsid w:val="20D74563"/>
    <w:rsid w:val="215CAFF2"/>
    <w:rsid w:val="21DE0C1D"/>
    <w:rsid w:val="22437007"/>
    <w:rsid w:val="22801942"/>
    <w:rsid w:val="241CBE13"/>
    <w:rsid w:val="2438FACC"/>
    <w:rsid w:val="244181DC"/>
    <w:rsid w:val="256E7CA7"/>
    <w:rsid w:val="262D2DDC"/>
    <w:rsid w:val="265B44A4"/>
    <w:rsid w:val="265BD2D0"/>
    <w:rsid w:val="2706C742"/>
    <w:rsid w:val="270BAE2F"/>
    <w:rsid w:val="27A561B9"/>
    <w:rsid w:val="27BD4F10"/>
    <w:rsid w:val="28168DBC"/>
    <w:rsid w:val="2841FBE8"/>
    <w:rsid w:val="28477CB6"/>
    <w:rsid w:val="287CB4AD"/>
    <w:rsid w:val="29F5C588"/>
    <w:rsid w:val="2AA7D444"/>
    <w:rsid w:val="2B1A47D5"/>
    <w:rsid w:val="2B78F37B"/>
    <w:rsid w:val="2BDB545C"/>
    <w:rsid w:val="2C59743E"/>
    <w:rsid w:val="2C995986"/>
    <w:rsid w:val="2D5DDBAE"/>
    <w:rsid w:val="2D895F78"/>
    <w:rsid w:val="2DBEF358"/>
    <w:rsid w:val="2E4951D8"/>
    <w:rsid w:val="2E9B2454"/>
    <w:rsid w:val="2EF5FF8F"/>
    <w:rsid w:val="2F2A8B2C"/>
    <w:rsid w:val="2F3C6F95"/>
    <w:rsid w:val="2FE9517A"/>
    <w:rsid w:val="2FF90FBC"/>
    <w:rsid w:val="2FFADC30"/>
    <w:rsid w:val="3002A484"/>
    <w:rsid w:val="307A8A0F"/>
    <w:rsid w:val="30D8BA85"/>
    <w:rsid w:val="317F7AA9"/>
    <w:rsid w:val="328A7610"/>
    <w:rsid w:val="32BC5D8C"/>
    <w:rsid w:val="333B5005"/>
    <w:rsid w:val="33519361"/>
    <w:rsid w:val="336FEC05"/>
    <w:rsid w:val="34FA5D86"/>
    <w:rsid w:val="3518D38F"/>
    <w:rsid w:val="353FDD37"/>
    <w:rsid w:val="368A6A05"/>
    <w:rsid w:val="36E276D7"/>
    <w:rsid w:val="374199D7"/>
    <w:rsid w:val="376885B0"/>
    <w:rsid w:val="38E0DCDA"/>
    <w:rsid w:val="38EAA1E5"/>
    <w:rsid w:val="395B5E06"/>
    <w:rsid w:val="39A05D8B"/>
    <w:rsid w:val="39F2F849"/>
    <w:rsid w:val="3A917324"/>
    <w:rsid w:val="3B135EA6"/>
    <w:rsid w:val="3B9814EA"/>
    <w:rsid w:val="3BCA702D"/>
    <w:rsid w:val="3BE3CE6A"/>
    <w:rsid w:val="3BF4F689"/>
    <w:rsid w:val="3CA586BA"/>
    <w:rsid w:val="3CE1C8D1"/>
    <w:rsid w:val="3DDB5B41"/>
    <w:rsid w:val="3DEB6B2E"/>
    <w:rsid w:val="3E6FCBEA"/>
    <w:rsid w:val="3EC8471E"/>
    <w:rsid w:val="3F536680"/>
    <w:rsid w:val="3F8F2677"/>
    <w:rsid w:val="3F91B2E3"/>
    <w:rsid w:val="3FA183B4"/>
    <w:rsid w:val="3FF98DC0"/>
    <w:rsid w:val="400637B3"/>
    <w:rsid w:val="4050AC3D"/>
    <w:rsid w:val="40AAAAB4"/>
    <w:rsid w:val="40CFAE71"/>
    <w:rsid w:val="40F19885"/>
    <w:rsid w:val="413A2C50"/>
    <w:rsid w:val="41F76B46"/>
    <w:rsid w:val="4210F205"/>
    <w:rsid w:val="4282DBEE"/>
    <w:rsid w:val="42AC96F6"/>
    <w:rsid w:val="4372B387"/>
    <w:rsid w:val="440CAA6E"/>
    <w:rsid w:val="440D2EB4"/>
    <w:rsid w:val="4511F1BA"/>
    <w:rsid w:val="45A22B00"/>
    <w:rsid w:val="46196B0E"/>
    <w:rsid w:val="46AC3E70"/>
    <w:rsid w:val="46DBAEF4"/>
    <w:rsid w:val="47606486"/>
    <w:rsid w:val="48264509"/>
    <w:rsid w:val="4855D2B4"/>
    <w:rsid w:val="494E40C2"/>
    <w:rsid w:val="496BBA82"/>
    <w:rsid w:val="4A2C51B5"/>
    <w:rsid w:val="4AB0D30D"/>
    <w:rsid w:val="4B598A09"/>
    <w:rsid w:val="4B700549"/>
    <w:rsid w:val="4BB5C342"/>
    <w:rsid w:val="4D4D77C2"/>
    <w:rsid w:val="4D6B4BF3"/>
    <w:rsid w:val="4D7BEB68"/>
    <w:rsid w:val="4ED9B950"/>
    <w:rsid w:val="4F4932F5"/>
    <w:rsid w:val="4FD59E7F"/>
    <w:rsid w:val="5056232A"/>
    <w:rsid w:val="50674B4E"/>
    <w:rsid w:val="50B5B81A"/>
    <w:rsid w:val="51020041"/>
    <w:rsid w:val="51E0DA96"/>
    <w:rsid w:val="51FAC7F9"/>
    <w:rsid w:val="5339497B"/>
    <w:rsid w:val="5384FFE9"/>
    <w:rsid w:val="5479202B"/>
    <w:rsid w:val="54A57E9F"/>
    <w:rsid w:val="54BF8C96"/>
    <w:rsid w:val="556110D1"/>
    <w:rsid w:val="56337B00"/>
    <w:rsid w:val="57003B5C"/>
    <w:rsid w:val="580BB488"/>
    <w:rsid w:val="58E7F5B7"/>
    <w:rsid w:val="59FB7A81"/>
    <w:rsid w:val="5A2C8183"/>
    <w:rsid w:val="5AE4CED6"/>
    <w:rsid w:val="5B54B13A"/>
    <w:rsid w:val="5B6F934C"/>
    <w:rsid w:val="5BCEBA8A"/>
    <w:rsid w:val="5CDC4A2F"/>
    <w:rsid w:val="5E2F640F"/>
    <w:rsid w:val="5F2BB3B4"/>
    <w:rsid w:val="5FA2C0C8"/>
    <w:rsid w:val="5FC8A7A0"/>
    <w:rsid w:val="602E8F48"/>
    <w:rsid w:val="61F649CF"/>
    <w:rsid w:val="622318A5"/>
    <w:rsid w:val="624CCF82"/>
    <w:rsid w:val="62929F3B"/>
    <w:rsid w:val="62CB9419"/>
    <w:rsid w:val="635142E0"/>
    <w:rsid w:val="637FA563"/>
    <w:rsid w:val="6380C977"/>
    <w:rsid w:val="63BE0E8C"/>
    <w:rsid w:val="63DE9AB2"/>
    <w:rsid w:val="643EEEC7"/>
    <w:rsid w:val="64A7D585"/>
    <w:rsid w:val="64EFFEB6"/>
    <w:rsid w:val="65B65BF7"/>
    <w:rsid w:val="65D20BB9"/>
    <w:rsid w:val="65DE2BF0"/>
    <w:rsid w:val="671FB070"/>
    <w:rsid w:val="67A53DBD"/>
    <w:rsid w:val="68240FD2"/>
    <w:rsid w:val="68D511C5"/>
    <w:rsid w:val="692C8B20"/>
    <w:rsid w:val="69671082"/>
    <w:rsid w:val="696F369B"/>
    <w:rsid w:val="69981771"/>
    <w:rsid w:val="6A52E6F2"/>
    <w:rsid w:val="6AB47E30"/>
    <w:rsid w:val="6ABC65D7"/>
    <w:rsid w:val="6AD56640"/>
    <w:rsid w:val="6B1A8E03"/>
    <w:rsid w:val="6C8E74D1"/>
    <w:rsid w:val="6C9B31BC"/>
    <w:rsid w:val="6DBFAB44"/>
    <w:rsid w:val="6EB3C510"/>
    <w:rsid w:val="6F09F9D1"/>
    <w:rsid w:val="6F2D4933"/>
    <w:rsid w:val="6F50561C"/>
    <w:rsid w:val="6FB0F276"/>
    <w:rsid w:val="6FB83BB4"/>
    <w:rsid w:val="703F130A"/>
    <w:rsid w:val="70E265D6"/>
    <w:rsid w:val="715318D8"/>
    <w:rsid w:val="72700C87"/>
    <w:rsid w:val="72A051E3"/>
    <w:rsid w:val="73087F2F"/>
    <w:rsid w:val="737C80F4"/>
    <w:rsid w:val="7385E483"/>
    <w:rsid w:val="73FD30D8"/>
    <w:rsid w:val="740D0FFD"/>
    <w:rsid w:val="748162BC"/>
    <w:rsid w:val="74DE3518"/>
    <w:rsid w:val="75DC9CA7"/>
    <w:rsid w:val="764C43C9"/>
    <w:rsid w:val="76EFE818"/>
    <w:rsid w:val="771D7326"/>
    <w:rsid w:val="778ED645"/>
    <w:rsid w:val="77E29AC0"/>
    <w:rsid w:val="789F0802"/>
    <w:rsid w:val="78D4DD8F"/>
    <w:rsid w:val="7914087E"/>
    <w:rsid w:val="79767B3E"/>
    <w:rsid w:val="79DFA629"/>
    <w:rsid w:val="79E8A8BF"/>
    <w:rsid w:val="79FB9FE4"/>
    <w:rsid w:val="7AA60CD8"/>
    <w:rsid w:val="7BB47BA1"/>
    <w:rsid w:val="7C5EE9F2"/>
    <w:rsid w:val="7D535343"/>
    <w:rsid w:val="7DC0FC72"/>
    <w:rsid w:val="7DE0A482"/>
    <w:rsid w:val="7EB06209"/>
    <w:rsid w:val="7F63CB36"/>
    <w:rsid w:val="7F9015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97CE6646-0591-4880-8CC3-95B37320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31A"/>
    <w:pPr>
      <w:tabs>
        <w:tab w:val="center" w:pos="4513"/>
        <w:tab w:val="right" w:pos="9026"/>
      </w:tabs>
    </w:pPr>
  </w:style>
  <w:style w:type="character" w:customStyle="1" w:styleId="HeaderChar">
    <w:name w:val="Header Char"/>
    <w:link w:val="Header"/>
    <w:uiPriority w:val="99"/>
    <w:rsid w:val="006F531A"/>
    <w:rPr>
      <w:sz w:val="22"/>
      <w:szCs w:val="22"/>
      <w:lang w:eastAsia="en-US"/>
    </w:rPr>
  </w:style>
  <w:style w:type="paragraph" w:styleId="Footer">
    <w:name w:val="footer"/>
    <w:basedOn w:val="Normal"/>
    <w:link w:val="FooterChar"/>
    <w:uiPriority w:val="99"/>
    <w:unhideWhenUsed/>
    <w:rsid w:val="006F531A"/>
    <w:pPr>
      <w:tabs>
        <w:tab w:val="center" w:pos="4513"/>
        <w:tab w:val="right" w:pos="9026"/>
      </w:tabs>
    </w:pPr>
  </w:style>
  <w:style w:type="character" w:customStyle="1" w:styleId="FooterChar">
    <w:name w:val="Footer Char"/>
    <w:link w:val="Footer"/>
    <w:uiPriority w:val="99"/>
    <w:rsid w:val="006F531A"/>
    <w:rPr>
      <w:sz w:val="22"/>
      <w:szCs w:val="22"/>
      <w:lang w:eastAsia="en-US"/>
    </w:rPr>
  </w:style>
  <w:style w:type="character" w:styleId="CommentReference">
    <w:name w:val="annotation reference"/>
    <w:uiPriority w:val="99"/>
    <w:semiHidden/>
    <w:unhideWhenUsed/>
    <w:rsid w:val="00FC5CA4"/>
    <w:rPr>
      <w:sz w:val="16"/>
      <w:szCs w:val="16"/>
    </w:rPr>
  </w:style>
  <w:style w:type="paragraph" w:styleId="CommentText">
    <w:name w:val="annotation text"/>
    <w:basedOn w:val="Normal"/>
    <w:link w:val="CommentTextChar"/>
    <w:uiPriority w:val="99"/>
    <w:unhideWhenUsed/>
    <w:rsid w:val="00FC5CA4"/>
    <w:rPr>
      <w:sz w:val="20"/>
      <w:szCs w:val="20"/>
    </w:rPr>
  </w:style>
  <w:style w:type="character" w:customStyle="1" w:styleId="CommentTextChar">
    <w:name w:val="Comment Text Char"/>
    <w:link w:val="CommentText"/>
    <w:uiPriority w:val="99"/>
    <w:rsid w:val="00FC5CA4"/>
    <w:rPr>
      <w:lang w:eastAsia="en-US"/>
    </w:rPr>
  </w:style>
  <w:style w:type="paragraph" w:styleId="CommentSubject">
    <w:name w:val="annotation subject"/>
    <w:basedOn w:val="CommentText"/>
    <w:next w:val="CommentText"/>
    <w:link w:val="CommentSubjectChar"/>
    <w:uiPriority w:val="99"/>
    <w:semiHidden/>
    <w:unhideWhenUsed/>
    <w:rsid w:val="00FC5CA4"/>
    <w:rPr>
      <w:b/>
      <w:bCs/>
    </w:rPr>
  </w:style>
  <w:style w:type="character" w:customStyle="1" w:styleId="CommentSubjectChar">
    <w:name w:val="Comment Subject Char"/>
    <w:link w:val="CommentSubject"/>
    <w:uiPriority w:val="99"/>
    <w:semiHidden/>
    <w:rsid w:val="00FC5CA4"/>
    <w:rPr>
      <w:b/>
      <w:bCs/>
      <w:lang w:eastAsia="en-US"/>
    </w:rPr>
  </w:style>
  <w:style w:type="paragraph" w:styleId="Revision">
    <w:name w:val="Revision"/>
    <w:hidden/>
    <w:uiPriority w:val="99"/>
    <w:semiHidden/>
    <w:rsid w:val="00AC655A"/>
    <w:rPr>
      <w:sz w:val="22"/>
      <w:szCs w:val="22"/>
      <w:lang w:eastAsia="en-US"/>
    </w:rPr>
  </w:style>
  <w:style w:type="paragraph" w:styleId="FootnoteText">
    <w:name w:val="footnote text"/>
    <w:basedOn w:val="Normal"/>
    <w:link w:val="FootnoteTextChar"/>
    <w:uiPriority w:val="99"/>
    <w:semiHidden/>
    <w:unhideWhenUsed/>
    <w:rsid w:val="00025F22"/>
    <w:rPr>
      <w:sz w:val="20"/>
      <w:szCs w:val="20"/>
    </w:rPr>
  </w:style>
  <w:style w:type="character" w:customStyle="1" w:styleId="FootnoteTextChar">
    <w:name w:val="Footnote Text Char"/>
    <w:link w:val="FootnoteText"/>
    <w:uiPriority w:val="99"/>
    <w:semiHidden/>
    <w:rsid w:val="00025F22"/>
    <w:rPr>
      <w:lang w:eastAsia="en-US"/>
    </w:rPr>
  </w:style>
  <w:style w:type="character" w:styleId="FootnoteReference">
    <w:name w:val="footnote reference"/>
    <w:uiPriority w:val="99"/>
    <w:semiHidden/>
    <w:unhideWhenUsed/>
    <w:rsid w:val="00025F22"/>
    <w:rPr>
      <w:vertAlign w:val="superscript"/>
    </w:rPr>
  </w:style>
  <w:style w:type="character" w:styleId="Hyperlink">
    <w:name w:val="Hyperlink"/>
    <w:uiPriority w:val="99"/>
    <w:unhideWhenUsed/>
    <w:rsid w:val="008011D3"/>
    <w:rPr>
      <w:color w:val="0563C1"/>
      <w:u w:val="single"/>
    </w:rPr>
  </w:style>
  <w:style w:type="character" w:styleId="UnresolvedMention">
    <w:name w:val="Unresolved Mention"/>
    <w:uiPriority w:val="99"/>
    <w:semiHidden/>
    <w:unhideWhenUsed/>
    <w:rsid w:val="008011D3"/>
    <w:rPr>
      <w:color w:val="605E5C"/>
      <w:shd w:val="clear" w:color="auto" w:fill="E1DFDD"/>
    </w:rPr>
  </w:style>
  <w:style w:type="character" w:styleId="Mention">
    <w:name w:val="Mention"/>
    <w:uiPriority w:val="99"/>
    <w:unhideWhenUsed/>
    <w:rsid w:val="008C5BD1"/>
    <w:rPr>
      <w:color w:val="2B579A"/>
      <w:shd w:val="clear" w:color="auto" w:fill="E1DFDD"/>
    </w:rPr>
  </w:style>
  <w:style w:type="character" w:styleId="FollowedHyperlink">
    <w:name w:val="FollowedHyperlink"/>
    <w:basedOn w:val="DefaultParagraphFont"/>
    <w:uiPriority w:val="99"/>
    <w:semiHidden/>
    <w:unhideWhenUsed/>
    <w:rsid w:val="00F80D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0907">
      <w:bodyDiv w:val="1"/>
      <w:marLeft w:val="0"/>
      <w:marRight w:val="0"/>
      <w:marTop w:val="0"/>
      <w:marBottom w:val="0"/>
      <w:divBdr>
        <w:top w:val="none" w:sz="0" w:space="0" w:color="auto"/>
        <w:left w:val="none" w:sz="0" w:space="0" w:color="auto"/>
        <w:bottom w:val="none" w:sz="0" w:space="0" w:color="auto"/>
        <w:right w:val="none" w:sz="0" w:space="0" w:color="auto"/>
      </w:divBdr>
      <w:divsChild>
        <w:div w:id="1223904631">
          <w:marLeft w:val="0"/>
          <w:marRight w:val="0"/>
          <w:marTop w:val="0"/>
          <w:marBottom w:val="0"/>
          <w:divBdr>
            <w:top w:val="none" w:sz="0" w:space="0" w:color="auto"/>
            <w:left w:val="none" w:sz="0" w:space="0" w:color="auto"/>
            <w:bottom w:val="none" w:sz="0" w:space="0" w:color="auto"/>
            <w:right w:val="none" w:sz="0" w:space="0" w:color="auto"/>
          </w:divBdr>
        </w:div>
        <w:div w:id="1647316613">
          <w:marLeft w:val="0"/>
          <w:marRight w:val="0"/>
          <w:marTop w:val="0"/>
          <w:marBottom w:val="0"/>
          <w:divBdr>
            <w:top w:val="none" w:sz="0" w:space="0" w:color="auto"/>
            <w:left w:val="none" w:sz="0" w:space="0" w:color="auto"/>
            <w:bottom w:val="none" w:sz="0" w:space="0" w:color="auto"/>
            <w:right w:val="none" w:sz="0" w:space="0" w:color="auto"/>
          </w:divBdr>
        </w:div>
      </w:divsChild>
    </w:div>
    <w:div w:id="130363117">
      <w:bodyDiv w:val="1"/>
      <w:marLeft w:val="0"/>
      <w:marRight w:val="0"/>
      <w:marTop w:val="0"/>
      <w:marBottom w:val="0"/>
      <w:divBdr>
        <w:top w:val="none" w:sz="0" w:space="0" w:color="auto"/>
        <w:left w:val="none" w:sz="0" w:space="0" w:color="auto"/>
        <w:bottom w:val="none" w:sz="0" w:space="0" w:color="auto"/>
        <w:right w:val="none" w:sz="0" w:space="0" w:color="auto"/>
      </w:divBdr>
      <w:divsChild>
        <w:div w:id="84036390">
          <w:marLeft w:val="0"/>
          <w:marRight w:val="0"/>
          <w:marTop w:val="0"/>
          <w:marBottom w:val="0"/>
          <w:divBdr>
            <w:top w:val="none" w:sz="0" w:space="0" w:color="auto"/>
            <w:left w:val="none" w:sz="0" w:space="0" w:color="auto"/>
            <w:bottom w:val="none" w:sz="0" w:space="0" w:color="auto"/>
            <w:right w:val="none" w:sz="0" w:space="0" w:color="auto"/>
          </w:divBdr>
          <w:divsChild>
            <w:div w:id="132605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08779">
      <w:bodyDiv w:val="1"/>
      <w:marLeft w:val="0"/>
      <w:marRight w:val="0"/>
      <w:marTop w:val="0"/>
      <w:marBottom w:val="0"/>
      <w:divBdr>
        <w:top w:val="none" w:sz="0" w:space="0" w:color="auto"/>
        <w:left w:val="none" w:sz="0" w:space="0" w:color="auto"/>
        <w:bottom w:val="none" w:sz="0" w:space="0" w:color="auto"/>
        <w:right w:val="none" w:sz="0" w:space="0" w:color="auto"/>
      </w:divBdr>
    </w:div>
    <w:div w:id="1615987004">
      <w:bodyDiv w:val="1"/>
      <w:marLeft w:val="0"/>
      <w:marRight w:val="0"/>
      <w:marTop w:val="0"/>
      <w:marBottom w:val="0"/>
      <w:divBdr>
        <w:top w:val="none" w:sz="0" w:space="0" w:color="auto"/>
        <w:left w:val="none" w:sz="0" w:space="0" w:color="auto"/>
        <w:bottom w:val="none" w:sz="0" w:space="0" w:color="auto"/>
        <w:right w:val="none" w:sz="0" w:space="0" w:color="auto"/>
      </w:divBdr>
      <w:divsChild>
        <w:div w:id="852575252">
          <w:marLeft w:val="0"/>
          <w:marRight w:val="0"/>
          <w:marTop w:val="0"/>
          <w:marBottom w:val="0"/>
          <w:divBdr>
            <w:top w:val="none" w:sz="0" w:space="0" w:color="auto"/>
            <w:left w:val="none" w:sz="0" w:space="0" w:color="auto"/>
            <w:bottom w:val="none" w:sz="0" w:space="0" w:color="auto"/>
            <w:right w:val="none" w:sz="0" w:space="0" w:color="auto"/>
          </w:divBdr>
          <w:divsChild>
            <w:div w:id="196924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83887">
      <w:bodyDiv w:val="1"/>
      <w:marLeft w:val="0"/>
      <w:marRight w:val="0"/>
      <w:marTop w:val="0"/>
      <w:marBottom w:val="0"/>
      <w:divBdr>
        <w:top w:val="none" w:sz="0" w:space="0" w:color="auto"/>
        <w:left w:val="none" w:sz="0" w:space="0" w:color="auto"/>
        <w:bottom w:val="none" w:sz="0" w:space="0" w:color="auto"/>
        <w:right w:val="none" w:sz="0" w:space="0" w:color="auto"/>
      </w:divBdr>
      <w:divsChild>
        <w:div w:id="1803039482">
          <w:marLeft w:val="0"/>
          <w:marRight w:val="0"/>
          <w:marTop w:val="0"/>
          <w:marBottom w:val="0"/>
          <w:divBdr>
            <w:top w:val="none" w:sz="0" w:space="0" w:color="auto"/>
            <w:left w:val="none" w:sz="0" w:space="0" w:color="auto"/>
            <w:bottom w:val="none" w:sz="0" w:space="0" w:color="auto"/>
            <w:right w:val="none" w:sz="0" w:space="0" w:color="auto"/>
          </w:divBdr>
          <w:divsChild>
            <w:div w:id="972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24/1157/oj" TargetMode="External"/><Relationship Id="rId3" Type="http://schemas.openxmlformats.org/officeDocument/2006/relationships/hyperlink" Target="https://eur-lex.europa.eu/legal-content/EN/TXT/?uri=pi_com%3AC%282025%294674" TargetMode="External"/><Relationship Id="rId7" Type="http://schemas.openxmlformats.org/officeDocument/2006/relationships/hyperlink" Target="https://eur-lex.europa.eu/legal-content/EN/TXT/?uri=celex:52025SC0780" TargetMode="External"/><Relationship Id="rId2" Type="http://schemas.openxmlformats.org/officeDocument/2006/relationships/hyperlink" Target="https://eur-lex.europa.eu/legal-content/EN/TXT/?uri=celex:52025DC0079" TargetMode="External"/><Relationship Id="rId1" Type="http://schemas.openxmlformats.org/officeDocument/2006/relationships/hyperlink" Target="https://eur-lex.europa.eu/legal-content/EN/TXT/?uri=celex:52025DC0085" TargetMode="External"/><Relationship Id="rId6" Type="http://schemas.openxmlformats.org/officeDocument/2006/relationships/hyperlink" Target="https://eur-lex.europa.eu/legal-content/EN/TXT/?uri=celex:52025PC0087" TargetMode="External"/><Relationship Id="rId11" Type="http://schemas.openxmlformats.org/officeDocument/2006/relationships/hyperlink" Target="https://eur-lex.europa.eu/legal-content/EN/TXT/?uri=celex:52025DC0090" TargetMode="External"/><Relationship Id="rId5" Type="http://schemas.openxmlformats.org/officeDocument/2006/relationships/hyperlink" Target="https://eur-lex.europa.eu/legal-content/EN/TXT/?uri=celex:52025PC0081" TargetMode="External"/><Relationship Id="rId10" Type="http://schemas.openxmlformats.org/officeDocument/2006/relationships/hyperlink" Target="https://eur-lex.europa.eu/legal-content/en/TXT/?uri=CELEX%3A32013R1309" TargetMode="External"/><Relationship Id="rId4" Type="http://schemas.openxmlformats.org/officeDocument/2006/relationships/hyperlink" Target="https://eur-lex.europa.eu/legal-content/EN/TXT/?uri=celex:52025PC0080" TargetMode="External"/><Relationship Id="rId9" Type="http://schemas.openxmlformats.org/officeDocument/2006/relationships/hyperlink" Target="https://eur-lex.europa.eu/legal-content/EN/TXT/?uri=celex:52023PC0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2FEE3EA4EB6B4FBB0A69B504A4972D" ma:contentTypeVersion="10" ma:contentTypeDescription="Create a new document." ma:contentTypeScope="" ma:versionID="9d9bd7132ebf3aab0c36944312323676">
  <xsd:schema xmlns:xsd="http://www.w3.org/2001/XMLSchema" xmlns:xs="http://www.w3.org/2001/XMLSchema" xmlns:p="http://schemas.microsoft.com/office/2006/metadata/properties" xmlns:ns2="507fa5b3-5915-4d87-8e0a-4b026e530daf" xmlns:ns3="9e754f3a-ebb6-4c45-a6a6-22fdca55fe80" targetNamespace="http://schemas.microsoft.com/office/2006/metadata/properties" ma:root="true" ma:fieldsID="534167a78e2de34c9cb8d237f6c8eb9e" ns2:_="" ns3:_="">
    <xsd:import namespace="507fa5b3-5915-4d87-8e0a-4b026e530daf"/>
    <xsd:import namespace="9e754f3a-ebb6-4c45-a6a6-22fdca55fe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fa5b3-5915-4d87-8e0a-4b026e530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754f3a-ebb6-4c45-a6a6-22fdca55fe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482FEE3EA4EB6B4FBB0A69B504A4972D" ma:contentTypeVersion="10" ma:contentTypeDescription="Create a new document." ma:contentTypeScope="" ma:versionID="9d9bd7132ebf3aab0c36944312323676">
  <xsd:schema xmlns:xsd="http://www.w3.org/2001/XMLSchema" xmlns:xs="http://www.w3.org/2001/XMLSchema" xmlns:p="http://schemas.microsoft.com/office/2006/metadata/properties" xmlns:ns2="507fa5b3-5915-4d87-8e0a-4b026e530daf" xmlns:ns3="9e754f3a-ebb6-4c45-a6a6-22fdca55fe80" targetNamespace="http://schemas.microsoft.com/office/2006/metadata/properties" ma:root="true" ma:fieldsID="534167a78e2de34c9cb8d237f6c8eb9e" ns2:_="" ns3:_="">
    <xsd:import namespace="507fa5b3-5915-4d87-8e0a-4b026e530daf"/>
    <xsd:import namespace="9e754f3a-ebb6-4c45-a6a6-22fdca55fe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fa5b3-5915-4d87-8e0a-4b026e530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754f3a-ebb6-4c45-a6a6-22fdca55fe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113D7-7F98-4E38-9197-30CDF6F6A931}">
  <ds:schemaRefs>
    <ds:schemaRef ds:uri="http://schemas.openxmlformats.org/officeDocument/2006/bibliography"/>
  </ds:schemaRefs>
</ds:datastoreItem>
</file>

<file path=customXml/itemProps2.xml><?xml version="1.0" encoding="utf-8"?>
<ds:datastoreItem xmlns:ds="http://schemas.openxmlformats.org/officeDocument/2006/customXml" ds:itemID="{B6274B9B-2A6B-4478-B125-C80A959A1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fa5b3-5915-4d87-8e0a-4b026e530daf"/>
    <ds:schemaRef ds:uri="9e754f3a-ebb6-4c45-a6a6-22fdca55f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F8FEEA-D50B-428F-AFFA-4278990EF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fa5b3-5915-4d87-8e0a-4b026e530daf"/>
    <ds:schemaRef ds:uri="9e754f3a-ebb6-4c45-a6a6-22fdca55f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416D54-714F-4D28-A81D-1D96BC8B70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B48A18E-F4D6-4F2D-B326-9E47A0486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1465</Words>
  <Characters>8619</Characters>
  <Application>Microsoft Office Word</Application>
  <DocSecurity>0</DocSecurity>
  <Lines>121</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10058</CharactersWithSpaces>
  <SharedDoc>false</SharedDoc>
  <HLinks>
    <vt:vector size="18" baseType="variant">
      <vt:variant>
        <vt:i4>1835025</vt:i4>
      </vt:variant>
      <vt:variant>
        <vt:i4>6</vt:i4>
      </vt:variant>
      <vt:variant>
        <vt:i4>0</vt:i4>
      </vt:variant>
      <vt:variant>
        <vt:i4>5</vt:i4>
      </vt:variant>
      <vt:variant>
        <vt:lpwstr>https://eur-lex.europa.eu/legal-content/EN/TXT/?uri=celex:52025PC0087</vt:lpwstr>
      </vt:variant>
      <vt:variant>
        <vt:lpwstr/>
      </vt:variant>
      <vt:variant>
        <vt:i4>1835025</vt:i4>
      </vt:variant>
      <vt:variant>
        <vt:i4>3</vt:i4>
      </vt:variant>
      <vt:variant>
        <vt:i4>0</vt:i4>
      </vt:variant>
      <vt:variant>
        <vt:i4>5</vt:i4>
      </vt:variant>
      <vt:variant>
        <vt:lpwstr>https://eur-lex.europa.eu/legal-content/EN/TXT/?uri=celex:52025PC0081</vt:lpwstr>
      </vt:variant>
      <vt:variant>
        <vt:lpwstr/>
      </vt:variant>
      <vt:variant>
        <vt:i4>1835025</vt:i4>
      </vt:variant>
      <vt:variant>
        <vt:i4>0</vt:i4>
      </vt:variant>
      <vt:variant>
        <vt:i4>0</vt:i4>
      </vt:variant>
      <vt:variant>
        <vt:i4>5</vt:i4>
      </vt:variant>
      <vt:variant>
        <vt:lpwstr>https://eur-lex.europa.eu/legal-content/EN/TXT/?uri=celex:52025PC0080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2013-03-04T06:02:00Z</cp:lastPrinted>
  <dcterms:created xsi:type="dcterms:W3CDTF">2026-01-09T10:24:00Z</dcterms:created>
  <dcterms:modified xsi:type="dcterms:W3CDTF">2026-01-09T10:24:00Z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0x010100482FEE3EA4EB6B4FBB0A69B504A4972D</vt:lpwstr>
  </property>
</Properties>
</file>