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7"/>
      </w:tblGrid>
      <w:tr w:rsidR="001C4138" w:rsidRPr="004F6117" w14:paraId="30B76F57" w14:textId="77777777" w:rsidTr="00C24C98">
        <w:trPr>
          <w:jc w:val="center"/>
        </w:trPr>
        <w:tc>
          <w:tcPr>
            <w:tcW w:w="10467" w:type="dxa"/>
          </w:tcPr>
          <w:p w14:paraId="3A99935F" w14:textId="56D5D17E" w:rsidR="001C4138" w:rsidRPr="004F6117" w:rsidRDefault="36FBCD7C" w:rsidP="00852B81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Reindustrialisation of Europe</w:t>
            </w:r>
            <w:r w:rsidR="009D59EE" w:rsidRPr="00044440">
              <w:rPr>
                <w:rFonts w:ascii="Times New Roman" w:hAnsi="Times New Roman"/>
              </w:rPr>
              <w:t xml:space="preserve"> </w:t>
            </w:r>
            <w:r w:rsidR="009D59EE" w:rsidRPr="00594567">
              <w:rPr>
                <w:rFonts w:ascii="Times New Roman" w:hAnsi="Times New Roman"/>
                <w:b/>
                <w:bCs/>
              </w:rPr>
              <w:t xml:space="preserve">– </w:t>
            </w:r>
            <w:r w:rsidR="009D59EE" w:rsidRPr="005945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opportunity for businesses, employees and citizens </w:t>
            </w:r>
            <w:r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in the context of the cost-of-living crisis</w:t>
            </w:r>
            <w:r w:rsidR="00E1243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(own-initiative opinion)</w:t>
            </w:r>
            <w:r w:rsidR="1E6F25AE">
              <w:br/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EESC-20</w:t>
            </w:r>
            <w:r w:rsidR="3FC06ADE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-0</w:t>
            </w:r>
            <w:r w:rsidR="15465EF0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0169</w:t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461FF34C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CCMI/239</w:t>
            </w:r>
            <w:r w:rsidR="1E6F25AE">
              <w:br/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17550E91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  <w:r w:rsidR="001C4138" w:rsidRPr="00594567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IE"/>
              </w:rPr>
              <w:t>th</w:t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Plenary Session – Ju</w:t>
            </w:r>
            <w:r w:rsidR="72345F45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ne</w:t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</w:t>
            </w:r>
            <w:r w:rsidR="6DEC3B00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1E6F25AE">
              <w:br/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Rapporteur: </w:t>
            </w:r>
            <w:r w:rsidR="4FEE9E8F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Andrés BARCELÓ DELGADO (ES-I)</w:t>
            </w:r>
            <w:r w:rsidR="1E6F25AE">
              <w:br/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Co-rapporteur: </w:t>
            </w:r>
            <w:r w:rsidR="2972D6B3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Monika SITÁROVÁ (SK</w:t>
            </w:r>
            <w:r w:rsidR="553F4C7C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852B81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 w:rsidR="2972D6B3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1E6F25AE">
              <w:br/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DG </w:t>
            </w:r>
            <w:r w:rsidR="5A517BDB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GROW</w:t>
            </w:r>
            <w:r w:rsidR="001C4138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Commissioner </w:t>
            </w:r>
            <w:r w:rsidR="12DD6D76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852B81">
              <w:rPr>
                <w:rFonts w:ascii="Times New Roman" w:hAnsi="Times New Roman"/>
                <w:b/>
                <w:bCs/>
                <w:sz w:val="24"/>
                <w:szCs w:val="24"/>
              </w:rPr>
              <w:t>É</w:t>
            </w:r>
            <w:r w:rsidR="12DD6D76" w:rsidRPr="185679DF">
              <w:rPr>
                <w:rFonts w:ascii="Times New Roman" w:hAnsi="Times New Roman"/>
                <w:b/>
                <w:bCs/>
                <w:sz w:val="24"/>
                <w:szCs w:val="24"/>
              </w:rPr>
              <w:t>JOURN</w:t>
            </w:r>
            <w:r w:rsidR="00852B81">
              <w:rPr>
                <w:rFonts w:ascii="Times New Roman" w:hAnsi="Times New Roman"/>
                <w:b/>
                <w:bCs/>
                <w:sz w:val="24"/>
                <w:szCs w:val="24"/>
              </w:rPr>
              <w:t>É</w:t>
            </w:r>
          </w:p>
        </w:tc>
      </w:tr>
      <w:tr w:rsidR="004F6117" w:rsidRPr="004F6117" w14:paraId="041809D9" w14:textId="77777777" w:rsidTr="00C24C98">
        <w:trPr>
          <w:jc w:val="center"/>
        </w:trPr>
        <w:tc>
          <w:tcPr>
            <w:tcW w:w="10467" w:type="dxa"/>
          </w:tcPr>
          <w:p w14:paraId="52C253DC" w14:textId="126D1274" w:rsidR="004F6117" w:rsidRPr="004F6117" w:rsidRDefault="0049246C" w:rsidP="00852B8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points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of the European Economic and Social Committee</w:t>
            </w:r>
            <w:r w:rsidR="00852B81">
              <w:rPr>
                <w:rFonts w:ascii="Times New Roman" w:hAnsi="Times New Roman"/>
                <w:b/>
                <w:sz w:val="24"/>
                <w:szCs w:val="24"/>
              </w:rPr>
              <w:t xml:space="preserve"> (EESC)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 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4F6117" w:rsidRPr="004F6117" w14:paraId="461CAB07" w14:textId="77777777" w:rsidTr="00890B3B">
        <w:trPr>
          <w:trHeight w:val="1828"/>
          <w:jc w:val="center"/>
        </w:trPr>
        <w:tc>
          <w:tcPr>
            <w:tcW w:w="10467" w:type="dxa"/>
          </w:tcPr>
          <w:p w14:paraId="6B4946D8" w14:textId="53E5BD80" w:rsidR="00647A1C" w:rsidRPr="00852B81" w:rsidRDefault="00647A1C" w:rsidP="00852B8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52B81">
              <w:rPr>
                <w:rFonts w:ascii="Times New Roman" w:hAnsi="Times New Roman"/>
                <w:sz w:val="24"/>
                <w:szCs w:val="24"/>
              </w:rPr>
              <w:t xml:space="preserve">In January 2025, the Commission presented the </w:t>
            </w:r>
            <w:r w:rsidRPr="00852B81">
              <w:rPr>
                <w:rFonts w:ascii="Times New Roman" w:hAnsi="Times New Roman"/>
                <w:b/>
                <w:bCs/>
                <w:sz w:val="24"/>
                <w:szCs w:val="24"/>
              </w:rPr>
              <w:t>Competitiveness Compass</w:t>
            </w:r>
            <w:r w:rsidRPr="00852B8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  <w:r w:rsidRPr="00852B81">
              <w:rPr>
                <w:rFonts w:ascii="Times New Roman" w:hAnsi="Times New Roman"/>
                <w:sz w:val="24"/>
                <w:szCs w:val="24"/>
              </w:rPr>
              <w:t xml:space="preserve">, a new roadmap to restore Europe’s </w:t>
            </w:r>
            <w:r w:rsidR="00975BFA" w:rsidRPr="00852B81">
              <w:rPr>
                <w:rFonts w:ascii="Times New Roman" w:hAnsi="Times New Roman"/>
                <w:sz w:val="24"/>
                <w:szCs w:val="24"/>
              </w:rPr>
              <w:t xml:space="preserve">economic </w:t>
            </w:r>
            <w:r w:rsidRPr="00852B81">
              <w:rPr>
                <w:rFonts w:ascii="Times New Roman" w:hAnsi="Times New Roman"/>
                <w:sz w:val="24"/>
                <w:szCs w:val="24"/>
              </w:rPr>
              <w:t xml:space="preserve">dynamism and boost Europe’s economic growth. The Compass builds on the analysis of </w:t>
            </w:r>
            <w:r w:rsidR="00492FA6" w:rsidRPr="00852B81">
              <w:rPr>
                <w:rFonts w:ascii="Times New Roman" w:hAnsi="Times New Roman"/>
                <w:sz w:val="24"/>
                <w:szCs w:val="24"/>
              </w:rPr>
              <w:t xml:space="preserve">Mario </w:t>
            </w:r>
            <w:r w:rsidRPr="00852B81">
              <w:rPr>
                <w:rFonts w:ascii="Times New Roman" w:hAnsi="Times New Roman"/>
                <w:sz w:val="24"/>
                <w:szCs w:val="24"/>
              </w:rPr>
              <w:t>Draghi’s report on the future of European competitiveness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footnoteReference w:id="3"/>
            </w:r>
            <w:r w:rsidRPr="00852B81">
              <w:rPr>
                <w:rFonts w:ascii="Times New Roman" w:hAnsi="Times New Roman"/>
                <w:sz w:val="24"/>
                <w:szCs w:val="24"/>
              </w:rPr>
              <w:t xml:space="preserve"> around three necessities to safeguard the EU’s future as an economic powerhouse: closing the innovation gap, decarbonising our economy and reducing dependencies. 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The </w:t>
            </w:r>
            <w:r w:rsidRPr="00852B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Annual Single Market and Competitiveness Report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footnoteReference w:id="4"/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analyses the strengths and weaknesses of the EU economy </w:t>
            </w:r>
            <w:r w:rsidR="00975BF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through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22 Key Performance Indicators (KPIs) and provides the analytical context for the Competitiveness Compass. </w:t>
            </w:r>
            <w:r w:rsidR="00975BF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 more comprehensive set of 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indicators </w:t>
            </w:r>
            <w:r w:rsidR="00492FA6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is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E029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covered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in the </w:t>
            </w:r>
            <w:r w:rsidRPr="00852B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Single Market and Competitiveness Scoreboard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footnoteReference w:id="5"/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also updated annually, to measure performance and outcomes in different policy areas and tools. </w:t>
            </w:r>
          </w:p>
          <w:p w14:paraId="43DD4A7A" w14:textId="235F036D" w:rsidR="00647A1C" w:rsidRPr="00852B81" w:rsidRDefault="00647A1C" w:rsidP="00852B81">
            <w:pPr>
              <w:widowControl w:val="0"/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The Commission welcomes</w:t>
            </w:r>
            <w:r w:rsidR="00DD1173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the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call </w:t>
            </w:r>
            <w:r w:rsidR="00492FA6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of the Committee 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for increased private and public investment to improve the EU’s competitiveness. The EU faces massive financing needs</w:t>
            </w:r>
            <w:r w:rsidR="00975BF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for challenges</w:t>
            </w:r>
            <w:r w:rsidR="00492FA6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and opportunities</w:t>
            </w:r>
            <w:r w:rsidR="00975BF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such as decarbonisation and </w:t>
            </w:r>
            <w:r w:rsidR="002E029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digitalisation.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330C9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 March 2025</w:t>
            </w:r>
            <w:r w:rsidR="006B3D6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the Commission presented the </w:t>
            </w:r>
            <w:r w:rsidRPr="00852B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Savings and Investments Union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footnoteReference w:id="6"/>
            </w:r>
            <w:r w:rsidR="233E7C0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horizontal enabler that will </w:t>
            </w:r>
            <w:r w:rsidR="00975BF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foster the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financing </w:t>
            </w:r>
            <w:r w:rsidR="00492FA6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environment</w:t>
            </w:r>
            <w:r w:rsidR="00885815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to benefit investments in the EU’s strategic objectives. </w:t>
            </w:r>
            <w:r w:rsidR="00885815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It</w:t>
            </w:r>
            <w:r w:rsidR="7E37A7E0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3011D67F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builds on four pillars: citizens and savings, investment and financing, integration and scale, and efficient supervision</w:t>
            </w:r>
            <w:r w:rsidR="34D58F98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492FA6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with the aim to </w:t>
            </w:r>
            <w:r w:rsidR="00975BF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deepen the S</w:t>
            </w:r>
            <w:r w:rsidR="3F3F0BAC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ingle </w:t>
            </w:r>
            <w:r w:rsidR="00975BF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</w:t>
            </w:r>
            <w:r w:rsidR="3F3F0BAC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arket </w:t>
            </w:r>
            <w:r w:rsidR="00975BF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 the area of</w:t>
            </w:r>
            <w:r w:rsidR="3F3F0BAC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savings and investments</w:t>
            </w:r>
            <w:r w:rsidR="34D58F98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from the perspective of </w:t>
            </w:r>
            <w:r w:rsidR="69E5F129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capital </w:t>
            </w:r>
            <w:r w:rsidR="34D58F98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supply</w:t>
            </w:r>
            <w:r w:rsidR="6FCA03C3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and </w:t>
            </w:r>
            <w:r w:rsidR="34D58F98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demand, </w:t>
            </w:r>
            <w:r w:rsidR="6B0B7EFD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as well as </w:t>
            </w:r>
            <w:r w:rsidR="34D58F98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from a market structure point of view.</w:t>
            </w:r>
            <w:r w:rsidR="266B8CC0" w:rsidRPr="00852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66B8CC0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Additionally, </w:t>
            </w:r>
            <w:r w:rsidR="266B8CC0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cohesion policy </w:t>
            </w:r>
            <w:r w:rsidR="266B8CC0" w:rsidRPr="00852B81">
              <w:rPr>
                <w:rFonts w:ascii="Times New Roman" w:eastAsia="Times New Roman" w:hAnsi="Times New Roman"/>
                <w:sz w:val="24"/>
                <w:szCs w:val="24"/>
              </w:rPr>
              <w:t>is a catalyst for additional public and private investments. In the period 2021-2027, cohesion policy has allocated over EUR 76 billion to support SMEs, boost research and innovation capacities, develop strategic techno</w:t>
            </w:r>
            <w:r w:rsidR="569D6280" w:rsidRPr="00852B81">
              <w:rPr>
                <w:rFonts w:ascii="Times New Roman" w:eastAsia="Times New Roman" w:hAnsi="Times New Roman"/>
                <w:sz w:val="24"/>
                <w:szCs w:val="24"/>
              </w:rPr>
              <w:t>logies and skills, and digitalis</w:t>
            </w:r>
            <w:r w:rsidR="006B3D6A" w:rsidRPr="00852B81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569D6280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public services and enterprises.</w:t>
            </w:r>
            <w:r w:rsidR="009003C1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330C9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he Commission </w:t>
            </w:r>
            <w:r w:rsidR="006B3D6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also 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adopted the new </w:t>
            </w:r>
            <w:r w:rsidRPr="00852B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Clean Industrial Deal State Aid Framework (CISAF)</w:t>
            </w:r>
            <w:r w:rsidR="00D60BDA" w:rsidRPr="00852B81">
              <w:rPr>
                <w:rStyle w:val="FootnoteReference"/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footnoteReference w:id="7"/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in June</w:t>
            </w:r>
            <w:r w:rsidR="00A81AB2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2025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to allow Member States to promote clean energy, industrial decarbonisation and clean technology by </w:t>
            </w:r>
            <w:r w:rsidR="00B8429A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simplifying the rules for 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providing targeted State aid. Finally, as part of the next </w:t>
            </w:r>
            <w:r w:rsidR="00035CD8" w:rsidRPr="00852B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Multiannual Financial Framework</w:t>
            </w:r>
            <w:r w:rsidR="00035CD8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035CD8" w:rsidRPr="00852B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(MFF)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footnoteReference w:id="8"/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the </w:t>
            </w:r>
            <w:r w:rsidRPr="00852B8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European Competitiveness Fund </w:t>
            </w:r>
            <w:r w:rsidR="1F9C6BE3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will unlock additional public and private investments, creating an “investment culture” by better leveraging public funds and de-risking </w:t>
            </w:r>
            <w:r w:rsidR="004C56D4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investment by offering an appropriate leverage/impact ratio of the Union budget</w:t>
            </w:r>
            <w:r w:rsidR="1F9C6BE3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It will crowd-in private capital to secure a competitive</w:t>
            </w:r>
            <w:r w:rsidR="00A51868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base for</w:t>
            </w:r>
            <w:r w:rsidR="1F9C6BE3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innovation and industr</w:t>
            </w:r>
            <w:r w:rsidR="00A51868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</w:t>
            </w:r>
            <w:r w:rsidR="1F9C6BE3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A221C5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1F9C6BE3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also by using innovative funding instruments including public-private co-investment with asymmetric risk returns</w:t>
            </w:r>
            <w:r w:rsidR="00AF56AF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and </w:t>
            </w:r>
            <w:r w:rsidR="00AF56AF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supporting Important Projects of Common European Interest (IPCEI)</w:t>
            </w:r>
            <w:r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footnoteReference w:id="9"/>
            </w:r>
            <w:r w:rsidR="00AF56AF" w:rsidRPr="00852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D23506D" w14:textId="21C052D7" w:rsidR="00CE7902" w:rsidRPr="00852B81" w:rsidRDefault="00141007" w:rsidP="00852B81">
            <w:pPr>
              <w:widowControl w:val="0"/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Additionally,</w:t>
            </w:r>
            <w:r w:rsidR="00D845ED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the EU research framework</w:t>
            </w:r>
            <w:r w:rsidR="004C56D4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45ED" w:rsidRPr="00852B81">
              <w:rPr>
                <w:rFonts w:ascii="Times New Roman" w:eastAsia="Times New Roman" w:hAnsi="Times New Roman"/>
                <w:sz w:val="24"/>
                <w:szCs w:val="24"/>
              </w:rPr>
              <w:t>will continue to finance world-class innovation. T</w:t>
            </w:r>
            <w:r w:rsidR="00CE7902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he Commission’s proposal for a regulation establishing </w:t>
            </w:r>
            <w:r w:rsidR="00CE7902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Horizon Europe</w:t>
            </w:r>
            <w:r w:rsidR="00CE7902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for the period 2028-2034</w:t>
            </w:r>
            <w:r w:rsidRPr="00852B81">
              <w:rPr>
                <w:rStyle w:val="FootnoteReference"/>
                <w:rFonts w:ascii="Times New Roman" w:eastAsia="Times New Roman" w:hAnsi="Times New Roman"/>
                <w:sz w:val="24"/>
                <w:szCs w:val="24"/>
              </w:rPr>
              <w:footnoteReference w:id="10"/>
            </w:r>
            <w:r w:rsidR="00CE7902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confirms the important role that partnerships play in bringing together public and private actors to drive innovation and improve the EU’s competitiveness. Partnerships will therefore remain a key instrument of the next Horizon Europe programme</w:t>
            </w:r>
          </w:p>
          <w:p w14:paraId="1B7EF6AD" w14:textId="67B9E936" w:rsidR="00647A1C" w:rsidRPr="00852B81" w:rsidRDefault="00647A1C" w:rsidP="00852B81">
            <w:pPr>
              <w:widowControl w:val="0"/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The Commission</w:t>
            </w:r>
            <w:r w:rsidR="00B039B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recognises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the central role of supply chains for a competitive and resilient EU industrial base and economy. </w:t>
            </w:r>
            <w:r w:rsidR="00327E0B" w:rsidRPr="00852B81">
              <w:rPr>
                <w:rFonts w:ascii="Times New Roman" w:eastAsia="Times New Roman" w:hAnsi="Times New Roman"/>
                <w:sz w:val="24"/>
                <w:szCs w:val="24"/>
              </w:rPr>
              <w:t>Regarding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supply chains, the Commission has conducted two series of 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mapping</w:t>
            </w:r>
            <w:r w:rsidR="007E36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strategic dependencies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11"/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and has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developed a methodology to monitor the evolution of supply chains in the EU and </w:t>
            </w:r>
            <w:r w:rsidR="00327E0B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identify their distress, the Supply Chain Alert Notification (SCAN)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12"/>
            </w:r>
            <w:r w:rsidR="00327E0B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. It is also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working on </w:t>
            </w:r>
            <w:r w:rsidR="00327E0B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supply chain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risk assessments. One major risk dependency is the sector of raw materials</w:t>
            </w:r>
            <w:r w:rsidR="00327E0B" w:rsidRPr="00852B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90B3B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The 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Critical Raw Materials Act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13"/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(CRMA)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aims to ensure a secure and sustainable supply of critical raw materials for Europe’s industry, by strengthening domestic supply chains as well as reinforcing international engagement to develop win-win partnerships with third countries. Under the CRMA, the Commission </w:t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adopted </w:t>
            </w:r>
            <w:r w:rsidR="00890B3B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in March 2025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47 </w:t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trategic </w:t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rojects </w:t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to secure and diversify access to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raw materials in the EU and 13</w:t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strategic projects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outside the EU </w:t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>in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June</w:t>
            </w:r>
            <w:r w:rsidR="00FB6255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2025</w:t>
            </w:r>
            <w:r w:rsidR="00D87AA3" w:rsidRPr="00852B81">
              <w:rPr>
                <w:rStyle w:val="FootnoteReference"/>
                <w:rFonts w:ascii="Times New Roman" w:eastAsia="Times New Roman" w:hAnsi="Times New Roman"/>
                <w:sz w:val="24"/>
                <w:szCs w:val="24"/>
              </w:rPr>
              <w:footnoteReference w:id="14"/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and has signed</w:t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so far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strategic partnerships </w:t>
            </w:r>
            <w:r w:rsidR="00D87AA3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on raw materials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with </w:t>
            </w:r>
            <w:r w:rsidR="00DD03E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14 different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countries</w:t>
            </w:r>
            <w:r w:rsidR="00D87AA3" w:rsidRPr="00852B81">
              <w:rPr>
                <w:rStyle w:val="FootnoteReference"/>
                <w:rFonts w:ascii="Times New Roman" w:eastAsia="Times New Roman" w:hAnsi="Times New Roman"/>
                <w:sz w:val="24"/>
                <w:szCs w:val="24"/>
              </w:rPr>
              <w:footnoteReference w:id="15"/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A729EF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The ReSource EU strategy adopted in December 2025 aims at turbo-charging these projects. </w:t>
            </w:r>
            <w:r w:rsidR="00FB6255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More </w:t>
            </w:r>
            <w:r w:rsidR="00885815" w:rsidRPr="00852B81">
              <w:rPr>
                <w:rFonts w:ascii="Times New Roman" w:eastAsia="Times New Roman" w:hAnsi="Times New Roman"/>
                <w:sz w:val="24"/>
                <w:szCs w:val="24"/>
              </w:rPr>
              <w:t>broadly</w:t>
            </w:r>
            <w:r w:rsidR="00FB6255" w:rsidRPr="00852B81">
              <w:rPr>
                <w:rFonts w:ascii="Times New Roman" w:eastAsia="Times New Roman" w:hAnsi="Times New Roman"/>
                <w:sz w:val="24"/>
                <w:szCs w:val="24"/>
              </w:rPr>
              <w:t>, t</w:t>
            </w:r>
            <w:r w:rsidR="00975BF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he </w:t>
            </w:r>
            <w:r w:rsidR="00975BFA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European Economic Security Strategy</w:t>
            </w:r>
            <w:r w:rsidR="00975BFA" w:rsidRPr="00852B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16"/>
            </w:r>
            <w:r w:rsidR="00975BF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outlines the European strategic approach around the three pillars of promoting the EU’s competitiveness, protecting the EU’s economic security, and </w:t>
            </w:r>
            <w:r w:rsidR="007E361A">
              <w:rPr>
                <w:rFonts w:ascii="Times New Roman" w:eastAsia="Times New Roman" w:hAnsi="Times New Roman"/>
                <w:sz w:val="24"/>
                <w:szCs w:val="24"/>
              </w:rPr>
              <w:t xml:space="preserve">establishing </w:t>
            </w:r>
            <w:r w:rsidR="00975BFA" w:rsidRPr="00852B81">
              <w:rPr>
                <w:rFonts w:ascii="Times New Roman" w:eastAsia="Times New Roman" w:hAnsi="Times New Roman"/>
                <w:sz w:val="24"/>
                <w:szCs w:val="24"/>
              </w:rPr>
              <w:t>partner</w:t>
            </w:r>
            <w:r w:rsidR="007E361A">
              <w:rPr>
                <w:rFonts w:ascii="Times New Roman" w:eastAsia="Times New Roman" w:hAnsi="Times New Roman"/>
                <w:sz w:val="24"/>
                <w:szCs w:val="24"/>
              </w:rPr>
              <w:t>ships</w:t>
            </w:r>
            <w:r w:rsidR="00975BF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with others.</w:t>
            </w:r>
          </w:p>
          <w:p w14:paraId="70CA01D8" w14:textId="22BB3509" w:rsidR="00647A1C" w:rsidRPr="00852B81" w:rsidRDefault="00647A1C" w:rsidP="00852B81">
            <w:pPr>
              <w:widowControl w:val="0"/>
              <w:spacing w:before="120" w:after="12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The EESC </w:t>
            </w:r>
            <w:r w:rsidR="00FB6255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opinion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calls for Omnibus packages to</w:t>
            </w:r>
            <w:r w:rsidRPr="00852B81" w:rsidDel="009808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ensure regulatory coherence, legal certainty, and </w:t>
            </w:r>
            <w:r w:rsidRPr="00852B81" w:rsidDel="00980872">
              <w:rPr>
                <w:rFonts w:ascii="Times New Roman" w:eastAsia="Times New Roman" w:hAnsi="Times New Roman"/>
                <w:sz w:val="24"/>
                <w:szCs w:val="24"/>
              </w:rPr>
              <w:t>reduc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ed </w:t>
            </w:r>
            <w:r w:rsidRPr="00852B81" w:rsidDel="00980872">
              <w:rPr>
                <w:rFonts w:ascii="Times New Roman" w:eastAsia="Times New Roman" w:hAnsi="Times New Roman"/>
                <w:sz w:val="24"/>
                <w:szCs w:val="24"/>
              </w:rPr>
              <w:t xml:space="preserve">administrative burdens and compliance costs for businesses. </w:t>
            </w:r>
            <w:r w:rsidR="00FB6255" w:rsidRPr="00852B81">
              <w:rPr>
                <w:rFonts w:ascii="Times New Roman" w:eastAsia="Times New Roman" w:hAnsi="Times New Roman"/>
                <w:sz w:val="24"/>
                <w:szCs w:val="24"/>
              </w:rPr>
              <w:t>The Commission adopted 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everal sets of </w:t>
            </w:r>
            <w:r w:rsidRPr="00852B81" w:rsidDel="00980872">
              <w:rPr>
                <w:rFonts w:ascii="Times New Roman" w:eastAsia="Times New Roman" w:hAnsi="Times New Roman"/>
                <w:sz w:val="24"/>
                <w:szCs w:val="24"/>
              </w:rPr>
              <w:t xml:space="preserve">simplification </w:t>
            </w:r>
            <w:r w:rsidRPr="00852B81" w:rsidDel="00980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Omnibus proposals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17"/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and further ones </w:t>
            </w:r>
            <w:r w:rsidR="00FB6255" w:rsidRPr="00852B81">
              <w:rPr>
                <w:rFonts w:ascii="Times New Roman" w:eastAsia="Times New Roman" w:hAnsi="Times New Roman"/>
                <w:sz w:val="24"/>
                <w:szCs w:val="24"/>
              </w:rPr>
              <w:t>will follow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to speed up, simplify and improve EU policies and laws, as well as </w:t>
            </w:r>
            <w:r w:rsidR="006B3D6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make rules clearer, easier to understand and faster to implement. </w:t>
            </w:r>
            <w:r w:rsidRPr="00852B81" w:rsidDel="00980872">
              <w:rPr>
                <w:rFonts w:ascii="Times New Roman" w:eastAsia="Times New Roman" w:hAnsi="Times New Roman"/>
                <w:sz w:val="24"/>
                <w:szCs w:val="24"/>
              </w:rPr>
              <w:t xml:space="preserve">As announced in the </w:t>
            </w:r>
            <w:r w:rsidRPr="00852B81" w:rsidDel="00980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Commission work programme</w:t>
            </w:r>
            <w:r w:rsidR="00CB5376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 w:rsidRPr="00852B81" w:rsidDel="00980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for 2025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18"/>
            </w:r>
            <w:r w:rsidR="00CB5376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and 2026</w:t>
            </w:r>
            <w:r w:rsidR="00CB5376" w:rsidRPr="00852B81"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19"/>
            </w:r>
            <w:r w:rsidRPr="00852B81" w:rsidDel="0098087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85815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several </w:t>
            </w:r>
            <w:r w:rsidRPr="00852B81" w:rsidDel="00980872">
              <w:rPr>
                <w:rFonts w:ascii="Times New Roman" w:eastAsia="Times New Roman" w:hAnsi="Times New Roman"/>
                <w:sz w:val="24"/>
                <w:szCs w:val="24"/>
              </w:rPr>
              <w:t>measures are planned to address overlapping, unnecessary or disproportionate rules that create barriers for EU companies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, including reporting burdens</w:t>
            </w:r>
            <w:r w:rsidRPr="00852B81" w:rsidDel="0098087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The </w:t>
            </w:r>
            <w:r w:rsidRPr="00852B81">
              <w:rPr>
                <w:rFonts w:ascii="Times New Roman" w:hAnsi="Times New Roman"/>
                <w:b/>
                <w:bCs/>
                <w:sz w:val="24"/>
                <w:szCs w:val="24"/>
              </w:rPr>
              <w:t>Industrial Accelerator Act</w:t>
            </w:r>
            <w:r w:rsidR="00B039BC" w:rsidRPr="00852B81">
              <w:rPr>
                <w:rFonts w:ascii="Times New Roman" w:hAnsi="Times New Roman"/>
                <w:sz w:val="24"/>
                <w:szCs w:val="24"/>
              </w:rPr>
              <w:t>, for instance,</w:t>
            </w:r>
            <w:r w:rsidRPr="00852B81">
              <w:rPr>
                <w:rFonts w:ascii="Times New Roman" w:hAnsi="Times New Roman"/>
                <w:sz w:val="24"/>
                <w:szCs w:val="24"/>
              </w:rPr>
              <w:t xml:space="preserve"> will simplify legislation to streamline permit granting, authorisations and reporting requirements to facilitate decarbonisation investments in projects across manufacturing sectors and strengthen European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resilience</w:t>
            </w:r>
            <w:r w:rsidR="00035CD8" w:rsidRPr="00852B8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3C183035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especially in energy-intensive industrial sectors</w:t>
            </w:r>
            <w:r w:rsidRPr="00852B81">
              <w:rPr>
                <w:rFonts w:ascii="Times New Roman" w:hAnsi="Times New Roman"/>
                <w:sz w:val="24"/>
                <w:szCs w:val="24"/>
              </w:rPr>
              <w:t>.</w:t>
            </w:r>
            <w:r w:rsidR="064FD9F5" w:rsidRPr="00852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43979" w14:textId="11605F84" w:rsidR="4A35234E" w:rsidRPr="00852B81" w:rsidRDefault="00647A1C" w:rsidP="00852B8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2B81">
              <w:rPr>
                <w:rFonts w:ascii="Times New Roman" w:hAnsi="Times New Roman"/>
                <w:sz w:val="24"/>
                <w:szCs w:val="24"/>
              </w:rPr>
              <w:t xml:space="preserve">The Commission agrees </w:t>
            </w:r>
            <w:r w:rsidR="00D87AA3" w:rsidRPr="00852B81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852B81">
              <w:rPr>
                <w:rFonts w:ascii="Times New Roman" w:hAnsi="Times New Roman"/>
                <w:sz w:val="24"/>
                <w:szCs w:val="24"/>
              </w:rPr>
              <w:t xml:space="preserve">the importance of recognising sustainability efforts by EU companies. Voluntary carbon intensity labels and sustainability and resilience criteria and standards will support the creation of </w:t>
            </w:r>
            <w:r w:rsidRPr="00852B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lead markets for EU-made clean, circular and low-carbon products together with EU content requirements and tax incentives. In the </w:t>
            </w:r>
            <w:r w:rsidRPr="00852B81">
              <w:rPr>
                <w:rFonts w:ascii="Times New Roman" w:hAnsi="Times New Roman"/>
                <w:b/>
                <w:bCs/>
                <w:sz w:val="24"/>
                <w:szCs w:val="24"/>
              </w:rPr>
              <w:t>Clean Industrial Deal</w:t>
            </w:r>
            <w:r w:rsidR="00890B3B" w:rsidRPr="00852B81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</w:rPr>
              <w:footnoteReference w:id="20"/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, the Commission committed to revise the 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Public Procurement Framework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to allow for sustainability, resilience and European preference criteria in EU public procurement for strategic sectors. </w:t>
            </w:r>
            <w:bookmarkStart w:id="0" w:name="_Hlk206512325"/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The 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Industrial Accelerator Act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will </w:t>
            </w:r>
            <w:r w:rsidR="00692EA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also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increase demand for EU-made clean products by introducing sustainability and resilience criteria</w:t>
            </w:r>
            <w:r w:rsidR="00692EAA" w:rsidRPr="00852B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bookmarkEnd w:id="0"/>
          <w:p w14:paraId="230AF3FB" w14:textId="0BF392CC" w:rsidR="00647A1C" w:rsidRPr="00852B81" w:rsidRDefault="00647A1C" w:rsidP="00852B81">
            <w:pPr>
              <w:widowControl w:val="0"/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The Commission </w:t>
            </w:r>
            <w:r w:rsidR="00B039B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recognises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the economic challenges </w:t>
            </w:r>
            <w:r w:rsidR="00020728" w:rsidRPr="00852B81">
              <w:rPr>
                <w:rFonts w:ascii="Times New Roman" w:eastAsia="Times New Roman" w:hAnsi="Times New Roman"/>
                <w:sz w:val="24"/>
                <w:szCs w:val="24"/>
              </w:rPr>
              <w:t>but also the economic</w:t>
            </w:r>
            <w:r w:rsidR="00E92BB1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opportunities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that companies face in the transition to circularity. One of the key pillars of the</w:t>
            </w:r>
            <w:r w:rsidR="00B039B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upcoming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Circular Economy Act</w:t>
            </w:r>
            <w:r w:rsidR="00890B3B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will be to </w:t>
            </w:r>
            <w:r w:rsidR="00C331E6" w:rsidRPr="00852B81">
              <w:rPr>
                <w:rFonts w:ascii="Times New Roman" w:eastAsia="Times New Roman" w:hAnsi="Times New Roman"/>
                <w:sz w:val="24"/>
                <w:szCs w:val="24"/>
              </w:rPr>
              <w:t>establish a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Single Market for secondary materials</w:t>
            </w:r>
            <w:r w:rsidR="00587CD0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039BC" w:rsidRPr="00852B81">
              <w:rPr>
                <w:rFonts w:ascii="Times New Roman" w:eastAsia="Times New Roman" w:hAnsi="Times New Roman"/>
                <w:sz w:val="24"/>
                <w:szCs w:val="24"/>
              </w:rPr>
              <w:t>through</w:t>
            </w:r>
            <w:r w:rsidR="00587CD0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supply and demand side measures. F</w:t>
            </w:r>
            <w:r w:rsidR="00C331E6" w:rsidRPr="00852B81">
              <w:rPr>
                <w:rFonts w:ascii="Times New Roman" w:eastAsia="Times New Roman" w:hAnsi="Times New Roman"/>
                <w:sz w:val="24"/>
                <w:szCs w:val="24"/>
              </w:rPr>
              <w:t>or instance,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87CD0" w:rsidRPr="00852B81">
              <w:rPr>
                <w:rFonts w:ascii="Times New Roman" w:eastAsia="Times New Roman" w:hAnsi="Times New Roman"/>
                <w:sz w:val="24"/>
                <w:szCs w:val="24"/>
              </w:rPr>
              <w:t>the Commission is considering</w:t>
            </w:r>
            <w:r w:rsidR="00024E61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34E4D" w:rsidRPr="00852B81">
              <w:rPr>
                <w:rFonts w:ascii="Times New Roman" w:eastAsia="Times New Roman" w:hAnsi="Times New Roman"/>
                <w:sz w:val="24"/>
                <w:szCs w:val="24"/>
              </w:rPr>
              <w:t>reforming</w:t>
            </w:r>
            <w:r w:rsidR="0024772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the system </w:t>
            </w:r>
            <w:r w:rsidR="009247C1" w:rsidRPr="00852B81">
              <w:rPr>
                <w:rFonts w:ascii="Times New Roman" w:eastAsia="Times New Roman" w:hAnsi="Times New Roman"/>
                <w:sz w:val="24"/>
                <w:szCs w:val="24"/>
              </w:rPr>
              <w:t>for the development of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47C1" w:rsidRPr="00852B81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nd-of-waste criteria and</w:t>
            </w:r>
            <w:r w:rsidR="00CE7902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039B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to </w:t>
            </w:r>
            <w:r w:rsidR="00CE7902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harmonise, simplify, digitalise </w:t>
            </w:r>
            <w:r w:rsidR="008C5E64" w:rsidRPr="00852B81">
              <w:rPr>
                <w:rFonts w:ascii="Times New Roman" w:eastAsia="Times New Roman" w:hAnsi="Times New Roman"/>
                <w:sz w:val="24"/>
                <w:szCs w:val="24"/>
              </w:rPr>
              <w:t>and expand in a targeted manner</w:t>
            </w:r>
            <w:r w:rsidR="00B039B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E7902" w:rsidRPr="00852B81">
              <w:rPr>
                <w:rFonts w:ascii="Times New Roman" w:eastAsia="Times New Roman" w:hAnsi="Times New Roman"/>
                <w:sz w:val="24"/>
                <w:szCs w:val="24"/>
              </w:rPr>
              <w:t>extended producer responsibility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. The </w:t>
            </w:r>
            <w:r w:rsidR="00266C2B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Circular Economy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Act will also </w:t>
            </w:r>
            <w:r w:rsidR="00547452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consider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incentivis</w:t>
            </w:r>
            <w:r w:rsidR="00547452" w:rsidRPr="00852B81">
              <w:rPr>
                <w:rFonts w:ascii="Times New Roman" w:eastAsia="Times New Roman" w:hAnsi="Times New Roman"/>
                <w:sz w:val="24"/>
                <w:szCs w:val="24"/>
              </w:rPr>
              <w:t>ing the demand for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secondary materials</w:t>
            </w:r>
            <w:r w:rsidR="00547452" w:rsidRPr="00852B81">
              <w:rPr>
                <w:rFonts w:ascii="Times New Roman" w:eastAsia="Times New Roman" w:hAnsi="Times New Roman"/>
                <w:sz w:val="24"/>
                <w:szCs w:val="24"/>
              </w:rPr>
              <w:t>, including through public procurement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2C4E4A83" w14:textId="506F72F4" w:rsidR="00357750" w:rsidRPr="00852B81" w:rsidRDefault="00AF56AF" w:rsidP="00852B81">
            <w:pPr>
              <w:widowControl w:val="0"/>
              <w:spacing w:before="120" w:after="12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he Commission presented in February 2025 an </w:t>
            </w:r>
            <w:r w:rsidR="00647A1C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Affordable Energy Action Plan</w:t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21"/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based on four pillars: lowering energy costs for all, completing the Energy Union, attracting investments and ensuring delivery, and being ready for potential energy crises. </w:t>
            </w:r>
            <w:r w:rsidR="00C7351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Since </w:t>
            </w:r>
            <w:r w:rsidR="00B16840" w:rsidRPr="00852B81">
              <w:rPr>
                <w:rFonts w:ascii="Times New Roman" w:eastAsia="Times New Roman" w:hAnsi="Times New Roman"/>
                <w:sz w:val="24"/>
                <w:szCs w:val="24"/>
              </w:rPr>
              <w:t>its</w:t>
            </w:r>
            <w:r w:rsidR="00C7351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adoption</w:t>
            </w:r>
            <w:r w:rsidR="00B16840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, substantial progress has been </w:t>
            </w:r>
            <w:r w:rsidR="00B039BC" w:rsidRPr="00852B81">
              <w:rPr>
                <w:rFonts w:ascii="Times New Roman" w:eastAsia="Times New Roman" w:hAnsi="Times New Roman"/>
                <w:sz w:val="24"/>
                <w:szCs w:val="24"/>
              </w:rPr>
              <w:t>made</w:t>
            </w:r>
            <w:r w:rsidR="00B16840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on the implementation of the action plan, </w:t>
            </w:r>
            <w:r w:rsidR="00B039B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such as </w:t>
            </w:r>
            <w:r w:rsidR="00C7351A" w:rsidRPr="00852B81">
              <w:rPr>
                <w:rFonts w:ascii="Times New Roman" w:eastAsia="Times New Roman" w:hAnsi="Times New Roman"/>
                <w:sz w:val="24"/>
                <w:szCs w:val="24"/>
              </w:rPr>
              <w:t>the launch of an Energy Union Task Force to increase coordination and enhance the governance of the electricity system</w:t>
            </w:r>
            <w:r w:rsidR="00452215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7351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and a recommendation on how to lower electricity taxes. </w:t>
            </w:r>
            <w:r w:rsidR="00B16840" w:rsidRPr="00852B81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C7351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he Commission </w:t>
            </w:r>
            <w:r w:rsidR="00B16840" w:rsidRPr="00852B81">
              <w:rPr>
                <w:rFonts w:ascii="Times New Roman" w:eastAsia="Times New Roman" w:hAnsi="Times New Roman"/>
                <w:sz w:val="24"/>
                <w:szCs w:val="24"/>
              </w:rPr>
              <w:t>will</w:t>
            </w:r>
            <w:r w:rsidR="00C7351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6840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also </w:t>
            </w:r>
            <w:r w:rsidR="00C7351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present a Clean Energy Investment Strategy, the Citizens’ Energy Package and further guidance on the implementation of the Electricity Market Design reform, among other initiatives. </w:t>
            </w:r>
          </w:p>
          <w:p w14:paraId="23702C7D" w14:textId="55A8040B" w:rsidR="006400A7" w:rsidRPr="00852B81" w:rsidRDefault="00CB5376" w:rsidP="00852B8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2B81">
              <w:rPr>
                <w:rFonts w:ascii="Times New Roman" w:hAnsi="Times New Roman"/>
                <w:sz w:val="24"/>
                <w:szCs w:val="24"/>
              </w:rPr>
              <w:t xml:space="preserve">The Single Market is key to European competitiveness and growth. The </w:t>
            </w:r>
            <w:r w:rsidRPr="00852B81">
              <w:rPr>
                <w:rFonts w:ascii="Times New Roman" w:hAnsi="Times New Roman"/>
                <w:b/>
                <w:bCs/>
                <w:sz w:val="24"/>
                <w:szCs w:val="24"/>
              </w:rPr>
              <w:t>Single Market Strategy</w:t>
            </w:r>
            <w:r w:rsidRPr="00852B8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2"/>
            </w:r>
            <w:r w:rsidRPr="00852B81">
              <w:rPr>
                <w:rFonts w:ascii="Times New Roman" w:hAnsi="Times New Roman"/>
                <w:sz w:val="24"/>
                <w:szCs w:val="24"/>
              </w:rPr>
              <w:t xml:space="preserve"> presented in May 2025 is the Commission’s plan to make the Single Market simpler, seamless and strong – unlocking its full potential for citizens, workers and businesses, especially for SMEs and small mid-caps (SMCs). It focuses on removing the most harmful barriers</w:t>
            </w:r>
            <w:r w:rsidRPr="00852B81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3"/>
            </w:r>
            <w:r w:rsidRPr="00852B81">
              <w:rPr>
                <w:rFonts w:ascii="Times New Roman" w:hAnsi="Times New Roman"/>
                <w:sz w:val="24"/>
                <w:szCs w:val="24"/>
              </w:rPr>
              <w:t xml:space="preserve">, simplifying and reducing red tape, promoting investment and ensuring fair competition. 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>The</w:t>
            </w:r>
            <w:r w:rsidRPr="00852B81">
              <w:rPr>
                <w:rFonts w:ascii="Times New Roman" w:hAnsi="Times New Roman"/>
                <w:sz w:val="24"/>
                <w:szCs w:val="24"/>
              </w:rPr>
              <w:t xml:space="preserve"> Strategy 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 xml:space="preserve">identifies the recognition of professional qualifications as one of the ‘Terrible Ten’ most harmful Single Market barriers. </w:t>
            </w:r>
            <w:r w:rsidR="00AF56AF" w:rsidRPr="00852B81">
              <w:rPr>
                <w:rFonts w:ascii="Times New Roman" w:hAnsi="Times New Roman"/>
                <w:sz w:val="24"/>
                <w:szCs w:val="24"/>
              </w:rPr>
              <w:t>In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 xml:space="preserve"> 2026, the Commission will </w:t>
            </w:r>
            <w:r w:rsidR="00AF56AF" w:rsidRPr="00852B81">
              <w:rPr>
                <w:rFonts w:ascii="Times New Roman" w:hAnsi="Times New Roman"/>
                <w:sz w:val="24"/>
                <w:szCs w:val="24"/>
              </w:rPr>
              <w:t>simplify and speed up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 xml:space="preserve"> the recognition of professional qualifications</w:t>
            </w:r>
            <w:r w:rsidR="00AF56AF" w:rsidRPr="00852B81">
              <w:rPr>
                <w:rFonts w:ascii="Times New Roman" w:hAnsi="Times New Roman"/>
                <w:sz w:val="24"/>
                <w:szCs w:val="24"/>
              </w:rPr>
              <w:t xml:space="preserve"> and skills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 xml:space="preserve"> through </w:t>
            </w:r>
            <w:r w:rsidR="00AF56AF" w:rsidRPr="00852B8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>greater use of digital tools and the extension of automatic recognition schemes</w:t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. The </w:t>
            </w:r>
            <w:r w:rsidR="00AF56AF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Skills Portability Initiative announced in the </w:t>
            </w:r>
            <w:r w:rsidR="00647A1C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Union of Skills</w:t>
            </w:r>
            <w:r w:rsidR="00647A1C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24"/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F56AF" w:rsidRPr="00852B81">
              <w:rPr>
                <w:rFonts w:ascii="Times New Roman" w:eastAsia="Times New Roman" w:hAnsi="Times New Roman"/>
                <w:sz w:val="24"/>
                <w:szCs w:val="24"/>
              </w:rPr>
              <w:t>will</w:t>
            </w:r>
            <w:r w:rsidR="00503E3E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enhance the portability of skills and qualifications across the EU, independently of where they were acquired.</w:t>
            </w:r>
            <w:r w:rsidR="00AF56AF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F59DF" w:rsidRPr="00852B81">
              <w:rPr>
                <w:rFonts w:ascii="Times New Roman" w:eastAsia="Times New Roman" w:hAnsi="Times New Roman"/>
                <w:sz w:val="24"/>
                <w:szCs w:val="24"/>
              </w:rPr>
              <w:t>It</w:t>
            </w:r>
            <w:r w:rsidR="006400A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also plans the rollout of new Skills Academies between 2025 and 2028 to deliver the skills needed in specific</w:t>
            </w:r>
            <w:r w:rsidR="00D06E5A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industrial</w:t>
            </w:r>
            <w:r w:rsidR="006400A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sectors for the green, digital and clean tech transition</w:t>
            </w:r>
            <w:r w:rsidR="00885815" w:rsidRPr="00852B81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6400A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DF59DF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400A7" w:rsidRPr="00852B81">
              <w:rPr>
                <w:rFonts w:ascii="Times New Roman" w:eastAsia="Times New Roman" w:hAnsi="Times New Roman"/>
                <w:sz w:val="24"/>
                <w:szCs w:val="24"/>
              </w:rPr>
              <w:t>Furthermore, the STEM Education Strategic Plan</w:t>
            </w:r>
            <w:r w:rsidR="006400A7" w:rsidRPr="00852B81">
              <w:rPr>
                <w:rStyle w:val="FootnoteReference"/>
                <w:rFonts w:ascii="Times New Roman" w:eastAsia="Times New Roman" w:hAnsi="Times New Roman"/>
                <w:sz w:val="24"/>
                <w:szCs w:val="24"/>
              </w:rPr>
              <w:footnoteReference w:id="25"/>
            </w:r>
            <w:r w:rsidR="006400A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will contribute to skilling, upskilling and reskilling learners and workers of all ages in STEM subjects, with a special focus on girls and women. </w:t>
            </w:r>
          </w:p>
          <w:p w14:paraId="41ADDDA4" w14:textId="0C8F551E" w:rsidR="004F6117" w:rsidRPr="00852B81" w:rsidRDefault="00084B7A" w:rsidP="00852B81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Social dialogue is enshrined in the Treaty on the Functioning of the European Union (TFEU) and </w:t>
            </w:r>
            <w:r w:rsidR="00594567" w:rsidRPr="00852B81">
              <w:rPr>
                <w:rFonts w:ascii="Times New Roman" w:eastAsia="Times New Roman" w:hAnsi="Times New Roman"/>
                <w:sz w:val="24"/>
                <w:szCs w:val="24"/>
              </w:rPr>
              <w:t>under</w:t>
            </w:r>
            <w:r w:rsidR="00594567">
              <w:rPr>
                <w:rFonts w:ascii="Times New Roman" w:eastAsia="Times New Roman" w:hAnsi="Times New Roman"/>
                <w:sz w:val="24"/>
                <w:szCs w:val="24"/>
              </w:rPr>
              <w:t>pinned</w:t>
            </w:r>
            <w:r w:rsidR="00594567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by the 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European Pillar of Social Rights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. The Pillar will continue to be </w:t>
            </w:r>
            <w:r w:rsidR="00CB0F4F" w:rsidRPr="00852B81">
              <w:rPr>
                <w:rFonts w:ascii="Times New Roman" w:eastAsia="Times New Roman" w:hAnsi="Times New Roman"/>
                <w:sz w:val="24"/>
                <w:szCs w:val="24"/>
              </w:rPr>
              <w:t>the Commission’s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anchor towards building a more social Europe. The 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new Action Plan on the implementation of the Pillar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will further support progress towards the implementation of the 2030 headline targets on employment, adult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learning and poverty reduction. </w:t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  <w:t>T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>he Commission will continue its dialogue with social partners and other stakeholders on the future of work in Europe</w:t>
            </w:r>
            <w:r w:rsidR="00471AB2" w:rsidRPr="00852B81">
              <w:rPr>
                <w:rFonts w:ascii="Times New Roman" w:hAnsi="Times New Roman"/>
                <w:sz w:val="24"/>
                <w:szCs w:val="24"/>
              </w:rPr>
              <w:t>, among others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 xml:space="preserve"> at the European Employment </w:t>
            </w:r>
            <w:r w:rsidR="00885815" w:rsidRPr="00852B81">
              <w:rPr>
                <w:rFonts w:ascii="Times New Roman" w:hAnsi="Times New Roman"/>
                <w:sz w:val="24"/>
                <w:szCs w:val="24"/>
              </w:rPr>
              <w:t>and</w:t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 xml:space="preserve"> Social Rights Forum</w:t>
            </w:r>
            <w:r w:rsidR="00647A1C" w:rsidRPr="00852B8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6"/>
            </w:r>
            <w:r w:rsidR="00647A1C" w:rsidRPr="00852B81">
              <w:rPr>
                <w:rFonts w:ascii="Times New Roman" w:hAnsi="Times New Roman"/>
                <w:sz w:val="24"/>
                <w:szCs w:val="24"/>
              </w:rPr>
              <w:t>.</w:t>
            </w:r>
            <w:r w:rsidR="00A81231" w:rsidRPr="00852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In March 2025, the Commission and the European cross-industry social partners signed a </w:t>
            </w:r>
            <w:r w:rsidR="00647A1C"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new Pact for European Social Dialogue</w:t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27"/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B0F4F" w:rsidRPr="00852B81">
              <w:rPr>
                <w:rFonts w:ascii="Times New Roman" w:eastAsia="Times New Roman" w:hAnsi="Times New Roman"/>
                <w:sz w:val="24"/>
                <w:szCs w:val="24"/>
              </w:rPr>
              <w:t>to</w:t>
            </w:r>
            <w:r w:rsidR="00647A1C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strengthen the role of social partners in shaping labour market, employment and social policies.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The Commission is </w:t>
            </w:r>
            <w:r w:rsidR="00CB0F4F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also 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actively collaborating with social partners on a</w:t>
            </w:r>
            <w:r w:rsidR="00852B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52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Quality Jobs Roadmap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to ensure quality employment across various sectors and regions by supporting fair wages, good working conditions, training, and just job transitions</w:t>
            </w:r>
            <w:r w:rsidR="00A729EF" w:rsidRPr="00852B81">
              <w:rPr>
                <w:rFonts w:ascii="Times New Roman" w:eastAsia="Times New Roman" w:hAnsi="Times New Roman"/>
                <w:sz w:val="24"/>
                <w:szCs w:val="24"/>
              </w:rPr>
              <w:t xml:space="preserve"> adopted in December 2025 and an</w:t>
            </w:r>
            <w:r w:rsidR="00E4469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A729EF" w:rsidRPr="00852B81">
              <w:rPr>
                <w:rFonts w:ascii="Times New Roman" w:eastAsia="Times New Roman" w:hAnsi="Times New Roman"/>
                <w:sz w:val="24"/>
                <w:szCs w:val="24"/>
              </w:rPr>
              <w:t>Act to follow in 2026</w:t>
            </w:r>
            <w:r w:rsidRPr="00852B81">
              <w:rPr>
                <w:rFonts w:ascii="Times New Roman" w:eastAsia="Times New Roman" w:hAnsi="Times New Roman"/>
                <w:sz w:val="24"/>
                <w:szCs w:val="24"/>
              </w:rPr>
              <w:t>. </w:t>
            </w:r>
          </w:p>
        </w:tc>
      </w:tr>
    </w:tbl>
    <w:p w14:paraId="6AF07B14" w14:textId="26AEAB66" w:rsidR="004F6117" w:rsidRPr="00852B81" w:rsidRDefault="004F6117" w:rsidP="00E200F5">
      <w:pPr>
        <w:rPr>
          <w:rFonts w:ascii="Times New Roman" w:hAnsi="Times New Roman"/>
          <w:b/>
          <w:strike/>
          <w:sz w:val="2"/>
          <w:szCs w:val="2"/>
          <w:u w:val="single"/>
        </w:rPr>
      </w:pPr>
    </w:p>
    <w:sectPr w:rsidR="004F6117" w:rsidRPr="00852B81" w:rsidSect="002E02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2" w:bottom="709" w:left="85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85DB" w14:textId="77777777" w:rsidR="00617F87" w:rsidRDefault="00617F87" w:rsidP="00FF63EA">
      <w:pPr>
        <w:spacing w:after="0" w:line="240" w:lineRule="auto"/>
      </w:pPr>
      <w:r>
        <w:separator/>
      </w:r>
    </w:p>
  </w:endnote>
  <w:endnote w:type="continuationSeparator" w:id="0">
    <w:p w14:paraId="261188BA" w14:textId="77777777" w:rsidR="00617F87" w:rsidRDefault="00617F87" w:rsidP="00FF63EA">
      <w:pPr>
        <w:spacing w:after="0" w:line="240" w:lineRule="auto"/>
      </w:pPr>
      <w:r>
        <w:continuationSeparator/>
      </w:r>
    </w:p>
  </w:endnote>
  <w:endnote w:type="continuationNotice" w:id="1">
    <w:p w14:paraId="4C2B88A2" w14:textId="77777777" w:rsidR="00617F87" w:rsidRDefault="00617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38A7" w14:textId="77777777" w:rsidR="00A221C5" w:rsidRDefault="00A22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812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ADCB3" w14:textId="4CA79602" w:rsidR="00A221C5" w:rsidRDefault="00A221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A18E3" w14:textId="77777777" w:rsidR="00A221C5" w:rsidRDefault="00A221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954F" w14:textId="77777777" w:rsidR="00A221C5" w:rsidRDefault="00A2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0A62" w14:textId="77777777" w:rsidR="00617F87" w:rsidRDefault="00617F87" w:rsidP="00FF63EA">
      <w:pPr>
        <w:spacing w:after="0" w:line="240" w:lineRule="auto"/>
      </w:pPr>
      <w:r>
        <w:separator/>
      </w:r>
    </w:p>
  </w:footnote>
  <w:footnote w:type="continuationSeparator" w:id="0">
    <w:p w14:paraId="3A3C66F7" w14:textId="77777777" w:rsidR="00617F87" w:rsidRDefault="00617F87" w:rsidP="00FF63EA">
      <w:pPr>
        <w:spacing w:after="0" w:line="240" w:lineRule="auto"/>
      </w:pPr>
      <w:r>
        <w:continuationSeparator/>
      </w:r>
    </w:p>
  </w:footnote>
  <w:footnote w:type="continuationNotice" w:id="1">
    <w:p w14:paraId="4DCDD174" w14:textId="77777777" w:rsidR="00617F87" w:rsidRDefault="00617F87">
      <w:pPr>
        <w:spacing w:after="0" w:line="240" w:lineRule="auto"/>
      </w:pPr>
    </w:p>
  </w:footnote>
  <w:footnote w:id="2">
    <w:p w14:paraId="4CE4BD20" w14:textId="193622D9" w:rsidR="00647A1C" w:rsidRPr="00594567" w:rsidRDefault="00647A1C" w:rsidP="00C066A8">
      <w:pPr>
        <w:pStyle w:val="FootnoteText"/>
        <w:widowControl w:val="0"/>
        <w:ind w:left="284" w:hanging="284"/>
        <w:jc w:val="both"/>
        <w:rPr>
          <w:rFonts w:ascii="Times New Roman" w:hAnsi="Times New Roman"/>
          <w:lang w:val="fr-BE"/>
        </w:rPr>
      </w:pPr>
      <w:r w:rsidRPr="00852B81">
        <w:rPr>
          <w:rStyle w:val="FootnoteReference"/>
          <w:rFonts w:ascii="Times New Roman" w:hAnsi="Times New Roman"/>
        </w:rPr>
        <w:footnoteRef/>
      </w:r>
      <w:r w:rsidRPr="00594567">
        <w:rPr>
          <w:rFonts w:ascii="Times New Roman" w:hAnsi="Times New Roman"/>
          <w:lang w:val="fr-BE"/>
        </w:rPr>
        <w:t xml:space="preserve"> </w:t>
      </w:r>
      <w:r w:rsidR="00852B81" w:rsidRPr="00594567">
        <w:rPr>
          <w:rFonts w:ascii="Times New Roman" w:hAnsi="Times New Roman"/>
          <w:lang w:val="fr-BE"/>
        </w:rPr>
        <w:tab/>
        <w:t>COM(2025) 30 (</w:t>
      </w:r>
      <w:hyperlink r:id="rId1" w:history="1">
        <w:r w:rsidR="00852B81" w:rsidRPr="00594567">
          <w:rPr>
            <w:rStyle w:val="Hyperlink"/>
            <w:rFonts w:ascii="Times New Roman" w:hAnsi="Times New Roman"/>
            <w:lang w:val="fr-BE"/>
          </w:rPr>
          <w:t>EUR-Lex - 52025DC0030 - EN - EUR-Lex</w:t>
        </w:r>
      </w:hyperlink>
      <w:r w:rsidR="00852B81" w:rsidRPr="00594567">
        <w:rPr>
          <w:rFonts w:ascii="Times New Roman" w:hAnsi="Times New Roman"/>
          <w:lang w:val="fr-BE"/>
        </w:rPr>
        <w:t>).</w:t>
      </w:r>
    </w:p>
  </w:footnote>
  <w:footnote w:id="3">
    <w:p w14:paraId="7E384E3C" w14:textId="0ADA4F1F" w:rsidR="00647A1C" w:rsidRPr="00852B81" w:rsidRDefault="00647A1C" w:rsidP="00C066A8">
      <w:pPr>
        <w:pStyle w:val="FootnoteText"/>
        <w:widowControl w:val="0"/>
        <w:ind w:left="284" w:hanging="284"/>
        <w:jc w:val="both"/>
        <w:rPr>
          <w:rFonts w:ascii="Times New Roman" w:hAnsi="Times New Roman"/>
          <w:lang w:val="en-IE"/>
        </w:rPr>
      </w:pPr>
      <w:r w:rsidRPr="00852B81">
        <w:rPr>
          <w:rStyle w:val="FootnoteReference"/>
          <w:rFonts w:ascii="Times New Roman" w:hAnsi="Times New Roman"/>
        </w:rPr>
        <w:footnoteRef/>
      </w:r>
      <w:r w:rsidRPr="00852B81">
        <w:rPr>
          <w:rFonts w:ascii="Times New Roman" w:hAnsi="Times New Roman"/>
        </w:rPr>
        <w:t xml:space="preserve"> </w:t>
      </w:r>
      <w:r w:rsidR="00852B81">
        <w:rPr>
          <w:rFonts w:ascii="Times New Roman" w:hAnsi="Times New Roman"/>
        </w:rPr>
        <w:tab/>
      </w:r>
      <w:r w:rsidRPr="00852B81">
        <w:rPr>
          <w:rFonts w:ascii="Times New Roman" w:hAnsi="Times New Roman"/>
          <w:lang w:val="en-IE"/>
        </w:rPr>
        <w:t xml:space="preserve">The future of European competitiveness: Report by Mario Draghi </w:t>
      </w:r>
      <w:r w:rsidR="00852B81">
        <w:rPr>
          <w:rFonts w:ascii="Times New Roman" w:hAnsi="Times New Roman"/>
          <w:lang w:val="en-IE"/>
        </w:rPr>
        <w:t>(</w:t>
      </w:r>
      <w:hyperlink r:id="rId2" w:history="1">
        <w:r w:rsidR="00852B81" w:rsidRPr="00852B81">
          <w:rPr>
            <w:rStyle w:val="Hyperlink"/>
            <w:rFonts w:ascii="Times New Roman" w:hAnsi="Times New Roman"/>
            <w:lang w:val="en-IE"/>
          </w:rPr>
          <w:t>https://commission.europa.eu/topics/eu-competitiveness/draghi-report_en</w:t>
        </w:r>
      </w:hyperlink>
      <w:r w:rsidR="00852B81">
        <w:rPr>
          <w:rFonts w:ascii="Times New Roman" w:hAnsi="Times New Roman"/>
        </w:rPr>
        <w:t>).</w:t>
      </w:r>
    </w:p>
  </w:footnote>
  <w:footnote w:id="4">
    <w:p w14:paraId="511E5D4A" w14:textId="741A1939" w:rsidR="00647A1C" w:rsidRPr="00594567" w:rsidRDefault="00647A1C" w:rsidP="00C066A8">
      <w:pPr>
        <w:pStyle w:val="FootnoteText"/>
        <w:widowControl w:val="0"/>
        <w:ind w:left="284" w:hanging="284"/>
        <w:jc w:val="both"/>
        <w:rPr>
          <w:rFonts w:ascii="Times New Roman" w:hAnsi="Times New Roman"/>
          <w:lang w:val="fr-BE"/>
        </w:rPr>
      </w:pPr>
      <w:r w:rsidRPr="00852B81">
        <w:rPr>
          <w:rStyle w:val="FootnoteReference"/>
          <w:rFonts w:ascii="Times New Roman" w:hAnsi="Times New Roman"/>
        </w:rPr>
        <w:footnoteRef/>
      </w:r>
      <w:r w:rsidRPr="00594567">
        <w:rPr>
          <w:rFonts w:ascii="Times New Roman" w:hAnsi="Times New Roman"/>
          <w:lang w:val="fr-BE"/>
        </w:rPr>
        <w:t xml:space="preserve"> </w:t>
      </w:r>
      <w:r w:rsidR="00852B81" w:rsidRPr="00594567">
        <w:rPr>
          <w:rFonts w:ascii="Times New Roman" w:hAnsi="Times New Roman"/>
          <w:lang w:val="fr-BE"/>
        </w:rPr>
        <w:tab/>
        <w:t>COM(2025) 26 (</w:t>
      </w:r>
      <w:hyperlink r:id="rId3" w:history="1">
        <w:r w:rsidR="00852B81" w:rsidRPr="00594567">
          <w:rPr>
            <w:rStyle w:val="Hyperlink"/>
            <w:rFonts w:ascii="Times New Roman" w:hAnsi="Times New Roman"/>
            <w:lang w:val="fr-BE"/>
          </w:rPr>
          <w:t>EUR-Lex - 52025DC0026 - EN - EUR-Lex</w:t>
        </w:r>
      </w:hyperlink>
      <w:r w:rsidR="00852B81" w:rsidRPr="00594567">
        <w:rPr>
          <w:rFonts w:ascii="Times New Roman" w:hAnsi="Times New Roman"/>
          <w:lang w:val="fr-BE"/>
        </w:rPr>
        <w:t>).</w:t>
      </w:r>
      <w:r w:rsidRPr="00594567">
        <w:rPr>
          <w:rFonts w:ascii="Times New Roman" w:hAnsi="Times New Roman"/>
          <w:lang w:val="fr-BE"/>
        </w:rPr>
        <w:t>.</w:t>
      </w:r>
    </w:p>
  </w:footnote>
  <w:footnote w:id="5">
    <w:p w14:paraId="14EDC5B7" w14:textId="28468C0E" w:rsidR="00647A1C" w:rsidRPr="00852B81" w:rsidRDefault="00647A1C" w:rsidP="00C066A8">
      <w:pPr>
        <w:pStyle w:val="FootnoteText"/>
        <w:widowControl w:val="0"/>
        <w:ind w:left="284" w:hanging="284"/>
        <w:jc w:val="both"/>
        <w:rPr>
          <w:rFonts w:ascii="Times New Roman" w:hAnsi="Times New Roman"/>
          <w:lang w:val="en-IE"/>
        </w:rPr>
      </w:pPr>
      <w:r w:rsidRPr="00852B81">
        <w:rPr>
          <w:rStyle w:val="FootnoteReference"/>
          <w:rFonts w:ascii="Times New Roman" w:hAnsi="Times New Roman"/>
        </w:rPr>
        <w:footnoteRef/>
      </w:r>
      <w:r w:rsidRPr="00852B81">
        <w:rPr>
          <w:rFonts w:ascii="Times New Roman" w:hAnsi="Times New Roman"/>
        </w:rPr>
        <w:t xml:space="preserve"> </w:t>
      </w:r>
      <w:r w:rsidR="00852B81">
        <w:rPr>
          <w:rFonts w:ascii="Times New Roman" w:hAnsi="Times New Roman"/>
        </w:rPr>
        <w:tab/>
      </w:r>
      <w:r w:rsidRPr="00852B81">
        <w:rPr>
          <w:rFonts w:ascii="Times New Roman" w:hAnsi="Times New Roman"/>
          <w:lang w:val="en-IE"/>
        </w:rPr>
        <w:t xml:space="preserve">The Single Market and Competitiveness Scoreboard  </w:t>
      </w:r>
      <w:r w:rsidR="00852B81">
        <w:rPr>
          <w:rFonts w:ascii="Times New Roman" w:hAnsi="Times New Roman"/>
          <w:lang w:val="en-IE"/>
        </w:rPr>
        <w:t>(</w:t>
      </w:r>
      <w:hyperlink r:id="rId4" w:history="1">
        <w:r w:rsidR="00852B81" w:rsidRPr="00852B81">
          <w:rPr>
            <w:rStyle w:val="Hyperlink"/>
            <w:rFonts w:ascii="Times New Roman" w:hAnsi="Times New Roman"/>
            <w:lang w:val="en-IE"/>
          </w:rPr>
          <w:t>https://single-market-scoreboard.ec.europa.eu/</w:t>
        </w:r>
      </w:hyperlink>
      <w:r w:rsidR="00852B81">
        <w:rPr>
          <w:rFonts w:ascii="Times New Roman" w:hAnsi="Times New Roman"/>
          <w:lang w:val="en-IE"/>
        </w:rPr>
        <w:t>).</w:t>
      </w:r>
      <w:r w:rsidRPr="00852B81">
        <w:rPr>
          <w:rFonts w:ascii="Times New Roman" w:hAnsi="Times New Roman"/>
          <w:lang w:val="en-IE"/>
        </w:rPr>
        <w:t xml:space="preserve"> </w:t>
      </w:r>
    </w:p>
  </w:footnote>
  <w:footnote w:id="6">
    <w:p w14:paraId="00C6AB31" w14:textId="3577C1BD" w:rsidR="00647A1C" w:rsidRPr="00594567" w:rsidRDefault="00647A1C" w:rsidP="00C066A8">
      <w:pPr>
        <w:pStyle w:val="FootnoteText"/>
        <w:widowControl w:val="0"/>
        <w:ind w:left="284" w:hanging="284"/>
        <w:jc w:val="both"/>
        <w:rPr>
          <w:rFonts w:ascii="Times New Roman" w:hAnsi="Times New Roman"/>
          <w:lang w:val="fr-BE"/>
        </w:rPr>
      </w:pPr>
      <w:r w:rsidRPr="00852B81">
        <w:rPr>
          <w:rStyle w:val="FootnoteReference"/>
          <w:rFonts w:ascii="Times New Roman" w:hAnsi="Times New Roman"/>
        </w:rPr>
        <w:footnoteRef/>
      </w:r>
      <w:r w:rsidR="4A35234E" w:rsidRPr="00594567">
        <w:rPr>
          <w:rFonts w:ascii="Times New Roman" w:hAnsi="Times New Roman"/>
          <w:lang w:val="fr-BE"/>
        </w:rPr>
        <w:t xml:space="preserve"> </w:t>
      </w:r>
      <w:r w:rsidR="00852B81" w:rsidRPr="00594567">
        <w:rPr>
          <w:rFonts w:ascii="Times New Roman" w:hAnsi="Times New Roman"/>
          <w:lang w:val="fr-BE"/>
        </w:rPr>
        <w:tab/>
        <w:t>COM(2025) 124 (</w:t>
      </w:r>
      <w:hyperlink r:id="rId5" w:history="1">
        <w:r w:rsidR="00852B81" w:rsidRPr="00594567">
          <w:rPr>
            <w:rStyle w:val="Hyperlink"/>
            <w:rFonts w:ascii="Times New Roman" w:hAnsi="Times New Roman"/>
            <w:lang w:val="fr-BE"/>
          </w:rPr>
          <w:t>EUR-Lex - 52025DC0124 - EN - EUR-Lex</w:t>
        </w:r>
      </w:hyperlink>
      <w:r w:rsidR="00852B81" w:rsidRPr="00594567">
        <w:rPr>
          <w:rFonts w:ascii="Times New Roman" w:hAnsi="Times New Roman"/>
          <w:lang w:val="fr-BE"/>
        </w:rPr>
        <w:t>).</w:t>
      </w:r>
      <w:r w:rsidR="4A35234E" w:rsidRPr="00594567">
        <w:rPr>
          <w:rFonts w:ascii="Times New Roman" w:hAnsi="Times New Roman"/>
          <w:lang w:val="fr-BE"/>
        </w:rPr>
        <w:t xml:space="preserve">. </w:t>
      </w:r>
    </w:p>
  </w:footnote>
  <w:footnote w:id="7">
    <w:p w14:paraId="6333D79B" w14:textId="09F89ACA" w:rsidR="00D60BDA" w:rsidRPr="00594567" w:rsidRDefault="00D60BDA" w:rsidP="00C066A8">
      <w:pPr>
        <w:pStyle w:val="FootnoteText"/>
        <w:widowControl w:val="0"/>
        <w:ind w:left="284" w:hanging="284"/>
        <w:jc w:val="both"/>
        <w:rPr>
          <w:rFonts w:ascii="Times New Roman" w:hAnsi="Times New Roman"/>
          <w:lang w:val="fr-BE"/>
        </w:rPr>
      </w:pPr>
      <w:r w:rsidRPr="00852B81">
        <w:rPr>
          <w:rStyle w:val="FootnoteReference"/>
          <w:rFonts w:ascii="Times New Roman" w:hAnsi="Times New Roman"/>
        </w:rPr>
        <w:footnoteRef/>
      </w:r>
      <w:r w:rsidRPr="00594567">
        <w:rPr>
          <w:rFonts w:ascii="Times New Roman" w:hAnsi="Times New Roman"/>
          <w:lang w:val="fr-BE"/>
        </w:rPr>
        <w:t xml:space="preserve"> </w:t>
      </w:r>
      <w:r w:rsidR="00852B81" w:rsidRPr="00594567">
        <w:rPr>
          <w:rFonts w:ascii="Times New Roman" w:hAnsi="Times New Roman"/>
          <w:lang w:val="fr-BE"/>
        </w:rPr>
        <w:tab/>
      </w:r>
      <w:r w:rsidRPr="00594567">
        <w:rPr>
          <w:rFonts w:ascii="Times New Roman" w:hAnsi="Times New Roman"/>
          <w:lang w:val="fr-BE"/>
        </w:rPr>
        <w:t>C/2025/3602</w:t>
      </w:r>
      <w:r w:rsidR="00852B81" w:rsidRPr="00594567">
        <w:rPr>
          <w:rFonts w:ascii="Times New Roman" w:hAnsi="Times New Roman"/>
          <w:lang w:val="fr-BE"/>
        </w:rPr>
        <w:t xml:space="preserve"> (</w:t>
      </w:r>
      <w:hyperlink r:id="rId6" w:tooltip="Gives access to this document through its ELI URI." w:history="1">
        <w:r w:rsidR="00852B81" w:rsidRPr="00594567">
          <w:rPr>
            <w:rStyle w:val="Hyperlink"/>
            <w:rFonts w:ascii="Times New Roman" w:hAnsi="Times New Roman"/>
            <w:lang w:val="fr-BE"/>
          </w:rPr>
          <w:t>http://data.europa.eu/eli/C/2025/3602/oj</w:t>
        </w:r>
      </w:hyperlink>
      <w:r w:rsidR="00852B81" w:rsidRPr="00594567">
        <w:rPr>
          <w:rFonts w:ascii="Times New Roman" w:hAnsi="Times New Roman"/>
          <w:lang w:val="fr-BE"/>
        </w:rPr>
        <w:t>).</w:t>
      </w:r>
    </w:p>
  </w:footnote>
  <w:footnote w:id="8">
    <w:p w14:paraId="471784A8" w14:textId="7D4F078D" w:rsidR="00647A1C" w:rsidRPr="0074299E" w:rsidRDefault="00647A1C" w:rsidP="00C066A8">
      <w:pPr>
        <w:pStyle w:val="FootnoteText"/>
        <w:widowControl w:val="0"/>
        <w:ind w:left="284" w:hanging="284"/>
        <w:jc w:val="both"/>
        <w:rPr>
          <w:rFonts w:ascii="Times New Roman" w:hAnsi="Times New Roman"/>
          <w:lang w:val="en-IE"/>
        </w:rPr>
      </w:pPr>
      <w:r w:rsidRPr="00852B81">
        <w:rPr>
          <w:rStyle w:val="FootnoteReference"/>
          <w:rFonts w:ascii="Times New Roman" w:hAnsi="Times New Roman"/>
        </w:rPr>
        <w:footnoteRef/>
      </w:r>
      <w:r w:rsidRPr="0074299E">
        <w:rPr>
          <w:rFonts w:ascii="Times New Roman" w:hAnsi="Times New Roman"/>
          <w:lang w:val="en-IE"/>
        </w:rPr>
        <w:t xml:space="preserve"> </w:t>
      </w:r>
      <w:r w:rsidR="00852B81" w:rsidRPr="0074299E">
        <w:rPr>
          <w:rFonts w:ascii="Times New Roman" w:hAnsi="Times New Roman"/>
          <w:lang w:val="en-IE"/>
        </w:rPr>
        <w:tab/>
      </w:r>
      <w:r w:rsidRPr="0074299E">
        <w:rPr>
          <w:rFonts w:ascii="Times New Roman" w:hAnsi="Times New Roman"/>
          <w:lang w:val="en-IE"/>
        </w:rPr>
        <w:t>COM(2025) 570</w:t>
      </w:r>
      <w:r w:rsidR="00852B81" w:rsidRPr="0074299E">
        <w:rPr>
          <w:rFonts w:ascii="Times New Roman" w:hAnsi="Times New Roman"/>
          <w:lang w:val="en-IE"/>
        </w:rPr>
        <w:t xml:space="preserve"> final/2 (</w:t>
      </w:r>
      <w:hyperlink r:id="rId7" w:history="1">
        <w:r w:rsidR="00852B81" w:rsidRPr="0074299E">
          <w:rPr>
            <w:rStyle w:val="Hyperlink"/>
            <w:rFonts w:ascii="Times New Roman" w:hAnsi="Times New Roman"/>
            <w:lang w:val="en-IE"/>
          </w:rPr>
          <w:t>EUR-Lex - 52025DC0570R(01) - EN - EUR-Lex</w:t>
        </w:r>
      </w:hyperlink>
      <w:r w:rsidR="00852B81" w:rsidRPr="0074299E">
        <w:rPr>
          <w:rFonts w:ascii="Times New Roman" w:hAnsi="Times New Roman"/>
          <w:lang w:val="en-IE"/>
        </w:rPr>
        <w:t>)</w:t>
      </w:r>
      <w:r w:rsidRPr="0074299E">
        <w:rPr>
          <w:rFonts w:ascii="Times New Roman" w:hAnsi="Times New Roman"/>
          <w:lang w:val="en-IE"/>
        </w:rPr>
        <w:t>.</w:t>
      </w:r>
    </w:p>
  </w:footnote>
  <w:footnote w:id="9">
    <w:p w14:paraId="6C49043C" w14:textId="4AA9FF25" w:rsidR="00647A1C" w:rsidRPr="00C066A8" w:rsidRDefault="00647A1C" w:rsidP="00C066A8">
      <w:pPr>
        <w:widowControl w:val="0"/>
        <w:spacing w:after="0" w:line="240" w:lineRule="auto"/>
        <w:ind w:left="142" w:right="-142" w:hanging="284"/>
        <w:jc w:val="both"/>
        <w:outlineLvl w:val="1"/>
        <w:rPr>
          <w:rFonts w:ascii="Times New Roman" w:hAnsi="Times New Roman"/>
        </w:rPr>
      </w:pPr>
      <w:r w:rsidRPr="00C066A8">
        <w:rPr>
          <w:rStyle w:val="FootnoteReference"/>
          <w:rFonts w:ascii="Times New Roman" w:hAnsi="Times New Roman"/>
          <w:sz w:val="20"/>
          <w:szCs w:val="20"/>
        </w:rPr>
        <w:footnoteRef/>
      </w:r>
      <w:r w:rsidR="7EACB995" w:rsidRPr="00C066A8">
        <w:rPr>
          <w:rFonts w:ascii="Times New Roman" w:hAnsi="Times New Roman"/>
          <w:sz w:val="20"/>
          <w:szCs w:val="20"/>
        </w:rPr>
        <w:t xml:space="preserve"> </w:t>
      </w:r>
      <w:r w:rsidR="0005442B" w:rsidRPr="00C066A8">
        <w:rPr>
          <w:rFonts w:ascii="Times New Roman" w:hAnsi="Times New Roman"/>
          <w:sz w:val="20"/>
          <w:szCs w:val="20"/>
        </w:rPr>
        <w:tab/>
      </w:r>
      <w:r w:rsidR="7EACB995" w:rsidRPr="00C066A8">
        <w:rPr>
          <w:rFonts w:ascii="Times New Roman" w:eastAsia="Times New Roman" w:hAnsi="Times New Roman"/>
          <w:sz w:val="20"/>
          <w:szCs w:val="20"/>
        </w:rPr>
        <w:t>IPCEIs</w:t>
      </w:r>
      <w:r w:rsidR="7EACB995" w:rsidRPr="00C066A8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="00AC3813" w:rsidRPr="00C066A8">
        <w:rPr>
          <w:rFonts w:ascii="Times New Roman" w:eastAsia="Times New Roman" w:hAnsi="Times New Roman"/>
          <w:sz w:val="20"/>
          <w:szCs w:val="20"/>
          <w:lang w:val="en-US"/>
        </w:rPr>
        <w:t xml:space="preserve">are a State aid instrument to support </w:t>
      </w:r>
      <w:r w:rsidR="00AC3813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cross-border 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breakthrough </w:t>
      </w:r>
      <w:r w:rsidR="00E76AA1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innovation 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and </w:t>
      </w:r>
      <w:r w:rsidR="00E76AA1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important 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>infrastructure</w:t>
      </w:r>
      <w:r w:rsidR="00176F73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 open for third party access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>. By July 2025, the Commission has approved, under State aid rules, up to EUR 37.</w:t>
      </w:r>
      <w:r w:rsidR="00AC3813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6 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>billion in public support for eleven</w:t>
      </w:r>
      <w:r w:rsidR="00C6784A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 integrated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 IPCEIs in the sectors of batteries, hydrogen, microelectronics, cloud, and health, involving </w:t>
      </w:r>
      <w:r w:rsidR="00AC3813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345 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innovative projects from </w:t>
      </w:r>
      <w:r w:rsidR="00AC3813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23 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Member States. This public support is expected to unlock an additional EUR </w:t>
      </w:r>
      <w:r w:rsidR="00AC3813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 xml:space="preserve">67 </w:t>
      </w:r>
      <w:r w:rsidR="7EACB995" w:rsidRPr="00C066A8">
        <w:rPr>
          <w:rFonts w:ascii="Times New Roman" w:eastAsia="Times New Roman" w:hAnsi="Times New Roman"/>
          <w:color w:val="000000" w:themeColor="text1"/>
          <w:sz w:val="20"/>
          <w:szCs w:val="20"/>
          <w:lang w:val="en-US"/>
        </w:rPr>
        <w:t>billion in private investments.</w:t>
      </w:r>
    </w:p>
  </w:footnote>
  <w:footnote w:id="10">
    <w:p w14:paraId="458F2631" w14:textId="21F916E6" w:rsidR="00141007" w:rsidRPr="00C066A8" w:rsidRDefault="00141007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</w:rPr>
        <w:t xml:space="preserve"> </w:t>
      </w:r>
      <w:r w:rsidR="00852B81" w:rsidRPr="00C066A8">
        <w:rPr>
          <w:rFonts w:ascii="Times New Roman" w:hAnsi="Times New Roman"/>
        </w:rPr>
        <w:tab/>
      </w:r>
      <w:r w:rsidRPr="00C066A8">
        <w:rPr>
          <w:rFonts w:ascii="Times New Roman" w:hAnsi="Times New Roman"/>
        </w:rPr>
        <w:t>COM</w:t>
      </w:r>
      <w:r w:rsidR="00816AA3" w:rsidRPr="00C066A8">
        <w:rPr>
          <w:rFonts w:ascii="Times New Roman" w:hAnsi="Times New Roman"/>
        </w:rPr>
        <w:t>(</w:t>
      </w:r>
      <w:r w:rsidRPr="00C066A8">
        <w:rPr>
          <w:rFonts w:ascii="Times New Roman" w:hAnsi="Times New Roman"/>
        </w:rPr>
        <w:t>2025</w:t>
      </w:r>
      <w:r w:rsidR="00816AA3" w:rsidRPr="00C066A8">
        <w:rPr>
          <w:rFonts w:ascii="Times New Roman" w:hAnsi="Times New Roman"/>
        </w:rPr>
        <w:t>)</w:t>
      </w:r>
      <w:r w:rsidRPr="00C066A8">
        <w:rPr>
          <w:rFonts w:ascii="Times New Roman" w:hAnsi="Times New Roman"/>
        </w:rPr>
        <w:t>543 final</w:t>
      </w:r>
      <w:r w:rsidR="00852B81" w:rsidRPr="00C066A8">
        <w:rPr>
          <w:rFonts w:ascii="Times New Roman" w:hAnsi="Times New Roman"/>
        </w:rPr>
        <w:t xml:space="preserve"> (</w:t>
      </w:r>
      <w:hyperlink r:id="rId8" w:history="1">
        <w:r w:rsidR="00852B81" w:rsidRPr="00C066A8">
          <w:rPr>
            <w:rStyle w:val="Hyperlink"/>
            <w:rFonts w:ascii="Times New Roman" w:hAnsi="Times New Roman"/>
          </w:rPr>
          <w:t>EUR-Lex - 52025PC0543 - EN - EUR-Lex</w:t>
        </w:r>
      </w:hyperlink>
      <w:r w:rsidR="00852B81" w:rsidRPr="00C066A8">
        <w:rPr>
          <w:rFonts w:ascii="Times New Roman" w:hAnsi="Times New Roman"/>
        </w:rPr>
        <w:t>).</w:t>
      </w:r>
    </w:p>
  </w:footnote>
  <w:footnote w:id="11">
    <w:p w14:paraId="1C1ADD60" w14:textId="7B554C1E" w:rsidR="00647A1C" w:rsidRPr="00C066A8" w:rsidRDefault="00647A1C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</w:rPr>
        <w:t xml:space="preserve"> </w:t>
      </w:r>
      <w:r w:rsidR="00E60E06" w:rsidRPr="00C066A8">
        <w:rPr>
          <w:rFonts w:ascii="Times New Roman" w:hAnsi="Times New Roman"/>
        </w:rPr>
        <w:tab/>
      </w:r>
      <w:r w:rsidRPr="00C066A8">
        <w:rPr>
          <w:rFonts w:ascii="Times New Roman" w:hAnsi="Times New Roman"/>
        </w:rPr>
        <w:t>SWD(2021) 352</w:t>
      </w:r>
      <w:r w:rsidR="00E60E06" w:rsidRPr="00C066A8">
        <w:rPr>
          <w:rFonts w:ascii="Times New Roman" w:hAnsi="Times New Roman"/>
        </w:rPr>
        <w:t xml:space="preserve"> final (</w:t>
      </w:r>
      <w:hyperlink r:id="rId9" w:history="1">
        <w:r w:rsidR="00E60E06" w:rsidRPr="00C066A8">
          <w:rPr>
            <w:rStyle w:val="Hyperlink"/>
            <w:rFonts w:ascii="Times New Roman" w:hAnsi="Times New Roman"/>
          </w:rPr>
          <w:t>EUR-Lex - 52021SC0352 - EN - EUR-Lex</w:t>
        </w:r>
      </w:hyperlink>
      <w:r w:rsidR="00E60E06" w:rsidRPr="00C066A8">
        <w:rPr>
          <w:rFonts w:ascii="Times New Roman" w:hAnsi="Times New Roman"/>
        </w:rPr>
        <w:t>)</w:t>
      </w:r>
      <w:r w:rsidRPr="00C066A8">
        <w:rPr>
          <w:rFonts w:ascii="Times New Roman" w:hAnsi="Times New Roman"/>
        </w:rPr>
        <w:t>; SWD(2022) 41</w:t>
      </w:r>
      <w:r w:rsidR="00E60E06" w:rsidRPr="00C066A8">
        <w:rPr>
          <w:rFonts w:ascii="Times New Roman" w:hAnsi="Times New Roman"/>
        </w:rPr>
        <w:t xml:space="preserve"> (</w:t>
      </w:r>
      <w:hyperlink r:id="rId10" w:history="1">
        <w:r w:rsidR="00E60E06" w:rsidRPr="00C066A8">
          <w:rPr>
            <w:rStyle w:val="Hyperlink"/>
            <w:rFonts w:ascii="Times New Roman" w:hAnsi="Times New Roman"/>
          </w:rPr>
          <w:t>DocsRoom - European Commission</w:t>
        </w:r>
      </w:hyperlink>
      <w:r w:rsidR="00E60E06" w:rsidRPr="00C066A8">
        <w:rPr>
          <w:rFonts w:ascii="Times New Roman" w:hAnsi="Times New Roman"/>
        </w:rPr>
        <w:t>)</w:t>
      </w:r>
      <w:r w:rsidRPr="00C066A8">
        <w:rPr>
          <w:rFonts w:ascii="Times New Roman" w:hAnsi="Times New Roman"/>
        </w:rPr>
        <w:t xml:space="preserve">. </w:t>
      </w:r>
    </w:p>
  </w:footnote>
  <w:footnote w:id="12">
    <w:p w14:paraId="4DAB632C" w14:textId="125610C4" w:rsidR="00647A1C" w:rsidRPr="00C066A8" w:rsidRDefault="00647A1C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</w:rPr>
        <w:t xml:space="preserve"> </w:t>
      </w:r>
      <w:r w:rsidR="00E60E06" w:rsidRPr="00C066A8">
        <w:rPr>
          <w:rFonts w:ascii="Times New Roman" w:hAnsi="Times New Roman"/>
        </w:rPr>
        <w:tab/>
      </w:r>
      <w:r w:rsidRPr="00C066A8">
        <w:rPr>
          <w:rFonts w:ascii="Times New Roman" w:hAnsi="Times New Roman"/>
        </w:rPr>
        <w:t xml:space="preserve">The SCAN monitoring system was presented in a Single Market Economics Papers published by DG GROW: </w:t>
      </w:r>
      <w:hyperlink r:id="rId11" w:history="1">
        <w:r w:rsidRPr="00C066A8">
          <w:rPr>
            <w:rStyle w:val="Hyperlink"/>
            <w:rFonts w:ascii="Times New Roman" w:hAnsi="Times New Roman"/>
          </w:rPr>
          <w:t>https://single-market-economy.ec.europa.eu/publications/scan-supply-chain-alert-notification-monitoring-system_en</w:t>
        </w:r>
      </w:hyperlink>
      <w:r w:rsidR="00852B81" w:rsidRPr="00C066A8">
        <w:rPr>
          <w:rFonts w:ascii="Times New Roman" w:hAnsi="Times New Roman"/>
        </w:rPr>
        <w:t>.</w:t>
      </w:r>
    </w:p>
  </w:footnote>
  <w:footnote w:id="13">
    <w:p w14:paraId="43086AC6" w14:textId="4F584D08" w:rsidR="00647A1C" w:rsidRPr="00C066A8" w:rsidRDefault="00647A1C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</w:rPr>
        <w:t xml:space="preserve"> Regulation (EU) 2024/1252 of the European Parliament and of the Council of 11 April 2024 establishing a framework for ensuring a secure and sustainable supply of critical raw materials and amending Regulations (EU) No 168/2013, (EU) 2018/858, (EU) 2018/1724 and (EU) 2019/1020</w:t>
      </w:r>
      <w:r w:rsidR="00E60E06" w:rsidRPr="00C066A8">
        <w:rPr>
          <w:rFonts w:ascii="Times New Roman" w:hAnsi="Times New Roman"/>
        </w:rPr>
        <w:t xml:space="preserve"> ( </w:t>
      </w:r>
      <w:hyperlink r:id="rId12" w:tooltip="Gives access to this document through its ELI URI." w:history="1">
        <w:r w:rsidR="00E60E06" w:rsidRPr="00C066A8">
          <w:rPr>
            <w:rStyle w:val="Hyperlink"/>
            <w:rFonts w:ascii="Times New Roman" w:hAnsi="Times New Roman"/>
          </w:rPr>
          <w:t>http://data.europa.eu/eli/reg/2024/1252/oj</w:t>
        </w:r>
      </w:hyperlink>
      <w:r w:rsidR="00E60E06" w:rsidRPr="00C066A8">
        <w:rPr>
          <w:rFonts w:ascii="Times New Roman" w:hAnsi="Times New Roman"/>
        </w:rPr>
        <w:t>)</w:t>
      </w:r>
      <w:r w:rsidRPr="00C066A8">
        <w:rPr>
          <w:rFonts w:ascii="Times New Roman" w:hAnsi="Times New Roman"/>
        </w:rPr>
        <w:t xml:space="preserve">. </w:t>
      </w:r>
    </w:p>
  </w:footnote>
  <w:footnote w:id="14">
    <w:p w14:paraId="1FA58694" w14:textId="0A0DAFF2" w:rsidR="00D87AA3" w:rsidRPr="00C066A8" w:rsidRDefault="00D87AA3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</w:rPr>
        <w:t xml:space="preserve"> </w:t>
      </w:r>
      <w:r w:rsidR="00E60E06" w:rsidRPr="00C066A8">
        <w:rPr>
          <w:rFonts w:ascii="Times New Roman" w:hAnsi="Times New Roman"/>
        </w:rPr>
        <w:tab/>
      </w:r>
      <w:hyperlink r:id="rId13" w:history="1">
        <w:r w:rsidR="00E60E06" w:rsidRPr="00C066A8">
          <w:rPr>
            <w:rStyle w:val="Hyperlink"/>
            <w:rFonts w:ascii="Times New Roman" w:hAnsi="Times New Roman"/>
          </w:rPr>
          <w:t>https://single-market-economy.ec.europa.eu/sectors/raw-materials/areas-specific-interest/critical-raw-materials/strategic-projects-under-crma/selected-projects_en</w:t>
        </w:r>
      </w:hyperlink>
      <w:r w:rsidR="00E60E06" w:rsidRPr="00C066A8">
        <w:rPr>
          <w:rFonts w:ascii="Times New Roman" w:hAnsi="Times New Roman"/>
        </w:rPr>
        <w:t>.</w:t>
      </w:r>
    </w:p>
  </w:footnote>
  <w:footnote w:id="15">
    <w:p w14:paraId="6DD8B0EE" w14:textId="14DB4D06" w:rsidR="00D87AA3" w:rsidRPr="00C066A8" w:rsidRDefault="00D87AA3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  <w:lang w:val="en-I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</w:rPr>
        <w:t xml:space="preserve"> </w:t>
      </w:r>
      <w:r w:rsidR="00E60E06" w:rsidRPr="00C066A8">
        <w:rPr>
          <w:rFonts w:ascii="Times New Roman" w:hAnsi="Times New Roman"/>
        </w:rPr>
        <w:tab/>
      </w:r>
      <w:hyperlink r:id="rId14" w:history="1">
        <w:r w:rsidR="00E60E06" w:rsidRPr="00C066A8">
          <w:rPr>
            <w:rStyle w:val="Hyperlink"/>
            <w:rFonts w:ascii="Times New Roman" w:hAnsi="Times New Roman"/>
          </w:rPr>
          <w:t>https://single-market-economy.ec.europa.eu/sectors/raw-materials/areas-specific-interest/raw-materials-diplomacy_en</w:t>
        </w:r>
      </w:hyperlink>
      <w:r w:rsidR="00E60E06" w:rsidRPr="00C066A8">
        <w:rPr>
          <w:rFonts w:ascii="Times New Roman" w:hAnsi="Times New Roman"/>
        </w:rPr>
        <w:t>.</w:t>
      </w:r>
    </w:p>
  </w:footnote>
  <w:footnote w:id="16">
    <w:p w14:paraId="062CF633" w14:textId="0ACDD80B" w:rsidR="00975BFA" w:rsidRPr="00C066A8" w:rsidRDefault="00975BFA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  <w:lang w:val="fr-B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fr-BE"/>
        </w:rPr>
        <w:t xml:space="preserve"> </w:t>
      </w:r>
      <w:r w:rsidR="00E60E06" w:rsidRPr="00C066A8">
        <w:rPr>
          <w:rFonts w:ascii="Times New Roman" w:hAnsi="Times New Roman"/>
          <w:lang w:val="fr-BE"/>
        </w:rPr>
        <w:tab/>
      </w:r>
      <w:r w:rsidRPr="00C066A8">
        <w:rPr>
          <w:rFonts w:ascii="Times New Roman" w:hAnsi="Times New Roman"/>
          <w:lang w:val="fr-BE"/>
        </w:rPr>
        <w:t>JOIN(2023) 20</w:t>
      </w:r>
      <w:r w:rsidR="00E60E06" w:rsidRPr="00C066A8">
        <w:rPr>
          <w:rFonts w:ascii="Times New Roman" w:hAnsi="Times New Roman"/>
          <w:lang w:val="fr-BE"/>
        </w:rPr>
        <w:t xml:space="preserve"> (</w:t>
      </w:r>
      <w:hyperlink r:id="rId15" w:history="1">
        <w:r w:rsidR="00E60E06" w:rsidRPr="00C066A8">
          <w:rPr>
            <w:rStyle w:val="Hyperlink"/>
            <w:rFonts w:ascii="Times New Roman" w:hAnsi="Times New Roman"/>
            <w:lang w:val="fr-BE"/>
          </w:rPr>
          <w:t>EUR-Lex - 52023JC0020 - EN - EUR-Lex</w:t>
        </w:r>
      </w:hyperlink>
      <w:r w:rsidR="00E60E06" w:rsidRPr="00C066A8">
        <w:rPr>
          <w:rFonts w:ascii="Times New Roman" w:hAnsi="Times New Roman"/>
          <w:lang w:val="fr-BE"/>
        </w:rPr>
        <w:t>)</w:t>
      </w:r>
      <w:r w:rsidRPr="00C066A8">
        <w:rPr>
          <w:rFonts w:ascii="Times New Roman" w:hAnsi="Times New Roman"/>
          <w:lang w:val="fr-BE"/>
        </w:rPr>
        <w:t xml:space="preserve">. </w:t>
      </w:r>
    </w:p>
  </w:footnote>
  <w:footnote w:id="17">
    <w:p w14:paraId="34F4F4F6" w14:textId="4537D73A" w:rsidR="00647A1C" w:rsidRPr="00C066A8" w:rsidRDefault="00647A1C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  <w:lang w:val="fr-B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fr-BE"/>
        </w:rPr>
        <w:t xml:space="preserve"> </w:t>
      </w:r>
      <w:r w:rsidR="00E60E06" w:rsidRPr="00C066A8">
        <w:rPr>
          <w:rFonts w:ascii="Times New Roman" w:hAnsi="Times New Roman"/>
          <w:lang w:val="fr-BE"/>
        </w:rPr>
        <w:tab/>
      </w:r>
      <w:hyperlink r:id="rId16" w:history="1">
        <w:r w:rsidR="00E60E06" w:rsidRPr="00C066A8">
          <w:rPr>
            <w:rStyle w:val="Hyperlink"/>
            <w:rFonts w:ascii="Times New Roman" w:hAnsi="Times New Roman"/>
            <w:lang w:val="fr-BE"/>
          </w:rPr>
          <w:t>https://commission.europa.eu/law/law-making-process/better-regulation/simplification-and-implementation_en</w:t>
        </w:r>
      </w:hyperlink>
      <w:r w:rsidRPr="00C066A8">
        <w:rPr>
          <w:rFonts w:ascii="Times New Roman" w:hAnsi="Times New Roman"/>
          <w:lang w:val="fr-BE"/>
        </w:rPr>
        <w:t xml:space="preserve"> </w:t>
      </w:r>
    </w:p>
  </w:footnote>
  <w:footnote w:id="18">
    <w:p w14:paraId="346662B3" w14:textId="6710EC71" w:rsidR="00647A1C" w:rsidRPr="00C066A8" w:rsidRDefault="00647A1C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  <w:lang w:val="fr-B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fr-BE"/>
        </w:rPr>
        <w:t xml:space="preserve"> </w:t>
      </w:r>
      <w:r w:rsidR="00E60E06" w:rsidRPr="00C066A8">
        <w:rPr>
          <w:rFonts w:ascii="Times New Roman" w:hAnsi="Times New Roman"/>
          <w:lang w:val="fr-BE"/>
        </w:rPr>
        <w:tab/>
      </w:r>
      <w:r w:rsidRPr="00C066A8">
        <w:rPr>
          <w:rFonts w:ascii="Times New Roman" w:hAnsi="Times New Roman"/>
          <w:lang w:val="fr-BE"/>
        </w:rPr>
        <w:t>COM(2025) 45 final</w:t>
      </w:r>
      <w:r w:rsidR="00E60E06" w:rsidRPr="00C066A8">
        <w:rPr>
          <w:rFonts w:ascii="Times New Roman" w:hAnsi="Times New Roman"/>
          <w:lang w:val="fr-BE"/>
        </w:rPr>
        <w:t xml:space="preserve"> (</w:t>
      </w:r>
      <w:hyperlink r:id="rId17" w:history="1">
        <w:r w:rsidR="00E60E06" w:rsidRPr="00C066A8">
          <w:rPr>
            <w:rStyle w:val="Hyperlink"/>
            <w:rFonts w:ascii="Times New Roman" w:hAnsi="Times New Roman"/>
            <w:lang w:val="fr-BE"/>
          </w:rPr>
          <w:t>EUR-Lex - 52025DC0045 - EN - EUR-Lex</w:t>
        </w:r>
      </w:hyperlink>
      <w:r w:rsidR="00E60E06" w:rsidRPr="00C066A8">
        <w:rPr>
          <w:rFonts w:ascii="Times New Roman" w:hAnsi="Times New Roman"/>
          <w:lang w:val="fr-BE"/>
        </w:rPr>
        <w:t>)</w:t>
      </w:r>
      <w:r w:rsidRPr="00C066A8">
        <w:rPr>
          <w:rFonts w:ascii="Times New Roman" w:hAnsi="Times New Roman"/>
          <w:lang w:val="fr-BE"/>
        </w:rPr>
        <w:t>.</w:t>
      </w:r>
    </w:p>
  </w:footnote>
  <w:footnote w:id="19">
    <w:p w14:paraId="225A8976" w14:textId="7D48D7E8" w:rsidR="00CB5376" w:rsidRPr="00C066A8" w:rsidRDefault="00CB5376" w:rsidP="00C066A8">
      <w:pPr>
        <w:pStyle w:val="FootnoteText"/>
        <w:widowControl w:val="0"/>
        <w:ind w:left="142" w:right="-142" w:hanging="284"/>
        <w:jc w:val="both"/>
        <w:rPr>
          <w:rFonts w:ascii="Times New Roman" w:hAnsi="Times New Roman"/>
          <w:lang w:val="fr-B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fr-BE"/>
        </w:rPr>
        <w:t xml:space="preserve"> </w:t>
      </w:r>
      <w:r w:rsidR="00E60E06" w:rsidRPr="00C066A8">
        <w:rPr>
          <w:rFonts w:ascii="Times New Roman" w:hAnsi="Times New Roman"/>
          <w:lang w:val="fr-BE"/>
        </w:rPr>
        <w:tab/>
      </w:r>
      <w:r w:rsidRPr="00C066A8">
        <w:rPr>
          <w:rFonts w:ascii="Times New Roman" w:hAnsi="Times New Roman"/>
          <w:lang w:val="fr-BE"/>
        </w:rPr>
        <w:t>COM/2025/870 final</w:t>
      </w:r>
      <w:r w:rsidR="00E60E06" w:rsidRPr="00C066A8">
        <w:rPr>
          <w:rFonts w:ascii="Times New Roman" w:hAnsi="Times New Roman"/>
          <w:lang w:val="fr-BE"/>
        </w:rPr>
        <w:t xml:space="preserve"> (</w:t>
      </w:r>
      <w:hyperlink r:id="rId18" w:history="1">
        <w:r w:rsidR="00E60E06" w:rsidRPr="00C066A8">
          <w:rPr>
            <w:rStyle w:val="Hyperlink"/>
            <w:rFonts w:ascii="Times New Roman" w:hAnsi="Times New Roman"/>
            <w:lang w:val="fr-BE"/>
          </w:rPr>
          <w:t>EUR-Lex - 52025DC0870 - EN - EUR-Lex</w:t>
        </w:r>
      </w:hyperlink>
      <w:r w:rsidR="00E60E06" w:rsidRPr="00C066A8">
        <w:rPr>
          <w:rFonts w:ascii="Times New Roman" w:hAnsi="Times New Roman"/>
          <w:lang w:val="fr-BE"/>
        </w:rPr>
        <w:t>)</w:t>
      </w:r>
      <w:r w:rsidRPr="00C066A8">
        <w:rPr>
          <w:rFonts w:ascii="Times New Roman" w:hAnsi="Times New Roman"/>
          <w:lang w:val="fr-BE"/>
        </w:rPr>
        <w:t>.</w:t>
      </w:r>
    </w:p>
  </w:footnote>
  <w:footnote w:id="20">
    <w:p w14:paraId="393D138F" w14:textId="2E28A853" w:rsidR="00890B3B" w:rsidRPr="00C066A8" w:rsidRDefault="00890B3B" w:rsidP="00C066A8">
      <w:pPr>
        <w:pStyle w:val="FootnoteText"/>
        <w:widowControl w:val="0"/>
        <w:ind w:left="142" w:hanging="284"/>
        <w:jc w:val="both"/>
        <w:rPr>
          <w:rFonts w:ascii="Times New Roman" w:hAnsi="Times New Roman"/>
          <w:lang w:val="fr-B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fr-BE"/>
        </w:rPr>
        <w:t xml:space="preserve"> </w:t>
      </w:r>
      <w:r w:rsidR="0005442B" w:rsidRPr="00C066A8">
        <w:rPr>
          <w:rFonts w:ascii="Times New Roman" w:hAnsi="Times New Roman"/>
          <w:lang w:val="fr-BE"/>
        </w:rPr>
        <w:tab/>
      </w:r>
      <w:r w:rsidRPr="00C066A8">
        <w:rPr>
          <w:rFonts w:ascii="Times New Roman" w:hAnsi="Times New Roman"/>
          <w:lang w:val="fr-BE"/>
        </w:rPr>
        <w:t>COM</w:t>
      </w:r>
      <w:r w:rsidR="0005442B" w:rsidRPr="00C066A8">
        <w:rPr>
          <w:rFonts w:ascii="Times New Roman" w:hAnsi="Times New Roman"/>
          <w:lang w:val="fr-BE"/>
        </w:rPr>
        <w:t>(</w:t>
      </w:r>
      <w:r w:rsidRPr="00C066A8">
        <w:rPr>
          <w:rFonts w:ascii="Times New Roman" w:hAnsi="Times New Roman"/>
          <w:lang w:val="fr-BE"/>
        </w:rPr>
        <w:t>2025</w:t>
      </w:r>
      <w:r w:rsidR="0005442B" w:rsidRPr="00C066A8">
        <w:rPr>
          <w:rFonts w:ascii="Times New Roman" w:hAnsi="Times New Roman"/>
          <w:lang w:val="fr-BE"/>
        </w:rPr>
        <w:t>)</w:t>
      </w:r>
      <w:r w:rsidRPr="00C066A8">
        <w:rPr>
          <w:rFonts w:ascii="Times New Roman" w:hAnsi="Times New Roman"/>
          <w:lang w:val="fr-BE"/>
        </w:rPr>
        <w:t>85 final</w:t>
      </w:r>
      <w:r w:rsidR="0005442B" w:rsidRPr="00C066A8">
        <w:rPr>
          <w:rFonts w:ascii="Times New Roman" w:hAnsi="Times New Roman"/>
          <w:lang w:val="fr-BE"/>
        </w:rPr>
        <w:t xml:space="preserve"> (</w:t>
      </w:r>
      <w:hyperlink r:id="rId19" w:history="1">
        <w:r w:rsidR="0005442B" w:rsidRPr="00C066A8">
          <w:rPr>
            <w:rStyle w:val="Hyperlink"/>
            <w:rFonts w:ascii="Times New Roman" w:hAnsi="Times New Roman"/>
            <w:lang w:val="fr-BE"/>
          </w:rPr>
          <w:t>EUR-Lex - 52025DC0085 - EN - EUR-Lex</w:t>
        </w:r>
      </w:hyperlink>
      <w:r w:rsidR="0005442B" w:rsidRPr="00C066A8">
        <w:rPr>
          <w:rFonts w:ascii="Times New Roman" w:hAnsi="Times New Roman"/>
          <w:lang w:val="fr-BE"/>
        </w:rPr>
        <w:t>).</w:t>
      </w:r>
    </w:p>
  </w:footnote>
  <w:footnote w:id="21">
    <w:p w14:paraId="56E544FE" w14:textId="1504FDDE" w:rsidR="00647A1C" w:rsidRPr="00C066A8" w:rsidRDefault="00647A1C" w:rsidP="00C066A8">
      <w:pPr>
        <w:pStyle w:val="FootnoteText"/>
        <w:widowControl w:val="0"/>
        <w:ind w:left="142" w:hanging="284"/>
        <w:jc w:val="both"/>
        <w:rPr>
          <w:rFonts w:ascii="Times New Roman" w:hAnsi="Times New Roman"/>
          <w:lang w:val="fr-B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fr-BE"/>
        </w:rPr>
        <w:t xml:space="preserve"> </w:t>
      </w:r>
      <w:r w:rsidR="0005442B" w:rsidRPr="00C066A8">
        <w:rPr>
          <w:rFonts w:ascii="Times New Roman" w:hAnsi="Times New Roman"/>
          <w:lang w:val="fr-BE"/>
        </w:rPr>
        <w:tab/>
      </w:r>
      <w:r w:rsidRPr="00C066A8">
        <w:rPr>
          <w:rFonts w:ascii="Times New Roman" w:hAnsi="Times New Roman"/>
          <w:lang w:val="fr-BE"/>
        </w:rPr>
        <w:t>COM(2025) 79</w:t>
      </w:r>
      <w:r w:rsidR="0005442B" w:rsidRPr="00C066A8">
        <w:rPr>
          <w:rFonts w:ascii="Times New Roman" w:hAnsi="Times New Roman"/>
          <w:lang w:val="fr-BE"/>
        </w:rPr>
        <w:t xml:space="preserve"> (</w:t>
      </w:r>
      <w:hyperlink r:id="rId20" w:history="1">
        <w:r w:rsidR="0005442B" w:rsidRPr="00C066A8">
          <w:rPr>
            <w:rStyle w:val="Hyperlink"/>
            <w:rFonts w:ascii="Times New Roman" w:hAnsi="Times New Roman"/>
            <w:lang w:val="fr-BE"/>
          </w:rPr>
          <w:t>EUR-Lex - 52025DC0079 - EN - EUR-Lex</w:t>
        </w:r>
      </w:hyperlink>
      <w:r w:rsidR="0005442B" w:rsidRPr="00C066A8">
        <w:rPr>
          <w:rFonts w:ascii="Times New Roman" w:hAnsi="Times New Roman"/>
          <w:lang w:val="fr-BE"/>
        </w:rPr>
        <w:t>)</w:t>
      </w:r>
      <w:r w:rsidRPr="00C066A8">
        <w:rPr>
          <w:rFonts w:ascii="Times New Roman" w:hAnsi="Times New Roman"/>
          <w:lang w:val="fr-BE"/>
        </w:rPr>
        <w:t xml:space="preserve">. </w:t>
      </w:r>
    </w:p>
  </w:footnote>
  <w:footnote w:id="22">
    <w:p w14:paraId="4E14B33D" w14:textId="45375E61" w:rsidR="00CB5376" w:rsidRPr="00C066A8" w:rsidRDefault="00CB5376" w:rsidP="00C066A8">
      <w:pPr>
        <w:pStyle w:val="FootnoteText"/>
        <w:widowControl w:val="0"/>
        <w:ind w:left="142" w:hanging="284"/>
        <w:jc w:val="both"/>
        <w:rPr>
          <w:rFonts w:ascii="Times New Roman" w:hAnsi="Times New Roman"/>
          <w:lang w:val="fr-B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fr-BE"/>
        </w:rPr>
        <w:t xml:space="preserve"> </w:t>
      </w:r>
      <w:r w:rsidR="0005442B" w:rsidRPr="00C066A8">
        <w:rPr>
          <w:rFonts w:ascii="Times New Roman" w:hAnsi="Times New Roman"/>
          <w:lang w:val="fr-BE"/>
        </w:rPr>
        <w:tab/>
      </w:r>
      <w:r w:rsidRPr="00C066A8">
        <w:rPr>
          <w:rFonts w:ascii="Times New Roman" w:hAnsi="Times New Roman"/>
          <w:lang w:val="fr-BE"/>
        </w:rPr>
        <w:t>COM(2025) 500</w:t>
      </w:r>
      <w:r w:rsidR="0005442B" w:rsidRPr="00C066A8">
        <w:rPr>
          <w:rFonts w:ascii="Times New Roman" w:hAnsi="Times New Roman"/>
          <w:lang w:val="fr-BE"/>
        </w:rPr>
        <w:t xml:space="preserve"> (</w:t>
      </w:r>
      <w:hyperlink r:id="rId21" w:history="1">
        <w:r w:rsidR="0005442B" w:rsidRPr="00C066A8">
          <w:rPr>
            <w:rStyle w:val="Hyperlink"/>
            <w:rFonts w:ascii="Times New Roman" w:hAnsi="Times New Roman"/>
            <w:lang w:val="fr-BE"/>
          </w:rPr>
          <w:t>EUR-Lex - 52025DC0500 - EN - EUR-Lex</w:t>
        </w:r>
      </w:hyperlink>
      <w:r w:rsidR="0005442B" w:rsidRPr="00C066A8">
        <w:rPr>
          <w:rFonts w:ascii="Times New Roman" w:hAnsi="Times New Roman"/>
          <w:lang w:val="fr-BE"/>
        </w:rPr>
        <w:t>)</w:t>
      </w:r>
      <w:r w:rsidRPr="00C066A8">
        <w:rPr>
          <w:rFonts w:ascii="Times New Roman" w:hAnsi="Times New Roman"/>
          <w:lang w:val="fr-BE"/>
        </w:rPr>
        <w:t xml:space="preserve">. </w:t>
      </w:r>
    </w:p>
  </w:footnote>
  <w:footnote w:id="23">
    <w:p w14:paraId="2B8CEE96" w14:textId="77777777" w:rsidR="00CB5376" w:rsidRPr="00C066A8" w:rsidRDefault="00CB5376" w:rsidP="00C066A8">
      <w:pPr>
        <w:pStyle w:val="FootnoteText"/>
        <w:widowControl w:val="0"/>
        <w:ind w:left="142" w:hanging="284"/>
        <w:jc w:val="both"/>
        <w:rPr>
          <w:rFonts w:ascii="Times New Roman" w:hAnsi="Times New Roman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</w:rPr>
        <w:t xml:space="preserve"> The Commission has identified a set of ‘Terrible Ten' Single Market barriers on the basis of comprehensive stakeholder consultations: complicated business establishment and operations; complex EU rules; lack of ownership by Member States; limited recognition of professional qualifications; lack of common standards; fragmentated rules on packaging; lack of product compliance; restrictive and diverging national services regulation; burdensome rules for posting of workers in low-risk sectors; unjustified territorial supply constraints causing high prices for consumers.</w:t>
      </w:r>
    </w:p>
  </w:footnote>
  <w:footnote w:id="24">
    <w:p w14:paraId="45ECBFE9" w14:textId="2534A33F" w:rsidR="00647A1C" w:rsidRPr="00C066A8" w:rsidRDefault="00647A1C" w:rsidP="00C066A8">
      <w:pPr>
        <w:pStyle w:val="FootnoteText"/>
        <w:widowControl w:val="0"/>
        <w:ind w:left="142" w:hanging="284"/>
        <w:jc w:val="both"/>
        <w:rPr>
          <w:rFonts w:ascii="Times New Roman" w:hAnsi="Times New Roman"/>
          <w:lang w:val="fr-B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fr-BE"/>
        </w:rPr>
        <w:t xml:space="preserve"> </w:t>
      </w:r>
      <w:r w:rsidR="0005442B" w:rsidRPr="00C066A8">
        <w:rPr>
          <w:rFonts w:ascii="Times New Roman" w:hAnsi="Times New Roman"/>
          <w:lang w:val="fr-BE"/>
        </w:rPr>
        <w:tab/>
      </w:r>
      <w:r w:rsidRPr="00C066A8">
        <w:rPr>
          <w:rFonts w:ascii="Times New Roman" w:hAnsi="Times New Roman"/>
          <w:lang w:val="fr-BE"/>
        </w:rPr>
        <w:t>COM(2025) 90</w:t>
      </w:r>
      <w:r w:rsidR="0005442B" w:rsidRPr="00C066A8">
        <w:rPr>
          <w:rFonts w:ascii="Times New Roman" w:hAnsi="Times New Roman"/>
          <w:lang w:val="fr-BE"/>
        </w:rPr>
        <w:t xml:space="preserve"> (</w:t>
      </w:r>
      <w:hyperlink r:id="rId22" w:history="1">
        <w:r w:rsidR="0005442B" w:rsidRPr="00C066A8">
          <w:rPr>
            <w:rStyle w:val="Hyperlink"/>
            <w:rFonts w:ascii="Times New Roman" w:hAnsi="Times New Roman"/>
            <w:lang w:val="fr-BE"/>
          </w:rPr>
          <w:t>EUR-Lex - 52025DC0090 - EN - EUR-Lex</w:t>
        </w:r>
      </w:hyperlink>
      <w:r w:rsidR="0005442B" w:rsidRPr="00C066A8">
        <w:rPr>
          <w:rFonts w:ascii="Times New Roman" w:hAnsi="Times New Roman"/>
          <w:lang w:val="fr-BE"/>
        </w:rPr>
        <w:t>)</w:t>
      </w:r>
      <w:r w:rsidRPr="00C066A8">
        <w:rPr>
          <w:rFonts w:ascii="Times New Roman" w:hAnsi="Times New Roman"/>
          <w:lang w:val="fr-BE"/>
        </w:rPr>
        <w:t>.</w:t>
      </w:r>
    </w:p>
  </w:footnote>
  <w:footnote w:id="25">
    <w:p w14:paraId="0DE9070D" w14:textId="7A184CBC" w:rsidR="006400A7" w:rsidRPr="00594567" w:rsidRDefault="006400A7" w:rsidP="00C066A8">
      <w:pPr>
        <w:pStyle w:val="FootnoteText"/>
        <w:widowControl w:val="0"/>
        <w:ind w:left="142" w:hanging="284"/>
        <w:jc w:val="both"/>
        <w:rPr>
          <w:rFonts w:ascii="Times New Roman" w:hAnsi="Times New Roman"/>
          <w:lang w:val="en-IE"/>
        </w:rPr>
      </w:pPr>
      <w:r w:rsidRPr="00C066A8">
        <w:rPr>
          <w:rStyle w:val="FootnoteReference"/>
          <w:rFonts w:ascii="Times New Roman" w:hAnsi="Times New Roman"/>
        </w:rPr>
        <w:footnoteRef/>
      </w:r>
      <w:r w:rsidRPr="00C066A8">
        <w:rPr>
          <w:rFonts w:ascii="Times New Roman" w:hAnsi="Times New Roman"/>
          <w:lang w:val="en-IE"/>
        </w:rPr>
        <w:t xml:space="preserve"> </w:t>
      </w:r>
      <w:r w:rsidR="0005442B" w:rsidRPr="00C066A8">
        <w:rPr>
          <w:rFonts w:ascii="Times New Roman" w:hAnsi="Times New Roman"/>
          <w:lang w:val="en-IE"/>
        </w:rPr>
        <w:tab/>
      </w:r>
      <w:hyperlink r:id="rId23" w:history="1">
        <w:r w:rsidR="0005442B" w:rsidRPr="00C066A8">
          <w:rPr>
            <w:rStyle w:val="Hyperlink"/>
            <w:rFonts w:ascii="Times New Roman" w:hAnsi="Times New Roman"/>
            <w:lang w:val="en-IE"/>
          </w:rPr>
          <w:t>STEM Education Strategic Plan (https://education.ec.europa.eu/document/stem-education-strategic-plan-legal-document</w:t>
        </w:r>
      </w:hyperlink>
      <w:r w:rsidR="0005442B" w:rsidRPr="00C066A8">
        <w:rPr>
          <w:rFonts w:ascii="Times New Roman" w:hAnsi="Times New Roman"/>
          <w:lang w:val="en-IE"/>
        </w:rPr>
        <w:t>).</w:t>
      </w:r>
    </w:p>
  </w:footnote>
  <w:footnote w:id="26">
    <w:p w14:paraId="268B38DE" w14:textId="4E92D58B" w:rsidR="00647A1C" w:rsidRPr="0005442B" w:rsidRDefault="00647A1C" w:rsidP="00C24C98">
      <w:pPr>
        <w:pStyle w:val="FootnoteText"/>
        <w:jc w:val="both"/>
        <w:rPr>
          <w:rFonts w:ascii="Times New Roman" w:hAnsi="Times New Roman"/>
          <w:lang w:val="en-IE"/>
        </w:rPr>
      </w:pPr>
      <w:r w:rsidRPr="00680269">
        <w:rPr>
          <w:rStyle w:val="FootnoteReference"/>
          <w:rFonts w:ascii="Times New Roman" w:hAnsi="Times New Roman"/>
        </w:rPr>
        <w:footnoteRef/>
      </w:r>
      <w:r w:rsidRPr="00594567">
        <w:rPr>
          <w:rFonts w:ascii="Times New Roman" w:hAnsi="Times New Roman"/>
          <w:lang w:val="en-IE"/>
        </w:rPr>
        <w:t xml:space="preserve"> </w:t>
      </w:r>
      <w:r w:rsidR="0005442B" w:rsidRPr="00594567">
        <w:rPr>
          <w:rFonts w:ascii="Times New Roman" w:hAnsi="Times New Roman"/>
          <w:lang w:val="en-IE"/>
        </w:rPr>
        <w:tab/>
        <w:t xml:space="preserve">European Employment &amp; Social Rights Forum 2025: Skills for a Competitive Europe </w:t>
      </w:r>
      <w:r w:rsidR="0005442B">
        <w:rPr>
          <w:rFonts w:ascii="Times New Roman" w:hAnsi="Times New Roman"/>
          <w:lang w:val="en-IE"/>
        </w:rPr>
        <w:t>(</w:t>
      </w:r>
      <w:hyperlink r:id="rId24" w:history="1">
        <w:r w:rsidR="0005442B" w:rsidRPr="0005442B">
          <w:rPr>
            <w:rStyle w:val="Hyperlink"/>
            <w:rFonts w:ascii="Times New Roman" w:hAnsi="Times New Roman"/>
            <w:lang w:val="en-IE"/>
          </w:rPr>
          <w:t>https://employment-social-affairs.ec.europa.eu/european-employment-social-rights-forum-2025-skills-competitive-europe-2025-03-05_en</w:t>
        </w:r>
      </w:hyperlink>
      <w:r w:rsidR="0005442B">
        <w:rPr>
          <w:rFonts w:ascii="Times New Roman" w:hAnsi="Times New Roman"/>
          <w:lang w:val="en-IE"/>
        </w:rPr>
        <w:t>)</w:t>
      </w:r>
      <w:r w:rsidR="0005442B" w:rsidRPr="0005442B">
        <w:rPr>
          <w:rFonts w:ascii="Times New Roman" w:hAnsi="Times New Roman"/>
          <w:lang w:val="en-IE"/>
        </w:rPr>
        <w:t>.</w:t>
      </w:r>
    </w:p>
  </w:footnote>
  <w:footnote w:id="27">
    <w:p w14:paraId="26910FDE" w14:textId="5280ECC8" w:rsidR="00647A1C" w:rsidRPr="00133044" w:rsidRDefault="00647A1C" w:rsidP="00C24C98">
      <w:pPr>
        <w:pStyle w:val="FootnoteText"/>
        <w:jc w:val="both"/>
        <w:rPr>
          <w:rFonts w:ascii="Times New Roman" w:hAnsi="Times New Roman"/>
          <w:lang w:val="en-IE"/>
        </w:rPr>
      </w:pPr>
      <w:r w:rsidRPr="00680269">
        <w:rPr>
          <w:rStyle w:val="FootnoteReference"/>
          <w:rFonts w:ascii="Times New Roman" w:hAnsi="Times New Roman"/>
        </w:rPr>
        <w:footnoteRef/>
      </w:r>
      <w:r w:rsidRPr="00680269">
        <w:rPr>
          <w:rFonts w:ascii="Times New Roman" w:hAnsi="Times New Roman"/>
        </w:rPr>
        <w:t xml:space="preserve"> </w:t>
      </w:r>
      <w:r w:rsidR="0005442B">
        <w:rPr>
          <w:rFonts w:ascii="Times New Roman" w:hAnsi="Times New Roman"/>
        </w:rPr>
        <w:tab/>
      </w:r>
      <w:r w:rsidRPr="00680269">
        <w:rPr>
          <w:rFonts w:ascii="Times New Roman" w:hAnsi="Times New Roman"/>
          <w:lang w:val="en-IE"/>
        </w:rPr>
        <w:t xml:space="preserve">Pact for European Social Dialogue: </w:t>
      </w:r>
      <w:hyperlink r:id="rId25" w:history="1">
        <w:r w:rsidR="0005442B" w:rsidRPr="0005442B">
          <w:rPr>
            <w:rStyle w:val="Hyperlink"/>
            <w:rFonts w:ascii="Times New Roman" w:hAnsi="Times New Roman"/>
            <w:lang w:val="en-IE"/>
          </w:rPr>
          <w:t>https://employment-social-affairs.ec.europa.eu/news/commission-and-social-partners-sign-joint-pact-strengthen-social-dialogue-europe-2025-03-05_en</w:t>
        </w:r>
      </w:hyperlink>
      <w:r w:rsidR="0005442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13CB" w14:textId="77777777" w:rsidR="00A221C5" w:rsidRDefault="00A22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27FB" w14:textId="77777777" w:rsidR="00A221C5" w:rsidRPr="00852B81" w:rsidRDefault="00A221C5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4CE0" w14:textId="77777777" w:rsidR="00A221C5" w:rsidRDefault="00A22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77C4F"/>
    <w:rsid w:val="00012A37"/>
    <w:rsid w:val="00020728"/>
    <w:rsid w:val="00022611"/>
    <w:rsid w:val="00024E61"/>
    <w:rsid w:val="00035CD8"/>
    <w:rsid w:val="00046B15"/>
    <w:rsid w:val="00050DC7"/>
    <w:rsid w:val="00052524"/>
    <w:rsid w:val="0005442B"/>
    <w:rsid w:val="00076109"/>
    <w:rsid w:val="00077C4F"/>
    <w:rsid w:val="00082BE1"/>
    <w:rsid w:val="00084B7A"/>
    <w:rsid w:val="000B1EF8"/>
    <w:rsid w:val="000F5CA1"/>
    <w:rsid w:val="000F5FD8"/>
    <w:rsid w:val="001167C0"/>
    <w:rsid w:val="00124FD4"/>
    <w:rsid w:val="00133044"/>
    <w:rsid w:val="00135C2A"/>
    <w:rsid w:val="00141007"/>
    <w:rsid w:val="00146E89"/>
    <w:rsid w:val="001531AF"/>
    <w:rsid w:val="00166324"/>
    <w:rsid w:val="00176F73"/>
    <w:rsid w:val="001814DE"/>
    <w:rsid w:val="00182F65"/>
    <w:rsid w:val="001B0E0B"/>
    <w:rsid w:val="001B646B"/>
    <w:rsid w:val="001C4138"/>
    <w:rsid w:val="001D24B8"/>
    <w:rsid w:val="001D4F97"/>
    <w:rsid w:val="001F2EC6"/>
    <w:rsid w:val="001F65D0"/>
    <w:rsid w:val="00217E59"/>
    <w:rsid w:val="002218BF"/>
    <w:rsid w:val="002330C9"/>
    <w:rsid w:val="00236A17"/>
    <w:rsid w:val="00247727"/>
    <w:rsid w:val="0026087A"/>
    <w:rsid w:val="00266C2B"/>
    <w:rsid w:val="002A23AE"/>
    <w:rsid w:val="002B14C1"/>
    <w:rsid w:val="002B423F"/>
    <w:rsid w:val="002D2E6D"/>
    <w:rsid w:val="002E029A"/>
    <w:rsid w:val="002E47A9"/>
    <w:rsid w:val="002E64D0"/>
    <w:rsid w:val="002F03FA"/>
    <w:rsid w:val="002F5C6F"/>
    <w:rsid w:val="003004D2"/>
    <w:rsid w:val="00327E0B"/>
    <w:rsid w:val="003349A3"/>
    <w:rsid w:val="0033748E"/>
    <w:rsid w:val="00345EE3"/>
    <w:rsid w:val="0035050A"/>
    <w:rsid w:val="00351E47"/>
    <w:rsid w:val="00357750"/>
    <w:rsid w:val="003601A6"/>
    <w:rsid w:val="00364C7D"/>
    <w:rsid w:val="00377967"/>
    <w:rsid w:val="00386143"/>
    <w:rsid w:val="00396BB9"/>
    <w:rsid w:val="003B1945"/>
    <w:rsid w:val="003B3EC0"/>
    <w:rsid w:val="003B4504"/>
    <w:rsid w:val="003B58DC"/>
    <w:rsid w:val="003D6A1E"/>
    <w:rsid w:val="003F686E"/>
    <w:rsid w:val="00400D41"/>
    <w:rsid w:val="004109D4"/>
    <w:rsid w:val="00423A03"/>
    <w:rsid w:val="00432F67"/>
    <w:rsid w:val="00433FEF"/>
    <w:rsid w:val="00442552"/>
    <w:rsid w:val="004514A4"/>
    <w:rsid w:val="00451C7D"/>
    <w:rsid w:val="00452215"/>
    <w:rsid w:val="00455A1C"/>
    <w:rsid w:val="004675B5"/>
    <w:rsid w:val="00471AB2"/>
    <w:rsid w:val="004770D6"/>
    <w:rsid w:val="0049246C"/>
    <w:rsid w:val="00492940"/>
    <w:rsid w:val="00492FA6"/>
    <w:rsid w:val="00496A3A"/>
    <w:rsid w:val="004A1AC1"/>
    <w:rsid w:val="004C56D4"/>
    <w:rsid w:val="004F6117"/>
    <w:rsid w:val="004F63F1"/>
    <w:rsid w:val="004F651E"/>
    <w:rsid w:val="00503E3E"/>
    <w:rsid w:val="0051363C"/>
    <w:rsid w:val="0052596B"/>
    <w:rsid w:val="00527EBF"/>
    <w:rsid w:val="00534BA9"/>
    <w:rsid w:val="00547452"/>
    <w:rsid w:val="00554D8D"/>
    <w:rsid w:val="005730FB"/>
    <w:rsid w:val="005731A4"/>
    <w:rsid w:val="00573835"/>
    <w:rsid w:val="005800CB"/>
    <w:rsid w:val="00581306"/>
    <w:rsid w:val="00587CD0"/>
    <w:rsid w:val="00594567"/>
    <w:rsid w:val="005A31C5"/>
    <w:rsid w:val="005C1E09"/>
    <w:rsid w:val="005C2AF0"/>
    <w:rsid w:val="005C2E5D"/>
    <w:rsid w:val="005C3105"/>
    <w:rsid w:val="005C78AC"/>
    <w:rsid w:val="005F1A0E"/>
    <w:rsid w:val="005F4F45"/>
    <w:rsid w:val="005F6FBC"/>
    <w:rsid w:val="00617F87"/>
    <w:rsid w:val="00625750"/>
    <w:rsid w:val="006400A7"/>
    <w:rsid w:val="00647A1C"/>
    <w:rsid w:val="00662B3D"/>
    <w:rsid w:val="00667CD0"/>
    <w:rsid w:val="0067494B"/>
    <w:rsid w:val="00680269"/>
    <w:rsid w:val="006861A0"/>
    <w:rsid w:val="00692C2F"/>
    <w:rsid w:val="00692EAA"/>
    <w:rsid w:val="00695797"/>
    <w:rsid w:val="00696A5E"/>
    <w:rsid w:val="006B3B69"/>
    <w:rsid w:val="006B3D6A"/>
    <w:rsid w:val="006D67EA"/>
    <w:rsid w:val="00734613"/>
    <w:rsid w:val="00737283"/>
    <w:rsid w:val="0074299E"/>
    <w:rsid w:val="00751910"/>
    <w:rsid w:val="00751E60"/>
    <w:rsid w:val="007547B5"/>
    <w:rsid w:val="00795A9E"/>
    <w:rsid w:val="007A606D"/>
    <w:rsid w:val="007C2214"/>
    <w:rsid w:val="007D4A76"/>
    <w:rsid w:val="007D4B52"/>
    <w:rsid w:val="007E361A"/>
    <w:rsid w:val="00803A9B"/>
    <w:rsid w:val="00805772"/>
    <w:rsid w:val="0080728F"/>
    <w:rsid w:val="00807B48"/>
    <w:rsid w:val="00807FBD"/>
    <w:rsid w:val="00810EFA"/>
    <w:rsid w:val="00812EB6"/>
    <w:rsid w:val="008135CA"/>
    <w:rsid w:val="0081584F"/>
    <w:rsid w:val="00816AA3"/>
    <w:rsid w:val="00826AC4"/>
    <w:rsid w:val="00834E4D"/>
    <w:rsid w:val="008357C4"/>
    <w:rsid w:val="00851231"/>
    <w:rsid w:val="00852B81"/>
    <w:rsid w:val="00855353"/>
    <w:rsid w:val="008703BF"/>
    <w:rsid w:val="00885815"/>
    <w:rsid w:val="00887917"/>
    <w:rsid w:val="00890B3B"/>
    <w:rsid w:val="008925CE"/>
    <w:rsid w:val="008A1BBC"/>
    <w:rsid w:val="008B1FD1"/>
    <w:rsid w:val="008C4D41"/>
    <w:rsid w:val="008C5E64"/>
    <w:rsid w:val="008C7B4A"/>
    <w:rsid w:val="008D514B"/>
    <w:rsid w:val="009003C1"/>
    <w:rsid w:val="009056FA"/>
    <w:rsid w:val="00920455"/>
    <w:rsid w:val="00922727"/>
    <w:rsid w:val="009247C1"/>
    <w:rsid w:val="00924D12"/>
    <w:rsid w:val="00934DB0"/>
    <w:rsid w:val="00935AA2"/>
    <w:rsid w:val="00975BFA"/>
    <w:rsid w:val="00981F45"/>
    <w:rsid w:val="00984B2C"/>
    <w:rsid w:val="00994D12"/>
    <w:rsid w:val="009B128B"/>
    <w:rsid w:val="009D59EE"/>
    <w:rsid w:val="009E6D92"/>
    <w:rsid w:val="009F6056"/>
    <w:rsid w:val="00A16F07"/>
    <w:rsid w:val="00A221C5"/>
    <w:rsid w:val="00A51868"/>
    <w:rsid w:val="00A53B88"/>
    <w:rsid w:val="00A62C7B"/>
    <w:rsid w:val="00A729EF"/>
    <w:rsid w:val="00A7709A"/>
    <w:rsid w:val="00A81231"/>
    <w:rsid w:val="00A81AB2"/>
    <w:rsid w:val="00A916F9"/>
    <w:rsid w:val="00A91BD3"/>
    <w:rsid w:val="00A95A41"/>
    <w:rsid w:val="00AC3813"/>
    <w:rsid w:val="00AC5B5B"/>
    <w:rsid w:val="00AE1842"/>
    <w:rsid w:val="00AE23A6"/>
    <w:rsid w:val="00AE3C7C"/>
    <w:rsid w:val="00AE62B4"/>
    <w:rsid w:val="00AF56AF"/>
    <w:rsid w:val="00B039BC"/>
    <w:rsid w:val="00B16840"/>
    <w:rsid w:val="00B27B6F"/>
    <w:rsid w:val="00B31306"/>
    <w:rsid w:val="00B31E7B"/>
    <w:rsid w:val="00B42814"/>
    <w:rsid w:val="00B45D70"/>
    <w:rsid w:val="00B72096"/>
    <w:rsid w:val="00B76977"/>
    <w:rsid w:val="00B83936"/>
    <w:rsid w:val="00B8429A"/>
    <w:rsid w:val="00BC56B2"/>
    <w:rsid w:val="00BD00DC"/>
    <w:rsid w:val="00BD6EB7"/>
    <w:rsid w:val="00BF04DB"/>
    <w:rsid w:val="00C04D8C"/>
    <w:rsid w:val="00C066A8"/>
    <w:rsid w:val="00C07A77"/>
    <w:rsid w:val="00C24C98"/>
    <w:rsid w:val="00C331E6"/>
    <w:rsid w:val="00C349FB"/>
    <w:rsid w:val="00C44346"/>
    <w:rsid w:val="00C54D27"/>
    <w:rsid w:val="00C6784A"/>
    <w:rsid w:val="00C72FC4"/>
    <w:rsid w:val="00C7351A"/>
    <w:rsid w:val="00C76EEB"/>
    <w:rsid w:val="00C8543F"/>
    <w:rsid w:val="00CB0F4F"/>
    <w:rsid w:val="00CB5376"/>
    <w:rsid w:val="00CB6158"/>
    <w:rsid w:val="00CE7902"/>
    <w:rsid w:val="00CF077C"/>
    <w:rsid w:val="00CF75C9"/>
    <w:rsid w:val="00D01F5A"/>
    <w:rsid w:val="00D06E5A"/>
    <w:rsid w:val="00D168D0"/>
    <w:rsid w:val="00D1716E"/>
    <w:rsid w:val="00D238B2"/>
    <w:rsid w:val="00D314E4"/>
    <w:rsid w:val="00D421DD"/>
    <w:rsid w:val="00D60BDA"/>
    <w:rsid w:val="00D64E05"/>
    <w:rsid w:val="00D731C2"/>
    <w:rsid w:val="00D830F1"/>
    <w:rsid w:val="00D845ED"/>
    <w:rsid w:val="00D87AA3"/>
    <w:rsid w:val="00D925F3"/>
    <w:rsid w:val="00D92FD3"/>
    <w:rsid w:val="00DA3B6E"/>
    <w:rsid w:val="00DB7581"/>
    <w:rsid w:val="00DC70C1"/>
    <w:rsid w:val="00DD03E7"/>
    <w:rsid w:val="00DD1173"/>
    <w:rsid w:val="00DF59DF"/>
    <w:rsid w:val="00E0498B"/>
    <w:rsid w:val="00E12432"/>
    <w:rsid w:val="00E200F5"/>
    <w:rsid w:val="00E30B2F"/>
    <w:rsid w:val="00E4469F"/>
    <w:rsid w:val="00E60E06"/>
    <w:rsid w:val="00E72B07"/>
    <w:rsid w:val="00E76AA1"/>
    <w:rsid w:val="00E80343"/>
    <w:rsid w:val="00E83C12"/>
    <w:rsid w:val="00E904C8"/>
    <w:rsid w:val="00E92BB1"/>
    <w:rsid w:val="00EA1BBF"/>
    <w:rsid w:val="00EA7036"/>
    <w:rsid w:val="00EB29A9"/>
    <w:rsid w:val="00EB77D2"/>
    <w:rsid w:val="00F02BB5"/>
    <w:rsid w:val="00F15627"/>
    <w:rsid w:val="00F316C8"/>
    <w:rsid w:val="00F5528D"/>
    <w:rsid w:val="00F60E67"/>
    <w:rsid w:val="00F61B9B"/>
    <w:rsid w:val="00F632DE"/>
    <w:rsid w:val="00F735E4"/>
    <w:rsid w:val="00FA386F"/>
    <w:rsid w:val="00FA7051"/>
    <w:rsid w:val="00FB6255"/>
    <w:rsid w:val="00FB7834"/>
    <w:rsid w:val="00FC2A8B"/>
    <w:rsid w:val="00FD4B6A"/>
    <w:rsid w:val="00FE2287"/>
    <w:rsid w:val="00FF03A8"/>
    <w:rsid w:val="00FF63EA"/>
    <w:rsid w:val="01FAD2CB"/>
    <w:rsid w:val="05DCA385"/>
    <w:rsid w:val="064FD9F5"/>
    <w:rsid w:val="065F4EF9"/>
    <w:rsid w:val="07818597"/>
    <w:rsid w:val="08AE1F14"/>
    <w:rsid w:val="111CC8E0"/>
    <w:rsid w:val="12DD6D76"/>
    <w:rsid w:val="15465EF0"/>
    <w:rsid w:val="17550E91"/>
    <w:rsid w:val="185679DF"/>
    <w:rsid w:val="1A118D15"/>
    <w:rsid w:val="1C1AA030"/>
    <w:rsid w:val="1C3794B9"/>
    <w:rsid w:val="1E6F25AE"/>
    <w:rsid w:val="1F9C6BE3"/>
    <w:rsid w:val="1FF7AC0F"/>
    <w:rsid w:val="2334E264"/>
    <w:rsid w:val="233E7C0A"/>
    <w:rsid w:val="25658991"/>
    <w:rsid w:val="26377587"/>
    <w:rsid w:val="265C5A57"/>
    <w:rsid w:val="266B8CC0"/>
    <w:rsid w:val="28E485AC"/>
    <w:rsid w:val="2972D6B3"/>
    <w:rsid w:val="2A80681A"/>
    <w:rsid w:val="2CA9F35E"/>
    <w:rsid w:val="3011D67F"/>
    <w:rsid w:val="304B6FE7"/>
    <w:rsid w:val="32000030"/>
    <w:rsid w:val="33D0ECFA"/>
    <w:rsid w:val="34D58F98"/>
    <w:rsid w:val="36FBCD7C"/>
    <w:rsid w:val="37017BCB"/>
    <w:rsid w:val="3792ACD4"/>
    <w:rsid w:val="38FF4FDB"/>
    <w:rsid w:val="3C183035"/>
    <w:rsid w:val="3F3F0BAC"/>
    <w:rsid w:val="3FC06ADE"/>
    <w:rsid w:val="42C819D0"/>
    <w:rsid w:val="461FF34C"/>
    <w:rsid w:val="4746A7BB"/>
    <w:rsid w:val="4A35234E"/>
    <w:rsid w:val="4D5FE8C8"/>
    <w:rsid w:val="4FE692D9"/>
    <w:rsid w:val="4FEE9E8F"/>
    <w:rsid w:val="553F4C7C"/>
    <w:rsid w:val="569D6280"/>
    <w:rsid w:val="5A517BDB"/>
    <w:rsid w:val="5F93969C"/>
    <w:rsid w:val="60BFD4E5"/>
    <w:rsid w:val="61A2E10E"/>
    <w:rsid w:val="654BFFFA"/>
    <w:rsid w:val="69E5F129"/>
    <w:rsid w:val="69F95F5F"/>
    <w:rsid w:val="6AAEE029"/>
    <w:rsid w:val="6B0B7EFD"/>
    <w:rsid w:val="6C523782"/>
    <w:rsid w:val="6D2D34B1"/>
    <w:rsid w:val="6DEC3B00"/>
    <w:rsid w:val="6FCA03C3"/>
    <w:rsid w:val="72345F45"/>
    <w:rsid w:val="7395AE3C"/>
    <w:rsid w:val="74B89A26"/>
    <w:rsid w:val="74BC87A9"/>
    <w:rsid w:val="7E37A7E0"/>
    <w:rsid w:val="7EACB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DF4D5339-9CFD-41DD-A0A4-2E910248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47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A1C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A1C"/>
    <w:rPr>
      <w:sz w:val="16"/>
      <w:szCs w:val="16"/>
    </w:rPr>
  </w:style>
  <w:style w:type="paragraph" w:styleId="FootnoteText">
    <w:name w:val="footnote text"/>
    <w:aliases w:val="Footnote text,fn,Schriftart: 9 pt,Schriftart: 10 pt,Schriftart: 8 pt,WB-Fußnotentext,Voetnoottekst Char,Voetnoottekst Char1,Voetnoottekst Char2 Char Char,Voetnoottekst Char Char1 Char Char,Voetnoottekst Char1 Char Char Char Char,ft,Fußnote"/>
    <w:basedOn w:val="Normal"/>
    <w:link w:val="FootnoteTextChar"/>
    <w:uiPriority w:val="99"/>
    <w:unhideWhenUsed/>
    <w:qFormat/>
    <w:rsid w:val="00647A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,fn Char,Schriftart: 9 pt Char,Schriftart: 10 pt Char,Schriftart: 8 pt Char,WB-Fußnotentext Char,Voetnoottekst Char Char,Voetnoottekst Char1 Char,Voetnoottekst Char2 Char Char Char,ft Char,Fußnote Char"/>
    <w:basedOn w:val="DefaultParagraphFont"/>
    <w:link w:val="FootnoteText"/>
    <w:uiPriority w:val="99"/>
    <w:rsid w:val="00647A1C"/>
    <w:rPr>
      <w:lang w:eastAsia="en-US"/>
    </w:rPr>
  </w:style>
  <w:style w:type="character" w:styleId="FootnoteReference">
    <w:name w:val="footnote reference"/>
    <w:aliases w:val="Footnote Reference Superscript,BVI fnr,Footnote symbol,Footnote reference number,number,note TESI,SUPERS,EN Footnote Reference,Times 10 Point,Exposant 3 Point,Footnote Reference_LVL6,Footnote,Footnote number,Nota,Ref,styl,o,Char1,R,FR"/>
    <w:basedOn w:val="DefaultParagraphFont"/>
    <w:link w:val="-FNCharCharChar"/>
    <w:uiPriority w:val="99"/>
    <w:unhideWhenUsed/>
    <w:qFormat/>
    <w:rsid w:val="00647A1C"/>
    <w:rPr>
      <w:vertAlign w:val="superscript"/>
    </w:rPr>
  </w:style>
  <w:style w:type="character" w:styleId="Hyperlink">
    <w:name w:val="Hyperlink"/>
    <w:uiPriority w:val="99"/>
    <w:rsid w:val="00647A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1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1C2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A31C5"/>
    <w:rPr>
      <w:sz w:val="22"/>
      <w:szCs w:val="22"/>
      <w:lang w:eastAsia="en-US"/>
    </w:rPr>
  </w:style>
  <w:style w:type="paragraph" w:customStyle="1" w:styleId="-FNCharCharChar">
    <w:name w:val="Знак сноски-FN Char Char Char"/>
    <w:basedOn w:val="Normal"/>
    <w:link w:val="FootnoteReference"/>
    <w:uiPriority w:val="99"/>
    <w:rsid w:val="00C72FC4"/>
    <w:pPr>
      <w:spacing w:after="160" w:line="240" w:lineRule="exact"/>
    </w:pPr>
    <w:rPr>
      <w:sz w:val="20"/>
      <w:szCs w:val="20"/>
      <w:vertAlign w:val="superscript"/>
      <w:lang w:eastAsia="en-GB"/>
    </w:rPr>
  </w:style>
  <w:style w:type="paragraph" w:customStyle="1" w:styleId="Footnotereview">
    <w:name w:val="Footnote review"/>
    <w:basedOn w:val="FootnoteText"/>
    <w:link w:val="FootnotereviewChar"/>
    <w:qFormat/>
    <w:rsid w:val="00C72FC4"/>
    <w:pPr>
      <w:jc w:val="both"/>
    </w:pPr>
    <w:rPr>
      <w:rFonts w:ascii="Times New Roman" w:hAnsi="Times New Roman"/>
      <w:lang w:val="en-IE"/>
    </w:rPr>
  </w:style>
  <w:style w:type="character" w:customStyle="1" w:styleId="FootnotereviewChar">
    <w:name w:val="Footnote review Char"/>
    <w:basedOn w:val="FootnoteTextChar"/>
    <w:link w:val="Footnotereview"/>
    <w:rsid w:val="00C72FC4"/>
    <w:rPr>
      <w:rFonts w:ascii="Times New Roman" w:hAnsi="Times New Roman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F6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68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2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:52025PC0543" TargetMode="External"/><Relationship Id="rId13" Type="http://schemas.openxmlformats.org/officeDocument/2006/relationships/hyperlink" Target="https://single-market-economy.ec.europa.eu/sectors/raw-materials/areas-specific-interest/critical-raw-materials/strategic-projects-under-crma/selected-projects_en" TargetMode="External"/><Relationship Id="rId18" Type="http://schemas.openxmlformats.org/officeDocument/2006/relationships/hyperlink" Target="https://eur-lex.europa.eu/legal-content/EN/TXT/?uri=celex:52025DC0870" TargetMode="External"/><Relationship Id="rId3" Type="http://schemas.openxmlformats.org/officeDocument/2006/relationships/hyperlink" Target="https://eur-lex.europa.eu/legal-content/EN/TXT/?uri=celex:52025DC0026" TargetMode="External"/><Relationship Id="rId21" Type="http://schemas.openxmlformats.org/officeDocument/2006/relationships/hyperlink" Target="https://eur-lex.europa.eu/legal-content/EN/TXT/?uri=celex:52025DC0500" TargetMode="External"/><Relationship Id="rId7" Type="http://schemas.openxmlformats.org/officeDocument/2006/relationships/hyperlink" Target="https://eur-lex.europa.eu/legal-content/EN/TXT/?uri=celex:52025DC0570R%2801%29" TargetMode="External"/><Relationship Id="rId12" Type="http://schemas.openxmlformats.org/officeDocument/2006/relationships/hyperlink" Target="http://data.europa.eu/eli/reg/2024/1252/oj" TargetMode="External"/><Relationship Id="rId17" Type="http://schemas.openxmlformats.org/officeDocument/2006/relationships/hyperlink" Target="https://eur-lex.europa.eu/legal-content/EN/TXT/?uri=celex:52025DC0045" TargetMode="External"/><Relationship Id="rId25" Type="http://schemas.openxmlformats.org/officeDocument/2006/relationships/hyperlink" Target="https://employment-social-affairs.ec.europa.eu/news/commission-and-social-partners-sign-joint-pact-strengthen-social-dialogue-europe-2025-03-05_en" TargetMode="External"/><Relationship Id="rId2" Type="http://schemas.openxmlformats.org/officeDocument/2006/relationships/hyperlink" Target="https://commission.europa.eu/topics/eu-competitiveness/draghi-report_en" TargetMode="External"/><Relationship Id="rId16" Type="http://schemas.openxmlformats.org/officeDocument/2006/relationships/hyperlink" Target="https://commission.europa.eu/law/law-making-process/better-regulation/simplification-and-implementation_en" TargetMode="External"/><Relationship Id="rId20" Type="http://schemas.openxmlformats.org/officeDocument/2006/relationships/hyperlink" Target="https://eur-lex.europa.eu/legal-content/EN/TXT/?uri=celex:52025DC0079" TargetMode="External"/><Relationship Id="rId1" Type="http://schemas.openxmlformats.org/officeDocument/2006/relationships/hyperlink" Target="https://eur-lex.europa.eu/legal-content/EN/TXT/?uri=CELEX%3A52025DC0030" TargetMode="External"/><Relationship Id="rId6" Type="http://schemas.openxmlformats.org/officeDocument/2006/relationships/hyperlink" Target="http://data.europa.eu/eli/C/2025/3602/oj" TargetMode="External"/><Relationship Id="rId11" Type="http://schemas.openxmlformats.org/officeDocument/2006/relationships/hyperlink" Target="https://single-market-economy.ec.europa.eu/publications/scan-supply-chain-alert-notification-monitoring-system_en" TargetMode="External"/><Relationship Id="rId24" Type="http://schemas.openxmlformats.org/officeDocument/2006/relationships/hyperlink" Target="https://employment-social-affairs.ec.europa.eu/european-employment-social-rights-forum-2025-skills-competitive-europe-2025-03-05_en" TargetMode="External"/><Relationship Id="rId5" Type="http://schemas.openxmlformats.org/officeDocument/2006/relationships/hyperlink" Target="https://eur-lex.europa.eu/legal-content/EN/TXT/?uri=celex:52025DC0124" TargetMode="External"/><Relationship Id="rId15" Type="http://schemas.openxmlformats.org/officeDocument/2006/relationships/hyperlink" Target="https://eur-lex.europa.eu/legal-content/en/TXT/?uri=CELEX:52023JC0020" TargetMode="External"/><Relationship Id="rId23" Type="http://schemas.openxmlformats.org/officeDocument/2006/relationships/hyperlink" Target="file:///C:\Users\Eisenro\AppData\Local\Microsoft\Windows\INetCache\Content.Outlook\EKZ1ZW26\STEM%20Education%20Strategic%20Plan%20(https:\education.ec.europa.eu\document\stem-education-strategic-plan-legal-document" TargetMode="External"/><Relationship Id="rId10" Type="http://schemas.openxmlformats.org/officeDocument/2006/relationships/hyperlink" Target="https://ec.europa.eu/docsroom/documents/48878" TargetMode="External"/><Relationship Id="rId19" Type="http://schemas.openxmlformats.org/officeDocument/2006/relationships/hyperlink" Target="https://eur-lex.europa.eu/legal-content/EN/TXT/?uri=celex:52025DC0085" TargetMode="External"/><Relationship Id="rId4" Type="http://schemas.openxmlformats.org/officeDocument/2006/relationships/hyperlink" Target="https://single-market-scoreboard.ec.europa.eu/" TargetMode="External"/><Relationship Id="rId9" Type="http://schemas.openxmlformats.org/officeDocument/2006/relationships/hyperlink" Target="https://eur-lex.europa.eu/legal-content/en/TXT/?uri=CELEX:52021SC0352" TargetMode="External"/><Relationship Id="rId14" Type="http://schemas.openxmlformats.org/officeDocument/2006/relationships/hyperlink" Target="https://single-market-economy.ec.europa.eu/sectors/raw-materials/areas-specific-interest/raw-materials-diplomacy_en" TargetMode="External"/><Relationship Id="rId22" Type="http://schemas.openxmlformats.org/officeDocument/2006/relationships/hyperlink" Target="https://eur-lex.europa.eu/legal-content/EN/TXT/?uri=celex:52025DC0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2C354A9B80F4897019BC7E2880A88" ma:contentTypeVersion="4" ma:contentTypeDescription="Create a new document." ma:contentTypeScope="" ma:versionID="77bd4c56248ebdf5993d09df5533488f">
  <xsd:schema xmlns:xsd="http://www.w3.org/2001/XMLSchema" xmlns:xs="http://www.w3.org/2001/XMLSchema" xmlns:p="http://schemas.microsoft.com/office/2006/metadata/properties" xmlns:ns2="2a565401-6124-4834-af4c-bc1a772a6083" targetNamespace="http://schemas.microsoft.com/office/2006/metadata/properties" ma:root="true" ma:fieldsID="0d21c66c8a208a651832a9e3056369d0" ns2:_="">
    <xsd:import namespace="2a565401-6124-4834-af4c-bc1a772a6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5401-6124-4834-af4c-bc1a772a6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5EC8-FB10-4B69-B8CB-48932856B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65401-6124-4834-af4c-bc1a772a6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C1308-FC89-4E59-9E5F-6A981F163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AF008-88BE-41F1-B080-B79411302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60F0B5-DC26-40F6-995F-3A9CA599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1529</Words>
  <Characters>9041</Characters>
  <Application>Microsoft Office Word</Application>
  <DocSecurity>0</DocSecurity>
  <Lines>114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3</cp:revision>
  <cp:lastPrinted>2013-02-28T12:02:00Z</cp:lastPrinted>
  <dcterms:created xsi:type="dcterms:W3CDTF">2026-01-09T10:54:00Z</dcterms:created>
  <dcterms:modified xsi:type="dcterms:W3CDTF">2026-01-09T10:57:00Z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0x01010078D2C354A9B80F4897019BC7E2880A88</vt:lpwstr>
  </property>
</Properties>
</file>