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18"/>
      </w:tblGrid>
      <w:tr w:rsidR="001C4138" w:rsidRPr="00442552" w14:paraId="7E6372DC" w14:textId="77777777" w:rsidTr="00E503CB">
        <w:trPr>
          <w:jc w:val="center"/>
        </w:trPr>
        <w:tc>
          <w:tcPr>
            <w:tcW w:w="10318" w:type="dxa"/>
          </w:tcPr>
          <w:p w14:paraId="3A4EDC3A" w14:textId="59234C70" w:rsidR="001C4138" w:rsidRPr="004F6117" w:rsidRDefault="00B62AAF" w:rsidP="00CC73B2">
            <w:pPr>
              <w:widowControl w:val="0"/>
              <w:spacing w:before="120" w:after="120"/>
              <w:rPr>
                <w:rFonts w:ascii="Times New Roman" w:hAnsi="Times New Roman"/>
                <w:b/>
                <w:sz w:val="24"/>
                <w:szCs w:val="24"/>
              </w:rPr>
            </w:pPr>
            <w:r w:rsidRPr="00B62AAF">
              <w:rPr>
                <w:rFonts w:ascii="Times New Roman" w:hAnsi="Times New Roman"/>
                <w:b/>
                <w:sz w:val="24"/>
                <w:szCs w:val="24"/>
              </w:rPr>
              <w:t>Savings and Investments Union</w:t>
            </w:r>
            <w:r w:rsidR="00762901">
              <w:rPr>
                <w:rFonts w:ascii="Times New Roman" w:hAnsi="Times New Roman"/>
                <w:b/>
                <w:sz w:val="24"/>
                <w:szCs w:val="24"/>
              </w:rPr>
              <w:br/>
            </w:r>
            <w:r w:rsidRPr="00B62AAF">
              <w:rPr>
                <w:rFonts w:ascii="Times New Roman" w:hAnsi="Times New Roman"/>
                <w:b/>
                <w:sz w:val="24"/>
                <w:szCs w:val="24"/>
                <w:lang w:val="en-IE"/>
              </w:rPr>
              <w:t>(mand</w:t>
            </w:r>
            <w:r>
              <w:rPr>
                <w:rFonts w:ascii="Times New Roman" w:hAnsi="Times New Roman"/>
                <w:b/>
                <w:sz w:val="24"/>
                <w:szCs w:val="24"/>
                <w:lang w:val="en-IE"/>
              </w:rPr>
              <w:t>atory opinion)</w:t>
            </w:r>
            <w:r w:rsidR="001C4138" w:rsidRPr="00B62AAF">
              <w:rPr>
                <w:rFonts w:ascii="Times New Roman" w:hAnsi="Times New Roman"/>
                <w:b/>
                <w:sz w:val="24"/>
                <w:szCs w:val="24"/>
                <w:lang w:val="en-IE"/>
              </w:rPr>
              <w:br/>
            </w:r>
            <w:proofErr w:type="gramStart"/>
            <w:r w:rsidRPr="00B62AAF">
              <w:rPr>
                <w:rFonts w:ascii="Times New Roman" w:hAnsi="Times New Roman"/>
                <w:b/>
                <w:sz w:val="24"/>
                <w:szCs w:val="24"/>
                <w:lang w:val="en-IE"/>
              </w:rPr>
              <w:t>COM(</w:t>
            </w:r>
            <w:proofErr w:type="gramEnd"/>
            <w:r w:rsidRPr="00B62AAF">
              <w:rPr>
                <w:rFonts w:ascii="Times New Roman" w:hAnsi="Times New Roman"/>
                <w:b/>
                <w:sz w:val="24"/>
                <w:szCs w:val="24"/>
                <w:lang w:val="en-IE"/>
              </w:rPr>
              <w:t>2025) 124</w:t>
            </w:r>
            <w:r w:rsidR="004D3451">
              <w:rPr>
                <w:rFonts w:ascii="Times New Roman" w:hAnsi="Times New Roman"/>
                <w:b/>
                <w:sz w:val="24"/>
                <w:szCs w:val="24"/>
                <w:lang w:val="en-IE"/>
              </w:rPr>
              <w:t xml:space="preserve"> final</w:t>
            </w:r>
            <w:r w:rsidR="001C4138" w:rsidRPr="00B62AAF">
              <w:rPr>
                <w:rFonts w:ascii="Times New Roman" w:hAnsi="Times New Roman"/>
                <w:b/>
                <w:sz w:val="24"/>
                <w:szCs w:val="24"/>
                <w:lang w:val="en-IE"/>
              </w:rPr>
              <w:br/>
              <w:t>EESC-</w:t>
            </w:r>
            <w:r w:rsidRPr="00B62AAF">
              <w:rPr>
                <w:rFonts w:ascii="Times New Roman" w:hAnsi="Times New Roman"/>
                <w:b/>
                <w:sz w:val="24"/>
                <w:szCs w:val="24"/>
                <w:lang w:val="en-IE"/>
              </w:rPr>
              <w:t xml:space="preserve">2025-01045 </w:t>
            </w:r>
            <w:r w:rsidR="004D3451" w:rsidRPr="00AE3C7C">
              <w:rPr>
                <w:rFonts w:ascii="Times New Roman" w:hAnsi="Times New Roman"/>
                <w:b/>
                <w:sz w:val="24"/>
                <w:szCs w:val="24"/>
              </w:rPr>
              <w:t>–</w:t>
            </w:r>
            <w:r w:rsidRPr="00B62AAF">
              <w:rPr>
                <w:rFonts w:ascii="Times New Roman" w:hAnsi="Times New Roman"/>
                <w:b/>
                <w:sz w:val="24"/>
                <w:szCs w:val="24"/>
                <w:lang w:val="en-IE"/>
              </w:rPr>
              <w:t xml:space="preserve"> </w:t>
            </w:r>
            <w:r w:rsidRPr="00B62AAF">
              <w:rPr>
                <w:rFonts w:ascii="Times New Roman" w:hAnsi="Times New Roman"/>
                <w:b/>
                <w:sz w:val="24"/>
                <w:szCs w:val="24"/>
              </w:rPr>
              <w:t>ECO</w:t>
            </w:r>
            <w:r w:rsidR="001C4138" w:rsidRPr="00B62AAF">
              <w:rPr>
                <w:rFonts w:ascii="Times New Roman" w:hAnsi="Times New Roman"/>
                <w:b/>
                <w:sz w:val="24"/>
                <w:szCs w:val="24"/>
              </w:rPr>
              <w:t>/</w:t>
            </w:r>
            <w:r w:rsidRPr="00B62AAF">
              <w:rPr>
                <w:rFonts w:ascii="Times New Roman" w:hAnsi="Times New Roman"/>
                <w:b/>
                <w:sz w:val="24"/>
                <w:szCs w:val="24"/>
              </w:rPr>
              <w:t>670</w:t>
            </w:r>
            <w:r w:rsidR="001C4138" w:rsidRPr="00807B48">
              <w:rPr>
                <w:rFonts w:ascii="Times New Roman" w:hAnsi="Times New Roman"/>
                <w:b/>
                <w:sz w:val="24"/>
                <w:szCs w:val="24"/>
              </w:rPr>
              <w:br/>
            </w:r>
            <w:r>
              <w:rPr>
                <w:rFonts w:ascii="Times New Roman" w:hAnsi="Times New Roman"/>
                <w:b/>
                <w:sz w:val="24"/>
                <w:szCs w:val="24"/>
              </w:rPr>
              <w:t>598</w:t>
            </w:r>
            <w:r w:rsidRPr="00B62AAF">
              <w:rPr>
                <w:rFonts w:ascii="Times New Roman" w:hAnsi="Times New Roman"/>
                <w:b/>
                <w:sz w:val="24"/>
                <w:szCs w:val="24"/>
                <w:vertAlign w:val="superscript"/>
              </w:rPr>
              <w:t>th</w:t>
            </w:r>
            <w:r>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July 2025</w:t>
            </w:r>
            <w:r w:rsidR="001C4138" w:rsidRPr="00807B48">
              <w:rPr>
                <w:rFonts w:ascii="Times New Roman" w:hAnsi="Times New Roman"/>
                <w:b/>
                <w:sz w:val="24"/>
                <w:szCs w:val="24"/>
              </w:rPr>
              <w:br/>
              <w:t xml:space="preserve">Rapporteur: </w:t>
            </w:r>
            <w:r>
              <w:rPr>
                <w:rFonts w:ascii="Times New Roman" w:hAnsi="Times New Roman"/>
                <w:b/>
                <w:sz w:val="24"/>
                <w:szCs w:val="24"/>
              </w:rPr>
              <w:t>Petru Sorin DANDEA (RO-II)</w:t>
            </w:r>
            <w:r w:rsidR="001C4138" w:rsidRPr="00807B48">
              <w:rPr>
                <w:rFonts w:ascii="Times New Roman" w:hAnsi="Times New Roman"/>
                <w:b/>
                <w:sz w:val="24"/>
                <w:szCs w:val="24"/>
              </w:rPr>
              <w:br/>
            </w:r>
            <w:r w:rsidRPr="00807B48">
              <w:rPr>
                <w:rFonts w:ascii="Times New Roman" w:hAnsi="Times New Roman"/>
                <w:b/>
                <w:sz w:val="24"/>
                <w:szCs w:val="24"/>
              </w:rPr>
              <w:t xml:space="preserve">DG </w:t>
            </w:r>
            <w:r>
              <w:rPr>
                <w:rFonts w:ascii="Times New Roman" w:hAnsi="Times New Roman"/>
                <w:b/>
                <w:sz w:val="24"/>
                <w:szCs w:val="24"/>
              </w:rPr>
              <w:t>FISMA</w:t>
            </w:r>
            <w:r w:rsidRPr="00807B48">
              <w:rPr>
                <w:rFonts w:ascii="Times New Roman" w:hAnsi="Times New Roman"/>
                <w:b/>
                <w:sz w:val="24"/>
                <w:szCs w:val="24"/>
              </w:rPr>
              <w:t xml:space="preserve"> – Commissioner </w:t>
            </w:r>
            <w:r>
              <w:rPr>
                <w:rFonts w:ascii="Times New Roman" w:hAnsi="Times New Roman"/>
                <w:b/>
                <w:sz w:val="24"/>
                <w:szCs w:val="24"/>
              </w:rPr>
              <w:t>ALBUQUERQUE</w:t>
            </w:r>
          </w:p>
        </w:tc>
      </w:tr>
      <w:tr w:rsidR="00734613" w:rsidRPr="00442552" w14:paraId="1937071F" w14:textId="77777777" w:rsidTr="00E503CB">
        <w:trPr>
          <w:jc w:val="center"/>
        </w:trPr>
        <w:tc>
          <w:tcPr>
            <w:tcW w:w="10318" w:type="dxa"/>
          </w:tcPr>
          <w:p w14:paraId="1E50B4DB" w14:textId="173196E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0E7BA5">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E503CB">
        <w:trPr>
          <w:jc w:val="center"/>
        </w:trPr>
        <w:tc>
          <w:tcPr>
            <w:tcW w:w="10318" w:type="dxa"/>
          </w:tcPr>
          <w:p w14:paraId="24E99A4D" w14:textId="55F1D995" w:rsidR="00734613"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1.1 of the opinion:</w:t>
            </w:r>
          </w:p>
          <w:p w14:paraId="33A59036" w14:textId="1C409D59" w:rsidR="0026667F" w:rsidRPr="00CC73B2" w:rsidRDefault="00B95933" w:rsidP="00CC73B2">
            <w:pPr>
              <w:widowControl w:val="0"/>
              <w:spacing w:before="120" w:after="120"/>
              <w:jc w:val="both"/>
              <w:rPr>
                <w:rFonts w:ascii="Times New Roman" w:hAnsi="Times New Roman"/>
                <w:lang w:val="en-IE"/>
              </w:rPr>
            </w:pPr>
            <w:r w:rsidRPr="00CC73B2">
              <w:rPr>
                <w:rFonts w:ascii="Times New Roman" w:hAnsi="Times New Roman"/>
                <w:sz w:val="24"/>
                <w:szCs w:val="24"/>
              </w:rPr>
              <w:t>The Commission agrees that building a Savings and Investment</w:t>
            </w:r>
            <w:r w:rsidR="009A7535" w:rsidRPr="00CC73B2">
              <w:rPr>
                <w:rFonts w:ascii="Times New Roman" w:hAnsi="Times New Roman"/>
                <w:sz w:val="24"/>
                <w:szCs w:val="24"/>
              </w:rPr>
              <w:t>s</w:t>
            </w:r>
            <w:r w:rsidRPr="00CC73B2">
              <w:rPr>
                <w:rFonts w:ascii="Times New Roman" w:hAnsi="Times New Roman"/>
                <w:sz w:val="24"/>
                <w:szCs w:val="24"/>
              </w:rPr>
              <w:t xml:space="preserve"> Union (SIU), combining the Capital Markets Union </w:t>
            </w:r>
            <w:r w:rsidR="00E76CA3" w:rsidRPr="00CC73B2">
              <w:rPr>
                <w:rFonts w:ascii="Times New Roman" w:hAnsi="Times New Roman"/>
                <w:sz w:val="24"/>
                <w:szCs w:val="24"/>
              </w:rPr>
              <w:t xml:space="preserve">(CMU) </w:t>
            </w:r>
            <w:r w:rsidRPr="00CC73B2">
              <w:rPr>
                <w:rFonts w:ascii="Times New Roman" w:hAnsi="Times New Roman"/>
                <w:sz w:val="24"/>
                <w:szCs w:val="24"/>
              </w:rPr>
              <w:t>and the Banking Union, is essential to create an EU single market for finance that efficiently enables Europe’s competitiveness, economic growth</w:t>
            </w:r>
            <w:r w:rsidR="009A7535" w:rsidRPr="00CC73B2">
              <w:rPr>
                <w:rFonts w:ascii="Times New Roman" w:hAnsi="Times New Roman"/>
                <w:sz w:val="24"/>
                <w:szCs w:val="24"/>
              </w:rPr>
              <w:t>, creates better financial opportunities for EU citizens,</w:t>
            </w:r>
            <w:r w:rsidRPr="00CC73B2">
              <w:rPr>
                <w:rFonts w:ascii="Times New Roman" w:hAnsi="Times New Roman"/>
                <w:sz w:val="24"/>
                <w:szCs w:val="24"/>
              </w:rPr>
              <w:t xml:space="preserve"> and that can effectively contribute to bridging the funding gap that the EU is facing</w:t>
            </w:r>
            <w:r w:rsidR="009A7535" w:rsidRPr="00CC73B2">
              <w:rPr>
                <w:rFonts w:ascii="Times New Roman" w:hAnsi="Times New Roman"/>
                <w:sz w:val="24"/>
                <w:szCs w:val="24"/>
              </w:rPr>
              <w:t xml:space="preserve">, acting as an horizontal enabler that will create a financing ecosystem to benefit investments </w:t>
            </w:r>
            <w:r w:rsidR="00DA23EA" w:rsidRPr="00CC73B2">
              <w:rPr>
                <w:rFonts w:ascii="Times New Roman" w:hAnsi="Times New Roman"/>
                <w:sz w:val="24"/>
                <w:szCs w:val="24"/>
              </w:rPr>
              <w:t xml:space="preserve">including </w:t>
            </w:r>
            <w:r w:rsidR="009A7535" w:rsidRPr="00CC73B2">
              <w:rPr>
                <w:rFonts w:ascii="Times New Roman" w:hAnsi="Times New Roman"/>
                <w:sz w:val="24"/>
                <w:szCs w:val="24"/>
              </w:rPr>
              <w:t>in EU strategic objectives</w:t>
            </w:r>
            <w:r w:rsidRPr="00CC73B2">
              <w:rPr>
                <w:rFonts w:ascii="Times New Roman" w:hAnsi="Times New Roman"/>
                <w:sz w:val="24"/>
                <w:szCs w:val="24"/>
              </w:rPr>
              <w:t xml:space="preserve">. </w:t>
            </w:r>
            <w:r w:rsidR="0026667F" w:rsidRPr="00CC73B2">
              <w:rPr>
                <w:rFonts w:ascii="Times New Roman" w:hAnsi="Times New Roman"/>
                <w:sz w:val="24"/>
                <w:szCs w:val="24"/>
              </w:rPr>
              <w:t xml:space="preserve">The Commission also notes that progress </w:t>
            </w:r>
            <w:r w:rsidR="00E76CA3" w:rsidRPr="00CC73B2">
              <w:rPr>
                <w:rFonts w:ascii="Times New Roman" w:hAnsi="Times New Roman"/>
                <w:sz w:val="24"/>
                <w:szCs w:val="24"/>
              </w:rPr>
              <w:t>towards the creation of a</w:t>
            </w:r>
            <w:r w:rsidR="00E503CB">
              <w:rPr>
                <w:rFonts w:ascii="Times New Roman" w:hAnsi="Times New Roman"/>
                <w:sz w:val="24"/>
                <w:szCs w:val="24"/>
              </w:rPr>
              <w:t> </w:t>
            </w:r>
            <w:r w:rsidR="00E76CA3" w:rsidRPr="00CC73B2">
              <w:rPr>
                <w:rFonts w:ascii="Times New Roman" w:hAnsi="Times New Roman"/>
                <w:sz w:val="24"/>
                <w:szCs w:val="24"/>
              </w:rPr>
              <w:t xml:space="preserve">CMU over the past ten years has nonetheless been made, </w:t>
            </w:r>
            <w:r w:rsidR="0067506D" w:rsidRPr="00CC73B2">
              <w:rPr>
                <w:rFonts w:ascii="Times New Roman" w:hAnsi="Times New Roman"/>
                <w:sz w:val="24"/>
                <w:szCs w:val="24"/>
              </w:rPr>
              <w:t>with important structural reforms achieved</w:t>
            </w:r>
            <w:r w:rsidR="00AB041E" w:rsidRPr="00CC73B2">
              <w:rPr>
                <w:rFonts w:ascii="Times New Roman" w:hAnsi="Times New Roman"/>
                <w:sz w:val="24"/>
                <w:szCs w:val="24"/>
              </w:rPr>
              <w:t>. Still, the Commission</w:t>
            </w:r>
            <w:r w:rsidR="00DE02FA" w:rsidRPr="00CC73B2">
              <w:rPr>
                <w:rFonts w:ascii="Times New Roman" w:hAnsi="Times New Roman"/>
                <w:sz w:val="24"/>
                <w:szCs w:val="24"/>
              </w:rPr>
              <w:t xml:space="preserve"> </w:t>
            </w:r>
            <w:r w:rsidR="00E76CA3" w:rsidRPr="00CC73B2">
              <w:rPr>
                <w:rFonts w:ascii="Times New Roman" w:hAnsi="Times New Roman"/>
                <w:sz w:val="24"/>
                <w:szCs w:val="24"/>
              </w:rPr>
              <w:t xml:space="preserve">recognises that a much higher level of ambition is needed </w:t>
            </w:r>
            <w:r w:rsidR="0067506D" w:rsidRPr="00CC73B2">
              <w:rPr>
                <w:rFonts w:ascii="Times New Roman" w:hAnsi="Times New Roman"/>
                <w:sz w:val="24"/>
                <w:szCs w:val="24"/>
              </w:rPr>
              <w:t xml:space="preserve">to </w:t>
            </w:r>
            <w:r w:rsidR="006C3258" w:rsidRPr="00CC73B2">
              <w:rPr>
                <w:rFonts w:ascii="Times New Roman" w:hAnsi="Times New Roman"/>
                <w:sz w:val="24"/>
                <w:szCs w:val="24"/>
              </w:rPr>
              <w:t>reach the</w:t>
            </w:r>
            <w:r w:rsidR="00533A0F" w:rsidRPr="00CC73B2">
              <w:rPr>
                <w:rFonts w:ascii="Times New Roman" w:hAnsi="Times New Roman"/>
                <w:sz w:val="24"/>
                <w:szCs w:val="24"/>
              </w:rPr>
              <w:t xml:space="preserve"> more encompassing</w:t>
            </w:r>
            <w:r w:rsidR="006C3258" w:rsidRPr="00CC73B2">
              <w:rPr>
                <w:rFonts w:ascii="Times New Roman" w:hAnsi="Times New Roman"/>
                <w:sz w:val="24"/>
                <w:szCs w:val="24"/>
              </w:rPr>
              <w:t xml:space="preserve"> goals of</w:t>
            </w:r>
            <w:r w:rsidR="00E76CA3" w:rsidRPr="00CC73B2">
              <w:rPr>
                <w:rFonts w:ascii="Times New Roman" w:hAnsi="Times New Roman"/>
                <w:sz w:val="24"/>
                <w:szCs w:val="24"/>
              </w:rPr>
              <w:t xml:space="preserve"> the SIU</w:t>
            </w:r>
            <w:r w:rsidR="00AC2B5A" w:rsidRPr="00CC73B2">
              <w:rPr>
                <w:rFonts w:ascii="Times New Roman" w:hAnsi="Times New Roman"/>
                <w:sz w:val="24"/>
                <w:szCs w:val="24"/>
              </w:rPr>
              <w:t xml:space="preserve"> and further remove the outstanding barriers to a true single market for savings and investments</w:t>
            </w:r>
            <w:r w:rsidR="00B027BB" w:rsidRPr="00CC73B2">
              <w:rPr>
                <w:rFonts w:ascii="Times New Roman" w:hAnsi="Times New Roman"/>
                <w:sz w:val="24"/>
                <w:szCs w:val="24"/>
              </w:rPr>
              <w:t xml:space="preserve">, to the </w:t>
            </w:r>
            <w:r w:rsidR="00A20BAF" w:rsidRPr="00CC73B2">
              <w:rPr>
                <w:rFonts w:ascii="Times New Roman" w:hAnsi="Times New Roman"/>
                <w:sz w:val="24"/>
                <w:szCs w:val="24"/>
              </w:rPr>
              <w:t>benefit</w:t>
            </w:r>
            <w:r w:rsidR="00B027BB" w:rsidRPr="00CC73B2">
              <w:rPr>
                <w:rFonts w:ascii="Times New Roman" w:hAnsi="Times New Roman"/>
                <w:sz w:val="24"/>
                <w:szCs w:val="24"/>
              </w:rPr>
              <w:t xml:space="preserve"> of </w:t>
            </w:r>
            <w:r w:rsidR="00A20BAF" w:rsidRPr="00CC73B2">
              <w:rPr>
                <w:rFonts w:ascii="Times New Roman" w:hAnsi="Times New Roman"/>
                <w:sz w:val="24"/>
                <w:szCs w:val="24"/>
              </w:rPr>
              <w:t xml:space="preserve">both EU citizens and businesses. </w:t>
            </w:r>
            <w:r w:rsidR="00605FCE" w:rsidRPr="00CC73B2">
              <w:rPr>
                <w:rFonts w:ascii="Times New Roman" w:hAnsi="Times New Roman"/>
                <w:sz w:val="24"/>
                <w:szCs w:val="24"/>
              </w:rPr>
              <w:t xml:space="preserve">It is however </w:t>
            </w:r>
            <w:r w:rsidR="00354E77" w:rsidRPr="00CC73B2">
              <w:rPr>
                <w:rFonts w:ascii="Times New Roman" w:hAnsi="Times New Roman"/>
                <w:sz w:val="24"/>
                <w:szCs w:val="24"/>
              </w:rPr>
              <w:t>crucial</w:t>
            </w:r>
            <w:r w:rsidR="00605FCE" w:rsidRPr="00CC73B2">
              <w:rPr>
                <w:rFonts w:ascii="Times New Roman" w:hAnsi="Times New Roman"/>
                <w:sz w:val="24"/>
                <w:szCs w:val="24"/>
              </w:rPr>
              <w:t xml:space="preserve"> that s</w:t>
            </w:r>
            <w:r w:rsidR="007E56C1" w:rsidRPr="00CC73B2">
              <w:rPr>
                <w:rFonts w:ascii="Times New Roman" w:hAnsi="Times New Roman"/>
                <w:sz w:val="24"/>
                <w:szCs w:val="24"/>
              </w:rPr>
              <w:t xml:space="preserve">uch </w:t>
            </w:r>
            <w:r w:rsidR="00354E77" w:rsidRPr="00CC73B2">
              <w:rPr>
                <w:rFonts w:ascii="Times New Roman" w:hAnsi="Times New Roman"/>
                <w:sz w:val="24"/>
                <w:szCs w:val="24"/>
              </w:rPr>
              <w:t xml:space="preserve">a high level of </w:t>
            </w:r>
            <w:r w:rsidR="007E56C1" w:rsidRPr="00CC73B2">
              <w:rPr>
                <w:rFonts w:ascii="Times New Roman" w:hAnsi="Times New Roman"/>
                <w:sz w:val="24"/>
                <w:szCs w:val="24"/>
              </w:rPr>
              <w:t>ambition</w:t>
            </w:r>
            <w:r w:rsidR="00907E4E" w:rsidRPr="00CC73B2">
              <w:rPr>
                <w:rFonts w:ascii="Times New Roman" w:hAnsi="Times New Roman"/>
                <w:sz w:val="24"/>
                <w:szCs w:val="24"/>
              </w:rPr>
              <w:t xml:space="preserve"> on the SIU</w:t>
            </w:r>
            <w:r w:rsidR="007E56C1" w:rsidRPr="00CC73B2">
              <w:rPr>
                <w:rFonts w:ascii="Times New Roman" w:hAnsi="Times New Roman"/>
                <w:sz w:val="24"/>
                <w:szCs w:val="24"/>
              </w:rPr>
              <w:t xml:space="preserve"> is </w:t>
            </w:r>
            <w:r w:rsidR="00D16797" w:rsidRPr="00CC73B2">
              <w:rPr>
                <w:rFonts w:ascii="Times New Roman" w:hAnsi="Times New Roman"/>
                <w:sz w:val="24"/>
                <w:szCs w:val="24"/>
              </w:rPr>
              <w:t>matched</w:t>
            </w:r>
            <w:r w:rsidR="007E56C1" w:rsidRPr="00CC73B2">
              <w:rPr>
                <w:rFonts w:ascii="Times New Roman" w:hAnsi="Times New Roman"/>
                <w:sz w:val="24"/>
                <w:szCs w:val="24"/>
              </w:rPr>
              <w:t xml:space="preserve"> </w:t>
            </w:r>
            <w:r w:rsidR="00F36F09" w:rsidRPr="00CC73B2">
              <w:rPr>
                <w:rFonts w:ascii="Times New Roman" w:hAnsi="Times New Roman"/>
                <w:sz w:val="24"/>
                <w:szCs w:val="24"/>
              </w:rPr>
              <w:t>by</w:t>
            </w:r>
            <w:r w:rsidR="00D16797" w:rsidRPr="00CC73B2">
              <w:rPr>
                <w:rFonts w:ascii="Times New Roman" w:hAnsi="Times New Roman"/>
                <w:sz w:val="24"/>
                <w:szCs w:val="24"/>
              </w:rPr>
              <w:t xml:space="preserve"> key</w:t>
            </w:r>
            <w:r w:rsidR="007E56C1" w:rsidRPr="00CC73B2">
              <w:rPr>
                <w:rFonts w:ascii="Times New Roman" w:hAnsi="Times New Roman"/>
                <w:sz w:val="24"/>
                <w:szCs w:val="24"/>
              </w:rPr>
              <w:t xml:space="preserve"> stakeholders,</w:t>
            </w:r>
            <w:r w:rsidR="00D16797" w:rsidRPr="00CC73B2">
              <w:rPr>
                <w:rFonts w:ascii="Times New Roman" w:hAnsi="Times New Roman"/>
                <w:sz w:val="24"/>
                <w:szCs w:val="24"/>
              </w:rPr>
              <w:t xml:space="preserve"> </w:t>
            </w:r>
            <w:r w:rsidR="00594F76" w:rsidRPr="00CC73B2">
              <w:rPr>
                <w:rFonts w:ascii="Times New Roman" w:hAnsi="Times New Roman"/>
                <w:sz w:val="24"/>
                <w:szCs w:val="24"/>
              </w:rPr>
              <w:t xml:space="preserve">endorsed at the highest political levels in Member States, and supported by the co-legislators during </w:t>
            </w:r>
            <w:r w:rsidR="00AB041E" w:rsidRPr="00CC73B2">
              <w:rPr>
                <w:rFonts w:ascii="Times New Roman" w:hAnsi="Times New Roman"/>
                <w:sz w:val="24"/>
                <w:szCs w:val="24"/>
              </w:rPr>
              <w:t xml:space="preserve">the </w:t>
            </w:r>
            <w:r w:rsidR="00594F76" w:rsidRPr="00CC73B2">
              <w:rPr>
                <w:rFonts w:ascii="Times New Roman" w:hAnsi="Times New Roman"/>
                <w:sz w:val="24"/>
                <w:szCs w:val="24"/>
              </w:rPr>
              <w:t>negotiations.</w:t>
            </w:r>
          </w:p>
          <w:p w14:paraId="22A1E63D" w14:textId="49828332"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1.2 of the opinion:</w:t>
            </w:r>
          </w:p>
          <w:p w14:paraId="028DC885" w14:textId="7AF0B0A5" w:rsidR="00B62AAF" w:rsidRPr="00CC73B2" w:rsidRDefault="5FB7AD93" w:rsidP="00CC73B2">
            <w:pPr>
              <w:widowControl w:val="0"/>
              <w:spacing w:before="120" w:after="120"/>
              <w:jc w:val="both"/>
              <w:rPr>
                <w:rFonts w:ascii="Times New Roman" w:hAnsi="Times New Roman"/>
                <w:sz w:val="24"/>
                <w:szCs w:val="24"/>
                <w:lang w:val="en-IE"/>
              </w:rPr>
            </w:pPr>
            <w:r w:rsidRPr="00CC73B2">
              <w:rPr>
                <w:rFonts w:ascii="Times New Roman" w:hAnsi="Times New Roman"/>
                <w:sz w:val="24"/>
                <w:szCs w:val="24"/>
                <w:lang w:val="en-IE"/>
              </w:rPr>
              <w:t>The Commission agrees that fragmentation of the EU’s capital markets is one of the key impediments to the efficient flow of capital within the Single Market</w:t>
            </w:r>
            <w:r w:rsidR="00F13D18" w:rsidRPr="00CC73B2">
              <w:rPr>
                <w:rFonts w:ascii="Times New Roman" w:hAnsi="Times New Roman"/>
                <w:sz w:val="24"/>
                <w:szCs w:val="24"/>
                <w:lang w:val="en-IE"/>
              </w:rPr>
              <w:t xml:space="preserve">, </w:t>
            </w:r>
            <w:r w:rsidR="5D3C9159" w:rsidRPr="00CC73B2">
              <w:rPr>
                <w:rFonts w:ascii="Times New Roman" w:hAnsi="Times New Roman"/>
                <w:sz w:val="24"/>
                <w:szCs w:val="24"/>
                <w:lang w:val="en-IE"/>
              </w:rPr>
              <w:t>and that</w:t>
            </w:r>
            <w:r w:rsidRPr="00CC73B2">
              <w:rPr>
                <w:rFonts w:ascii="Times New Roman" w:hAnsi="Times New Roman"/>
                <w:sz w:val="24"/>
                <w:szCs w:val="24"/>
                <w:lang w:val="en-IE"/>
              </w:rPr>
              <w:t xml:space="preserve"> integrated markets also require integrated supervision.</w:t>
            </w:r>
            <w:r w:rsidR="51AE6269" w:rsidRPr="00CC73B2">
              <w:rPr>
                <w:rFonts w:ascii="Times New Roman" w:hAnsi="Times New Roman"/>
                <w:sz w:val="24"/>
                <w:szCs w:val="24"/>
                <w:lang w:val="en-IE"/>
              </w:rPr>
              <w:t xml:space="preserve"> </w:t>
            </w:r>
            <w:r w:rsidR="00E738AC" w:rsidRPr="00CC73B2">
              <w:rPr>
                <w:rFonts w:ascii="Times New Roman" w:hAnsi="Times New Roman"/>
                <w:sz w:val="24"/>
                <w:szCs w:val="24"/>
                <w:lang w:val="en-IE"/>
              </w:rPr>
              <w:t>Enhancing</w:t>
            </w:r>
            <w:r w:rsidR="00AB041E" w:rsidRPr="00CC73B2">
              <w:rPr>
                <w:rFonts w:ascii="Times New Roman" w:hAnsi="Times New Roman"/>
                <w:sz w:val="24"/>
                <w:szCs w:val="24"/>
                <w:lang w:val="en-IE"/>
              </w:rPr>
              <w:t xml:space="preserve"> the</w:t>
            </w:r>
            <w:r w:rsidR="51AE6269" w:rsidRPr="00CC73B2">
              <w:rPr>
                <w:rFonts w:ascii="Times New Roman" w:hAnsi="Times New Roman"/>
                <w:sz w:val="24"/>
                <w:szCs w:val="24"/>
                <w:lang w:val="en-IE"/>
              </w:rPr>
              <w:t xml:space="preserve"> </w:t>
            </w:r>
            <w:r w:rsidR="0B3676D1" w:rsidRPr="00CC73B2">
              <w:rPr>
                <w:rFonts w:ascii="Times New Roman" w:hAnsi="Times New Roman"/>
                <w:sz w:val="24"/>
                <w:szCs w:val="24"/>
                <w:lang w:val="en-IE"/>
              </w:rPr>
              <w:t>i</w:t>
            </w:r>
            <w:r w:rsidR="00A05C46" w:rsidRPr="00CC73B2">
              <w:rPr>
                <w:rFonts w:ascii="Times New Roman" w:hAnsi="Times New Roman"/>
                <w:sz w:val="24"/>
                <w:szCs w:val="24"/>
                <w:lang w:val="en-IE"/>
              </w:rPr>
              <w:t xml:space="preserve">ntegration </w:t>
            </w:r>
            <w:r w:rsidR="0846BA84" w:rsidRPr="00CC73B2">
              <w:rPr>
                <w:rFonts w:ascii="Times New Roman" w:hAnsi="Times New Roman"/>
                <w:sz w:val="24"/>
                <w:szCs w:val="24"/>
                <w:lang w:val="en-IE"/>
              </w:rPr>
              <w:t>and interconnection of EU</w:t>
            </w:r>
            <w:r w:rsidR="00A05C46" w:rsidRPr="00CC73B2">
              <w:rPr>
                <w:rFonts w:ascii="Times New Roman" w:hAnsi="Times New Roman"/>
                <w:sz w:val="24"/>
                <w:szCs w:val="24"/>
                <w:lang w:val="en-IE"/>
              </w:rPr>
              <w:t xml:space="preserve"> financial market infrastructures and more efficient supervision are indeed one of the most impactful actions foreseen in the SIU communication</w:t>
            </w:r>
            <w:r w:rsidR="000734EF">
              <w:rPr>
                <w:rStyle w:val="FootnoteReference"/>
                <w:rFonts w:ascii="Times New Roman" w:hAnsi="Times New Roman"/>
                <w:sz w:val="24"/>
                <w:szCs w:val="24"/>
                <w:lang w:val="en-IE"/>
              </w:rPr>
              <w:footnoteReference w:id="2"/>
            </w:r>
            <w:r w:rsidR="0063418F" w:rsidRPr="00CC73B2">
              <w:rPr>
                <w:rFonts w:ascii="Times New Roman" w:hAnsi="Times New Roman"/>
                <w:sz w:val="24"/>
                <w:szCs w:val="24"/>
                <w:lang w:val="en-IE"/>
              </w:rPr>
              <w:t>. The Commission will come forward with</w:t>
            </w:r>
            <w:r w:rsidR="00A05C46" w:rsidRPr="00CC73B2">
              <w:rPr>
                <w:rFonts w:ascii="Times New Roman" w:hAnsi="Times New Roman"/>
                <w:sz w:val="24"/>
                <w:szCs w:val="24"/>
                <w:lang w:val="en-IE"/>
              </w:rPr>
              <w:t xml:space="preserve"> a legislative package to address fragmentation in financial markets infrastructures and on efficient supervision in the Single Market</w:t>
            </w:r>
            <w:r w:rsidR="0063418F" w:rsidRPr="00CC73B2">
              <w:rPr>
                <w:rFonts w:ascii="Times New Roman" w:hAnsi="Times New Roman"/>
                <w:sz w:val="24"/>
                <w:szCs w:val="24"/>
                <w:lang w:val="en-IE"/>
              </w:rPr>
              <w:t xml:space="preserve"> by end-2025</w:t>
            </w:r>
            <w:r w:rsidR="00A05C46" w:rsidRPr="00CC73B2">
              <w:rPr>
                <w:rFonts w:ascii="Times New Roman" w:hAnsi="Times New Roman"/>
                <w:sz w:val="24"/>
                <w:szCs w:val="24"/>
                <w:lang w:val="en-IE"/>
              </w:rPr>
              <w:t>.</w:t>
            </w:r>
          </w:p>
          <w:p w14:paraId="7BA11EDE" w14:textId="65D0D7CD"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1.4 of the opinion:</w:t>
            </w:r>
          </w:p>
          <w:p w14:paraId="2492B23B" w14:textId="14DA9D56" w:rsidR="002C2DA6" w:rsidRPr="00CC73B2" w:rsidRDefault="002C2DA6" w:rsidP="00CC73B2">
            <w:pPr>
              <w:widowControl w:val="0"/>
              <w:spacing w:before="120" w:after="120"/>
              <w:jc w:val="both"/>
              <w:rPr>
                <w:rFonts w:ascii="Times New Roman" w:hAnsi="Times New Roman"/>
                <w:sz w:val="24"/>
                <w:szCs w:val="24"/>
                <w:lang w:val="en-US"/>
              </w:rPr>
            </w:pPr>
            <w:r w:rsidRPr="00CC73B2">
              <w:rPr>
                <w:rFonts w:ascii="Times New Roman" w:hAnsi="Times New Roman"/>
                <w:sz w:val="24"/>
                <w:szCs w:val="24"/>
                <w:lang w:val="en-US"/>
              </w:rPr>
              <w:t>The Union of Skills</w:t>
            </w:r>
            <w:r w:rsidR="00B31F3D" w:rsidRPr="00CC73B2">
              <w:rPr>
                <w:rStyle w:val="FootnoteReference"/>
                <w:rFonts w:ascii="Times New Roman" w:hAnsi="Times New Roman"/>
                <w:sz w:val="24"/>
                <w:szCs w:val="24"/>
                <w:lang w:val="en-US"/>
              </w:rPr>
              <w:footnoteReference w:id="3"/>
            </w:r>
            <w:r w:rsidRPr="00CC73B2">
              <w:rPr>
                <w:rFonts w:ascii="Times New Roman" w:hAnsi="Times New Roman"/>
                <w:sz w:val="24"/>
                <w:szCs w:val="24"/>
                <w:lang w:val="en-US"/>
              </w:rPr>
              <w:t xml:space="preserve"> - the overarching EU-level skills strategy until 2030 - highlights that the EU must become a global magnet for talent, to both attract and retain it. </w:t>
            </w:r>
            <w:r w:rsidR="00DF2DEF" w:rsidRPr="00CC73B2">
              <w:rPr>
                <w:rFonts w:ascii="Times New Roman" w:hAnsi="Times New Roman"/>
                <w:sz w:val="24"/>
                <w:szCs w:val="24"/>
                <w:lang w:val="en-US"/>
              </w:rPr>
              <w:t>T</w:t>
            </w:r>
            <w:r w:rsidRPr="00CC73B2">
              <w:rPr>
                <w:rFonts w:ascii="Times New Roman" w:hAnsi="Times New Roman"/>
                <w:sz w:val="24"/>
                <w:szCs w:val="24"/>
                <w:lang w:val="en-US"/>
              </w:rPr>
              <w:t>o maintain and strengthen its position in</w:t>
            </w:r>
            <w:r w:rsidR="000734EF">
              <w:rPr>
                <w:rFonts w:ascii="Times New Roman" w:hAnsi="Times New Roman"/>
                <w:sz w:val="24"/>
                <w:szCs w:val="24"/>
                <w:lang w:val="en-US"/>
              </w:rPr>
              <w:t xml:space="preserve"> </w:t>
            </w:r>
            <w:r w:rsidRPr="00CC73B2">
              <w:rPr>
                <w:rFonts w:ascii="Times New Roman" w:hAnsi="Times New Roman"/>
                <w:sz w:val="24"/>
                <w:szCs w:val="24"/>
                <w:lang w:val="en-US"/>
              </w:rPr>
              <w:t>education, research and innovation, Europe must strengthen its attractiveness for top researchers, specialists in strategic fields, academics and students worldwide, and specialists in strategic fields, such as those linked to the next wave of frontier technologies.</w:t>
            </w:r>
          </w:p>
          <w:p w14:paraId="2ACC4672" w14:textId="0B21149D" w:rsidR="002C2DA6" w:rsidRPr="00CC73B2" w:rsidRDefault="002C2DA6"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lastRenderedPageBreak/>
              <w:t xml:space="preserve">To achieve this, one of the actions aims to make Europe attractive for the best researchers around the world, by pre-empting and countering brain-drain from the EU both for European and international researchers. </w:t>
            </w:r>
            <w:r w:rsidR="001C2687" w:rsidRPr="00CC73B2">
              <w:rPr>
                <w:rFonts w:ascii="Times New Roman" w:hAnsi="Times New Roman"/>
                <w:sz w:val="24"/>
                <w:szCs w:val="24"/>
              </w:rPr>
              <w:t xml:space="preserve">The </w:t>
            </w:r>
            <w:proofErr w:type="spellStart"/>
            <w:r w:rsidR="000734EF">
              <w:rPr>
                <w:rFonts w:ascii="Times New Roman" w:hAnsi="Times New Roman"/>
                <w:sz w:val="24"/>
                <w:szCs w:val="24"/>
              </w:rPr>
              <w:t>ʻ</w:t>
            </w:r>
            <w:r w:rsidR="001C2687" w:rsidRPr="00CC73B2">
              <w:rPr>
                <w:rFonts w:ascii="Times New Roman" w:hAnsi="Times New Roman"/>
                <w:sz w:val="24"/>
                <w:szCs w:val="24"/>
              </w:rPr>
              <w:t>Choose</w:t>
            </w:r>
            <w:proofErr w:type="spellEnd"/>
            <w:r w:rsidR="001C2687" w:rsidRPr="00CC73B2">
              <w:rPr>
                <w:rFonts w:ascii="Times New Roman" w:hAnsi="Times New Roman"/>
                <w:sz w:val="24"/>
                <w:szCs w:val="24"/>
              </w:rPr>
              <w:t xml:space="preserve"> Europe</w:t>
            </w:r>
            <w:r w:rsidR="000734EF">
              <w:rPr>
                <w:rFonts w:ascii="Times New Roman" w:hAnsi="Times New Roman"/>
                <w:sz w:val="24"/>
                <w:szCs w:val="24"/>
              </w:rPr>
              <w:t>’</w:t>
            </w:r>
            <w:r w:rsidR="001C2687" w:rsidRPr="00CC73B2">
              <w:rPr>
                <w:rFonts w:ascii="Times New Roman" w:hAnsi="Times New Roman"/>
                <w:sz w:val="24"/>
                <w:szCs w:val="24"/>
              </w:rPr>
              <w:t xml:space="preserve"> initiative announced by the President of the Commission on 5</w:t>
            </w:r>
            <w:r w:rsidR="000734EF">
              <w:rPr>
                <w:rFonts w:ascii="Times New Roman" w:hAnsi="Times New Roman"/>
                <w:sz w:val="24"/>
                <w:szCs w:val="24"/>
              </w:rPr>
              <w:t> </w:t>
            </w:r>
            <w:r w:rsidR="001C2687" w:rsidRPr="00CC73B2">
              <w:rPr>
                <w:rFonts w:ascii="Times New Roman" w:hAnsi="Times New Roman"/>
                <w:sz w:val="24"/>
                <w:szCs w:val="24"/>
              </w:rPr>
              <w:t>May 2025</w:t>
            </w:r>
            <w:r w:rsidR="001C2687" w:rsidRPr="006A3A53">
              <w:rPr>
                <w:rFonts w:ascii="Times New Roman" w:hAnsi="Times New Roman"/>
                <w:sz w:val="24"/>
                <w:szCs w:val="24"/>
                <w:vertAlign w:val="superscript"/>
              </w:rPr>
              <w:footnoteReference w:id="4"/>
            </w:r>
            <w:r w:rsidR="001C2687" w:rsidRPr="00CC73B2">
              <w:rPr>
                <w:rFonts w:ascii="Times New Roman" w:hAnsi="Times New Roman"/>
                <w:sz w:val="24"/>
                <w:szCs w:val="24"/>
              </w:rPr>
              <w:t xml:space="preserve"> will dedicate EUR</w:t>
            </w:r>
            <w:r w:rsidR="004D3451">
              <w:rPr>
                <w:rFonts w:ascii="Times New Roman" w:hAnsi="Times New Roman"/>
                <w:sz w:val="24"/>
                <w:szCs w:val="24"/>
              </w:rPr>
              <w:t> </w:t>
            </w:r>
            <w:r w:rsidR="001C2687" w:rsidRPr="00CC73B2">
              <w:rPr>
                <w:rFonts w:ascii="Times New Roman" w:hAnsi="Times New Roman"/>
                <w:sz w:val="24"/>
                <w:szCs w:val="24"/>
              </w:rPr>
              <w:t xml:space="preserve">500 million in 2025–2027 to ensure Europe continues to attract the brightest researchers around the world, with a new long-term ‘super grant’ from the European Research Council, and a pilot under Marie </w:t>
            </w:r>
            <w:proofErr w:type="spellStart"/>
            <w:r w:rsidR="001C2687" w:rsidRPr="00CC73B2">
              <w:rPr>
                <w:rFonts w:ascii="Times New Roman" w:hAnsi="Times New Roman"/>
                <w:sz w:val="24"/>
                <w:szCs w:val="24"/>
              </w:rPr>
              <w:t>Skłodowska</w:t>
            </w:r>
            <w:proofErr w:type="spellEnd"/>
            <w:r w:rsidR="001C2687" w:rsidRPr="00CC73B2">
              <w:rPr>
                <w:rFonts w:ascii="Times New Roman" w:hAnsi="Times New Roman"/>
                <w:sz w:val="24"/>
                <w:szCs w:val="24"/>
              </w:rPr>
              <w:t>-Curie Actions to attract scientists early in their career in Europe.</w:t>
            </w:r>
          </w:p>
          <w:p w14:paraId="79B7420D" w14:textId="77777777" w:rsidR="002C2DA6" w:rsidRPr="00CC73B2" w:rsidRDefault="002C2DA6" w:rsidP="00CC73B2">
            <w:pPr>
              <w:widowControl w:val="0"/>
              <w:spacing w:before="120" w:after="120"/>
              <w:jc w:val="both"/>
              <w:rPr>
                <w:rFonts w:ascii="Times New Roman" w:hAnsi="Times New Roman"/>
                <w:sz w:val="24"/>
                <w:szCs w:val="24"/>
                <w:lang w:val="en-US"/>
              </w:rPr>
            </w:pPr>
            <w:r w:rsidRPr="00CC73B2">
              <w:rPr>
                <w:rFonts w:ascii="Times New Roman" w:hAnsi="Times New Roman"/>
                <w:sz w:val="24"/>
                <w:szCs w:val="24"/>
                <w:lang w:val="en-US"/>
              </w:rPr>
              <w:t>Another action aims at supporting the implementation of the new framework of research careers and of the European Charter for Researchers, particularly relevant for retaining researchers in Europe and for attracting back the scientific diaspora.</w:t>
            </w:r>
          </w:p>
          <w:p w14:paraId="649588A3" w14:textId="1846ADC2"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1.5 of the opinion:</w:t>
            </w:r>
          </w:p>
          <w:p w14:paraId="407F2F62" w14:textId="47CDB3FF" w:rsidR="005827B2" w:rsidRPr="00CC73B2" w:rsidRDefault="00901C34"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The Commission agrees that there is a need to ensure that retail investors can access better</w:t>
            </w:r>
            <w:r w:rsidR="00DF2DEF" w:rsidRPr="00CC73B2">
              <w:rPr>
                <w:rFonts w:ascii="Times New Roman" w:hAnsi="Times New Roman"/>
                <w:sz w:val="24"/>
                <w:szCs w:val="24"/>
              </w:rPr>
              <w:t xml:space="preserve"> </w:t>
            </w:r>
            <w:r w:rsidRPr="00CC73B2">
              <w:rPr>
                <w:rFonts w:ascii="Times New Roman" w:hAnsi="Times New Roman"/>
                <w:sz w:val="24"/>
                <w:szCs w:val="24"/>
              </w:rPr>
              <w:t>investment opportunities in Europe, to meet the dual objective of securing their financial wellbeing while at the same time contributing to the funding of the EU economy</w:t>
            </w:r>
            <w:r w:rsidR="001A4A4E" w:rsidRPr="00CC73B2">
              <w:rPr>
                <w:rFonts w:ascii="Times New Roman" w:hAnsi="Times New Roman"/>
                <w:sz w:val="24"/>
                <w:szCs w:val="24"/>
              </w:rPr>
              <w:t>.</w:t>
            </w:r>
            <w:r w:rsidR="00AA20F3" w:rsidRPr="00CC73B2">
              <w:rPr>
                <w:rFonts w:ascii="Times New Roman" w:hAnsi="Times New Roman"/>
                <w:sz w:val="24"/>
                <w:szCs w:val="24"/>
              </w:rPr>
              <w:t xml:space="preserve"> Work on </w:t>
            </w:r>
            <w:r w:rsidR="00904A76" w:rsidRPr="00CC73B2">
              <w:rPr>
                <w:rFonts w:ascii="Times New Roman" w:hAnsi="Times New Roman"/>
                <w:sz w:val="24"/>
                <w:szCs w:val="24"/>
              </w:rPr>
              <w:t>several</w:t>
            </w:r>
            <w:r w:rsidR="00AA20F3" w:rsidRPr="00CC73B2">
              <w:rPr>
                <w:rFonts w:ascii="Times New Roman" w:hAnsi="Times New Roman"/>
                <w:sz w:val="24"/>
                <w:szCs w:val="24"/>
              </w:rPr>
              <w:t xml:space="preserve"> themes touched upon in </w:t>
            </w:r>
            <w:r w:rsidR="00CA4357" w:rsidRPr="00CC73B2">
              <w:rPr>
                <w:rFonts w:ascii="Times New Roman" w:hAnsi="Times New Roman"/>
                <w:sz w:val="24"/>
                <w:szCs w:val="24"/>
              </w:rPr>
              <w:t>point 1.5 of the opinion</w:t>
            </w:r>
            <w:r w:rsidR="00904A76" w:rsidRPr="00CC73B2">
              <w:rPr>
                <w:rFonts w:ascii="Times New Roman" w:hAnsi="Times New Roman"/>
                <w:sz w:val="24"/>
                <w:szCs w:val="24"/>
              </w:rPr>
              <w:t xml:space="preserve">, such as the cost-effectiveness of investment products and </w:t>
            </w:r>
            <w:r w:rsidR="00A60C3B" w:rsidRPr="00CC73B2">
              <w:rPr>
                <w:rFonts w:ascii="Times New Roman" w:hAnsi="Times New Roman"/>
                <w:sz w:val="24"/>
                <w:szCs w:val="24"/>
              </w:rPr>
              <w:t>the quality of investment advice,</w:t>
            </w:r>
            <w:r w:rsidR="00CA4357" w:rsidRPr="00CC73B2">
              <w:rPr>
                <w:rFonts w:ascii="Times New Roman" w:hAnsi="Times New Roman"/>
                <w:sz w:val="24"/>
                <w:szCs w:val="24"/>
              </w:rPr>
              <w:t xml:space="preserve"> is currently ongoing as part of the Retail Investment Strategy negotiations. </w:t>
            </w:r>
            <w:r w:rsidR="00F93606" w:rsidRPr="00CC73B2">
              <w:rPr>
                <w:rFonts w:ascii="Times New Roman" w:hAnsi="Times New Roman"/>
                <w:sz w:val="24"/>
                <w:szCs w:val="24"/>
              </w:rPr>
              <w:t>At the same time, a</w:t>
            </w:r>
            <w:r w:rsidRPr="00CC73B2">
              <w:rPr>
                <w:rFonts w:ascii="Times New Roman" w:hAnsi="Times New Roman"/>
                <w:sz w:val="24"/>
                <w:szCs w:val="24"/>
              </w:rPr>
              <w:t>s part of the SIU strategy, the Commission is working on a blueprint for European savings and investment accounts that Member States can use to develop safe and attractive retail investment opportunities, for greater retail participation.</w:t>
            </w:r>
            <w:r w:rsidR="00B80BE0" w:rsidRPr="00CC73B2">
              <w:rPr>
                <w:rFonts w:ascii="Times New Roman" w:hAnsi="Times New Roman"/>
                <w:sz w:val="24"/>
                <w:szCs w:val="24"/>
              </w:rPr>
              <w:t xml:space="preserve"> </w:t>
            </w:r>
            <w:r w:rsidR="005827B2" w:rsidRPr="00CC73B2">
              <w:rPr>
                <w:rFonts w:ascii="Times New Roman" w:hAnsi="Times New Roman"/>
                <w:sz w:val="24"/>
                <w:szCs w:val="24"/>
              </w:rPr>
              <w:t>Furthermore, the SIU</w:t>
            </w:r>
            <w:r w:rsidR="007C6325" w:rsidRPr="00CC73B2">
              <w:rPr>
                <w:rFonts w:ascii="Times New Roman" w:hAnsi="Times New Roman"/>
                <w:sz w:val="24"/>
                <w:szCs w:val="24"/>
              </w:rPr>
              <w:t xml:space="preserve"> can</w:t>
            </w:r>
            <w:r w:rsidR="004D3451">
              <w:rPr>
                <w:rFonts w:ascii="Times New Roman" w:hAnsi="Times New Roman"/>
                <w:sz w:val="24"/>
                <w:szCs w:val="24"/>
              </w:rPr>
              <w:t xml:space="preserve"> </w:t>
            </w:r>
            <w:r w:rsidR="007C6325" w:rsidRPr="00CC73B2">
              <w:rPr>
                <w:rFonts w:ascii="Times New Roman" w:hAnsi="Times New Roman"/>
                <w:sz w:val="24"/>
                <w:szCs w:val="24"/>
              </w:rPr>
              <w:t>support EU citizens</w:t>
            </w:r>
            <w:r w:rsidR="004D3451">
              <w:rPr>
                <w:rFonts w:ascii="Times New Roman" w:hAnsi="Times New Roman"/>
                <w:sz w:val="24"/>
                <w:szCs w:val="24"/>
              </w:rPr>
              <w:t xml:space="preserve"> </w:t>
            </w:r>
            <w:r w:rsidR="007C6325" w:rsidRPr="00CC73B2">
              <w:rPr>
                <w:rFonts w:ascii="Times New Roman" w:hAnsi="Times New Roman"/>
                <w:sz w:val="24"/>
                <w:szCs w:val="24"/>
              </w:rPr>
              <w:t>in</w:t>
            </w:r>
            <w:r w:rsidR="004D3451">
              <w:rPr>
                <w:rFonts w:ascii="Times New Roman" w:hAnsi="Times New Roman"/>
                <w:sz w:val="24"/>
                <w:szCs w:val="24"/>
              </w:rPr>
              <w:t xml:space="preserve"> </w:t>
            </w:r>
            <w:r w:rsidR="007C6325" w:rsidRPr="00CC73B2">
              <w:rPr>
                <w:rFonts w:ascii="Times New Roman" w:hAnsi="Times New Roman"/>
                <w:sz w:val="24"/>
                <w:szCs w:val="24"/>
              </w:rPr>
              <w:t>building their household</w:t>
            </w:r>
            <w:r w:rsidR="004D3451">
              <w:rPr>
                <w:rFonts w:ascii="Times New Roman" w:hAnsi="Times New Roman"/>
                <w:sz w:val="24"/>
                <w:szCs w:val="24"/>
              </w:rPr>
              <w:t xml:space="preserve"> </w:t>
            </w:r>
            <w:r w:rsidR="007C6325" w:rsidRPr="00CC73B2">
              <w:rPr>
                <w:rFonts w:ascii="Times New Roman" w:hAnsi="Times New Roman"/>
                <w:sz w:val="24"/>
                <w:szCs w:val="24"/>
              </w:rPr>
              <w:t>wealth</w:t>
            </w:r>
            <w:r w:rsidR="004D3451">
              <w:rPr>
                <w:rFonts w:ascii="Times New Roman" w:hAnsi="Times New Roman"/>
                <w:sz w:val="24"/>
                <w:szCs w:val="24"/>
              </w:rPr>
              <w:t xml:space="preserve"> </w:t>
            </w:r>
            <w:r w:rsidR="007C6325" w:rsidRPr="00CC73B2">
              <w:rPr>
                <w:rFonts w:ascii="Times New Roman" w:hAnsi="Times New Roman"/>
                <w:sz w:val="24"/>
                <w:szCs w:val="24"/>
              </w:rPr>
              <w:t>and</w:t>
            </w:r>
            <w:r w:rsidR="004D3451">
              <w:rPr>
                <w:rFonts w:ascii="Times New Roman" w:hAnsi="Times New Roman"/>
                <w:sz w:val="24"/>
                <w:szCs w:val="24"/>
              </w:rPr>
              <w:t xml:space="preserve"> </w:t>
            </w:r>
            <w:r w:rsidR="007C6325" w:rsidRPr="00CC73B2">
              <w:rPr>
                <w:rFonts w:ascii="Times New Roman" w:hAnsi="Times New Roman"/>
                <w:sz w:val="24"/>
                <w:szCs w:val="24"/>
              </w:rPr>
              <w:t>saving better for the future.</w:t>
            </w:r>
            <w:r w:rsidR="221BC6E7" w:rsidRPr="00CC73B2">
              <w:rPr>
                <w:rFonts w:ascii="Times New Roman" w:hAnsi="Times New Roman"/>
                <w:sz w:val="24"/>
                <w:szCs w:val="24"/>
              </w:rPr>
              <w:t xml:space="preserve"> </w:t>
            </w:r>
            <w:r w:rsidR="007C6325" w:rsidRPr="00CC73B2">
              <w:rPr>
                <w:rFonts w:ascii="Times New Roman" w:hAnsi="Times New Roman"/>
                <w:sz w:val="24"/>
                <w:szCs w:val="24"/>
              </w:rPr>
              <w:t xml:space="preserve">For that, the Strategy </w:t>
            </w:r>
            <w:r w:rsidR="005827B2" w:rsidRPr="00CC73B2">
              <w:rPr>
                <w:rFonts w:ascii="Times New Roman" w:hAnsi="Times New Roman"/>
                <w:sz w:val="24"/>
                <w:szCs w:val="24"/>
              </w:rPr>
              <w:t>is focused on creating the best conditions for Europeans to access more interesting, simple, and attractive investment opportunities, empowering them to choose what best suits their needs, as well as improving financial literacy.</w:t>
            </w:r>
          </w:p>
          <w:p w14:paraId="10914EF6" w14:textId="520BB692"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1.6 of the opinion:</w:t>
            </w:r>
          </w:p>
          <w:p w14:paraId="5B0CAE8D" w14:textId="397F0E8F" w:rsidR="00B62AAF" w:rsidRPr="00CC73B2" w:rsidRDefault="00BC54A8"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 xml:space="preserve">The Commission </w:t>
            </w:r>
            <w:r w:rsidR="002A3746" w:rsidRPr="00CC73B2">
              <w:rPr>
                <w:rFonts w:ascii="Times New Roman" w:hAnsi="Times New Roman"/>
                <w:sz w:val="24"/>
                <w:szCs w:val="24"/>
              </w:rPr>
              <w:t>takes note of the suggestions of the EESC, also including the more detailed recommendations in point 3.5</w:t>
            </w:r>
            <w:r w:rsidR="00A5102A" w:rsidRPr="00CC73B2">
              <w:rPr>
                <w:rFonts w:ascii="Times New Roman" w:hAnsi="Times New Roman"/>
                <w:sz w:val="24"/>
                <w:szCs w:val="24"/>
              </w:rPr>
              <w:t>, and notes</w:t>
            </w:r>
            <w:r w:rsidR="00D125F4" w:rsidRPr="00CC73B2">
              <w:rPr>
                <w:rFonts w:ascii="Times New Roman" w:hAnsi="Times New Roman"/>
                <w:sz w:val="24"/>
                <w:szCs w:val="24"/>
              </w:rPr>
              <w:t xml:space="preserve"> that</w:t>
            </w:r>
            <w:r w:rsidR="00A5102A" w:rsidRPr="00CC73B2">
              <w:rPr>
                <w:rFonts w:ascii="Times New Roman" w:hAnsi="Times New Roman"/>
                <w:sz w:val="24"/>
                <w:szCs w:val="24"/>
              </w:rPr>
              <w:t xml:space="preserve"> </w:t>
            </w:r>
            <w:r w:rsidR="00DF2DEF" w:rsidRPr="00CC73B2">
              <w:rPr>
                <w:rFonts w:ascii="Times New Roman" w:hAnsi="Times New Roman"/>
                <w:sz w:val="24"/>
                <w:szCs w:val="24"/>
              </w:rPr>
              <w:t xml:space="preserve">it </w:t>
            </w:r>
            <w:r w:rsidR="00B659C3" w:rsidRPr="00CC73B2">
              <w:rPr>
                <w:rFonts w:ascii="Times New Roman" w:hAnsi="Times New Roman"/>
                <w:sz w:val="24"/>
                <w:szCs w:val="24"/>
              </w:rPr>
              <w:t>is currently prioritising tabling the most urgent measures in the SIU Communication by</w:t>
            </w:r>
            <w:r w:rsidR="00AB041E" w:rsidRPr="00CC73B2">
              <w:rPr>
                <w:rFonts w:ascii="Times New Roman" w:hAnsi="Times New Roman"/>
                <w:sz w:val="24"/>
                <w:szCs w:val="24"/>
              </w:rPr>
              <w:t xml:space="preserve"> the</w:t>
            </w:r>
            <w:r w:rsidR="00B659C3" w:rsidRPr="00CC73B2">
              <w:rPr>
                <w:rFonts w:ascii="Times New Roman" w:hAnsi="Times New Roman"/>
                <w:sz w:val="24"/>
                <w:szCs w:val="24"/>
              </w:rPr>
              <w:t xml:space="preserve"> end</w:t>
            </w:r>
            <w:r w:rsidR="00AB041E" w:rsidRPr="00CC73B2">
              <w:rPr>
                <w:rFonts w:ascii="Times New Roman" w:hAnsi="Times New Roman"/>
                <w:sz w:val="24"/>
                <w:szCs w:val="24"/>
              </w:rPr>
              <w:t xml:space="preserve"> of </w:t>
            </w:r>
            <w:r w:rsidR="00B659C3" w:rsidRPr="00CC73B2">
              <w:rPr>
                <w:rFonts w:ascii="Times New Roman" w:hAnsi="Times New Roman"/>
                <w:sz w:val="24"/>
                <w:szCs w:val="24"/>
              </w:rPr>
              <w:t>2025.</w:t>
            </w:r>
            <w:r w:rsidR="00E23BE4" w:rsidRPr="00CC73B2">
              <w:rPr>
                <w:rFonts w:ascii="Times New Roman" w:hAnsi="Times New Roman"/>
                <w:sz w:val="24"/>
                <w:szCs w:val="24"/>
              </w:rPr>
              <w:t xml:space="preserve"> Measuring progress on the SIU </w:t>
            </w:r>
            <w:r w:rsidR="00B204F8" w:rsidRPr="00CC73B2">
              <w:rPr>
                <w:rFonts w:ascii="Times New Roman" w:hAnsi="Times New Roman"/>
                <w:sz w:val="24"/>
                <w:szCs w:val="24"/>
              </w:rPr>
              <w:t>will be a</w:t>
            </w:r>
            <w:r w:rsidR="000734EF">
              <w:rPr>
                <w:rFonts w:ascii="Times New Roman" w:hAnsi="Times New Roman"/>
                <w:sz w:val="24"/>
                <w:szCs w:val="24"/>
              </w:rPr>
              <w:t> </w:t>
            </w:r>
            <w:r w:rsidR="00B204F8" w:rsidRPr="00CC73B2">
              <w:rPr>
                <w:rFonts w:ascii="Times New Roman" w:hAnsi="Times New Roman"/>
                <w:sz w:val="24"/>
                <w:szCs w:val="24"/>
              </w:rPr>
              <w:t xml:space="preserve">milestone that </w:t>
            </w:r>
            <w:r w:rsidR="00E23BE4" w:rsidRPr="00CC73B2">
              <w:rPr>
                <w:rFonts w:ascii="Times New Roman" w:hAnsi="Times New Roman"/>
                <w:sz w:val="24"/>
                <w:szCs w:val="24"/>
              </w:rPr>
              <w:t>will come</w:t>
            </w:r>
            <w:r w:rsidR="00CB394D" w:rsidRPr="00CC73B2">
              <w:rPr>
                <w:rFonts w:ascii="Times New Roman" w:hAnsi="Times New Roman"/>
                <w:sz w:val="24"/>
                <w:szCs w:val="24"/>
              </w:rPr>
              <w:t xml:space="preserve"> thereafter</w:t>
            </w:r>
            <w:r w:rsidR="00DA404D" w:rsidRPr="00CC73B2">
              <w:rPr>
                <w:rFonts w:ascii="Times New Roman" w:hAnsi="Times New Roman"/>
                <w:sz w:val="24"/>
                <w:szCs w:val="24"/>
              </w:rPr>
              <w:t>.</w:t>
            </w:r>
            <w:r w:rsidR="00B204F8" w:rsidRPr="00CC73B2">
              <w:rPr>
                <w:rFonts w:ascii="Times New Roman" w:hAnsi="Times New Roman"/>
                <w:sz w:val="24"/>
                <w:szCs w:val="24"/>
              </w:rPr>
              <w:t xml:space="preserve"> </w:t>
            </w:r>
            <w:r w:rsidR="00AD1003" w:rsidRPr="00CC73B2">
              <w:rPr>
                <w:rFonts w:ascii="Times New Roman" w:hAnsi="Times New Roman"/>
                <w:sz w:val="24"/>
                <w:szCs w:val="24"/>
              </w:rPr>
              <w:t>As part of th</w:t>
            </w:r>
            <w:r w:rsidR="002A3746" w:rsidRPr="00CC73B2">
              <w:rPr>
                <w:rFonts w:ascii="Times New Roman" w:hAnsi="Times New Roman"/>
                <w:sz w:val="24"/>
                <w:szCs w:val="24"/>
              </w:rPr>
              <w:t>is</w:t>
            </w:r>
            <w:r w:rsidR="00AD1003" w:rsidRPr="00CC73B2">
              <w:rPr>
                <w:rFonts w:ascii="Times New Roman" w:hAnsi="Times New Roman"/>
                <w:sz w:val="24"/>
                <w:szCs w:val="24"/>
              </w:rPr>
              <w:t xml:space="preserve"> measurement, t</w:t>
            </w:r>
            <w:r w:rsidR="003A5C2C" w:rsidRPr="00CC73B2">
              <w:rPr>
                <w:rFonts w:ascii="Times New Roman" w:hAnsi="Times New Roman"/>
                <w:sz w:val="24"/>
                <w:szCs w:val="24"/>
              </w:rPr>
              <w:t>he Commission</w:t>
            </w:r>
            <w:r w:rsidR="00AD1003" w:rsidRPr="00CC73B2">
              <w:rPr>
                <w:rFonts w:ascii="Times New Roman" w:hAnsi="Times New Roman"/>
                <w:sz w:val="24"/>
                <w:szCs w:val="24"/>
              </w:rPr>
              <w:t xml:space="preserve"> has</w:t>
            </w:r>
            <w:r w:rsidR="003A5C2C" w:rsidRPr="00CC73B2">
              <w:rPr>
                <w:rFonts w:ascii="Times New Roman" w:hAnsi="Times New Roman"/>
                <w:sz w:val="24"/>
                <w:szCs w:val="24"/>
              </w:rPr>
              <w:t xml:space="preserve"> already </w:t>
            </w:r>
            <w:r w:rsidR="00AB041E" w:rsidRPr="00CC73B2">
              <w:rPr>
                <w:rFonts w:ascii="Times New Roman" w:hAnsi="Times New Roman"/>
                <w:sz w:val="24"/>
                <w:szCs w:val="24"/>
              </w:rPr>
              <w:t>committed</w:t>
            </w:r>
            <w:r w:rsidR="00AD1003" w:rsidRPr="00CC73B2">
              <w:rPr>
                <w:rFonts w:ascii="Times New Roman" w:hAnsi="Times New Roman"/>
                <w:sz w:val="24"/>
                <w:szCs w:val="24"/>
              </w:rPr>
              <w:t>, as stated in the Communication, to publish</w:t>
            </w:r>
            <w:r w:rsidR="00CB394D" w:rsidRPr="00CC73B2">
              <w:rPr>
                <w:rFonts w:ascii="Times New Roman" w:hAnsi="Times New Roman"/>
                <w:sz w:val="24"/>
                <w:szCs w:val="24"/>
              </w:rPr>
              <w:t xml:space="preserve"> a mid-term review of the SIU </w:t>
            </w:r>
            <w:r w:rsidR="00AD1003" w:rsidRPr="00CC73B2">
              <w:rPr>
                <w:rFonts w:ascii="Times New Roman" w:hAnsi="Times New Roman"/>
                <w:sz w:val="24"/>
                <w:szCs w:val="24"/>
              </w:rPr>
              <w:t xml:space="preserve">in </w:t>
            </w:r>
            <w:r w:rsidR="00AB041E" w:rsidRPr="00CC73B2">
              <w:rPr>
                <w:rFonts w:ascii="Times New Roman" w:hAnsi="Times New Roman"/>
                <w:sz w:val="24"/>
                <w:szCs w:val="24"/>
              </w:rPr>
              <w:t xml:space="preserve">the second quarter of </w:t>
            </w:r>
            <w:r w:rsidR="00CB394D" w:rsidRPr="00CC73B2">
              <w:rPr>
                <w:rFonts w:ascii="Times New Roman" w:hAnsi="Times New Roman"/>
                <w:sz w:val="24"/>
                <w:szCs w:val="24"/>
              </w:rPr>
              <w:t>202</w:t>
            </w:r>
            <w:r w:rsidR="7C8EF927" w:rsidRPr="00CC73B2">
              <w:rPr>
                <w:rFonts w:ascii="Times New Roman" w:hAnsi="Times New Roman"/>
                <w:sz w:val="24"/>
                <w:szCs w:val="24"/>
              </w:rPr>
              <w:t>7</w:t>
            </w:r>
            <w:r w:rsidR="00CB394D" w:rsidRPr="00CC73B2">
              <w:rPr>
                <w:rFonts w:ascii="Times New Roman" w:hAnsi="Times New Roman"/>
                <w:sz w:val="24"/>
                <w:szCs w:val="24"/>
              </w:rPr>
              <w:t>.</w:t>
            </w:r>
          </w:p>
          <w:p w14:paraId="548B102D" w14:textId="315FB6AF"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2.2 of the opinion:</w:t>
            </w:r>
          </w:p>
          <w:p w14:paraId="141068A4" w14:textId="56FD1C79" w:rsidR="00B62AAF" w:rsidRPr="00CC73B2" w:rsidRDefault="00802410"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 xml:space="preserve">The Commission agrees that EU citizens retain ultimate decision-making on how </w:t>
            </w:r>
            <w:r w:rsidR="00641697" w:rsidRPr="00CC73B2">
              <w:rPr>
                <w:rFonts w:ascii="Times New Roman" w:hAnsi="Times New Roman"/>
                <w:sz w:val="24"/>
                <w:szCs w:val="24"/>
              </w:rPr>
              <w:t xml:space="preserve">and where </w:t>
            </w:r>
            <w:r w:rsidRPr="00CC73B2">
              <w:rPr>
                <w:rFonts w:ascii="Times New Roman" w:hAnsi="Times New Roman"/>
                <w:sz w:val="24"/>
                <w:szCs w:val="24"/>
              </w:rPr>
              <w:t xml:space="preserve">to invest </w:t>
            </w:r>
            <w:r w:rsidR="00DF111B" w:rsidRPr="00CC73B2">
              <w:rPr>
                <w:rFonts w:ascii="Times New Roman" w:hAnsi="Times New Roman"/>
                <w:sz w:val="24"/>
                <w:szCs w:val="24"/>
              </w:rPr>
              <w:t xml:space="preserve">their savings. </w:t>
            </w:r>
            <w:r w:rsidR="00641697" w:rsidRPr="00CC73B2">
              <w:rPr>
                <w:rFonts w:ascii="Times New Roman" w:hAnsi="Times New Roman"/>
                <w:sz w:val="24"/>
                <w:szCs w:val="24"/>
              </w:rPr>
              <w:t>They</w:t>
            </w:r>
            <w:r w:rsidR="007071E5" w:rsidRPr="00CC73B2">
              <w:rPr>
                <w:rFonts w:ascii="Times New Roman" w:hAnsi="Times New Roman"/>
                <w:sz w:val="24"/>
                <w:szCs w:val="24"/>
              </w:rPr>
              <w:t xml:space="preserve"> enjoy</w:t>
            </w:r>
            <w:r w:rsidR="00AB041E" w:rsidRPr="00CC73B2">
              <w:rPr>
                <w:rFonts w:ascii="Times New Roman" w:hAnsi="Times New Roman"/>
                <w:sz w:val="24"/>
                <w:szCs w:val="24"/>
              </w:rPr>
              <w:t>,</w:t>
            </w:r>
            <w:r w:rsidR="007071E5" w:rsidRPr="00CC73B2">
              <w:rPr>
                <w:rFonts w:ascii="Times New Roman" w:hAnsi="Times New Roman"/>
                <w:sz w:val="24"/>
                <w:szCs w:val="24"/>
              </w:rPr>
              <w:t xml:space="preserve"> and will continue enjoying</w:t>
            </w:r>
            <w:r w:rsidR="00AB041E" w:rsidRPr="00CC73B2">
              <w:rPr>
                <w:rFonts w:ascii="Times New Roman" w:hAnsi="Times New Roman"/>
                <w:sz w:val="24"/>
                <w:szCs w:val="24"/>
              </w:rPr>
              <w:t>,</w:t>
            </w:r>
            <w:r w:rsidR="007071E5" w:rsidRPr="00CC73B2">
              <w:rPr>
                <w:rFonts w:ascii="Times New Roman" w:hAnsi="Times New Roman"/>
                <w:sz w:val="24"/>
                <w:szCs w:val="24"/>
              </w:rPr>
              <w:t xml:space="preserve"> full freedom to invest based on their personal choices</w:t>
            </w:r>
            <w:r w:rsidR="002A78F3" w:rsidRPr="00CC73B2">
              <w:rPr>
                <w:rFonts w:ascii="Times New Roman" w:hAnsi="Times New Roman"/>
                <w:sz w:val="24"/>
                <w:szCs w:val="24"/>
              </w:rPr>
              <w:t>, and</w:t>
            </w:r>
            <w:r w:rsidR="007071E5" w:rsidRPr="00CC73B2">
              <w:rPr>
                <w:rFonts w:ascii="Times New Roman" w:hAnsi="Times New Roman"/>
                <w:sz w:val="24"/>
                <w:szCs w:val="24"/>
              </w:rPr>
              <w:t xml:space="preserve"> will always have total control of where they want to keep and allocate their money</w:t>
            </w:r>
            <w:r w:rsidR="00DF2DEF" w:rsidRPr="00CC73B2">
              <w:rPr>
                <w:rFonts w:ascii="Times New Roman" w:hAnsi="Times New Roman"/>
                <w:sz w:val="24"/>
                <w:szCs w:val="24"/>
              </w:rPr>
              <w:t xml:space="preserve"> and how much risk they are willing to take</w:t>
            </w:r>
            <w:r w:rsidR="007071E5" w:rsidRPr="00CC73B2">
              <w:rPr>
                <w:rFonts w:ascii="Times New Roman" w:hAnsi="Times New Roman"/>
                <w:sz w:val="24"/>
                <w:szCs w:val="24"/>
              </w:rPr>
              <w:t xml:space="preserve">. </w:t>
            </w:r>
            <w:r w:rsidR="007C7240" w:rsidRPr="00CC73B2">
              <w:rPr>
                <w:rFonts w:ascii="Times New Roman" w:hAnsi="Times New Roman"/>
                <w:sz w:val="24"/>
                <w:szCs w:val="24"/>
              </w:rPr>
              <w:t xml:space="preserve">Furthermore, </w:t>
            </w:r>
            <w:r w:rsidR="00FF4F12" w:rsidRPr="00CC73B2">
              <w:rPr>
                <w:rFonts w:ascii="Times New Roman" w:hAnsi="Times New Roman"/>
                <w:sz w:val="24"/>
                <w:szCs w:val="24"/>
              </w:rPr>
              <w:t xml:space="preserve">for those citizens who decide to invest, </w:t>
            </w:r>
            <w:r w:rsidR="007C7240" w:rsidRPr="00CC73B2">
              <w:rPr>
                <w:rFonts w:ascii="Times New Roman" w:hAnsi="Times New Roman"/>
                <w:sz w:val="24"/>
                <w:szCs w:val="24"/>
              </w:rPr>
              <w:t>the EU has a</w:t>
            </w:r>
            <w:r w:rsidR="00E503CB">
              <w:rPr>
                <w:rFonts w:ascii="Times New Roman" w:hAnsi="Times New Roman"/>
                <w:sz w:val="24"/>
                <w:szCs w:val="24"/>
              </w:rPr>
              <w:t> </w:t>
            </w:r>
            <w:r w:rsidR="007C7240" w:rsidRPr="00CC73B2">
              <w:rPr>
                <w:rFonts w:ascii="Times New Roman" w:hAnsi="Times New Roman"/>
                <w:sz w:val="24"/>
                <w:szCs w:val="24"/>
              </w:rPr>
              <w:t xml:space="preserve">strong investor protection framework that safeguards retail investors </w:t>
            </w:r>
            <w:proofErr w:type="gramStart"/>
            <w:r w:rsidR="007C7240" w:rsidRPr="00CC73B2">
              <w:rPr>
                <w:rFonts w:ascii="Times New Roman" w:hAnsi="Times New Roman"/>
                <w:sz w:val="24"/>
                <w:szCs w:val="24"/>
              </w:rPr>
              <w:t>at the moment</w:t>
            </w:r>
            <w:proofErr w:type="gramEnd"/>
            <w:r w:rsidR="007C7240" w:rsidRPr="00CC73B2">
              <w:rPr>
                <w:rFonts w:ascii="Times New Roman" w:hAnsi="Times New Roman"/>
                <w:sz w:val="24"/>
                <w:szCs w:val="24"/>
              </w:rPr>
              <w:t xml:space="preserve"> of choice, for example assessing suitability</w:t>
            </w:r>
            <w:r w:rsidR="00F9215F" w:rsidRPr="00CC73B2">
              <w:rPr>
                <w:rFonts w:ascii="Times New Roman" w:hAnsi="Times New Roman"/>
                <w:sz w:val="24"/>
                <w:szCs w:val="24"/>
              </w:rPr>
              <w:t xml:space="preserve"> and </w:t>
            </w:r>
            <w:r w:rsidR="007C7240" w:rsidRPr="00CC73B2">
              <w:rPr>
                <w:rFonts w:ascii="Times New Roman" w:hAnsi="Times New Roman"/>
                <w:sz w:val="24"/>
                <w:szCs w:val="24"/>
              </w:rPr>
              <w:t>ability to bear losses, as well as taking into account individual investment preferences.</w:t>
            </w:r>
            <w:r w:rsidR="00FF4F12" w:rsidRPr="00CC73B2">
              <w:rPr>
                <w:rFonts w:ascii="Times New Roman" w:hAnsi="Times New Roman"/>
                <w:sz w:val="24"/>
                <w:szCs w:val="24"/>
              </w:rPr>
              <w:t xml:space="preserve"> More generally, t</w:t>
            </w:r>
            <w:r w:rsidR="007071E5" w:rsidRPr="00CC73B2">
              <w:rPr>
                <w:rFonts w:ascii="Times New Roman" w:hAnsi="Times New Roman"/>
                <w:sz w:val="24"/>
                <w:szCs w:val="24"/>
              </w:rPr>
              <w:t xml:space="preserve">he </w:t>
            </w:r>
            <w:r w:rsidR="003F476D" w:rsidRPr="00CC73B2">
              <w:rPr>
                <w:rFonts w:ascii="Times New Roman" w:hAnsi="Times New Roman"/>
                <w:sz w:val="24"/>
                <w:szCs w:val="24"/>
              </w:rPr>
              <w:t xml:space="preserve">SIU </w:t>
            </w:r>
            <w:r w:rsidR="007071E5" w:rsidRPr="00CC73B2">
              <w:rPr>
                <w:rFonts w:ascii="Times New Roman" w:hAnsi="Times New Roman"/>
                <w:sz w:val="24"/>
                <w:szCs w:val="24"/>
              </w:rPr>
              <w:t>aims to establish a more supportive and enabling environment for citizens that may wish to invest in financial markets, allowing them to get better access to productive investment opportunities.</w:t>
            </w:r>
            <w:r w:rsidR="005827B2" w:rsidRPr="00CC73B2">
              <w:rPr>
                <w:rFonts w:ascii="Times New Roman" w:hAnsi="Times New Roman"/>
                <w:sz w:val="24"/>
                <w:szCs w:val="24"/>
              </w:rPr>
              <w:t xml:space="preserve"> </w:t>
            </w:r>
            <w:r w:rsidR="00BC5BD6" w:rsidRPr="00CC73B2">
              <w:rPr>
                <w:rFonts w:ascii="Times New Roman" w:hAnsi="Times New Roman"/>
                <w:sz w:val="24"/>
                <w:szCs w:val="24"/>
              </w:rPr>
              <w:t xml:space="preserve">At the same time, it aims at creating a stronger and diverse </w:t>
            </w:r>
            <w:r w:rsidR="007071E5" w:rsidRPr="00CC73B2">
              <w:rPr>
                <w:rFonts w:ascii="Times New Roman" w:hAnsi="Times New Roman"/>
                <w:sz w:val="24"/>
                <w:szCs w:val="24"/>
              </w:rPr>
              <w:t>financing ecosystem</w:t>
            </w:r>
            <w:r w:rsidR="00BC5BD6" w:rsidRPr="00CC73B2">
              <w:rPr>
                <w:rFonts w:ascii="Times New Roman" w:hAnsi="Times New Roman"/>
                <w:sz w:val="24"/>
                <w:szCs w:val="24"/>
              </w:rPr>
              <w:t>, which</w:t>
            </w:r>
            <w:r w:rsidR="007071E5" w:rsidRPr="00CC73B2">
              <w:rPr>
                <w:rFonts w:ascii="Times New Roman" w:hAnsi="Times New Roman"/>
                <w:sz w:val="24"/>
                <w:szCs w:val="24"/>
              </w:rPr>
              <w:t xml:space="preserve"> can therefore increase the variety of investment options, and benefit </w:t>
            </w:r>
            <w:r w:rsidR="007071E5" w:rsidRPr="00CC73B2">
              <w:rPr>
                <w:rFonts w:ascii="Times New Roman" w:hAnsi="Times New Roman"/>
                <w:sz w:val="24"/>
                <w:szCs w:val="24"/>
              </w:rPr>
              <w:lastRenderedPageBreak/>
              <w:t xml:space="preserve">investments in various EU strategic objectives, </w:t>
            </w:r>
            <w:r w:rsidR="00614607" w:rsidRPr="00CC73B2">
              <w:rPr>
                <w:rFonts w:ascii="Times New Roman" w:hAnsi="Times New Roman"/>
                <w:sz w:val="24"/>
                <w:szCs w:val="24"/>
              </w:rPr>
              <w:t xml:space="preserve">including namely </w:t>
            </w:r>
            <w:r w:rsidR="007C6325" w:rsidRPr="00CC73B2">
              <w:rPr>
                <w:rFonts w:ascii="Times New Roman" w:hAnsi="Times New Roman"/>
                <w:sz w:val="24"/>
                <w:szCs w:val="24"/>
              </w:rPr>
              <w:t xml:space="preserve">long-term </w:t>
            </w:r>
            <w:r w:rsidR="00614607" w:rsidRPr="00CC73B2">
              <w:rPr>
                <w:rFonts w:ascii="Times New Roman" w:hAnsi="Times New Roman"/>
                <w:sz w:val="24"/>
                <w:szCs w:val="24"/>
              </w:rPr>
              <w:t xml:space="preserve">competitiveness, security, and </w:t>
            </w:r>
            <w:r w:rsidR="007071E5" w:rsidRPr="00CC73B2">
              <w:rPr>
                <w:rFonts w:ascii="Times New Roman" w:hAnsi="Times New Roman"/>
                <w:sz w:val="24"/>
                <w:szCs w:val="24"/>
              </w:rPr>
              <w:t>the green and digital transformations of the EU economy.</w:t>
            </w:r>
          </w:p>
          <w:p w14:paraId="62AA29EA" w14:textId="6FB9E5B7"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2.3 of the opinion:</w:t>
            </w:r>
          </w:p>
          <w:p w14:paraId="58B2E93A" w14:textId="62301125" w:rsidR="00B62AAF" w:rsidRPr="00CC73B2" w:rsidRDefault="15ED4A74" w:rsidP="00CC73B2">
            <w:pPr>
              <w:widowControl w:val="0"/>
              <w:spacing w:before="120" w:after="120"/>
              <w:jc w:val="both"/>
              <w:rPr>
                <w:rFonts w:ascii="Times New Roman" w:eastAsia="Times New Roman" w:hAnsi="Times New Roman"/>
                <w:sz w:val="24"/>
                <w:szCs w:val="24"/>
              </w:rPr>
            </w:pPr>
            <w:r w:rsidRPr="00CC73B2">
              <w:rPr>
                <w:rFonts w:ascii="Times New Roman" w:eastAsia="Times New Roman" w:hAnsi="Times New Roman"/>
                <w:color w:val="000000"/>
                <w:sz w:val="24"/>
                <w:szCs w:val="24"/>
              </w:rPr>
              <w:t>The Commission will adopt a Market Infrastructure package before the end of 2025 as part of the SIU strategy. Among the objective</w:t>
            </w:r>
            <w:r w:rsidR="00DF2DEF" w:rsidRPr="00CC73B2">
              <w:rPr>
                <w:rFonts w:ascii="Times New Roman" w:eastAsia="Times New Roman" w:hAnsi="Times New Roman"/>
                <w:color w:val="000000"/>
                <w:sz w:val="24"/>
                <w:szCs w:val="24"/>
              </w:rPr>
              <w:t>s</w:t>
            </w:r>
            <w:r w:rsidRPr="00CC73B2">
              <w:rPr>
                <w:rFonts w:ascii="Times New Roman" w:eastAsia="Times New Roman" w:hAnsi="Times New Roman"/>
                <w:color w:val="000000"/>
                <w:sz w:val="24"/>
                <w:szCs w:val="24"/>
              </w:rPr>
              <w:t xml:space="preserve"> of the package is the removal of barriers to </w:t>
            </w:r>
            <w:r w:rsidR="00AB041E" w:rsidRPr="00CC73B2">
              <w:rPr>
                <w:rFonts w:ascii="Times New Roman" w:eastAsia="Times New Roman" w:hAnsi="Times New Roman"/>
                <w:color w:val="000000"/>
                <w:sz w:val="24"/>
                <w:szCs w:val="24"/>
              </w:rPr>
              <w:t xml:space="preserve">the </w:t>
            </w:r>
            <w:r w:rsidRPr="00CC73B2">
              <w:rPr>
                <w:rFonts w:ascii="Times New Roman" w:eastAsia="Times New Roman" w:hAnsi="Times New Roman"/>
                <w:color w:val="000000"/>
                <w:sz w:val="24"/>
                <w:szCs w:val="24"/>
              </w:rPr>
              <w:t xml:space="preserve">further integration of EU capital markets, such as divergent national rules, inconsistent application of common rules, </w:t>
            </w:r>
            <w:r w:rsidR="00DF2DEF" w:rsidRPr="00CC73B2">
              <w:rPr>
                <w:rFonts w:ascii="Times New Roman" w:eastAsia="Times New Roman" w:hAnsi="Times New Roman"/>
                <w:color w:val="000000"/>
                <w:sz w:val="24"/>
                <w:szCs w:val="24"/>
              </w:rPr>
              <w:t xml:space="preserve">divergent supervisory practices, </w:t>
            </w:r>
            <w:r w:rsidRPr="00CC73B2">
              <w:rPr>
                <w:rFonts w:ascii="Times New Roman" w:eastAsia="Times New Roman" w:hAnsi="Times New Roman"/>
                <w:color w:val="000000"/>
                <w:sz w:val="24"/>
                <w:szCs w:val="24"/>
              </w:rPr>
              <w:t>and market practices that favour national markets functioning in isolation from one another. In particular, the package will address the sub-optimal use of T2S, promote the use of T2S and improv</w:t>
            </w:r>
            <w:r w:rsidR="00DF2DEF" w:rsidRPr="00CC73B2">
              <w:rPr>
                <w:rFonts w:ascii="Times New Roman" w:eastAsia="Times New Roman" w:hAnsi="Times New Roman"/>
                <w:color w:val="000000"/>
                <w:sz w:val="24"/>
                <w:szCs w:val="24"/>
              </w:rPr>
              <w:t>e</w:t>
            </w:r>
            <w:r w:rsidRPr="00CC73B2">
              <w:rPr>
                <w:rFonts w:ascii="Times New Roman" w:eastAsia="Times New Roman" w:hAnsi="Times New Roman"/>
                <w:color w:val="000000"/>
                <w:sz w:val="24"/>
                <w:szCs w:val="24"/>
              </w:rPr>
              <w:t xml:space="preserve"> inter-CSD connectivity</w:t>
            </w:r>
            <w:r w:rsidR="00E23065" w:rsidRPr="00CC73B2">
              <w:rPr>
                <w:rFonts w:ascii="Times New Roman" w:eastAsia="Times New Roman" w:hAnsi="Times New Roman"/>
                <w:color w:val="000000"/>
                <w:sz w:val="24"/>
                <w:szCs w:val="24"/>
              </w:rPr>
              <w:t>.</w:t>
            </w:r>
          </w:p>
          <w:p w14:paraId="1A2022EF" w14:textId="33646533"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2.4 of the opinion:</w:t>
            </w:r>
          </w:p>
          <w:p w14:paraId="4FFA2186" w14:textId="4D84F943" w:rsidR="00B62AAF" w:rsidRPr="00CC73B2" w:rsidRDefault="0DAF7B0A" w:rsidP="00CC73B2">
            <w:pPr>
              <w:widowControl w:val="0"/>
              <w:spacing w:before="120" w:after="120"/>
              <w:jc w:val="both"/>
              <w:rPr>
                <w:rFonts w:ascii="Times New Roman" w:hAnsi="Times New Roman"/>
                <w:sz w:val="24"/>
                <w:szCs w:val="24"/>
                <w:u w:val="single"/>
              </w:rPr>
            </w:pPr>
            <w:r w:rsidRPr="00CC73B2">
              <w:rPr>
                <w:rFonts w:ascii="Times New Roman" w:eastAsia="Times New Roman" w:hAnsi="Times New Roman"/>
                <w:color w:val="000000"/>
                <w:sz w:val="24"/>
                <w:szCs w:val="24"/>
                <w:lang w:val="en-IE"/>
              </w:rPr>
              <w:t xml:space="preserve">As part of the SIU strategy, the Commission will adopt, before the end of 2025, a package on </w:t>
            </w:r>
            <w:r w:rsidR="00AB041E" w:rsidRPr="00CC73B2">
              <w:rPr>
                <w:rFonts w:ascii="Times New Roman" w:eastAsia="Times New Roman" w:hAnsi="Times New Roman"/>
                <w:color w:val="000000"/>
                <w:sz w:val="24"/>
                <w:szCs w:val="24"/>
                <w:lang w:val="en-IE"/>
              </w:rPr>
              <w:t xml:space="preserve">a </w:t>
            </w:r>
            <w:r w:rsidRPr="00CC73B2">
              <w:rPr>
                <w:rFonts w:ascii="Times New Roman" w:eastAsia="Times New Roman" w:hAnsi="Times New Roman"/>
                <w:color w:val="000000"/>
                <w:sz w:val="24"/>
                <w:szCs w:val="24"/>
                <w:lang w:val="en-IE"/>
              </w:rPr>
              <w:t xml:space="preserve">more integrated and efficient supervision in the single market. Improving supervisory convergence including strengthening convergence tools enhancing </w:t>
            </w:r>
            <w:r w:rsidR="000734EF">
              <w:rPr>
                <w:rFonts w:ascii="Times New Roman" w:eastAsia="Times New Roman" w:hAnsi="Times New Roman"/>
                <w:color w:val="000000"/>
                <w:sz w:val="24"/>
                <w:szCs w:val="24"/>
              </w:rPr>
              <w:t>t</w:t>
            </w:r>
            <w:r w:rsidR="000734EF" w:rsidRPr="000734EF">
              <w:rPr>
                <w:rFonts w:ascii="Times New Roman" w:eastAsia="Times New Roman" w:hAnsi="Times New Roman"/>
                <w:color w:val="000000"/>
                <w:sz w:val="24"/>
                <w:szCs w:val="24"/>
              </w:rPr>
              <w:t>he European Securities and Markets Authority</w:t>
            </w:r>
            <w:r w:rsidR="000734EF">
              <w:rPr>
                <w:rFonts w:ascii="Times New Roman" w:eastAsia="Times New Roman" w:hAnsi="Times New Roman"/>
                <w:color w:val="000000"/>
                <w:sz w:val="24"/>
                <w:szCs w:val="24"/>
              </w:rPr>
              <w:t>’s</w:t>
            </w:r>
            <w:r w:rsidR="000734EF">
              <w:rPr>
                <w:rFonts w:ascii="Times New Roman" w:eastAsia="Times New Roman" w:hAnsi="Times New Roman"/>
                <w:color w:val="000000"/>
                <w:sz w:val="24"/>
                <w:szCs w:val="24"/>
                <w:lang w:val="en-IE"/>
              </w:rPr>
              <w:t> (</w:t>
            </w:r>
            <w:r w:rsidRPr="00CC73B2">
              <w:rPr>
                <w:rFonts w:ascii="Times New Roman" w:eastAsia="Times New Roman" w:hAnsi="Times New Roman"/>
                <w:color w:val="000000"/>
                <w:sz w:val="24"/>
                <w:szCs w:val="24"/>
                <w:lang w:val="en-IE"/>
              </w:rPr>
              <w:t>ESMA</w:t>
            </w:r>
            <w:r w:rsidR="00DF2DEF" w:rsidRPr="00CC73B2">
              <w:rPr>
                <w:rFonts w:ascii="Times New Roman" w:eastAsia="Times New Roman" w:hAnsi="Times New Roman"/>
                <w:color w:val="000000"/>
                <w:sz w:val="24"/>
                <w:szCs w:val="24"/>
                <w:lang w:val="en-IE"/>
              </w:rPr>
              <w:t>’s</w:t>
            </w:r>
            <w:r w:rsidR="000734EF">
              <w:rPr>
                <w:rFonts w:ascii="Times New Roman" w:eastAsia="Times New Roman" w:hAnsi="Times New Roman"/>
                <w:color w:val="000000"/>
                <w:sz w:val="24"/>
                <w:szCs w:val="24"/>
                <w:lang w:val="en-IE"/>
              </w:rPr>
              <w:t>)</w:t>
            </w:r>
            <w:r w:rsidR="00DF2DEF" w:rsidRPr="00CC73B2">
              <w:rPr>
                <w:rFonts w:ascii="Times New Roman" w:eastAsia="Times New Roman" w:hAnsi="Times New Roman"/>
                <w:color w:val="000000"/>
                <w:sz w:val="24"/>
                <w:szCs w:val="24"/>
                <w:lang w:val="en-IE"/>
              </w:rPr>
              <w:t xml:space="preserve"> role in the supervision of capital market players and its</w:t>
            </w:r>
            <w:r w:rsidRPr="00CC73B2">
              <w:rPr>
                <w:rFonts w:ascii="Times New Roman" w:eastAsia="Times New Roman" w:hAnsi="Times New Roman"/>
                <w:color w:val="000000"/>
                <w:sz w:val="24"/>
                <w:szCs w:val="24"/>
                <w:lang w:val="en-IE"/>
              </w:rPr>
              <w:t xml:space="preserve"> governance structure will be part of the policy options considered.</w:t>
            </w:r>
          </w:p>
          <w:p w14:paraId="2DADA94D" w14:textId="3A46E762"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2.5 of the opinion:</w:t>
            </w:r>
          </w:p>
          <w:p w14:paraId="202C33FE" w14:textId="1F03F88A" w:rsidR="00CD3B68" w:rsidRPr="00CC73B2" w:rsidRDefault="00D17A8D"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As stated in the Communication on the SIU, the Commission is working on improv</w:t>
            </w:r>
            <w:r w:rsidR="00126CB7" w:rsidRPr="00CC73B2">
              <w:rPr>
                <w:rFonts w:ascii="Times New Roman" w:hAnsi="Times New Roman"/>
                <w:sz w:val="24"/>
                <w:szCs w:val="24"/>
              </w:rPr>
              <w:t>ing</w:t>
            </w:r>
            <w:r w:rsidRPr="00CC73B2">
              <w:rPr>
                <w:rFonts w:ascii="Times New Roman" w:hAnsi="Times New Roman"/>
                <w:sz w:val="24"/>
                <w:szCs w:val="24"/>
              </w:rPr>
              <w:t xml:space="preserve"> the </w:t>
            </w:r>
            <w:r w:rsidR="00396BD3" w:rsidRPr="00CC73B2">
              <w:rPr>
                <w:rFonts w:ascii="Times New Roman" w:hAnsi="Times New Roman"/>
                <w:sz w:val="24"/>
                <w:szCs w:val="24"/>
              </w:rPr>
              <w:t xml:space="preserve">landscape for financing and investing, from both a supply and demand side. It is </w:t>
            </w:r>
            <w:proofErr w:type="gramStart"/>
            <w:r w:rsidR="00396BD3" w:rsidRPr="00CC73B2">
              <w:rPr>
                <w:rFonts w:ascii="Times New Roman" w:hAnsi="Times New Roman"/>
                <w:sz w:val="24"/>
                <w:szCs w:val="24"/>
              </w:rPr>
              <w:t>in particular looking</w:t>
            </w:r>
            <w:proofErr w:type="gramEnd"/>
            <w:r w:rsidR="00396BD3" w:rsidRPr="00CC73B2">
              <w:rPr>
                <w:rFonts w:ascii="Times New Roman" w:hAnsi="Times New Roman"/>
                <w:sz w:val="24"/>
                <w:szCs w:val="24"/>
              </w:rPr>
              <w:t xml:space="preserve"> at improving the </w:t>
            </w:r>
            <w:r w:rsidRPr="00CC73B2">
              <w:rPr>
                <w:rFonts w:ascii="Times New Roman" w:hAnsi="Times New Roman"/>
                <w:sz w:val="24"/>
                <w:szCs w:val="24"/>
              </w:rPr>
              <w:t xml:space="preserve">conditions for institutional investors to invest in equity and alternative assets, to increase their participation in EU economy funding. </w:t>
            </w:r>
            <w:r w:rsidR="00012832" w:rsidRPr="00CC73B2">
              <w:rPr>
                <w:rFonts w:ascii="Times New Roman" w:hAnsi="Times New Roman"/>
                <w:sz w:val="24"/>
                <w:szCs w:val="24"/>
              </w:rPr>
              <w:t xml:space="preserve">It will also </w:t>
            </w:r>
            <w:r w:rsidR="00827881" w:rsidRPr="00CC73B2">
              <w:rPr>
                <w:rFonts w:ascii="Times New Roman" w:hAnsi="Times New Roman"/>
                <w:sz w:val="24"/>
                <w:szCs w:val="24"/>
              </w:rPr>
              <w:t>introduce measures</w:t>
            </w:r>
            <w:r w:rsidR="00355617" w:rsidRPr="00CC73B2">
              <w:rPr>
                <w:rFonts w:ascii="Times New Roman" w:hAnsi="Times New Roman"/>
                <w:sz w:val="24"/>
                <w:szCs w:val="24"/>
              </w:rPr>
              <w:t xml:space="preserve"> meant to enhance long-term return on EU retail savings, by facilitating access to a wide set of investment choice and more informed decision making for all retail savers, regardless of the size of their savings</w:t>
            </w:r>
            <w:r w:rsidR="008014F0" w:rsidRPr="00CC73B2">
              <w:rPr>
                <w:rFonts w:ascii="Times New Roman" w:hAnsi="Times New Roman"/>
                <w:sz w:val="24"/>
                <w:szCs w:val="24"/>
              </w:rPr>
              <w:t>. This includes work on a</w:t>
            </w:r>
            <w:r w:rsidR="00E503CB">
              <w:rPr>
                <w:rFonts w:ascii="Times New Roman" w:hAnsi="Times New Roman"/>
                <w:sz w:val="24"/>
                <w:szCs w:val="24"/>
              </w:rPr>
              <w:t> </w:t>
            </w:r>
            <w:r w:rsidR="008014F0" w:rsidRPr="00CC73B2">
              <w:rPr>
                <w:rFonts w:ascii="Times New Roman" w:hAnsi="Times New Roman"/>
                <w:sz w:val="24"/>
                <w:szCs w:val="24"/>
              </w:rPr>
              <w:t>blueprint for a European Savings and Investment Account</w:t>
            </w:r>
            <w:r w:rsidR="2FB8ABCA" w:rsidRPr="00CC73B2">
              <w:rPr>
                <w:rFonts w:ascii="Times New Roman" w:hAnsi="Times New Roman"/>
                <w:sz w:val="24"/>
                <w:szCs w:val="24"/>
              </w:rPr>
              <w:t xml:space="preserve"> (by </w:t>
            </w:r>
            <w:r w:rsidR="00AB041E" w:rsidRPr="00CC73B2">
              <w:rPr>
                <w:rFonts w:ascii="Times New Roman" w:hAnsi="Times New Roman"/>
                <w:sz w:val="24"/>
                <w:szCs w:val="24"/>
              </w:rPr>
              <w:t xml:space="preserve">the third quarter of </w:t>
            </w:r>
            <w:r w:rsidR="2FB8ABCA" w:rsidRPr="00CC73B2">
              <w:rPr>
                <w:rFonts w:ascii="Times New Roman" w:hAnsi="Times New Roman"/>
                <w:sz w:val="24"/>
                <w:szCs w:val="24"/>
              </w:rPr>
              <w:t>2025)</w:t>
            </w:r>
            <w:r w:rsidR="008014F0" w:rsidRPr="00CC73B2">
              <w:rPr>
                <w:rFonts w:ascii="Times New Roman" w:hAnsi="Times New Roman"/>
                <w:sz w:val="24"/>
                <w:szCs w:val="24"/>
              </w:rPr>
              <w:t xml:space="preserve">. </w:t>
            </w:r>
            <w:r w:rsidRPr="00CC73B2">
              <w:rPr>
                <w:rFonts w:ascii="Times New Roman" w:hAnsi="Times New Roman"/>
                <w:sz w:val="24"/>
                <w:szCs w:val="24"/>
              </w:rPr>
              <w:t>These workstreams aim to increase investor participation (both retail and institutional) in EU capital markets, with the objective of deepening them and increasing their attractiveness. This would in turn create the optimal conditions for EU capital markets to offer higher investment returns.</w:t>
            </w:r>
          </w:p>
          <w:p w14:paraId="2AEC1507" w14:textId="559BA609"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2.6 of the opinion:</w:t>
            </w:r>
          </w:p>
          <w:p w14:paraId="02221EC6" w14:textId="72EB8458" w:rsidR="00393D4E" w:rsidRPr="00CC73B2" w:rsidRDefault="005421F2"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Financial literacy is a priority for the European Commission, and its importance was highlighted in the Commissioner Albuquerque’s mission letter which called for the development of a strategy on financial literacy</w:t>
            </w:r>
            <w:r w:rsidR="00393D4E" w:rsidRPr="00CC73B2">
              <w:rPr>
                <w:rFonts w:ascii="Times New Roman" w:hAnsi="Times New Roman"/>
                <w:sz w:val="24"/>
                <w:szCs w:val="24"/>
              </w:rPr>
              <w:t>, as well as in the Union of Skills Communication</w:t>
            </w:r>
            <w:r w:rsidR="000734EF">
              <w:rPr>
                <w:rStyle w:val="FootnoteReference"/>
                <w:rFonts w:ascii="Times New Roman" w:hAnsi="Times New Roman"/>
                <w:sz w:val="24"/>
                <w:szCs w:val="24"/>
              </w:rPr>
              <w:footnoteReference w:id="5"/>
            </w:r>
            <w:r w:rsidR="00393D4E" w:rsidRPr="00CC73B2">
              <w:rPr>
                <w:rFonts w:ascii="Times New Roman" w:hAnsi="Times New Roman"/>
                <w:sz w:val="24"/>
                <w:szCs w:val="24"/>
              </w:rPr>
              <w:t xml:space="preserve"> adopted in March 2025, which highlights the importance of financial literacy and endowing students with the skills needed to understand how the financial systems work</w:t>
            </w:r>
            <w:r w:rsidRPr="00CC73B2">
              <w:rPr>
                <w:rFonts w:ascii="Times New Roman" w:hAnsi="Times New Roman"/>
                <w:sz w:val="24"/>
                <w:szCs w:val="24"/>
              </w:rPr>
              <w:t>.</w:t>
            </w:r>
          </w:p>
          <w:p w14:paraId="248661B0" w14:textId="5A5E6461" w:rsidR="00B62AAF" w:rsidRPr="00CC73B2" w:rsidRDefault="005421F2"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 xml:space="preserve">As underlined in the SIU Communication, the Commission </w:t>
            </w:r>
            <w:r w:rsidR="00DF2DEF" w:rsidRPr="00CC73B2">
              <w:rPr>
                <w:rFonts w:ascii="Times New Roman" w:hAnsi="Times New Roman"/>
                <w:sz w:val="24"/>
                <w:szCs w:val="24"/>
              </w:rPr>
              <w:t xml:space="preserve">plans to </w:t>
            </w:r>
            <w:r w:rsidRPr="00CC73B2">
              <w:rPr>
                <w:rFonts w:ascii="Times New Roman" w:hAnsi="Times New Roman"/>
                <w:sz w:val="24"/>
                <w:szCs w:val="24"/>
              </w:rPr>
              <w:t xml:space="preserve">adopt </w:t>
            </w:r>
            <w:r w:rsidR="00DF2DEF" w:rsidRPr="00CC73B2">
              <w:rPr>
                <w:rFonts w:ascii="Times New Roman" w:hAnsi="Times New Roman"/>
                <w:sz w:val="24"/>
                <w:szCs w:val="24"/>
              </w:rPr>
              <w:t>on 30 September</w:t>
            </w:r>
            <w:r w:rsidR="00AB041E" w:rsidRPr="00CC73B2">
              <w:rPr>
                <w:rFonts w:ascii="Times New Roman" w:hAnsi="Times New Roman"/>
                <w:sz w:val="24"/>
                <w:szCs w:val="24"/>
              </w:rPr>
              <w:t xml:space="preserve"> </w:t>
            </w:r>
            <w:r w:rsidRPr="00CC73B2">
              <w:rPr>
                <w:rFonts w:ascii="Times New Roman" w:hAnsi="Times New Roman"/>
                <w:sz w:val="24"/>
                <w:szCs w:val="24"/>
              </w:rPr>
              <w:t>2025 a</w:t>
            </w:r>
            <w:r w:rsidR="000734EF">
              <w:rPr>
                <w:rFonts w:ascii="Times New Roman" w:hAnsi="Times New Roman"/>
                <w:sz w:val="24"/>
                <w:szCs w:val="24"/>
              </w:rPr>
              <w:t> </w:t>
            </w:r>
            <w:r w:rsidRPr="00CC73B2">
              <w:rPr>
                <w:rFonts w:ascii="Times New Roman" w:hAnsi="Times New Roman"/>
                <w:sz w:val="24"/>
                <w:szCs w:val="24"/>
              </w:rPr>
              <w:t xml:space="preserve">financial literacy strategy to empower citizens, raise awareness and increase their participation in capital markets, thus creating a more </w:t>
            </w:r>
            <w:r w:rsidR="00253475" w:rsidRPr="00CC73B2">
              <w:rPr>
                <w:rFonts w:ascii="Times New Roman" w:hAnsi="Times New Roman"/>
                <w:sz w:val="24"/>
                <w:szCs w:val="24"/>
              </w:rPr>
              <w:t>‘</w:t>
            </w:r>
            <w:r w:rsidRPr="00CC73B2">
              <w:rPr>
                <w:rFonts w:ascii="Times New Roman" w:hAnsi="Times New Roman"/>
                <w:sz w:val="24"/>
                <w:szCs w:val="24"/>
              </w:rPr>
              <w:t>investment savvy</w:t>
            </w:r>
            <w:r w:rsidR="00253475" w:rsidRPr="00CC73B2">
              <w:rPr>
                <w:rFonts w:ascii="Times New Roman" w:hAnsi="Times New Roman"/>
                <w:sz w:val="24"/>
                <w:szCs w:val="24"/>
              </w:rPr>
              <w:t>’</w:t>
            </w:r>
            <w:r w:rsidRPr="00CC73B2">
              <w:rPr>
                <w:rFonts w:ascii="Times New Roman" w:hAnsi="Times New Roman"/>
                <w:sz w:val="24"/>
                <w:szCs w:val="24"/>
              </w:rPr>
              <w:t xml:space="preserve"> culture.</w:t>
            </w:r>
            <w:r w:rsidR="007C5892" w:rsidRPr="00CC73B2">
              <w:rPr>
                <w:rFonts w:ascii="Times New Roman" w:hAnsi="Times New Roman"/>
                <w:sz w:val="24"/>
                <w:szCs w:val="24"/>
              </w:rPr>
              <w:t xml:space="preserve"> This will help </w:t>
            </w:r>
            <w:r w:rsidR="006544B3" w:rsidRPr="00CC73B2">
              <w:rPr>
                <w:rFonts w:ascii="Times New Roman" w:hAnsi="Times New Roman"/>
                <w:sz w:val="24"/>
                <w:szCs w:val="24"/>
              </w:rPr>
              <w:t>ensure that those citizens that decide to participate in capital markets are able to do so</w:t>
            </w:r>
            <w:r w:rsidR="00590660" w:rsidRPr="00CC73B2">
              <w:rPr>
                <w:rFonts w:ascii="Times New Roman" w:hAnsi="Times New Roman"/>
                <w:sz w:val="24"/>
                <w:szCs w:val="24"/>
              </w:rPr>
              <w:t xml:space="preserve"> with a sufficient level of knowledge and </w:t>
            </w:r>
            <w:r w:rsidR="009C4B0C" w:rsidRPr="00CC73B2">
              <w:rPr>
                <w:rFonts w:ascii="Times New Roman" w:hAnsi="Times New Roman"/>
                <w:sz w:val="24"/>
                <w:szCs w:val="24"/>
              </w:rPr>
              <w:t xml:space="preserve">awareness on the risks and benefits of investing. </w:t>
            </w:r>
            <w:r w:rsidR="007C5892" w:rsidRPr="00CC73B2">
              <w:rPr>
                <w:rFonts w:ascii="Times New Roman" w:hAnsi="Times New Roman"/>
                <w:sz w:val="24"/>
                <w:szCs w:val="24"/>
              </w:rPr>
              <w:t>The Commission is however a</w:t>
            </w:r>
            <w:r w:rsidR="000B59F0" w:rsidRPr="00CC73B2">
              <w:rPr>
                <w:rFonts w:ascii="Times New Roman" w:hAnsi="Times New Roman"/>
                <w:sz w:val="24"/>
                <w:szCs w:val="24"/>
              </w:rPr>
              <w:t xml:space="preserve">ware that a strong </w:t>
            </w:r>
            <w:r w:rsidR="000B59F0" w:rsidRPr="00CC73B2">
              <w:rPr>
                <w:rFonts w:ascii="Times New Roman" w:hAnsi="Times New Roman"/>
                <w:sz w:val="24"/>
                <w:szCs w:val="24"/>
              </w:rPr>
              <w:lastRenderedPageBreak/>
              <w:t xml:space="preserve">investor protection framework is needed regardless of financial literacy </w:t>
            </w:r>
            <w:r w:rsidR="00CB017E" w:rsidRPr="00CC73B2">
              <w:rPr>
                <w:rFonts w:ascii="Times New Roman" w:hAnsi="Times New Roman"/>
                <w:sz w:val="24"/>
                <w:szCs w:val="24"/>
              </w:rPr>
              <w:t>levels.</w:t>
            </w:r>
          </w:p>
          <w:p w14:paraId="352A525F" w14:textId="41C3790C"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2.8 of the opinion:</w:t>
            </w:r>
          </w:p>
          <w:p w14:paraId="2C1ED050" w14:textId="723DD4AC" w:rsidR="00B62AAF" w:rsidRPr="00CC73B2" w:rsidRDefault="002A5FF8"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 xml:space="preserve">The Commission agrees </w:t>
            </w:r>
            <w:r w:rsidR="00476BDA" w:rsidRPr="00CC73B2">
              <w:rPr>
                <w:rFonts w:ascii="Times New Roman" w:hAnsi="Times New Roman"/>
                <w:sz w:val="24"/>
                <w:szCs w:val="24"/>
              </w:rPr>
              <w:t xml:space="preserve">with the EESC and underlines </w:t>
            </w:r>
            <w:proofErr w:type="gramStart"/>
            <w:r w:rsidR="00476BDA" w:rsidRPr="00CC73B2">
              <w:rPr>
                <w:rFonts w:ascii="Times New Roman" w:hAnsi="Times New Roman"/>
                <w:sz w:val="24"/>
                <w:szCs w:val="24"/>
              </w:rPr>
              <w:t>that discussions</w:t>
            </w:r>
            <w:proofErr w:type="gramEnd"/>
            <w:r w:rsidR="00476BDA" w:rsidRPr="00CC73B2">
              <w:rPr>
                <w:rFonts w:ascii="Times New Roman" w:hAnsi="Times New Roman"/>
                <w:sz w:val="24"/>
                <w:szCs w:val="24"/>
              </w:rPr>
              <w:t xml:space="preserve"> on product distribution rules under </w:t>
            </w:r>
            <w:r w:rsidR="00253475" w:rsidRPr="00CC73B2">
              <w:rPr>
                <w:rFonts w:ascii="Times New Roman" w:hAnsi="Times New Roman"/>
                <w:sz w:val="24"/>
                <w:szCs w:val="24"/>
              </w:rPr>
              <w:t>Markets in Financial Instruments Directive</w:t>
            </w:r>
            <w:r w:rsidR="007C3F76">
              <w:rPr>
                <w:rFonts w:ascii="Times New Roman" w:hAnsi="Times New Roman"/>
                <w:sz w:val="24"/>
                <w:szCs w:val="24"/>
              </w:rPr>
              <w:t> </w:t>
            </w:r>
            <w:r w:rsidR="00253475" w:rsidRPr="00CC73B2">
              <w:rPr>
                <w:rFonts w:ascii="Times New Roman" w:hAnsi="Times New Roman"/>
                <w:sz w:val="24"/>
                <w:szCs w:val="24"/>
              </w:rPr>
              <w:t>II</w:t>
            </w:r>
            <w:r w:rsidR="00253475" w:rsidRPr="00CC73B2">
              <w:rPr>
                <w:rStyle w:val="FootnoteReference"/>
                <w:rFonts w:ascii="Times New Roman" w:hAnsi="Times New Roman"/>
                <w:sz w:val="24"/>
                <w:szCs w:val="24"/>
              </w:rPr>
              <w:footnoteReference w:id="6"/>
            </w:r>
            <w:r w:rsidR="00476BDA" w:rsidRPr="00CC73B2">
              <w:rPr>
                <w:rFonts w:ascii="Times New Roman" w:hAnsi="Times New Roman"/>
                <w:sz w:val="24"/>
                <w:szCs w:val="24"/>
              </w:rPr>
              <w:t xml:space="preserve"> and </w:t>
            </w:r>
            <w:r w:rsidR="00512A86" w:rsidRPr="00CC73B2">
              <w:rPr>
                <w:rFonts w:ascii="Times New Roman" w:hAnsi="Times New Roman"/>
                <w:sz w:val="24"/>
                <w:szCs w:val="24"/>
                <w:lang w:val="en"/>
              </w:rPr>
              <w:t>The Insurance Distribution Directive</w:t>
            </w:r>
            <w:r w:rsidR="00BD3889" w:rsidRPr="00CC73B2">
              <w:rPr>
                <w:rStyle w:val="FootnoteReference"/>
                <w:rFonts w:ascii="Times New Roman" w:hAnsi="Times New Roman"/>
                <w:sz w:val="24"/>
                <w:szCs w:val="24"/>
                <w:lang w:val="en"/>
              </w:rPr>
              <w:footnoteReference w:id="7"/>
            </w:r>
            <w:r w:rsidR="00476BDA" w:rsidRPr="00CC73B2">
              <w:rPr>
                <w:rFonts w:ascii="Times New Roman" w:hAnsi="Times New Roman"/>
                <w:sz w:val="24"/>
                <w:szCs w:val="24"/>
              </w:rPr>
              <w:t xml:space="preserve">, as well as on product governance </w:t>
            </w:r>
            <w:r w:rsidR="00B14EEF" w:rsidRPr="00CC73B2">
              <w:rPr>
                <w:rFonts w:ascii="Times New Roman" w:hAnsi="Times New Roman"/>
                <w:sz w:val="24"/>
                <w:szCs w:val="24"/>
              </w:rPr>
              <w:t xml:space="preserve">(including on ensuring Value for Money for investment and </w:t>
            </w:r>
            <w:r w:rsidR="003732EE" w:rsidRPr="00CC73B2">
              <w:rPr>
                <w:rFonts w:ascii="Times New Roman" w:hAnsi="Times New Roman"/>
                <w:sz w:val="24"/>
                <w:szCs w:val="24"/>
              </w:rPr>
              <w:t xml:space="preserve">packaged insurance </w:t>
            </w:r>
            <w:r w:rsidR="00B14EEF" w:rsidRPr="00CC73B2">
              <w:rPr>
                <w:rFonts w:ascii="Times New Roman" w:hAnsi="Times New Roman"/>
                <w:sz w:val="24"/>
                <w:szCs w:val="24"/>
              </w:rPr>
              <w:t xml:space="preserve">products) </w:t>
            </w:r>
            <w:r w:rsidR="00476BDA" w:rsidRPr="00CC73B2">
              <w:rPr>
                <w:rFonts w:ascii="Times New Roman" w:hAnsi="Times New Roman"/>
                <w:sz w:val="24"/>
                <w:szCs w:val="24"/>
              </w:rPr>
              <w:t xml:space="preserve">are currently ongoing </w:t>
            </w:r>
            <w:r w:rsidR="003732EE" w:rsidRPr="00CC73B2">
              <w:rPr>
                <w:rFonts w:ascii="Times New Roman" w:hAnsi="Times New Roman"/>
                <w:sz w:val="24"/>
                <w:szCs w:val="24"/>
              </w:rPr>
              <w:t>as part of the Retail Investment Strategy negotiations.</w:t>
            </w:r>
          </w:p>
          <w:p w14:paraId="1D1CDE8E" w14:textId="56B15B80"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2.9 of the opinion:</w:t>
            </w:r>
          </w:p>
          <w:p w14:paraId="67D3E5C8" w14:textId="1AF61FFE" w:rsidR="00B62AAF" w:rsidRPr="00CC73B2" w:rsidRDefault="00111FDE"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rPr>
              <w:t xml:space="preserve">The Commission </w:t>
            </w:r>
            <w:r w:rsidR="32E2D975" w:rsidRPr="00CC73B2">
              <w:rPr>
                <w:rFonts w:ascii="Times New Roman" w:hAnsi="Times New Roman"/>
                <w:sz w:val="24"/>
                <w:szCs w:val="24"/>
              </w:rPr>
              <w:t xml:space="preserve">agrees that </w:t>
            </w:r>
            <w:r w:rsidR="4BAAEAB8" w:rsidRPr="00CC73B2">
              <w:rPr>
                <w:rFonts w:ascii="Times New Roman" w:hAnsi="Times New Roman"/>
                <w:sz w:val="24"/>
                <w:szCs w:val="24"/>
              </w:rPr>
              <w:t xml:space="preserve">tax </w:t>
            </w:r>
            <w:r w:rsidR="2676EAFD" w:rsidRPr="00CC73B2">
              <w:rPr>
                <w:rFonts w:ascii="Times New Roman" w:hAnsi="Times New Roman"/>
                <w:sz w:val="24"/>
                <w:szCs w:val="24"/>
              </w:rPr>
              <w:t xml:space="preserve">rules concerning income earned by retail investors </w:t>
            </w:r>
            <w:r w:rsidR="0A97DA40" w:rsidRPr="00CC73B2">
              <w:rPr>
                <w:rFonts w:ascii="Times New Roman" w:hAnsi="Times New Roman"/>
                <w:sz w:val="24"/>
                <w:szCs w:val="24"/>
              </w:rPr>
              <w:t>vary</w:t>
            </w:r>
            <w:r w:rsidR="5A131966" w:rsidRPr="00CC73B2">
              <w:rPr>
                <w:rFonts w:ascii="Times New Roman" w:hAnsi="Times New Roman"/>
                <w:sz w:val="24"/>
                <w:szCs w:val="24"/>
              </w:rPr>
              <w:t xml:space="preserve"> considerably among Member States</w:t>
            </w:r>
            <w:r w:rsidR="3879C2BF" w:rsidRPr="00CC73B2">
              <w:rPr>
                <w:rFonts w:ascii="Times New Roman" w:hAnsi="Times New Roman"/>
                <w:sz w:val="24"/>
                <w:szCs w:val="24"/>
              </w:rPr>
              <w:t xml:space="preserve"> and will</w:t>
            </w:r>
            <w:r w:rsidR="0A97DA40" w:rsidRPr="00CC73B2">
              <w:rPr>
                <w:rFonts w:ascii="Times New Roman" w:hAnsi="Times New Roman"/>
                <w:sz w:val="24"/>
                <w:szCs w:val="24"/>
              </w:rPr>
              <w:t xml:space="preserve"> </w:t>
            </w:r>
            <w:r w:rsidR="008E536A" w:rsidRPr="00CC73B2">
              <w:rPr>
                <w:rFonts w:ascii="Times New Roman" w:hAnsi="Times New Roman"/>
                <w:sz w:val="24"/>
                <w:szCs w:val="24"/>
              </w:rPr>
              <w:t>take</w:t>
            </w:r>
            <w:r w:rsidR="33D183E3" w:rsidRPr="00CC73B2">
              <w:rPr>
                <w:rFonts w:ascii="Times New Roman" w:hAnsi="Times New Roman"/>
                <w:sz w:val="24"/>
                <w:szCs w:val="24"/>
              </w:rPr>
              <w:t xml:space="preserve"> this into</w:t>
            </w:r>
            <w:r w:rsidR="008E536A" w:rsidRPr="00CC73B2">
              <w:rPr>
                <w:rFonts w:ascii="Times New Roman" w:hAnsi="Times New Roman"/>
                <w:sz w:val="24"/>
                <w:szCs w:val="24"/>
              </w:rPr>
              <w:t xml:space="preserve"> account </w:t>
            </w:r>
            <w:r w:rsidR="7F4F2CD4" w:rsidRPr="00CC73B2">
              <w:rPr>
                <w:rFonts w:ascii="Times New Roman" w:hAnsi="Times New Roman"/>
                <w:sz w:val="24"/>
                <w:szCs w:val="24"/>
              </w:rPr>
              <w:t>in its initiative on a blueprint for a European Savings and Investment Account</w:t>
            </w:r>
            <w:r w:rsidR="6E80D1D5" w:rsidRPr="00CC73B2">
              <w:rPr>
                <w:rFonts w:ascii="Times New Roman" w:hAnsi="Times New Roman"/>
                <w:sz w:val="24"/>
                <w:szCs w:val="24"/>
              </w:rPr>
              <w:t xml:space="preserve">. This initiative </w:t>
            </w:r>
            <w:r w:rsidR="005132AA" w:rsidRPr="00CC73B2">
              <w:rPr>
                <w:rFonts w:ascii="Times New Roman" w:hAnsi="Times New Roman"/>
                <w:sz w:val="24"/>
                <w:szCs w:val="24"/>
              </w:rPr>
              <w:t xml:space="preserve">will not </w:t>
            </w:r>
            <w:r w:rsidR="006F3A35" w:rsidRPr="00CC73B2">
              <w:rPr>
                <w:rFonts w:ascii="Times New Roman" w:hAnsi="Times New Roman"/>
                <w:sz w:val="24"/>
                <w:szCs w:val="24"/>
              </w:rPr>
              <w:t xml:space="preserve">suggest a harmonised tax treatment for Savings and Investment </w:t>
            </w:r>
            <w:r w:rsidR="2A3A2A1D" w:rsidRPr="00CC73B2">
              <w:rPr>
                <w:rFonts w:ascii="Times New Roman" w:hAnsi="Times New Roman"/>
                <w:sz w:val="24"/>
                <w:szCs w:val="24"/>
              </w:rPr>
              <w:t>A</w:t>
            </w:r>
            <w:r w:rsidR="006F3A35" w:rsidRPr="00CC73B2">
              <w:rPr>
                <w:rFonts w:ascii="Times New Roman" w:hAnsi="Times New Roman"/>
                <w:sz w:val="24"/>
                <w:szCs w:val="24"/>
              </w:rPr>
              <w:t xml:space="preserve">ccounts </w:t>
            </w:r>
            <w:r w:rsidR="6793D38D" w:rsidRPr="00CC73B2">
              <w:rPr>
                <w:rFonts w:ascii="Times New Roman" w:hAnsi="Times New Roman"/>
                <w:sz w:val="24"/>
                <w:szCs w:val="24"/>
              </w:rPr>
              <w:t>within the EU but</w:t>
            </w:r>
            <w:r w:rsidR="510600F0" w:rsidRPr="00CC73B2">
              <w:rPr>
                <w:rFonts w:ascii="Times New Roman" w:hAnsi="Times New Roman"/>
                <w:sz w:val="24"/>
                <w:szCs w:val="24"/>
              </w:rPr>
              <w:t xml:space="preserve"> </w:t>
            </w:r>
            <w:r w:rsidR="006F3A35" w:rsidRPr="00CC73B2">
              <w:rPr>
                <w:rFonts w:ascii="Times New Roman" w:hAnsi="Times New Roman"/>
                <w:sz w:val="24"/>
                <w:szCs w:val="24"/>
              </w:rPr>
              <w:t>rather</w:t>
            </w:r>
            <w:r w:rsidR="7E1FD09D" w:rsidRPr="00CC73B2">
              <w:rPr>
                <w:rFonts w:ascii="Times New Roman" w:hAnsi="Times New Roman"/>
                <w:sz w:val="24"/>
                <w:szCs w:val="24"/>
              </w:rPr>
              <w:t xml:space="preserve"> provide options </w:t>
            </w:r>
            <w:r w:rsidR="51392E15" w:rsidRPr="00CC73B2">
              <w:rPr>
                <w:rFonts w:ascii="Times New Roman" w:hAnsi="Times New Roman"/>
                <w:sz w:val="24"/>
                <w:szCs w:val="24"/>
              </w:rPr>
              <w:t xml:space="preserve">which </w:t>
            </w:r>
            <w:r w:rsidR="7E1FD09D" w:rsidRPr="00CC73B2">
              <w:rPr>
                <w:rFonts w:ascii="Times New Roman" w:hAnsi="Times New Roman"/>
                <w:sz w:val="24"/>
                <w:szCs w:val="24"/>
              </w:rPr>
              <w:t xml:space="preserve">Member States </w:t>
            </w:r>
            <w:r w:rsidR="118C3BD7" w:rsidRPr="00CC73B2">
              <w:rPr>
                <w:rFonts w:ascii="Times New Roman" w:hAnsi="Times New Roman"/>
                <w:sz w:val="24"/>
                <w:szCs w:val="24"/>
              </w:rPr>
              <w:t xml:space="preserve">could implement </w:t>
            </w:r>
            <w:r w:rsidR="64AF21B6" w:rsidRPr="00CC73B2">
              <w:rPr>
                <w:rFonts w:ascii="Times New Roman" w:hAnsi="Times New Roman"/>
                <w:sz w:val="24"/>
                <w:szCs w:val="24"/>
              </w:rPr>
              <w:t xml:space="preserve">in the way that </w:t>
            </w:r>
            <w:r w:rsidR="493B0FC7" w:rsidRPr="00CC73B2">
              <w:rPr>
                <w:rFonts w:ascii="Times New Roman" w:hAnsi="Times New Roman"/>
                <w:sz w:val="24"/>
                <w:szCs w:val="24"/>
              </w:rPr>
              <w:t>best fits their national tax system</w:t>
            </w:r>
            <w:r w:rsidR="2901BFF2" w:rsidRPr="00CC73B2">
              <w:rPr>
                <w:rFonts w:ascii="Times New Roman" w:hAnsi="Times New Roman"/>
                <w:sz w:val="24"/>
                <w:szCs w:val="24"/>
              </w:rPr>
              <w:t>s</w:t>
            </w:r>
            <w:r w:rsidR="493B0FC7" w:rsidRPr="00CC73B2">
              <w:rPr>
                <w:rFonts w:ascii="Times New Roman" w:hAnsi="Times New Roman"/>
                <w:sz w:val="24"/>
                <w:szCs w:val="24"/>
              </w:rPr>
              <w:t>.</w:t>
            </w:r>
          </w:p>
          <w:p w14:paraId="1E601A7C" w14:textId="4896C869" w:rsidR="00B62AAF" w:rsidRPr="00CC73B2" w:rsidRDefault="07F6D5DA"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2.10 of the opinion:</w:t>
            </w:r>
          </w:p>
          <w:p w14:paraId="62A8815C" w14:textId="4914B8DB" w:rsidR="007C6325" w:rsidRPr="00CC73B2" w:rsidRDefault="00F17831"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The Commission agrees that actions to develop the supplementary pensions sector should not hamper the role of Pillar</w:t>
            </w:r>
            <w:r w:rsidR="007C3F76">
              <w:rPr>
                <w:rFonts w:ascii="Times New Roman" w:hAnsi="Times New Roman"/>
                <w:sz w:val="24"/>
                <w:szCs w:val="24"/>
              </w:rPr>
              <w:t> </w:t>
            </w:r>
            <w:r w:rsidRPr="00CC73B2">
              <w:rPr>
                <w:rFonts w:ascii="Times New Roman" w:hAnsi="Times New Roman"/>
                <w:sz w:val="24"/>
                <w:szCs w:val="24"/>
              </w:rPr>
              <w:t>1 pensions</w:t>
            </w:r>
            <w:r w:rsidR="00387E9A" w:rsidRPr="00CC73B2">
              <w:rPr>
                <w:rFonts w:ascii="Times New Roman" w:hAnsi="Times New Roman"/>
                <w:sz w:val="24"/>
                <w:szCs w:val="24"/>
              </w:rPr>
              <w:t xml:space="preserve">, </w:t>
            </w:r>
            <w:r w:rsidR="007C6325" w:rsidRPr="00CC73B2">
              <w:rPr>
                <w:rFonts w:ascii="Times New Roman" w:hAnsi="Times New Roman"/>
                <w:sz w:val="24"/>
                <w:szCs w:val="24"/>
              </w:rPr>
              <w:t xml:space="preserve">but, on the contrary, </w:t>
            </w:r>
            <w:r w:rsidR="00387E9A" w:rsidRPr="00CC73B2">
              <w:rPr>
                <w:rFonts w:ascii="Times New Roman" w:hAnsi="Times New Roman"/>
                <w:sz w:val="24"/>
                <w:szCs w:val="24"/>
              </w:rPr>
              <w:t xml:space="preserve">should complement them </w:t>
            </w:r>
            <w:r w:rsidR="005A62C8" w:rsidRPr="00CC73B2">
              <w:rPr>
                <w:rFonts w:ascii="Times New Roman" w:hAnsi="Times New Roman"/>
                <w:sz w:val="24"/>
                <w:szCs w:val="24"/>
              </w:rPr>
              <w:t xml:space="preserve">to ensure the fulfilment of social </w:t>
            </w:r>
            <w:r w:rsidR="00585290" w:rsidRPr="00CC73B2">
              <w:rPr>
                <w:rFonts w:ascii="Times New Roman" w:hAnsi="Times New Roman"/>
                <w:sz w:val="24"/>
                <w:szCs w:val="24"/>
              </w:rPr>
              <w:t xml:space="preserve">policy </w:t>
            </w:r>
            <w:r w:rsidR="005A62C8" w:rsidRPr="00CC73B2">
              <w:rPr>
                <w:rFonts w:ascii="Times New Roman" w:hAnsi="Times New Roman"/>
                <w:sz w:val="24"/>
                <w:szCs w:val="24"/>
              </w:rPr>
              <w:t>objectives</w:t>
            </w:r>
            <w:r w:rsidR="007C6325" w:rsidRPr="00CC73B2">
              <w:rPr>
                <w:rFonts w:ascii="Times New Roman" w:hAnsi="Times New Roman"/>
                <w:sz w:val="24"/>
                <w:szCs w:val="24"/>
              </w:rPr>
              <w:t>, also</w:t>
            </w:r>
            <w:r w:rsidR="7E50458F" w:rsidRPr="00CC73B2">
              <w:rPr>
                <w:rFonts w:ascii="Times New Roman" w:hAnsi="Times New Roman"/>
                <w:sz w:val="24"/>
                <w:szCs w:val="24"/>
              </w:rPr>
              <w:t xml:space="preserve"> </w:t>
            </w:r>
            <w:r w:rsidR="007C6325" w:rsidRPr="00CC73B2">
              <w:rPr>
                <w:rFonts w:ascii="Times New Roman" w:hAnsi="Times New Roman"/>
                <w:sz w:val="24"/>
                <w:szCs w:val="24"/>
              </w:rPr>
              <w:t>in</w:t>
            </w:r>
            <w:r w:rsidR="7E50458F" w:rsidRPr="00CC73B2">
              <w:rPr>
                <w:rFonts w:ascii="Times New Roman" w:hAnsi="Times New Roman"/>
                <w:sz w:val="24"/>
                <w:szCs w:val="24"/>
              </w:rPr>
              <w:t xml:space="preserve"> view </w:t>
            </w:r>
            <w:r w:rsidR="007C6325" w:rsidRPr="00CC73B2">
              <w:rPr>
                <w:rFonts w:ascii="Times New Roman" w:hAnsi="Times New Roman"/>
                <w:sz w:val="24"/>
                <w:szCs w:val="24"/>
              </w:rPr>
              <w:t>of</w:t>
            </w:r>
            <w:r w:rsidR="7E50458F" w:rsidRPr="00CC73B2">
              <w:rPr>
                <w:rFonts w:ascii="Times New Roman" w:hAnsi="Times New Roman"/>
                <w:sz w:val="24"/>
                <w:szCs w:val="24"/>
              </w:rPr>
              <w:t xml:space="preserve"> </w:t>
            </w:r>
            <w:r w:rsidR="11863B92" w:rsidRPr="00CC73B2">
              <w:rPr>
                <w:rFonts w:ascii="Times New Roman" w:hAnsi="Times New Roman"/>
                <w:sz w:val="24"/>
                <w:szCs w:val="24"/>
              </w:rPr>
              <w:t>a declining share of working-age population</w:t>
            </w:r>
            <w:r w:rsidR="005A62C8" w:rsidRPr="00CC73B2">
              <w:rPr>
                <w:rFonts w:ascii="Times New Roman" w:hAnsi="Times New Roman"/>
                <w:sz w:val="24"/>
                <w:szCs w:val="24"/>
              </w:rPr>
              <w:t xml:space="preserve">. </w:t>
            </w:r>
            <w:r w:rsidR="00585290" w:rsidRPr="00CC73B2">
              <w:rPr>
                <w:rFonts w:ascii="Times New Roman" w:hAnsi="Times New Roman"/>
                <w:sz w:val="24"/>
                <w:szCs w:val="24"/>
              </w:rPr>
              <w:t xml:space="preserve">The Commission will publish a recommendation by </w:t>
            </w:r>
            <w:r w:rsidR="00AB041E" w:rsidRPr="00CC73B2">
              <w:rPr>
                <w:rFonts w:ascii="Times New Roman" w:hAnsi="Times New Roman"/>
                <w:sz w:val="24"/>
                <w:szCs w:val="24"/>
              </w:rPr>
              <w:t xml:space="preserve">the </w:t>
            </w:r>
            <w:r w:rsidR="00585290" w:rsidRPr="00CC73B2">
              <w:rPr>
                <w:rFonts w:ascii="Times New Roman" w:hAnsi="Times New Roman"/>
                <w:sz w:val="24"/>
                <w:szCs w:val="24"/>
              </w:rPr>
              <w:t>end</w:t>
            </w:r>
            <w:r w:rsidR="00AB041E" w:rsidRPr="00CC73B2">
              <w:rPr>
                <w:rFonts w:ascii="Times New Roman" w:hAnsi="Times New Roman"/>
                <w:sz w:val="24"/>
                <w:szCs w:val="24"/>
              </w:rPr>
              <w:t xml:space="preserve"> of </w:t>
            </w:r>
            <w:r w:rsidR="00585290" w:rsidRPr="00CC73B2">
              <w:rPr>
                <w:rFonts w:ascii="Times New Roman" w:hAnsi="Times New Roman"/>
                <w:sz w:val="24"/>
                <w:szCs w:val="24"/>
              </w:rPr>
              <w:t xml:space="preserve">2025 </w:t>
            </w:r>
            <w:r w:rsidR="00967614" w:rsidRPr="00CC73B2">
              <w:rPr>
                <w:rFonts w:ascii="Times New Roman" w:hAnsi="Times New Roman"/>
                <w:sz w:val="24"/>
                <w:szCs w:val="24"/>
              </w:rPr>
              <w:t xml:space="preserve">on </w:t>
            </w:r>
            <w:r w:rsidR="3C366BA8" w:rsidRPr="00CC73B2">
              <w:rPr>
                <w:rFonts w:ascii="Times New Roman" w:hAnsi="Times New Roman"/>
                <w:sz w:val="24"/>
                <w:szCs w:val="24"/>
              </w:rPr>
              <w:t xml:space="preserve">the use and best practices in </w:t>
            </w:r>
            <w:r w:rsidR="00967614" w:rsidRPr="00CC73B2">
              <w:rPr>
                <w:rFonts w:ascii="Times New Roman" w:hAnsi="Times New Roman"/>
                <w:sz w:val="24"/>
                <w:szCs w:val="24"/>
              </w:rPr>
              <w:t>auto</w:t>
            </w:r>
            <w:r w:rsidR="780580F7" w:rsidRPr="00CC73B2">
              <w:rPr>
                <w:rFonts w:ascii="Times New Roman" w:hAnsi="Times New Roman"/>
                <w:sz w:val="24"/>
                <w:szCs w:val="24"/>
              </w:rPr>
              <w:t>-</w:t>
            </w:r>
            <w:r w:rsidR="00967614" w:rsidRPr="00CC73B2">
              <w:rPr>
                <w:rFonts w:ascii="Times New Roman" w:hAnsi="Times New Roman"/>
                <w:sz w:val="24"/>
                <w:szCs w:val="24"/>
              </w:rPr>
              <w:t>enrolment (together with recommendations on pension tracking and pension dashboard</w:t>
            </w:r>
            <w:r w:rsidR="00862C2C" w:rsidRPr="00CC73B2">
              <w:rPr>
                <w:rFonts w:ascii="Times New Roman" w:hAnsi="Times New Roman"/>
                <w:sz w:val="24"/>
                <w:szCs w:val="24"/>
              </w:rPr>
              <w:t xml:space="preserve">). It will be </w:t>
            </w:r>
            <w:r w:rsidR="003A23DC" w:rsidRPr="00CC73B2">
              <w:rPr>
                <w:rFonts w:ascii="Times New Roman" w:hAnsi="Times New Roman"/>
                <w:sz w:val="24"/>
                <w:szCs w:val="24"/>
              </w:rPr>
              <w:t>then</w:t>
            </w:r>
            <w:r w:rsidR="00862C2C" w:rsidRPr="00CC73B2">
              <w:rPr>
                <w:rFonts w:ascii="Times New Roman" w:hAnsi="Times New Roman"/>
                <w:sz w:val="24"/>
                <w:szCs w:val="24"/>
              </w:rPr>
              <w:t xml:space="preserve"> the role of the Member States to implement auto</w:t>
            </w:r>
            <w:r w:rsidR="75794A1E" w:rsidRPr="00CC73B2">
              <w:rPr>
                <w:rFonts w:ascii="Times New Roman" w:hAnsi="Times New Roman"/>
                <w:sz w:val="24"/>
                <w:szCs w:val="24"/>
              </w:rPr>
              <w:t>-</w:t>
            </w:r>
            <w:r w:rsidR="00862C2C" w:rsidRPr="00CC73B2">
              <w:rPr>
                <w:rFonts w:ascii="Times New Roman" w:hAnsi="Times New Roman"/>
                <w:sz w:val="24"/>
                <w:szCs w:val="24"/>
              </w:rPr>
              <w:t xml:space="preserve">enrolment policies </w:t>
            </w:r>
            <w:r w:rsidR="0019268C" w:rsidRPr="00CC73B2">
              <w:rPr>
                <w:rFonts w:ascii="Times New Roman" w:hAnsi="Times New Roman"/>
                <w:sz w:val="24"/>
                <w:szCs w:val="24"/>
              </w:rPr>
              <w:t>based on such recommendation</w:t>
            </w:r>
            <w:r w:rsidR="007C6325" w:rsidRPr="00CC73B2">
              <w:rPr>
                <w:rFonts w:ascii="Times New Roman" w:hAnsi="Times New Roman"/>
                <w:sz w:val="24"/>
                <w:szCs w:val="24"/>
              </w:rPr>
              <w:t>,</w:t>
            </w:r>
            <w:r w:rsidR="0019268C" w:rsidRPr="00CC73B2">
              <w:rPr>
                <w:rFonts w:ascii="Times New Roman" w:hAnsi="Times New Roman"/>
                <w:sz w:val="24"/>
                <w:szCs w:val="24"/>
              </w:rPr>
              <w:t xml:space="preserve"> </w:t>
            </w:r>
            <w:r w:rsidR="00862C2C" w:rsidRPr="00CC73B2">
              <w:rPr>
                <w:rFonts w:ascii="Times New Roman" w:hAnsi="Times New Roman"/>
                <w:sz w:val="24"/>
                <w:szCs w:val="24"/>
              </w:rPr>
              <w:t xml:space="preserve">and </w:t>
            </w:r>
            <w:r w:rsidR="04B0DAA6" w:rsidRPr="00CC73B2">
              <w:rPr>
                <w:rFonts w:ascii="Times New Roman" w:hAnsi="Times New Roman"/>
                <w:sz w:val="24"/>
                <w:szCs w:val="24"/>
              </w:rPr>
              <w:t xml:space="preserve">to </w:t>
            </w:r>
            <w:r w:rsidR="00862C2C" w:rsidRPr="00CC73B2">
              <w:rPr>
                <w:rFonts w:ascii="Times New Roman" w:hAnsi="Times New Roman"/>
                <w:sz w:val="24"/>
                <w:szCs w:val="24"/>
              </w:rPr>
              <w:t xml:space="preserve">ensure that their </w:t>
            </w:r>
            <w:r w:rsidR="4CBC35DC" w:rsidRPr="00CC73B2">
              <w:rPr>
                <w:rFonts w:ascii="Times New Roman" w:hAnsi="Times New Roman"/>
                <w:sz w:val="24"/>
                <w:szCs w:val="24"/>
              </w:rPr>
              <w:t xml:space="preserve">supplementary </w:t>
            </w:r>
            <w:r w:rsidR="00862C2C" w:rsidRPr="00CC73B2">
              <w:rPr>
                <w:rFonts w:ascii="Times New Roman" w:hAnsi="Times New Roman"/>
                <w:sz w:val="24"/>
                <w:szCs w:val="24"/>
              </w:rPr>
              <w:t>pension systems</w:t>
            </w:r>
            <w:r w:rsidR="00967614" w:rsidRPr="00CC73B2">
              <w:rPr>
                <w:rFonts w:ascii="Times New Roman" w:hAnsi="Times New Roman"/>
                <w:sz w:val="24"/>
                <w:szCs w:val="24"/>
              </w:rPr>
              <w:t xml:space="preserve"> </w:t>
            </w:r>
            <w:r w:rsidR="0019268C" w:rsidRPr="00CC73B2">
              <w:rPr>
                <w:rFonts w:ascii="Times New Roman" w:hAnsi="Times New Roman"/>
                <w:sz w:val="24"/>
                <w:szCs w:val="24"/>
              </w:rPr>
              <w:t>function in an efficient way</w:t>
            </w:r>
            <w:r w:rsidR="001C7C94" w:rsidRPr="00CC73B2">
              <w:rPr>
                <w:rFonts w:ascii="Times New Roman" w:hAnsi="Times New Roman"/>
                <w:sz w:val="24"/>
                <w:szCs w:val="24"/>
              </w:rPr>
              <w:t xml:space="preserve"> for their members</w:t>
            </w:r>
            <w:r w:rsidR="007C6325" w:rsidRPr="00CC73B2">
              <w:rPr>
                <w:rFonts w:ascii="Times New Roman" w:hAnsi="Times New Roman"/>
                <w:sz w:val="24"/>
                <w:szCs w:val="24"/>
              </w:rPr>
              <w:t>, resulting in positive financial and social benefits for citizens</w:t>
            </w:r>
            <w:r w:rsidR="001C7C94" w:rsidRPr="00CC73B2">
              <w:rPr>
                <w:rFonts w:ascii="Times New Roman" w:hAnsi="Times New Roman"/>
                <w:sz w:val="24"/>
                <w:szCs w:val="24"/>
              </w:rPr>
              <w:t>.</w:t>
            </w:r>
          </w:p>
          <w:p w14:paraId="501BA4F1" w14:textId="16561BD7"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2.12 of the opinion:</w:t>
            </w:r>
          </w:p>
          <w:p w14:paraId="78254320" w14:textId="2F9EAEC5" w:rsidR="50DEE092" w:rsidRPr="00CC73B2" w:rsidRDefault="50DEE092"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The Commission agrees that public funding should leverage private investment to reach</w:t>
            </w:r>
            <w:r w:rsidR="4AB15952" w:rsidRPr="00CC73B2">
              <w:rPr>
                <w:rFonts w:ascii="Times New Roman" w:hAnsi="Times New Roman"/>
                <w:sz w:val="24"/>
                <w:szCs w:val="24"/>
              </w:rPr>
              <w:t xml:space="preserve"> Union objectives. On 16 July 2025, the Commission published</w:t>
            </w:r>
            <w:r w:rsidR="00AB041E" w:rsidRPr="00CC73B2">
              <w:rPr>
                <w:rFonts w:ascii="Times New Roman" w:hAnsi="Times New Roman"/>
                <w:sz w:val="24"/>
                <w:szCs w:val="24"/>
              </w:rPr>
              <w:t>,</w:t>
            </w:r>
            <w:r w:rsidR="4AB15952" w:rsidRPr="00CC73B2">
              <w:rPr>
                <w:rFonts w:ascii="Times New Roman" w:hAnsi="Times New Roman"/>
                <w:sz w:val="24"/>
                <w:szCs w:val="24"/>
              </w:rPr>
              <w:t xml:space="preserve"> </w:t>
            </w:r>
            <w:r w:rsidR="14A4DF36" w:rsidRPr="00CC73B2">
              <w:rPr>
                <w:rFonts w:ascii="Times New Roman" w:hAnsi="Times New Roman"/>
                <w:sz w:val="24"/>
                <w:szCs w:val="24"/>
              </w:rPr>
              <w:t xml:space="preserve">as part of </w:t>
            </w:r>
            <w:r w:rsidR="4AB15952" w:rsidRPr="00CC73B2">
              <w:rPr>
                <w:rFonts w:ascii="Times New Roman" w:hAnsi="Times New Roman"/>
                <w:sz w:val="24"/>
                <w:szCs w:val="24"/>
              </w:rPr>
              <w:t xml:space="preserve">its proposal for the next </w:t>
            </w:r>
            <w:r w:rsidR="00557F40">
              <w:rPr>
                <w:rFonts w:ascii="Times New Roman" w:hAnsi="Times New Roman"/>
                <w:sz w:val="24"/>
                <w:szCs w:val="24"/>
              </w:rPr>
              <w:t>m</w:t>
            </w:r>
            <w:r w:rsidR="4519B21B" w:rsidRPr="00CC73B2">
              <w:rPr>
                <w:rFonts w:ascii="Times New Roman" w:hAnsi="Times New Roman"/>
                <w:sz w:val="24"/>
                <w:szCs w:val="24"/>
              </w:rPr>
              <w:t>ultiannual</w:t>
            </w:r>
            <w:r w:rsidR="4AB15952" w:rsidRPr="00CC73B2">
              <w:rPr>
                <w:rFonts w:ascii="Times New Roman" w:hAnsi="Times New Roman"/>
                <w:sz w:val="24"/>
                <w:szCs w:val="24"/>
              </w:rPr>
              <w:t xml:space="preserve"> </w:t>
            </w:r>
            <w:r w:rsidR="00557F40">
              <w:rPr>
                <w:rFonts w:ascii="Times New Roman" w:hAnsi="Times New Roman"/>
                <w:sz w:val="24"/>
                <w:szCs w:val="24"/>
              </w:rPr>
              <w:t>f</w:t>
            </w:r>
            <w:r w:rsidR="4AB15952" w:rsidRPr="00CC73B2">
              <w:rPr>
                <w:rFonts w:ascii="Times New Roman" w:hAnsi="Times New Roman"/>
                <w:sz w:val="24"/>
                <w:szCs w:val="24"/>
              </w:rPr>
              <w:t xml:space="preserve">inancial </w:t>
            </w:r>
            <w:r w:rsidR="00557F40">
              <w:rPr>
                <w:rFonts w:ascii="Times New Roman" w:hAnsi="Times New Roman"/>
                <w:sz w:val="24"/>
                <w:szCs w:val="24"/>
              </w:rPr>
              <w:t>f</w:t>
            </w:r>
            <w:r w:rsidR="4AB15952" w:rsidRPr="00CC73B2">
              <w:rPr>
                <w:rFonts w:ascii="Times New Roman" w:hAnsi="Times New Roman"/>
                <w:sz w:val="24"/>
                <w:szCs w:val="24"/>
              </w:rPr>
              <w:t>ramewo</w:t>
            </w:r>
            <w:r w:rsidR="08066C96" w:rsidRPr="00CC73B2">
              <w:rPr>
                <w:rFonts w:ascii="Times New Roman" w:hAnsi="Times New Roman"/>
                <w:sz w:val="24"/>
                <w:szCs w:val="24"/>
              </w:rPr>
              <w:t>rk</w:t>
            </w:r>
            <w:r w:rsidR="00557F40">
              <w:rPr>
                <w:rFonts w:ascii="Times New Roman" w:hAnsi="Times New Roman"/>
                <w:sz w:val="24"/>
                <w:szCs w:val="24"/>
              </w:rPr>
              <w:t xml:space="preserve"> (MFF)</w:t>
            </w:r>
            <w:r w:rsidR="57BBB4B2" w:rsidRPr="00CC73B2">
              <w:rPr>
                <w:rFonts w:ascii="Times New Roman" w:hAnsi="Times New Roman"/>
                <w:sz w:val="24"/>
                <w:szCs w:val="24"/>
              </w:rPr>
              <w:t>, a Regulation for a European Competitiveness Fund</w:t>
            </w:r>
            <w:r w:rsidR="00557F40">
              <w:rPr>
                <w:rStyle w:val="FootnoteReference"/>
                <w:rFonts w:ascii="Times New Roman" w:hAnsi="Times New Roman"/>
                <w:sz w:val="24"/>
                <w:szCs w:val="24"/>
              </w:rPr>
              <w:footnoteReference w:id="8"/>
            </w:r>
            <w:r w:rsidR="57BBB4B2" w:rsidRPr="00CC73B2">
              <w:rPr>
                <w:rFonts w:ascii="Times New Roman" w:hAnsi="Times New Roman"/>
                <w:sz w:val="24"/>
                <w:szCs w:val="24"/>
              </w:rPr>
              <w:t>.</w:t>
            </w:r>
            <w:r w:rsidR="326A191D" w:rsidRPr="00CC73B2">
              <w:rPr>
                <w:rFonts w:ascii="Times New Roman" w:hAnsi="Times New Roman"/>
                <w:sz w:val="24"/>
                <w:szCs w:val="24"/>
              </w:rPr>
              <w:t xml:space="preserve"> </w:t>
            </w:r>
            <w:r w:rsidR="3F7564C6" w:rsidRPr="00CC73B2">
              <w:rPr>
                <w:rFonts w:ascii="Times New Roman" w:hAnsi="Times New Roman"/>
                <w:sz w:val="24"/>
                <w:szCs w:val="24"/>
              </w:rPr>
              <w:t>The Fund will invest in strategic technologies and sectors</w:t>
            </w:r>
            <w:r w:rsidR="5EB573AC" w:rsidRPr="00CC73B2">
              <w:rPr>
                <w:rFonts w:ascii="Times New Roman" w:hAnsi="Times New Roman"/>
                <w:sz w:val="24"/>
                <w:szCs w:val="24"/>
              </w:rPr>
              <w:t>,</w:t>
            </w:r>
            <w:r w:rsidR="3F7564C6" w:rsidRPr="00CC73B2">
              <w:rPr>
                <w:rFonts w:ascii="Times New Roman" w:hAnsi="Times New Roman"/>
                <w:sz w:val="24"/>
                <w:szCs w:val="24"/>
              </w:rPr>
              <w:t xml:space="preserve"> </w:t>
            </w:r>
            <w:r w:rsidR="5EB573AC" w:rsidRPr="00CC73B2">
              <w:rPr>
                <w:rFonts w:ascii="Times New Roman" w:hAnsi="Times New Roman"/>
                <w:sz w:val="24"/>
                <w:szCs w:val="24"/>
              </w:rPr>
              <w:t>fostering competitiveness and resilience,</w:t>
            </w:r>
            <w:r w:rsidR="3F7564C6" w:rsidRPr="00CC73B2">
              <w:rPr>
                <w:rFonts w:ascii="Times New Roman" w:hAnsi="Times New Roman"/>
                <w:sz w:val="24"/>
                <w:szCs w:val="24"/>
              </w:rPr>
              <w:t xml:space="preserve"> by means of a</w:t>
            </w:r>
            <w:r w:rsidR="00557F40">
              <w:rPr>
                <w:rFonts w:ascii="Times New Roman" w:hAnsi="Times New Roman"/>
                <w:sz w:val="24"/>
                <w:szCs w:val="24"/>
              </w:rPr>
              <w:t> </w:t>
            </w:r>
            <w:r w:rsidR="3F7564C6" w:rsidRPr="00CC73B2">
              <w:rPr>
                <w:rFonts w:ascii="Times New Roman" w:hAnsi="Times New Roman"/>
                <w:sz w:val="24"/>
                <w:szCs w:val="24"/>
              </w:rPr>
              <w:t>horizontal funding toolbox, offering every form of support allowed by th</w:t>
            </w:r>
            <w:r w:rsidR="0844C5BA" w:rsidRPr="00CC73B2">
              <w:rPr>
                <w:rFonts w:ascii="Times New Roman" w:hAnsi="Times New Roman"/>
                <w:sz w:val="24"/>
                <w:szCs w:val="24"/>
              </w:rPr>
              <w:t>e Financial Regulation</w:t>
            </w:r>
            <w:r w:rsidR="000734EF">
              <w:rPr>
                <w:rStyle w:val="FootnoteReference"/>
                <w:rFonts w:ascii="Times New Roman" w:hAnsi="Times New Roman"/>
                <w:sz w:val="24"/>
                <w:szCs w:val="24"/>
              </w:rPr>
              <w:footnoteReference w:id="9"/>
            </w:r>
            <w:r w:rsidR="0844C5BA" w:rsidRPr="00CC73B2">
              <w:rPr>
                <w:rFonts w:ascii="Times New Roman" w:hAnsi="Times New Roman"/>
                <w:sz w:val="24"/>
                <w:szCs w:val="24"/>
              </w:rPr>
              <w:t>. Union support should derisk projects to the degree necessary for the private sector to invest and for the project to be successfully delivered. It will be possible for Member states to contribute to the European Competitiveness Fund.</w:t>
            </w:r>
          </w:p>
          <w:p w14:paraId="32F358A0" w14:textId="2775FFC6"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2.14 of the opinion:</w:t>
            </w:r>
          </w:p>
          <w:p w14:paraId="59228FFA" w14:textId="5805C3DA" w:rsidR="006609CB" w:rsidRPr="00CC73B2" w:rsidRDefault="006609CB" w:rsidP="00CC73B2">
            <w:pPr>
              <w:widowControl w:val="0"/>
              <w:spacing w:before="120" w:after="120"/>
              <w:jc w:val="both"/>
              <w:rPr>
                <w:rFonts w:ascii="Times New Roman" w:eastAsia="Times New Roman" w:hAnsi="Times New Roman"/>
                <w:sz w:val="24"/>
                <w:szCs w:val="24"/>
                <w:lang w:val="en-IE" w:eastAsia="en-GB"/>
              </w:rPr>
            </w:pPr>
            <w:r w:rsidRPr="00CC73B2">
              <w:rPr>
                <w:rFonts w:ascii="Times New Roman" w:eastAsia="Times New Roman" w:hAnsi="Times New Roman"/>
                <w:sz w:val="24"/>
                <w:szCs w:val="24"/>
                <w:lang w:val="en-IE" w:eastAsia="en-GB"/>
              </w:rPr>
              <w:t xml:space="preserve">On 11 May 2022, the Commission adopted a </w:t>
            </w:r>
            <w:r w:rsidR="00A61B37" w:rsidRPr="00CC73B2">
              <w:rPr>
                <w:rFonts w:ascii="Times New Roman" w:eastAsia="Times New Roman" w:hAnsi="Times New Roman"/>
                <w:sz w:val="24"/>
                <w:szCs w:val="24"/>
                <w:lang w:val="en-IE" w:eastAsia="en-GB"/>
              </w:rPr>
              <w:t>proposal for a</w:t>
            </w:r>
            <w:r w:rsidRPr="00CC73B2">
              <w:rPr>
                <w:rFonts w:ascii="Times New Roman" w:eastAsia="Times New Roman" w:hAnsi="Times New Roman"/>
                <w:sz w:val="24"/>
                <w:szCs w:val="24"/>
                <w:lang w:val="en-IE" w:eastAsia="en-GB"/>
              </w:rPr>
              <w:t xml:space="preserve"> Directive on a </w:t>
            </w:r>
            <w:r w:rsidRPr="00CC73B2">
              <w:rPr>
                <w:rFonts w:ascii="Times New Roman" w:eastAsia="Times New Roman" w:hAnsi="Times New Roman"/>
                <w:i/>
                <w:iCs/>
                <w:sz w:val="24"/>
                <w:szCs w:val="24"/>
                <w:lang w:val="en-IE" w:eastAsia="en-GB"/>
              </w:rPr>
              <w:t>debt-equity bias reduction allowance (DEBRA</w:t>
            </w:r>
            <w:r w:rsidR="007C3F76">
              <w:rPr>
                <w:rFonts w:ascii="Times New Roman" w:eastAsia="Times New Roman" w:hAnsi="Times New Roman"/>
                <w:i/>
                <w:iCs/>
                <w:sz w:val="24"/>
                <w:szCs w:val="24"/>
                <w:lang w:val="en-IE" w:eastAsia="en-GB"/>
              </w:rPr>
              <w:t>)</w:t>
            </w:r>
            <w:r w:rsidR="00557F40">
              <w:rPr>
                <w:rStyle w:val="FootnoteReference"/>
                <w:rFonts w:ascii="Times New Roman" w:eastAsia="Times New Roman" w:hAnsi="Times New Roman"/>
                <w:i/>
                <w:iCs/>
                <w:sz w:val="24"/>
                <w:szCs w:val="24"/>
                <w:lang w:val="en-IE" w:eastAsia="en-GB"/>
              </w:rPr>
              <w:footnoteReference w:id="10"/>
            </w:r>
            <w:r w:rsidRPr="00CC73B2">
              <w:rPr>
                <w:rFonts w:ascii="Times New Roman" w:eastAsia="Times New Roman" w:hAnsi="Times New Roman"/>
                <w:sz w:val="24"/>
                <w:szCs w:val="24"/>
                <w:lang w:val="en-IE" w:eastAsia="en-GB"/>
              </w:rPr>
              <w:t xml:space="preserve"> to address the debt-equity bias in corporate taxation </w:t>
            </w:r>
            <w:r w:rsidR="6BB38E54" w:rsidRPr="00CC73B2">
              <w:rPr>
                <w:rFonts w:ascii="Times New Roman" w:eastAsia="Times New Roman" w:hAnsi="Times New Roman"/>
                <w:sz w:val="24"/>
                <w:szCs w:val="24"/>
                <w:lang w:val="en-IE" w:eastAsia="en-GB"/>
              </w:rPr>
              <w:t xml:space="preserve">to </w:t>
            </w:r>
            <w:r w:rsidRPr="00CC73B2">
              <w:rPr>
                <w:rFonts w:ascii="Times New Roman" w:eastAsia="Times New Roman" w:hAnsi="Times New Roman"/>
                <w:sz w:val="24"/>
                <w:szCs w:val="24"/>
                <w:lang w:val="en-IE" w:eastAsia="en-GB"/>
              </w:rPr>
              <w:t xml:space="preserve">help EU businesses become more resilient </w:t>
            </w:r>
            <w:r w:rsidR="097153BD" w:rsidRPr="00CC73B2">
              <w:rPr>
                <w:rFonts w:ascii="Times New Roman" w:eastAsia="Times New Roman" w:hAnsi="Times New Roman"/>
                <w:sz w:val="24"/>
                <w:szCs w:val="24"/>
                <w:lang w:val="en-IE" w:eastAsia="en-GB"/>
              </w:rPr>
              <w:t>by</w:t>
            </w:r>
            <w:r w:rsidRPr="00CC73B2">
              <w:rPr>
                <w:rFonts w:ascii="Times New Roman" w:eastAsia="Times New Roman" w:hAnsi="Times New Roman"/>
                <w:sz w:val="24"/>
                <w:szCs w:val="24"/>
                <w:lang w:val="en-IE" w:eastAsia="en-GB"/>
              </w:rPr>
              <w:t xml:space="preserve"> acce</w:t>
            </w:r>
            <w:r w:rsidR="50A94094" w:rsidRPr="00CC73B2">
              <w:rPr>
                <w:rFonts w:ascii="Times New Roman" w:eastAsia="Times New Roman" w:hAnsi="Times New Roman"/>
                <w:sz w:val="24"/>
                <w:szCs w:val="24"/>
                <w:lang w:val="en-IE" w:eastAsia="en-GB"/>
              </w:rPr>
              <w:t>ssing</w:t>
            </w:r>
            <w:r w:rsidRPr="00CC73B2">
              <w:rPr>
                <w:rFonts w:ascii="Times New Roman" w:eastAsia="Times New Roman" w:hAnsi="Times New Roman"/>
                <w:sz w:val="24"/>
                <w:szCs w:val="24"/>
                <w:lang w:val="en-IE" w:eastAsia="en-GB"/>
              </w:rPr>
              <w:t xml:space="preserve"> the financing they need. </w:t>
            </w:r>
            <w:r w:rsidR="00B456E7" w:rsidRPr="00CC73B2">
              <w:rPr>
                <w:rFonts w:ascii="Times New Roman" w:eastAsia="Times New Roman" w:hAnsi="Times New Roman"/>
                <w:sz w:val="24"/>
                <w:szCs w:val="24"/>
                <w:lang w:val="en-IE" w:eastAsia="en-GB"/>
              </w:rPr>
              <w:t xml:space="preserve">To </w:t>
            </w:r>
            <w:r w:rsidR="00D577CB" w:rsidRPr="00CC73B2">
              <w:rPr>
                <w:rFonts w:ascii="Times New Roman" w:eastAsia="Times New Roman" w:hAnsi="Times New Roman"/>
                <w:sz w:val="24"/>
                <w:szCs w:val="24"/>
                <w:lang w:val="en-IE" w:eastAsia="en-GB"/>
              </w:rPr>
              <w:t xml:space="preserve">mitigate </w:t>
            </w:r>
            <w:r w:rsidR="18F13AAA" w:rsidRPr="00CC73B2">
              <w:rPr>
                <w:rFonts w:ascii="Times New Roman" w:eastAsia="Times New Roman" w:hAnsi="Times New Roman"/>
                <w:sz w:val="24"/>
                <w:szCs w:val="24"/>
                <w:lang w:val="en-IE" w:eastAsia="en-GB"/>
              </w:rPr>
              <w:t xml:space="preserve">the </w:t>
            </w:r>
            <w:r w:rsidR="00D577CB" w:rsidRPr="00CC73B2">
              <w:rPr>
                <w:rFonts w:ascii="Times New Roman" w:eastAsia="Times New Roman" w:hAnsi="Times New Roman"/>
                <w:sz w:val="24"/>
                <w:szCs w:val="24"/>
                <w:lang w:val="en-IE" w:eastAsia="en-GB"/>
              </w:rPr>
              <w:t xml:space="preserve">expected implications on tax </w:t>
            </w:r>
            <w:r w:rsidR="00D577CB" w:rsidRPr="00CC73B2">
              <w:rPr>
                <w:rFonts w:ascii="Times New Roman" w:eastAsia="Times New Roman" w:hAnsi="Times New Roman"/>
                <w:sz w:val="24"/>
                <w:szCs w:val="24"/>
                <w:lang w:val="en-IE" w:eastAsia="en-GB"/>
              </w:rPr>
              <w:lastRenderedPageBreak/>
              <w:t>revenue,</w:t>
            </w:r>
            <w:r w:rsidRPr="00CC73B2">
              <w:rPr>
                <w:rFonts w:ascii="Times New Roman" w:eastAsia="Times New Roman" w:hAnsi="Times New Roman"/>
                <w:sz w:val="24"/>
                <w:szCs w:val="24"/>
                <w:lang w:val="en-IE" w:eastAsia="en-GB"/>
              </w:rPr>
              <w:t xml:space="preserve"> the </w:t>
            </w:r>
            <w:r w:rsidR="00C9203F" w:rsidRPr="00CC73B2">
              <w:rPr>
                <w:rFonts w:ascii="Times New Roman" w:eastAsia="Times New Roman" w:hAnsi="Times New Roman"/>
                <w:sz w:val="24"/>
                <w:szCs w:val="24"/>
                <w:lang w:val="en-IE" w:eastAsia="en-GB"/>
              </w:rPr>
              <w:t xml:space="preserve">proposal </w:t>
            </w:r>
            <w:r w:rsidR="1CA652CC" w:rsidRPr="00CC73B2">
              <w:rPr>
                <w:rFonts w:ascii="Times New Roman" w:eastAsia="Times New Roman" w:hAnsi="Times New Roman"/>
                <w:sz w:val="24"/>
                <w:szCs w:val="24"/>
                <w:lang w:val="en-IE" w:eastAsia="en-GB"/>
              </w:rPr>
              <w:t>addresses the</w:t>
            </w:r>
            <w:r w:rsidRPr="00CC73B2">
              <w:rPr>
                <w:rFonts w:ascii="Times New Roman" w:eastAsia="Times New Roman" w:hAnsi="Times New Roman"/>
                <w:sz w:val="24"/>
                <w:szCs w:val="24"/>
                <w:lang w:val="en-IE" w:eastAsia="en-GB"/>
              </w:rPr>
              <w:t xml:space="preserve"> debt equity bias </w:t>
            </w:r>
            <w:r w:rsidR="005A2054" w:rsidRPr="00CC73B2">
              <w:rPr>
                <w:rFonts w:ascii="Times New Roman" w:eastAsia="Times New Roman" w:hAnsi="Times New Roman"/>
                <w:sz w:val="24"/>
                <w:szCs w:val="24"/>
                <w:lang w:val="en-IE" w:eastAsia="en-GB"/>
              </w:rPr>
              <w:t xml:space="preserve">from </w:t>
            </w:r>
            <w:r w:rsidRPr="00CC73B2">
              <w:rPr>
                <w:rFonts w:ascii="Times New Roman" w:eastAsia="Times New Roman" w:hAnsi="Times New Roman"/>
                <w:sz w:val="24"/>
                <w:szCs w:val="24"/>
                <w:lang w:val="en-IE" w:eastAsia="en-GB"/>
              </w:rPr>
              <w:t>both the debt and equity side</w:t>
            </w:r>
            <w:r w:rsidR="00251213" w:rsidRPr="00CC73B2">
              <w:rPr>
                <w:rFonts w:ascii="Times New Roman" w:eastAsia="Times New Roman" w:hAnsi="Times New Roman"/>
                <w:sz w:val="24"/>
                <w:szCs w:val="24"/>
                <w:lang w:val="en-IE" w:eastAsia="en-GB"/>
              </w:rPr>
              <w:t xml:space="preserve">. </w:t>
            </w:r>
            <w:r w:rsidR="184DB8BD" w:rsidRPr="00CC73B2">
              <w:rPr>
                <w:rFonts w:ascii="Times New Roman" w:eastAsia="Times New Roman" w:hAnsi="Times New Roman"/>
                <w:sz w:val="24"/>
                <w:szCs w:val="24"/>
                <w:lang w:val="en-IE" w:eastAsia="en-GB"/>
              </w:rPr>
              <w:t>The Directive is intended to apply to</w:t>
            </w:r>
            <w:r w:rsidRPr="00CC73B2">
              <w:rPr>
                <w:rFonts w:ascii="Times New Roman" w:eastAsia="Times New Roman" w:hAnsi="Times New Roman"/>
                <w:sz w:val="24"/>
                <w:szCs w:val="24"/>
                <w:lang w:val="en-IE" w:eastAsia="en-GB"/>
              </w:rPr>
              <w:t xml:space="preserve"> all companies that are tax resident in </w:t>
            </w:r>
            <w:r w:rsidR="00AD3592" w:rsidRPr="00CC73B2">
              <w:rPr>
                <w:rFonts w:ascii="Times New Roman" w:eastAsia="Times New Roman" w:hAnsi="Times New Roman"/>
                <w:sz w:val="24"/>
                <w:szCs w:val="24"/>
                <w:lang w:val="en-IE" w:eastAsia="en-GB"/>
              </w:rPr>
              <w:t>the EU</w:t>
            </w:r>
            <w:r w:rsidRPr="00CC73B2">
              <w:rPr>
                <w:rFonts w:ascii="Times New Roman" w:eastAsia="Times New Roman" w:hAnsi="Times New Roman"/>
                <w:sz w:val="24"/>
                <w:szCs w:val="24"/>
                <w:lang w:val="en-IE" w:eastAsia="en-GB"/>
              </w:rPr>
              <w:t xml:space="preserve"> (including permanent establishment</w:t>
            </w:r>
            <w:r w:rsidR="00AD3592" w:rsidRPr="00CC73B2">
              <w:rPr>
                <w:rFonts w:ascii="Times New Roman" w:eastAsia="Times New Roman" w:hAnsi="Times New Roman"/>
                <w:sz w:val="24"/>
                <w:szCs w:val="24"/>
                <w:lang w:val="en-IE" w:eastAsia="en-GB"/>
              </w:rPr>
              <w:t>s</w:t>
            </w:r>
            <w:r w:rsidRPr="00CC73B2">
              <w:rPr>
                <w:rFonts w:ascii="Times New Roman" w:eastAsia="Times New Roman" w:hAnsi="Times New Roman"/>
                <w:sz w:val="24"/>
                <w:szCs w:val="24"/>
                <w:lang w:val="en-IE" w:eastAsia="en-GB"/>
              </w:rPr>
              <w:t xml:space="preserve"> of </w:t>
            </w:r>
            <w:r w:rsidR="00AD3592" w:rsidRPr="00CC73B2">
              <w:rPr>
                <w:rFonts w:ascii="Times New Roman" w:eastAsia="Times New Roman" w:hAnsi="Times New Roman"/>
                <w:sz w:val="24"/>
                <w:szCs w:val="24"/>
                <w:lang w:val="en-IE" w:eastAsia="en-GB"/>
              </w:rPr>
              <w:t>third-country</w:t>
            </w:r>
            <w:r w:rsidRPr="00CC73B2">
              <w:rPr>
                <w:rFonts w:ascii="Times New Roman" w:eastAsia="Times New Roman" w:hAnsi="Times New Roman"/>
                <w:sz w:val="24"/>
                <w:szCs w:val="24"/>
                <w:lang w:val="en-IE" w:eastAsia="en-GB"/>
              </w:rPr>
              <w:t xml:space="preserve"> companies) with the exclusion of financial companies.</w:t>
            </w:r>
          </w:p>
          <w:p w14:paraId="1DFA5DA9" w14:textId="1C157195" w:rsidR="006609CB" w:rsidRPr="00CC73B2" w:rsidRDefault="00251213" w:rsidP="00CC73B2">
            <w:pPr>
              <w:widowControl w:val="0"/>
              <w:spacing w:before="120" w:after="120"/>
              <w:jc w:val="both"/>
              <w:rPr>
                <w:rFonts w:ascii="Times New Roman" w:eastAsia="Times New Roman" w:hAnsi="Times New Roman"/>
                <w:sz w:val="24"/>
                <w:szCs w:val="24"/>
                <w:lang w:val="en-IE" w:eastAsia="en-GB"/>
              </w:rPr>
            </w:pPr>
            <w:r w:rsidRPr="00CC73B2">
              <w:rPr>
                <w:rFonts w:ascii="Times New Roman" w:eastAsia="Times New Roman" w:hAnsi="Times New Roman"/>
                <w:sz w:val="24"/>
                <w:szCs w:val="24"/>
                <w:lang w:val="en-IE" w:eastAsia="en-GB"/>
              </w:rPr>
              <w:t>The proposal</w:t>
            </w:r>
            <w:r w:rsidR="006609CB" w:rsidRPr="00CC73B2">
              <w:rPr>
                <w:rFonts w:ascii="Times New Roman" w:eastAsia="Times New Roman" w:hAnsi="Times New Roman"/>
                <w:sz w:val="24"/>
                <w:szCs w:val="24"/>
                <w:lang w:val="en-IE" w:eastAsia="en-GB"/>
              </w:rPr>
              <w:t xml:space="preserve"> combines an allowance for equity (notional interest) based on equity increases granted for 10 years </w:t>
            </w:r>
            <w:r w:rsidR="00CC39D7" w:rsidRPr="00CC73B2">
              <w:rPr>
                <w:rFonts w:ascii="Times New Roman" w:eastAsia="Times New Roman" w:hAnsi="Times New Roman"/>
                <w:sz w:val="24"/>
                <w:szCs w:val="24"/>
                <w:lang w:val="en-IE" w:eastAsia="en-GB"/>
              </w:rPr>
              <w:t>with</w:t>
            </w:r>
            <w:r w:rsidR="006609CB" w:rsidRPr="00CC73B2">
              <w:rPr>
                <w:rFonts w:ascii="Times New Roman" w:eastAsia="Times New Roman" w:hAnsi="Times New Roman"/>
                <w:sz w:val="24"/>
                <w:szCs w:val="24"/>
                <w:lang w:val="en-IE" w:eastAsia="en-GB"/>
              </w:rPr>
              <w:t xml:space="preserve"> a limitation </w:t>
            </w:r>
            <w:r w:rsidR="00CC39D7" w:rsidRPr="00CC73B2">
              <w:rPr>
                <w:rFonts w:ascii="Times New Roman" w:eastAsia="Times New Roman" w:hAnsi="Times New Roman"/>
                <w:sz w:val="24"/>
                <w:szCs w:val="24"/>
                <w:lang w:val="en-IE" w:eastAsia="en-GB"/>
              </w:rPr>
              <w:t>to</w:t>
            </w:r>
            <w:r w:rsidR="006609CB" w:rsidRPr="00CC73B2">
              <w:rPr>
                <w:rFonts w:ascii="Times New Roman" w:eastAsia="Times New Roman" w:hAnsi="Times New Roman"/>
                <w:sz w:val="24"/>
                <w:szCs w:val="24"/>
                <w:lang w:val="en-IE" w:eastAsia="en-GB"/>
              </w:rPr>
              <w:t xml:space="preserve"> the tax deductibility of interest to 85% of the exceeding borrowing costs</w:t>
            </w:r>
            <w:r w:rsidR="006609CB" w:rsidRPr="00CC73B2">
              <w:rPr>
                <w:rStyle w:val="FootnoteReference"/>
                <w:rFonts w:ascii="Times New Roman" w:eastAsia="Times New Roman" w:hAnsi="Times New Roman"/>
                <w:sz w:val="24"/>
                <w:szCs w:val="24"/>
                <w:lang w:val="en-IE" w:eastAsia="en-GB"/>
              </w:rPr>
              <w:footnoteReference w:id="11"/>
            </w:r>
            <w:r w:rsidR="006609CB" w:rsidRPr="00CC73B2">
              <w:rPr>
                <w:rFonts w:ascii="Times New Roman" w:eastAsia="Times New Roman" w:hAnsi="Times New Roman"/>
                <w:sz w:val="24"/>
                <w:szCs w:val="24"/>
                <w:lang w:val="en-IE" w:eastAsia="en-GB"/>
              </w:rPr>
              <w:t xml:space="preserve">. Small- and </w:t>
            </w:r>
            <w:r w:rsidR="00557F40">
              <w:rPr>
                <w:rFonts w:ascii="Times New Roman" w:eastAsia="Times New Roman" w:hAnsi="Times New Roman"/>
                <w:sz w:val="24"/>
                <w:szCs w:val="24"/>
                <w:lang w:val="en-IE" w:eastAsia="en-GB"/>
              </w:rPr>
              <w:t>m</w:t>
            </w:r>
            <w:r w:rsidR="006609CB" w:rsidRPr="00CC73B2">
              <w:rPr>
                <w:rFonts w:ascii="Times New Roman" w:eastAsia="Times New Roman" w:hAnsi="Times New Roman"/>
                <w:sz w:val="24"/>
                <w:szCs w:val="24"/>
                <w:lang w:val="en-IE" w:eastAsia="en-GB"/>
              </w:rPr>
              <w:t xml:space="preserve">edium-sized </w:t>
            </w:r>
            <w:r w:rsidR="00557F40">
              <w:rPr>
                <w:rFonts w:ascii="Times New Roman" w:eastAsia="Times New Roman" w:hAnsi="Times New Roman"/>
                <w:sz w:val="24"/>
                <w:szCs w:val="24"/>
                <w:lang w:val="en-IE" w:eastAsia="en-GB"/>
              </w:rPr>
              <w:t>e</w:t>
            </w:r>
            <w:r w:rsidR="006609CB" w:rsidRPr="00CC73B2">
              <w:rPr>
                <w:rFonts w:ascii="Times New Roman" w:eastAsia="Times New Roman" w:hAnsi="Times New Roman"/>
                <w:sz w:val="24"/>
                <w:szCs w:val="24"/>
                <w:lang w:val="en-IE" w:eastAsia="en-GB"/>
              </w:rPr>
              <w:t>nterprises (SMEs) would be granted a higher notional interest rate</w:t>
            </w:r>
            <w:r w:rsidR="00BC0878" w:rsidRPr="00CC73B2">
              <w:rPr>
                <w:rFonts w:ascii="Times New Roman" w:eastAsia="Times New Roman" w:hAnsi="Times New Roman"/>
                <w:sz w:val="24"/>
                <w:szCs w:val="24"/>
                <w:lang w:val="en-IE" w:eastAsia="en-GB"/>
              </w:rPr>
              <w:t>,</w:t>
            </w:r>
            <w:r w:rsidR="006609CB" w:rsidRPr="00CC73B2">
              <w:rPr>
                <w:rFonts w:ascii="Times New Roman" w:eastAsia="Times New Roman" w:hAnsi="Times New Roman"/>
                <w:sz w:val="24"/>
                <w:szCs w:val="24"/>
                <w:lang w:val="en-IE" w:eastAsia="en-GB"/>
              </w:rPr>
              <w:t xml:space="preserve"> to </w:t>
            </w:r>
            <w:r w:rsidR="00BC0878" w:rsidRPr="00CC73B2">
              <w:rPr>
                <w:rFonts w:ascii="Times New Roman" w:eastAsia="Times New Roman" w:hAnsi="Times New Roman"/>
                <w:sz w:val="24"/>
                <w:szCs w:val="24"/>
                <w:lang w:val="en-IE" w:eastAsia="en-GB"/>
              </w:rPr>
              <w:t>a</w:t>
            </w:r>
            <w:r w:rsidR="0069673F" w:rsidRPr="00CC73B2">
              <w:rPr>
                <w:rFonts w:ascii="Times New Roman" w:eastAsia="Times New Roman" w:hAnsi="Times New Roman"/>
                <w:sz w:val="24"/>
                <w:szCs w:val="24"/>
                <w:lang w:val="en-IE" w:eastAsia="en-GB"/>
              </w:rPr>
              <w:t>ddress</w:t>
            </w:r>
            <w:r w:rsidR="006609CB" w:rsidRPr="00CC73B2">
              <w:rPr>
                <w:rFonts w:ascii="Times New Roman" w:eastAsia="Times New Roman" w:hAnsi="Times New Roman"/>
                <w:sz w:val="24"/>
                <w:szCs w:val="24"/>
                <w:lang w:val="en-IE" w:eastAsia="en-GB"/>
              </w:rPr>
              <w:t xml:space="preserve"> the specific challenges that they face in accessing capital markets.</w:t>
            </w:r>
          </w:p>
          <w:p w14:paraId="64CFF9A0" w14:textId="75231CE2" w:rsidR="006609CB" w:rsidRPr="00CC73B2" w:rsidRDefault="10A40063" w:rsidP="00CC73B2">
            <w:pPr>
              <w:widowControl w:val="0"/>
              <w:spacing w:before="120" w:after="120"/>
              <w:jc w:val="both"/>
              <w:rPr>
                <w:rFonts w:ascii="Times New Roman" w:eastAsia="Times New Roman" w:hAnsi="Times New Roman"/>
                <w:sz w:val="24"/>
                <w:szCs w:val="24"/>
                <w:lang w:val="en-IE" w:eastAsia="en-GB"/>
              </w:rPr>
            </w:pPr>
            <w:r w:rsidRPr="00CC73B2">
              <w:rPr>
                <w:rFonts w:ascii="Times New Roman" w:eastAsia="Times New Roman" w:hAnsi="Times New Roman"/>
                <w:sz w:val="24"/>
                <w:szCs w:val="24"/>
                <w:lang w:val="en-IE" w:eastAsia="en-GB"/>
              </w:rPr>
              <w:t>Following</w:t>
            </w:r>
            <w:r w:rsidR="006609CB" w:rsidRPr="00CC73B2">
              <w:rPr>
                <w:rFonts w:ascii="Times New Roman" w:eastAsia="Times New Roman" w:hAnsi="Times New Roman"/>
                <w:sz w:val="24"/>
                <w:szCs w:val="24"/>
                <w:lang w:val="en-IE" w:eastAsia="en-GB"/>
              </w:rPr>
              <w:t xml:space="preserve"> the High-Level Working Party meeting of 23 November 2022, </w:t>
            </w:r>
            <w:r w:rsidR="001415CC" w:rsidRPr="00CC73B2">
              <w:rPr>
                <w:rFonts w:ascii="Times New Roman" w:eastAsia="Times New Roman" w:hAnsi="Times New Roman"/>
                <w:sz w:val="24"/>
                <w:szCs w:val="24"/>
                <w:lang w:val="en-IE" w:eastAsia="en-GB"/>
              </w:rPr>
              <w:t>Council discussions</w:t>
            </w:r>
            <w:r w:rsidR="006609CB" w:rsidRPr="00CC73B2">
              <w:rPr>
                <w:rFonts w:ascii="Times New Roman" w:eastAsia="Times New Roman" w:hAnsi="Times New Roman"/>
                <w:sz w:val="24"/>
                <w:szCs w:val="24"/>
                <w:lang w:val="en-IE" w:eastAsia="en-GB"/>
              </w:rPr>
              <w:t xml:space="preserve"> </w:t>
            </w:r>
            <w:r w:rsidR="0861708B" w:rsidRPr="00CC73B2">
              <w:rPr>
                <w:rFonts w:ascii="Times New Roman" w:eastAsia="Times New Roman" w:hAnsi="Times New Roman"/>
                <w:sz w:val="24"/>
                <w:szCs w:val="24"/>
                <w:lang w:val="en-IE" w:eastAsia="en-GB"/>
              </w:rPr>
              <w:t xml:space="preserve">on </w:t>
            </w:r>
            <w:r w:rsidR="006609CB" w:rsidRPr="00CC73B2">
              <w:rPr>
                <w:rFonts w:ascii="Times New Roman" w:eastAsia="Times New Roman" w:hAnsi="Times New Roman"/>
                <w:sz w:val="24"/>
                <w:szCs w:val="24"/>
                <w:lang w:val="en-IE" w:eastAsia="en-GB"/>
              </w:rPr>
              <w:t xml:space="preserve">the proposal </w:t>
            </w:r>
            <w:r w:rsidR="001415CC" w:rsidRPr="00CC73B2">
              <w:rPr>
                <w:rFonts w:ascii="Times New Roman" w:eastAsia="Times New Roman" w:hAnsi="Times New Roman"/>
                <w:sz w:val="24"/>
                <w:szCs w:val="24"/>
                <w:lang w:val="en-IE" w:eastAsia="en-GB"/>
              </w:rPr>
              <w:t>have been</w:t>
            </w:r>
            <w:r w:rsidR="006609CB" w:rsidRPr="00CC73B2">
              <w:rPr>
                <w:rFonts w:ascii="Times New Roman" w:eastAsia="Times New Roman" w:hAnsi="Times New Roman"/>
                <w:sz w:val="24"/>
                <w:szCs w:val="24"/>
                <w:lang w:val="en-IE" w:eastAsia="en-GB"/>
              </w:rPr>
              <w:t xml:space="preserve"> suspended</w:t>
            </w:r>
            <w:r w:rsidR="00583843" w:rsidRPr="00CC73B2">
              <w:rPr>
                <w:rFonts w:ascii="Times New Roman" w:eastAsia="Times New Roman" w:hAnsi="Times New Roman"/>
                <w:sz w:val="24"/>
                <w:szCs w:val="24"/>
                <w:lang w:val="en-IE" w:eastAsia="en-GB"/>
              </w:rPr>
              <w:t xml:space="preserve"> </w:t>
            </w:r>
            <w:r w:rsidR="045986D7" w:rsidRPr="00CC73B2">
              <w:rPr>
                <w:rFonts w:ascii="Times New Roman" w:eastAsia="Times New Roman" w:hAnsi="Times New Roman"/>
                <w:sz w:val="24"/>
                <w:szCs w:val="24"/>
                <w:lang w:val="en-IE" w:eastAsia="en-GB"/>
              </w:rPr>
              <w:t>upon the request</w:t>
            </w:r>
            <w:r w:rsidR="006609CB" w:rsidRPr="00CC73B2">
              <w:rPr>
                <w:rFonts w:ascii="Times New Roman" w:eastAsia="Times New Roman" w:hAnsi="Times New Roman"/>
                <w:sz w:val="24"/>
                <w:szCs w:val="24"/>
                <w:lang w:val="en-IE" w:eastAsia="en-GB"/>
              </w:rPr>
              <w:t xml:space="preserve"> </w:t>
            </w:r>
            <w:r w:rsidR="045986D7" w:rsidRPr="00CC73B2">
              <w:rPr>
                <w:rFonts w:ascii="Times New Roman" w:eastAsia="Times New Roman" w:hAnsi="Times New Roman"/>
                <w:sz w:val="24"/>
                <w:szCs w:val="24"/>
                <w:lang w:val="en-IE" w:eastAsia="en-GB"/>
              </w:rPr>
              <w:t xml:space="preserve">of </w:t>
            </w:r>
            <w:r w:rsidR="006609CB" w:rsidRPr="00CC73B2">
              <w:rPr>
                <w:rFonts w:ascii="Times New Roman" w:eastAsia="Times New Roman" w:hAnsi="Times New Roman"/>
                <w:sz w:val="24"/>
                <w:szCs w:val="24"/>
                <w:lang w:val="en-IE" w:eastAsia="en-GB"/>
              </w:rPr>
              <w:t>Member States.</w:t>
            </w:r>
          </w:p>
          <w:p w14:paraId="53983AA6" w14:textId="061B2C05" w:rsidR="00B62AAF" w:rsidRPr="00CC73B2" w:rsidRDefault="5FEF34F5" w:rsidP="00CC73B2">
            <w:pPr>
              <w:widowControl w:val="0"/>
              <w:spacing w:before="120" w:after="120"/>
              <w:jc w:val="both"/>
              <w:rPr>
                <w:rFonts w:ascii="Times New Roman" w:eastAsia="Times New Roman" w:hAnsi="Times New Roman"/>
                <w:sz w:val="24"/>
                <w:szCs w:val="24"/>
                <w:lang w:val="en-IE" w:eastAsia="en-GB"/>
              </w:rPr>
            </w:pPr>
            <w:r w:rsidRPr="00CC73B2">
              <w:rPr>
                <w:rFonts w:ascii="Times New Roman" w:eastAsia="Times New Roman" w:hAnsi="Times New Roman"/>
                <w:sz w:val="24"/>
                <w:szCs w:val="24"/>
                <w:lang w:val="en-IE" w:eastAsia="en-GB"/>
              </w:rPr>
              <w:t>Considering the</w:t>
            </w:r>
            <w:r w:rsidR="00AF069A" w:rsidRPr="00CC73B2">
              <w:rPr>
                <w:rFonts w:ascii="Times New Roman" w:eastAsia="Times New Roman" w:hAnsi="Times New Roman"/>
                <w:sz w:val="24"/>
                <w:szCs w:val="24"/>
                <w:lang w:val="en-IE" w:eastAsia="en-GB"/>
              </w:rPr>
              <w:t xml:space="preserve"> current </w:t>
            </w:r>
            <w:r w:rsidR="5E317D1F" w:rsidRPr="00CC73B2">
              <w:rPr>
                <w:rFonts w:ascii="Times New Roman" w:eastAsia="Times New Roman" w:hAnsi="Times New Roman"/>
                <w:sz w:val="24"/>
                <w:szCs w:val="24"/>
                <w:lang w:val="en-IE" w:eastAsia="en-GB"/>
              </w:rPr>
              <w:t xml:space="preserve">uncertainty in </w:t>
            </w:r>
            <w:r w:rsidR="0000644C" w:rsidRPr="00CC73B2">
              <w:rPr>
                <w:rFonts w:ascii="Times New Roman" w:eastAsia="Times New Roman" w:hAnsi="Times New Roman"/>
                <w:sz w:val="24"/>
                <w:szCs w:val="24"/>
                <w:lang w:val="en-IE" w:eastAsia="en-GB"/>
              </w:rPr>
              <w:t>international taxation</w:t>
            </w:r>
            <w:r w:rsidR="6597F3C3" w:rsidRPr="00CC73B2">
              <w:rPr>
                <w:rFonts w:ascii="Times New Roman" w:eastAsia="Times New Roman" w:hAnsi="Times New Roman"/>
                <w:sz w:val="24"/>
                <w:szCs w:val="24"/>
                <w:lang w:val="en-IE" w:eastAsia="en-GB"/>
              </w:rPr>
              <w:t xml:space="preserve"> matters</w:t>
            </w:r>
            <w:r w:rsidR="0000644C" w:rsidRPr="00CC73B2">
              <w:rPr>
                <w:rFonts w:ascii="Times New Roman" w:eastAsia="Times New Roman" w:hAnsi="Times New Roman"/>
                <w:sz w:val="24"/>
                <w:szCs w:val="24"/>
                <w:lang w:val="en-IE" w:eastAsia="en-GB"/>
              </w:rPr>
              <w:t>,</w:t>
            </w:r>
            <w:r w:rsidR="2924DD72" w:rsidRPr="00CC73B2">
              <w:rPr>
                <w:rFonts w:ascii="Times New Roman" w:eastAsia="Times New Roman" w:hAnsi="Times New Roman"/>
                <w:sz w:val="24"/>
                <w:szCs w:val="24"/>
                <w:lang w:val="en-IE" w:eastAsia="en-GB"/>
              </w:rPr>
              <w:t xml:space="preserve"> Member States</w:t>
            </w:r>
            <w:r w:rsidR="2F336518" w:rsidRPr="00CC73B2">
              <w:rPr>
                <w:rFonts w:ascii="Times New Roman" w:eastAsia="Times New Roman" w:hAnsi="Times New Roman"/>
                <w:sz w:val="24"/>
                <w:szCs w:val="24"/>
                <w:lang w:val="en-IE" w:eastAsia="en-GB"/>
              </w:rPr>
              <w:t xml:space="preserve">’ efforts </w:t>
            </w:r>
            <w:r w:rsidR="2924DD72" w:rsidRPr="00CC73B2">
              <w:rPr>
                <w:rFonts w:ascii="Times New Roman" w:eastAsia="Times New Roman" w:hAnsi="Times New Roman"/>
                <w:sz w:val="24"/>
                <w:szCs w:val="24"/>
                <w:lang w:val="en-IE" w:eastAsia="en-GB"/>
              </w:rPr>
              <w:t>are focused on</w:t>
            </w:r>
            <w:r w:rsidR="004A354F" w:rsidRPr="00CC73B2">
              <w:rPr>
                <w:rFonts w:ascii="Times New Roman" w:eastAsia="Times New Roman" w:hAnsi="Times New Roman"/>
                <w:sz w:val="24"/>
                <w:szCs w:val="24"/>
                <w:lang w:val="en-IE" w:eastAsia="en-GB"/>
              </w:rPr>
              <w:t xml:space="preserve"> </w:t>
            </w:r>
            <w:r w:rsidR="6B29EE5E" w:rsidRPr="00CC73B2">
              <w:rPr>
                <w:rFonts w:ascii="Times New Roman" w:eastAsia="Times New Roman" w:hAnsi="Times New Roman"/>
                <w:sz w:val="24"/>
                <w:szCs w:val="24"/>
                <w:lang w:val="en-IE" w:eastAsia="en-GB"/>
              </w:rPr>
              <w:t xml:space="preserve">achieving an </w:t>
            </w:r>
            <w:r w:rsidR="004A354F" w:rsidRPr="00CC73B2">
              <w:rPr>
                <w:rFonts w:ascii="Times New Roman" w:eastAsia="Times New Roman" w:hAnsi="Times New Roman"/>
                <w:sz w:val="24"/>
                <w:szCs w:val="24"/>
                <w:lang w:val="en-IE" w:eastAsia="en-GB"/>
              </w:rPr>
              <w:t xml:space="preserve">agreement on the coexistence between the Global Minimum Tax framework and </w:t>
            </w:r>
            <w:r w:rsidR="00DB349C" w:rsidRPr="00CC73B2">
              <w:rPr>
                <w:rFonts w:ascii="Times New Roman" w:eastAsia="Times New Roman" w:hAnsi="Times New Roman"/>
                <w:sz w:val="24"/>
                <w:szCs w:val="24"/>
                <w:lang w:val="en-IE" w:eastAsia="en-GB"/>
              </w:rPr>
              <w:t>US rules</w:t>
            </w:r>
            <w:r w:rsidR="00D9265C" w:rsidRPr="00CC73B2">
              <w:rPr>
                <w:rFonts w:ascii="Times New Roman" w:eastAsia="Times New Roman" w:hAnsi="Times New Roman"/>
                <w:sz w:val="24"/>
                <w:szCs w:val="24"/>
                <w:lang w:val="en-IE" w:eastAsia="en-GB"/>
              </w:rPr>
              <w:t xml:space="preserve">. </w:t>
            </w:r>
            <w:r w:rsidR="0025276E" w:rsidRPr="00CC73B2">
              <w:rPr>
                <w:rFonts w:ascii="Times New Roman" w:eastAsia="Times New Roman" w:hAnsi="Times New Roman"/>
                <w:sz w:val="24"/>
                <w:szCs w:val="24"/>
                <w:lang w:val="en-IE" w:eastAsia="en-GB"/>
              </w:rPr>
              <w:t>Therefore,</w:t>
            </w:r>
            <w:r w:rsidR="006424C6" w:rsidRPr="00CC73B2">
              <w:rPr>
                <w:rFonts w:ascii="Times New Roman" w:eastAsia="Times New Roman" w:hAnsi="Times New Roman"/>
                <w:sz w:val="24"/>
                <w:szCs w:val="24"/>
                <w:lang w:val="en-IE" w:eastAsia="en-GB"/>
              </w:rPr>
              <w:t xml:space="preserve"> </w:t>
            </w:r>
            <w:proofErr w:type="gramStart"/>
            <w:r w:rsidR="006424C6" w:rsidRPr="00CC73B2">
              <w:rPr>
                <w:rFonts w:ascii="Times New Roman" w:eastAsia="Times New Roman" w:hAnsi="Times New Roman"/>
                <w:sz w:val="24"/>
                <w:szCs w:val="24"/>
                <w:lang w:val="en-IE" w:eastAsia="en-GB"/>
              </w:rPr>
              <w:t>at this time</w:t>
            </w:r>
            <w:proofErr w:type="gramEnd"/>
            <w:r w:rsidR="00BC222D" w:rsidRPr="00CC73B2">
              <w:rPr>
                <w:rFonts w:ascii="Times New Roman" w:eastAsia="Times New Roman" w:hAnsi="Times New Roman"/>
                <w:sz w:val="24"/>
                <w:szCs w:val="24"/>
                <w:lang w:val="en-IE" w:eastAsia="en-GB"/>
              </w:rPr>
              <w:t xml:space="preserve"> there is</w:t>
            </w:r>
            <w:r w:rsidR="6C93B313" w:rsidRPr="00CC73B2">
              <w:rPr>
                <w:rFonts w:ascii="Times New Roman" w:eastAsia="Times New Roman" w:hAnsi="Times New Roman"/>
                <w:sz w:val="24"/>
                <w:szCs w:val="24"/>
                <w:lang w:val="en-IE" w:eastAsia="en-GB"/>
              </w:rPr>
              <w:t xml:space="preserve"> limited capacity to</w:t>
            </w:r>
            <w:r w:rsidR="005B7443" w:rsidRPr="00CC73B2">
              <w:rPr>
                <w:rFonts w:ascii="Times New Roman" w:eastAsia="Times New Roman" w:hAnsi="Times New Roman"/>
                <w:sz w:val="24"/>
                <w:szCs w:val="24"/>
                <w:lang w:val="en-IE" w:eastAsia="en-GB"/>
              </w:rPr>
              <w:t xml:space="preserve"> resum</w:t>
            </w:r>
            <w:r w:rsidR="27FA3FD5" w:rsidRPr="00CC73B2">
              <w:rPr>
                <w:rFonts w:ascii="Times New Roman" w:eastAsia="Times New Roman" w:hAnsi="Times New Roman"/>
                <w:sz w:val="24"/>
                <w:szCs w:val="24"/>
                <w:lang w:val="en-IE" w:eastAsia="en-GB"/>
              </w:rPr>
              <w:t>e</w:t>
            </w:r>
            <w:r w:rsidR="005B7443" w:rsidRPr="00CC73B2">
              <w:rPr>
                <w:rFonts w:ascii="Times New Roman" w:eastAsia="Times New Roman" w:hAnsi="Times New Roman"/>
                <w:sz w:val="24"/>
                <w:szCs w:val="24"/>
                <w:lang w:val="en-IE" w:eastAsia="en-GB"/>
              </w:rPr>
              <w:t xml:space="preserve"> work on DEBRA.</w:t>
            </w:r>
          </w:p>
          <w:p w14:paraId="2265C274" w14:textId="303E0E40" w:rsidR="00B62AAF" w:rsidRPr="00CC73B2" w:rsidRDefault="00B62AAF"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3.2 of the opinion:</w:t>
            </w:r>
          </w:p>
          <w:p w14:paraId="3F543B42" w14:textId="5B748146" w:rsidR="00B62AAF" w:rsidRPr="00CC73B2" w:rsidRDefault="65DBE792" w:rsidP="00CC73B2">
            <w:pPr>
              <w:widowControl w:val="0"/>
              <w:spacing w:before="120" w:after="120"/>
              <w:jc w:val="both"/>
              <w:rPr>
                <w:rFonts w:ascii="Times New Roman" w:hAnsi="Times New Roman"/>
                <w:sz w:val="24"/>
                <w:szCs w:val="24"/>
                <w:highlight w:val="yellow"/>
              </w:rPr>
            </w:pPr>
            <w:r w:rsidRPr="00CC73B2">
              <w:rPr>
                <w:rFonts w:ascii="Times New Roman" w:hAnsi="Times New Roman"/>
                <w:sz w:val="24"/>
                <w:szCs w:val="24"/>
              </w:rPr>
              <w:t xml:space="preserve">The Commission agrees with the objective of increasing retail participation in </w:t>
            </w:r>
            <w:r w:rsidR="6DAB0335" w:rsidRPr="00CC73B2">
              <w:rPr>
                <w:rFonts w:ascii="Times New Roman" w:hAnsi="Times New Roman"/>
                <w:sz w:val="24"/>
                <w:szCs w:val="24"/>
              </w:rPr>
              <w:t>EU capital markets, and shares the points made by the EESC</w:t>
            </w:r>
            <w:r w:rsidR="75AFD680" w:rsidRPr="00CC73B2">
              <w:rPr>
                <w:rFonts w:ascii="Times New Roman" w:hAnsi="Times New Roman"/>
                <w:sz w:val="24"/>
                <w:szCs w:val="24"/>
              </w:rPr>
              <w:t xml:space="preserve"> on the need to ensure that the consumer journey in the EU should be improved, and that citizens should be able to access fair and equal investment opportunities across the EU</w:t>
            </w:r>
            <w:r w:rsidR="6DAB0335" w:rsidRPr="00CC73B2">
              <w:rPr>
                <w:rFonts w:ascii="Times New Roman" w:hAnsi="Times New Roman"/>
                <w:sz w:val="24"/>
                <w:szCs w:val="24"/>
              </w:rPr>
              <w:t xml:space="preserve">. </w:t>
            </w:r>
            <w:r w:rsidR="3B3972FA" w:rsidRPr="00CC73B2">
              <w:rPr>
                <w:rFonts w:ascii="Times New Roman" w:hAnsi="Times New Roman"/>
                <w:sz w:val="24"/>
                <w:szCs w:val="24"/>
              </w:rPr>
              <w:t>O</w:t>
            </w:r>
            <w:r w:rsidR="7FC0E793" w:rsidRPr="00CC73B2">
              <w:rPr>
                <w:rFonts w:ascii="Times New Roman" w:hAnsi="Times New Roman"/>
                <w:sz w:val="24"/>
                <w:szCs w:val="24"/>
              </w:rPr>
              <w:t>n a European Savings Account blueprint</w:t>
            </w:r>
            <w:r w:rsidR="29413F04" w:rsidRPr="00CC73B2">
              <w:rPr>
                <w:rFonts w:ascii="Times New Roman" w:hAnsi="Times New Roman"/>
                <w:sz w:val="24"/>
                <w:szCs w:val="24"/>
              </w:rPr>
              <w:t>, see above</w:t>
            </w:r>
            <w:r w:rsidR="7FC0E793" w:rsidRPr="00CC73B2">
              <w:rPr>
                <w:rFonts w:ascii="Times New Roman" w:hAnsi="Times New Roman"/>
                <w:sz w:val="24"/>
                <w:szCs w:val="24"/>
              </w:rPr>
              <w:t xml:space="preserve"> in </w:t>
            </w:r>
            <w:r w:rsidRPr="00CC73B2">
              <w:rPr>
                <w:rFonts w:ascii="Times New Roman" w:hAnsi="Times New Roman"/>
                <w:sz w:val="24"/>
                <w:szCs w:val="24"/>
              </w:rPr>
              <w:t>points 2.5 and 2.9.</w:t>
            </w:r>
          </w:p>
          <w:p w14:paraId="7C90FF21" w14:textId="49F756FC" w:rsidR="00B62AAF" w:rsidRPr="00CC73B2" w:rsidDel="00DF1C3C" w:rsidRDefault="07F6D5DA" w:rsidP="00CC73B2">
            <w:pPr>
              <w:widowControl w:val="0"/>
              <w:spacing w:before="120" w:after="120"/>
              <w:jc w:val="both"/>
              <w:rPr>
                <w:rFonts w:ascii="Times New Roman" w:hAnsi="Times New Roman"/>
                <w:sz w:val="24"/>
                <w:szCs w:val="24"/>
                <w:u w:val="single"/>
              </w:rPr>
            </w:pPr>
            <w:r w:rsidRPr="00CC73B2">
              <w:rPr>
                <w:rFonts w:ascii="Times New Roman" w:hAnsi="Times New Roman"/>
                <w:sz w:val="24"/>
                <w:szCs w:val="24"/>
                <w:u w:val="single"/>
              </w:rPr>
              <w:t>Point 3.3 of the opinion:</w:t>
            </w:r>
          </w:p>
          <w:p w14:paraId="30D14481" w14:textId="4A6F1C01" w:rsidR="0049246C" w:rsidRPr="0025276E" w:rsidRDefault="4A51A4A9" w:rsidP="00CC73B2">
            <w:pPr>
              <w:widowControl w:val="0"/>
              <w:spacing w:before="120" w:after="120"/>
              <w:jc w:val="both"/>
              <w:rPr>
                <w:rFonts w:ascii="Times New Roman" w:hAnsi="Times New Roman"/>
                <w:sz w:val="24"/>
                <w:szCs w:val="24"/>
              </w:rPr>
            </w:pPr>
            <w:r w:rsidRPr="00CC73B2">
              <w:rPr>
                <w:rFonts w:ascii="Times New Roman" w:hAnsi="Times New Roman"/>
                <w:sz w:val="24"/>
                <w:szCs w:val="24"/>
              </w:rPr>
              <w:t>As announced in the Startup and Scaleup Strategy published on 28 May 2025</w:t>
            </w:r>
            <w:r w:rsidR="00B62AAF" w:rsidRPr="00CC73B2">
              <w:rPr>
                <w:rStyle w:val="FootnoteReference"/>
                <w:rFonts w:ascii="Times New Roman" w:hAnsi="Times New Roman"/>
                <w:sz w:val="24"/>
                <w:szCs w:val="24"/>
              </w:rPr>
              <w:footnoteReference w:id="12"/>
            </w:r>
            <w:r w:rsidRPr="00CC73B2">
              <w:rPr>
                <w:rFonts w:ascii="Times New Roman" w:hAnsi="Times New Roman"/>
                <w:sz w:val="24"/>
                <w:szCs w:val="24"/>
              </w:rPr>
              <w:t xml:space="preserve">, </w:t>
            </w:r>
            <w:r w:rsidR="706A0AF1" w:rsidRPr="00CC73B2">
              <w:rPr>
                <w:rFonts w:ascii="Times New Roman" w:hAnsi="Times New Roman"/>
                <w:sz w:val="24"/>
                <w:szCs w:val="24"/>
              </w:rPr>
              <w:t>t</w:t>
            </w:r>
            <w:r w:rsidRPr="00CC73B2">
              <w:rPr>
                <w:rFonts w:ascii="Times New Roman" w:hAnsi="Times New Roman"/>
                <w:sz w:val="24"/>
                <w:szCs w:val="24"/>
              </w:rPr>
              <w:t xml:space="preserve">he Commission will launch a Blue Carpet initiative </w:t>
            </w:r>
            <w:r w:rsidR="286AA715" w:rsidRPr="00CC73B2">
              <w:rPr>
                <w:rFonts w:ascii="Times New Roman" w:hAnsi="Times New Roman"/>
                <w:sz w:val="24"/>
                <w:szCs w:val="24"/>
              </w:rPr>
              <w:t xml:space="preserve">to support the attraction and retention of highly skilled and diverse talent from within the EU and from non-EU countries. </w:t>
            </w:r>
            <w:r w:rsidR="7923F35C" w:rsidRPr="00CC73B2">
              <w:rPr>
                <w:rFonts w:ascii="Times New Roman" w:hAnsi="Times New Roman"/>
                <w:sz w:val="24"/>
                <w:szCs w:val="24"/>
              </w:rPr>
              <w:t xml:space="preserve">The Commission agrees </w:t>
            </w:r>
            <w:r w:rsidR="301FC006" w:rsidRPr="00CC73B2">
              <w:rPr>
                <w:rFonts w:ascii="Times New Roman" w:hAnsi="Times New Roman"/>
                <w:sz w:val="24"/>
                <w:szCs w:val="24"/>
              </w:rPr>
              <w:t xml:space="preserve">that the complexity </w:t>
            </w:r>
            <w:r w:rsidR="301FC006" w:rsidRPr="00CC73B2">
              <w:rPr>
                <w:rFonts w:ascii="Times New Roman" w:eastAsia="Times New Roman" w:hAnsi="Times New Roman"/>
                <w:sz w:val="24"/>
                <w:szCs w:val="24"/>
              </w:rPr>
              <w:t xml:space="preserve">around Employee Stock Options (ESOs) create additional challenges for startups when offering non-cash compensation to attract skilled talent. </w:t>
            </w:r>
            <w:r w:rsidR="640A3075" w:rsidRPr="00CC73B2">
              <w:rPr>
                <w:rFonts w:ascii="Times New Roman" w:eastAsia="Times New Roman" w:hAnsi="Times New Roman"/>
                <w:sz w:val="24"/>
                <w:szCs w:val="24"/>
              </w:rPr>
              <w:t>For this reason, a</w:t>
            </w:r>
            <w:r w:rsidR="553BEC7B" w:rsidRPr="00CC73B2">
              <w:rPr>
                <w:rFonts w:ascii="Times New Roman" w:hAnsi="Times New Roman"/>
                <w:sz w:val="24"/>
                <w:szCs w:val="24"/>
              </w:rPr>
              <w:t xml:space="preserve">s </w:t>
            </w:r>
            <w:r w:rsidR="37E22C22" w:rsidRPr="00CC73B2">
              <w:rPr>
                <w:rFonts w:ascii="Times New Roman" w:hAnsi="Times New Roman"/>
                <w:sz w:val="24"/>
                <w:szCs w:val="24"/>
              </w:rPr>
              <w:t>part of the Blue Carpet initiative,</w:t>
            </w:r>
            <w:r w:rsidR="553BEC7B" w:rsidRPr="00CC73B2">
              <w:rPr>
                <w:rFonts w:ascii="Times New Roman" w:hAnsi="Times New Roman"/>
                <w:sz w:val="24"/>
                <w:szCs w:val="24"/>
              </w:rPr>
              <w:t xml:space="preserve"> the Commission will</w:t>
            </w:r>
            <w:r w:rsidR="5AA76465" w:rsidRPr="00CC73B2">
              <w:rPr>
                <w:rFonts w:ascii="Times New Roman" w:hAnsi="Times New Roman"/>
                <w:sz w:val="24"/>
                <w:szCs w:val="24"/>
              </w:rPr>
              <w:t xml:space="preserve"> </w:t>
            </w:r>
            <w:r w:rsidR="71931FED" w:rsidRPr="00CC73B2">
              <w:rPr>
                <w:rFonts w:ascii="Times New Roman" w:eastAsia="Times New Roman" w:hAnsi="Times New Roman"/>
                <w:sz w:val="24"/>
                <w:szCs w:val="24"/>
              </w:rPr>
              <w:t>explore best practices concerning the treatment of employee stock options for startups, including considering legislative measures to harmonise certain aspects of their treatment.</w:t>
            </w:r>
          </w:p>
        </w:tc>
      </w:tr>
    </w:tbl>
    <w:p w14:paraId="6AF07B14" w14:textId="26AEAB66" w:rsidR="004F6117" w:rsidRPr="00CC73B2" w:rsidRDefault="004F6117" w:rsidP="00CC73B2">
      <w:pPr>
        <w:widowControl w:val="0"/>
        <w:spacing w:after="0" w:line="240" w:lineRule="auto"/>
        <w:ind w:left="-567"/>
        <w:jc w:val="both"/>
        <w:rPr>
          <w:rFonts w:ascii="Times New Roman" w:hAnsi="Times New Roman"/>
          <w:bCs/>
          <w:sz w:val="16"/>
          <w:szCs w:val="16"/>
        </w:rPr>
      </w:pPr>
    </w:p>
    <w:sectPr w:rsidR="004F6117" w:rsidRPr="00CC73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4086" w14:textId="77777777" w:rsidR="009A70DC" w:rsidRDefault="009A70DC" w:rsidP="00FF63EA">
      <w:pPr>
        <w:spacing w:after="0" w:line="240" w:lineRule="auto"/>
      </w:pPr>
      <w:r>
        <w:separator/>
      </w:r>
    </w:p>
  </w:endnote>
  <w:endnote w:type="continuationSeparator" w:id="0">
    <w:p w14:paraId="3BA9C4AD" w14:textId="77777777" w:rsidR="009A70DC" w:rsidRDefault="009A70DC" w:rsidP="00FF63EA">
      <w:pPr>
        <w:spacing w:after="0" w:line="240" w:lineRule="auto"/>
      </w:pPr>
      <w:r>
        <w:continuationSeparator/>
      </w:r>
    </w:p>
  </w:endnote>
  <w:endnote w:type="continuationNotice" w:id="1">
    <w:p w14:paraId="2249F300" w14:textId="77777777" w:rsidR="009A70DC" w:rsidRDefault="009A7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B97C" w14:textId="77777777" w:rsidR="009A70DC" w:rsidRDefault="009A70DC" w:rsidP="00FF63EA">
      <w:pPr>
        <w:spacing w:after="0" w:line="240" w:lineRule="auto"/>
      </w:pPr>
      <w:r>
        <w:separator/>
      </w:r>
    </w:p>
  </w:footnote>
  <w:footnote w:type="continuationSeparator" w:id="0">
    <w:p w14:paraId="0A88C798" w14:textId="77777777" w:rsidR="009A70DC" w:rsidRDefault="009A70DC" w:rsidP="00FF63EA">
      <w:pPr>
        <w:spacing w:after="0" w:line="240" w:lineRule="auto"/>
      </w:pPr>
      <w:r>
        <w:continuationSeparator/>
      </w:r>
    </w:p>
  </w:footnote>
  <w:footnote w:type="continuationNotice" w:id="1">
    <w:p w14:paraId="77952B61" w14:textId="77777777" w:rsidR="009A70DC" w:rsidRDefault="009A70DC">
      <w:pPr>
        <w:spacing w:after="0" w:line="240" w:lineRule="auto"/>
      </w:pPr>
    </w:p>
  </w:footnote>
  <w:footnote w:id="2">
    <w:p w14:paraId="7EB59FCD" w14:textId="4B843A7C" w:rsidR="000734EF" w:rsidRPr="006A3A53" w:rsidRDefault="000734EF" w:rsidP="006A3A53">
      <w:pPr>
        <w:pStyle w:val="FootnoteText"/>
        <w:ind w:left="-142" w:right="-567" w:hanging="284"/>
        <w:jc w:val="both"/>
        <w:rPr>
          <w:rFonts w:ascii="Times New Roman" w:hAnsi="Times New Roman"/>
        </w:rPr>
      </w:pPr>
      <w:r w:rsidRPr="006A3A53">
        <w:rPr>
          <w:rStyle w:val="FootnoteReference"/>
          <w:rFonts w:ascii="Times New Roman" w:hAnsi="Times New Roman"/>
        </w:rPr>
        <w:footnoteRef/>
      </w:r>
      <w:r w:rsidRPr="006A3A53">
        <w:rPr>
          <w:rFonts w:ascii="Times New Roman" w:hAnsi="Times New Roman"/>
        </w:rPr>
        <w:t xml:space="preserve"> </w:t>
      </w:r>
      <w:r w:rsidRPr="006A3A53">
        <w:rPr>
          <w:rFonts w:ascii="Times New Roman" w:hAnsi="Times New Roman"/>
        </w:rPr>
        <w:tab/>
      </w:r>
      <w:proofErr w:type="gramStart"/>
      <w:r w:rsidRPr="006A3A53">
        <w:rPr>
          <w:rFonts w:ascii="Times New Roman" w:hAnsi="Times New Roman"/>
        </w:rPr>
        <w:t>COM</w:t>
      </w:r>
      <w:r>
        <w:rPr>
          <w:rFonts w:ascii="Times New Roman" w:hAnsi="Times New Roman"/>
        </w:rPr>
        <w:t>(</w:t>
      </w:r>
      <w:proofErr w:type="gramEnd"/>
      <w:r w:rsidRPr="006A3A53">
        <w:rPr>
          <w:rFonts w:ascii="Times New Roman" w:hAnsi="Times New Roman"/>
        </w:rPr>
        <w:t>2025</w:t>
      </w:r>
      <w:r>
        <w:rPr>
          <w:rFonts w:ascii="Times New Roman" w:hAnsi="Times New Roman"/>
        </w:rPr>
        <w:t xml:space="preserve">) </w:t>
      </w:r>
      <w:r w:rsidRPr="006A3A53">
        <w:rPr>
          <w:rFonts w:ascii="Times New Roman" w:hAnsi="Times New Roman"/>
        </w:rPr>
        <w:t>124 final (</w:t>
      </w:r>
      <w:hyperlink r:id="rId1" w:history="1">
        <w:r w:rsidRPr="006A3A53">
          <w:rPr>
            <w:rStyle w:val="Hyperlink"/>
            <w:rFonts w:ascii="Times New Roman" w:hAnsi="Times New Roman"/>
          </w:rPr>
          <w:t>EUR-Lex - 52025DC0124 - EN - EUR-Lex</w:t>
        </w:r>
      </w:hyperlink>
      <w:r w:rsidRPr="006A3A53">
        <w:rPr>
          <w:rFonts w:ascii="Times New Roman" w:hAnsi="Times New Roman"/>
        </w:rPr>
        <w:t>).</w:t>
      </w:r>
    </w:p>
  </w:footnote>
  <w:footnote w:id="3">
    <w:p w14:paraId="1E5897F9" w14:textId="5B04C626" w:rsidR="00B31F3D" w:rsidRPr="00762901" w:rsidRDefault="00B31F3D" w:rsidP="006A3A53">
      <w:pPr>
        <w:pStyle w:val="FootnoteText"/>
        <w:widowControl w:val="0"/>
        <w:ind w:left="-141" w:right="-567" w:hanging="284"/>
        <w:jc w:val="both"/>
        <w:rPr>
          <w:rFonts w:ascii="Times New Roman" w:hAnsi="Times New Roman"/>
          <w:lang w:val="pt-PT"/>
        </w:rPr>
      </w:pPr>
      <w:r w:rsidRPr="00762901">
        <w:rPr>
          <w:rStyle w:val="FootnoteReference"/>
          <w:rFonts w:ascii="Times New Roman" w:hAnsi="Times New Roman"/>
        </w:rPr>
        <w:footnoteRef/>
      </w:r>
      <w:r w:rsidR="22BA8EC2" w:rsidRPr="00762901">
        <w:rPr>
          <w:rFonts w:ascii="Times New Roman" w:hAnsi="Times New Roman"/>
          <w:lang w:val="pt-PT"/>
        </w:rPr>
        <w:t xml:space="preserve"> </w:t>
      </w:r>
      <w:r w:rsidR="00B94CEA" w:rsidRPr="00762901">
        <w:rPr>
          <w:rFonts w:ascii="Times New Roman" w:hAnsi="Times New Roman"/>
          <w:lang w:val="pt-PT"/>
        </w:rPr>
        <w:tab/>
      </w:r>
      <w:proofErr w:type="gramStart"/>
      <w:r w:rsidR="00FA2A67" w:rsidRPr="00762901">
        <w:rPr>
          <w:rFonts w:ascii="Times New Roman" w:hAnsi="Times New Roman"/>
          <w:lang w:val="pt-PT"/>
        </w:rPr>
        <w:t>COM</w:t>
      </w:r>
      <w:r w:rsidR="00762901" w:rsidRPr="00762901">
        <w:rPr>
          <w:rFonts w:ascii="Times New Roman" w:hAnsi="Times New Roman"/>
          <w:lang w:val="pt-PT"/>
        </w:rPr>
        <w:t>(</w:t>
      </w:r>
      <w:proofErr w:type="gramEnd"/>
      <w:r w:rsidR="00FA2A67" w:rsidRPr="00762901">
        <w:rPr>
          <w:rFonts w:ascii="Times New Roman" w:hAnsi="Times New Roman"/>
          <w:lang w:val="pt-PT"/>
        </w:rPr>
        <w:t>2025</w:t>
      </w:r>
      <w:r w:rsidR="00762901" w:rsidRPr="00762901">
        <w:rPr>
          <w:rFonts w:ascii="Times New Roman" w:hAnsi="Times New Roman"/>
          <w:lang w:val="pt-PT"/>
        </w:rPr>
        <w:t xml:space="preserve">) </w:t>
      </w:r>
      <w:r w:rsidR="00FA2A67" w:rsidRPr="00762901">
        <w:rPr>
          <w:rFonts w:ascii="Times New Roman" w:hAnsi="Times New Roman"/>
          <w:lang w:val="pt-PT"/>
        </w:rPr>
        <w:t>90 final (</w:t>
      </w:r>
      <w:hyperlink r:id="rId2" w:history="1">
        <w:r w:rsidR="00FA2A67" w:rsidRPr="00762901">
          <w:rPr>
            <w:rStyle w:val="Hyperlink"/>
            <w:rFonts w:ascii="Times New Roman" w:hAnsi="Times New Roman"/>
            <w:lang w:val="pt-PT"/>
          </w:rPr>
          <w:t>https://eur-lex.europa.eu/legal-content/EN/TXT/?uri=celex:52025DC0090</w:t>
        </w:r>
      </w:hyperlink>
      <w:r w:rsidR="00FA2A67" w:rsidRPr="00762901">
        <w:rPr>
          <w:rFonts w:ascii="Times New Roman" w:hAnsi="Times New Roman"/>
          <w:lang w:val="pt-PT"/>
        </w:rPr>
        <w:t>)</w:t>
      </w:r>
      <w:r w:rsidR="00762901" w:rsidRPr="00762901">
        <w:rPr>
          <w:rFonts w:ascii="Times New Roman" w:hAnsi="Times New Roman"/>
          <w:lang w:val="pt-PT"/>
        </w:rPr>
        <w:t>.</w:t>
      </w:r>
    </w:p>
  </w:footnote>
  <w:footnote w:id="4">
    <w:p w14:paraId="601E1196" w14:textId="7521A2B2" w:rsidR="001C2687" w:rsidRPr="006A3A53" w:rsidRDefault="001C2687" w:rsidP="006A3A53">
      <w:pPr>
        <w:pStyle w:val="FootnoteText"/>
        <w:widowControl w:val="0"/>
        <w:ind w:left="-141" w:right="-567" w:hanging="284"/>
        <w:jc w:val="both"/>
        <w:rPr>
          <w:rFonts w:ascii="Times New Roman" w:hAnsi="Times New Roman"/>
          <w:lang w:val="pt-PT"/>
        </w:rPr>
      </w:pPr>
      <w:r w:rsidRPr="006A3A53">
        <w:rPr>
          <w:rStyle w:val="FootnoteReference"/>
          <w:rFonts w:ascii="Times New Roman" w:hAnsi="Times New Roman"/>
        </w:rPr>
        <w:footnoteRef/>
      </w:r>
      <w:r w:rsidRPr="006A3A53">
        <w:rPr>
          <w:rFonts w:ascii="Times New Roman" w:hAnsi="Times New Roman"/>
          <w:lang w:val="pt-PT"/>
        </w:rPr>
        <w:t xml:space="preserve"> </w:t>
      </w:r>
      <w:r w:rsidR="00762901" w:rsidRPr="006A3A53">
        <w:rPr>
          <w:rFonts w:ascii="Times New Roman" w:hAnsi="Times New Roman"/>
          <w:lang w:val="pt-PT"/>
        </w:rPr>
        <w:tab/>
      </w:r>
      <w:hyperlink r:id="rId3" w:history="1">
        <w:r w:rsidRPr="006A3A53">
          <w:rPr>
            <w:rStyle w:val="Hyperlink"/>
            <w:rFonts w:ascii="Times New Roman" w:hAnsi="Times New Roman"/>
            <w:lang w:val="pt-PT"/>
          </w:rPr>
          <w:t>AC_25_1137_EN.pdf</w:t>
        </w:r>
      </w:hyperlink>
      <w:r w:rsidR="00762901" w:rsidRPr="006A3A53">
        <w:rPr>
          <w:rFonts w:ascii="Times New Roman" w:hAnsi="Times New Roman"/>
          <w:lang w:val="pt-PT"/>
        </w:rPr>
        <w:t>.</w:t>
      </w:r>
    </w:p>
  </w:footnote>
  <w:footnote w:id="5">
    <w:p w14:paraId="504111AA" w14:textId="1DA41BB7" w:rsidR="000734EF" w:rsidRPr="006A3A53" w:rsidRDefault="000734EF" w:rsidP="006A3A53">
      <w:pPr>
        <w:pStyle w:val="FootnoteText"/>
        <w:widowControl w:val="0"/>
        <w:ind w:left="-141" w:hanging="284"/>
        <w:jc w:val="both"/>
        <w:rPr>
          <w:rFonts w:ascii="Times New Roman" w:hAnsi="Times New Roman"/>
        </w:rPr>
      </w:pPr>
      <w:r w:rsidRPr="006A3A53">
        <w:rPr>
          <w:rStyle w:val="FootnoteReference"/>
          <w:rFonts w:ascii="Times New Roman" w:hAnsi="Times New Roman"/>
        </w:rPr>
        <w:footnoteRef/>
      </w:r>
      <w:r w:rsidRPr="006A3A53">
        <w:rPr>
          <w:rFonts w:ascii="Times New Roman" w:hAnsi="Times New Roman"/>
        </w:rPr>
        <w:t xml:space="preserve"> </w:t>
      </w:r>
      <w:r w:rsidRPr="006A3A53">
        <w:rPr>
          <w:rFonts w:ascii="Times New Roman" w:hAnsi="Times New Roman"/>
        </w:rPr>
        <w:tab/>
      </w:r>
      <w:proofErr w:type="gramStart"/>
      <w:r w:rsidRPr="006A3A53">
        <w:rPr>
          <w:rFonts w:ascii="Times New Roman" w:hAnsi="Times New Roman"/>
        </w:rPr>
        <w:t>COM</w:t>
      </w:r>
      <w:r>
        <w:rPr>
          <w:rFonts w:ascii="Times New Roman" w:hAnsi="Times New Roman"/>
        </w:rPr>
        <w:t>(</w:t>
      </w:r>
      <w:proofErr w:type="gramEnd"/>
      <w:r w:rsidRPr="006A3A53">
        <w:rPr>
          <w:rFonts w:ascii="Times New Roman" w:hAnsi="Times New Roman"/>
        </w:rPr>
        <w:t>2025</w:t>
      </w:r>
      <w:r>
        <w:rPr>
          <w:rFonts w:ascii="Times New Roman" w:hAnsi="Times New Roman"/>
        </w:rPr>
        <w:t xml:space="preserve">) </w:t>
      </w:r>
      <w:r w:rsidRPr="006A3A53">
        <w:rPr>
          <w:rFonts w:ascii="Times New Roman" w:hAnsi="Times New Roman"/>
        </w:rPr>
        <w:t>90 final (</w:t>
      </w:r>
      <w:hyperlink r:id="rId4" w:history="1">
        <w:r w:rsidRPr="006A3A53">
          <w:rPr>
            <w:rStyle w:val="Hyperlink"/>
            <w:rFonts w:ascii="Times New Roman" w:hAnsi="Times New Roman"/>
          </w:rPr>
          <w:t>EUR-Lex - 52025DC0090 - EN - EUR-Lex</w:t>
        </w:r>
      </w:hyperlink>
      <w:r w:rsidRPr="006A3A53">
        <w:rPr>
          <w:rFonts w:ascii="Times New Roman" w:hAnsi="Times New Roman"/>
        </w:rPr>
        <w:t>).</w:t>
      </w:r>
    </w:p>
  </w:footnote>
  <w:footnote w:id="6">
    <w:p w14:paraId="4CE7C0AF" w14:textId="6C9F78E4" w:rsidR="00253475" w:rsidRPr="00E503CB" w:rsidRDefault="00253475" w:rsidP="006A3A53">
      <w:pPr>
        <w:pStyle w:val="FootnoteText"/>
        <w:widowControl w:val="0"/>
        <w:ind w:left="-141" w:right="-567" w:hanging="284"/>
        <w:jc w:val="both"/>
        <w:rPr>
          <w:rFonts w:ascii="Times New Roman" w:hAnsi="Times New Roman"/>
        </w:rPr>
      </w:pPr>
      <w:r w:rsidRPr="00762901">
        <w:rPr>
          <w:rStyle w:val="FootnoteReference"/>
          <w:rFonts w:ascii="Times New Roman" w:hAnsi="Times New Roman"/>
        </w:rPr>
        <w:footnoteRef/>
      </w:r>
      <w:r w:rsidRPr="00E503CB">
        <w:rPr>
          <w:rFonts w:ascii="Times New Roman" w:hAnsi="Times New Roman"/>
        </w:rPr>
        <w:t xml:space="preserve"> </w:t>
      </w:r>
      <w:r w:rsidRPr="00E503CB">
        <w:rPr>
          <w:rFonts w:ascii="Times New Roman" w:hAnsi="Times New Roman"/>
        </w:rPr>
        <w:tab/>
        <w:t>Directive</w:t>
      </w:r>
      <w:r w:rsidR="00BD3889" w:rsidRPr="00E503CB">
        <w:rPr>
          <w:rFonts w:ascii="Times New Roman" w:hAnsi="Times New Roman"/>
        </w:rPr>
        <w:t xml:space="preserve"> (EU)</w:t>
      </w:r>
      <w:r w:rsidRPr="00E503CB">
        <w:rPr>
          <w:rFonts w:ascii="Times New Roman" w:hAnsi="Times New Roman"/>
        </w:rPr>
        <w:t xml:space="preserve"> 2014/65 (</w:t>
      </w:r>
      <w:hyperlink r:id="rId5" w:history="1">
        <w:r w:rsidRPr="00E503CB">
          <w:rPr>
            <w:rStyle w:val="Hyperlink"/>
            <w:rFonts w:ascii="Times New Roman" w:hAnsi="Times New Roman"/>
          </w:rPr>
          <w:t>http://data.europa.eu/eli/dir/2014/65/oj</w:t>
        </w:r>
      </w:hyperlink>
      <w:r w:rsidRPr="00E503CB">
        <w:rPr>
          <w:rFonts w:ascii="Times New Roman" w:hAnsi="Times New Roman"/>
        </w:rPr>
        <w:t>)</w:t>
      </w:r>
      <w:r w:rsidR="00762901" w:rsidRPr="00E503CB">
        <w:rPr>
          <w:rFonts w:ascii="Times New Roman" w:hAnsi="Times New Roman"/>
        </w:rPr>
        <w:t>.</w:t>
      </w:r>
    </w:p>
  </w:footnote>
  <w:footnote w:id="7">
    <w:p w14:paraId="79822C88" w14:textId="349549EA" w:rsidR="00BD3889" w:rsidRPr="00E503CB" w:rsidRDefault="00BD3889" w:rsidP="006A3A53">
      <w:pPr>
        <w:pStyle w:val="FootnoteText"/>
        <w:widowControl w:val="0"/>
        <w:ind w:left="-141" w:right="-567" w:hanging="284"/>
        <w:jc w:val="both"/>
        <w:rPr>
          <w:rFonts w:ascii="Times New Roman" w:hAnsi="Times New Roman"/>
        </w:rPr>
      </w:pPr>
      <w:r w:rsidRPr="006A3A53">
        <w:rPr>
          <w:rStyle w:val="Hyperlink"/>
          <w:rFonts w:ascii="Times New Roman" w:hAnsi="Times New Roman"/>
          <w:color w:val="auto"/>
          <w:u w:val="none"/>
          <w:vertAlign w:val="superscript"/>
        </w:rPr>
        <w:footnoteRef/>
      </w:r>
      <w:r w:rsidRPr="00E503CB">
        <w:rPr>
          <w:rStyle w:val="Hyperlink"/>
          <w:rFonts w:ascii="Times New Roman" w:hAnsi="Times New Roman"/>
          <w:color w:val="auto"/>
          <w:u w:val="none"/>
        </w:rPr>
        <w:t xml:space="preserve"> </w:t>
      </w:r>
      <w:r w:rsidRPr="00E503CB">
        <w:rPr>
          <w:rStyle w:val="Hyperlink"/>
          <w:rFonts w:ascii="Times New Roman" w:hAnsi="Times New Roman"/>
          <w:color w:val="auto"/>
          <w:u w:val="none"/>
        </w:rPr>
        <w:tab/>
        <w:t>Directive (EU) 2016/97</w:t>
      </w:r>
      <w:r w:rsidRPr="00E503CB">
        <w:rPr>
          <w:rStyle w:val="Hyperlink"/>
          <w:rFonts w:ascii="Times New Roman" w:hAnsi="Times New Roman"/>
        </w:rPr>
        <w:t xml:space="preserve"> (</w:t>
      </w:r>
      <w:hyperlink r:id="rId6" w:history="1">
        <w:r w:rsidRPr="00E503CB">
          <w:rPr>
            <w:rStyle w:val="Hyperlink"/>
            <w:rFonts w:ascii="Times New Roman" w:hAnsi="Times New Roman"/>
          </w:rPr>
          <w:t>http://data.europa.eu/eli/dir/2016/97/oj</w:t>
        </w:r>
      </w:hyperlink>
      <w:r w:rsidRPr="00E503CB">
        <w:rPr>
          <w:rStyle w:val="Hyperlink"/>
          <w:rFonts w:ascii="Times New Roman" w:hAnsi="Times New Roman"/>
        </w:rPr>
        <w:t>)</w:t>
      </w:r>
      <w:r w:rsidR="00762901" w:rsidRPr="00E503CB">
        <w:rPr>
          <w:rStyle w:val="Hyperlink"/>
          <w:rFonts w:ascii="Times New Roman" w:hAnsi="Times New Roman"/>
        </w:rPr>
        <w:t>.</w:t>
      </w:r>
    </w:p>
  </w:footnote>
  <w:footnote w:id="8">
    <w:p w14:paraId="2CAC12CB" w14:textId="0A190DC3" w:rsidR="00557F40" w:rsidRPr="00E503CB" w:rsidRDefault="00557F40" w:rsidP="006A3A53">
      <w:pPr>
        <w:pStyle w:val="FootnoteText"/>
        <w:widowControl w:val="0"/>
        <w:ind w:left="-141" w:right="-567" w:hanging="284"/>
        <w:jc w:val="both"/>
        <w:rPr>
          <w:rFonts w:ascii="Times New Roman" w:hAnsi="Times New Roman"/>
          <w:lang w:val="en-IE"/>
        </w:rPr>
      </w:pPr>
      <w:r w:rsidRPr="006A3A53">
        <w:rPr>
          <w:rStyle w:val="FootnoteReference"/>
          <w:rFonts w:ascii="Times New Roman" w:hAnsi="Times New Roman"/>
        </w:rPr>
        <w:footnoteRef/>
      </w:r>
      <w:r w:rsidRPr="00E503CB">
        <w:rPr>
          <w:rFonts w:ascii="Times New Roman" w:hAnsi="Times New Roman"/>
          <w:lang w:val="en-IE"/>
        </w:rPr>
        <w:t xml:space="preserve"> </w:t>
      </w:r>
      <w:r w:rsidRPr="00E503CB">
        <w:rPr>
          <w:rFonts w:ascii="Times New Roman" w:hAnsi="Times New Roman"/>
          <w:lang w:val="en-IE"/>
        </w:rPr>
        <w:tab/>
        <w:t>COM(2025) 555 final (</w:t>
      </w:r>
      <w:hyperlink r:id="rId7" w:history="1">
        <w:r w:rsidRPr="00E503CB">
          <w:rPr>
            <w:rStyle w:val="Hyperlink"/>
            <w:rFonts w:ascii="Times New Roman" w:hAnsi="Times New Roman"/>
            <w:lang w:val="en-IE"/>
          </w:rPr>
          <w:t>eur-lex.europa.eu/legal-content/EN/TXT/PDF/?uri=COM:2025:555:FIN</w:t>
        </w:r>
      </w:hyperlink>
      <w:r w:rsidRPr="00E503CB">
        <w:rPr>
          <w:rFonts w:ascii="Times New Roman" w:hAnsi="Times New Roman"/>
          <w:lang w:val="en-IE"/>
        </w:rPr>
        <w:t>).</w:t>
      </w:r>
    </w:p>
  </w:footnote>
  <w:footnote w:id="9">
    <w:p w14:paraId="229C699B" w14:textId="4A7A7243" w:rsidR="000734EF" w:rsidRPr="006A3A53" w:rsidRDefault="000734EF" w:rsidP="006A3A53">
      <w:pPr>
        <w:pStyle w:val="FootnoteText"/>
        <w:widowControl w:val="0"/>
        <w:ind w:left="-141" w:right="-425" w:hanging="284"/>
        <w:jc w:val="both"/>
        <w:rPr>
          <w:rFonts w:ascii="Times New Roman" w:hAnsi="Times New Roman"/>
          <w:lang w:val="en-IE"/>
        </w:rPr>
      </w:pPr>
      <w:r w:rsidRPr="006A3A53">
        <w:rPr>
          <w:rStyle w:val="FootnoteReference"/>
          <w:rFonts w:ascii="Times New Roman" w:hAnsi="Times New Roman"/>
        </w:rPr>
        <w:footnoteRef/>
      </w:r>
      <w:r w:rsidRPr="006A3A53">
        <w:rPr>
          <w:rFonts w:ascii="Times New Roman" w:hAnsi="Times New Roman"/>
          <w:lang w:val="en-IE"/>
        </w:rPr>
        <w:t xml:space="preserve"> </w:t>
      </w:r>
      <w:r w:rsidRPr="006A3A53">
        <w:rPr>
          <w:rFonts w:ascii="Times New Roman" w:hAnsi="Times New Roman"/>
          <w:lang w:val="en-IE"/>
        </w:rPr>
        <w:tab/>
      </w:r>
      <w:r w:rsidRPr="006A3A53">
        <w:rPr>
          <w:rFonts w:ascii="Times New Roman" w:hAnsi="Times New Roman"/>
          <w:lang w:val="en-GB"/>
        </w:rPr>
        <w:t>Regulation (EU, Euratom) 2024/2509 of the European Parliament and of the Council of 23 September 2024 on the financial rules applicable to the general budget of the Union (recast) (</w:t>
      </w:r>
      <w:hyperlink r:id="rId8" w:tooltip="Gives access to this document through its ELI URI." w:history="1">
        <w:r w:rsidRPr="006A3A53">
          <w:rPr>
            <w:rStyle w:val="Hyperlink"/>
            <w:rFonts w:ascii="Times New Roman" w:hAnsi="Times New Roman"/>
            <w:lang w:val="en-GB"/>
          </w:rPr>
          <w:t>http://data.europa.eu/eli/reg/2024/2509/oj</w:t>
        </w:r>
      </w:hyperlink>
      <w:r w:rsidRPr="006A3A53">
        <w:rPr>
          <w:rFonts w:ascii="Times New Roman" w:hAnsi="Times New Roman"/>
          <w:lang w:val="en-GB"/>
        </w:rPr>
        <w:t>).</w:t>
      </w:r>
    </w:p>
  </w:footnote>
  <w:footnote w:id="10">
    <w:p w14:paraId="26F37271" w14:textId="1C4D974A" w:rsidR="00557F40" w:rsidRPr="006A3A53" w:rsidRDefault="00557F40" w:rsidP="006A3A53">
      <w:pPr>
        <w:pStyle w:val="FootnoteText"/>
        <w:widowControl w:val="0"/>
        <w:ind w:left="-141" w:right="-567" w:hanging="284"/>
        <w:jc w:val="both"/>
        <w:rPr>
          <w:rFonts w:ascii="Times New Roman" w:hAnsi="Times New Roman"/>
          <w:lang w:val="en-IE"/>
        </w:rPr>
      </w:pPr>
      <w:r w:rsidRPr="006A3A53">
        <w:rPr>
          <w:rStyle w:val="FootnoteReference"/>
          <w:rFonts w:ascii="Times New Roman" w:hAnsi="Times New Roman"/>
        </w:rPr>
        <w:footnoteRef/>
      </w:r>
      <w:r w:rsidRPr="006A3A53">
        <w:rPr>
          <w:rFonts w:ascii="Times New Roman" w:hAnsi="Times New Roman"/>
          <w:lang w:val="en-IE"/>
        </w:rPr>
        <w:t xml:space="preserve"> </w:t>
      </w:r>
      <w:r w:rsidRPr="006A3A53">
        <w:rPr>
          <w:rFonts w:ascii="Times New Roman" w:hAnsi="Times New Roman"/>
          <w:lang w:val="en-IE"/>
        </w:rPr>
        <w:tab/>
        <w:t>COM(2022) 216 final (</w:t>
      </w:r>
      <w:hyperlink r:id="rId9" w:history="1">
        <w:r w:rsidRPr="006A3A53">
          <w:rPr>
            <w:rStyle w:val="Hyperlink"/>
            <w:rFonts w:ascii="Times New Roman" w:hAnsi="Times New Roman"/>
            <w:lang w:val="en-GB"/>
          </w:rPr>
          <w:t>EUR-Lex - 52022PC0216 - EN - EUR-Lex</w:t>
        </w:r>
      </w:hyperlink>
      <w:r w:rsidRPr="006A3A53">
        <w:rPr>
          <w:rFonts w:ascii="Times New Roman" w:hAnsi="Times New Roman"/>
          <w:lang w:val="en-IE"/>
        </w:rPr>
        <w:t>).</w:t>
      </w:r>
    </w:p>
  </w:footnote>
  <w:footnote w:id="11">
    <w:p w14:paraId="182A6959" w14:textId="714152B8" w:rsidR="006609CB" w:rsidRPr="00557F40" w:rsidRDefault="006609CB" w:rsidP="006A3A53">
      <w:pPr>
        <w:pStyle w:val="FootnoteText"/>
        <w:widowControl w:val="0"/>
        <w:ind w:left="-141" w:hanging="284"/>
        <w:jc w:val="both"/>
        <w:rPr>
          <w:rFonts w:ascii="Times New Roman" w:hAnsi="Times New Roman"/>
          <w:lang w:val="en-IE"/>
        </w:rPr>
      </w:pPr>
      <w:r w:rsidRPr="00557F40">
        <w:rPr>
          <w:rStyle w:val="FootnoteReference"/>
          <w:rFonts w:ascii="Times New Roman" w:hAnsi="Times New Roman"/>
        </w:rPr>
        <w:footnoteRef/>
      </w:r>
      <w:r w:rsidR="22BA8EC2" w:rsidRPr="00557F40">
        <w:rPr>
          <w:rFonts w:ascii="Times New Roman" w:hAnsi="Times New Roman"/>
          <w:lang w:val="en-IE"/>
        </w:rPr>
        <w:t xml:space="preserve"> </w:t>
      </w:r>
      <w:r w:rsidR="00B94CEA" w:rsidRPr="00557F40">
        <w:rPr>
          <w:rFonts w:ascii="Times New Roman" w:hAnsi="Times New Roman"/>
          <w:lang w:val="en-IE"/>
        </w:rPr>
        <w:tab/>
      </w:r>
      <w:r w:rsidR="22BA8EC2" w:rsidRPr="00557F40">
        <w:rPr>
          <w:rFonts w:ascii="Times New Roman" w:hAnsi="Times New Roman"/>
          <w:lang w:val="en-IE"/>
        </w:rPr>
        <w:t>= interest paid – interests received</w:t>
      </w:r>
      <w:r w:rsidR="00E503CB">
        <w:rPr>
          <w:rFonts w:ascii="Times New Roman" w:hAnsi="Times New Roman"/>
          <w:lang w:val="en-IE"/>
        </w:rPr>
        <w:t>.</w:t>
      </w:r>
    </w:p>
  </w:footnote>
  <w:footnote w:id="12">
    <w:p w14:paraId="599615CF" w14:textId="54057E0B" w:rsidR="47910274" w:rsidRPr="006A3A53" w:rsidRDefault="47910274" w:rsidP="006A3A53">
      <w:pPr>
        <w:pStyle w:val="FootnoteText"/>
        <w:widowControl w:val="0"/>
        <w:ind w:left="-141" w:hanging="284"/>
        <w:rPr>
          <w:rFonts w:ascii="Times New Roman" w:hAnsi="Times New Roman"/>
          <w:lang w:val="pt-PT"/>
        </w:rPr>
      </w:pPr>
      <w:r w:rsidRPr="00557F40">
        <w:rPr>
          <w:rStyle w:val="FootnoteReference"/>
          <w:rFonts w:ascii="Times New Roman" w:hAnsi="Times New Roman"/>
        </w:rPr>
        <w:footnoteRef/>
      </w:r>
      <w:r w:rsidRPr="00557F40">
        <w:rPr>
          <w:rFonts w:ascii="Times New Roman" w:hAnsi="Times New Roman"/>
          <w:lang w:val="pt-PT"/>
        </w:rPr>
        <w:t xml:space="preserve"> </w:t>
      </w:r>
      <w:r w:rsidR="00B94CEA" w:rsidRPr="00557F40">
        <w:rPr>
          <w:rFonts w:ascii="Times New Roman" w:hAnsi="Times New Roman"/>
          <w:lang w:val="pt-PT"/>
        </w:rPr>
        <w:tab/>
      </w:r>
      <w:proofErr w:type="gramStart"/>
      <w:r w:rsidRPr="00557F40">
        <w:rPr>
          <w:rFonts w:ascii="Times New Roman" w:hAnsi="Times New Roman"/>
          <w:lang w:val="pt-PT"/>
        </w:rPr>
        <w:t>COM(</w:t>
      </w:r>
      <w:proofErr w:type="gramEnd"/>
      <w:r w:rsidRPr="00557F40">
        <w:rPr>
          <w:rFonts w:ascii="Times New Roman" w:hAnsi="Times New Roman"/>
          <w:lang w:val="pt-PT"/>
        </w:rPr>
        <w:t>2025) 270 fina</w:t>
      </w:r>
      <w:r w:rsidR="00906F91" w:rsidRPr="00557F40">
        <w:rPr>
          <w:rFonts w:ascii="Times New Roman" w:hAnsi="Times New Roman"/>
          <w:lang w:val="pt-PT"/>
        </w:rPr>
        <w:t>l (</w:t>
      </w:r>
      <w:hyperlink r:id="rId10" w:history="1">
        <w:r w:rsidR="00906F91" w:rsidRPr="00557F40">
          <w:rPr>
            <w:rStyle w:val="Hyperlink"/>
            <w:rFonts w:ascii="Times New Roman" w:hAnsi="Times New Roman"/>
            <w:lang w:val="pt-PT"/>
          </w:rPr>
          <w:t>https://eur-lex.europa.eu/legal-content/EN/TXT/?uri=CELEX%3A52025DC0270&amp;qid=1756212273005</w:t>
        </w:r>
      </w:hyperlink>
      <w:r w:rsidR="00906F91" w:rsidRPr="00557F40">
        <w:rPr>
          <w:rFonts w:ascii="Times New Roman" w:hAnsi="Times New Roman"/>
          <w:lang w:val="pt-PT"/>
        </w:rPr>
        <w:t>)</w:t>
      </w:r>
      <w:r w:rsidR="00557F40" w:rsidRPr="00557F40">
        <w:rPr>
          <w:rFonts w:ascii="Times New Roman" w:hAnsi="Times New Roman"/>
          <w:lang w:val="pt-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F52"/>
    <w:multiLevelType w:val="multilevel"/>
    <w:tmpl w:val="E178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8932E33"/>
    <w:multiLevelType w:val="multilevel"/>
    <w:tmpl w:val="3C7CE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9087411"/>
    <w:multiLevelType w:val="multilevel"/>
    <w:tmpl w:val="22625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06483356">
    <w:abstractNumId w:val="0"/>
  </w:num>
  <w:num w:numId="2" w16cid:durableId="422992603">
    <w:abstractNumId w:val="1"/>
  </w:num>
  <w:num w:numId="3" w16cid:durableId="123319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03AE"/>
    <w:rsid w:val="000005D9"/>
    <w:rsid w:val="00005008"/>
    <w:rsid w:val="0000644C"/>
    <w:rsid w:val="00012832"/>
    <w:rsid w:val="00012A37"/>
    <w:rsid w:val="00015AC2"/>
    <w:rsid w:val="0001707A"/>
    <w:rsid w:val="00021562"/>
    <w:rsid w:val="00042A27"/>
    <w:rsid w:val="00046B15"/>
    <w:rsid w:val="00050DC7"/>
    <w:rsid w:val="000546A2"/>
    <w:rsid w:val="00073085"/>
    <w:rsid w:val="000734EF"/>
    <w:rsid w:val="000744CF"/>
    <w:rsid w:val="00076109"/>
    <w:rsid w:val="00077C4F"/>
    <w:rsid w:val="000855A5"/>
    <w:rsid w:val="00086268"/>
    <w:rsid w:val="000958A5"/>
    <w:rsid w:val="000A76E5"/>
    <w:rsid w:val="000A7BFD"/>
    <w:rsid w:val="000B3025"/>
    <w:rsid w:val="000B59F0"/>
    <w:rsid w:val="000B5F74"/>
    <w:rsid w:val="000C388E"/>
    <w:rsid w:val="000C5EEF"/>
    <w:rsid w:val="000C7935"/>
    <w:rsid w:val="000D2970"/>
    <w:rsid w:val="000D359B"/>
    <w:rsid w:val="000D5B45"/>
    <w:rsid w:val="000D68D4"/>
    <w:rsid w:val="000E7BA5"/>
    <w:rsid w:val="000F3B08"/>
    <w:rsid w:val="000F5FD8"/>
    <w:rsid w:val="00101F95"/>
    <w:rsid w:val="00111FDE"/>
    <w:rsid w:val="00112D94"/>
    <w:rsid w:val="00112FBE"/>
    <w:rsid w:val="00113173"/>
    <w:rsid w:val="001167C0"/>
    <w:rsid w:val="0012215C"/>
    <w:rsid w:val="00122CCC"/>
    <w:rsid w:val="00123468"/>
    <w:rsid w:val="00123639"/>
    <w:rsid w:val="00126CB7"/>
    <w:rsid w:val="0013505B"/>
    <w:rsid w:val="00135C2A"/>
    <w:rsid w:val="001374F2"/>
    <w:rsid w:val="001415CC"/>
    <w:rsid w:val="0014636C"/>
    <w:rsid w:val="00146410"/>
    <w:rsid w:val="001512A4"/>
    <w:rsid w:val="00153F7D"/>
    <w:rsid w:val="00154F6B"/>
    <w:rsid w:val="0016392B"/>
    <w:rsid w:val="001665F1"/>
    <w:rsid w:val="00171DD9"/>
    <w:rsid w:val="00172A29"/>
    <w:rsid w:val="0018036D"/>
    <w:rsid w:val="0018133E"/>
    <w:rsid w:val="00181971"/>
    <w:rsid w:val="001866DD"/>
    <w:rsid w:val="00187443"/>
    <w:rsid w:val="00190BC1"/>
    <w:rsid w:val="0019268C"/>
    <w:rsid w:val="001951A9"/>
    <w:rsid w:val="001A25E2"/>
    <w:rsid w:val="001A4A4E"/>
    <w:rsid w:val="001A5392"/>
    <w:rsid w:val="001B0E0B"/>
    <w:rsid w:val="001B5158"/>
    <w:rsid w:val="001C2687"/>
    <w:rsid w:val="001C35A5"/>
    <w:rsid w:val="001C3F8B"/>
    <w:rsid w:val="001C4138"/>
    <w:rsid w:val="001C7C94"/>
    <w:rsid w:val="001E04F5"/>
    <w:rsid w:val="001F1935"/>
    <w:rsid w:val="001F2EC6"/>
    <w:rsid w:val="001F5A32"/>
    <w:rsid w:val="001F65D0"/>
    <w:rsid w:val="002130B2"/>
    <w:rsid w:val="0021376A"/>
    <w:rsid w:val="002147D3"/>
    <w:rsid w:val="00217E59"/>
    <w:rsid w:val="00226159"/>
    <w:rsid w:val="00236AF0"/>
    <w:rsid w:val="002412D0"/>
    <w:rsid w:val="00245C9C"/>
    <w:rsid w:val="00251213"/>
    <w:rsid w:val="0025276E"/>
    <w:rsid w:val="00253475"/>
    <w:rsid w:val="0026667F"/>
    <w:rsid w:val="0027079E"/>
    <w:rsid w:val="00275353"/>
    <w:rsid w:val="002816C6"/>
    <w:rsid w:val="00290EB4"/>
    <w:rsid w:val="00293E3D"/>
    <w:rsid w:val="00296ACC"/>
    <w:rsid w:val="002A2DCB"/>
    <w:rsid w:val="002A3746"/>
    <w:rsid w:val="002A5FF8"/>
    <w:rsid w:val="002A78F3"/>
    <w:rsid w:val="002A7932"/>
    <w:rsid w:val="002C2DA6"/>
    <w:rsid w:val="002D1566"/>
    <w:rsid w:val="002D52CE"/>
    <w:rsid w:val="002D614B"/>
    <w:rsid w:val="002E00BF"/>
    <w:rsid w:val="002E1D7B"/>
    <w:rsid w:val="002E25A2"/>
    <w:rsid w:val="002E7540"/>
    <w:rsid w:val="002F03FA"/>
    <w:rsid w:val="002F2DFA"/>
    <w:rsid w:val="002F4586"/>
    <w:rsid w:val="003004D2"/>
    <w:rsid w:val="0031265C"/>
    <w:rsid w:val="003349A3"/>
    <w:rsid w:val="00335DA8"/>
    <w:rsid w:val="0033643C"/>
    <w:rsid w:val="00341123"/>
    <w:rsid w:val="00346ECE"/>
    <w:rsid w:val="00354E77"/>
    <w:rsid w:val="003555BA"/>
    <w:rsid w:val="00355617"/>
    <w:rsid w:val="00356C5A"/>
    <w:rsid w:val="00357CD7"/>
    <w:rsid w:val="003732EE"/>
    <w:rsid w:val="003747AE"/>
    <w:rsid w:val="00377967"/>
    <w:rsid w:val="0038121C"/>
    <w:rsid w:val="0038505A"/>
    <w:rsid w:val="00386143"/>
    <w:rsid w:val="00386BB7"/>
    <w:rsid w:val="00387E9A"/>
    <w:rsid w:val="00393D4E"/>
    <w:rsid w:val="00396BD3"/>
    <w:rsid w:val="003A23DC"/>
    <w:rsid w:val="003A31DF"/>
    <w:rsid w:val="003A5C2C"/>
    <w:rsid w:val="003A624C"/>
    <w:rsid w:val="003B3D0E"/>
    <w:rsid w:val="003B58DC"/>
    <w:rsid w:val="003C2F62"/>
    <w:rsid w:val="003E100F"/>
    <w:rsid w:val="003F1833"/>
    <w:rsid w:val="003F476D"/>
    <w:rsid w:val="003F5582"/>
    <w:rsid w:val="003F686E"/>
    <w:rsid w:val="00404072"/>
    <w:rsid w:val="00405C4E"/>
    <w:rsid w:val="004125CF"/>
    <w:rsid w:val="00423B08"/>
    <w:rsid w:val="004347F0"/>
    <w:rsid w:val="0043734D"/>
    <w:rsid w:val="00442552"/>
    <w:rsid w:val="00443A2F"/>
    <w:rsid w:val="00444274"/>
    <w:rsid w:val="00452811"/>
    <w:rsid w:val="004532C9"/>
    <w:rsid w:val="00455A1C"/>
    <w:rsid w:val="004675B5"/>
    <w:rsid w:val="00467751"/>
    <w:rsid w:val="0047136F"/>
    <w:rsid w:val="00476BDA"/>
    <w:rsid w:val="004770D6"/>
    <w:rsid w:val="00480E05"/>
    <w:rsid w:val="00487496"/>
    <w:rsid w:val="0049246C"/>
    <w:rsid w:val="004A354F"/>
    <w:rsid w:val="004B458D"/>
    <w:rsid w:val="004C2C7C"/>
    <w:rsid w:val="004C6000"/>
    <w:rsid w:val="004D3451"/>
    <w:rsid w:val="004E213F"/>
    <w:rsid w:val="004E2BE0"/>
    <w:rsid w:val="004E646A"/>
    <w:rsid w:val="004F2B18"/>
    <w:rsid w:val="004F3206"/>
    <w:rsid w:val="004F595F"/>
    <w:rsid w:val="004F6117"/>
    <w:rsid w:val="004F63F1"/>
    <w:rsid w:val="004F651E"/>
    <w:rsid w:val="004F7DED"/>
    <w:rsid w:val="00507436"/>
    <w:rsid w:val="00512A86"/>
    <w:rsid w:val="005132AA"/>
    <w:rsid w:val="0052596B"/>
    <w:rsid w:val="00533A0F"/>
    <w:rsid w:val="00534E42"/>
    <w:rsid w:val="00541BBF"/>
    <w:rsid w:val="005421F2"/>
    <w:rsid w:val="00554D8D"/>
    <w:rsid w:val="00557F40"/>
    <w:rsid w:val="005726D8"/>
    <w:rsid w:val="00573835"/>
    <w:rsid w:val="0057749B"/>
    <w:rsid w:val="00581306"/>
    <w:rsid w:val="005827B2"/>
    <w:rsid w:val="00583843"/>
    <w:rsid w:val="00585290"/>
    <w:rsid w:val="00590660"/>
    <w:rsid w:val="005909C1"/>
    <w:rsid w:val="0059144E"/>
    <w:rsid w:val="00594F76"/>
    <w:rsid w:val="005953C4"/>
    <w:rsid w:val="005A2054"/>
    <w:rsid w:val="005A25DD"/>
    <w:rsid w:val="005A62C8"/>
    <w:rsid w:val="005A6DC3"/>
    <w:rsid w:val="005B7443"/>
    <w:rsid w:val="005C3105"/>
    <w:rsid w:val="005D417B"/>
    <w:rsid w:val="005D6F36"/>
    <w:rsid w:val="005E24EB"/>
    <w:rsid w:val="005F0211"/>
    <w:rsid w:val="005F63A0"/>
    <w:rsid w:val="00605652"/>
    <w:rsid w:val="00605EE8"/>
    <w:rsid w:val="00605FCE"/>
    <w:rsid w:val="00614607"/>
    <w:rsid w:val="00623A14"/>
    <w:rsid w:val="0063418F"/>
    <w:rsid w:val="00641697"/>
    <w:rsid w:val="006424C6"/>
    <w:rsid w:val="00646573"/>
    <w:rsid w:val="006544B3"/>
    <w:rsid w:val="006609CB"/>
    <w:rsid w:val="00670052"/>
    <w:rsid w:val="00673B2A"/>
    <w:rsid w:val="0067506D"/>
    <w:rsid w:val="00692C2F"/>
    <w:rsid w:val="006952DC"/>
    <w:rsid w:val="00695797"/>
    <w:rsid w:val="0069673F"/>
    <w:rsid w:val="00696A5E"/>
    <w:rsid w:val="0069771B"/>
    <w:rsid w:val="00697F84"/>
    <w:rsid w:val="006A3A53"/>
    <w:rsid w:val="006A7166"/>
    <w:rsid w:val="006B0E86"/>
    <w:rsid w:val="006B2431"/>
    <w:rsid w:val="006B3B69"/>
    <w:rsid w:val="006C014E"/>
    <w:rsid w:val="006C3258"/>
    <w:rsid w:val="006C5D15"/>
    <w:rsid w:val="006D0EF4"/>
    <w:rsid w:val="006D5F9F"/>
    <w:rsid w:val="006D6A15"/>
    <w:rsid w:val="006E4C82"/>
    <w:rsid w:val="006F3A35"/>
    <w:rsid w:val="006F5E93"/>
    <w:rsid w:val="00706E5D"/>
    <w:rsid w:val="007071E5"/>
    <w:rsid w:val="007159C0"/>
    <w:rsid w:val="00716A1A"/>
    <w:rsid w:val="00727EAA"/>
    <w:rsid w:val="0073053C"/>
    <w:rsid w:val="007330C4"/>
    <w:rsid w:val="007342E9"/>
    <w:rsid w:val="00734613"/>
    <w:rsid w:val="00736FD8"/>
    <w:rsid w:val="00743827"/>
    <w:rsid w:val="00751910"/>
    <w:rsid w:val="00751E60"/>
    <w:rsid w:val="007547B5"/>
    <w:rsid w:val="00762901"/>
    <w:rsid w:val="0078037B"/>
    <w:rsid w:val="00781A40"/>
    <w:rsid w:val="00795A9E"/>
    <w:rsid w:val="00797FCF"/>
    <w:rsid w:val="007A606D"/>
    <w:rsid w:val="007A66D1"/>
    <w:rsid w:val="007B2A01"/>
    <w:rsid w:val="007B4222"/>
    <w:rsid w:val="007C2214"/>
    <w:rsid w:val="007C3F76"/>
    <w:rsid w:val="007C5892"/>
    <w:rsid w:val="007C6325"/>
    <w:rsid w:val="007C7240"/>
    <w:rsid w:val="007D467F"/>
    <w:rsid w:val="007E5031"/>
    <w:rsid w:val="007E56C1"/>
    <w:rsid w:val="007E609D"/>
    <w:rsid w:val="007F5284"/>
    <w:rsid w:val="008014F0"/>
    <w:rsid w:val="00801C14"/>
    <w:rsid w:val="00802410"/>
    <w:rsid w:val="00807B48"/>
    <w:rsid w:val="008135CA"/>
    <w:rsid w:val="0081584F"/>
    <w:rsid w:val="00827881"/>
    <w:rsid w:val="008326CE"/>
    <w:rsid w:val="00842BB4"/>
    <w:rsid w:val="0085475D"/>
    <w:rsid w:val="00855FBF"/>
    <w:rsid w:val="00856A8F"/>
    <w:rsid w:val="00862C2C"/>
    <w:rsid w:val="00865D56"/>
    <w:rsid w:val="008703BF"/>
    <w:rsid w:val="00871B66"/>
    <w:rsid w:val="008859A6"/>
    <w:rsid w:val="0089177D"/>
    <w:rsid w:val="008925CE"/>
    <w:rsid w:val="00893B7E"/>
    <w:rsid w:val="008A0444"/>
    <w:rsid w:val="008A2D24"/>
    <w:rsid w:val="008B35F1"/>
    <w:rsid w:val="008C4D41"/>
    <w:rsid w:val="008E0829"/>
    <w:rsid w:val="008E1A1C"/>
    <w:rsid w:val="008E424D"/>
    <w:rsid w:val="008E536A"/>
    <w:rsid w:val="008F1620"/>
    <w:rsid w:val="00901C34"/>
    <w:rsid w:val="00902AB4"/>
    <w:rsid w:val="00903523"/>
    <w:rsid w:val="00903911"/>
    <w:rsid w:val="00904A76"/>
    <w:rsid w:val="00906F91"/>
    <w:rsid w:val="00907E4E"/>
    <w:rsid w:val="00922A04"/>
    <w:rsid w:val="00924E7F"/>
    <w:rsid w:val="009324DE"/>
    <w:rsid w:val="00967614"/>
    <w:rsid w:val="00972E79"/>
    <w:rsid w:val="0097381F"/>
    <w:rsid w:val="00981F45"/>
    <w:rsid w:val="00983A42"/>
    <w:rsid w:val="00984B3D"/>
    <w:rsid w:val="00991D49"/>
    <w:rsid w:val="00994D12"/>
    <w:rsid w:val="009A36BA"/>
    <w:rsid w:val="009A70DC"/>
    <w:rsid w:val="009A7535"/>
    <w:rsid w:val="009B128B"/>
    <w:rsid w:val="009B1AE7"/>
    <w:rsid w:val="009C4B0C"/>
    <w:rsid w:val="009C5F79"/>
    <w:rsid w:val="009C69E0"/>
    <w:rsid w:val="009C6B35"/>
    <w:rsid w:val="009C6D72"/>
    <w:rsid w:val="009E7C57"/>
    <w:rsid w:val="009F4718"/>
    <w:rsid w:val="00A04412"/>
    <w:rsid w:val="00A05C46"/>
    <w:rsid w:val="00A07A72"/>
    <w:rsid w:val="00A16F07"/>
    <w:rsid w:val="00A20BAF"/>
    <w:rsid w:val="00A213D3"/>
    <w:rsid w:val="00A21542"/>
    <w:rsid w:val="00A254F6"/>
    <w:rsid w:val="00A2576E"/>
    <w:rsid w:val="00A351F5"/>
    <w:rsid w:val="00A42A25"/>
    <w:rsid w:val="00A5102A"/>
    <w:rsid w:val="00A552FA"/>
    <w:rsid w:val="00A57C00"/>
    <w:rsid w:val="00A60C3B"/>
    <w:rsid w:val="00A61B37"/>
    <w:rsid w:val="00A62C7B"/>
    <w:rsid w:val="00A674DD"/>
    <w:rsid w:val="00A7166E"/>
    <w:rsid w:val="00A7709A"/>
    <w:rsid w:val="00A81F2C"/>
    <w:rsid w:val="00A861DA"/>
    <w:rsid w:val="00AA20F3"/>
    <w:rsid w:val="00AA3F89"/>
    <w:rsid w:val="00AA6B32"/>
    <w:rsid w:val="00AB041E"/>
    <w:rsid w:val="00AB0DDA"/>
    <w:rsid w:val="00AB22F0"/>
    <w:rsid w:val="00AB5169"/>
    <w:rsid w:val="00AC2B5A"/>
    <w:rsid w:val="00AC3334"/>
    <w:rsid w:val="00AC3BF4"/>
    <w:rsid w:val="00AC451E"/>
    <w:rsid w:val="00AD1003"/>
    <w:rsid w:val="00AD16BA"/>
    <w:rsid w:val="00AD3592"/>
    <w:rsid w:val="00AE1842"/>
    <w:rsid w:val="00AE3C7C"/>
    <w:rsid w:val="00AF069A"/>
    <w:rsid w:val="00B027BB"/>
    <w:rsid w:val="00B12D99"/>
    <w:rsid w:val="00B14EEF"/>
    <w:rsid w:val="00B179F5"/>
    <w:rsid w:val="00B204F8"/>
    <w:rsid w:val="00B31306"/>
    <w:rsid w:val="00B31F3D"/>
    <w:rsid w:val="00B34A2E"/>
    <w:rsid w:val="00B351B4"/>
    <w:rsid w:val="00B36F14"/>
    <w:rsid w:val="00B40DF3"/>
    <w:rsid w:val="00B42814"/>
    <w:rsid w:val="00B456E7"/>
    <w:rsid w:val="00B62AAF"/>
    <w:rsid w:val="00B62FD0"/>
    <w:rsid w:val="00B63741"/>
    <w:rsid w:val="00B659C3"/>
    <w:rsid w:val="00B80BE0"/>
    <w:rsid w:val="00B83936"/>
    <w:rsid w:val="00B94CEA"/>
    <w:rsid w:val="00B94D1C"/>
    <w:rsid w:val="00B95933"/>
    <w:rsid w:val="00B96E2E"/>
    <w:rsid w:val="00BA6992"/>
    <w:rsid w:val="00BC0878"/>
    <w:rsid w:val="00BC0EF4"/>
    <w:rsid w:val="00BC222D"/>
    <w:rsid w:val="00BC35D7"/>
    <w:rsid w:val="00BC4298"/>
    <w:rsid w:val="00BC54A8"/>
    <w:rsid w:val="00BC5BD6"/>
    <w:rsid w:val="00BD3889"/>
    <w:rsid w:val="00BD641A"/>
    <w:rsid w:val="00BD6568"/>
    <w:rsid w:val="00BD6EB7"/>
    <w:rsid w:val="00BE0FE3"/>
    <w:rsid w:val="00BF477A"/>
    <w:rsid w:val="00BF73C8"/>
    <w:rsid w:val="00BF7BDC"/>
    <w:rsid w:val="00C06EDA"/>
    <w:rsid w:val="00C13608"/>
    <w:rsid w:val="00C2322C"/>
    <w:rsid w:val="00C257D2"/>
    <w:rsid w:val="00C30553"/>
    <w:rsid w:val="00C5486F"/>
    <w:rsid w:val="00C54D27"/>
    <w:rsid w:val="00C63059"/>
    <w:rsid w:val="00C65266"/>
    <w:rsid w:val="00C700AC"/>
    <w:rsid w:val="00C76EEB"/>
    <w:rsid w:val="00C9203F"/>
    <w:rsid w:val="00CA2D06"/>
    <w:rsid w:val="00CA4234"/>
    <w:rsid w:val="00CA4357"/>
    <w:rsid w:val="00CA7061"/>
    <w:rsid w:val="00CB017E"/>
    <w:rsid w:val="00CB394D"/>
    <w:rsid w:val="00CB7A13"/>
    <w:rsid w:val="00CC0A34"/>
    <w:rsid w:val="00CC39D7"/>
    <w:rsid w:val="00CC73B2"/>
    <w:rsid w:val="00CD161A"/>
    <w:rsid w:val="00CD2E3B"/>
    <w:rsid w:val="00CD3B68"/>
    <w:rsid w:val="00CD72D4"/>
    <w:rsid w:val="00CE137B"/>
    <w:rsid w:val="00CE5694"/>
    <w:rsid w:val="00CE5CBB"/>
    <w:rsid w:val="00CE63C2"/>
    <w:rsid w:val="00CF5254"/>
    <w:rsid w:val="00CF6065"/>
    <w:rsid w:val="00CF6A33"/>
    <w:rsid w:val="00D01F5A"/>
    <w:rsid w:val="00D06A92"/>
    <w:rsid w:val="00D06E06"/>
    <w:rsid w:val="00D125F4"/>
    <w:rsid w:val="00D16797"/>
    <w:rsid w:val="00D1716E"/>
    <w:rsid w:val="00D17A8D"/>
    <w:rsid w:val="00D256D8"/>
    <w:rsid w:val="00D26862"/>
    <w:rsid w:val="00D36D2C"/>
    <w:rsid w:val="00D40465"/>
    <w:rsid w:val="00D43E20"/>
    <w:rsid w:val="00D545E7"/>
    <w:rsid w:val="00D577CB"/>
    <w:rsid w:val="00D64E05"/>
    <w:rsid w:val="00D70D5E"/>
    <w:rsid w:val="00D86CA5"/>
    <w:rsid w:val="00D914A4"/>
    <w:rsid w:val="00D9265C"/>
    <w:rsid w:val="00D92FD3"/>
    <w:rsid w:val="00DA23EA"/>
    <w:rsid w:val="00DA3B6E"/>
    <w:rsid w:val="00DA404D"/>
    <w:rsid w:val="00DB349C"/>
    <w:rsid w:val="00DB7581"/>
    <w:rsid w:val="00DC170F"/>
    <w:rsid w:val="00DC70C1"/>
    <w:rsid w:val="00DD2D99"/>
    <w:rsid w:val="00DE02FA"/>
    <w:rsid w:val="00DE766C"/>
    <w:rsid w:val="00DF111B"/>
    <w:rsid w:val="00DF1716"/>
    <w:rsid w:val="00DF1C3C"/>
    <w:rsid w:val="00DF2DEF"/>
    <w:rsid w:val="00E05785"/>
    <w:rsid w:val="00E23065"/>
    <w:rsid w:val="00E23BE4"/>
    <w:rsid w:val="00E24584"/>
    <w:rsid w:val="00E261CB"/>
    <w:rsid w:val="00E45F05"/>
    <w:rsid w:val="00E503CB"/>
    <w:rsid w:val="00E53212"/>
    <w:rsid w:val="00E65E29"/>
    <w:rsid w:val="00E6648E"/>
    <w:rsid w:val="00E67B27"/>
    <w:rsid w:val="00E738AC"/>
    <w:rsid w:val="00E76CA3"/>
    <w:rsid w:val="00E7732E"/>
    <w:rsid w:val="00E83C12"/>
    <w:rsid w:val="00E904C8"/>
    <w:rsid w:val="00EA15B2"/>
    <w:rsid w:val="00EA1BBF"/>
    <w:rsid w:val="00EA3A2F"/>
    <w:rsid w:val="00EA4231"/>
    <w:rsid w:val="00EB29A9"/>
    <w:rsid w:val="00EB77D2"/>
    <w:rsid w:val="00EC2AE2"/>
    <w:rsid w:val="00ED43DD"/>
    <w:rsid w:val="00ED7DC7"/>
    <w:rsid w:val="00EE1E4B"/>
    <w:rsid w:val="00EE323A"/>
    <w:rsid w:val="00F12B42"/>
    <w:rsid w:val="00F13D18"/>
    <w:rsid w:val="00F17831"/>
    <w:rsid w:val="00F24D04"/>
    <w:rsid w:val="00F311AF"/>
    <w:rsid w:val="00F3122C"/>
    <w:rsid w:val="00F316C8"/>
    <w:rsid w:val="00F36F09"/>
    <w:rsid w:val="00F4775C"/>
    <w:rsid w:val="00F51C54"/>
    <w:rsid w:val="00F52628"/>
    <w:rsid w:val="00F53324"/>
    <w:rsid w:val="00F56FB4"/>
    <w:rsid w:val="00F62B17"/>
    <w:rsid w:val="00F632DE"/>
    <w:rsid w:val="00F70DC0"/>
    <w:rsid w:val="00F735E4"/>
    <w:rsid w:val="00F80BD9"/>
    <w:rsid w:val="00F81785"/>
    <w:rsid w:val="00F823A6"/>
    <w:rsid w:val="00F82A91"/>
    <w:rsid w:val="00F9215F"/>
    <w:rsid w:val="00F93606"/>
    <w:rsid w:val="00F93B3A"/>
    <w:rsid w:val="00FA2A67"/>
    <w:rsid w:val="00FB04F7"/>
    <w:rsid w:val="00FB6837"/>
    <w:rsid w:val="00FB7834"/>
    <w:rsid w:val="00FC3DD9"/>
    <w:rsid w:val="00FC68F1"/>
    <w:rsid w:val="00FD4B6A"/>
    <w:rsid w:val="00FD7F6D"/>
    <w:rsid w:val="00FE157F"/>
    <w:rsid w:val="00FE501C"/>
    <w:rsid w:val="00FF03A8"/>
    <w:rsid w:val="00FF4F12"/>
    <w:rsid w:val="00FF63EA"/>
    <w:rsid w:val="0142AA1B"/>
    <w:rsid w:val="015E7519"/>
    <w:rsid w:val="01AB080A"/>
    <w:rsid w:val="01C63AB0"/>
    <w:rsid w:val="01D0D3EB"/>
    <w:rsid w:val="0232BB38"/>
    <w:rsid w:val="024C785B"/>
    <w:rsid w:val="02B723E0"/>
    <w:rsid w:val="02EEDE37"/>
    <w:rsid w:val="03C2DF68"/>
    <w:rsid w:val="042BA07F"/>
    <w:rsid w:val="042BD869"/>
    <w:rsid w:val="0438CB69"/>
    <w:rsid w:val="045986D7"/>
    <w:rsid w:val="04721734"/>
    <w:rsid w:val="04B0DAA6"/>
    <w:rsid w:val="04F3E8DB"/>
    <w:rsid w:val="05F5927A"/>
    <w:rsid w:val="066C1F5C"/>
    <w:rsid w:val="077F3817"/>
    <w:rsid w:val="07B75F0D"/>
    <w:rsid w:val="07CAE001"/>
    <w:rsid w:val="07F6D5DA"/>
    <w:rsid w:val="08066C96"/>
    <w:rsid w:val="0844C5BA"/>
    <w:rsid w:val="0846BA84"/>
    <w:rsid w:val="0861708B"/>
    <w:rsid w:val="08F53869"/>
    <w:rsid w:val="097153BD"/>
    <w:rsid w:val="0A585C10"/>
    <w:rsid w:val="0A97DA40"/>
    <w:rsid w:val="0B3676D1"/>
    <w:rsid w:val="0B4387D7"/>
    <w:rsid w:val="0B454999"/>
    <w:rsid w:val="0BB35CEA"/>
    <w:rsid w:val="0BEEAA34"/>
    <w:rsid w:val="0BF72F1C"/>
    <w:rsid w:val="0C879623"/>
    <w:rsid w:val="0DAF7B0A"/>
    <w:rsid w:val="0ECD2829"/>
    <w:rsid w:val="0F2811D3"/>
    <w:rsid w:val="0FFBBFAB"/>
    <w:rsid w:val="103CA2AC"/>
    <w:rsid w:val="109A7517"/>
    <w:rsid w:val="10A40063"/>
    <w:rsid w:val="10E9AD5B"/>
    <w:rsid w:val="11863B92"/>
    <w:rsid w:val="118C3BD7"/>
    <w:rsid w:val="11907C0B"/>
    <w:rsid w:val="11A57AC5"/>
    <w:rsid w:val="137E2D68"/>
    <w:rsid w:val="1406F24F"/>
    <w:rsid w:val="145CFF05"/>
    <w:rsid w:val="1461358B"/>
    <w:rsid w:val="14A4DF36"/>
    <w:rsid w:val="15B8CB22"/>
    <w:rsid w:val="15ED4A74"/>
    <w:rsid w:val="165977AC"/>
    <w:rsid w:val="1690E4A9"/>
    <w:rsid w:val="16E499EE"/>
    <w:rsid w:val="174ABEDE"/>
    <w:rsid w:val="175528CF"/>
    <w:rsid w:val="17DBAAF0"/>
    <w:rsid w:val="184DB8BD"/>
    <w:rsid w:val="1898362A"/>
    <w:rsid w:val="18DDFAB2"/>
    <w:rsid w:val="18F13AAA"/>
    <w:rsid w:val="18F5CE8A"/>
    <w:rsid w:val="191921EC"/>
    <w:rsid w:val="1942F7EC"/>
    <w:rsid w:val="19639F96"/>
    <w:rsid w:val="1A328131"/>
    <w:rsid w:val="1A5A488D"/>
    <w:rsid w:val="1A6876A5"/>
    <w:rsid w:val="1AC2C155"/>
    <w:rsid w:val="1B530398"/>
    <w:rsid w:val="1BA6B9EB"/>
    <w:rsid w:val="1BFA7292"/>
    <w:rsid w:val="1CA652CC"/>
    <w:rsid w:val="1CF52B5F"/>
    <w:rsid w:val="1D3B0372"/>
    <w:rsid w:val="1D5B9D71"/>
    <w:rsid w:val="1E00C760"/>
    <w:rsid w:val="1E250686"/>
    <w:rsid w:val="1E3BC950"/>
    <w:rsid w:val="1E954D07"/>
    <w:rsid w:val="1E9C6147"/>
    <w:rsid w:val="1EB3F2FF"/>
    <w:rsid w:val="1EF5F094"/>
    <w:rsid w:val="1F09AEFC"/>
    <w:rsid w:val="1F74071B"/>
    <w:rsid w:val="1F929B2C"/>
    <w:rsid w:val="200BA7C8"/>
    <w:rsid w:val="20A3ECD7"/>
    <w:rsid w:val="20C7D3BC"/>
    <w:rsid w:val="221BC6E7"/>
    <w:rsid w:val="224D408A"/>
    <w:rsid w:val="22BA8EC2"/>
    <w:rsid w:val="22DE4B5F"/>
    <w:rsid w:val="22E30B7C"/>
    <w:rsid w:val="23168F80"/>
    <w:rsid w:val="2333A899"/>
    <w:rsid w:val="239C2680"/>
    <w:rsid w:val="24022232"/>
    <w:rsid w:val="240CF5B4"/>
    <w:rsid w:val="246C29CA"/>
    <w:rsid w:val="2674B052"/>
    <w:rsid w:val="2676EAFD"/>
    <w:rsid w:val="26D4152F"/>
    <w:rsid w:val="26F4CCD7"/>
    <w:rsid w:val="27FA3FD5"/>
    <w:rsid w:val="282B6DC1"/>
    <w:rsid w:val="286AA715"/>
    <w:rsid w:val="286ED77D"/>
    <w:rsid w:val="28E30145"/>
    <w:rsid w:val="2901BFF2"/>
    <w:rsid w:val="2924DD72"/>
    <w:rsid w:val="29413F04"/>
    <w:rsid w:val="29DC958C"/>
    <w:rsid w:val="2A18C4A1"/>
    <w:rsid w:val="2A3A2A1D"/>
    <w:rsid w:val="2BCB3F5B"/>
    <w:rsid w:val="2D081D96"/>
    <w:rsid w:val="2D40F58B"/>
    <w:rsid w:val="2D493FDF"/>
    <w:rsid w:val="2DAD2C92"/>
    <w:rsid w:val="2DE2F4AD"/>
    <w:rsid w:val="2E0C4D8A"/>
    <w:rsid w:val="2E4A9448"/>
    <w:rsid w:val="2EDBC7FD"/>
    <w:rsid w:val="2F1E1015"/>
    <w:rsid w:val="2F336518"/>
    <w:rsid w:val="2FB8ABCA"/>
    <w:rsid w:val="2FC7F598"/>
    <w:rsid w:val="300AB717"/>
    <w:rsid w:val="301FC006"/>
    <w:rsid w:val="30A070D2"/>
    <w:rsid w:val="30CB9E16"/>
    <w:rsid w:val="315BCCEC"/>
    <w:rsid w:val="31C5132E"/>
    <w:rsid w:val="326A191D"/>
    <w:rsid w:val="32E2D975"/>
    <w:rsid w:val="332600E2"/>
    <w:rsid w:val="33D183E3"/>
    <w:rsid w:val="33D5BFBB"/>
    <w:rsid w:val="33F95AFB"/>
    <w:rsid w:val="3400AF4E"/>
    <w:rsid w:val="343DC9A5"/>
    <w:rsid w:val="3456AD7F"/>
    <w:rsid w:val="366328AB"/>
    <w:rsid w:val="36FA1499"/>
    <w:rsid w:val="37E22C22"/>
    <w:rsid w:val="38362111"/>
    <w:rsid w:val="3871BFD2"/>
    <w:rsid w:val="3879C2BF"/>
    <w:rsid w:val="38EA8DAA"/>
    <w:rsid w:val="393CD449"/>
    <w:rsid w:val="3942C173"/>
    <w:rsid w:val="39AA7D34"/>
    <w:rsid w:val="39F7FBDB"/>
    <w:rsid w:val="3A4B3F6F"/>
    <w:rsid w:val="3ABE43EA"/>
    <w:rsid w:val="3B3972FA"/>
    <w:rsid w:val="3B762DE9"/>
    <w:rsid w:val="3B87BDFB"/>
    <w:rsid w:val="3C192C0A"/>
    <w:rsid w:val="3C366BA8"/>
    <w:rsid w:val="3CFAEFEC"/>
    <w:rsid w:val="3DFE244B"/>
    <w:rsid w:val="3E0188A5"/>
    <w:rsid w:val="3E303C41"/>
    <w:rsid w:val="3F04D227"/>
    <w:rsid w:val="3F2C88DD"/>
    <w:rsid w:val="3F7564C6"/>
    <w:rsid w:val="3F965B15"/>
    <w:rsid w:val="3FAF3F86"/>
    <w:rsid w:val="41216310"/>
    <w:rsid w:val="42BD2E3E"/>
    <w:rsid w:val="42DD19A2"/>
    <w:rsid w:val="43769113"/>
    <w:rsid w:val="43ADCFDA"/>
    <w:rsid w:val="441E8F85"/>
    <w:rsid w:val="4480E95B"/>
    <w:rsid w:val="4519B21B"/>
    <w:rsid w:val="4529E1E2"/>
    <w:rsid w:val="452CC91F"/>
    <w:rsid w:val="4577B8C6"/>
    <w:rsid w:val="45D63313"/>
    <w:rsid w:val="46135D00"/>
    <w:rsid w:val="464D7AA6"/>
    <w:rsid w:val="46AE387F"/>
    <w:rsid w:val="46B39E86"/>
    <w:rsid w:val="4781166D"/>
    <w:rsid w:val="47910274"/>
    <w:rsid w:val="479EDC7F"/>
    <w:rsid w:val="47E5228F"/>
    <w:rsid w:val="4812385C"/>
    <w:rsid w:val="48388CA0"/>
    <w:rsid w:val="4900A771"/>
    <w:rsid w:val="493B0FC7"/>
    <w:rsid w:val="4987CF00"/>
    <w:rsid w:val="4A51A4A9"/>
    <w:rsid w:val="4AB15952"/>
    <w:rsid w:val="4B3EA797"/>
    <w:rsid w:val="4B4E756D"/>
    <w:rsid w:val="4BAAEAB8"/>
    <w:rsid w:val="4BC9A3F0"/>
    <w:rsid w:val="4BFE80AB"/>
    <w:rsid w:val="4C0DE8CB"/>
    <w:rsid w:val="4CBC35DC"/>
    <w:rsid w:val="4D484B23"/>
    <w:rsid w:val="4D543099"/>
    <w:rsid w:val="4D8FADA9"/>
    <w:rsid w:val="4FD0A9E4"/>
    <w:rsid w:val="50A94094"/>
    <w:rsid w:val="50DEE092"/>
    <w:rsid w:val="50EDE517"/>
    <w:rsid w:val="510600F0"/>
    <w:rsid w:val="51392E15"/>
    <w:rsid w:val="51AE6269"/>
    <w:rsid w:val="51BB346F"/>
    <w:rsid w:val="51BB71A0"/>
    <w:rsid w:val="51FA890D"/>
    <w:rsid w:val="52398116"/>
    <w:rsid w:val="5253DBA7"/>
    <w:rsid w:val="5286FCA8"/>
    <w:rsid w:val="5296B100"/>
    <w:rsid w:val="52B69B2D"/>
    <w:rsid w:val="54875898"/>
    <w:rsid w:val="553BEC7B"/>
    <w:rsid w:val="55472B78"/>
    <w:rsid w:val="5752B964"/>
    <w:rsid w:val="57598547"/>
    <w:rsid w:val="57AE7015"/>
    <w:rsid w:val="57BBB4B2"/>
    <w:rsid w:val="58EC806C"/>
    <w:rsid w:val="59EEDC52"/>
    <w:rsid w:val="5A131966"/>
    <w:rsid w:val="5AA76465"/>
    <w:rsid w:val="5B10428E"/>
    <w:rsid w:val="5C514FC3"/>
    <w:rsid w:val="5C9733D2"/>
    <w:rsid w:val="5CD59645"/>
    <w:rsid w:val="5D34A455"/>
    <w:rsid w:val="5D3C9159"/>
    <w:rsid w:val="5DC00449"/>
    <w:rsid w:val="5E0F9C05"/>
    <w:rsid w:val="5E317D1F"/>
    <w:rsid w:val="5E84F70E"/>
    <w:rsid w:val="5EB573AC"/>
    <w:rsid w:val="5F0E2452"/>
    <w:rsid w:val="5F1D7DB2"/>
    <w:rsid w:val="5FB7AD93"/>
    <w:rsid w:val="5FEF34F5"/>
    <w:rsid w:val="60E11338"/>
    <w:rsid w:val="6106980B"/>
    <w:rsid w:val="6123B701"/>
    <w:rsid w:val="614D653C"/>
    <w:rsid w:val="617498B4"/>
    <w:rsid w:val="62236230"/>
    <w:rsid w:val="624E9BD4"/>
    <w:rsid w:val="626D9C83"/>
    <w:rsid w:val="639981B3"/>
    <w:rsid w:val="640A3075"/>
    <w:rsid w:val="64AF21B6"/>
    <w:rsid w:val="64D61264"/>
    <w:rsid w:val="64E0B7DC"/>
    <w:rsid w:val="6597F3C3"/>
    <w:rsid w:val="65DBE792"/>
    <w:rsid w:val="661095B5"/>
    <w:rsid w:val="675C5494"/>
    <w:rsid w:val="6793D38D"/>
    <w:rsid w:val="680D36AB"/>
    <w:rsid w:val="6886C40D"/>
    <w:rsid w:val="68BD8996"/>
    <w:rsid w:val="68DC94DD"/>
    <w:rsid w:val="6917303E"/>
    <w:rsid w:val="69661C22"/>
    <w:rsid w:val="699F3B92"/>
    <w:rsid w:val="69EA1DCC"/>
    <w:rsid w:val="6A122520"/>
    <w:rsid w:val="6AF9819F"/>
    <w:rsid w:val="6B29EE5E"/>
    <w:rsid w:val="6BB38E54"/>
    <w:rsid w:val="6C93B313"/>
    <w:rsid w:val="6D188C0F"/>
    <w:rsid w:val="6DAB0335"/>
    <w:rsid w:val="6E556DE0"/>
    <w:rsid w:val="6E80D1D5"/>
    <w:rsid w:val="6E8976EF"/>
    <w:rsid w:val="6EEC3481"/>
    <w:rsid w:val="706A0AF1"/>
    <w:rsid w:val="71931FED"/>
    <w:rsid w:val="7196ADC4"/>
    <w:rsid w:val="71E40F3A"/>
    <w:rsid w:val="725D0443"/>
    <w:rsid w:val="7271CE84"/>
    <w:rsid w:val="7423F274"/>
    <w:rsid w:val="745C87D7"/>
    <w:rsid w:val="74926684"/>
    <w:rsid w:val="74A88EF8"/>
    <w:rsid w:val="75269C0A"/>
    <w:rsid w:val="75687753"/>
    <w:rsid w:val="75794A1E"/>
    <w:rsid w:val="75AFD680"/>
    <w:rsid w:val="76F78114"/>
    <w:rsid w:val="7780784D"/>
    <w:rsid w:val="780580F7"/>
    <w:rsid w:val="78504189"/>
    <w:rsid w:val="78DC41AA"/>
    <w:rsid w:val="78E7C556"/>
    <w:rsid w:val="7923F35C"/>
    <w:rsid w:val="79696D45"/>
    <w:rsid w:val="79744F88"/>
    <w:rsid w:val="79845387"/>
    <w:rsid w:val="79CE8BEF"/>
    <w:rsid w:val="7A6C8703"/>
    <w:rsid w:val="7B65B550"/>
    <w:rsid w:val="7BDA32DA"/>
    <w:rsid w:val="7C2981F5"/>
    <w:rsid w:val="7C461777"/>
    <w:rsid w:val="7C856243"/>
    <w:rsid w:val="7C8EF927"/>
    <w:rsid w:val="7DBB227B"/>
    <w:rsid w:val="7E1FD09D"/>
    <w:rsid w:val="7E2E3740"/>
    <w:rsid w:val="7E50458F"/>
    <w:rsid w:val="7ED0B930"/>
    <w:rsid w:val="7F4F2CD4"/>
    <w:rsid w:val="7F6E545D"/>
    <w:rsid w:val="7F8B3519"/>
    <w:rsid w:val="7FC0E793"/>
    <w:rsid w:val="7FDF2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2FFD5C4F-D6B5-45E5-B729-8666D2BE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95933"/>
    <w:rPr>
      <w:sz w:val="22"/>
      <w:szCs w:val="22"/>
      <w:lang w:val="en-GB" w:eastAsia="en-US"/>
    </w:rPr>
  </w:style>
  <w:style w:type="paragraph" w:styleId="Header">
    <w:name w:val="header"/>
    <w:basedOn w:val="Normal"/>
    <w:link w:val="HeaderChar"/>
    <w:uiPriority w:val="99"/>
    <w:semiHidden/>
    <w:unhideWhenUsed/>
    <w:rsid w:val="00D43E20"/>
    <w:pPr>
      <w:tabs>
        <w:tab w:val="center" w:pos="4513"/>
        <w:tab w:val="right" w:pos="9026"/>
      </w:tabs>
    </w:pPr>
  </w:style>
  <w:style w:type="character" w:customStyle="1" w:styleId="HeaderChar">
    <w:name w:val="Header Char"/>
    <w:link w:val="Header"/>
    <w:uiPriority w:val="99"/>
    <w:semiHidden/>
    <w:rsid w:val="00D43E20"/>
    <w:rPr>
      <w:sz w:val="22"/>
      <w:szCs w:val="22"/>
      <w:lang w:val="en-GB" w:eastAsia="en-US"/>
    </w:rPr>
  </w:style>
  <w:style w:type="paragraph" w:styleId="Footer">
    <w:name w:val="footer"/>
    <w:basedOn w:val="Normal"/>
    <w:link w:val="FooterChar"/>
    <w:uiPriority w:val="99"/>
    <w:semiHidden/>
    <w:unhideWhenUsed/>
    <w:rsid w:val="00D43E20"/>
    <w:pPr>
      <w:tabs>
        <w:tab w:val="center" w:pos="4513"/>
        <w:tab w:val="right" w:pos="9026"/>
      </w:tabs>
    </w:pPr>
  </w:style>
  <w:style w:type="character" w:customStyle="1" w:styleId="FooterChar">
    <w:name w:val="Footer Char"/>
    <w:link w:val="Footer"/>
    <w:uiPriority w:val="99"/>
    <w:semiHidden/>
    <w:rsid w:val="00D43E20"/>
    <w:rPr>
      <w:sz w:val="22"/>
      <w:szCs w:val="22"/>
      <w:lang w:val="en-GB" w:eastAsia="en-US"/>
    </w:rPr>
  </w:style>
  <w:style w:type="paragraph" w:styleId="FootnoteText">
    <w:name w:val="footnote text"/>
    <w:basedOn w:val="Normal"/>
    <w:link w:val="FootnoteTextChar"/>
    <w:unhideWhenUsed/>
    <w:qFormat/>
    <w:rsid w:val="00AC3BF4"/>
    <w:pPr>
      <w:spacing w:after="0" w:line="240" w:lineRule="auto"/>
    </w:pPr>
    <w:rPr>
      <w:rFonts w:ascii="Aptos" w:eastAsia="Aptos" w:hAnsi="Aptos"/>
      <w:kern w:val="2"/>
      <w:sz w:val="20"/>
      <w:szCs w:val="20"/>
      <w:lang w:val="fr-BE"/>
    </w:rPr>
  </w:style>
  <w:style w:type="character" w:customStyle="1" w:styleId="FootnoteTextChar">
    <w:name w:val="Footnote Text Char"/>
    <w:link w:val="FootnoteText"/>
    <w:qFormat/>
    <w:rsid w:val="00AC3BF4"/>
    <w:rPr>
      <w:rFonts w:ascii="Aptos" w:eastAsia="Aptos" w:hAnsi="Aptos"/>
      <w:kern w:val="2"/>
      <w:lang w:val="fr-BE" w:eastAsia="en-US"/>
    </w:rPr>
  </w:style>
  <w:style w:type="character" w:styleId="FootnoteReference">
    <w:name w:val="footnote reference"/>
    <w:link w:val="-FNCharCharChar"/>
    <w:uiPriority w:val="99"/>
    <w:unhideWhenUsed/>
    <w:qFormat/>
    <w:rsid w:val="00AC3BF4"/>
    <w:rPr>
      <w:vertAlign w:val="superscript"/>
    </w:rPr>
  </w:style>
  <w:style w:type="character" w:styleId="Hyperlink">
    <w:name w:val="Hyperlink"/>
    <w:uiPriority w:val="99"/>
    <w:unhideWhenUsed/>
    <w:rsid w:val="00B31F3D"/>
    <w:rPr>
      <w:color w:val="0563C1"/>
      <w:u w:val="single"/>
    </w:rPr>
  </w:style>
  <w:style w:type="character" w:styleId="UnresolvedMention">
    <w:name w:val="Unresolved Mention"/>
    <w:uiPriority w:val="99"/>
    <w:semiHidden/>
    <w:unhideWhenUsed/>
    <w:rsid w:val="00B31F3D"/>
    <w:rPr>
      <w:color w:val="605E5C"/>
      <w:shd w:val="clear" w:color="auto" w:fill="E1DFDD"/>
    </w:rPr>
  </w:style>
  <w:style w:type="character" w:styleId="FollowedHyperlink">
    <w:name w:val="FollowedHyperlink"/>
    <w:uiPriority w:val="99"/>
    <w:semiHidden/>
    <w:unhideWhenUsed/>
    <w:rsid w:val="00FA2A67"/>
    <w:rPr>
      <w:color w:val="954F72"/>
      <w:u w:val="single"/>
    </w:rPr>
  </w:style>
  <w:style w:type="character" w:styleId="CommentReference">
    <w:name w:val="annotation reference"/>
    <w:uiPriority w:val="99"/>
    <w:semiHidden/>
    <w:unhideWhenUsed/>
    <w:rsid w:val="00AB041E"/>
    <w:rPr>
      <w:sz w:val="16"/>
      <w:szCs w:val="16"/>
    </w:rPr>
  </w:style>
  <w:style w:type="paragraph" w:styleId="CommentText">
    <w:name w:val="annotation text"/>
    <w:basedOn w:val="Normal"/>
    <w:link w:val="CommentTextChar"/>
    <w:uiPriority w:val="99"/>
    <w:unhideWhenUsed/>
    <w:rsid w:val="00AB041E"/>
    <w:rPr>
      <w:sz w:val="20"/>
      <w:szCs w:val="20"/>
    </w:rPr>
  </w:style>
  <w:style w:type="character" w:customStyle="1" w:styleId="CommentTextChar">
    <w:name w:val="Comment Text Char"/>
    <w:link w:val="CommentText"/>
    <w:uiPriority w:val="99"/>
    <w:rsid w:val="00AB041E"/>
    <w:rPr>
      <w:lang w:val="en-GB" w:eastAsia="en-US"/>
    </w:rPr>
  </w:style>
  <w:style w:type="paragraph" w:styleId="CommentSubject">
    <w:name w:val="annotation subject"/>
    <w:basedOn w:val="CommentText"/>
    <w:next w:val="CommentText"/>
    <w:link w:val="CommentSubjectChar"/>
    <w:uiPriority w:val="99"/>
    <w:semiHidden/>
    <w:unhideWhenUsed/>
    <w:rsid w:val="00AB041E"/>
    <w:rPr>
      <w:b/>
      <w:bCs/>
    </w:rPr>
  </w:style>
  <w:style w:type="character" w:customStyle="1" w:styleId="CommentSubjectChar">
    <w:name w:val="Comment Subject Char"/>
    <w:link w:val="CommentSubject"/>
    <w:uiPriority w:val="99"/>
    <w:semiHidden/>
    <w:rsid w:val="00AB041E"/>
    <w:rPr>
      <w:b/>
      <w:bCs/>
      <w:lang w:val="en-GB" w:eastAsia="en-US"/>
    </w:rPr>
  </w:style>
  <w:style w:type="paragraph" w:customStyle="1" w:styleId="-FNCharCharChar">
    <w:name w:val="Знак сноски-FN Char Char Char"/>
    <w:basedOn w:val="Normal"/>
    <w:link w:val="FootnoteReference"/>
    <w:uiPriority w:val="99"/>
    <w:rsid w:val="001C2687"/>
    <w:pPr>
      <w:spacing w:after="160" w:line="240" w:lineRule="exact"/>
    </w:pPr>
    <w:rPr>
      <w:sz w:val="20"/>
      <w:szCs w:val="20"/>
      <w:vertAlign w:val="superscript"/>
      <w:lang w:val="en-IE" w:eastAsia="en-IE"/>
    </w:rPr>
  </w:style>
  <w:style w:type="paragraph" w:styleId="NormalWeb">
    <w:name w:val="Normal (Web)"/>
    <w:basedOn w:val="Normal"/>
    <w:uiPriority w:val="99"/>
    <w:semiHidden/>
    <w:unhideWhenUsed/>
    <w:rsid w:val="009A75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6631">
      <w:bodyDiv w:val="1"/>
      <w:marLeft w:val="0"/>
      <w:marRight w:val="0"/>
      <w:marTop w:val="0"/>
      <w:marBottom w:val="0"/>
      <w:divBdr>
        <w:top w:val="none" w:sz="0" w:space="0" w:color="auto"/>
        <w:left w:val="none" w:sz="0" w:space="0" w:color="auto"/>
        <w:bottom w:val="none" w:sz="0" w:space="0" w:color="auto"/>
        <w:right w:val="none" w:sz="0" w:space="0" w:color="auto"/>
      </w:divBdr>
    </w:div>
    <w:div w:id="175461559">
      <w:bodyDiv w:val="1"/>
      <w:marLeft w:val="0"/>
      <w:marRight w:val="0"/>
      <w:marTop w:val="0"/>
      <w:marBottom w:val="0"/>
      <w:divBdr>
        <w:top w:val="none" w:sz="0" w:space="0" w:color="auto"/>
        <w:left w:val="none" w:sz="0" w:space="0" w:color="auto"/>
        <w:bottom w:val="none" w:sz="0" w:space="0" w:color="auto"/>
        <w:right w:val="none" w:sz="0" w:space="0" w:color="auto"/>
      </w:divBdr>
    </w:div>
    <w:div w:id="345786512">
      <w:bodyDiv w:val="1"/>
      <w:marLeft w:val="0"/>
      <w:marRight w:val="0"/>
      <w:marTop w:val="0"/>
      <w:marBottom w:val="0"/>
      <w:divBdr>
        <w:top w:val="none" w:sz="0" w:space="0" w:color="auto"/>
        <w:left w:val="none" w:sz="0" w:space="0" w:color="auto"/>
        <w:bottom w:val="none" w:sz="0" w:space="0" w:color="auto"/>
        <w:right w:val="none" w:sz="0" w:space="0" w:color="auto"/>
      </w:divBdr>
    </w:div>
    <w:div w:id="354617087">
      <w:bodyDiv w:val="1"/>
      <w:marLeft w:val="0"/>
      <w:marRight w:val="0"/>
      <w:marTop w:val="0"/>
      <w:marBottom w:val="0"/>
      <w:divBdr>
        <w:top w:val="none" w:sz="0" w:space="0" w:color="auto"/>
        <w:left w:val="none" w:sz="0" w:space="0" w:color="auto"/>
        <w:bottom w:val="none" w:sz="0" w:space="0" w:color="auto"/>
        <w:right w:val="none" w:sz="0" w:space="0" w:color="auto"/>
      </w:divBdr>
    </w:div>
    <w:div w:id="536429374">
      <w:bodyDiv w:val="1"/>
      <w:marLeft w:val="0"/>
      <w:marRight w:val="0"/>
      <w:marTop w:val="0"/>
      <w:marBottom w:val="0"/>
      <w:divBdr>
        <w:top w:val="none" w:sz="0" w:space="0" w:color="auto"/>
        <w:left w:val="none" w:sz="0" w:space="0" w:color="auto"/>
        <w:bottom w:val="none" w:sz="0" w:space="0" w:color="auto"/>
        <w:right w:val="none" w:sz="0" w:space="0" w:color="auto"/>
      </w:divBdr>
    </w:div>
    <w:div w:id="640186751">
      <w:bodyDiv w:val="1"/>
      <w:marLeft w:val="0"/>
      <w:marRight w:val="0"/>
      <w:marTop w:val="0"/>
      <w:marBottom w:val="0"/>
      <w:divBdr>
        <w:top w:val="none" w:sz="0" w:space="0" w:color="auto"/>
        <w:left w:val="none" w:sz="0" w:space="0" w:color="auto"/>
        <w:bottom w:val="none" w:sz="0" w:space="0" w:color="auto"/>
        <w:right w:val="none" w:sz="0" w:space="0" w:color="auto"/>
      </w:divBdr>
    </w:div>
    <w:div w:id="651368923">
      <w:bodyDiv w:val="1"/>
      <w:marLeft w:val="0"/>
      <w:marRight w:val="0"/>
      <w:marTop w:val="0"/>
      <w:marBottom w:val="0"/>
      <w:divBdr>
        <w:top w:val="none" w:sz="0" w:space="0" w:color="auto"/>
        <w:left w:val="none" w:sz="0" w:space="0" w:color="auto"/>
        <w:bottom w:val="none" w:sz="0" w:space="0" w:color="auto"/>
        <w:right w:val="none" w:sz="0" w:space="0" w:color="auto"/>
      </w:divBdr>
    </w:div>
    <w:div w:id="1085345085">
      <w:bodyDiv w:val="1"/>
      <w:marLeft w:val="0"/>
      <w:marRight w:val="0"/>
      <w:marTop w:val="0"/>
      <w:marBottom w:val="0"/>
      <w:divBdr>
        <w:top w:val="none" w:sz="0" w:space="0" w:color="auto"/>
        <w:left w:val="none" w:sz="0" w:space="0" w:color="auto"/>
        <w:bottom w:val="none" w:sz="0" w:space="0" w:color="auto"/>
        <w:right w:val="none" w:sz="0" w:space="0" w:color="auto"/>
      </w:divBdr>
    </w:div>
    <w:div w:id="1284119504">
      <w:bodyDiv w:val="1"/>
      <w:marLeft w:val="0"/>
      <w:marRight w:val="0"/>
      <w:marTop w:val="0"/>
      <w:marBottom w:val="0"/>
      <w:divBdr>
        <w:top w:val="none" w:sz="0" w:space="0" w:color="auto"/>
        <w:left w:val="none" w:sz="0" w:space="0" w:color="auto"/>
        <w:bottom w:val="none" w:sz="0" w:space="0" w:color="auto"/>
        <w:right w:val="none" w:sz="0" w:space="0" w:color="auto"/>
      </w:divBdr>
    </w:div>
    <w:div w:id="1303777654">
      <w:bodyDiv w:val="1"/>
      <w:marLeft w:val="0"/>
      <w:marRight w:val="0"/>
      <w:marTop w:val="0"/>
      <w:marBottom w:val="0"/>
      <w:divBdr>
        <w:top w:val="none" w:sz="0" w:space="0" w:color="auto"/>
        <w:left w:val="none" w:sz="0" w:space="0" w:color="auto"/>
        <w:bottom w:val="none" w:sz="0" w:space="0" w:color="auto"/>
        <w:right w:val="none" w:sz="0" w:space="0" w:color="auto"/>
      </w:divBdr>
      <w:divsChild>
        <w:div w:id="1015689002">
          <w:marLeft w:val="0"/>
          <w:marRight w:val="0"/>
          <w:marTop w:val="0"/>
          <w:marBottom w:val="0"/>
          <w:divBdr>
            <w:top w:val="none" w:sz="0" w:space="0" w:color="auto"/>
            <w:left w:val="none" w:sz="0" w:space="0" w:color="auto"/>
            <w:bottom w:val="none" w:sz="0" w:space="0" w:color="auto"/>
            <w:right w:val="none" w:sz="0" w:space="0" w:color="auto"/>
          </w:divBdr>
        </w:div>
        <w:div w:id="1069621630">
          <w:marLeft w:val="0"/>
          <w:marRight w:val="0"/>
          <w:marTop w:val="0"/>
          <w:marBottom w:val="0"/>
          <w:divBdr>
            <w:top w:val="none" w:sz="0" w:space="0" w:color="auto"/>
            <w:left w:val="none" w:sz="0" w:space="0" w:color="auto"/>
            <w:bottom w:val="none" w:sz="0" w:space="0" w:color="auto"/>
            <w:right w:val="none" w:sz="0" w:space="0" w:color="auto"/>
          </w:divBdr>
        </w:div>
        <w:div w:id="1481194633">
          <w:marLeft w:val="0"/>
          <w:marRight w:val="0"/>
          <w:marTop w:val="0"/>
          <w:marBottom w:val="0"/>
          <w:divBdr>
            <w:top w:val="none" w:sz="0" w:space="0" w:color="auto"/>
            <w:left w:val="none" w:sz="0" w:space="0" w:color="auto"/>
            <w:bottom w:val="none" w:sz="0" w:space="0" w:color="auto"/>
            <w:right w:val="none" w:sz="0" w:space="0" w:color="auto"/>
          </w:divBdr>
        </w:div>
        <w:div w:id="1492718443">
          <w:marLeft w:val="0"/>
          <w:marRight w:val="0"/>
          <w:marTop w:val="0"/>
          <w:marBottom w:val="0"/>
          <w:divBdr>
            <w:top w:val="none" w:sz="0" w:space="0" w:color="auto"/>
            <w:left w:val="none" w:sz="0" w:space="0" w:color="auto"/>
            <w:bottom w:val="none" w:sz="0" w:space="0" w:color="auto"/>
            <w:right w:val="none" w:sz="0" w:space="0" w:color="auto"/>
          </w:divBdr>
        </w:div>
        <w:div w:id="1905069653">
          <w:marLeft w:val="0"/>
          <w:marRight w:val="0"/>
          <w:marTop w:val="0"/>
          <w:marBottom w:val="0"/>
          <w:divBdr>
            <w:top w:val="none" w:sz="0" w:space="0" w:color="auto"/>
            <w:left w:val="none" w:sz="0" w:space="0" w:color="auto"/>
            <w:bottom w:val="none" w:sz="0" w:space="0" w:color="auto"/>
            <w:right w:val="none" w:sz="0" w:space="0" w:color="auto"/>
          </w:divBdr>
        </w:div>
      </w:divsChild>
    </w:div>
    <w:div w:id="1347560119">
      <w:bodyDiv w:val="1"/>
      <w:marLeft w:val="0"/>
      <w:marRight w:val="0"/>
      <w:marTop w:val="0"/>
      <w:marBottom w:val="0"/>
      <w:divBdr>
        <w:top w:val="none" w:sz="0" w:space="0" w:color="auto"/>
        <w:left w:val="none" w:sz="0" w:space="0" w:color="auto"/>
        <w:bottom w:val="none" w:sz="0" w:space="0" w:color="auto"/>
        <w:right w:val="none" w:sz="0" w:space="0" w:color="auto"/>
      </w:divBdr>
      <w:divsChild>
        <w:div w:id="814184302">
          <w:marLeft w:val="0"/>
          <w:marRight w:val="0"/>
          <w:marTop w:val="0"/>
          <w:marBottom w:val="0"/>
          <w:divBdr>
            <w:top w:val="none" w:sz="0" w:space="0" w:color="auto"/>
            <w:left w:val="none" w:sz="0" w:space="0" w:color="auto"/>
            <w:bottom w:val="none" w:sz="0" w:space="0" w:color="auto"/>
            <w:right w:val="none" w:sz="0" w:space="0" w:color="auto"/>
          </w:divBdr>
        </w:div>
        <w:div w:id="854343039">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2054309207">
          <w:marLeft w:val="0"/>
          <w:marRight w:val="0"/>
          <w:marTop w:val="0"/>
          <w:marBottom w:val="0"/>
          <w:divBdr>
            <w:top w:val="none" w:sz="0" w:space="0" w:color="auto"/>
            <w:left w:val="none" w:sz="0" w:space="0" w:color="auto"/>
            <w:bottom w:val="none" w:sz="0" w:space="0" w:color="auto"/>
            <w:right w:val="none" w:sz="0" w:space="0" w:color="auto"/>
          </w:divBdr>
        </w:div>
      </w:divsChild>
    </w:div>
    <w:div w:id="1705710779">
      <w:bodyDiv w:val="1"/>
      <w:marLeft w:val="0"/>
      <w:marRight w:val="0"/>
      <w:marTop w:val="0"/>
      <w:marBottom w:val="0"/>
      <w:divBdr>
        <w:top w:val="none" w:sz="0" w:space="0" w:color="auto"/>
        <w:left w:val="none" w:sz="0" w:space="0" w:color="auto"/>
        <w:bottom w:val="none" w:sz="0" w:space="0" w:color="auto"/>
        <w:right w:val="none" w:sz="0" w:space="0" w:color="auto"/>
      </w:divBdr>
    </w:div>
    <w:div w:id="1786388050">
      <w:bodyDiv w:val="1"/>
      <w:marLeft w:val="0"/>
      <w:marRight w:val="0"/>
      <w:marTop w:val="0"/>
      <w:marBottom w:val="0"/>
      <w:divBdr>
        <w:top w:val="none" w:sz="0" w:space="0" w:color="auto"/>
        <w:left w:val="none" w:sz="0" w:space="0" w:color="auto"/>
        <w:bottom w:val="none" w:sz="0" w:space="0" w:color="auto"/>
        <w:right w:val="none" w:sz="0" w:space="0" w:color="auto"/>
      </w:divBdr>
    </w:div>
    <w:div w:id="1819223229">
      <w:bodyDiv w:val="1"/>
      <w:marLeft w:val="0"/>
      <w:marRight w:val="0"/>
      <w:marTop w:val="0"/>
      <w:marBottom w:val="0"/>
      <w:divBdr>
        <w:top w:val="none" w:sz="0" w:space="0" w:color="auto"/>
        <w:left w:val="none" w:sz="0" w:space="0" w:color="auto"/>
        <w:bottom w:val="none" w:sz="0" w:space="0" w:color="auto"/>
        <w:right w:val="none" w:sz="0" w:space="0" w:color="auto"/>
      </w:divBdr>
    </w:div>
    <w:div w:id="1833568767">
      <w:bodyDiv w:val="1"/>
      <w:marLeft w:val="0"/>
      <w:marRight w:val="0"/>
      <w:marTop w:val="0"/>
      <w:marBottom w:val="0"/>
      <w:divBdr>
        <w:top w:val="none" w:sz="0" w:space="0" w:color="auto"/>
        <w:left w:val="none" w:sz="0" w:space="0" w:color="auto"/>
        <w:bottom w:val="none" w:sz="0" w:space="0" w:color="auto"/>
        <w:right w:val="none" w:sz="0" w:space="0" w:color="auto"/>
      </w:divBdr>
    </w:div>
    <w:div w:id="2083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4/2509/oj" TargetMode="External"/><Relationship Id="rId3" Type="http://schemas.openxmlformats.org/officeDocument/2006/relationships/hyperlink" Target="https://ec.europa.eu/commission/presscorner/api/files/document/print/en/ac_25_1137/AC_25_1137_EN.pdf" TargetMode="External"/><Relationship Id="rId7" Type="http://schemas.openxmlformats.org/officeDocument/2006/relationships/hyperlink" Target="https://eur-lex.europa.eu/legal-content/EN/TXT/PDF/?uri=COM:2025:555:FIN" TargetMode="External"/><Relationship Id="rId2" Type="http://schemas.openxmlformats.org/officeDocument/2006/relationships/hyperlink" Target="https://eur-lex.europa.eu/legal-content/EN/TXT/?uri=celex:52025DC0090" TargetMode="External"/><Relationship Id="rId1" Type="http://schemas.openxmlformats.org/officeDocument/2006/relationships/hyperlink" Target="https://eur-lex.europa.eu/legal-content/EN/TXT/?uri=celex:52025DC0124" TargetMode="External"/><Relationship Id="rId6" Type="http://schemas.openxmlformats.org/officeDocument/2006/relationships/hyperlink" Target="http://data.europa.eu/eli/dir/2016/97/oj" TargetMode="External"/><Relationship Id="rId5" Type="http://schemas.openxmlformats.org/officeDocument/2006/relationships/hyperlink" Target="http://data.europa.eu/eli/dir/2014/65/oj" TargetMode="External"/><Relationship Id="rId10" Type="http://schemas.openxmlformats.org/officeDocument/2006/relationships/hyperlink" Target="https://eur-lex.europa.eu/legal-content/EN/TXT/?uri=CELEX%3A52025DC0270&amp;qid=1756212273005" TargetMode="External"/><Relationship Id="rId4" Type="http://schemas.openxmlformats.org/officeDocument/2006/relationships/hyperlink" Target="https://eur-lex.europa.eu/legal-content/EN/TXT/?uri=celex:52025DC0090" TargetMode="External"/><Relationship Id="rId9" Type="http://schemas.openxmlformats.org/officeDocument/2006/relationships/hyperlink" Target="https://eur-lex.europa.eu/legal-content/EN/TXT/?uri=CELEX:52022PC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9ABEA4E0B884FAEE43AA36B954230" ma:contentTypeVersion="4" ma:contentTypeDescription="Create a new document." ma:contentTypeScope="" ma:versionID="4bcf382fdba476b3bbbcc4c6a3f1f9f0">
  <xsd:schema xmlns:xsd="http://www.w3.org/2001/XMLSchema" xmlns:xs="http://www.w3.org/2001/XMLSchema" xmlns:p="http://schemas.microsoft.com/office/2006/metadata/properties" xmlns:ns2="362ca51a-2d5b-4a82-8108-8008791429e2" targetNamespace="http://schemas.microsoft.com/office/2006/metadata/properties" ma:root="true" ma:fieldsID="a65b1b0c9a1403fa5d1eb2d1eafd9c7e" ns2:_="">
    <xsd:import namespace="362ca51a-2d5b-4a82-8108-8008791429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ca51a-2d5b-4a82-8108-800879142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86322-0145-40A0-BE8F-EF549B52A1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8F972-A28C-41CB-BB97-E5E50D28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ca51a-2d5b-4a82-8108-800879142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45BCF-E087-4D3B-B889-C54F46AA40C3}">
  <ds:schemaRefs>
    <ds:schemaRef ds:uri="http://schemas.openxmlformats.org/officeDocument/2006/bibliography"/>
  </ds:schemaRefs>
</ds:datastoreItem>
</file>

<file path=customXml/itemProps4.xml><?xml version="1.0" encoding="utf-8"?>
<ds:datastoreItem xmlns:ds="http://schemas.openxmlformats.org/officeDocument/2006/customXml" ds:itemID="{07FFF983-DAE4-4632-8135-F3793F2B7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2233</Words>
  <Characters>12264</Characters>
  <Application>Microsoft Office Word</Application>
  <DocSecurity>0</DocSecurity>
  <Lines>170</Lines>
  <Paragraphs>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14448</CharactersWithSpaces>
  <SharedDoc>false</SharedDoc>
  <HLinks>
    <vt:vector size="30" baseType="variant">
      <vt:variant>
        <vt:i4>655366</vt:i4>
      </vt:variant>
      <vt:variant>
        <vt:i4>12</vt:i4>
      </vt:variant>
      <vt:variant>
        <vt:i4>0</vt:i4>
      </vt:variant>
      <vt:variant>
        <vt:i4>5</vt:i4>
      </vt:variant>
      <vt:variant>
        <vt:lpwstr>https://eur-lex.europa.eu/legal-content/EN/TXT/?uri=CELEX%3A52025DC0270&amp;qid=1756212273005</vt:lpwstr>
      </vt:variant>
      <vt:variant>
        <vt:lpwstr/>
      </vt:variant>
      <vt:variant>
        <vt:i4>5963867</vt:i4>
      </vt:variant>
      <vt:variant>
        <vt:i4>9</vt:i4>
      </vt:variant>
      <vt:variant>
        <vt:i4>0</vt:i4>
      </vt:variant>
      <vt:variant>
        <vt:i4>5</vt:i4>
      </vt:variant>
      <vt:variant>
        <vt:lpwstr>http://data.europa.eu/eli/dir/2016/97/oj</vt:lpwstr>
      </vt:variant>
      <vt:variant>
        <vt:lpwstr/>
      </vt:variant>
      <vt:variant>
        <vt:i4>5636185</vt:i4>
      </vt:variant>
      <vt:variant>
        <vt:i4>6</vt:i4>
      </vt:variant>
      <vt:variant>
        <vt:i4>0</vt:i4>
      </vt:variant>
      <vt:variant>
        <vt:i4>5</vt:i4>
      </vt:variant>
      <vt:variant>
        <vt:lpwstr>http://data.europa.eu/eli/dir/2014/65/oj</vt:lpwstr>
      </vt:variant>
      <vt:variant>
        <vt:lpwstr/>
      </vt:variant>
      <vt:variant>
        <vt:i4>3539039</vt:i4>
      </vt:variant>
      <vt:variant>
        <vt:i4>3</vt:i4>
      </vt:variant>
      <vt:variant>
        <vt:i4>0</vt:i4>
      </vt:variant>
      <vt:variant>
        <vt:i4>5</vt:i4>
      </vt:variant>
      <vt:variant>
        <vt:lpwstr>https://ec.europa.eu/commission/presscorner/api/files/document/print/en/ac_25_1137/AC_25_1137_EN.pdf</vt:lpwstr>
      </vt:variant>
      <vt:variant>
        <vt:lpwstr/>
      </vt:variant>
      <vt:variant>
        <vt:i4>589841</vt:i4>
      </vt:variant>
      <vt:variant>
        <vt:i4>0</vt:i4>
      </vt:variant>
      <vt:variant>
        <vt:i4>0</vt:i4>
      </vt:variant>
      <vt:variant>
        <vt:i4>5</vt:i4>
      </vt:variant>
      <vt:variant>
        <vt:lpwstr>https://eur-lex.europa.eu/legal-content/EN/TXT/?uri=celex:52025DC0090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2013-03-02T00:02:00Z</cp:lastPrinted>
  <dcterms:created xsi:type="dcterms:W3CDTF">2026-01-08T11:20:00Z</dcterms:created>
  <dcterms:modified xsi:type="dcterms:W3CDTF">2026-01-08T11:20:00Z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0x0101001FD9ABEA4E0B884FAEE43AA36B954230</vt:lpwstr>
  </property>
</Properties>
</file>