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3"/>
      </w:tblGrid>
      <w:tr w:rsidR="001C4138" w:rsidRPr="00C722D2" w14:paraId="7E6372DC" w14:textId="77777777" w:rsidTr="00CA6420">
        <w:trPr>
          <w:jc w:val="center"/>
        </w:trPr>
        <w:tc>
          <w:tcPr>
            <w:tcW w:w="10083" w:type="dxa"/>
          </w:tcPr>
          <w:p w14:paraId="3A4EDC3A" w14:textId="6F161115" w:rsidR="001C4138" w:rsidRPr="00C722D2" w:rsidRDefault="00655212" w:rsidP="00C722D2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</w:pPr>
            <w:r w:rsidRPr="0065521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IE"/>
              </w:rPr>
              <w:br w:type="page"/>
            </w:r>
            <w:r w:rsidR="003130DE" w:rsidRPr="00C722D2">
              <w:rPr>
                <w:rFonts w:ascii="Times New Roman" w:hAnsi="Times New Roman"/>
                <w:b/>
                <w:bCs/>
                <w:sz w:val="24"/>
                <w:szCs w:val="24"/>
              </w:rPr>
              <w:t>Towards a balanced European energy system</w:t>
            </w:r>
            <w:r w:rsidR="00C722D2" w:rsidRPr="003B299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C722D2" w:rsidRPr="00E81669">
              <w:rPr>
                <w:rFonts w:ascii="Times New Roman" w:hAnsi="Times New Roman"/>
                <w:b/>
                <w:bCs/>
              </w:rPr>
              <w:t>(own-initiative opinion)</w:t>
            </w:r>
            <w:r w:rsidR="00C722D2" w:rsidRPr="00C722D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C722D2" w:rsidRPr="00E81669">
              <w:rPr>
                <w:rFonts w:ascii="Times New Roman" w:hAnsi="Times New Roman"/>
                <w:b/>
                <w:bCs/>
              </w:rPr>
              <w:t xml:space="preserve">EESC-2025-00328 </w:t>
            </w:r>
            <w:r w:rsidR="00C722D2" w:rsidRPr="00C722D2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 xml:space="preserve">– </w:t>
            </w:r>
            <w:r w:rsidR="3CA836F5" w:rsidRPr="00C722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IE"/>
              </w:rPr>
              <w:t>TEN/84</w:t>
            </w:r>
            <w:r w:rsidR="003130DE" w:rsidRPr="00C722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IE"/>
              </w:rPr>
              <w:t>7</w:t>
            </w:r>
            <w:r w:rsidR="001C4138" w:rsidRPr="00E81669">
              <w:rPr>
                <w:b/>
                <w:bCs/>
                <w:lang w:val="en-IE"/>
              </w:rPr>
              <w:br/>
            </w:r>
            <w:r w:rsidR="00C722D2" w:rsidRPr="00CA6420">
              <w:rPr>
                <w:rFonts w:ascii="Times New Roman" w:hAnsi="Times New Roman"/>
                <w:b/>
                <w:bCs/>
                <w:sz w:val="24"/>
                <w:szCs w:val="24"/>
              </w:rPr>
              <w:t>597</w:t>
            </w:r>
            <w:r w:rsidR="00C722D2" w:rsidRPr="00CA6420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="00C722D2" w:rsidRPr="00DC56ED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 xml:space="preserve"> </w:t>
            </w:r>
            <w:r w:rsidR="001C4138" w:rsidRPr="00C722D2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 xml:space="preserve">Plenary Session – </w:t>
            </w:r>
            <w:r w:rsidR="00C722D2" w:rsidRPr="00C722D2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>June</w:t>
            </w:r>
            <w:r w:rsidR="003130DE" w:rsidRPr="00C722D2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 xml:space="preserve"> 2025</w:t>
            </w:r>
            <w:r w:rsidR="00C722D2" w:rsidRPr="00C722D2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br/>
            </w:r>
            <w:r w:rsidR="001C4138" w:rsidRPr="00C722D2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 xml:space="preserve">Rapporteur: </w:t>
            </w:r>
            <w:r w:rsidR="00C722D2" w:rsidRPr="00E81669">
              <w:rPr>
                <w:rFonts w:ascii="Times New Roman" w:hAnsi="Times New Roman"/>
                <w:b/>
                <w:bCs/>
              </w:rPr>
              <w:t>Zsolt KÜKEDI (HU-III)</w:t>
            </w:r>
            <w:r w:rsidR="00C722D2" w:rsidRPr="00C722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IE"/>
              </w:rPr>
              <w:br/>
            </w:r>
            <w:r w:rsidR="0CE65EEE" w:rsidRPr="00C722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IE"/>
              </w:rPr>
              <w:t xml:space="preserve">Co-rapporteur: </w:t>
            </w:r>
            <w:r w:rsidR="00C722D2" w:rsidRPr="00E81669">
              <w:rPr>
                <w:rFonts w:ascii="Times New Roman" w:hAnsi="Times New Roman"/>
                <w:b/>
                <w:bCs/>
              </w:rPr>
              <w:t xml:space="preserve"> Philippe CHARRY (FR-II)</w:t>
            </w:r>
            <w:r w:rsidR="001C4138" w:rsidRPr="00E81669">
              <w:rPr>
                <w:b/>
                <w:bCs/>
                <w:lang w:val="en-IE"/>
              </w:rPr>
              <w:br/>
            </w:r>
            <w:r w:rsidR="001C4138" w:rsidRPr="00C722D2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 xml:space="preserve">DG </w:t>
            </w:r>
            <w:r w:rsidR="003130DE" w:rsidRPr="00C722D2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>ENER</w:t>
            </w:r>
            <w:r w:rsidR="001C4138" w:rsidRPr="00C722D2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 xml:space="preserve"> – Commissioner </w:t>
            </w:r>
            <w:r w:rsidR="00C722D2" w:rsidRPr="00C722D2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>JØRGENSEN</w:t>
            </w:r>
          </w:p>
        </w:tc>
      </w:tr>
      <w:tr w:rsidR="00734613" w:rsidRPr="00442552" w14:paraId="1937071F" w14:textId="77777777" w:rsidTr="00CA6420">
        <w:trPr>
          <w:jc w:val="center"/>
        </w:trPr>
        <w:tc>
          <w:tcPr>
            <w:tcW w:w="10083" w:type="dxa"/>
          </w:tcPr>
          <w:p w14:paraId="1E50B4DB" w14:textId="30795E16" w:rsidR="00734613" w:rsidRPr="00695797" w:rsidRDefault="004F6117" w:rsidP="004F611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>European Commission position on points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 xml:space="preserve">of the European Economic and Social Committee </w:t>
            </w:r>
            <w:r w:rsidR="007D72A0">
              <w:rPr>
                <w:rFonts w:ascii="Times New Roman" w:hAnsi="Times New Roman"/>
                <w:b/>
                <w:sz w:val="24"/>
                <w:szCs w:val="24"/>
              </w:rPr>
              <w:t xml:space="preserve">(EESC) </w:t>
            </w: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>opinion</w:t>
            </w:r>
            <w:r w:rsidR="00E83C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83C12" w:rsidRPr="00E83C12">
              <w:rPr>
                <w:rFonts w:ascii="Times New Roman" w:hAnsi="Times New Roman"/>
                <w:b/>
                <w:sz w:val="24"/>
                <w:szCs w:val="24"/>
              </w:rPr>
              <w:t>considered as essential</w:t>
            </w:r>
          </w:p>
        </w:tc>
      </w:tr>
      <w:tr w:rsidR="00734613" w:rsidRPr="004F6117" w14:paraId="673DDC1B" w14:textId="77777777" w:rsidTr="00CA6420">
        <w:trPr>
          <w:jc w:val="center"/>
        </w:trPr>
        <w:tc>
          <w:tcPr>
            <w:tcW w:w="10083" w:type="dxa"/>
          </w:tcPr>
          <w:p w14:paraId="0AEF037A" w14:textId="37789C03" w:rsidR="002141F9" w:rsidRDefault="002141F9" w:rsidP="00F63618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 the opinion points out, </w:t>
            </w:r>
            <w:r w:rsidR="0059420A">
              <w:rPr>
                <w:rFonts w:ascii="Times New Roman" w:hAnsi="Times New Roman"/>
                <w:sz w:val="24"/>
                <w:szCs w:val="24"/>
              </w:rPr>
              <w:t xml:space="preserve">one of </w:t>
            </w:r>
            <w:r>
              <w:rPr>
                <w:rFonts w:ascii="Times New Roman" w:hAnsi="Times New Roman"/>
                <w:sz w:val="24"/>
                <w:szCs w:val="24"/>
              </w:rPr>
              <w:t>the most recent reference document</w:t>
            </w:r>
            <w:r w:rsidR="0059420A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adopted by the Commission on the future of the energy system is the Action Plan for Affordable Energy</w:t>
            </w:r>
            <w:r w:rsidR="00F7459C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2"/>
            </w:r>
            <w:r w:rsidR="0059420A">
              <w:rPr>
                <w:rFonts w:ascii="Times New Roman" w:hAnsi="Times New Roman"/>
                <w:sz w:val="24"/>
                <w:szCs w:val="24"/>
              </w:rPr>
              <w:t>, as well as the p</w:t>
            </w:r>
            <w:r w:rsidR="0059420A" w:rsidRPr="0059420A">
              <w:rPr>
                <w:rFonts w:ascii="Times New Roman" w:hAnsi="Times New Roman"/>
                <w:sz w:val="24"/>
                <w:szCs w:val="24"/>
              </w:rPr>
              <w:t>roposal for a</w:t>
            </w:r>
            <w:r w:rsidR="00CA6420">
              <w:rPr>
                <w:rFonts w:ascii="Times New Roman" w:hAnsi="Times New Roman"/>
                <w:sz w:val="24"/>
                <w:szCs w:val="24"/>
              </w:rPr>
              <w:t> </w:t>
            </w:r>
            <w:r w:rsidR="0059420A" w:rsidRPr="0059420A">
              <w:rPr>
                <w:rFonts w:ascii="Times New Roman" w:hAnsi="Times New Roman"/>
                <w:sz w:val="24"/>
                <w:szCs w:val="24"/>
              </w:rPr>
              <w:t>Regulation on phasing out Russian gas imports</w:t>
            </w:r>
            <w:r w:rsidR="0059420A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59420A" w:rsidRPr="0059420A">
              <w:rPr>
                <w:rFonts w:ascii="Times New Roman" w:hAnsi="Times New Roman"/>
                <w:sz w:val="24"/>
                <w:szCs w:val="24"/>
              </w:rPr>
              <w:t>improving monitoring of potential energy dependencies</w:t>
            </w:r>
            <w:r w:rsidR="0059420A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D5951">
              <w:rPr>
                <w:rFonts w:ascii="Times New Roman" w:hAnsi="Times New Roman"/>
                <w:sz w:val="24"/>
                <w:szCs w:val="24"/>
              </w:rPr>
              <w:t>Adopted as part of the Clean Industrial Deal, the Action Plan sets forth a</w:t>
            </w:r>
            <w:r w:rsidR="001D5951" w:rsidRPr="001D5951">
              <w:rPr>
                <w:rFonts w:ascii="Times New Roman" w:hAnsi="Times New Roman"/>
                <w:sz w:val="24"/>
                <w:szCs w:val="24"/>
              </w:rPr>
              <w:t xml:space="preserve"> set of concrete short-term and structural measures </w:t>
            </w:r>
            <w:r w:rsidR="001D5951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="001D5951" w:rsidRPr="001D5951">
              <w:rPr>
                <w:rFonts w:ascii="Times New Roman" w:hAnsi="Times New Roman"/>
                <w:sz w:val="24"/>
                <w:szCs w:val="24"/>
              </w:rPr>
              <w:t>provide competitiveness, affordability, security and sustainability for citizens and businesses.</w:t>
            </w:r>
            <w:r w:rsidR="001D5951">
              <w:rPr>
                <w:rFonts w:ascii="Times New Roman" w:hAnsi="Times New Roman"/>
                <w:sz w:val="24"/>
                <w:szCs w:val="24"/>
              </w:rPr>
              <w:t xml:space="preserve"> The actions contained in the plan aim to </w:t>
            </w:r>
            <w:r w:rsidR="0059420A">
              <w:rPr>
                <w:rFonts w:ascii="Times New Roman" w:hAnsi="Times New Roman"/>
                <w:sz w:val="24"/>
                <w:szCs w:val="24"/>
              </w:rPr>
              <w:t xml:space="preserve">lower energy costs, complete the Energy Union, attract investment and ensure delivery, and improve readiness for potential energy crises. Its implementation will help drive European </w:t>
            </w:r>
            <w:r w:rsidR="001D5951">
              <w:rPr>
                <w:rFonts w:ascii="Times New Roman" w:hAnsi="Times New Roman"/>
                <w:sz w:val="24"/>
                <w:szCs w:val="24"/>
              </w:rPr>
              <w:t>competitiveness.</w:t>
            </w:r>
          </w:p>
          <w:p w14:paraId="529EC0B2" w14:textId="3AC476F8" w:rsidR="00E6596B" w:rsidRDefault="00E6596B" w:rsidP="00F63618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 pointed out in the opinion, energy communities and consumer participation will play a key role in shaping the future of the energy system. As announced in the Action Plan, the Commission will adopt </w:t>
            </w:r>
            <w:r w:rsidR="00BC6288">
              <w:rPr>
                <w:rFonts w:ascii="Times New Roman" w:hAnsi="Times New Roman"/>
                <w:sz w:val="24"/>
                <w:szCs w:val="24"/>
              </w:rPr>
              <w:t xml:space="preserve">in the </w:t>
            </w:r>
            <w:r w:rsidR="00B3204C">
              <w:rPr>
                <w:rFonts w:ascii="Times New Roman" w:hAnsi="Times New Roman"/>
                <w:sz w:val="24"/>
                <w:szCs w:val="24"/>
              </w:rPr>
              <w:t xml:space="preserve">second half of 2025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Citizens Energy Package </w:t>
            </w:r>
            <w:r w:rsidR="00F7459C">
              <w:rPr>
                <w:rFonts w:ascii="Times New Roman" w:hAnsi="Times New Roman"/>
                <w:sz w:val="24"/>
                <w:szCs w:val="24"/>
              </w:rPr>
              <w:t>to increase citizen participation in the energy transition and strengthen the social dimension of the Energy Union</w:t>
            </w:r>
            <w:r w:rsidR="00501F95">
              <w:rPr>
                <w:rFonts w:ascii="Times New Roman" w:hAnsi="Times New Roman"/>
                <w:sz w:val="24"/>
                <w:szCs w:val="24"/>
              </w:rPr>
              <w:t>, including on addressing energy poverty</w:t>
            </w:r>
            <w:r w:rsidR="00F745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E34AA0" w14:textId="33F2DF4E" w:rsidR="001D5951" w:rsidRPr="001D5951" w:rsidRDefault="001D5951" w:rsidP="00F63618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en-I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Commission</w:t>
            </w:r>
            <w:r w:rsidR="009300E2">
              <w:rPr>
                <w:rFonts w:ascii="Times New Roman" w:hAnsi="Times New Roman"/>
                <w:sz w:val="24"/>
                <w:szCs w:val="24"/>
              </w:rPr>
              <w:t xml:space="preserve"> takes note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Committee’s opinion as concerns geothermal energy, which also refers to </w:t>
            </w:r>
            <w:r w:rsidRPr="001D5951">
              <w:rPr>
                <w:rFonts w:ascii="Times New Roman" w:hAnsi="Times New Roman"/>
                <w:sz w:val="24"/>
                <w:szCs w:val="24"/>
              </w:rPr>
              <w:t xml:space="preserve">the Council </w:t>
            </w:r>
            <w:r w:rsidR="00BC6288">
              <w:rPr>
                <w:rFonts w:ascii="Times New Roman" w:hAnsi="Times New Roman"/>
                <w:sz w:val="24"/>
                <w:szCs w:val="24"/>
              </w:rPr>
              <w:t>C</w:t>
            </w:r>
            <w:r w:rsidRPr="001D5951">
              <w:rPr>
                <w:rFonts w:ascii="Times New Roman" w:hAnsi="Times New Roman"/>
                <w:sz w:val="24"/>
                <w:szCs w:val="24"/>
              </w:rPr>
              <w:t>onclusions of December 2024</w:t>
            </w:r>
            <w:r w:rsidR="00B3204C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4"/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9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1D5951">
              <w:rPr>
                <w:rFonts w:ascii="Times New Roman" w:hAnsi="Times New Roman"/>
                <w:sz w:val="24"/>
                <w:szCs w:val="24"/>
              </w:rPr>
              <w:t>eothermal energy has an important role to play in the decarbonisation of the EU’s energy system</w:t>
            </w:r>
            <w:r w:rsidR="00BC6288">
              <w:rPr>
                <w:rFonts w:ascii="Times New Roman" w:hAnsi="Times New Roman"/>
                <w:sz w:val="24"/>
                <w:szCs w:val="24"/>
              </w:rPr>
              <w:t>,</w:t>
            </w:r>
            <w:r w:rsidRPr="001D59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D5951">
              <w:rPr>
                <w:rFonts w:ascii="Times New Roman" w:hAnsi="Times New Roman"/>
                <w:sz w:val="24"/>
                <w:szCs w:val="24"/>
              </w:rPr>
              <w:t>in particular for</w:t>
            </w:r>
            <w:proofErr w:type="gramEnd"/>
            <w:r w:rsidRPr="001D5951">
              <w:rPr>
                <w:rFonts w:ascii="Times New Roman" w:hAnsi="Times New Roman"/>
                <w:sz w:val="24"/>
                <w:szCs w:val="24"/>
              </w:rPr>
              <w:t xml:space="preserve"> heating and cooling. </w:t>
            </w:r>
            <w:r>
              <w:rPr>
                <w:rFonts w:ascii="Times New Roman" w:hAnsi="Times New Roman"/>
                <w:sz w:val="24"/>
                <w:szCs w:val="24"/>
              </w:rPr>
              <w:t>Its</w:t>
            </w:r>
            <w:r w:rsidRPr="001D5951">
              <w:rPr>
                <w:rFonts w:ascii="Times New Roman" w:hAnsi="Times New Roman"/>
                <w:sz w:val="24"/>
                <w:szCs w:val="24"/>
              </w:rPr>
              <w:t xml:space="preserve"> potential has so far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been </w:t>
            </w:r>
            <w:r w:rsidRPr="001D5951">
              <w:rPr>
                <w:rFonts w:ascii="Times New Roman" w:hAnsi="Times New Roman"/>
                <w:sz w:val="24"/>
                <w:szCs w:val="24"/>
              </w:rPr>
              <w:t xml:space="preserve">hindered by challenges related </w:t>
            </w:r>
            <w:r w:rsidRPr="001D5951">
              <w:rPr>
                <w:rFonts w:ascii="Times New Roman" w:hAnsi="Times New Roman"/>
                <w:i/>
                <w:iCs/>
                <w:sz w:val="24"/>
                <w:szCs w:val="24"/>
              </w:rPr>
              <w:t>inter alia</w:t>
            </w:r>
            <w:r w:rsidRPr="001D5951">
              <w:rPr>
                <w:rFonts w:ascii="Times New Roman" w:hAnsi="Times New Roman"/>
                <w:sz w:val="24"/>
                <w:szCs w:val="24"/>
              </w:rPr>
              <w:t xml:space="preserve"> to planning, permitting, skills, financing and availability of data.</w:t>
            </w:r>
            <w:r w:rsidR="009300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5951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As underlined in </w:t>
            </w:r>
            <w:r w:rsidR="00D206CB">
              <w:rPr>
                <w:rFonts w:ascii="Times New Roman" w:hAnsi="Times New Roman"/>
                <w:sz w:val="24"/>
                <w:szCs w:val="24"/>
              </w:rPr>
              <w:t>Action Plan for Affordable Energy</w:t>
            </w:r>
            <w:r w:rsidRPr="001D5951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, the Commission will prepare a Heating and Cooling Strategy (first quarter of 2026), which will be </w:t>
            </w:r>
            <w:r w:rsidRPr="001D5951">
              <w:rPr>
                <w:rFonts w:ascii="Times New Roman" w:hAnsi="Times New Roman"/>
                <w:sz w:val="24"/>
                <w:szCs w:val="24"/>
              </w:rPr>
              <w:t>accompanied by</w:t>
            </w:r>
            <w:r w:rsidRPr="001D5951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an action plan on geothermal energy aiming to address specific barriers faced by the sector.</w:t>
            </w:r>
          </w:p>
          <w:p w14:paraId="4EB2DAAE" w14:textId="57028821" w:rsidR="001D5951" w:rsidRPr="001D5951" w:rsidRDefault="001D5951" w:rsidP="00F63618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951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In the meantime, </w:t>
            </w:r>
            <w:r w:rsidR="00CC6FA6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the </w:t>
            </w:r>
            <w:r w:rsidRPr="001D5951">
              <w:rPr>
                <w:rFonts w:ascii="Times New Roman" w:hAnsi="Times New Roman"/>
                <w:sz w:val="24"/>
                <w:szCs w:val="24"/>
              </w:rPr>
              <w:t>timely transposition and implementation of recent legislation will benefit geothermal energy, in particular renewables targets on heating and cooling and simplified permitting under the Renewable Energy Directive</w:t>
            </w:r>
            <w:r w:rsidR="00F7459C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5"/>
            </w:r>
            <w:r w:rsidRPr="001D5951">
              <w:rPr>
                <w:rFonts w:ascii="Times New Roman" w:hAnsi="Times New Roman"/>
                <w:sz w:val="24"/>
                <w:szCs w:val="24"/>
              </w:rPr>
              <w:t>, and provisions in the Energy Efficiency Directive</w:t>
            </w:r>
            <w:r w:rsidR="00F7459C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6"/>
            </w:r>
            <w:r w:rsidRPr="001D59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5951">
              <w:rPr>
                <w:rFonts w:ascii="Times New Roman" w:hAnsi="Times New Roman"/>
                <w:sz w:val="24"/>
                <w:szCs w:val="24"/>
              </w:rPr>
              <w:lastRenderedPageBreak/>
              <w:t>concerning decarbonisation pathways towards 2050 for district heating and cooling networks (a key user of geothermal energy) and on local heating and cooling plans.</w:t>
            </w:r>
          </w:p>
          <w:p w14:paraId="12F8BC53" w14:textId="5E3890D4" w:rsidR="00973FD2" w:rsidRDefault="009300E2" w:rsidP="00F63618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Commission takes note of the Committee’s opinion as concerns the role of biogas. </w:t>
            </w:r>
            <w:r w:rsidR="00973FD2" w:rsidRPr="00973FD2">
              <w:rPr>
                <w:rFonts w:ascii="Times New Roman" w:hAnsi="Times New Roman"/>
                <w:sz w:val="24"/>
                <w:szCs w:val="24"/>
              </w:rPr>
              <w:t>The Commission agrees that biogas play</w:t>
            </w:r>
            <w:r w:rsidR="00BE32B2">
              <w:rPr>
                <w:rFonts w:ascii="Times New Roman" w:hAnsi="Times New Roman"/>
                <w:sz w:val="24"/>
                <w:szCs w:val="24"/>
              </w:rPr>
              <w:t>s</w:t>
            </w:r>
            <w:r w:rsidR="00973FD2" w:rsidRPr="00973FD2">
              <w:rPr>
                <w:rFonts w:ascii="Times New Roman" w:hAnsi="Times New Roman"/>
                <w:sz w:val="24"/>
                <w:szCs w:val="24"/>
              </w:rPr>
              <w:t xml:space="preserve"> an important role in Europe’s decarbonisation, </w:t>
            </w:r>
            <w:r w:rsidR="00973FD2" w:rsidRPr="00CC151A">
              <w:rPr>
                <w:rFonts w:ascii="Times New Roman" w:hAnsi="Times New Roman"/>
                <w:sz w:val="24"/>
                <w:szCs w:val="24"/>
              </w:rPr>
              <w:t>bioeconomy and energy transition and as one of the short and mid-term actions to reduce dependencies on the Russian gas imports.</w:t>
            </w:r>
          </w:p>
          <w:p w14:paraId="07B3594F" w14:textId="2327ADCD" w:rsidR="00E6596B" w:rsidRDefault="009300E2" w:rsidP="00F63618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Commission takes note of the Committee’s opinion as concerns the </w:t>
            </w:r>
            <w:r w:rsidRPr="009300E2">
              <w:rPr>
                <w:rFonts w:ascii="Times New Roman" w:hAnsi="Times New Roman"/>
                <w:sz w:val="24"/>
                <w:szCs w:val="24"/>
              </w:rPr>
              <w:t xml:space="preserve">incident in the Iberian </w:t>
            </w:r>
            <w:r w:rsidR="00637101">
              <w:rPr>
                <w:rFonts w:ascii="Times New Roman" w:hAnsi="Times New Roman"/>
                <w:sz w:val="24"/>
                <w:szCs w:val="24"/>
              </w:rPr>
              <w:t>P</w:t>
            </w:r>
            <w:r w:rsidRPr="009300E2">
              <w:rPr>
                <w:rFonts w:ascii="Times New Roman" w:hAnsi="Times New Roman"/>
                <w:sz w:val="24"/>
                <w:szCs w:val="24"/>
              </w:rPr>
              <w:t>eninsula</w:t>
            </w:r>
            <w:r w:rsidR="00637101">
              <w:rPr>
                <w:rFonts w:ascii="Times New Roman" w:hAnsi="Times New Roman"/>
                <w:sz w:val="24"/>
                <w:szCs w:val="24"/>
              </w:rPr>
              <w:t>’s</w:t>
            </w:r>
            <w:r w:rsidRPr="009300E2">
              <w:rPr>
                <w:rFonts w:ascii="Times New Roman" w:hAnsi="Times New Roman"/>
                <w:sz w:val="24"/>
                <w:szCs w:val="24"/>
              </w:rPr>
              <w:t xml:space="preserve"> electricity system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6596B">
              <w:rPr>
                <w:rFonts w:ascii="Times New Roman" w:hAnsi="Times New Roman"/>
                <w:sz w:val="24"/>
                <w:szCs w:val="24"/>
              </w:rPr>
              <w:t xml:space="preserve">The Commission </w:t>
            </w:r>
            <w:r w:rsidR="00ED6DFA">
              <w:rPr>
                <w:rFonts w:ascii="Times New Roman" w:hAnsi="Times New Roman"/>
                <w:sz w:val="24"/>
                <w:szCs w:val="24"/>
              </w:rPr>
              <w:t>takes note of the factual report</w:t>
            </w:r>
            <w:r w:rsidRPr="009300E2">
              <w:rPr>
                <w:rFonts w:ascii="Times New Roman" w:hAnsi="Times New Roman"/>
                <w:sz w:val="24"/>
                <w:szCs w:val="24"/>
              </w:rPr>
              <w:t xml:space="preserve"> of the Expert Panel Investigation delivered </w:t>
            </w:r>
            <w:r w:rsidR="00BE32B2">
              <w:rPr>
                <w:rFonts w:ascii="Times New Roman" w:hAnsi="Times New Roman"/>
                <w:sz w:val="24"/>
                <w:szCs w:val="24"/>
              </w:rPr>
              <w:t>on 3</w:t>
            </w:r>
            <w:r w:rsidR="00DC56ED">
              <w:rPr>
                <w:rFonts w:ascii="Times New Roman" w:hAnsi="Times New Roman"/>
                <w:sz w:val="24"/>
                <w:szCs w:val="24"/>
              </w:rPr>
              <w:t> </w:t>
            </w:r>
            <w:r w:rsidR="00BE32B2">
              <w:rPr>
                <w:rFonts w:ascii="Times New Roman" w:hAnsi="Times New Roman"/>
                <w:sz w:val="24"/>
                <w:szCs w:val="24"/>
              </w:rPr>
              <w:t xml:space="preserve">October 2025 </w:t>
            </w:r>
            <w:r w:rsidRPr="009300E2">
              <w:rPr>
                <w:rFonts w:ascii="Times New Roman" w:hAnsi="Times New Roman"/>
                <w:sz w:val="24"/>
                <w:szCs w:val="24"/>
              </w:rPr>
              <w:t xml:space="preserve">by the </w:t>
            </w:r>
            <w:r w:rsidRPr="00622CBE">
              <w:rPr>
                <w:rFonts w:ascii="Times New Roman" w:hAnsi="Times New Roman"/>
                <w:sz w:val="24"/>
                <w:szCs w:val="24"/>
              </w:rPr>
              <w:t xml:space="preserve">Expert Panel, established by </w:t>
            </w:r>
            <w:r w:rsidR="00622CBE" w:rsidRPr="00E81669">
              <w:rPr>
                <w:rFonts w:ascii="Times New Roman" w:hAnsi="Times New Roman"/>
                <w:sz w:val="24"/>
                <w:szCs w:val="24"/>
              </w:rPr>
              <w:t>European Network of Transmission System Operators for Electricity</w:t>
            </w:r>
            <w:r w:rsidR="00DC56ED">
              <w:rPr>
                <w:rFonts w:ascii="Times New Roman" w:hAnsi="Times New Roman"/>
                <w:sz w:val="24"/>
                <w:szCs w:val="24"/>
              </w:rPr>
              <w:t> </w:t>
            </w:r>
            <w:r w:rsidR="00622CBE" w:rsidRPr="00622CBE">
              <w:rPr>
                <w:rFonts w:ascii="Times New Roman" w:hAnsi="Times New Roman"/>
                <w:sz w:val="24"/>
                <w:szCs w:val="24"/>
              </w:rPr>
              <w:t>(</w:t>
            </w:r>
            <w:r w:rsidRPr="009300E2">
              <w:rPr>
                <w:rFonts w:ascii="Times New Roman" w:hAnsi="Times New Roman"/>
                <w:sz w:val="24"/>
                <w:szCs w:val="24"/>
              </w:rPr>
              <w:t>ENTSO-E</w:t>
            </w:r>
            <w:r w:rsidR="00622CBE">
              <w:rPr>
                <w:rFonts w:ascii="Times New Roman" w:hAnsi="Times New Roman"/>
                <w:sz w:val="24"/>
                <w:szCs w:val="24"/>
              </w:rPr>
              <w:t>)</w:t>
            </w:r>
            <w:r w:rsidRPr="009300E2">
              <w:rPr>
                <w:rFonts w:ascii="Times New Roman" w:hAnsi="Times New Roman"/>
                <w:sz w:val="24"/>
                <w:szCs w:val="24"/>
              </w:rPr>
              <w:t xml:space="preserve"> on 12</w:t>
            </w:r>
            <w:r w:rsidR="00DC56ED">
              <w:rPr>
                <w:rFonts w:ascii="Times New Roman" w:hAnsi="Times New Roman"/>
                <w:sz w:val="24"/>
                <w:szCs w:val="24"/>
              </w:rPr>
              <w:t> </w:t>
            </w:r>
            <w:r w:rsidRPr="009300E2">
              <w:rPr>
                <w:rFonts w:ascii="Times New Roman" w:hAnsi="Times New Roman"/>
                <w:sz w:val="24"/>
                <w:szCs w:val="24"/>
              </w:rPr>
              <w:t>May 2025, in line with Article</w:t>
            </w:r>
            <w:r w:rsidR="00622CBE">
              <w:rPr>
                <w:rFonts w:ascii="Times New Roman" w:hAnsi="Times New Roman"/>
                <w:sz w:val="24"/>
                <w:szCs w:val="24"/>
              </w:rPr>
              <w:t> </w:t>
            </w:r>
            <w:r w:rsidRPr="009300E2">
              <w:rPr>
                <w:rFonts w:ascii="Times New Roman" w:hAnsi="Times New Roman"/>
                <w:sz w:val="24"/>
                <w:szCs w:val="24"/>
              </w:rPr>
              <w:t xml:space="preserve">15(5) of </w:t>
            </w:r>
            <w:r w:rsidR="00F7459C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9300E2">
              <w:rPr>
                <w:rFonts w:ascii="Times New Roman" w:hAnsi="Times New Roman"/>
                <w:sz w:val="24"/>
                <w:szCs w:val="24"/>
              </w:rPr>
              <w:t>System Operation Guideline</w:t>
            </w:r>
            <w:r w:rsidR="00ED6DFA">
              <w:rPr>
                <w:rFonts w:ascii="Times New Roman" w:hAnsi="Times New Roman"/>
                <w:sz w:val="24"/>
                <w:szCs w:val="24"/>
              </w:rPr>
              <w:t xml:space="preserve"> and look</w:t>
            </w:r>
            <w:r w:rsidR="00BE32B2">
              <w:rPr>
                <w:rFonts w:ascii="Times New Roman" w:hAnsi="Times New Roman"/>
                <w:sz w:val="24"/>
                <w:szCs w:val="24"/>
              </w:rPr>
              <w:t>s</w:t>
            </w:r>
            <w:r w:rsidR="00ED6DFA">
              <w:rPr>
                <w:rFonts w:ascii="Times New Roman" w:hAnsi="Times New Roman"/>
                <w:sz w:val="24"/>
                <w:szCs w:val="24"/>
              </w:rPr>
              <w:t xml:space="preserve"> forward </w:t>
            </w:r>
            <w:r w:rsidR="00BE32B2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="00ED6DFA">
              <w:rPr>
                <w:rFonts w:ascii="Times New Roman" w:hAnsi="Times New Roman"/>
                <w:sz w:val="24"/>
                <w:szCs w:val="24"/>
              </w:rPr>
              <w:t xml:space="preserve">the final report expected to be released in </w:t>
            </w:r>
            <w:r w:rsidR="00DC56ED">
              <w:rPr>
                <w:rFonts w:ascii="Times New Roman" w:hAnsi="Times New Roman"/>
                <w:sz w:val="24"/>
                <w:szCs w:val="24"/>
              </w:rPr>
              <w:t xml:space="preserve">first </w:t>
            </w:r>
            <w:proofErr w:type="spellStart"/>
            <w:r w:rsidR="00DC56ED">
              <w:rPr>
                <w:rFonts w:ascii="Times New Roman" w:hAnsi="Times New Roman"/>
                <w:sz w:val="24"/>
                <w:szCs w:val="24"/>
              </w:rPr>
              <w:t>quearter</w:t>
            </w:r>
            <w:proofErr w:type="spellEnd"/>
            <w:r w:rsidR="00DC56ED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="00ED6DFA">
              <w:rPr>
                <w:rFonts w:ascii="Times New Roman" w:hAnsi="Times New Roman"/>
                <w:sz w:val="24"/>
                <w:szCs w:val="24"/>
              </w:rPr>
              <w:t>2026</w:t>
            </w:r>
            <w:r w:rsidR="00F7459C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7"/>
            </w:r>
            <w:r w:rsidRPr="009300E2">
              <w:rPr>
                <w:rFonts w:ascii="Times New Roman" w:hAnsi="Times New Roman"/>
                <w:sz w:val="24"/>
                <w:szCs w:val="24"/>
              </w:rPr>
              <w:t>. It would be premature to make any recommendations on system operation and system stability</w:t>
            </w:r>
            <w:r w:rsidR="00E6596B">
              <w:rPr>
                <w:rFonts w:ascii="Times New Roman" w:hAnsi="Times New Roman"/>
                <w:sz w:val="24"/>
                <w:szCs w:val="24"/>
              </w:rPr>
              <w:t xml:space="preserve"> before receiving this outcome</w:t>
            </w:r>
            <w:r w:rsidRPr="009300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E70E1F" w14:textId="77640E04" w:rsidR="009300E2" w:rsidRPr="009300E2" w:rsidRDefault="00637101" w:rsidP="00F63618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9300E2" w:rsidRPr="009300E2">
              <w:rPr>
                <w:rFonts w:ascii="Times New Roman" w:hAnsi="Times New Roman"/>
                <w:sz w:val="24"/>
                <w:szCs w:val="24"/>
              </w:rPr>
              <w:t>ew measure</w:t>
            </w:r>
            <w:r w:rsidR="00E6596B">
              <w:rPr>
                <w:rFonts w:ascii="Times New Roman" w:hAnsi="Times New Roman"/>
                <w:sz w:val="24"/>
                <w:szCs w:val="24"/>
              </w:rPr>
              <w:t>s</w:t>
            </w:r>
            <w:r w:rsidR="009300E2" w:rsidRPr="009300E2">
              <w:rPr>
                <w:rFonts w:ascii="Times New Roman" w:hAnsi="Times New Roman"/>
                <w:sz w:val="24"/>
                <w:szCs w:val="24"/>
              </w:rPr>
              <w:t xml:space="preserve"> to improve system stability </w:t>
            </w:r>
            <w:r w:rsidR="00E6596B">
              <w:rPr>
                <w:rFonts w:ascii="Times New Roman" w:hAnsi="Times New Roman"/>
                <w:sz w:val="24"/>
                <w:szCs w:val="24"/>
              </w:rPr>
              <w:t>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frequently</w:t>
            </w:r>
            <w:r w:rsidR="00E65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00E2" w:rsidRPr="009300E2">
              <w:rPr>
                <w:rFonts w:ascii="Times New Roman" w:hAnsi="Times New Roman"/>
                <w:sz w:val="24"/>
                <w:szCs w:val="24"/>
              </w:rPr>
              <w:t>addressed through changes to electricity network codes and guidelines.</w:t>
            </w:r>
            <w:r w:rsidR="00E65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00E2" w:rsidRPr="009300E2">
              <w:rPr>
                <w:rFonts w:ascii="Times New Roman" w:hAnsi="Times New Roman"/>
                <w:sz w:val="24"/>
                <w:szCs w:val="24"/>
              </w:rPr>
              <w:t>The network codes and guidelines are legally binding</w:t>
            </w:r>
            <w:r w:rsidR="00ED6DFA">
              <w:rPr>
                <w:rFonts w:ascii="Times New Roman" w:hAnsi="Times New Roman"/>
                <w:sz w:val="24"/>
                <w:szCs w:val="24"/>
              </w:rPr>
              <w:t>.</w:t>
            </w:r>
            <w:r w:rsidR="009300E2" w:rsidRPr="009300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32B2">
              <w:rPr>
                <w:rFonts w:ascii="Times New Roman" w:hAnsi="Times New Roman"/>
                <w:sz w:val="24"/>
                <w:szCs w:val="24"/>
              </w:rPr>
              <w:t xml:space="preserve">They </w:t>
            </w:r>
            <w:r w:rsidR="009300E2" w:rsidRPr="009300E2">
              <w:rPr>
                <w:rFonts w:ascii="Times New Roman" w:hAnsi="Times New Roman"/>
                <w:sz w:val="24"/>
                <w:szCs w:val="24"/>
              </w:rPr>
              <w:t>govern cross-border electricity market transactions and system operations alongside the Regulation on conditions for accessing the network for cross-border electricity exchanges</w:t>
            </w:r>
            <w:r w:rsidR="00D206CB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8"/>
            </w:r>
            <w:r w:rsidR="009300E2" w:rsidRPr="009300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91CF21" w14:textId="44434C54" w:rsidR="009300E2" w:rsidRPr="004F6117" w:rsidRDefault="009300E2" w:rsidP="00F63618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0E2">
              <w:rPr>
                <w:rFonts w:ascii="Times New Roman" w:hAnsi="Times New Roman"/>
                <w:sz w:val="24"/>
                <w:szCs w:val="24"/>
              </w:rPr>
              <w:t>Each year, the Commission draws up an 'annual priority list' of areas to be included in the development of network codes for electricity, with input from a public consultation.</w:t>
            </w:r>
            <w:r w:rsidR="00E65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00E2">
              <w:rPr>
                <w:rFonts w:ascii="Times New Roman" w:hAnsi="Times New Roman"/>
                <w:sz w:val="24"/>
                <w:szCs w:val="24"/>
              </w:rPr>
              <w:t>The</w:t>
            </w:r>
            <w:r w:rsidR="00E6596B">
              <w:rPr>
                <w:rFonts w:ascii="Times New Roman" w:hAnsi="Times New Roman"/>
                <w:sz w:val="24"/>
                <w:szCs w:val="24"/>
              </w:rPr>
              <w:t>n, the</w:t>
            </w:r>
            <w:r w:rsidRPr="009300E2">
              <w:rPr>
                <w:rFonts w:ascii="Times New Roman" w:hAnsi="Times New Roman"/>
                <w:sz w:val="24"/>
                <w:szCs w:val="24"/>
              </w:rPr>
              <w:t xml:space="preserve"> Commission, with further input from the Agency for the Cooperation of Energy Regulators</w:t>
            </w:r>
            <w:r w:rsidR="00DC56ED">
              <w:rPr>
                <w:rFonts w:ascii="Times New Roman" w:hAnsi="Times New Roman"/>
                <w:sz w:val="24"/>
                <w:szCs w:val="24"/>
              </w:rPr>
              <w:t> </w:t>
            </w:r>
            <w:r w:rsidRPr="009300E2">
              <w:rPr>
                <w:rFonts w:ascii="Times New Roman" w:hAnsi="Times New Roman"/>
                <w:sz w:val="24"/>
                <w:szCs w:val="24"/>
              </w:rPr>
              <w:t>(ACER) and the ENTSO-E, adopts proposals for network codes.</w:t>
            </w:r>
          </w:p>
          <w:p w14:paraId="30D14481" w14:textId="64D41335" w:rsidR="0049246C" w:rsidRPr="004F6117" w:rsidRDefault="00E6596B" w:rsidP="00F63618">
            <w:pPr>
              <w:widowControl w:val="0"/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96B">
              <w:rPr>
                <w:rFonts w:ascii="Times New Roman" w:hAnsi="Times New Roman"/>
                <w:bCs/>
                <w:sz w:val="24"/>
                <w:szCs w:val="24"/>
              </w:rPr>
              <w:t>Finally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the 2030 EU renewable energy target adopted through </w:t>
            </w:r>
            <w:r w:rsidRPr="001D5951">
              <w:rPr>
                <w:rFonts w:ascii="Times New Roman" w:hAnsi="Times New Roman"/>
                <w:sz w:val="24"/>
                <w:szCs w:val="24"/>
              </w:rPr>
              <w:t>the revised Renewable Energy Directive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is of 42.5%, with an aspiration to reach 45%, contrary to the statement made in </w:t>
            </w:r>
            <w:r w:rsidRPr="00CA6420">
              <w:rPr>
                <w:rFonts w:ascii="Times New Roman" w:hAnsi="Times New Roman"/>
                <w:sz w:val="24"/>
                <w:szCs w:val="24"/>
                <w:u w:val="single"/>
              </w:rPr>
              <w:t>point</w:t>
            </w:r>
            <w:r w:rsidR="00DC56ED" w:rsidRPr="00CA6420">
              <w:rPr>
                <w:rFonts w:ascii="Times New Roman" w:hAnsi="Times New Roman"/>
                <w:sz w:val="24"/>
                <w:szCs w:val="24"/>
                <w:u w:val="single"/>
              </w:rPr>
              <w:t> </w:t>
            </w:r>
            <w:r w:rsidRPr="00CA6420">
              <w:rPr>
                <w:rFonts w:ascii="Times New Roman" w:hAnsi="Times New Roman"/>
                <w:sz w:val="24"/>
                <w:szCs w:val="24"/>
                <w:u w:val="single"/>
              </w:rPr>
              <w:t>4.1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the opinion.</w:t>
            </w:r>
          </w:p>
        </w:tc>
      </w:tr>
    </w:tbl>
    <w:p w14:paraId="6AF07B14" w14:textId="26AEAB66" w:rsidR="004F6117" w:rsidRPr="00C722D2" w:rsidRDefault="004F6117" w:rsidP="00C722D2">
      <w:pPr>
        <w:spacing w:after="0" w:line="240" w:lineRule="auto"/>
        <w:ind w:left="-567"/>
        <w:rPr>
          <w:rFonts w:ascii="Times New Roman" w:hAnsi="Times New Roman"/>
          <w:b/>
          <w:strike/>
          <w:sz w:val="16"/>
          <w:szCs w:val="16"/>
          <w:u w:val="single"/>
        </w:rPr>
      </w:pPr>
    </w:p>
    <w:sectPr w:rsidR="004F6117" w:rsidRPr="00C72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6BFAE" w14:textId="77777777" w:rsidR="002B76E2" w:rsidRDefault="002B76E2" w:rsidP="00FF63EA">
      <w:pPr>
        <w:spacing w:after="0" w:line="240" w:lineRule="auto"/>
      </w:pPr>
      <w:r>
        <w:separator/>
      </w:r>
    </w:p>
  </w:endnote>
  <w:endnote w:type="continuationSeparator" w:id="0">
    <w:p w14:paraId="6015CA0C" w14:textId="77777777" w:rsidR="002B76E2" w:rsidRDefault="002B76E2" w:rsidP="00FF63EA">
      <w:pPr>
        <w:spacing w:after="0" w:line="240" w:lineRule="auto"/>
      </w:pPr>
      <w:r>
        <w:continuationSeparator/>
      </w:r>
    </w:p>
  </w:endnote>
  <w:endnote w:type="continuationNotice" w:id="1">
    <w:p w14:paraId="5B8D0413" w14:textId="77777777" w:rsidR="002B76E2" w:rsidRDefault="002B76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02131" w14:textId="77777777" w:rsidR="002B76E2" w:rsidRDefault="002B76E2" w:rsidP="00FF63EA">
      <w:pPr>
        <w:spacing w:after="0" w:line="240" w:lineRule="auto"/>
      </w:pPr>
      <w:r>
        <w:separator/>
      </w:r>
    </w:p>
  </w:footnote>
  <w:footnote w:type="continuationSeparator" w:id="0">
    <w:p w14:paraId="485E4291" w14:textId="77777777" w:rsidR="002B76E2" w:rsidRDefault="002B76E2" w:rsidP="00FF63EA">
      <w:pPr>
        <w:spacing w:after="0" w:line="240" w:lineRule="auto"/>
      </w:pPr>
      <w:r>
        <w:continuationSeparator/>
      </w:r>
    </w:p>
  </w:footnote>
  <w:footnote w:type="continuationNotice" w:id="1">
    <w:p w14:paraId="3D5EC6E7" w14:textId="77777777" w:rsidR="002B76E2" w:rsidRDefault="002B76E2">
      <w:pPr>
        <w:spacing w:after="0" w:line="240" w:lineRule="auto"/>
      </w:pPr>
    </w:p>
  </w:footnote>
  <w:footnote w:id="2">
    <w:p w14:paraId="1754C539" w14:textId="7682B840" w:rsidR="00F7459C" w:rsidRPr="00DC56ED" w:rsidRDefault="00F7459C" w:rsidP="00E81669">
      <w:pPr>
        <w:pStyle w:val="FootnoteText"/>
        <w:widowControl w:val="0"/>
        <w:ind w:right="-425" w:hanging="284"/>
        <w:jc w:val="both"/>
        <w:rPr>
          <w:rFonts w:ascii="Times New Roman" w:hAnsi="Times New Roman" w:cs="Times New Roman"/>
          <w:lang w:val="fr-FR"/>
        </w:rPr>
      </w:pPr>
      <w:r w:rsidRPr="00DC56ED">
        <w:rPr>
          <w:rStyle w:val="FootnoteReference"/>
          <w:rFonts w:ascii="Times New Roman" w:hAnsi="Times New Roman" w:cs="Times New Roman"/>
        </w:rPr>
        <w:footnoteRef/>
      </w:r>
      <w:r w:rsidRPr="00DC56ED">
        <w:rPr>
          <w:rFonts w:ascii="Times New Roman" w:hAnsi="Times New Roman" w:cs="Times New Roman"/>
          <w:lang w:val="fr-FR"/>
        </w:rPr>
        <w:t xml:space="preserve"> </w:t>
      </w:r>
      <w:r w:rsidR="00F63618" w:rsidRPr="00DC56ED">
        <w:rPr>
          <w:rFonts w:ascii="Times New Roman" w:hAnsi="Times New Roman" w:cs="Times New Roman"/>
          <w:lang w:val="fr-FR"/>
        </w:rPr>
        <w:tab/>
      </w:r>
      <w:proofErr w:type="gramStart"/>
      <w:r w:rsidRPr="00DC56ED">
        <w:rPr>
          <w:rFonts w:ascii="Times New Roman" w:hAnsi="Times New Roman" w:cs="Times New Roman"/>
          <w:lang w:val="fr-FR"/>
        </w:rPr>
        <w:t>COM(</w:t>
      </w:r>
      <w:proofErr w:type="gramEnd"/>
      <w:r w:rsidRPr="00DC56ED">
        <w:rPr>
          <w:rFonts w:ascii="Times New Roman" w:hAnsi="Times New Roman" w:cs="Times New Roman"/>
          <w:lang w:val="fr-FR"/>
        </w:rPr>
        <w:t>2025)</w:t>
      </w:r>
      <w:r w:rsidR="00DC56ED">
        <w:rPr>
          <w:rFonts w:ascii="Times New Roman" w:hAnsi="Times New Roman" w:cs="Times New Roman"/>
          <w:lang w:val="fr-FR"/>
        </w:rPr>
        <w:t xml:space="preserve"> </w:t>
      </w:r>
      <w:r w:rsidRPr="00DC56ED">
        <w:rPr>
          <w:rFonts w:ascii="Times New Roman" w:hAnsi="Times New Roman" w:cs="Times New Roman"/>
          <w:lang w:val="fr-FR"/>
        </w:rPr>
        <w:t>79</w:t>
      </w:r>
      <w:r w:rsidR="00F63618" w:rsidRPr="00DC56ED">
        <w:rPr>
          <w:rFonts w:ascii="Times New Roman" w:hAnsi="Times New Roman" w:cs="Times New Roman"/>
          <w:lang w:val="fr-FR"/>
        </w:rPr>
        <w:t xml:space="preserve"> final</w:t>
      </w:r>
      <w:r w:rsidRPr="00DC56ED">
        <w:rPr>
          <w:rFonts w:ascii="Times New Roman" w:hAnsi="Times New Roman" w:cs="Times New Roman"/>
          <w:lang w:val="fr-FR"/>
        </w:rPr>
        <w:t xml:space="preserve"> </w:t>
      </w:r>
      <w:r w:rsidR="00F63618" w:rsidRPr="00DC56ED">
        <w:rPr>
          <w:rFonts w:ascii="Times New Roman" w:hAnsi="Times New Roman" w:cs="Times New Roman"/>
          <w:lang w:val="fr-FR"/>
        </w:rPr>
        <w:t>(</w:t>
      </w:r>
      <w:hyperlink r:id="rId1" w:history="1">
        <w:r w:rsidR="00F63618" w:rsidRPr="00DC56ED">
          <w:rPr>
            <w:rStyle w:val="Hyperlink"/>
            <w:rFonts w:ascii="Times New Roman" w:hAnsi="Times New Roman" w:cs="Times New Roman"/>
            <w:lang w:val="fr-FR"/>
          </w:rPr>
          <w:t>EUR-Lex - 52025DC0079 - EN - EUR-Lex</w:t>
        </w:r>
      </w:hyperlink>
      <w:r w:rsidR="00F63618" w:rsidRPr="00DC56ED">
        <w:rPr>
          <w:rFonts w:ascii="Times New Roman" w:hAnsi="Times New Roman" w:cs="Times New Roman"/>
          <w:lang w:val="fr-FR"/>
        </w:rPr>
        <w:t>).</w:t>
      </w:r>
    </w:p>
  </w:footnote>
  <w:footnote w:id="3">
    <w:p w14:paraId="4377FB03" w14:textId="0EB1837F" w:rsidR="0059420A" w:rsidRPr="00DC56ED" w:rsidRDefault="0059420A" w:rsidP="00E81669">
      <w:pPr>
        <w:pStyle w:val="FootnoteText"/>
        <w:widowControl w:val="0"/>
        <w:ind w:right="-425" w:hanging="284"/>
        <w:jc w:val="both"/>
        <w:rPr>
          <w:rFonts w:ascii="Times New Roman" w:hAnsi="Times New Roman" w:cs="Times New Roman"/>
          <w:lang w:val="fr-BE"/>
        </w:rPr>
      </w:pPr>
      <w:r w:rsidRPr="00DC56ED">
        <w:rPr>
          <w:rStyle w:val="FootnoteReference"/>
          <w:rFonts w:ascii="Times New Roman" w:hAnsi="Times New Roman" w:cs="Times New Roman"/>
        </w:rPr>
        <w:footnoteRef/>
      </w:r>
      <w:r w:rsidRPr="00DC56ED">
        <w:rPr>
          <w:rFonts w:ascii="Times New Roman" w:hAnsi="Times New Roman" w:cs="Times New Roman"/>
          <w:lang w:val="fr-BE"/>
        </w:rPr>
        <w:t xml:space="preserve"> </w:t>
      </w:r>
      <w:r w:rsidR="00F63618" w:rsidRPr="00DC56ED">
        <w:rPr>
          <w:rFonts w:ascii="Times New Roman" w:hAnsi="Times New Roman" w:cs="Times New Roman"/>
          <w:lang w:val="fr-BE"/>
        </w:rPr>
        <w:tab/>
      </w:r>
      <w:proofErr w:type="gramStart"/>
      <w:r w:rsidRPr="00DC56ED">
        <w:rPr>
          <w:rFonts w:ascii="Times New Roman" w:hAnsi="Times New Roman" w:cs="Times New Roman"/>
          <w:lang w:val="fr-BE"/>
        </w:rPr>
        <w:t>COM</w:t>
      </w:r>
      <w:r w:rsidR="00F63618" w:rsidRPr="00DC56ED">
        <w:rPr>
          <w:rFonts w:ascii="Times New Roman" w:hAnsi="Times New Roman" w:cs="Times New Roman"/>
          <w:lang w:val="fr-BE"/>
        </w:rPr>
        <w:t>(</w:t>
      </w:r>
      <w:proofErr w:type="gramEnd"/>
      <w:r w:rsidRPr="00DC56ED">
        <w:rPr>
          <w:rFonts w:ascii="Times New Roman" w:hAnsi="Times New Roman" w:cs="Times New Roman"/>
          <w:lang w:val="fr-BE"/>
        </w:rPr>
        <w:t>2025</w:t>
      </w:r>
      <w:r w:rsidR="00F63618" w:rsidRPr="00DC56ED">
        <w:rPr>
          <w:rFonts w:ascii="Times New Roman" w:hAnsi="Times New Roman" w:cs="Times New Roman"/>
          <w:lang w:val="fr-BE"/>
        </w:rPr>
        <w:t>)</w:t>
      </w:r>
      <w:r w:rsidR="00DC56ED">
        <w:rPr>
          <w:rFonts w:ascii="Times New Roman" w:hAnsi="Times New Roman" w:cs="Times New Roman"/>
          <w:lang w:val="fr-BE"/>
        </w:rPr>
        <w:t xml:space="preserve"> </w:t>
      </w:r>
      <w:r w:rsidRPr="00DC56ED">
        <w:rPr>
          <w:rFonts w:ascii="Times New Roman" w:hAnsi="Times New Roman" w:cs="Times New Roman"/>
          <w:lang w:val="fr-BE"/>
        </w:rPr>
        <w:t>828 final</w:t>
      </w:r>
      <w:r w:rsidR="00F63618" w:rsidRPr="00DC56ED">
        <w:rPr>
          <w:rFonts w:ascii="Times New Roman" w:hAnsi="Times New Roman" w:cs="Times New Roman"/>
          <w:lang w:val="fr-BE"/>
        </w:rPr>
        <w:t xml:space="preserve"> (</w:t>
      </w:r>
      <w:hyperlink r:id="rId2" w:history="1">
        <w:r w:rsidR="00F63618" w:rsidRPr="00DC56ED">
          <w:rPr>
            <w:rStyle w:val="Hyperlink"/>
            <w:rFonts w:ascii="Times New Roman" w:hAnsi="Times New Roman" w:cs="Times New Roman"/>
            <w:lang w:val="fr-BE"/>
          </w:rPr>
          <w:t>EUR-Lex - 52025PC0828 - EN - EUR-Lex</w:t>
        </w:r>
      </w:hyperlink>
      <w:r w:rsidR="00F63618" w:rsidRPr="00DC56ED">
        <w:rPr>
          <w:rFonts w:ascii="Times New Roman" w:hAnsi="Times New Roman" w:cs="Times New Roman"/>
          <w:lang w:val="fr-BE"/>
        </w:rPr>
        <w:t>).</w:t>
      </w:r>
    </w:p>
  </w:footnote>
  <w:footnote w:id="4">
    <w:p w14:paraId="076D84A3" w14:textId="6BEFBA42" w:rsidR="00B3204C" w:rsidRPr="00862A64" w:rsidRDefault="00B3204C" w:rsidP="00E81669">
      <w:pPr>
        <w:pStyle w:val="FootnoteText"/>
        <w:widowControl w:val="0"/>
        <w:ind w:hanging="284"/>
        <w:rPr>
          <w:rFonts w:ascii="Times New Roman" w:hAnsi="Times New Roman" w:cs="Times New Roman"/>
          <w:lang w:val="fr-BE"/>
        </w:rPr>
      </w:pPr>
      <w:r w:rsidRPr="00DC56ED">
        <w:rPr>
          <w:rStyle w:val="FootnoteReference"/>
          <w:rFonts w:ascii="Times New Roman" w:hAnsi="Times New Roman" w:cs="Times New Roman"/>
        </w:rPr>
        <w:footnoteRef/>
      </w:r>
      <w:r w:rsidRPr="00862A64">
        <w:rPr>
          <w:rFonts w:ascii="Times New Roman" w:hAnsi="Times New Roman" w:cs="Times New Roman"/>
          <w:lang w:val="fr-BE"/>
        </w:rPr>
        <w:t xml:space="preserve"> </w:t>
      </w:r>
      <w:r w:rsidRPr="00862A64">
        <w:rPr>
          <w:rFonts w:ascii="Times New Roman" w:hAnsi="Times New Roman" w:cs="Times New Roman"/>
          <w:lang w:val="fr-BE"/>
        </w:rPr>
        <w:tab/>
      </w:r>
      <w:hyperlink r:id="rId3" w:history="1">
        <w:r w:rsidRPr="00862A64">
          <w:rPr>
            <w:rStyle w:val="Hyperlink"/>
            <w:rFonts w:ascii="Times New Roman" w:hAnsi="Times New Roman" w:cs="Times New Roman"/>
            <w:lang w:val="fr-BE"/>
          </w:rPr>
          <w:t>euco-conclusions-19122024-en.pdf</w:t>
        </w:r>
      </w:hyperlink>
      <w:r w:rsidRPr="00862A64">
        <w:rPr>
          <w:rFonts w:ascii="Times New Roman" w:hAnsi="Times New Roman" w:cs="Times New Roman"/>
          <w:lang w:val="fr-BE"/>
        </w:rPr>
        <w:t>.</w:t>
      </w:r>
    </w:p>
  </w:footnote>
  <w:footnote w:id="5">
    <w:p w14:paraId="49025829" w14:textId="449EB1EB" w:rsidR="00F7459C" w:rsidRPr="00DC56ED" w:rsidRDefault="00F7459C" w:rsidP="00E81669">
      <w:pPr>
        <w:pStyle w:val="FootnoteText"/>
        <w:widowControl w:val="0"/>
        <w:ind w:right="-425" w:hanging="284"/>
        <w:jc w:val="both"/>
        <w:rPr>
          <w:rFonts w:ascii="Times New Roman" w:hAnsi="Times New Roman" w:cs="Times New Roman"/>
          <w:lang w:val="en-US"/>
        </w:rPr>
      </w:pPr>
      <w:r w:rsidRPr="00DC56ED">
        <w:rPr>
          <w:rStyle w:val="FootnoteReference"/>
          <w:rFonts w:ascii="Times New Roman" w:hAnsi="Times New Roman" w:cs="Times New Roman"/>
        </w:rPr>
        <w:footnoteRef/>
      </w:r>
      <w:r w:rsidRPr="00DC56ED">
        <w:rPr>
          <w:rFonts w:ascii="Times New Roman" w:hAnsi="Times New Roman" w:cs="Times New Roman"/>
        </w:rPr>
        <w:t xml:space="preserve"> </w:t>
      </w:r>
      <w:r w:rsidR="00F63618" w:rsidRPr="00DC56ED">
        <w:rPr>
          <w:rFonts w:ascii="Times New Roman" w:hAnsi="Times New Roman" w:cs="Times New Roman"/>
        </w:rPr>
        <w:tab/>
      </w:r>
      <w:r w:rsidRPr="00DC56ED">
        <w:rPr>
          <w:rFonts w:ascii="Times New Roman" w:hAnsi="Times New Roman" w:cs="Times New Roman"/>
          <w:lang w:val="en-US"/>
        </w:rPr>
        <w:t xml:space="preserve">Directive (EU) </w:t>
      </w:r>
      <w:r w:rsidR="00BC6288" w:rsidRPr="00DC56ED">
        <w:rPr>
          <w:rFonts w:ascii="Times New Roman" w:hAnsi="Times New Roman" w:cs="Times New Roman"/>
          <w:lang w:val="en-GB"/>
        </w:rPr>
        <w:t>2023/2413 of the European Parliament and of the Council of 18 October 2023 amending Directive (EU) 2018/2001, Regulation (EU) 2018/1999 and Directive 98/70/EC as regards the promotion of energy from renewable sources, and repealing Council Directive (EU) 2015/652</w:t>
      </w:r>
      <w:r w:rsidR="00F63618" w:rsidRPr="00DC56ED">
        <w:rPr>
          <w:rFonts w:ascii="Times New Roman" w:hAnsi="Times New Roman" w:cs="Times New Roman"/>
          <w:lang w:val="en-GB"/>
        </w:rPr>
        <w:t xml:space="preserve"> </w:t>
      </w:r>
      <w:r w:rsidR="00B3204C" w:rsidRPr="00DC56ED">
        <w:rPr>
          <w:rFonts w:ascii="Times New Roman" w:hAnsi="Times New Roman" w:cs="Times New Roman"/>
          <w:lang w:val="en-GB"/>
        </w:rPr>
        <w:t>(</w:t>
      </w:r>
      <w:hyperlink r:id="rId4" w:tooltip="Gives access to this document through its ELI URI." w:history="1">
        <w:r w:rsidR="00B3204C" w:rsidRPr="00DC56ED">
          <w:rPr>
            <w:rStyle w:val="Hyperlink"/>
            <w:rFonts w:ascii="Times New Roman" w:hAnsi="Times New Roman" w:cs="Times New Roman"/>
            <w:lang w:val="en-GB"/>
          </w:rPr>
          <w:t>http://data.europa.eu/eli/dir/2023/2413/oj</w:t>
        </w:r>
      </w:hyperlink>
      <w:r w:rsidR="00B3204C" w:rsidRPr="00DC56ED">
        <w:rPr>
          <w:rFonts w:ascii="Times New Roman" w:hAnsi="Times New Roman" w:cs="Times New Roman"/>
          <w:lang w:val="en-GB"/>
        </w:rPr>
        <w:t>)</w:t>
      </w:r>
      <w:r w:rsidR="00F63618" w:rsidRPr="00DC56ED">
        <w:rPr>
          <w:rFonts w:ascii="Times New Roman" w:hAnsi="Times New Roman" w:cs="Times New Roman"/>
          <w:lang w:val="en-GB"/>
        </w:rPr>
        <w:t>.</w:t>
      </w:r>
    </w:p>
  </w:footnote>
  <w:footnote w:id="6">
    <w:p w14:paraId="64144F18" w14:textId="0FE370E1" w:rsidR="00F7459C" w:rsidRPr="00DC56ED" w:rsidRDefault="00F7459C" w:rsidP="00E81669">
      <w:pPr>
        <w:pStyle w:val="FootnoteText"/>
        <w:widowControl w:val="0"/>
        <w:ind w:right="-425" w:hanging="284"/>
        <w:rPr>
          <w:rFonts w:ascii="Times New Roman" w:hAnsi="Times New Roman" w:cs="Times New Roman"/>
        </w:rPr>
      </w:pPr>
      <w:r w:rsidRPr="00DC56ED">
        <w:rPr>
          <w:rStyle w:val="FootnoteReference"/>
          <w:rFonts w:ascii="Times New Roman" w:hAnsi="Times New Roman" w:cs="Times New Roman"/>
        </w:rPr>
        <w:footnoteRef/>
      </w:r>
      <w:r w:rsidRPr="00DC56ED">
        <w:rPr>
          <w:rFonts w:ascii="Times New Roman" w:hAnsi="Times New Roman" w:cs="Times New Roman"/>
        </w:rPr>
        <w:t xml:space="preserve"> </w:t>
      </w:r>
      <w:r w:rsidR="00F63618" w:rsidRPr="00DC56ED">
        <w:rPr>
          <w:rFonts w:ascii="Times New Roman" w:hAnsi="Times New Roman" w:cs="Times New Roman"/>
        </w:rPr>
        <w:tab/>
      </w:r>
      <w:r w:rsidRPr="00DC56ED">
        <w:rPr>
          <w:rFonts w:ascii="Times New Roman" w:hAnsi="Times New Roman" w:cs="Times New Roman"/>
        </w:rPr>
        <w:t>Directive (EU) 2023/1791 of the European Parliament and of the Council of 13 September 2023 on energy efficiency and amending Regulation (EU) 2023/955 (recast)</w:t>
      </w:r>
      <w:r w:rsidR="00DC56ED">
        <w:rPr>
          <w:rFonts w:ascii="Times New Roman" w:hAnsi="Times New Roman" w:cs="Times New Roman"/>
        </w:rPr>
        <w:t xml:space="preserve">; </w:t>
      </w:r>
      <w:r w:rsidR="00B3204C" w:rsidRPr="00DC56ED">
        <w:rPr>
          <w:rFonts w:ascii="Times New Roman" w:hAnsi="Times New Roman" w:cs="Times New Roman"/>
        </w:rPr>
        <w:t>(</w:t>
      </w:r>
      <w:hyperlink r:id="rId5" w:history="1">
        <w:r w:rsidR="00B3204C" w:rsidRPr="00DC56ED">
          <w:rPr>
            <w:rStyle w:val="Hyperlink"/>
            <w:rFonts w:ascii="Times New Roman" w:hAnsi="Times New Roman" w:cs="Times New Roman"/>
            <w:lang w:val="en-GB"/>
          </w:rPr>
          <w:t>http://data.europa.eu/eli/dir/2023/1791/oj</w:t>
        </w:r>
      </w:hyperlink>
      <w:r w:rsidR="00B3204C" w:rsidRPr="00DC56ED">
        <w:rPr>
          <w:rFonts w:ascii="Times New Roman" w:hAnsi="Times New Roman" w:cs="Times New Roman"/>
        </w:rPr>
        <w:t>).</w:t>
      </w:r>
    </w:p>
  </w:footnote>
  <w:footnote w:id="7">
    <w:p w14:paraId="327AFA8B" w14:textId="13C269D8" w:rsidR="00D206CB" w:rsidRPr="00DC56ED" w:rsidRDefault="00F7459C" w:rsidP="00E81669">
      <w:pPr>
        <w:pStyle w:val="FootnoteText"/>
        <w:widowControl w:val="0"/>
        <w:ind w:right="-425" w:hanging="284"/>
        <w:rPr>
          <w:rFonts w:ascii="Times New Roman" w:hAnsi="Times New Roman" w:cs="Times New Roman"/>
        </w:rPr>
      </w:pPr>
      <w:r w:rsidRPr="00CA6420">
        <w:rPr>
          <w:rStyle w:val="FootnoteReference"/>
          <w:rFonts w:ascii="Times New Roman" w:hAnsi="Times New Roman" w:cs="Times New Roman"/>
        </w:rPr>
        <w:footnoteRef/>
      </w:r>
      <w:r w:rsidRPr="00CA6420">
        <w:rPr>
          <w:rFonts w:ascii="Times New Roman" w:hAnsi="Times New Roman" w:cs="Times New Roman"/>
        </w:rPr>
        <w:t xml:space="preserve"> </w:t>
      </w:r>
      <w:r w:rsidR="00F63618" w:rsidRPr="00CA6420">
        <w:rPr>
          <w:rFonts w:ascii="Times New Roman" w:hAnsi="Times New Roman" w:cs="Times New Roman"/>
        </w:rPr>
        <w:tab/>
      </w:r>
      <w:r w:rsidR="00D206CB" w:rsidRPr="00DC56ED">
        <w:rPr>
          <w:rFonts w:ascii="Times New Roman" w:hAnsi="Times New Roman" w:cs="Times New Roman"/>
        </w:rPr>
        <w:t xml:space="preserve">Commission Regulation (EU) 2017/1485 of 2 August 2017 establishing a guideline on electricity transmission system operation </w:t>
      </w:r>
      <w:r w:rsidR="00B3204C" w:rsidRPr="00DC56ED">
        <w:rPr>
          <w:rFonts w:ascii="Times New Roman" w:hAnsi="Times New Roman" w:cs="Times New Roman"/>
        </w:rPr>
        <w:t>(</w:t>
      </w:r>
      <w:hyperlink r:id="rId6" w:history="1">
        <w:r w:rsidR="00B3204C" w:rsidRPr="00DC56ED">
          <w:rPr>
            <w:rStyle w:val="Hyperlink"/>
            <w:rFonts w:ascii="Times New Roman" w:hAnsi="Times New Roman" w:cs="Times New Roman"/>
          </w:rPr>
          <w:t>https://eur-lex.europa.eu/eli/reg/2017/1485/oj/eng</w:t>
        </w:r>
      </w:hyperlink>
      <w:r w:rsidR="00B3204C" w:rsidRPr="00DC56ED">
        <w:rPr>
          <w:rFonts w:ascii="Times New Roman" w:hAnsi="Times New Roman" w:cs="Times New Roman"/>
        </w:rPr>
        <w:t>)</w:t>
      </w:r>
      <w:r w:rsidR="00F63618" w:rsidRPr="00DC56ED">
        <w:rPr>
          <w:rFonts w:ascii="Times New Roman" w:hAnsi="Times New Roman" w:cs="Times New Roman"/>
        </w:rPr>
        <w:t>.</w:t>
      </w:r>
    </w:p>
  </w:footnote>
  <w:footnote w:id="8">
    <w:p w14:paraId="3CC0BB00" w14:textId="018D9EB9" w:rsidR="00D206CB" w:rsidRPr="00DC56ED" w:rsidRDefault="00D206CB" w:rsidP="00E81669">
      <w:pPr>
        <w:pStyle w:val="FootnoteText"/>
        <w:widowControl w:val="0"/>
        <w:ind w:right="-425" w:hanging="284"/>
        <w:rPr>
          <w:rFonts w:ascii="Times New Roman" w:hAnsi="Times New Roman" w:cs="Times New Roman"/>
        </w:rPr>
      </w:pPr>
      <w:r w:rsidRPr="00DC56ED">
        <w:rPr>
          <w:rStyle w:val="FootnoteReference"/>
          <w:rFonts w:ascii="Times New Roman" w:hAnsi="Times New Roman" w:cs="Times New Roman"/>
        </w:rPr>
        <w:footnoteRef/>
      </w:r>
      <w:r w:rsidRPr="00DC56ED">
        <w:rPr>
          <w:rFonts w:ascii="Times New Roman" w:hAnsi="Times New Roman" w:cs="Times New Roman"/>
        </w:rPr>
        <w:t xml:space="preserve"> </w:t>
      </w:r>
      <w:r w:rsidR="00F63618" w:rsidRPr="00DC56ED">
        <w:rPr>
          <w:rFonts w:ascii="Times New Roman" w:hAnsi="Times New Roman" w:cs="Times New Roman"/>
        </w:rPr>
        <w:tab/>
      </w:r>
      <w:r w:rsidRPr="00DC56ED">
        <w:rPr>
          <w:rFonts w:ascii="Times New Roman" w:hAnsi="Times New Roman" w:cs="Times New Roman"/>
        </w:rPr>
        <w:t xml:space="preserve">Regulation (EC) No 714/2009 of the European Parliament and of the Council of 13 July 2009 on conditions for access to the network for cross-border exchanges in electricity </w:t>
      </w:r>
      <w:r w:rsidR="00B3204C" w:rsidRPr="00DC56ED">
        <w:rPr>
          <w:rFonts w:ascii="Times New Roman" w:hAnsi="Times New Roman" w:cs="Times New Roman"/>
        </w:rPr>
        <w:t>(</w:t>
      </w:r>
      <w:r w:rsidRPr="00DC56ED">
        <w:rPr>
          <w:rStyle w:val="Hyperlink"/>
          <w:rFonts w:ascii="Times New Roman" w:hAnsi="Times New Roman" w:cs="Times New Roman"/>
        </w:rPr>
        <w:t>https://eur-lex.europa.eu/eli/reg/2009/714/oj/eng</w:t>
      </w:r>
      <w:r w:rsidR="00B3204C" w:rsidRPr="00DC56ED">
        <w:rPr>
          <w:rStyle w:val="Hyperlink"/>
          <w:rFonts w:ascii="Times New Roman" w:hAnsi="Times New Roman" w:cs="Times New Roman"/>
        </w:rPr>
        <w:t>)</w:t>
      </w:r>
      <w:r w:rsidR="00F63618" w:rsidRPr="00DC56ED">
        <w:rPr>
          <w:rStyle w:val="Hyperlink"/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D8C3B"/>
    <w:multiLevelType w:val="hybridMultilevel"/>
    <w:tmpl w:val="17C2C1D8"/>
    <w:lvl w:ilvl="0" w:tplc="0EE0F1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562E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06D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48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E9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2A2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21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E1F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56E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D61F8"/>
    <w:multiLevelType w:val="hybridMultilevel"/>
    <w:tmpl w:val="5B66B2B0"/>
    <w:lvl w:ilvl="0" w:tplc="A9909016">
      <w:start w:val="1"/>
      <w:numFmt w:val="decimal"/>
      <w:lvlText w:val="̶"/>
      <w:lvlJc w:val="left"/>
      <w:pPr>
        <w:ind w:left="720" w:hanging="360"/>
      </w:pPr>
    </w:lvl>
    <w:lvl w:ilvl="1" w:tplc="43CAF616">
      <w:start w:val="1"/>
      <w:numFmt w:val="lowerLetter"/>
      <w:lvlText w:val="%2."/>
      <w:lvlJc w:val="left"/>
      <w:pPr>
        <w:ind w:left="1440" w:hanging="360"/>
      </w:pPr>
    </w:lvl>
    <w:lvl w:ilvl="2" w:tplc="4BA8C53A">
      <w:start w:val="1"/>
      <w:numFmt w:val="lowerRoman"/>
      <w:lvlText w:val="%3."/>
      <w:lvlJc w:val="right"/>
      <w:pPr>
        <w:ind w:left="2160" w:hanging="180"/>
      </w:pPr>
    </w:lvl>
    <w:lvl w:ilvl="3" w:tplc="CA4409A4">
      <w:start w:val="1"/>
      <w:numFmt w:val="decimal"/>
      <w:lvlText w:val="%4."/>
      <w:lvlJc w:val="left"/>
      <w:pPr>
        <w:ind w:left="2880" w:hanging="360"/>
      </w:pPr>
    </w:lvl>
    <w:lvl w:ilvl="4" w:tplc="236EBE48">
      <w:start w:val="1"/>
      <w:numFmt w:val="lowerLetter"/>
      <w:lvlText w:val="%5."/>
      <w:lvlJc w:val="left"/>
      <w:pPr>
        <w:ind w:left="3600" w:hanging="360"/>
      </w:pPr>
    </w:lvl>
    <w:lvl w:ilvl="5" w:tplc="58E4C044">
      <w:start w:val="1"/>
      <w:numFmt w:val="lowerRoman"/>
      <w:lvlText w:val="%6."/>
      <w:lvlJc w:val="right"/>
      <w:pPr>
        <w:ind w:left="4320" w:hanging="180"/>
      </w:pPr>
    </w:lvl>
    <w:lvl w:ilvl="6" w:tplc="650031CC">
      <w:start w:val="1"/>
      <w:numFmt w:val="decimal"/>
      <w:lvlText w:val="%7."/>
      <w:lvlJc w:val="left"/>
      <w:pPr>
        <w:ind w:left="5040" w:hanging="360"/>
      </w:pPr>
    </w:lvl>
    <w:lvl w:ilvl="7" w:tplc="B492C16C">
      <w:start w:val="1"/>
      <w:numFmt w:val="lowerLetter"/>
      <w:lvlText w:val="%8."/>
      <w:lvlJc w:val="left"/>
      <w:pPr>
        <w:ind w:left="5760" w:hanging="360"/>
      </w:pPr>
    </w:lvl>
    <w:lvl w:ilvl="8" w:tplc="BCC2F4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73CB8"/>
    <w:multiLevelType w:val="hybridMultilevel"/>
    <w:tmpl w:val="54747230"/>
    <w:lvl w:ilvl="0" w:tplc="B084449C">
      <w:numFmt w:val="bullet"/>
      <w:lvlText w:val="̶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05CBB"/>
    <w:multiLevelType w:val="hybridMultilevel"/>
    <w:tmpl w:val="FE0EE2FE"/>
    <w:lvl w:ilvl="0" w:tplc="FFFFFFFF">
      <w:numFmt w:val="bullet"/>
      <w:lvlText w:val="̶"/>
      <w:lvlJc w:val="left"/>
      <w:pPr>
        <w:ind w:left="720" w:hanging="360"/>
      </w:pPr>
      <w:rPr>
        <w:rFonts w:ascii="Times New Roman" w:hAnsi="Times New Roman" w:hint="default"/>
      </w:rPr>
    </w:lvl>
    <w:lvl w:ilvl="1" w:tplc="D46AA7E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D0685"/>
    <w:multiLevelType w:val="hybridMultilevel"/>
    <w:tmpl w:val="88B2A12C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17314C6"/>
    <w:multiLevelType w:val="hybridMultilevel"/>
    <w:tmpl w:val="442243E6"/>
    <w:lvl w:ilvl="0" w:tplc="FFFFFFFF">
      <w:numFmt w:val="bullet"/>
      <w:lvlText w:val="̶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794296">
    <w:abstractNumId w:val="1"/>
  </w:num>
  <w:num w:numId="2" w16cid:durableId="787236885">
    <w:abstractNumId w:val="0"/>
  </w:num>
  <w:num w:numId="3" w16cid:durableId="1324553391">
    <w:abstractNumId w:val="4"/>
  </w:num>
  <w:num w:numId="4" w16cid:durableId="811336166">
    <w:abstractNumId w:val="3"/>
  </w:num>
  <w:num w:numId="5" w16cid:durableId="155849830">
    <w:abstractNumId w:val="5"/>
  </w:num>
  <w:num w:numId="6" w16cid:durableId="783426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077C4F"/>
    <w:rsid w:val="00012A37"/>
    <w:rsid w:val="00044218"/>
    <w:rsid w:val="00046B15"/>
    <w:rsid w:val="00050DC7"/>
    <w:rsid w:val="00056452"/>
    <w:rsid w:val="00063661"/>
    <w:rsid w:val="00070743"/>
    <w:rsid w:val="0007508A"/>
    <w:rsid w:val="00076109"/>
    <w:rsid w:val="00077C4F"/>
    <w:rsid w:val="000E500C"/>
    <w:rsid w:val="000F2831"/>
    <w:rsid w:val="000F5FD8"/>
    <w:rsid w:val="00105598"/>
    <w:rsid w:val="00112988"/>
    <w:rsid w:val="001167C0"/>
    <w:rsid w:val="00135C2A"/>
    <w:rsid w:val="0015624D"/>
    <w:rsid w:val="001A299B"/>
    <w:rsid w:val="001B0E0B"/>
    <w:rsid w:val="001C1508"/>
    <w:rsid w:val="001C4138"/>
    <w:rsid w:val="001D06B1"/>
    <w:rsid w:val="001D5951"/>
    <w:rsid w:val="001E6A40"/>
    <w:rsid w:val="001F2EC6"/>
    <w:rsid w:val="001F65D0"/>
    <w:rsid w:val="002141F9"/>
    <w:rsid w:val="00217E59"/>
    <w:rsid w:val="0025542A"/>
    <w:rsid w:val="002622D0"/>
    <w:rsid w:val="002B76E2"/>
    <w:rsid w:val="002C054F"/>
    <w:rsid w:val="002F03FA"/>
    <w:rsid w:val="003004D2"/>
    <w:rsid w:val="00300FA3"/>
    <w:rsid w:val="00303096"/>
    <w:rsid w:val="003130DE"/>
    <w:rsid w:val="003165A9"/>
    <w:rsid w:val="003349A3"/>
    <w:rsid w:val="00353248"/>
    <w:rsid w:val="00374865"/>
    <w:rsid w:val="00377967"/>
    <w:rsid w:val="00386143"/>
    <w:rsid w:val="00396CAF"/>
    <w:rsid w:val="003B58DC"/>
    <w:rsid w:val="003D5ACA"/>
    <w:rsid w:val="003E682A"/>
    <w:rsid w:val="003F2444"/>
    <w:rsid w:val="003F686E"/>
    <w:rsid w:val="00421CDD"/>
    <w:rsid w:val="00442552"/>
    <w:rsid w:val="004459A0"/>
    <w:rsid w:val="00455A1C"/>
    <w:rsid w:val="0046696B"/>
    <w:rsid w:val="004675B5"/>
    <w:rsid w:val="00476B52"/>
    <w:rsid w:val="004770D6"/>
    <w:rsid w:val="0049246C"/>
    <w:rsid w:val="004E3866"/>
    <w:rsid w:val="004F6117"/>
    <w:rsid w:val="004F63F1"/>
    <w:rsid w:val="004F651E"/>
    <w:rsid w:val="00501F95"/>
    <w:rsid w:val="0052596B"/>
    <w:rsid w:val="00554D8D"/>
    <w:rsid w:val="00573835"/>
    <w:rsid w:val="00581306"/>
    <w:rsid w:val="0059420A"/>
    <w:rsid w:val="005B2E53"/>
    <w:rsid w:val="005C3105"/>
    <w:rsid w:val="005C3E57"/>
    <w:rsid w:val="005D2546"/>
    <w:rsid w:val="005E73DE"/>
    <w:rsid w:val="00622CBE"/>
    <w:rsid w:val="00637101"/>
    <w:rsid w:val="00645696"/>
    <w:rsid w:val="00655212"/>
    <w:rsid w:val="00692C2F"/>
    <w:rsid w:val="00695797"/>
    <w:rsid w:val="00696A5E"/>
    <w:rsid w:val="006B3B69"/>
    <w:rsid w:val="006B3FA0"/>
    <w:rsid w:val="006C2DB2"/>
    <w:rsid w:val="006E3B87"/>
    <w:rsid w:val="00730EA7"/>
    <w:rsid w:val="00734613"/>
    <w:rsid w:val="00751910"/>
    <w:rsid w:val="00751E60"/>
    <w:rsid w:val="007547B5"/>
    <w:rsid w:val="00754C48"/>
    <w:rsid w:val="00795A9E"/>
    <w:rsid w:val="007A1D2E"/>
    <w:rsid w:val="007A606D"/>
    <w:rsid w:val="007C2214"/>
    <w:rsid w:val="007D3469"/>
    <w:rsid w:val="007D72A0"/>
    <w:rsid w:val="00807B48"/>
    <w:rsid w:val="008135CA"/>
    <w:rsid w:val="0081584F"/>
    <w:rsid w:val="00822E2D"/>
    <w:rsid w:val="00834B02"/>
    <w:rsid w:val="00862A64"/>
    <w:rsid w:val="008703BF"/>
    <w:rsid w:val="008925CE"/>
    <w:rsid w:val="0089567A"/>
    <w:rsid w:val="008A4010"/>
    <w:rsid w:val="008C4D41"/>
    <w:rsid w:val="008F0A09"/>
    <w:rsid w:val="009300E2"/>
    <w:rsid w:val="00930A2C"/>
    <w:rsid w:val="00944571"/>
    <w:rsid w:val="00972799"/>
    <w:rsid w:val="00973FD2"/>
    <w:rsid w:val="00977E96"/>
    <w:rsid w:val="00981F45"/>
    <w:rsid w:val="00994D12"/>
    <w:rsid w:val="009B128B"/>
    <w:rsid w:val="009D1EC0"/>
    <w:rsid w:val="009F42CC"/>
    <w:rsid w:val="009F4913"/>
    <w:rsid w:val="00A16128"/>
    <w:rsid w:val="00A16F07"/>
    <w:rsid w:val="00A2527B"/>
    <w:rsid w:val="00A35F6F"/>
    <w:rsid w:val="00A424B4"/>
    <w:rsid w:val="00A56EAF"/>
    <w:rsid w:val="00A62C7B"/>
    <w:rsid w:val="00A7709A"/>
    <w:rsid w:val="00AA45E6"/>
    <w:rsid w:val="00AD14EB"/>
    <w:rsid w:val="00AE1842"/>
    <w:rsid w:val="00AE3C7C"/>
    <w:rsid w:val="00AE4A7F"/>
    <w:rsid w:val="00B0780B"/>
    <w:rsid w:val="00B07E65"/>
    <w:rsid w:val="00B31306"/>
    <w:rsid w:val="00B3204C"/>
    <w:rsid w:val="00B41D53"/>
    <w:rsid w:val="00B42814"/>
    <w:rsid w:val="00B63339"/>
    <w:rsid w:val="00B66ABD"/>
    <w:rsid w:val="00B77A4B"/>
    <w:rsid w:val="00B83936"/>
    <w:rsid w:val="00BC6288"/>
    <w:rsid w:val="00BD6EB7"/>
    <w:rsid w:val="00BE32B2"/>
    <w:rsid w:val="00C07A77"/>
    <w:rsid w:val="00C40F67"/>
    <w:rsid w:val="00C54D27"/>
    <w:rsid w:val="00C722D2"/>
    <w:rsid w:val="00C76EEB"/>
    <w:rsid w:val="00C876E9"/>
    <w:rsid w:val="00CA6420"/>
    <w:rsid w:val="00CC151A"/>
    <w:rsid w:val="00CC6FA6"/>
    <w:rsid w:val="00CD4C19"/>
    <w:rsid w:val="00CD50FE"/>
    <w:rsid w:val="00CF5B13"/>
    <w:rsid w:val="00D01F5A"/>
    <w:rsid w:val="00D1716E"/>
    <w:rsid w:val="00D206CB"/>
    <w:rsid w:val="00D52056"/>
    <w:rsid w:val="00D52F19"/>
    <w:rsid w:val="00D6427E"/>
    <w:rsid w:val="00D643DC"/>
    <w:rsid w:val="00D64E05"/>
    <w:rsid w:val="00D82881"/>
    <w:rsid w:val="00D92F72"/>
    <w:rsid w:val="00D92FD3"/>
    <w:rsid w:val="00D96EA9"/>
    <w:rsid w:val="00DA3B6E"/>
    <w:rsid w:val="00DB7581"/>
    <w:rsid w:val="00DC56ED"/>
    <w:rsid w:val="00DC70C1"/>
    <w:rsid w:val="00DD08B4"/>
    <w:rsid w:val="00E0175F"/>
    <w:rsid w:val="00E6596B"/>
    <w:rsid w:val="00E7093A"/>
    <w:rsid w:val="00E81669"/>
    <w:rsid w:val="00E83C12"/>
    <w:rsid w:val="00E904C8"/>
    <w:rsid w:val="00EA1BBF"/>
    <w:rsid w:val="00EB0B77"/>
    <w:rsid w:val="00EB29A9"/>
    <w:rsid w:val="00EB77D2"/>
    <w:rsid w:val="00ED6DFA"/>
    <w:rsid w:val="00EF16B1"/>
    <w:rsid w:val="00F316C8"/>
    <w:rsid w:val="00F369FC"/>
    <w:rsid w:val="00F632DE"/>
    <w:rsid w:val="00F63618"/>
    <w:rsid w:val="00F735E4"/>
    <w:rsid w:val="00F7459C"/>
    <w:rsid w:val="00FA10C0"/>
    <w:rsid w:val="00FA753C"/>
    <w:rsid w:val="00FB7834"/>
    <w:rsid w:val="00FD2B96"/>
    <w:rsid w:val="00FD4B6A"/>
    <w:rsid w:val="00FE7D4B"/>
    <w:rsid w:val="00FF03A8"/>
    <w:rsid w:val="00FF63EA"/>
    <w:rsid w:val="00FF6AA0"/>
    <w:rsid w:val="00FF79BB"/>
    <w:rsid w:val="0CE65EEE"/>
    <w:rsid w:val="0D2BE241"/>
    <w:rsid w:val="0E8B74BC"/>
    <w:rsid w:val="19BE32D1"/>
    <w:rsid w:val="1FB354E5"/>
    <w:rsid w:val="25649F22"/>
    <w:rsid w:val="3471953C"/>
    <w:rsid w:val="3CA836F5"/>
    <w:rsid w:val="404EA80F"/>
    <w:rsid w:val="54E2A1B1"/>
    <w:rsid w:val="5B1F3B83"/>
    <w:rsid w:val="5D4C1411"/>
    <w:rsid w:val="61DEA588"/>
    <w:rsid w:val="66A103E3"/>
    <w:rsid w:val="6B98A446"/>
    <w:rsid w:val="6C46361C"/>
    <w:rsid w:val="7DCF336E"/>
    <w:rsid w:val="7E16F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DBEE9"/>
  <w15:chartTrackingRefBased/>
  <w15:docId w15:val="{5EB58397-31B6-4D58-B48A-FA71DEAC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4457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4457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4457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944571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65521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5951"/>
    <w:pPr>
      <w:spacing w:after="0" w:line="240" w:lineRule="auto"/>
    </w:pPr>
    <w:rPr>
      <w:rFonts w:ascii="Aptos" w:eastAsia="Aptos" w:hAnsi="Aptos" w:cs="Aptos"/>
      <w:sz w:val="20"/>
      <w:szCs w:val="20"/>
      <w:lang w:val="en-IE" w:eastAsia="en-I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5951"/>
    <w:rPr>
      <w:rFonts w:ascii="Aptos" w:eastAsia="Aptos" w:hAnsi="Aptos" w:cs="Aptos"/>
    </w:rPr>
  </w:style>
  <w:style w:type="character" w:styleId="FootnoteReference">
    <w:name w:val="footnote reference"/>
    <w:aliases w:val="Footnote symbol"/>
    <w:uiPriority w:val="99"/>
    <w:semiHidden/>
    <w:unhideWhenUsed/>
    <w:rsid w:val="001D5951"/>
    <w:rPr>
      <w:vertAlign w:val="superscript"/>
    </w:rPr>
  </w:style>
  <w:style w:type="paragraph" w:styleId="Revision">
    <w:name w:val="Revision"/>
    <w:hidden/>
    <w:uiPriority w:val="99"/>
    <w:semiHidden/>
    <w:rsid w:val="00D52056"/>
    <w:rPr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C6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62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628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288"/>
    <w:rPr>
      <w:b/>
      <w:bCs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320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nsilium.europa.eu/media/jhlenhaj/euco-conclusions-19122024-en.pdf" TargetMode="External"/><Relationship Id="rId2" Type="http://schemas.openxmlformats.org/officeDocument/2006/relationships/hyperlink" Target="https://eur-lex.europa.eu/legal-content/EN/TXT/?uri=celex:52025PC0828" TargetMode="External"/><Relationship Id="rId1" Type="http://schemas.openxmlformats.org/officeDocument/2006/relationships/hyperlink" Target="https://eur-lex.europa.eu/legal-content/EN/TXT/?uri=celex:52025DC0079" TargetMode="External"/><Relationship Id="rId6" Type="http://schemas.openxmlformats.org/officeDocument/2006/relationships/hyperlink" Target="https://eur-lex.europa.eu/eli/reg/2017/1485/oj/eng" TargetMode="External"/><Relationship Id="rId5" Type="http://schemas.openxmlformats.org/officeDocument/2006/relationships/hyperlink" Target="http://data.europa.eu/eli/dir/2023/1791/oj" TargetMode="External"/><Relationship Id="rId4" Type="http://schemas.openxmlformats.org/officeDocument/2006/relationships/hyperlink" Target="http://data.europa.eu/eli/dir/2023/2413/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3ca250-38ff-4ce0-a943-575e2b64cba9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e1a78ac4-7176-4dde-ad25-36245d50a152" xsi:nil="true"/>
    <comment xmlns="6f3ca250-38ff-4ce0-a943-575e2b64cba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6901220668F4BB3A67BE672005023" ma:contentTypeVersion="15" ma:contentTypeDescription="Create a new document." ma:contentTypeScope="" ma:versionID="f333c58127ff6b683d4fe8e9bc86f713">
  <xsd:schema xmlns:xsd="http://www.w3.org/2001/XMLSchema" xmlns:xs="http://www.w3.org/2001/XMLSchema" xmlns:p="http://schemas.microsoft.com/office/2006/metadata/properties" xmlns:ns2="6f3ca250-38ff-4ce0-a943-575e2b64cba9" xmlns:ns3="e1a78ac4-7176-4dde-ad25-36245d50a152" targetNamespace="http://schemas.microsoft.com/office/2006/metadata/properties" ma:root="true" ma:fieldsID="8f091cfee7f0ea5671a30e12c569ddc2" ns2:_="" ns3:_="">
    <xsd:import namespace="6f3ca250-38ff-4ce0-a943-575e2b64cba9"/>
    <xsd:import namespace="e1a78ac4-7176-4dde-ad25-36245d50a1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ca250-38ff-4ce0-a943-575e2b64c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22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78ac4-7176-4dde-ad25-36245d50a15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acdbe16-ee85-4ce4-942c-24a2e27804b5}" ma:internalName="TaxCatchAll" ma:showField="CatchAllData" ma:web="e1a78ac4-7176-4dde-ad25-36245d50a1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13DAD2-D715-4CD5-BD7D-4F0F1535D0A6}">
  <ds:schemaRefs>
    <ds:schemaRef ds:uri="http://schemas.microsoft.com/office/2006/metadata/properties"/>
    <ds:schemaRef ds:uri="http://schemas.microsoft.com/office/infopath/2007/PartnerControls"/>
    <ds:schemaRef ds:uri="6f3ca250-38ff-4ce0-a943-575e2b64cba9"/>
    <ds:schemaRef ds:uri="e1a78ac4-7176-4dde-ad25-36245d50a152"/>
  </ds:schemaRefs>
</ds:datastoreItem>
</file>

<file path=customXml/itemProps2.xml><?xml version="1.0" encoding="utf-8"?>
<ds:datastoreItem xmlns:ds="http://schemas.openxmlformats.org/officeDocument/2006/customXml" ds:itemID="{9C39F8A1-8457-4818-BBAD-77F84E606A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5EABF9-414F-4AF6-9FAF-5150A9A96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ca250-38ff-4ce0-a943-575e2b64cba9"/>
    <ds:schemaRef ds:uri="e1a78ac4-7176-4dde-ad25-36245d50a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E85DA-4ED2-4A5D-B6F4-1F0DAC489F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3847</Characters>
  <Application>Microsoft Office Word</Application>
  <DocSecurity>0</DocSecurity>
  <Lines>57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PUIA Manuela Morena (SG)</dc:creator>
  <cp:keywords/>
  <cp:lastModifiedBy>ROSSI Simona (SG-EXT)</cp:lastModifiedBy>
  <cp:revision>2</cp:revision>
  <cp:lastPrinted>2013-02-28T12:02:00Z</cp:lastPrinted>
  <dcterms:created xsi:type="dcterms:W3CDTF">2026-01-09T10:15:00Z</dcterms:created>
  <dcterms:modified xsi:type="dcterms:W3CDTF">2026-01-09T10:15:00Z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2023-04-12T12:31:59Z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633b4ac4-9ed9-4135-981c-e588276a87bc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0x010100F696901220668F4BB3A67BE672005023</vt:lpwstr>
  </property>
  <property fmtid="{D5CDD505-2E9C-101B-9397-08002B2CF9AE}" pid="10" name="MediaServiceImageTags">
    <vt:lpwstr/>
  </property>
</Properties>
</file>