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03"/>
      </w:tblGrid>
      <w:tr w:rsidR="001C4138" w:rsidRPr="001423AB" w14:paraId="7E6372DC" w14:textId="77777777" w:rsidTr="00541EA3">
        <w:trPr>
          <w:jc w:val="center"/>
        </w:trPr>
        <w:tc>
          <w:tcPr>
            <w:tcW w:w="10103" w:type="dxa"/>
          </w:tcPr>
          <w:p w14:paraId="3A4EDC3A" w14:textId="12E36B65" w:rsidR="001C4138" w:rsidRPr="00985166" w:rsidRDefault="00351664" w:rsidP="00351664">
            <w:pPr>
              <w:spacing w:before="120" w:after="120"/>
              <w:ind w:left="54"/>
              <w:rPr>
                <w:rFonts w:ascii="Times New Roman" w:eastAsia="Times New Roman" w:hAnsi="Times New Roman"/>
                <w:sz w:val="24"/>
                <w:szCs w:val="24"/>
                <w:lang w:val="en-IE"/>
              </w:rPr>
            </w:pPr>
            <w:r w:rsidRPr="00F53BB4">
              <w:rPr>
                <w:rFonts w:ascii="Times New Roman" w:hAnsi="Times New Roman"/>
                <w:b/>
                <w:bCs/>
                <w:sz w:val="24"/>
                <w:szCs w:val="24"/>
              </w:rPr>
              <w:t>Price hikes in transport, energy and housing:</w:t>
            </w:r>
            <w:r w:rsidR="00F53BB4">
              <w:rPr>
                <w:rFonts w:ascii="Times New Roman" w:hAnsi="Times New Roman"/>
                <w:b/>
                <w:bCs/>
                <w:sz w:val="24"/>
                <w:szCs w:val="24"/>
              </w:rPr>
              <w:t xml:space="preserve"> </w:t>
            </w:r>
            <w:r>
              <w:rPr>
                <w:rFonts w:ascii="Times New Roman" w:hAnsi="Times New Roman"/>
                <w:b/>
                <w:bCs/>
                <w:sz w:val="24"/>
                <w:szCs w:val="24"/>
              </w:rPr>
              <w:t>t</w:t>
            </w:r>
            <w:r w:rsidR="00A861E2" w:rsidRPr="00A861E2">
              <w:rPr>
                <w:rFonts w:ascii="Times New Roman" w:hAnsi="Times New Roman"/>
                <w:b/>
                <w:bCs/>
                <w:sz w:val="24"/>
                <w:szCs w:val="24"/>
              </w:rPr>
              <w:t>he role of quality public services in tackling</w:t>
            </w:r>
            <w:r>
              <w:rPr>
                <w:rFonts w:ascii="Times New Roman" w:hAnsi="Times New Roman"/>
                <w:b/>
                <w:bCs/>
                <w:sz w:val="24"/>
                <w:szCs w:val="24"/>
              </w:rPr>
              <w:br/>
            </w:r>
            <w:r w:rsidR="00A861E2" w:rsidRPr="00A861E2">
              <w:rPr>
                <w:rFonts w:ascii="Times New Roman" w:hAnsi="Times New Roman"/>
                <w:b/>
                <w:bCs/>
                <w:sz w:val="24"/>
                <w:szCs w:val="24"/>
              </w:rPr>
              <w:t>the high cost of living</w:t>
            </w:r>
            <w:r w:rsidR="0035656F">
              <w:rPr>
                <w:rFonts w:ascii="Times New Roman" w:hAnsi="Times New Roman"/>
                <w:b/>
                <w:bCs/>
                <w:sz w:val="24"/>
                <w:szCs w:val="24"/>
              </w:rPr>
              <w:br/>
              <w:t>(own-initiative opinion)</w:t>
            </w:r>
            <w:r w:rsidR="0035656F">
              <w:rPr>
                <w:rFonts w:ascii="Times New Roman" w:eastAsia="Times New Roman" w:hAnsi="Times New Roman"/>
                <w:b/>
                <w:bCs/>
                <w:sz w:val="24"/>
                <w:szCs w:val="24"/>
              </w:rPr>
              <w:br/>
            </w:r>
            <w:r w:rsidR="7677E91B" w:rsidRPr="79525163">
              <w:rPr>
                <w:rFonts w:ascii="Times New Roman" w:eastAsia="Times New Roman" w:hAnsi="Times New Roman"/>
                <w:b/>
                <w:bCs/>
                <w:sz w:val="24"/>
                <w:szCs w:val="24"/>
              </w:rPr>
              <w:t>EESC-</w:t>
            </w:r>
            <w:r w:rsidR="006F2E3A" w:rsidRPr="006F2E3A">
              <w:rPr>
                <w:rFonts w:ascii="Times New Roman" w:eastAsia="Times New Roman" w:hAnsi="Times New Roman"/>
                <w:b/>
                <w:bCs/>
                <w:sz w:val="24"/>
                <w:szCs w:val="24"/>
              </w:rPr>
              <w:t>2024-04532</w:t>
            </w:r>
            <w:r w:rsidR="006F2E3A" w:rsidRPr="79525163">
              <w:rPr>
                <w:rFonts w:ascii="Times New Roman" w:hAnsi="Times New Roman"/>
                <w:b/>
                <w:bCs/>
                <w:sz w:val="24"/>
                <w:szCs w:val="24"/>
              </w:rPr>
              <w:t xml:space="preserve"> – </w:t>
            </w:r>
            <w:r w:rsidR="006F2E3A" w:rsidRPr="79525163">
              <w:rPr>
                <w:rFonts w:ascii="Times New Roman" w:eastAsia="Times New Roman" w:hAnsi="Times New Roman"/>
                <w:b/>
                <w:bCs/>
                <w:sz w:val="24"/>
                <w:szCs w:val="24"/>
              </w:rPr>
              <w:t>TEN/846</w:t>
            </w:r>
            <w:r w:rsidR="3CA836F5">
              <w:br/>
            </w:r>
            <w:r w:rsidR="006F2E3A">
              <w:rPr>
                <w:rFonts w:ascii="Times New Roman" w:hAnsi="Times New Roman"/>
                <w:b/>
                <w:bCs/>
                <w:sz w:val="24"/>
                <w:szCs w:val="24"/>
              </w:rPr>
              <w:t>596</w:t>
            </w:r>
            <w:r w:rsidR="0035656F" w:rsidRPr="00A071AE">
              <w:rPr>
                <w:rFonts w:ascii="Times New Roman" w:hAnsi="Times New Roman"/>
                <w:b/>
                <w:bCs/>
                <w:sz w:val="24"/>
                <w:szCs w:val="24"/>
                <w:vertAlign w:val="superscript"/>
              </w:rPr>
              <w:t>th</w:t>
            </w:r>
            <w:r w:rsidR="001C4138" w:rsidRPr="79525163">
              <w:rPr>
                <w:rFonts w:ascii="Times New Roman" w:hAnsi="Times New Roman"/>
                <w:b/>
                <w:bCs/>
                <w:sz w:val="24"/>
                <w:szCs w:val="24"/>
              </w:rPr>
              <w:t xml:space="preserve">Plenary Session – </w:t>
            </w:r>
            <w:r w:rsidR="435D76F4" w:rsidRPr="79525163">
              <w:rPr>
                <w:rFonts w:ascii="Times New Roman" w:hAnsi="Times New Roman"/>
                <w:b/>
                <w:bCs/>
                <w:sz w:val="24"/>
                <w:szCs w:val="24"/>
              </w:rPr>
              <w:t>April 2025</w:t>
            </w:r>
            <w:r w:rsidR="006F2E3A">
              <w:rPr>
                <w:rFonts w:ascii="Times New Roman" w:hAnsi="Times New Roman"/>
                <w:b/>
                <w:bCs/>
                <w:sz w:val="24"/>
                <w:szCs w:val="24"/>
                <w:lang w:val="en-IE"/>
              </w:rPr>
              <w:br/>
            </w:r>
            <w:r w:rsidR="001C4138" w:rsidRPr="00A071AE">
              <w:rPr>
                <w:rFonts w:ascii="Times New Roman" w:hAnsi="Times New Roman"/>
                <w:b/>
                <w:bCs/>
                <w:sz w:val="24"/>
                <w:szCs w:val="24"/>
                <w:lang w:val="en-IE"/>
              </w:rPr>
              <w:t xml:space="preserve">Rapporteur: </w:t>
            </w:r>
            <w:r w:rsidR="5AB996DD" w:rsidRPr="00A071AE">
              <w:rPr>
                <w:rFonts w:ascii="Times New Roman" w:hAnsi="Times New Roman"/>
                <w:b/>
                <w:bCs/>
                <w:sz w:val="24"/>
                <w:szCs w:val="24"/>
                <w:lang w:val="en-IE"/>
              </w:rPr>
              <w:t xml:space="preserve">Thomas </w:t>
            </w:r>
            <w:r w:rsidR="006F2E3A" w:rsidRPr="00A071AE">
              <w:rPr>
                <w:rFonts w:ascii="Times New Roman" w:hAnsi="Times New Roman"/>
                <w:b/>
                <w:bCs/>
                <w:sz w:val="24"/>
                <w:szCs w:val="24"/>
                <w:lang w:val="en-IE"/>
              </w:rPr>
              <w:t>KATTNIG (AT-II)</w:t>
            </w:r>
            <w:r w:rsidR="0CE65EEE">
              <w:br/>
            </w:r>
            <w:r w:rsidR="001C4138" w:rsidRPr="79525163">
              <w:rPr>
                <w:rFonts w:ascii="Times New Roman" w:hAnsi="Times New Roman"/>
                <w:b/>
                <w:bCs/>
                <w:sz w:val="24"/>
                <w:szCs w:val="24"/>
                <w:lang w:val="en-IE"/>
              </w:rPr>
              <w:t xml:space="preserve">DG </w:t>
            </w:r>
            <w:r w:rsidR="001423AB" w:rsidRPr="79525163">
              <w:rPr>
                <w:rFonts w:ascii="Times New Roman" w:hAnsi="Times New Roman"/>
                <w:b/>
                <w:bCs/>
                <w:sz w:val="24"/>
                <w:szCs w:val="24"/>
                <w:lang w:val="en-IE"/>
              </w:rPr>
              <w:t>ENER</w:t>
            </w:r>
            <w:r w:rsidR="001C4138" w:rsidRPr="79525163">
              <w:rPr>
                <w:rFonts w:ascii="Times New Roman" w:hAnsi="Times New Roman"/>
                <w:b/>
                <w:bCs/>
                <w:sz w:val="24"/>
                <w:szCs w:val="24"/>
                <w:lang w:val="en-IE"/>
              </w:rPr>
              <w:t xml:space="preserve"> – Commissioner </w:t>
            </w:r>
            <w:r w:rsidR="006F2E3A">
              <w:rPr>
                <w:rFonts w:ascii="Times New Roman" w:eastAsia="Times New Roman" w:hAnsi="Times New Roman"/>
                <w:b/>
                <w:color w:val="000000"/>
                <w:sz w:val="24"/>
                <w:szCs w:val="24"/>
              </w:rPr>
              <w:t>JØRGENSEN</w:t>
            </w:r>
          </w:p>
        </w:tc>
      </w:tr>
      <w:tr w:rsidR="00734613" w:rsidRPr="00442552" w14:paraId="1937071F" w14:textId="77777777" w:rsidTr="00541EA3">
        <w:trPr>
          <w:jc w:val="center"/>
        </w:trPr>
        <w:tc>
          <w:tcPr>
            <w:tcW w:w="10103" w:type="dxa"/>
          </w:tcPr>
          <w:p w14:paraId="1E50B4DB" w14:textId="73923794"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35656F">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3F1E66" w14:paraId="673DDC1B" w14:textId="77777777" w:rsidTr="00541EA3">
        <w:trPr>
          <w:jc w:val="center"/>
        </w:trPr>
        <w:tc>
          <w:tcPr>
            <w:tcW w:w="10103" w:type="dxa"/>
          </w:tcPr>
          <w:p w14:paraId="6A42AADA" w14:textId="041A0236" w:rsidR="00253500" w:rsidRDefault="1FB354E5" w:rsidP="00A861E2">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The Commission would like to thank the </w:t>
            </w:r>
            <w:r w:rsidR="003F1E66">
              <w:rPr>
                <w:rFonts w:ascii="Times New Roman" w:hAnsi="Times New Roman"/>
                <w:color w:val="000000"/>
                <w:sz w:val="24"/>
                <w:szCs w:val="24"/>
              </w:rPr>
              <w:t>Committee</w:t>
            </w:r>
            <w:r>
              <w:rPr>
                <w:rFonts w:ascii="Times New Roman" w:hAnsi="Times New Roman"/>
                <w:color w:val="000000"/>
                <w:sz w:val="24"/>
                <w:szCs w:val="24"/>
              </w:rPr>
              <w:t xml:space="preserve"> for this timely own-initiative opinion which aims to contribute to the Comm</w:t>
            </w:r>
            <w:r w:rsidR="00A861E2">
              <w:rPr>
                <w:rFonts w:ascii="Times New Roman" w:hAnsi="Times New Roman"/>
                <w:color w:val="000000"/>
                <w:sz w:val="24"/>
                <w:szCs w:val="24"/>
              </w:rPr>
              <w:t>ission</w:t>
            </w:r>
            <w:r w:rsidR="00000F87">
              <w:rPr>
                <w:rFonts w:ascii="Times New Roman" w:hAnsi="Times New Roman"/>
                <w:color w:val="000000"/>
                <w:sz w:val="24"/>
                <w:szCs w:val="24"/>
              </w:rPr>
              <w:t>’s</w:t>
            </w:r>
            <w:r w:rsidR="00A861E2">
              <w:rPr>
                <w:rFonts w:ascii="Times New Roman" w:hAnsi="Times New Roman"/>
                <w:color w:val="000000"/>
                <w:sz w:val="24"/>
                <w:szCs w:val="24"/>
              </w:rPr>
              <w:t xml:space="preserve"> objective of lowering the cost of living to European citizens</w:t>
            </w:r>
            <w:r w:rsidR="00000F87">
              <w:rPr>
                <w:rFonts w:ascii="Times New Roman" w:hAnsi="Times New Roman"/>
                <w:color w:val="000000"/>
                <w:sz w:val="24"/>
                <w:szCs w:val="24"/>
              </w:rPr>
              <w:t xml:space="preserve"> by targeting </w:t>
            </w:r>
            <w:r w:rsidR="003F1E66">
              <w:rPr>
                <w:rFonts w:ascii="Times New Roman" w:hAnsi="Times New Roman"/>
                <w:color w:val="000000"/>
                <w:sz w:val="24"/>
                <w:szCs w:val="24"/>
              </w:rPr>
              <w:t>high prices in</w:t>
            </w:r>
            <w:r w:rsidR="008C6B54">
              <w:rPr>
                <w:rFonts w:ascii="Times New Roman" w:hAnsi="Times New Roman"/>
                <w:color w:val="000000"/>
                <w:sz w:val="24"/>
                <w:szCs w:val="24"/>
              </w:rPr>
              <w:t xml:space="preserve"> </w:t>
            </w:r>
            <w:r w:rsidR="003F1E66">
              <w:rPr>
                <w:rFonts w:ascii="Times New Roman" w:hAnsi="Times New Roman"/>
                <w:color w:val="000000"/>
                <w:sz w:val="24"/>
                <w:szCs w:val="24"/>
              </w:rPr>
              <w:t>energy</w:t>
            </w:r>
            <w:r w:rsidR="008C6B54">
              <w:rPr>
                <w:rFonts w:ascii="Times New Roman" w:hAnsi="Times New Roman"/>
                <w:color w:val="000000"/>
                <w:sz w:val="24"/>
                <w:szCs w:val="24"/>
              </w:rPr>
              <w:t>,</w:t>
            </w:r>
            <w:r w:rsidR="003F1E66">
              <w:rPr>
                <w:rFonts w:ascii="Times New Roman" w:hAnsi="Times New Roman"/>
                <w:color w:val="000000"/>
                <w:sz w:val="24"/>
                <w:szCs w:val="24"/>
              </w:rPr>
              <w:t xml:space="preserve"> housing</w:t>
            </w:r>
            <w:r w:rsidR="008C6B54">
              <w:rPr>
                <w:rFonts w:ascii="Times New Roman" w:hAnsi="Times New Roman"/>
                <w:color w:val="000000"/>
                <w:sz w:val="24"/>
                <w:szCs w:val="24"/>
              </w:rPr>
              <w:t xml:space="preserve"> and transport.</w:t>
            </w:r>
          </w:p>
          <w:p w14:paraId="19F2B5EB" w14:textId="1476FD4D" w:rsidR="003F1E66" w:rsidRDefault="00253500" w:rsidP="00A861E2">
            <w:pPr>
              <w:spacing w:before="120" w:after="120"/>
              <w:jc w:val="both"/>
              <w:rPr>
                <w:rFonts w:ascii="Times New Roman" w:hAnsi="Times New Roman"/>
                <w:color w:val="000000"/>
                <w:sz w:val="24"/>
                <w:szCs w:val="24"/>
              </w:rPr>
            </w:pPr>
            <w:r>
              <w:rPr>
                <w:rFonts w:ascii="Times New Roman" w:hAnsi="Times New Roman"/>
                <w:color w:val="000000"/>
                <w:sz w:val="24"/>
                <w:szCs w:val="24"/>
              </w:rPr>
              <w:t>The</w:t>
            </w:r>
            <w:r w:rsidR="00DD3F8F">
              <w:rPr>
                <w:rFonts w:ascii="Times New Roman" w:hAnsi="Times New Roman"/>
                <w:color w:val="000000"/>
                <w:sz w:val="24"/>
                <w:szCs w:val="24"/>
              </w:rPr>
              <w:t xml:space="preserve"> </w:t>
            </w:r>
            <w:r w:rsidR="003F1E66">
              <w:rPr>
                <w:rFonts w:ascii="Times New Roman" w:hAnsi="Times New Roman"/>
                <w:color w:val="000000"/>
                <w:sz w:val="24"/>
                <w:szCs w:val="24"/>
                <w:lang w:val="en-IE"/>
              </w:rPr>
              <w:t xml:space="preserve">EU faces rising </w:t>
            </w:r>
            <w:r w:rsidR="003F1E66">
              <w:rPr>
                <w:rFonts w:ascii="Times New Roman" w:hAnsi="Times New Roman"/>
                <w:color w:val="000000"/>
                <w:sz w:val="24"/>
                <w:szCs w:val="24"/>
                <w:u w:val="single"/>
                <w:lang w:val="en-IE"/>
              </w:rPr>
              <w:t>energy costs</w:t>
            </w:r>
            <w:r w:rsidR="003F1E66">
              <w:rPr>
                <w:rFonts w:ascii="Times New Roman" w:hAnsi="Times New Roman"/>
                <w:color w:val="000000"/>
                <w:sz w:val="24"/>
                <w:szCs w:val="24"/>
                <w:lang w:val="en-IE"/>
              </w:rPr>
              <w:t xml:space="preserve"> which severely impact </w:t>
            </w:r>
            <w:r w:rsidR="0035656F">
              <w:rPr>
                <w:rFonts w:ascii="Times New Roman" w:hAnsi="Times New Roman"/>
                <w:color w:val="000000"/>
                <w:sz w:val="24"/>
                <w:szCs w:val="24"/>
                <w:lang w:val="en-IE"/>
              </w:rPr>
              <w:t xml:space="preserve">its </w:t>
            </w:r>
            <w:r w:rsidR="003F1E66">
              <w:rPr>
                <w:rFonts w:ascii="Times New Roman" w:hAnsi="Times New Roman"/>
                <w:color w:val="000000"/>
                <w:sz w:val="24"/>
                <w:szCs w:val="24"/>
                <w:lang w:val="en-IE"/>
              </w:rPr>
              <w:t>citizens, with over 46</w:t>
            </w:r>
            <w:r w:rsidR="0029325E">
              <w:rPr>
                <w:rFonts w:ascii="Times New Roman" w:hAnsi="Times New Roman"/>
                <w:color w:val="000000"/>
                <w:sz w:val="24"/>
                <w:szCs w:val="24"/>
                <w:lang w:val="en-IE"/>
              </w:rPr>
              <w:t> </w:t>
            </w:r>
            <w:r w:rsidR="003F1E66">
              <w:rPr>
                <w:rFonts w:ascii="Times New Roman" w:hAnsi="Times New Roman"/>
                <w:color w:val="000000"/>
                <w:sz w:val="24"/>
                <w:szCs w:val="24"/>
                <w:lang w:val="en-IE"/>
              </w:rPr>
              <w:t>million Europeans experiencing energy poverty</w:t>
            </w:r>
            <w:r w:rsidR="0035656F">
              <w:rPr>
                <w:rFonts w:ascii="Times New Roman" w:hAnsi="Times New Roman"/>
                <w:color w:val="000000"/>
                <w:sz w:val="24"/>
                <w:szCs w:val="24"/>
                <w:lang w:val="en-IE"/>
              </w:rPr>
              <w:t xml:space="preserve">. This has </w:t>
            </w:r>
            <w:r w:rsidR="003F1E66">
              <w:rPr>
                <w:rFonts w:ascii="Times New Roman" w:hAnsi="Times New Roman"/>
                <w:color w:val="000000"/>
                <w:sz w:val="24"/>
                <w:szCs w:val="24"/>
              </w:rPr>
              <w:t>a particular impact on the most vulnerable</w:t>
            </w:r>
            <w:r w:rsidR="008C6B54">
              <w:rPr>
                <w:rFonts w:ascii="Times New Roman" w:hAnsi="Times New Roman"/>
                <w:color w:val="000000"/>
                <w:sz w:val="24"/>
                <w:szCs w:val="24"/>
              </w:rPr>
              <w:t xml:space="preserve">, as emphasised also on </w:t>
            </w:r>
            <w:r w:rsidR="008C6B54">
              <w:rPr>
                <w:rFonts w:ascii="Times New Roman" w:hAnsi="Times New Roman"/>
                <w:color w:val="000000"/>
                <w:sz w:val="24"/>
                <w:szCs w:val="24"/>
                <w:u w:val="single"/>
              </w:rPr>
              <w:t>point</w:t>
            </w:r>
            <w:r w:rsidR="00351664">
              <w:rPr>
                <w:rFonts w:ascii="Times New Roman" w:hAnsi="Times New Roman"/>
                <w:color w:val="000000"/>
                <w:sz w:val="24"/>
                <w:szCs w:val="24"/>
                <w:u w:val="single"/>
              </w:rPr>
              <w:t>s</w:t>
            </w:r>
            <w:r w:rsidR="008C6B54">
              <w:rPr>
                <w:rFonts w:ascii="Times New Roman" w:hAnsi="Times New Roman"/>
                <w:color w:val="000000"/>
                <w:sz w:val="24"/>
                <w:szCs w:val="24"/>
                <w:u w:val="single"/>
              </w:rPr>
              <w:t xml:space="preserve"> 2.3 and 4.8</w:t>
            </w:r>
            <w:r w:rsidR="008C6B54">
              <w:rPr>
                <w:rFonts w:ascii="Times New Roman" w:hAnsi="Times New Roman"/>
                <w:color w:val="000000"/>
                <w:sz w:val="24"/>
                <w:szCs w:val="24"/>
              </w:rPr>
              <w:t xml:space="preserve"> o</w:t>
            </w:r>
            <w:r w:rsidR="00321D7B">
              <w:rPr>
                <w:rFonts w:ascii="Times New Roman" w:hAnsi="Times New Roman"/>
                <w:color w:val="000000"/>
                <w:sz w:val="24"/>
                <w:szCs w:val="24"/>
              </w:rPr>
              <w:t>f</w:t>
            </w:r>
            <w:r w:rsidR="008C6B54">
              <w:rPr>
                <w:rFonts w:ascii="Times New Roman" w:hAnsi="Times New Roman"/>
                <w:color w:val="000000"/>
                <w:sz w:val="24"/>
                <w:szCs w:val="24"/>
              </w:rPr>
              <w:t xml:space="preserve"> </w:t>
            </w:r>
            <w:r w:rsidR="0035656F">
              <w:rPr>
                <w:rFonts w:ascii="Times New Roman" w:hAnsi="Times New Roman"/>
                <w:color w:val="000000"/>
                <w:sz w:val="24"/>
                <w:szCs w:val="24"/>
              </w:rPr>
              <w:t xml:space="preserve">the Committee’s </w:t>
            </w:r>
            <w:r w:rsidR="008C6B54">
              <w:rPr>
                <w:rFonts w:ascii="Times New Roman" w:hAnsi="Times New Roman"/>
                <w:color w:val="000000"/>
                <w:sz w:val="24"/>
                <w:szCs w:val="24"/>
              </w:rPr>
              <w:t>opinion</w:t>
            </w:r>
            <w:r w:rsidR="003F1E66">
              <w:rPr>
                <w:rFonts w:ascii="Times New Roman" w:hAnsi="Times New Roman"/>
                <w:color w:val="000000"/>
                <w:sz w:val="24"/>
                <w:szCs w:val="24"/>
              </w:rPr>
              <w:t xml:space="preserve">. For businesses, retail electricity prices have nearly doubled, with medium-sized industrial consumers in 2023 still paying 97% more than the 2014-2020 average. Rising energy costs are widening the gap with global competitors, threatening investment, industrial stability, and the EU’s economic resilience. If unaddressed, this could </w:t>
            </w:r>
            <w:r w:rsidR="008C6B54">
              <w:rPr>
                <w:rFonts w:ascii="Times New Roman" w:hAnsi="Times New Roman"/>
                <w:color w:val="000000"/>
                <w:sz w:val="24"/>
                <w:szCs w:val="24"/>
              </w:rPr>
              <w:t xml:space="preserve">indeed </w:t>
            </w:r>
            <w:r w:rsidR="003F1E66">
              <w:rPr>
                <w:rFonts w:ascii="Times New Roman" w:hAnsi="Times New Roman"/>
                <w:color w:val="000000"/>
                <w:sz w:val="24"/>
                <w:szCs w:val="24"/>
              </w:rPr>
              <w:t>undermine Europe’s competitiveness and global influence</w:t>
            </w:r>
            <w:r w:rsidR="008C6B54">
              <w:rPr>
                <w:rFonts w:ascii="Times New Roman" w:hAnsi="Times New Roman"/>
                <w:color w:val="000000"/>
                <w:sz w:val="24"/>
                <w:szCs w:val="24"/>
              </w:rPr>
              <w:t xml:space="preserve">, as </w:t>
            </w:r>
            <w:r>
              <w:rPr>
                <w:rFonts w:ascii="Times New Roman" w:hAnsi="Times New Roman"/>
                <w:color w:val="000000"/>
                <w:sz w:val="24"/>
                <w:szCs w:val="24"/>
              </w:rPr>
              <w:t>highlighted</w:t>
            </w:r>
            <w:r w:rsidR="008C6B54">
              <w:rPr>
                <w:rFonts w:ascii="Times New Roman" w:hAnsi="Times New Roman"/>
                <w:color w:val="000000"/>
                <w:sz w:val="24"/>
                <w:szCs w:val="24"/>
              </w:rPr>
              <w:t xml:space="preserve"> by the EESC</w:t>
            </w:r>
            <w:r w:rsidR="00DD3F8F">
              <w:rPr>
                <w:rFonts w:ascii="Times New Roman" w:hAnsi="Times New Roman"/>
                <w:color w:val="000000"/>
                <w:sz w:val="24"/>
                <w:szCs w:val="24"/>
              </w:rPr>
              <w:t xml:space="preserve"> opinion</w:t>
            </w:r>
            <w:r w:rsidR="008C6B54">
              <w:rPr>
                <w:rFonts w:ascii="Times New Roman" w:hAnsi="Times New Roman"/>
                <w:color w:val="000000"/>
                <w:sz w:val="24"/>
                <w:szCs w:val="24"/>
              </w:rPr>
              <w:t xml:space="preserve"> in </w:t>
            </w:r>
            <w:r w:rsidR="008C6B54">
              <w:rPr>
                <w:rFonts w:ascii="Times New Roman" w:hAnsi="Times New Roman"/>
                <w:color w:val="000000"/>
                <w:sz w:val="24"/>
                <w:szCs w:val="24"/>
                <w:u w:val="single"/>
              </w:rPr>
              <w:t>point 1.1</w:t>
            </w:r>
            <w:r w:rsidR="008C6B54">
              <w:rPr>
                <w:rFonts w:ascii="Times New Roman" w:hAnsi="Times New Roman"/>
                <w:color w:val="000000"/>
                <w:sz w:val="24"/>
                <w:szCs w:val="24"/>
              </w:rPr>
              <w:t>.</w:t>
            </w:r>
          </w:p>
          <w:p w14:paraId="3D45939E" w14:textId="396594B9" w:rsidR="00321D7B" w:rsidRDefault="00DD3F8F" w:rsidP="003F1E66">
            <w:pPr>
              <w:spacing w:before="120" w:after="120"/>
              <w:jc w:val="both"/>
              <w:rPr>
                <w:rFonts w:ascii="Times New Roman" w:hAnsi="Times New Roman"/>
                <w:color w:val="000000"/>
                <w:sz w:val="24"/>
                <w:szCs w:val="24"/>
              </w:rPr>
            </w:pPr>
            <w:r>
              <w:rPr>
                <w:rFonts w:ascii="Times New Roman" w:hAnsi="Times New Roman"/>
                <w:color w:val="000000"/>
                <w:sz w:val="24"/>
                <w:szCs w:val="24"/>
              </w:rPr>
              <w:t>The Commission agrees with the EESC</w:t>
            </w:r>
            <w:r w:rsidR="00AB4934">
              <w:rPr>
                <w:rFonts w:ascii="Times New Roman" w:hAnsi="Times New Roman"/>
                <w:color w:val="000000"/>
                <w:sz w:val="24"/>
                <w:szCs w:val="24"/>
              </w:rPr>
              <w:t>’s</w:t>
            </w:r>
            <w:r>
              <w:rPr>
                <w:rFonts w:ascii="Times New Roman" w:hAnsi="Times New Roman"/>
                <w:color w:val="000000"/>
                <w:sz w:val="24"/>
                <w:szCs w:val="24"/>
              </w:rPr>
              <w:t xml:space="preserve"> </w:t>
            </w:r>
            <w:r>
              <w:rPr>
                <w:rFonts w:ascii="Times New Roman" w:hAnsi="Times New Roman"/>
                <w:color w:val="000000"/>
                <w:sz w:val="24"/>
                <w:szCs w:val="24"/>
                <w:u w:val="single"/>
              </w:rPr>
              <w:t>point</w:t>
            </w:r>
            <w:r w:rsidR="00351664">
              <w:rPr>
                <w:rFonts w:ascii="Times New Roman" w:hAnsi="Times New Roman"/>
                <w:color w:val="000000"/>
                <w:sz w:val="24"/>
                <w:szCs w:val="24"/>
                <w:u w:val="single"/>
              </w:rPr>
              <w:t>s</w:t>
            </w:r>
            <w:r>
              <w:rPr>
                <w:rFonts w:ascii="Times New Roman" w:hAnsi="Times New Roman"/>
                <w:color w:val="000000"/>
                <w:sz w:val="24"/>
                <w:szCs w:val="24"/>
                <w:u w:val="single"/>
              </w:rPr>
              <w:t xml:space="preserve"> 1.5 and 4.5</w:t>
            </w:r>
            <w:r>
              <w:rPr>
                <w:rFonts w:ascii="Times New Roman" w:hAnsi="Times New Roman"/>
                <w:color w:val="000000"/>
                <w:sz w:val="24"/>
                <w:szCs w:val="24"/>
              </w:rPr>
              <w:t xml:space="preserve"> on the need to accelerate the expansion of grids and renewable energy through faster and simplified permit-granting processes. </w:t>
            </w:r>
            <w:r w:rsidR="00257F0C">
              <w:rPr>
                <w:rFonts w:ascii="Times New Roman" w:hAnsi="Times New Roman"/>
                <w:color w:val="000000"/>
                <w:sz w:val="24"/>
                <w:szCs w:val="24"/>
              </w:rPr>
              <w:t>Recognising this situation, the Commission has already issued guidance on anticipatory investments for the development of future-proofed electricity networks</w:t>
            </w:r>
            <w:r w:rsidR="00AB4934">
              <w:rPr>
                <w:rStyle w:val="FootnoteReference"/>
                <w:rFonts w:ascii="Times New Roman" w:hAnsi="Times New Roman"/>
                <w:color w:val="000000"/>
                <w:sz w:val="24"/>
                <w:szCs w:val="24"/>
              </w:rPr>
              <w:footnoteReference w:id="2"/>
            </w:r>
            <w:r w:rsidR="00257F0C">
              <w:rPr>
                <w:rFonts w:ascii="Times New Roman" w:hAnsi="Times New Roman"/>
                <w:color w:val="000000"/>
                <w:sz w:val="24"/>
                <w:szCs w:val="24"/>
              </w:rPr>
              <w:t>. Moreover, the Commission will put forward a</w:t>
            </w:r>
            <w:r w:rsidR="00541EA3">
              <w:rPr>
                <w:rFonts w:ascii="Times New Roman" w:hAnsi="Times New Roman"/>
                <w:color w:val="000000"/>
                <w:sz w:val="24"/>
                <w:szCs w:val="24"/>
              </w:rPr>
              <w:t> </w:t>
            </w:r>
            <w:r w:rsidR="00257F0C">
              <w:rPr>
                <w:rFonts w:ascii="Times New Roman" w:hAnsi="Times New Roman"/>
                <w:color w:val="000000"/>
                <w:sz w:val="24"/>
                <w:szCs w:val="24"/>
              </w:rPr>
              <w:t>European Grids Package</w:t>
            </w:r>
            <w:r w:rsidR="00A35D9A">
              <w:rPr>
                <w:rFonts w:ascii="Times New Roman" w:hAnsi="Times New Roman"/>
                <w:color w:val="000000"/>
                <w:sz w:val="24"/>
                <w:szCs w:val="24"/>
              </w:rPr>
              <w:t>, foreseen for publication before the end of 2025,</w:t>
            </w:r>
            <w:r w:rsidR="00257F0C">
              <w:rPr>
                <w:rFonts w:ascii="Times New Roman" w:hAnsi="Times New Roman"/>
                <w:color w:val="000000"/>
                <w:sz w:val="24"/>
                <w:szCs w:val="24"/>
              </w:rPr>
              <w:t xml:space="preserve"> to optimise existing infrastructure while accelerating grids and storage development. It will </w:t>
            </w:r>
            <w:r w:rsidR="0035656F">
              <w:rPr>
                <w:rFonts w:ascii="Times New Roman" w:hAnsi="Times New Roman"/>
                <w:color w:val="000000"/>
                <w:sz w:val="24"/>
                <w:szCs w:val="24"/>
              </w:rPr>
              <w:t>focus on</w:t>
            </w:r>
            <w:r w:rsidR="00257F0C">
              <w:rPr>
                <w:rFonts w:ascii="Times New Roman" w:hAnsi="Times New Roman"/>
                <w:color w:val="000000"/>
                <w:sz w:val="24"/>
                <w:szCs w:val="24"/>
              </w:rPr>
              <w:t xml:space="preserve"> accelerating permitting procedures, including by digitalisation, ensuring stakeholder engagement, among others.</w:t>
            </w:r>
          </w:p>
          <w:p w14:paraId="31650EA4" w14:textId="33E01F7B" w:rsidR="003F1E66" w:rsidRDefault="003F1E66" w:rsidP="003F1E6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The Internal Energy Market </w:t>
            </w:r>
            <w:r w:rsidR="00AB4934">
              <w:rPr>
                <w:rFonts w:ascii="Times New Roman" w:hAnsi="Times New Roman"/>
                <w:color w:val="000000"/>
                <w:sz w:val="24"/>
                <w:szCs w:val="24"/>
              </w:rPr>
              <w:t xml:space="preserve">and the integration of European electricity markets </w:t>
            </w:r>
            <w:r>
              <w:rPr>
                <w:rFonts w:ascii="Times New Roman" w:hAnsi="Times New Roman"/>
                <w:color w:val="000000"/>
                <w:sz w:val="24"/>
                <w:szCs w:val="24"/>
              </w:rPr>
              <w:t xml:space="preserve">already generate </w:t>
            </w:r>
            <w:r w:rsidR="00BF0377">
              <w:rPr>
                <w:rFonts w:ascii="Times New Roman" w:hAnsi="Times New Roman"/>
                <w:color w:val="000000"/>
                <w:sz w:val="24"/>
                <w:szCs w:val="24"/>
              </w:rPr>
              <w:t>EUR</w:t>
            </w:r>
            <w:r w:rsidR="00351664">
              <w:rPr>
                <w:rFonts w:ascii="Times New Roman" w:hAnsi="Times New Roman"/>
                <w:color w:val="000000"/>
                <w:sz w:val="24"/>
                <w:szCs w:val="24"/>
              </w:rPr>
              <w:t> </w:t>
            </w:r>
            <w:r>
              <w:rPr>
                <w:rFonts w:ascii="Times New Roman" w:hAnsi="Times New Roman"/>
                <w:color w:val="000000"/>
                <w:sz w:val="24"/>
                <w:szCs w:val="24"/>
              </w:rPr>
              <w:t>34</w:t>
            </w:r>
            <w:r w:rsidR="00351664">
              <w:rPr>
                <w:rFonts w:ascii="Times New Roman" w:hAnsi="Times New Roman"/>
                <w:color w:val="000000"/>
                <w:sz w:val="24"/>
                <w:szCs w:val="24"/>
              </w:rPr>
              <w:t> </w:t>
            </w:r>
            <w:r>
              <w:rPr>
                <w:rFonts w:ascii="Times New Roman" w:hAnsi="Times New Roman"/>
                <w:color w:val="000000"/>
                <w:sz w:val="24"/>
                <w:szCs w:val="24"/>
              </w:rPr>
              <w:t xml:space="preserve">billion in annual consumer benefits, and these could rise to </w:t>
            </w:r>
            <w:r w:rsidR="00BF0377">
              <w:rPr>
                <w:rFonts w:ascii="Times New Roman" w:hAnsi="Times New Roman"/>
                <w:color w:val="000000"/>
                <w:sz w:val="24"/>
                <w:szCs w:val="24"/>
              </w:rPr>
              <w:t>EUR</w:t>
            </w:r>
            <w:r w:rsidR="00351664">
              <w:rPr>
                <w:rFonts w:ascii="Times New Roman" w:hAnsi="Times New Roman"/>
                <w:color w:val="000000"/>
                <w:sz w:val="24"/>
                <w:szCs w:val="24"/>
              </w:rPr>
              <w:t> </w:t>
            </w:r>
            <w:r>
              <w:rPr>
                <w:rFonts w:ascii="Times New Roman" w:hAnsi="Times New Roman"/>
                <w:color w:val="000000"/>
                <w:sz w:val="24"/>
                <w:szCs w:val="24"/>
              </w:rPr>
              <w:t>40-43</w:t>
            </w:r>
            <w:r w:rsidR="00351664">
              <w:rPr>
                <w:rFonts w:ascii="Times New Roman" w:hAnsi="Times New Roman"/>
                <w:color w:val="000000"/>
                <w:sz w:val="24"/>
                <w:szCs w:val="24"/>
              </w:rPr>
              <w:t> </w:t>
            </w:r>
            <w:r>
              <w:rPr>
                <w:rFonts w:ascii="Times New Roman" w:hAnsi="Times New Roman"/>
                <w:color w:val="000000"/>
                <w:sz w:val="24"/>
                <w:szCs w:val="24"/>
              </w:rPr>
              <w:t xml:space="preserve">billion by 2030 through further integration. </w:t>
            </w:r>
            <w:r w:rsidR="00257F0C">
              <w:rPr>
                <w:rFonts w:ascii="Times New Roman" w:hAnsi="Times New Roman"/>
                <w:color w:val="000000"/>
                <w:sz w:val="24"/>
                <w:szCs w:val="24"/>
              </w:rPr>
              <w:t>The</w:t>
            </w:r>
            <w:r>
              <w:rPr>
                <w:rFonts w:ascii="Times New Roman" w:hAnsi="Times New Roman"/>
                <w:color w:val="000000"/>
                <w:sz w:val="24"/>
                <w:szCs w:val="24"/>
              </w:rPr>
              <w:t xml:space="preserve"> Commission </w:t>
            </w:r>
            <w:r w:rsidR="008C6B54">
              <w:rPr>
                <w:rFonts w:ascii="Times New Roman" w:hAnsi="Times New Roman"/>
                <w:color w:val="000000"/>
                <w:sz w:val="24"/>
                <w:szCs w:val="24"/>
              </w:rPr>
              <w:t>has called</w:t>
            </w:r>
            <w:r>
              <w:rPr>
                <w:rFonts w:ascii="Times New Roman" w:hAnsi="Times New Roman"/>
                <w:color w:val="000000"/>
                <w:sz w:val="24"/>
                <w:szCs w:val="24"/>
              </w:rPr>
              <w:t xml:space="preserve"> on Member States to align financing tools, accelerate clean energy deployment, and remove regulatory barriers that delay investment. </w:t>
            </w:r>
            <w:r w:rsidR="00257F0C">
              <w:rPr>
                <w:rFonts w:ascii="Times New Roman" w:hAnsi="Times New Roman"/>
                <w:color w:val="000000"/>
                <w:sz w:val="24"/>
                <w:szCs w:val="24"/>
              </w:rPr>
              <w:t xml:space="preserve">In this context, the Commission will publish a Clean Energy Investment Strategy, aiming to de-risk private capital and improve access to finance to support </w:t>
            </w:r>
            <w:r w:rsidR="00BF0377">
              <w:rPr>
                <w:rFonts w:ascii="Times New Roman" w:hAnsi="Times New Roman"/>
                <w:color w:val="000000"/>
                <w:sz w:val="24"/>
                <w:szCs w:val="24"/>
              </w:rPr>
              <w:t>EUR</w:t>
            </w:r>
            <w:r w:rsidR="00351664">
              <w:rPr>
                <w:rFonts w:ascii="Times New Roman" w:hAnsi="Times New Roman"/>
                <w:color w:val="000000"/>
                <w:sz w:val="24"/>
                <w:szCs w:val="24"/>
              </w:rPr>
              <w:t> </w:t>
            </w:r>
            <w:r w:rsidR="00257F0C">
              <w:rPr>
                <w:rFonts w:ascii="Times New Roman" w:hAnsi="Times New Roman"/>
                <w:color w:val="000000"/>
                <w:sz w:val="24"/>
                <w:szCs w:val="24"/>
              </w:rPr>
              <w:t>570</w:t>
            </w:r>
            <w:r w:rsidR="00351664">
              <w:rPr>
                <w:rFonts w:ascii="Times New Roman" w:hAnsi="Times New Roman"/>
                <w:color w:val="000000"/>
                <w:sz w:val="24"/>
                <w:szCs w:val="24"/>
              </w:rPr>
              <w:t> </w:t>
            </w:r>
            <w:r w:rsidR="00257F0C">
              <w:rPr>
                <w:rFonts w:ascii="Times New Roman" w:hAnsi="Times New Roman"/>
                <w:color w:val="000000"/>
                <w:sz w:val="24"/>
                <w:szCs w:val="24"/>
              </w:rPr>
              <w:t>billion</w:t>
            </w:r>
            <w:r w:rsidR="0063220B">
              <w:rPr>
                <w:rFonts w:ascii="Times New Roman" w:hAnsi="Times New Roman"/>
                <w:color w:val="000000"/>
                <w:sz w:val="24"/>
                <w:szCs w:val="24"/>
              </w:rPr>
              <w:t xml:space="preserve"> of annual</w:t>
            </w:r>
            <w:r w:rsidR="00257F0C">
              <w:rPr>
                <w:rFonts w:ascii="Times New Roman" w:hAnsi="Times New Roman"/>
                <w:color w:val="000000"/>
                <w:sz w:val="24"/>
                <w:szCs w:val="24"/>
              </w:rPr>
              <w:t xml:space="preserve"> investment</w:t>
            </w:r>
            <w:r w:rsidR="00B162C7">
              <w:rPr>
                <w:rFonts w:ascii="Times New Roman" w:hAnsi="Times New Roman"/>
                <w:color w:val="000000"/>
                <w:sz w:val="24"/>
                <w:szCs w:val="24"/>
              </w:rPr>
              <w:t xml:space="preserve"> needs</w:t>
            </w:r>
            <w:r w:rsidR="00B43DAE">
              <w:rPr>
                <w:rFonts w:ascii="Times New Roman" w:hAnsi="Times New Roman"/>
                <w:color w:val="000000"/>
                <w:sz w:val="24"/>
                <w:szCs w:val="24"/>
              </w:rPr>
              <w:t xml:space="preserve"> in</w:t>
            </w:r>
            <w:r w:rsidR="00B162C7">
              <w:rPr>
                <w:rFonts w:ascii="Times New Roman" w:hAnsi="Times New Roman"/>
                <w:color w:val="000000"/>
                <w:sz w:val="24"/>
                <w:szCs w:val="24"/>
              </w:rPr>
              <w:t xml:space="preserve"> 2021-2030 and </w:t>
            </w:r>
            <w:r w:rsidR="00BF0377">
              <w:rPr>
                <w:rFonts w:ascii="Times New Roman" w:hAnsi="Times New Roman"/>
                <w:color w:val="000000"/>
                <w:sz w:val="24"/>
                <w:szCs w:val="24"/>
              </w:rPr>
              <w:t>EUR</w:t>
            </w:r>
            <w:r w:rsidR="00351664">
              <w:rPr>
                <w:rFonts w:ascii="Times New Roman" w:hAnsi="Times New Roman"/>
                <w:color w:val="000000"/>
                <w:sz w:val="24"/>
                <w:szCs w:val="24"/>
              </w:rPr>
              <w:t> </w:t>
            </w:r>
            <w:r w:rsidR="00B162C7">
              <w:rPr>
                <w:rFonts w:ascii="Times New Roman" w:hAnsi="Times New Roman"/>
                <w:color w:val="000000"/>
                <w:sz w:val="24"/>
                <w:szCs w:val="24"/>
              </w:rPr>
              <w:t>690</w:t>
            </w:r>
            <w:r w:rsidR="00351664">
              <w:rPr>
                <w:rFonts w:ascii="Times New Roman" w:hAnsi="Times New Roman"/>
                <w:color w:val="000000"/>
                <w:sz w:val="24"/>
                <w:szCs w:val="24"/>
              </w:rPr>
              <w:t> </w:t>
            </w:r>
            <w:r w:rsidR="00B162C7">
              <w:rPr>
                <w:rFonts w:ascii="Times New Roman" w:hAnsi="Times New Roman"/>
                <w:color w:val="000000"/>
                <w:sz w:val="24"/>
                <w:szCs w:val="24"/>
              </w:rPr>
              <w:t xml:space="preserve">billion yearly </w:t>
            </w:r>
            <w:r w:rsidR="00B43DAE">
              <w:rPr>
                <w:rFonts w:ascii="Times New Roman" w:hAnsi="Times New Roman"/>
                <w:color w:val="000000"/>
                <w:sz w:val="24"/>
                <w:szCs w:val="24"/>
              </w:rPr>
              <w:t xml:space="preserve">in </w:t>
            </w:r>
            <w:r w:rsidR="00B162C7">
              <w:rPr>
                <w:rFonts w:ascii="Times New Roman" w:hAnsi="Times New Roman"/>
                <w:color w:val="000000"/>
                <w:sz w:val="24"/>
                <w:szCs w:val="24"/>
              </w:rPr>
              <w:t>2031-2040</w:t>
            </w:r>
            <w:r w:rsidR="00257F0C">
              <w:rPr>
                <w:rFonts w:ascii="Times New Roman" w:hAnsi="Times New Roman"/>
                <w:color w:val="000000"/>
                <w:sz w:val="24"/>
                <w:szCs w:val="24"/>
              </w:rPr>
              <w:t>.</w:t>
            </w:r>
            <w:r w:rsidR="00E56834">
              <w:rPr>
                <w:rFonts w:ascii="Times New Roman" w:hAnsi="Times New Roman"/>
                <w:color w:val="000000"/>
                <w:sz w:val="24"/>
                <w:szCs w:val="24"/>
              </w:rPr>
              <w:t xml:space="preserve"> The proposal for a Multiannual Financial Framework</w:t>
            </w:r>
            <w:r w:rsidR="00DD5A82">
              <w:rPr>
                <w:rFonts w:ascii="Times New Roman" w:hAnsi="Times New Roman"/>
                <w:color w:val="000000"/>
                <w:sz w:val="24"/>
                <w:szCs w:val="24"/>
              </w:rPr>
              <w:t> </w:t>
            </w:r>
            <w:r w:rsidR="00E56834">
              <w:rPr>
                <w:rFonts w:ascii="Times New Roman" w:hAnsi="Times New Roman"/>
                <w:color w:val="000000"/>
                <w:sz w:val="24"/>
                <w:szCs w:val="24"/>
              </w:rPr>
              <w:t>(MFF) presented by the Commission also envisages further financing to be available under the Connecting Europe Facility (CEF), the Competitiveness Fund, as well as National Regional and Partnership Plans</w:t>
            </w:r>
            <w:r w:rsidR="004E65CD">
              <w:rPr>
                <w:rFonts w:ascii="Times New Roman" w:hAnsi="Times New Roman"/>
                <w:color w:val="000000"/>
                <w:sz w:val="24"/>
                <w:szCs w:val="24"/>
              </w:rPr>
              <w:t>.</w:t>
            </w:r>
            <w:r w:rsidR="0093714A">
              <w:rPr>
                <w:rFonts w:ascii="Times New Roman" w:hAnsi="Times New Roman"/>
                <w:color w:val="000000"/>
                <w:sz w:val="24"/>
                <w:szCs w:val="24"/>
              </w:rPr>
              <w:t xml:space="preserve"> The Commission also plans to advance the implementation of the Electricity Market Design reform, including through guidance on the design of two-way Contracts for Differenc</w:t>
            </w:r>
            <w:r w:rsidR="004D3875">
              <w:rPr>
                <w:rFonts w:ascii="Times New Roman" w:hAnsi="Times New Roman"/>
                <w:color w:val="000000"/>
                <w:sz w:val="24"/>
                <w:szCs w:val="24"/>
              </w:rPr>
              <w:t>e.</w:t>
            </w:r>
            <w:r w:rsidR="0093714A">
              <w:rPr>
                <w:rFonts w:ascii="Times New Roman" w:hAnsi="Times New Roman"/>
                <w:color w:val="000000"/>
                <w:sz w:val="24"/>
                <w:szCs w:val="24"/>
              </w:rPr>
              <w:t xml:space="preserve"> </w:t>
            </w:r>
            <w:r w:rsidR="00E56834">
              <w:rPr>
                <w:rFonts w:ascii="Times New Roman" w:hAnsi="Times New Roman"/>
                <w:color w:val="000000"/>
                <w:sz w:val="24"/>
                <w:szCs w:val="24"/>
              </w:rPr>
              <w:lastRenderedPageBreak/>
              <w:t>The European Investment</w:t>
            </w:r>
            <w:r w:rsidR="00EE547D">
              <w:rPr>
                <w:rFonts w:ascii="Times New Roman" w:hAnsi="Times New Roman"/>
                <w:color w:val="000000"/>
                <w:sz w:val="24"/>
                <w:szCs w:val="24"/>
              </w:rPr>
              <w:t xml:space="preserve"> B</w:t>
            </w:r>
            <w:r w:rsidR="00E56834">
              <w:rPr>
                <w:rFonts w:ascii="Times New Roman" w:hAnsi="Times New Roman"/>
                <w:color w:val="000000"/>
                <w:sz w:val="24"/>
                <w:szCs w:val="24"/>
              </w:rPr>
              <w:t xml:space="preserve">ank has taken a leading role in this regard, launching a EUR 500 million </w:t>
            </w:r>
            <w:r w:rsidR="0093714A">
              <w:rPr>
                <w:rFonts w:ascii="Times New Roman" w:hAnsi="Times New Roman"/>
                <w:color w:val="000000"/>
                <w:sz w:val="24"/>
                <w:szCs w:val="24"/>
              </w:rPr>
              <w:t xml:space="preserve">pilot programme to </w:t>
            </w:r>
            <w:r w:rsidR="00E56834">
              <w:rPr>
                <w:rFonts w:ascii="Times New Roman" w:hAnsi="Times New Roman"/>
                <w:color w:val="000000"/>
                <w:sz w:val="24"/>
                <w:szCs w:val="24"/>
              </w:rPr>
              <w:t>support the take-up of more</w:t>
            </w:r>
            <w:r w:rsidR="00E56834" w:rsidDel="00E56834">
              <w:rPr>
                <w:rFonts w:ascii="Times New Roman" w:hAnsi="Times New Roman"/>
                <w:color w:val="000000"/>
                <w:sz w:val="24"/>
                <w:szCs w:val="24"/>
              </w:rPr>
              <w:t xml:space="preserve"> </w:t>
            </w:r>
            <w:r w:rsidR="0093714A">
              <w:rPr>
                <w:rFonts w:ascii="Times New Roman" w:hAnsi="Times New Roman"/>
                <w:color w:val="000000"/>
                <w:sz w:val="24"/>
                <w:szCs w:val="24"/>
              </w:rPr>
              <w:t>Power Purchase Agreements.</w:t>
            </w:r>
          </w:p>
          <w:p w14:paraId="7B48F101" w14:textId="7741D472" w:rsidR="0093714A" w:rsidRDefault="00253500" w:rsidP="00A861E2">
            <w:pPr>
              <w:spacing w:before="120" w:after="120"/>
              <w:jc w:val="both"/>
              <w:rPr>
                <w:rFonts w:ascii="Times New Roman" w:hAnsi="Times New Roman"/>
                <w:color w:val="000000"/>
                <w:sz w:val="24"/>
                <w:szCs w:val="24"/>
              </w:rPr>
            </w:pPr>
            <w:r>
              <w:rPr>
                <w:rFonts w:ascii="Times New Roman" w:hAnsi="Times New Roman"/>
                <w:color w:val="000000"/>
                <w:sz w:val="24"/>
                <w:szCs w:val="24"/>
              </w:rPr>
              <w:t>Regarding</w:t>
            </w:r>
            <w:r w:rsidR="008C6B54">
              <w:rPr>
                <w:rFonts w:ascii="Times New Roman" w:hAnsi="Times New Roman"/>
                <w:color w:val="000000"/>
                <w:sz w:val="24"/>
                <w:szCs w:val="24"/>
              </w:rPr>
              <w:t xml:space="preserve"> </w:t>
            </w:r>
            <w:r w:rsidR="008C6B54">
              <w:rPr>
                <w:rFonts w:ascii="Times New Roman" w:hAnsi="Times New Roman"/>
                <w:color w:val="000000"/>
                <w:sz w:val="24"/>
                <w:szCs w:val="24"/>
                <w:u w:val="single"/>
              </w:rPr>
              <w:t>point</w:t>
            </w:r>
            <w:r w:rsidR="00351664">
              <w:rPr>
                <w:rFonts w:ascii="Times New Roman" w:hAnsi="Times New Roman"/>
                <w:color w:val="000000"/>
                <w:sz w:val="24"/>
                <w:szCs w:val="24"/>
                <w:u w:val="single"/>
              </w:rPr>
              <w:t>s</w:t>
            </w:r>
            <w:r w:rsidR="008C6B54">
              <w:rPr>
                <w:rFonts w:ascii="Times New Roman" w:hAnsi="Times New Roman"/>
                <w:color w:val="000000"/>
                <w:sz w:val="24"/>
                <w:szCs w:val="24"/>
                <w:u w:val="single"/>
              </w:rPr>
              <w:t xml:space="preserve"> </w:t>
            </w:r>
            <w:r w:rsidR="00257F0C">
              <w:rPr>
                <w:rFonts w:ascii="Times New Roman" w:hAnsi="Times New Roman"/>
                <w:color w:val="000000"/>
                <w:sz w:val="24"/>
                <w:szCs w:val="24"/>
                <w:u w:val="single"/>
              </w:rPr>
              <w:t xml:space="preserve">4.6 and </w:t>
            </w:r>
            <w:r w:rsidR="008C6B54">
              <w:rPr>
                <w:rFonts w:ascii="Times New Roman" w:hAnsi="Times New Roman"/>
                <w:color w:val="000000"/>
                <w:sz w:val="24"/>
                <w:szCs w:val="24"/>
                <w:u w:val="single"/>
              </w:rPr>
              <w:t>4.7</w:t>
            </w:r>
            <w:r w:rsidR="00B43DAE">
              <w:rPr>
                <w:rFonts w:ascii="Times New Roman" w:hAnsi="Times New Roman"/>
                <w:color w:val="000000"/>
                <w:sz w:val="24"/>
                <w:szCs w:val="24"/>
              </w:rPr>
              <w:t xml:space="preserve"> of the Committee’s opinion</w:t>
            </w:r>
            <w:r w:rsidR="008C6B54">
              <w:rPr>
                <w:rFonts w:ascii="Times New Roman" w:hAnsi="Times New Roman"/>
                <w:color w:val="000000"/>
                <w:sz w:val="24"/>
                <w:szCs w:val="24"/>
              </w:rPr>
              <w:t xml:space="preserve">, the Commission </w:t>
            </w:r>
            <w:r>
              <w:rPr>
                <w:rFonts w:ascii="Times New Roman" w:hAnsi="Times New Roman"/>
                <w:color w:val="000000"/>
                <w:sz w:val="24"/>
                <w:szCs w:val="24"/>
              </w:rPr>
              <w:t>emphasises</w:t>
            </w:r>
            <w:r w:rsidR="008C6B54">
              <w:rPr>
                <w:rFonts w:ascii="Times New Roman" w:hAnsi="Times New Roman"/>
                <w:color w:val="000000"/>
                <w:sz w:val="24"/>
                <w:szCs w:val="24"/>
              </w:rPr>
              <w:t xml:space="preserve"> that the objectives of affordability, security of supply, and achieving a decarbonised economy go hand in hand, highlighting the need for an electricity market capable of accommodating massive electrification in a</w:t>
            </w:r>
            <w:r w:rsidR="00541EA3">
              <w:rPr>
                <w:rFonts w:ascii="Times New Roman" w:hAnsi="Times New Roman"/>
                <w:color w:val="000000"/>
                <w:sz w:val="24"/>
                <w:szCs w:val="24"/>
              </w:rPr>
              <w:t> </w:t>
            </w:r>
            <w:r w:rsidR="008C6B54">
              <w:rPr>
                <w:rFonts w:ascii="Times New Roman" w:hAnsi="Times New Roman"/>
                <w:color w:val="000000"/>
                <w:sz w:val="24"/>
                <w:szCs w:val="24"/>
              </w:rPr>
              <w:t>secure, stable and affordable way.</w:t>
            </w:r>
            <w:r w:rsidR="00257F0C">
              <w:rPr>
                <w:rFonts w:ascii="Times New Roman" w:hAnsi="Times New Roman"/>
                <w:color w:val="000000"/>
                <w:sz w:val="24"/>
                <w:szCs w:val="24"/>
              </w:rPr>
              <w:t xml:space="preserve"> The Commission notes that the presentation of the </w:t>
            </w:r>
            <w:r w:rsidR="005B04E8">
              <w:rPr>
                <w:rFonts w:ascii="Times New Roman" w:hAnsi="Times New Roman"/>
                <w:color w:val="000000"/>
                <w:sz w:val="24"/>
                <w:szCs w:val="24"/>
              </w:rPr>
              <w:t>roadmap</w:t>
            </w:r>
            <w:r w:rsidR="00257F0C">
              <w:rPr>
                <w:rFonts w:ascii="Times New Roman" w:hAnsi="Times New Roman"/>
                <w:color w:val="000000"/>
                <w:sz w:val="24"/>
                <w:szCs w:val="24"/>
              </w:rPr>
              <w:t xml:space="preserve"> to</w:t>
            </w:r>
            <w:r w:rsidR="0093714A">
              <w:rPr>
                <w:rFonts w:ascii="Times New Roman" w:hAnsi="Times New Roman"/>
                <w:color w:val="000000"/>
                <w:sz w:val="24"/>
                <w:szCs w:val="24"/>
              </w:rPr>
              <w:t xml:space="preserve"> fully end </w:t>
            </w:r>
            <w:r w:rsidR="00B43DAE">
              <w:rPr>
                <w:rFonts w:ascii="Times New Roman" w:hAnsi="Times New Roman"/>
                <w:color w:val="000000"/>
                <w:sz w:val="24"/>
                <w:szCs w:val="24"/>
              </w:rPr>
              <w:t xml:space="preserve">the </w:t>
            </w:r>
            <w:r w:rsidR="0093714A">
              <w:rPr>
                <w:rFonts w:ascii="Times New Roman" w:hAnsi="Times New Roman"/>
                <w:color w:val="000000"/>
                <w:sz w:val="24"/>
                <w:szCs w:val="24"/>
              </w:rPr>
              <w:t>EU</w:t>
            </w:r>
            <w:r w:rsidR="00B43DAE">
              <w:rPr>
                <w:rFonts w:ascii="Times New Roman" w:hAnsi="Times New Roman"/>
                <w:color w:val="000000"/>
                <w:sz w:val="24"/>
                <w:szCs w:val="24"/>
              </w:rPr>
              <w:t>’s</w:t>
            </w:r>
            <w:r w:rsidR="0093714A">
              <w:rPr>
                <w:rFonts w:ascii="Times New Roman" w:hAnsi="Times New Roman"/>
                <w:color w:val="000000"/>
                <w:sz w:val="24"/>
                <w:szCs w:val="24"/>
              </w:rPr>
              <w:t xml:space="preserve"> dependency on Russian energy</w:t>
            </w:r>
            <w:r w:rsidR="00E56834">
              <w:rPr>
                <w:rStyle w:val="FootnoteReference"/>
                <w:rFonts w:ascii="Times New Roman" w:hAnsi="Times New Roman"/>
                <w:color w:val="000000"/>
                <w:sz w:val="24"/>
                <w:szCs w:val="24"/>
              </w:rPr>
              <w:footnoteReference w:id="3"/>
            </w:r>
            <w:r w:rsidR="0093714A">
              <w:rPr>
                <w:rFonts w:ascii="Times New Roman" w:hAnsi="Times New Roman"/>
                <w:color w:val="000000"/>
                <w:sz w:val="24"/>
                <w:szCs w:val="24"/>
              </w:rPr>
              <w:t xml:space="preserve"> is a crucial first step towards reaching these goals.</w:t>
            </w:r>
          </w:p>
          <w:p w14:paraId="45E7CD47" w14:textId="18EA2647" w:rsidR="008C6B54" w:rsidRDefault="00257F0C" w:rsidP="00A861E2">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The Action Plan for Affordable Energy </w:t>
            </w:r>
            <w:r w:rsidR="0093714A">
              <w:rPr>
                <w:rFonts w:ascii="Times New Roman" w:hAnsi="Times New Roman"/>
                <w:color w:val="000000"/>
                <w:sz w:val="24"/>
                <w:szCs w:val="24"/>
              </w:rPr>
              <w:t xml:space="preserve">is instrumental in delivering on these </w:t>
            </w:r>
            <w:r w:rsidR="005B04E8">
              <w:rPr>
                <w:rFonts w:ascii="Times New Roman" w:hAnsi="Times New Roman"/>
                <w:color w:val="000000"/>
                <w:sz w:val="24"/>
                <w:szCs w:val="24"/>
              </w:rPr>
              <w:t>goals i</w:t>
            </w:r>
            <w:r w:rsidR="0093714A">
              <w:rPr>
                <w:rFonts w:ascii="Times New Roman" w:hAnsi="Times New Roman"/>
                <w:color w:val="000000"/>
                <w:sz w:val="24"/>
                <w:szCs w:val="24"/>
              </w:rPr>
              <w:t>n a</w:t>
            </w:r>
            <w:r w:rsidR="00351664">
              <w:rPr>
                <w:rFonts w:ascii="Times New Roman" w:hAnsi="Times New Roman"/>
                <w:color w:val="000000"/>
                <w:sz w:val="24"/>
                <w:szCs w:val="24"/>
              </w:rPr>
              <w:t> </w:t>
            </w:r>
            <w:r w:rsidR="0093714A">
              <w:rPr>
                <w:rFonts w:ascii="Times New Roman" w:hAnsi="Times New Roman"/>
                <w:color w:val="000000"/>
                <w:sz w:val="24"/>
                <w:szCs w:val="24"/>
              </w:rPr>
              <w:t>comprehensive manner</w:t>
            </w:r>
            <w:r w:rsidR="004D3875">
              <w:rPr>
                <w:rFonts w:ascii="Times New Roman" w:hAnsi="Times New Roman"/>
                <w:color w:val="000000"/>
                <w:sz w:val="24"/>
                <w:szCs w:val="24"/>
              </w:rPr>
              <w:t xml:space="preserve">. The Commission has launched the Energy Union Task Force, </w:t>
            </w:r>
            <w:r w:rsidR="004D3875" w:rsidRPr="004D3875">
              <w:rPr>
                <w:rFonts w:ascii="Times New Roman" w:hAnsi="Times New Roman"/>
                <w:color w:val="000000"/>
                <w:sz w:val="24"/>
                <w:szCs w:val="24"/>
              </w:rPr>
              <w:t>ai</w:t>
            </w:r>
            <w:r w:rsidR="004D3875">
              <w:rPr>
                <w:rFonts w:ascii="Times New Roman" w:hAnsi="Times New Roman"/>
                <w:color w:val="000000"/>
                <w:sz w:val="24"/>
                <w:szCs w:val="24"/>
              </w:rPr>
              <w:t>ming</w:t>
            </w:r>
            <w:r w:rsidR="004D3875" w:rsidRPr="004D3875">
              <w:rPr>
                <w:rFonts w:ascii="Times New Roman" w:hAnsi="Times New Roman"/>
                <w:color w:val="000000"/>
                <w:sz w:val="24"/>
                <w:szCs w:val="24"/>
              </w:rPr>
              <w:t xml:space="preserve"> to deliver concrete results through enhanced coordination across the </w:t>
            </w:r>
            <w:r w:rsidR="00290F77">
              <w:rPr>
                <w:rFonts w:ascii="Times New Roman" w:hAnsi="Times New Roman"/>
                <w:color w:val="000000"/>
                <w:sz w:val="24"/>
                <w:szCs w:val="24"/>
              </w:rPr>
              <w:t>E</w:t>
            </w:r>
            <w:r w:rsidR="004D3875" w:rsidRPr="004D3875">
              <w:rPr>
                <w:rFonts w:ascii="Times New Roman" w:hAnsi="Times New Roman"/>
                <w:color w:val="000000"/>
                <w:sz w:val="24"/>
                <w:szCs w:val="24"/>
              </w:rPr>
              <w:t xml:space="preserve">nergy </w:t>
            </w:r>
            <w:r w:rsidR="00290F77">
              <w:rPr>
                <w:rFonts w:ascii="Times New Roman" w:hAnsi="Times New Roman"/>
                <w:color w:val="000000"/>
                <w:sz w:val="24"/>
                <w:szCs w:val="24"/>
              </w:rPr>
              <w:t>U</w:t>
            </w:r>
            <w:r w:rsidR="004D3875" w:rsidRPr="004D3875">
              <w:rPr>
                <w:rFonts w:ascii="Times New Roman" w:hAnsi="Times New Roman"/>
                <w:color w:val="000000"/>
                <w:sz w:val="24"/>
                <w:szCs w:val="24"/>
              </w:rPr>
              <w:t xml:space="preserve">nion, giving political impulse to addressing the challenges associated with shaping </w:t>
            </w:r>
            <w:r w:rsidR="008F3A9A">
              <w:rPr>
                <w:rFonts w:ascii="Times New Roman" w:hAnsi="Times New Roman"/>
                <w:color w:val="000000"/>
                <w:sz w:val="24"/>
                <w:szCs w:val="24"/>
              </w:rPr>
              <w:t>EU</w:t>
            </w:r>
            <w:r w:rsidR="004D3875" w:rsidRPr="004D3875">
              <w:rPr>
                <w:rFonts w:ascii="Times New Roman" w:hAnsi="Times New Roman"/>
                <w:color w:val="000000"/>
                <w:sz w:val="24"/>
                <w:szCs w:val="24"/>
              </w:rPr>
              <w:t xml:space="preserve"> collective energy system of the future. It may entail addressing structural challenges as well as, when necessary, rapid political coordination and action on pressing needs.</w:t>
            </w:r>
            <w:r w:rsidR="004D3875">
              <w:rPr>
                <w:rFonts w:ascii="Times New Roman" w:hAnsi="Times New Roman"/>
                <w:color w:val="000000"/>
                <w:sz w:val="24"/>
                <w:szCs w:val="24"/>
              </w:rPr>
              <w:t xml:space="preserve"> Other a</w:t>
            </w:r>
            <w:r>
              <w:rPr>
                <w:rFonts w:ascii="Times New Roman" w:hAnsi="Times New Roman"/>
                <w:color w:val="000000"/>
                <w:sz w:val="24"/>
                <w:szCs w:val="24"/>
              </w:rPr>
              <w:t xml:space="preserve">bovementioned </w:t>
            </w:r>
            <w:r w:rsidR="004D3875">
              <w:rPr>
                <w:rFonts w:ascii="Times New Roman" w:hAnsi="Times New Roman"/>
                <w:color w:val="000000"/>
                <w:sz w:val="24"/>
                <w:szCs w:val="24"/>
              </w:rPr>
              <w:t xml:space="preserve">and </w:t>
            </w:r>
            <w:r w:rsidR="005B04E8">
              <w:rPr>
                <w:rFonts w:ascii="Times New Roman" w:hAnsi="Times New Roman"/>
                <w:color w:val="000000"/>
                <w:sz w:val="24"/>
                <w:szCs w:val="24"/>
              </w:rPr>
              <w:t xml:space="preserve">incoming initiatives </w:t>
            </w:r>
            <w:r w:rsidR="004D3875">
              <w:rPr>
                <w:rFonts w:ascii="Times New Roman" w:hAnsi="Times New Roman"/>
                <w:color w:val="000000"/>
                <w:sz w:val="24"/>
                <w:szCs w:val="24"/>
              </w:rPr>
              <w:t xml:space="preserve">such as </w:t>
            </w:r>
            <w:r>
              <w:rPr>
                <w:rFonts w:ascii="Times New Roman" w:hAnsi="Times New Roman"/>
                <w:color w:val="000000"/>
                <w:sz w:val="24"/>
                <w:szCs w:val="24"/>
              </w:rPr>
              <w:t>the proposal of an</w:t>
            </w:r>
            <w:r w:rsidR="003F3AC4">
              <w:rPr>
                <w:rFonts w:ascii="Times New Roman" w:hAnsi="Times New Roman"/>
                <w:color w:val="000000"/>
                <w:sz w:val="24"/>
                <w:szCs w:val="24"/>
              </w:rPr>
              <w:t> </w:t>
            </w:r>
            <w:r>
              <w:rPr>
                <w:rFonts w:ascii="Times New Roman" w:hAnsi="Times New Roman"/>
                <w:color w:val="000000"/>
                <w:sz w:val="24"/>
                <w:szCs w:val="24"/>
              </w:rPr>
              <w:t xml:space="preserve">Electrification Action Plan, a new Heating </w:t>
            </w:r>
            <w:r w:rsidR="008F3A9A">
              <w:rPr>
                <w:rFonts w:ascii="Times New Roman" w:hAnsi="Times New Roman"/>
                <w:color w:val="000000"/>
                <w:sz w:val="24"/>
                <w:szCs w:val="24"/>
              </w:rPr>
              <w:t>and</w:t>
            </w:r>
            <w:r>
              <w:rPr>
                <w:rFonts w:ascii="Times New Roman" w:hAnsi="Times New Roman"/>
                <w:color w:val="000000"/>
                <w:sz w:val="24"/>
                <w:szCs w:val="24"/>
              </w:rPr>
              <w:t xml:space="preserve"> Cooling Strategy and </w:t>
            </w:r>
            <w:r w:rsidR="005B04E8">
              <w:rPr>
                <w:rFonts w:ascii="Times New Roman" w:hAnsi="Times New Roman"/>
                <w:color w:val="000000"/>
                <w:sz w:val="24"/>
                <w:szCs w:val="24"/>
              </w:rPr>
              <w:t>a</w:t>
            </w:r>
            <w:r w:rsidR="008F3A9A">
              <w:rPr>
                <w:rFonts w:ascii="Times New Roman" w:hAnsi="Times New Roman"/>
                <w:color w:val="000000"/>
                <w:sz w:val="24"/>
                <w:szCs w:val="24"/>
              </w:rPr>
              <w:t> </w:t>
            </w:r>
            <w:r>
              <w:rPr>
                <w:rFonts w:ascii="Times New Roman" w:hAnsi="Times New Roman"/>
                <w:color w:val="000000"/>
                <w:sz w:val="24"/>
                <w:szCs w:val="24"/>
              </w:rPr>
              <w:t xml:space="preserve">Strategic Roadmap on Digitalisation and </w:t>
            </w:r>
            <w:r w:rsidR="002D36FE">
              <w:rPr>
                <w:rFonts w:ascii="Times New Roman" w:hAnsi="Times New Roman"/>
                <w:color w:val="000000"/>
                <w:sz w:val="24"/>
                <w:szCs w:val="24"/>
              </w:rPr>
              <w:t xml:space="preserve">artificial intelligence </w:t>
            </w:r>
            <w:r w:rsidR="004D3875">
              <w:rPr>
                <w:rFonts w:ascii="Times New Roman" w:hAnsi="Times New Roman"/>
                <w:color w:val="000000"/>
                <w:sz w:val="24"/>
                <w:szCs w:val="24"/>
              </w:rPr>
              <w:t>will be fundamental for achieving these goals.</w:t>
            </w:r>
          </w:p>
          <w:p w14:paraId="0D39F34E" w14:textId="5304E3EC" w:rsidR="003F1E66" w:rsidRDefault="003F1E66" w:rsidP="003F1E66">
            <w:pPr>
              <w:spacing w:before="120" w:after="120"/>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On </w:t>
            </w:r>
            <w:r>
              <w:rPr>
                <w:rFonts w:ascii="Times New Roman" w:hAnsi="Times New Roman"/>
                <w:color w:val="000000"/>
                <w:sz w:val="24"/>
                <w:szCs w:val="24"/>
                <w:u w:val="single"/>
                <w:lang w:eastAsia="en-GB"/>
              </w:rPr>
              <w:t>housing</w:t>
            </w:r>
            <w:r>
              <w:rPr>
                <w:rFonts w:ascii="Times New Roman" w:hAnsi="Times New Roman"/>
                <w:color w:val="000000"/>
                <w:sz w:val="24"/>
                <w:szCs w:val="24"/>
                <w:lang w:eastAsia="en-GB"/>
              </w:rPr>
              <w:t xml:space="preserve">, </w:t>
            </w:r>
            <w:r w:rsidR="00B43DAE">
              <w:rPr>
                <w:rFonts w:ascii="Times New Roman" w:hAnsi="Times New Roman"/>
                <w:color w:val="000000"/>
                <w:sz w:val="24"/>
                <w:szCs w:val="24"/>
                <w:lang w:eastAsia="en-GB"/>
              </w:rPr>
              <w:t>t</w:t>
            </w:r>
            <w:r>
              <w:rPr>
                <w:rFonts w:ascii="Times New Roman" w:hAnsi="Times New Roman"/>
                <w:color w:val="000000"/>
                <w:sz w:val="24"/>
                <w:szCs w:val="24"/>
                <w:lang w:eastAsia="en-GB"/>
              </w:rPr>
              <w:t>he EU is facing a severe crisis which impacts the quality of life of millions including students, young people and families as well as businesses</w:t>
            </w:r>
            <w:r w:rsidR="00321D7B">
              <w:rPr>
                <w:rFonts w:ascii="Times New Roman" w:hAnsi="Times New Roman"/>
                <w:color w:val="000000"/>
                <w:sz w:val="24"/>
                <w:szCs w:val="24"/>
                <w:lang w:eastAsia="en-GB"/>
              </w:rPr>
              <w:t xml:space="preserve">, as stressed by the </w:t>
            </w:r>
            <w:r w:rsidR="004D3875">
              <w:rPr>
                <w:rFonts w:ascii="Times New Roman" w:hAnsi="Times New Roman"/>
                <w:color w:val="000000"/>
                <w:sz w:val="24"/>
                <w:szCs w:val="24"/>
                <w:lang w:eastAsia="en-GB"/>
              </w:rPr>
              <w:t>EESC</w:t>
            </w:r>
            <w:r w:rsidR="00321D7B">
              <w:rPr>
                <w:rFonts w:ascii="Times New Roman" w:hAnsi="Times New Roman"/>
                <w:color w:val="000000"/>
                <w:sz w:val="24"/>
                <w:szCs w:val="24"/>
                <w:lang w:eastAsia="en-GB"/>
              </w:rPr>
              <w:t xml:space="preserve"> in </w:t>
            </w:r>
            <w:r w:rsidR="00321D7B">
              <w:rPr>
                <w:rFonts w:ascii="Times New Roman" w:hAnsi="Times New Roman"/>
                <w:color w:val="000000"/>
                <w:sz w:val="24"/>
                <w:szCs w:val="24"/>
                <w:u w:val="single"/>
                <w:lang w:eastAsia="en-GB"/>
              </w:rPr>
              <w:t>point 1.6</w:t>
            </w:r>
            <w:r>
              <w:rPr>
                <w:rFonts w:ascii="Times New Roman" w:hAnsi="Times New Roman"/>
                <w:color w:val="000000"/>
                <w:sz w:val="24"/>
                <w:szCs w:val="24"/>
                <w:u w:val="single"/>
                <w:lang w:eastAsia="en-GB"/>
              </w:rPr>
              <w:t>.</w:t>
            </w:r>
            <w:r>
              <w:rPr>
                <w:rFonts w:ascii="Times New Roman" w:hAnsi="Times New Roman"/>
                <w:color w:val="000000"/>
                <w:sz w:val="24"/>
                <w:szCs w:val="24"/>
                <w:lang w:eastAsia="en-GB"/>
              </w:rPr>
              <w:t xml:space="preserve"> </w:t>
            </w:r>
            <w:r w:rsidR="00344B60" w:rsidRPr="00344B60">
              <w:rPr>
                <w:rFonts w:ascii="Times New Roman" w:hAnsi="Times New Roman"/>
                <w:color w:val="000000"/>
                <w:sz w:val="24"/>
                <w:szCs w:val="24"/>
              </w:rPr>
              <w:t>The Commission agrees with the Committee on the importance of a coordinated EU response to address the shortage of affordable and sustainable housing and notes that a Housing Task Force has been established and has supported the first-ever Commissioner responsible for housing since 1</w:t>
            </w:r>
            <w:r w:rsidR="008F3A9A">
              <w:rPr>
                <w:rFonts w:ascii="Times New Roman" w:hAnsi="Times New Roman"/>
                <w:color w:val="000000"/>
                <w:sz w:val="24"/>
                <w:szCs w:val="24"/>
              </w:rPr>
              <w:t> </w:t>
            </w:r>
            <w:r w:rsidR="00344B60" w:rsidRPr="00344B60">
              <w:rPr>
                <w:rFonts w:ascii="Times New Roman" w:hAnsi="Times New Roman"/>
                <w:color w:val="000000"/>
                <w:sz w:val="24"/>
                <w:szCs w:val="24"/>
              </w:rPr>
              <w:t>February 2025.</w:t>
            </w:r>
            <w:r w:rsidR="00344B60">
              <w:rPr>
                <w:rFonts w:ascii="Times New Roman" w:hAnsi="Times New Roman"/>
                <w:color w:val="000000"/>
                <w:sz w:val="24"/>
                <w:szCs w:val="24"/>
              </w:rPr>
              <w:t xml:space="preserve"> </w:t>
            </w:r>
            <w:r w:rsidR="00344B60">
              <w:rPr>
                <w:rFonts w:ascii="Times New Roman" w:hAnsi="Times New Roman"/>
                <w:color w:val="000000"/>
                <w:sz w:val="24"/>
                <w:szCs w:val="24"/>
                <w:lang w:eastAsia="en-GB"/>
              </w:rPr>
              <w:t>The</w:t>
            </w:r>
            <w:r w:rsidR="00666047">
              <w:rPr>
                <w:rFonts w:ascii="Times New Roman" w:hAnsi="Times New Roman"/>
                <w:color w:val="000000"/>
                <w:sz w:val="24"/>
                <w:szCs w:val="24"/>
              </w:rPr>
              <w:t xml:space="preserve"> Commission will put forward</w:t>
            </w:r>
            <w:r>
              <w:rPr>
                <w:rFonts w:ascii="Times New Roman" w:hAnsi="Times New Roman"/>
                <w:color w:val="000000"/>
                <w:sz w:val="24"/>
                <w:szCs w:val="24"/>
              </w:rPr>
              <w:t xml:space="preserve"> the first-ever European Affordable Housing Plan with a</w:t>
            </w:r>
            <w:r w:rsidR="00541EA3">
              <w:rPr>
                <w:rFonts w:ascii="Times New Roman" w:hAnsi="Times New Roman"/>
                <w:color w:val="000000"/>
                <w:sz w:val="24"/>
                <w:szCs w:val="24"/>
              </w:rPr>
              <w:t> </w:t>
            </w:r>
            <w:r>
              <w:rPr>
                <w:rFonts w:ascii="Times New Roman" w:hAnsi="Times New Roman"/>
                <w:color w:val="000000"/>
                <w:sz w:val="24"/>
                <w:szCs w:val="24"/>
              </w:rPr>
              <w:t xml:space="preserve">strong investment dimension. This Plan is </w:t>
            </w:r>
            <w:r>
              <w:rPr>
                <w:rFonts w:ascii="Times New Roman" w:hAnsi="Times New Roman"/>
                <w:color w:val="000000"/>
                <w:sz w:val="24"/>
                <w:szCs w:val="24"/>
                <w:lang w:eastAsia="en-GB"/>
              </w:rPr>
              <w:t xml:space="preserve">scheduled for adoption by the Commission </w:t>
            </w:r>
            <w:r w:rsidR="004E65CD">
              <w:rPr>
                <w:rFonts w:ascii="Times New Roman" w:hAnsi="Times New Roman"/>
                <w:color w:val="000000"/>
                <w:sz w:val="24"/>
                <w:szCs w:val="24"/>
                <w:lang w:eastAsia="en-GB"/>
              </w:rPr>
              <w:t>still this year</w:t>
            </w:r>
            <w:r w:rsidR="00EE25A7">
              <w:rPr>
                <w:rFonts w:ascii="Times New Roman" w:hAnsi="Times New Roman"/>
                <w:color w:val="000000"/>
                <w:sz w:val="24"/>
                <w:szCs w:val="24"/>
                <w:lang w:eastAsia="en-GB"/>
              </w:rPr>
              <w:t>.</w:t>
            </w:r>
          </w:p>
          <w:p w14:paraId="0337B60E" w14:textId="44D21219" w:rsidR="003F1E66" w:rsidRDefault="003F1E66" w:rsidP="003F1E66">
            <w:pPr>
              <w:spacing w:before="120" w:after="120"/>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European Affordable Housing Plan aims to provide a consistent policy framework for future legal, regulatory and operational initiatives to ensure housing affordability across the EU. It will address various specific EU policy fields and instruments </w:t>
            </w:r>
            <w:r w:rsidR="00B43DAE">
              <w:rPr>
                <w:rFonts w:ascii="Times New Roman" w:hAnsi="Times New Roman"/>
                <w:color w:val="000000"/>
                <w:sz w:val="24"/>
                <w:szCs w:val="24"/>
                <w:lang w:eastAsia="en-GB"/>
              </w:rPr>
              <w:t>including</w:t>
            </w:r>
            <w:r>
              <w:rPr>
                <w:rFonts w:ascii="Times New Roman" w:hAnsi="Times New Roman"/>
                <w:color w:val="000000"/>
                <w:sz w:val="24"/>
                <w:szCs w:val="24"/>
                <w:lang w:eastAsia="en-GB"/>
              </w:rPr>
              <w:t xml:space="preserve"> the construction sector and internal market, investments, State aid and competition</w:t>
            </w:r>
            <w:r w:rsidR="00253500">
              <w:rPr>
                <w:rFonts w:ascii="Times New Roman" w:hAnsi="Times New Roman"/>
                <w:color w:val="000000"/>
                <w:sz w:val="24"/>
                <w:szCs w:val="24"/>
                <w:lang w:eastAsia="en-GB"/>
              </w:rPr>
              <w:t>.</w:t>
            </w:r>
          </w:p>
          <w:p w14:paraId="0B4FEBD7" w14:textId="5ACFF827" w:rsidR="003F1E66" w:rsidRDefault="003F1E66" w:rsidP="003F1E66">
            <w:pPr>
              <w:spacing w:before="120" w:after="120"/>
              <w:jc w:val="both"/>
              <w:rPr>
                <w:rFonts w:ascii="Times New Roman" w:hAnsi="Times New Roman"/>
                <w:color w:val="000000"/>
                <w:sz w:val="24"/>
                <w:szCs w:val="24"/>
                <w:lang w:eastAsia="en-GB"/>
              </w:rPr>
            </w:pPr>
            <w:r>
              <w:rPr>
                <w:rFonts w:ascii="Times New Roman" w:hAnsi="Times New Roman"/>
                <w:color w:val="000000"/>
                <w:sz w:val="24"/>
                <w:szCs w:val="24"/>
                <w:lang w:eastAsia="en-GB"/>
              </w:rPr>
              <w:t>The Commission will also put forward a European Strategy for Housing Construction to support housing supply,</w:t>
            </w:r>
            <w:r w:rsidR="004D2F74">
              <w:rPr>
                <w:rFonts w:ascii="Times New Roman" w:hAnsi="Times New Roman"/>
                <w:color w:val="000000"/>
                <w:sz w:val="24"/>
                <w:szCs w:val="24"/>
                <w:lang w:eastAsia="en-GB"/>
              </w:rPr>
              <w:t xml:space="preserve"> and is already</w:t>
            </w:r>
            <w:r>
              <w:rPr>
                <w:rFonts w:ascii="Times New Roman" w:hAnsi="Times New Roman"/>
                <w:color w:val="000000"/>
                <w:sz w:val="24"/>
                <w:szCs w:val="24"/>
                <w:lang w:eastAsia="en-GB"/>
              </w:rPr>
              <w:t xml:space="preserve"> work</w:t>
            </w:r>
            <w:r w:rsidR="004D3875">
              <w:rPr>
                <w:rFonts w:ascii="Times New Roman" w:hAnsi="Times New Roman"/>
                <w:color w:val="000000"/>
                <w:sz w:val="24"/>
                <w:szCs w:val="24"/>
                <w:lang w:eastAsia="en-GB"/>
              </w:rPr>
              <w:t>ing</w:t>
            </w:r>
            <w:r>
              <w:rPr>
                <w:rFonts w:ascii="Times New Roman" w:hAnsi="Times New Roman"/>
                <w:color w:val="000000"/>
                <w:sz w:val="24"/>
                <w:szCs w:val="24"/>
                <w:lang w:eastAsia="en-GB"/>
              </w:rPr>
              <w:t xml:space="preserve"> with the </w:t>
            </w:r>
            <w:r w:rsidR="002D36FE" w:rsidRPr="002D36FE">
              <w:rPr>
                <w:rFonts w:ascii="Times New Roman" w:hAnsi="Times New Roman"/>
                <w:color w:val="000000"/>
                <w:sz w:val="24"/>
                <w:szCs w:val="24"/>
                <w:lang w:eastAsia="en-GB"/>
              </w:rPr>
              <w:t>European Investment Bank</w:t>
            </w:r>
            <w:r w:rsidR="0029325E">
              <w:t> </w:t>
            </w:r>
            <w:r w:rsidR="002D36FE">
              <w:rPr>
                <w:rFonts w:ascii="Times New Roman" w:hAnsi="Times New Roman"/>
                <w:color w:val="000000"/>
                <w:sz w:val="24"/>
                <w:szCs w:val="24"/>
                <w:lang w:eastAsia="en-GB"/>
              </w:rPr>
              <w:t>(</w:t>
            </w:r>
            <w:r>
              <w:rPr>
                <w:rFonts w:ascii="Times New Roman" w:hAnsi="Times New Roman"/>
                <w:color w:val="000000"/>
                <w:sz w:val="24"/>
                <w:szCs w:val="24"/>
                <w:lang w:eastAsia="en-GB"/>
              </w:rPr>
              <w:t>EIB</w:t>
            </w:r>
            <w:r w:rsidR="002D36FE">
              <w:rPr>
                <w:rFonts w:ascii="Times New Roman" w:hAnsi="Times New Roman"/>
                <w:color w:val="000000"/>
                <w:sz w:val="24"/>
                <w:szCs w:val="24"/>
                <w:lang w:eastAsia="en-GB"/>
              </w:rPr>
              <w:t>)</w:t>
            </w:r>
            <w:r>
              <w:rPr>
                <w:rFonts w:ascii="Times New Roman" w:hAnsi="Times New Roman"/>
                <w:color w:val="000000"/>
                <w:sz w:val="24"/>
                <w:szCs w:val="24"/>
                <w:lang w:eastAsia="en-GB"/>
              </w:rPr>
              <w:t>, international financial institutions and national promotional banks</w:t>
            </w:r>
            <w:r w:rsidR="00E56834">
              <w:rPr>
                <w:rFonts w:ascii="Times New Roman" w:hAnsi="Times New Roman"/>
                <w:color w:val="000000"/>
                <w:sz w:val="24"/>
                <w:szCs w:val="24"/>
                <w:lang w:eastAsia="en-GB"/>
              </w:rPr>
              <w:t>. This strategy will be one of the beneficiaries of a</w:t>
            </w:r>
            <w:r w:rsidR="00541EA3">
              <w:rPr>
                <w:rFonts w:ascii="Times New Roman" w:hAnsi="Times New Roman"/>
                <w:color w:val="000000"/>
                <w:sz w:val="24"/>
                <w:szCs w:val="24"/>
                <w:lang w:eastAsia="en-GB"/>
              </w:rPr>
              <w:t> </w:t>
            </w:r>
            <w:r w:rsidR="00E56834">
              <w:rPr>
                <w:rFonts w:ascii="Times New Roman" w:hAnsi="Times New Roman"/>
                <w:color w:val="000000"/>
                <w:sz w:val="24"/>
                <w:szCs w:val="24"/>
                <w:lang w:eastAsia="en-GB"/>
              </w:rPr>
              <w:t xml:space="preserve">future </w:t>
            </w:r>
            <w:r>
              <w:rPr>
                <w:rFonts w:ascii="Times New Roman" w:hAnsi="Times New Roman"/>
                <w:color w:val="000000"/>
                <w:sz w:val="24"/>
                <w:szCs w:val="24"/>
                <w:lang w:eastAsia="en-GB"/>
              </w:rPr>
              <w:t>pan-European investment platform</w:t>
            </w:r>
            <w:r w:rsidR="004D3875">
              <w:rPr>
                <w:rFonts w:ascii="Times New Roman" w:hAnsi="Times New Roman"/>
                <w:color w:val="000000"/>
                <w:sz w:val="24"/>
                <w:szCs w:val="24"/>
                <w:lang w:eastAsia="en-GB"/>
              </w:rPr>
              <w:t>. This will</w:t>
            </w:r>
            <w:r>
              <w:rPr>
                <w:rFonts w:ascii="Times New Roman" w:hAnsi="Times New Roman"/>
                <w:color w:val="000000"/>
                <w:sz w:val="24"/>
                <w:szCs w:val="24"/>
                <w:lang w:eastAsia="en-GB"/>
              </w:rPr>
              <w:t xml:space="preserve"> aim </w:t>
            </w:r>
            <w:r w:rsidR="48CF5EA9">
              <w:rPr>
                <w:rFonts w:ascii="Times New Roman" w:hAnsi="Times New Roman"/>
                <w:color w:val="000000"/>
                <w:sz w:val="24"/>
                <w:szCs w:val="24"/>
                <w:lang w:eastAsia="en-GB"/>
              </w:rPr>
              <w:t xml:space="preserve">to </w:t>
            </w:r>
            <w:r>
              <w:rPr>
                <w:rFonts w:ascii="Times New Roman" w:hAnsi="Times New Roman"/>
                <w:color w:val="000000"/>
                <w:sz w:val="24"/>
                <w:szCs w:val="24"/>
                <w:lang w:eastAsia="en-GB"/>
              </w:rPr>
              <w:t>inject liquidity into the housing market</w:t>
            </w:r>
            <w:r w:rsidR="04CC1827">
              <w:rPr>
                <w:rFonts w:ascii="Times New Roman" w:hAnsi="Times New Roman"/>
                <w:color w:val="000000"/>
                <w:sz w:val="24"/>
                <w:szCs w:val="24"/>
                <w:lang w:eastAsia="en-GB"/>
              </w:rPr>
              <w:t>,</w:t>
            </w:r>
            <w:r>
              <w:rPr>
                <w:rFonts w:ascii="Times New Roman" w:hAnsi="Times New Roman"/>
                <w:color w:val="000000"/>
                <w:sz w:val="24"/>
                <w:szCs w:val="24"/>
                <w:lang w:eastAsia="en-GB"/>
              </w:rPr>
              <w:t xml:space="preserve"> </w:t>
            </w:r>
            <w:r w:rsidR="004D3875">
              <w:rPr>
                <w:rFonts w:ascii="Times New Roman" w:hAnsi="Times New Roman"/>
                <w:color w:val="000000"/>
                <w:sz w:val="24"/>
                <w:szCs w:val="24"/>
                <w:lang w:eastAsia="en-GB"/>
              </w:rPr>
              <w:t>f</w:t>
            </w:r>
            <w:r>
              <w:rPr>
                <w:rFonts w:ascii="Times New Roman" w:hAnsi="Times New Roman"/>
                <w:color w:val="000000"/>
                <w:sz w:val="24"/>
                <w:szCs w:val="24"/>
                <w:lang w:eastAsia="en-GB"/>
              </w:rPr>
              <w:t>or example</w:t>
            </w:r>
            <w:r w:rsidR="020507B0">
              <w:rPr>
                <w:rFonts w:ascii="Times New Roman" w:hAnsi="Times New Roman"/>
                <w:color w:val="000000"/>
                <w:sz w:val="24"/>
                <w:szCs w:val="24"/>
                <w:lang w:eastAsia="en-GB"/>
              </w:rPr>
              <w:t>, through</w:t>
            </w:r>
            <w:r>
              <w:rPr>
                <w:rFonts w:ascii="Times New Roman" w:hAnsi="Times New Roman"/>
                <w:color w:val="000000"/>
                <w:sz w:val="24"/>
                <w:szCs w:val="24"/>
                <w:lang w:eastAsia="en-GB"/>
              </w:rPr>
              <w:t xml:space="preserve"> the recent</w:t>
            </w:r>
            <w:r w:rsidR="00E56834">
              <w:rPr>
                <w:rFonts w:ascii="Times New Roman" w:hAnsi="Times New Roman"/>
                <w:color w:val="000000"/>
                <w:sz w:val="24"/>
                <w:szCs w:val="24"/>
                <w:lang w:eastAsia="en-GB"/>
              </w:rPr>
              <w:t>ly</w:t>
            </w:r>
            <w:r>
              <w:rPr>
                <w:rFonts w:ascii="Times New Roman" w:hAnsi="Times New Roman"/>
                <w:color w:val="000000"/>
                <w:sz w:val="24"/>
                <w:szCs w:val="24"/>
                <w:lang w:eastAsia="en-GB"/>
              </w:rPr>
              <w:t xml:space="preserve"> </w:t>
            </w:r>
            <w:r w:rsidR="00E56834">
              <w:rPr>
                <w:rFonts w:ascii="Times New Roman" w:hAnsi="Times New Roman"/>
                <w:color w:val="000000"/>
                <w:sz w:val="24"/>
                <w:szCs w:val="24"/>
                <w:lang w:eastAsia="en-GB"/>
              </w:rPr>
              <w:t xml:space="preserve">agreed </w:t>
            </w:r>
            <w:r>
              <w:rPr>
                <w:rFonts w:ascii="Times New Roman" w:hAnsi="Times New Roman"/>
                <w:color w:val="000000"/>
                <w:sz w:val="24"/>
                <w:szCs w:val="24"/>
                <w:lang w:eastAsia="en-GB"/>
              </w:rPr>
              <w:t xml:space="preserve">mid-term review of </w:t>
            </w:r>
            <w:r w:rsidR="7CEF6A41">
              <w:rPr>
                <w:rFonts w:ascii="Times New Roman" w:hAnsi="Times New Roman"/>
                <w:color w:val="000000"/>
                <w:sz w:val="24"/>
                <w:szCs w:val="24"/>
                <w:lang w:eastAsia="en-GB"/>
              </w:rPr>
              <w:t>C</w:t>
            </w:r>
            <w:r>
              <w:rPr>
                <w:rFonts w:ascii="Times New Roman" w:hAnsi="Times New Roman"/>
                <w:color w:val="000000"/>
                <w:sz w:val="24"/>
                <w:szCs w:val="24"/>
                <w:lang w:eastAsia="en-GB"/>
              </w:rPr>
              <w:t>ohesion policy and the planned revision of state aid rules to enable affordable housing support measures</w:t>
            </w:r>
            <w:r w:rsidR="00344B60">
              <w:rPr>
                <w:rFonts w:ascii="Times New Roman" w:hAnsi="Times New Roman"/>
                <w:color w:val="000000"/>
                <w:sz w:val="24"/>
                <w:szCs w:val="24"/>
                <w:lang w:eastAsia="en-GB"/>
              </w:rPr>
              <w:t>. The Commission w</w:t>
            </w:r>
            <w:r>
              <w:rPr>
                <w:rFonts w:ascii="Times New Roman" w:hAnsi="Times New Roman"/>
                <w:color w:val="000000"/>
                <w:sz w:val="24"/>
                <w:szCs w:val="24"/>
                <w:lang w:eastAsia="en-GB"/>
              </w:rPr>
              <w:t>ill work on an</w:t>
            </w:r>
            <w:r w:rsidR="003F3AC4">
              <w:rPr>
                <w:rFonts w:ascii="Times New Roman" w:hAnsi="Times New Roman"/>
                <w:color w:val="000000"/>
                <w:sz w:val="24"/>
                <w:szCs w:val="24"/>
                <w:lang w:eastAsia="en-GB"/>
              </w:rPr>
              <w:t> </w:t>
            </w:r>
            <w:r>
              <w:rPr>
                <w:rFonts w:ascii="Times New Roman" w:hAnsi="Times New Roman"/>
                <w:color w:val="000000"/>
                <w:sz w:val="24"/>
                <w:szCs w:val="24"/>
                <w:lang w:eastAsia="en-GB"/>
              </w:rPr>
              <w:t>analysis of the impact of housing speculation</w:t>
            </w:r>
            <w:r w:rsidR="00344B60">
              <w:rPr>
                <w:rFonts w:ascii="Times New Roman" w:hAnsi="Times New Roman"/>
                <w:color w:val="000000"/>
                <w:sz w:val="24"/>
                <w:szCs w:val="24"/>
                <w:lang w:eastAsia="en-GB"/>
              </w:rPr>
              <w:t xml:space="preserve">, </w:t>
            </w:r>
            <w:r>
              <w:rPr>
                <w:rFonts w:ascii="Times New Roman" w:hAnsi="Times New Roman"/>
                <w:color w:val="000000"/>
                <w:sz w:val="24"/>
                <w:szCs w:val="24"/>
                <w:lang w:eastAsia="en-GB"/>
              </w:rPr>
              <w:t>its economic consequences</w:t>
            </w:r>
            <w:r w:rsidR="00344B60">
              <w:rPr>
                <w:rFonts w:ascii="Times New Roman" w:hAnsi="Times New Roman"/>
                <w:color w:val="000000"/>
                <w:sz w:val="24"/>
                <w:szCs w:val="24"/>
                <w:lang w:eastAsia="en-GB"/>
              </w:rPr>
              <w:t>,</w:t>
            </w:r>
            <w:r>
              <w:rPr>
                <w:rFonts w:ascii="Times New Roman" w:hAnsi="Times New Roman"/>
                <w:color w:val="000000"/>
                <w:sz w:val="24"/>
                <w:szCs w:val="24"/>
                <w:lang w:eastAsia="en-GB"/>
              </w:rPr>
              <w:t xml:space="preserve"> and will tackle the systemic issues</w:t>
            </w:r>
            <w:r w:rsidR="00344B60">
              <w:rPr>
                <w:rFonts w:ascii="Times New Roman" w:hAnsi="Times New Roman"/>
                <w:color w:val="000000"/>
                <w:sz w:val="24"/>
                <w:szCs w:val="24"/>
                <w:lang w:eastAsia="en-GB"/>
              </w:rPr>
              <w:t xml:space="preserve"> stemming from</w:t>
            </w:r>
            <w:r>
              <w:rPr>
                <w:rFonts w:ascii="Times New Roman" w:hAnsi="Times New Roman"/>
                <w:color w:val="000000"/>
                <w:sz w:val="24"/>
                <w:szCs w:val="24"/>
                <w:lang w:eastAsia="en-GB"/>
              </w:rPr>
              <w:t xml:space="preserve"> short-term accommodation rentals.</w:t>
            </w:r>
          </w:p>
          <w:p w14:paraId="51CF3D94" w14:textId="31399D7B" w:rsidR="003F1E66" w:rsidRDefault="003F1E66" w:rsidP="003F1E66">
            <w:pPr>
              <w:spacing w:before="120" w:after="120"/>
              <w:jc w:val="both"/>
              <w:rPr>
                <w:rFonts w:ascii="Times New Roman" w:hAnsi="Times New Roman"/>
                <w:color w:val="000000"/>
                <w:sz w:val="24"/>
                <w:szCs w:val="24"/>
              </w:rPr>
            </w:pPr>
            <w:r>
              <w:rPr>
                <w:rFonts w:ascii="Times New Roman" w:hAnsi="Times New Roman"/>
                <w:color w:val="000000"/>
                <w:sz w:val="24"/>
                <w:szCs w:val="24"/>
                <w:lang w:eastAsia="en-GB"/>
              </w:rPr>
              <w:t xml:space="preserve">The Commission </w:t>
            </w:r>
            <w:r w:rsidR="00344B60">
              <w:rPr>
                <w:rFonts w:ascii="Times New Roman" w:hAnsi="Times New Roman"/>
                <w:color w:val="000000"/>
                <w:sz w:val="24"/>
                <w:szCs w:val="24"/>
                <w:lang w:eastAsia="en-GB"/>
              </w:rPr>
              <w:t>is carrying</w:t>
            </w:r>
            <w:r>
              <w:rPr>
                <w:rFonts w:ascii="Times New Roman" w:hAnsi="Times New Roman"/>
                <w:color w:val="000000"/>
                <w:sz w:val="24"/>
                <w:szCs w:val="24"/>
                <w:lang w:eastAsia="en-GB"/>
              </w:rPr>
              <w:t xml:space="preserve"> out a major outreach and dialogue in 2025 to ascertain the key housing priorities at the EU level, including with the European Parliament, the Consultative Committees, the Member States and all relevant stakeholders. This dialogue builds on the Commission’s existing initiatives matching affordability with sustainability, inclusion, and quality of housing (i.e. Affordable Housing Initiative, New European Bauhaus, principle 19 of the European Pillar of Social Rights, </w:t>
            </w:r>
            <w:r>
              <w:rPr>
                <w:rFonts w:ascii="Times New Roman" w:hAnsi="Times New Roman"/>
                <w:color w:val="000000"/>
                <w:sz w:val="24"/>
                <w:szCs w:val="24"/>
                <w:lang w:eastAsia="en-GB"/>
              </w:rPr>
              <w:lastRenderedPageBreak/>
              <w:t>Platform on Combatting Homelessness).</w:t>
            </w:r>
          </w:p>
          <w:p w14:paraId="167A480F" w14:textId="30C03B73" w:rsidR="003F1E66" w:rsidRDefault="003F1E66" w:rsidP="003F1E66">
            <w:pPr>
              <w:spacing w:before="120" w:after="120"/>
              <w:jc w:val="both"/>
              <w:rPr>
                <w:rFonts w:ascii="Times New Roman" w:hAnsi="Times New Roman"/>
                <w:color w:val="000000"/>
                <w:sz w:val="24"/>
                <w:szCs w:val="24"/>
              </w:rPr>
            </w:pPr>
            <w:r>
              <w:rPr>
                <w:rFonts w:ascii="Times New Roman" w:hAnsi="Times New Roman"/>
                <w:color w:val="000000"/>
                <w:sz w:val="24"/>
                <w:szCs w:val="24"/>
              </w:rPr>
              <w:t>In this context, the Commission takes note of concrete suggestions put forward by the Committee</w:t>
            </w:r>
            <w:r w:rsidR="00344B60">
              <w:rPr>
                <w:rFonts w:ascii="Times New Roman" w:hAnsi="Times New Roman"/>
                <w:color w:val="000000"/>
                <w:sz w:val="24"/>
                <w:szCs w:val="24"/>
              </w:rPr>
              <w:t xml:space="preserve"> under</w:t>
            </w:r>
            <w:r>
              <w:rPr>
                <w:rFonts w:ascii="Times New Roman" w:hAnsi="Times New Roman"/>
                <w:color w:val="000000"/>
                <w:sz w:val="24"/>
                <w:szCs w:val="24"/>
              </w:rPr>
              <w:t xml:space="preserve"> </w:t>
            </w:r>
            <w:r>
              <w:rPr>
                <w:rFonts w:ascii="Times New Roman" w:hAnsi="Times New Roman"/>
                <w:color w:val="000000"/>
                <w:sz w:val="24"/>
                <w:szCs w:val="24"/>
                <w:u w:val="single"/>
              </w:rPr>
              <w:t>points 4.11, 4.15, 4.16 and 4.18</w:t>
            </w:r>
            <w:r>
              <w:rPr>
                <w:rFonts w:ascii="Times New Roman" w:hAnsi="Times New Roman"/>
                <w:color w:val="000000"/>
                <w:sz w:val="24"/>
                <w:szCs w:val="24"/>
              </w:rPr>
              <w:t>.</w:t>
            </w:r>
          </w:p>
          <w:p w14:paraId="6C2B3380" w14:textId="10764DC6" w:rsidR="003F1E66" w:rsidRDefault="003F1E66" w:rsidP="003F1E66">
            <w:pPr>
              <w:spacing w:before="120" w:after="120"/>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Commission acknowledges </w:t>
            </w:r>
            <w:r w:rsidR="00344B60">
              <w:rPr>
                <w:rFonts w:ascii="Times New Roman" w:hAnsi="Times New Roman"/>
                <w:color w:val="000000"/>
                <w:sz w:val="24"/>
                <w:szCs w:val="24"/>
                <w:lang w:eastAsia="en-GB"/>
              </w:rPr>
              <w:t>the</w:t>
            </w:r>
            <w:r>
              <w:rPr>
                <w:rFonts w:ascii="Times New Roman" w:hAnsi="Times New Roman"/>
                <w:color w:val="000000"/>
                <w:sz w:val="24"/>
                <w:szCs w:val="24"/>
                <w:lang w:eastAsia="en-GB"/>
              </w:rPr>
              <w:t xml:space="preserve"> urgent need to </w:t>
            </w:r>
            <w:r w:rsidR="00344B60">
              <w:rPr>
                <w:rFonts w:ascii="Times New Roman" w:hAnsi="Times New Roman"/>
                <w:color w:val="000000"/>
                <w:sz w:val="24"/>
                <w:szCs w:val="24"/>
                <w:lang w:eastAsia="en-GB"/>
              </w:rPr>
              <w:t>support</w:t>
            </w:r>
            <w:r>
              <w:rPr>
                <w:rFonts w:ascii="Times New Roman" w:hAnsi="Times New Roman"/>
                <w:color w:val="000000"/>
                <w:sz w:val="24"/>
                <w:szCs w:val="24"/>
                <w:lang w:eastAsia="en-GB"/>
              </w:rPr>
              <w:t xml:space="preserve"> Member States </w:t>
            </w:r>
            <w:r w:rsidR="00344B60">
              <w:rPr>
                <w:rFonts w:ascii="Times New Roman" w:hAnsi="Times New Roman"/>
                <w:color w:val="000000"/>
                <w:sz w:val="24"/>
                <w:szCs w:val="24"/>
                <w:lang w:eastAsia="en-GB"/>
              </w:rPr>
              <w:t>in</w:t>
            </w:r>
            <w:r>
              <w:rPr>
                <w:rFonts w:ascii="Times New Roman" w:hAnsi="Times New Roman"/>
                <w:color w:val="000000"/>
                <w:sz w:val="24"/>
                <w:szCs w:val="24"/>
                <w:lang w:eastAsia="en-GB"/>
              </w:rPr>
              <w:t xml:space="preserve"> address</w:t>
            </w:r>
            <w:r w:rsidR="00344B60">
              <w:rPr>
                <w:rFonts w:ascii="Times New Roman" w:hAnsi="Times New Roman"/>
                <w:color w:val="000000"/>
                <w:sz w:val="24"/>
                <w:szCs w:val="24"/>
                <w:lang w:eastAsia="en-GB"/>
              </w:rPr>
              <w:t>ing</w:t>
            </w:r>
            <w:r>
              <w:rPr>
                <w:rFonts w:ascii="Times New Roman" w:hAnsi="Times New Roman"/>
                <w:color w:val="000000"/>
                <w:sz w:val="24"/>
                <w:szCs w:val="24"/>
                <w:lang w:eastAsia="en-GB"/>
              </w:rPr>
              <w:t xml:space="preserve"> structural drivers and unlocking public and private investment for affordable, accessible, sustainable and quality housing, thus going beyond </w:t>
            </w:r>
            <w:r w:rsidR="00344B60">
              <w:rPr>
                <w:rFonts w:ascii="Times New Roman" w:hAnsi="Times New Roman"/>
                <w:color w:val="000000"/>
                <w:sz w:val="24"/>
                <w:szCs w:val="24"/>
                <w:lang w:eastAsia="en-GB"/>
              </w:rPr>
              <w:t xml:space="preserve">– but not neglecting </w:t>
            </w:r>
            <w:r w:rsidR="008F3A9A" w:rsidRPr="008F3A9A">
              <w:rPr>
                <w:rFonts w:ascii="Times New Roman" w:hAnsi="Times New Roman"/>
                <w:color w:val="000000"/>
                <w:sz w:val="24"/>
                <w:szCs w:val="24"/>
                <w:lang w:eastAsia="en-GB"/>
              </w:rPr>
              <w:t>–</w:t>
            </w:r>
            <w:r w:rsidR="00344B60">
              <w:rPr>
                <w:rFonts w:ascii="Times New Roman" w:hAnsi="Times New Roman"/>
                <w:color w:val="000000"/>
                <w:sz w:val="24"/>
                <w:szCs w:val="24"/>
                <w:lang w:eastAsia="en-GB"/>
              </w:rPr>
              <w:t xml:space="preserve"> </w:t>
            </w:r>
            <w:r>
              <w:rPr>
                <w:rFonts w:ascii="Times New Roman" w:hAnsi="Times New Roman"/>
                <w:color w:val="000000"/>
                <w:sz w:val="24"/>
                <w:szCs w:val="24"/>
                <w:lang w:eastAsia="en-GB"/>
              </w:rPr>
              <w:t xml:space="preserve">the notion </w:t>
            </w:r>
            <w:r w:rsidR="00344B60">
              <w:rPr>
                <w:rFonts w:ascii="Times New Roman" w:hAnsi="Times New Roman"/>
                <w:color w:val="000000"/>
                <w:sz w:val="24"/>
                <w:szCs w:val="24"/>
                <w:lang w:eastAsia="en-GB"/>
              </w:rPr>
              <w:t xml:space="preserve">and relevance </w:t>
            </w:r>
            <w:r>
              <w:rPr>
                <w:rFonts w:ascii="Times New Roman" w:hAnsi="Times New Roman"/>
                <w:color w:val="000000"/>
                <w:sz w:val="24"/>
                <w:szCs w:val="24"/>
                <w:lang w:eastAsia="en-GB"/>
              </w:rPr>
              <w:t>of social housing</w:t>
            </w:r>
            <w:r w:rsidR="00344B60">
              <w:rPr>
                <w:rFonts w:ascii="Times New Roman" w:hAnsi="Times New Roman"/>
                <w:color w:val="000000"/>
                <w:sz w:val="24"/>
                <w:szCs w:val="24"/>
                <w:lang w:eastAsia="en-GB"/>
              </w:rPr>
              <w:t>, as mentioned below in this reply.</w:t>
            </w:r>
          </w:p>
          <w:p w14:paraId="50639D5A" w14:textId="0EA19392" w:rsidR="003F1E66" w:rsidRDefault="003F1E66" w:rsidP="003F1E66">
            <w:pPr>
              <w:spacing w:before="120" w:after="120"/>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As regards </w:t>
            </w:r>
            <w:r>
              <w:rPr>
                <w:rFonts w:ascii="Times New Roman" w:hAnsi="Times New Roman"/>
                <w:color w:val="000000"/>
                <w:sz w:val="24"/>
                <w:szCs w:val="24"/>
                <w:u w:val="single"/>
                <w:lang w:eastAsia="en-GB"/>
              </w:rPr>
              <w:t>point 4.11</w:t>
            </w:r>
            <w:r>
              <w:rPr>
                <w:rFonts w:ascii="Times New Roman" w:hAnsi="Times New Roman"/>
                <w:color w:val="000000"/>
                <w:sz w:val="24"/>
                <w:szCs w:val="24"/>
                <w:lang w:eastAsia="en-GB"/>
              </w:rPr>
              <w:t xml:space="preserve">, the Commission will assess all possible options within its remit to provide tools </w:t>
            </w:r>
            <w:r w:rsidR="00344B60">
              <w:rPr>
                <w:rFonts w:ascii="Times New Roman" w:hAnsi="Times New Roman"/>
                <w:color w:val="000000"/>
                <w:sz w:val="24"/>
                <w:szCs w:val="24"/>
                <w:lang w:eastAsia="en-GB"/>
              </w:rPr>
              <w:t>to</w:t>
            </w:r>
            <w:r>
              <w:rPr>
                <w:rFonts w:ascii="Times New Roman" w:hAnsi="Times New Roman"/>
                <w:color w:val="000000"/>
                <w:sz w:val="24"/>
                <w:szCs w:val="24"/>
                <w:lang w:eastAsia="en-GB"/>
              </w:rPr>
              <w:t xml:space="preserve"> tackle the high cost of living. While housing is primarily a national/regional/local responsibility – </w:t>
            </w:r>
            <w:r w:rsidR="00344B60">
              <w:rPr>
                <w:rFonts w:ascii="Times New Roman" w:hAnsi="Times New Roman"/>
                <w:color w:val="000000"/>
                <w:sz w:val="24"/>
                <w:szCs w:val="24"/>
                <w:lang w:eastAsia="en-GB"/>
              </w:rPr>
              <w:t xml:space="preserve">and </w:t>
            </w:r>
            <w:r>
              <w:rPr>
                <w:rFonts w:ascii="Times New Roman" w:hAnsi="Times New Roman"/>
                <w:color w:val="000000"/>
                <w:sz w:val="24"/>
                <w:szCs w:val="24"/>
                <w:lang w:eastAsia="en-GB"/>
              </w:rPr>
              <w:t xml:space="preserve">the Commission </w:t>
            </w:r>
            <w:r w:rsidR="00344B60">
              <w:rPr>
                <w:rFonts w:ascii="Times New Roman" w:hAnsi="Times New Roman"/>
                <w:color w:val="000000"/>
                <w:sz w:val="24"/>
                <w:szCs w:val="24"/>
                <w:lang w:eastAsia="en-GB"/>
              </w:rPr>
              <w:t xml:space="preserve">fully </w:t>
            </w:r>
            <w:r>
              <w:rPr>
                <w:rFonts w:ascii="Times New Roman" w:hAnsi="Times New Roman"/>
                <w:color w:val="000000"/>
                <w:sz w:val="24"/>
                <w:szCs w:val="24"/>
                <w:lang w:eastAsia="en-GB"/>
              </w:rPr>
              <w:t xml:space="preserve">respects the subsidiarity </w:t>
            </w:r>
            <w:r w:rsidR="00344B60">
              <w:rPr>
                <w:rFonts w:ascii="Times New Roman" w:hAnsi="Times New Roman"/>
                <w:color w:val="000000"/>
                <w:sz w:val="24"/>
                <w:szCs w:val="24"/>
                <w:lang w:eastAsia="en-GB"/>
              </w:rPr>
              <w:t xml:space="preserve">principle </w:t>
            </w:r>
            <w:r>
              <w:rPr>
                <w:rFonts w:ascii="Times New Roman" w:hAnsi="Times New Roman"/>
                <w:color w:val="000000"/>
                <w:sz w:val="24"/>
                <w:szCs w:val="24"/>
                <w:lang w:eastAsia="en-GB"/>
              </w:rPr>
              <w:t xml:space="preserve">– the Commission aims to enhance </w:t>
            </w:r>
            <w:r w:rsidR="00344B60">
              <w:rPr>
                <w:rFonts w:ascii="Times New Roman" w:hAnsi="Times New Roman"/>
                <w:color w:val="000000"/>
                <w:sz w:val="24"/>
                <w:szCs w:val="24"/>
                <w:lang w:eastAsia="en-GB"/>
              </w:rPr>
              <w:t xml:space="preserve">the </w:t>
            </w:r>
            <w:r>
              <w:rPr>
                <w:rFonts w:ascii="Times New Roman" w:hAnsi="Times New Roman"/>
                <w:color w:val="000000"/>
                <w:sz w:val="24"/>
                <w:szCs w:val="24"/>
                <w:lang w:eastAsia="en-GB"/>
              </w:rPr>
              <w:t xml:space="preserve">sharing </w:t>
            </w:r>
            <w:r w:rsidR="00344B60">
              <w:rPr>
                <w:rFonts w:ascii="Times New Roman" w:hAnsi="Times New Roman"/>
                <w:color w:val="000000"/>
                <w:sz w:val="24"/>
                <w:szCs w:val="24"/>
                <w:lang w:eastAsia="en-GB"/>
              </w:rPr>
              <w:t xml:space="preserve">of best practices </w:t>
            </w:r>
            <w:r>
              <w:rPr>
                <w:rFonts w:ascii="Times New Roman" w:hAnsi="Times New Roman"/>
                <w:color w:val="000000"/>
                <w:sz w:val="24"/>
                <w:szCs w:val="24"/>
                <w:lang w:eastAsia="en-GB"/>
              </w:rPr>
              <w:t xml:space="preserve">among relevant authorities and </w:t>
            </w:r>
            <w:r w:rsidR="00344B60">
              <w:rPr>
                <w:rFonts w:ascii="Times New Roman" w:hAnsi="Times New Roman"/>
                <w:color w:val="000000"/>
                <w:sz w:val="24"/>
                <w:szCs w:val="24"/>
                <w:lang w:eastAsia="en-GB"/>
              </w:rPr>
              <w:t>stakeholders and</w:t>
            </w:r>
            <w:r>
              <w:rPr>
                <w:rFonts w:ascii="Times New Roman" w:hAnsi="Times New Roman"/>
                <w:color w:val="000000"/>
                <w:sz w:val="24"/>
                <w:szCs w:val="24"/>
                <w:lang w:eastAsia="en-GB"/>
              </w:rPr>
              <w:t xml:space="preserve"> acknowledges that a toolbox</w:t>
            </w:r>
            <w:r w:rsidR="00344B60">
              <w:rPr>
                <w:rFonts w:ascii="Times New Roman" w:hAnsi="Times New Roman"/>
                <w:color w:val="000000"/>
                <w:sz w:val="24"/>
                <w:szCs w:val="24"/>
                <w:lang w:eastAsia="en-GB"/>
              </w:rPr>
              <w:t xml:space="preserve"> </w:t>
            </w:r>
            <w:r w:rsidR="00344B60" w:rsidRPr="00344B60">
              <w:rPr>
                <w:rFonts w:ascii="Times New Roman" w:hAnsi="Times New Roman"/>
                <w:color w:val="000000"/>
                <w:sz w:val="24"/>
                <w:szCs w:val="24"/>
                <w:lang w:eastAsia="en-GB"/>
              </w:rPr>
              <w:t>may be considered</w:t>
            </w:r>
            <w:r w:rsidR="00344B60">
              <w:rPr>
                <w:rFonts w:ascii="Times New Roman" w:hAnsi="Times New Roman"/>
                <w:color w:val="000000"/>
                <w:sz w:val="24"/>
                <w:szCs w:val="24"/>
                <w:lang w:eastAsia="en-GB"/>
              </w:rPr>
              <w:t>,</w:t>
            </w:r>
            <w:r>
              <w:rPr>
                <w:rFonts w:ascii="Times New Roman" w:hAnsi="Times New Roman"/>
                <w:color w:val="000000"/>
                <w:sz w:val="24"/>
                <w:szCs w:val="24"/>
                <w:lang w:eastAsia="en-GB"/>
              </w:rPr>
              <w:t xml:space="preserve"> as mentioned by the </w:t>
            </w:r>
            <w:r w:rsidR="00344B60">
              <w:rPr>
                <w:rFonts w:ascii="Times New Roman" w:hAnsi="Times New Roman"/>
                <w:color w:val="000000"/>
                <w:sz w:val="24"/>
                <w:szCs w:val="24"/>
                <w:lang w:eastAsia="en-GB"/>
              </w:rPr>
              <w:t>EESC</w:t>
            </w:r>
            <w:r>
              <w:rPr>
                <w:rFonts w:ascii="Times New Roman" w:hAnsi="Times New Roman"/>
                <w:color w:val="000000"/>
                <w:sz w:val="24"/>
                <w:szCs w:val="24"/>
                <w:lang w:eastAsia="en-GB"/>
              </w:rPr>
              <w:t xml:space="preserve">. At the same time, the Commission draws attention to the fact that the concrete issues of housing vary from one city to the other and it is </w:t>
            </w:r>
            <w:r w:rsidR="00344B60">
              <w:rPr>
                <w:rFonts w:ascii="Times New Roman" w:hAnsi="Times New Roman"/>
                <w:color w:val="000000"/>
                <w:sz w:val="24"/>
                <w:szCs w:val="24"/>
                <w:lang w:eastAsia="en-GB"/>
              </w:rPr>
              <w:t>unlikely</w:t>
            </w:r>
            <w:r>
              <w:rPr>
                <w:rFonts w:ascii="Times New Roman" w:hAnsi="Times New Roman"/>
                <w:color w:val="000000"/>
                <w:sz w:val="24"/>
                <w:szCs w:val="24"/>
                <w:lang w:eastAsia="en-GB"/>
              </w:rPr>
              <w:t xml:space="preserve"> that a one-size-fits-all solution can be found for the variety of local housing problems.</w:t>
            </w:r>
          </w:p>
          <w:p w14:paraId="19D31ED9" w14:textId="63A0C259" w:rsidR="085BD7E6" w:rsidRDefault="085BD7E6" w:rsidP="0033670D">
            <w:pPr>
              <w:spacing w:before="120"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regards </w:t>
            </w:r>
            <w:r>
              <w:rPr>
                <w:rFonts w:ascii="Times New Roman" w:eastAsia="Times New Roman" w:hAnsi="Times New Roman"/>
                <w:color w:val="000000"/>
                <w:sz w:val="24"/>
                <w:szCs w:val="24"/>
                <w:u w:val="single"/>
              </w:rPr>
              <w:t>point 4.13</w:t>
            </w:r>
            <w:r>
              <w:rPr>
                <w:rFonts w:ascii="Times New Roman" w:eastAsia="Times New Roman" w:hAnsi="Times New Roman"/>
                <w:color w:val="000000"/>
                <w:sz w:val="24"/>
                <w:szCs w:val="24"/>
              </w:rPr>
              <w:t>, Cohesion policy already supports housing significantly. Over the 2021-2027 period, about EUR</w:t>
            </w:r>
            <w:r w:rsidR="0040615A">
              <w:rPr>
                <w:rFonts w:ascii="Times New Roman" w:eastAsia="Times New Roman" w:hAnsi="Times New Roman"/>
                <w:color w:val="000000"/>
                <w:sz w:val="24"/>
                <w:szCs w:val="24"/>
              </w:rPr>
              <w:t> </w:t>
            </w:r>
            <w:r>
              <w:rPr>
                <w:rFonts w:ascii="Times New Roman" w:eastAsia="Times New Roman" w:hAnsi="Times New Roman"/>
                <w:color w:val="000000"/>
                <w:sz w:val="24"/>
                <w:szCs w:val="24"/>
              </w:rPr>
              <w:t>1</w:t>
            </w:r>
            <w:r w:rsidR="0040615A">
              <w:rPr>
                <w:rFonts w:ascii="Times New Roman" w:eastAsia="Times New Roman" w:hAnsi="Times New Roman"/>
                <w:color w:val="000000"/>
                <w:sz w:val="24"/>
                <w:szCs w:val="24"/>
              </w:rPr>
              <w:t> </w:t>
            </w:r>
            <w:r>
              <w:rPr>
                <w:rFonts w:ascii="Times New Roman" w:eastAsia="Times New Roman" w:hAnsi="Times New Roman"/>
                <w:color w:val="000000"/>
                <w:sz w:val="24"/>
                <w:szCs w:val="24"/>
              </w:rPr>
              <w:t>billion from the European Regional Development Fund</w:t>
            </w:r>
            <w:r w:rsidR="0040615A">
              <w:rPr>
                <w:rFonts w:ascii="Times New Roman" w:eastAsia="Times New Roman" w:hAnsi="Times New Roman"/>
                <w:color w:val="000000"/>
                <w:sz w:val="24"/>
                <w:szCs w:val="24"/>
              </w:rPr>
              <w:t> </w:t>
            </w:r>
            <w:r>
              <w:rPr>
                <w:rFonts w:ascii="Times New Roman" w:eastAsia="Times New Roman" w:hAnsi="Times New Roman"/>
                <w:color w:val="000000"/>
                <w:sz w:val="24"/>
                <w:szCs w:val="24"/>
              </w:rPr>
              <w:t>(ERDF) is planned for investments in social housing for vulnerable groups, and about EUR</w:t>
            </w:r>
            <w:r w:rsidR="0040615A">
              <w:rPr>
                <w:rFonts w:ascii="Times New Roman" w:eastAsia="Times New Roman" w:hAnsi="Times New Roman"/>
                <w:color w:val="000000"/>
                <w:sz w:val="24"/>
                <w:szCs w:val="24"/>
              </w:rPr>
              <w:t> </w:t>
            </w:r>
            <w:r>
              <w:rPr>
                <w:rFonts w:ascii="Times New Roman" w:eastAsia="Times New Roman" w:hAnsi="Times New Roman"/>
                <w:color w:val="000000"/>
                <w:sz w:val="24"/>
                <w:szCs w:val="24"/>
              </w:rPr>
              <w:t>6.5</w:t>
            </w:r>
            <w:r w:rsidR="0040615A">
              <w:rPr>
                <w:rFonts w:ascii="Times New Roman" w:eastAsia="Times New Roman" w:hAnsi="Times New Roman"/>
                <w:color w:val="000000"/>
                <w:sz w:val="24"/>
                <w:szCs w:val="24"/>
              </w:rPr>
              <w:t> </w:t>
            </w:r>
            <w:r>
              <w:rPr>
                <w:rFonts w:ascii="Times New Roman" w:eastAsia="Times New Roman" w:hAnsi="Times New Roman"/>
                <w:color w:val="000000"/>
                <w:sz w:val="24"/>
                <w:szCs w:val="24"/>
              </w:rPr>
              <w:t xml:space="preserve">billion of the ERDF, Cohesion Fund and Just Transition Fund is envisaged for energy efficiency of housing stock. Furthermore, </w:t>
            </w:r>
            <w:r w:rsidR="00E56834">
              <w:rPr>
                <w:rFonts w:ascii="Times New Roman" w:eastAsia="Times New Roman" w:hAnsi="Times New Roman"/>
                <w:color w:val="000000"/>
                <w:sz w:val="24"/>
                <w:szCs w:val="24"/>
              </w:rPr>
              <w:t xml:space="preserve">in </w:t>
            </w:r>
            <w:r w:rsidR="00600698">
              <w:rPr>
                <w:rFonts w:ascii="Times New Roman" w:eastAsia="Times New Roman" w:hAnsi="Times New Roman"/>
                <w:color w:val="000000"/>
                <w:sz w:val="24"/>
                <w:szCs w:val="24"/>
              </w:rPr>
              <w:t>Sep</w:t>
            </w:r>
            <w:r w:rsidR="00E56834">
              <w:rPr>
                <w:rFonts w:ascii="Times New Roman" w:eastAsia="Times New Roman" w:hAnsi="Times New Roman"/>
                <w:color w:val="000000"/>
                <w:sz w:val="24"/>
                <w:szCs w:val="24"/>
              </w:rPr>
              <w:t xml:space="preserve"> 2025</w:t>
            </w:r>
            <w:r>
              <w:rPr>
                <w:rFonts w:ascii="Times New Roman" w:eastAsia="Times New Roman" w:hAnsi="Times New Roman"/>
                <w:color w:val="000000"/>
                <w:sz w:val="24"/>
                <w:szCs w:val="24"/>
              </w:rPr>
              <w:t>, a mid-term review</w:t>
            </w:r>
            <w:r w:rsidR="0040615A">
              <w:rPr>
                <w:rStyle w:val="FootnoteReference"/>
                <w:rFonts w:ascii="Times New Roman" w:eastAsia="Times New Roman" w:hAnsi="Times New Roman"/>
                <w:color w:val="000000"/>
                <w:sz w:val="24"/>
                <w:szCs w:val="24"/>
              </w:rPr>
              <w:footnoteReference w:id="4"/>
            </w:r>
            <w:r>
              <w:rPr>
                <w:rFonts w:ascii="Times New Roman" w:eastAsia="Times New Roman" w:hAnsi="Times New Roman"/>
                <w:color w:val="000000"/>
                <w:sz w:val="24"/>
                <w:szCs w:val="24"/>
              </w:rPr>
              <w:t xml:space="preserve"> to modernise Cohesion policy (including flexibilities and incentives to encourage Member States and regions to double their investments in affordable housing under Cohesion policy) </w:t>
            </w:r>
            <w:r w:rsidR="00943BD8">
              <w:rPr>
                <w:rFonts w:ascii="Times New Roman" w:eastAsia="Times New Roman" w:hAnsi="Times New Roman"/>
                <w:color w:val="000000"/>
                <w:sz w:val="24"/>
                <w:szCs w:val="24"/>
              </w:rPr>
              <w:t xml:space="preserve">was adopted by the co-legislators </w:t>
            </w:r>
            <w:r>
              <w:rPr>
                <w:rFonts w:ascii="Times New Roman" w:eastAsia="Times New Roman" w:hAnsi="Times New Roman"/>
                <w:color w:val="000000"/>
                <w:sz w:val="24"/>
                <w:szCs w:val="24"/>
              </w:rPr>
              <w:t xml:space="preserve">and </w:t>
            </w:r>
            <w:r w:rsidR="00943BD8">
              <w:rPr>
                <w:rFonts w:ascii="Times New Roman" w:eastAsia="Times New Roman" w:hAnsi="Times New Roman"/>
                <w:color w:val="000000"/>
                <w:sz w:val="24"/>
                <w:szCs w:val="24"/>
              </w:rPr>
              <w:t xml:space="preserve">in April 2025 the Commission </w:t>
            </w:r>
            <w:r w:rsidR="00CE7485">
              <w:rPr>
                <w:rFonts w:ascii="Times New Roman" w:eastAsia="Times New Roman" w:hAnsi="Times New Roman"/>
                <w:color w:val="000000"/>
                <w:sz w:val="24"/>
                <w:szCs w:val="24"/>
              </w:rPr>
              <w:t xml:space="preserve">published </w:t>
            </w:r>
            <w:r>
              <w:rPr>
                <w:rFonts w:ascii="Times New Roman" w:eastAsia="Times New Roman" w:hAnsi="Times New Roman"/>
                <w:color w:val="000000"/>
                <w:sz w:val="24"/>
                <w:szCs w:val="24"/>
              </w:rPr>
              <w:t>a</w:t>
            </w:r>
            <w:r w:rsidR="0040615A">
              <w:rPr>
                <w:rFonts w:ascii="Times New Roman" w:eastAsia="Times New Roman" w:hAnsi="Times New Roman"/>
                <w:color w:val="000000"/>
                <w:sz w:val="24"/>
                <w:szCs w:val="24"/>
              </w:rPr>
              <w:t> </w:t>
            </w:r>
            <w:r>
              <w:rPr>
                <w:rFonts w:ascii="Times New Roman" w:eastAsia="Times New Roman" w:hAnsi="Times New Roman"/>
                <w:color w:val="000000"/>
                <w:sz w:val="24"/>
                <w:szCs w:val="24"/>
              </w:rPr>
              <w:t xml:space="preserve">new financial instrument model for affordable housing (to help Member States and regions to leverage Cohesion policy funding with resources from the </w:t>
            </w:r>
            <w:r w:rsidR="009402FA">
              <w:rPr>
                <w:rFonts w:ascii="Times New Roman" w:eastAsia="Times New Roman" w:hAnsi="Times New Roman"/>
                <w:color w:val="000000"/>
                <w:sz w:val="24"/>
                <w:szCs w:val="24"/>
              </w:rPr>
              <w:t>EIB</w:t>
            </w:r>
            <w:r>
              <w:rPr>
                <w:rFonts w:ascii="Times New Roman" w:eastAsia="Times New Roman" w:hAnsi="Times New Roman"/>
                <w:color w:val="000000"/>
                <w:sz w:val="24"/>
                <w:szCs w:val="24"/>
              </w:rPr>
              <w:t xml:space="preserve"> and other financial institutions)</w:t>
            </w:r>
            <w:r w:rsidR="00943BD8">
              <w:rPr>
                <w:rStyle w:val="FootnoteReference"/>
                <w:rFonts w:ascii="Times New Roman" w:eastAsia="Times New Roman" w:hAnsi="Times New Roman"/>
                <w:color w:val="000000"/>
                <w:sz w:val="24"/>
                <w:szCs w:val="24"/>
              </w:rPr>
              <w:footnoteReference w:id="5"/>
            </w:r>
            <w:r>
              <w:rPr>
                <w:rFonts w:ascii="Times New Roman" w:eastAsia="Times New Roman" w:hAnsi="Times New Roman"/>
                <w:color w:val="000000"/>
                <w:sz w:val="24"/>
                <w:szCs w:val="24"/>
              </w:rPr>
              <w:t>.</w:t>
            </w:r>
          </w:p>
          <w:p w14:paraId="30B50016" w14:textId="1A9A9841" w:rsidR="003F1E66" w:rsidRDefault="003F1E66" w:rsidP="003F1E66">
            <w:pPr>
              <w:spacing w:before="120" w:after="120"/>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As regards </w:t>
            </w:r>
            <w:r>
              <w:rPr>
                <w:rFonts w:ascii="Times New Roman" w:hAnsi="Times New Roman"/>
                <w:color w:val="000000"/>
                <w:sz w:val="24"/>
                <w:szCs w:val="24"/>
                <w:u w:val="single"/>
                <w:lang w:eastAsia="en-GB"/>
              </w:rPr>
              <w:t>point 4.15</w:t>
            </w:r>
            <w:r>
              <w:rPr>
                <w:rFonts w:ascii="Times New Roman" w:hAnsi="Times New Roman"/>
                <w:color w:val="000000"/>
                <w:sz w:val="24"/>
                <w:szCs w:val="24"/>
                <w:lang w:eastAsia="en-GB"/>
              </w:rPr>
              <w:t xml:space="preserve">, the Commission agrees with the Committee </w:t>
            </w:r>
            <w:r w:rsidR="00344B60">
              <w:rPr>
                <w:rFonts w:ascii="Times New Roman" w:hAnsi="Times New Roman"/>
                <w:color w:val="000000"/>
                <w:sz w:val="24"/>
                <w:szCs w:val="24"/>
                <w:lang w:eastAsia="en-GB"/>
              </w:rPr>
              <w:t>on the</w:t>
            </w:r>
            <w:r>
              <w:rPr>
                <w:rFonts w:ascii="Times New Roman" w:hAnsi="Times New Roman"/>
                <w:color w:val="000000"/>
                <w:sz w:val="24"/>
                <w:szCs w:val="24"/>
                <w:lang w:eastAsia="en-GB"/>
              </w:rPr>
              <w:t xml:space="preserve"> need for more private financing for affordable housing. The EIB</w:t>
            </w:r>
            <w:r w:rsidR="00CE7485">
              <w:rPr>
                <w:rFonts w:ascii="Times New Roman" w:hAnsi="Times New Roman"/>
                <w:color w:val="000000"/>
                <w:sz w:val="24"/>
                <w:szCs w:val="24"/>
                <w:lang w:eastAsia="en-GB"/>
              </w:rPr>
              <w:t xml:space="preserve"> has adopted </w:t>
            </w:r>
            <w:r>
              <w:rPr>
                <w:rFonts w:ascii="Times New Roman" w:hAnsi="Times New Roman"/>
                <w:color w:val="000000"/>
                <w:sz w:val="24"/>
                <w:szCs w:val="24"/>
                <w:lang w:eastAsia="en-GB"/>
              </w:rPr>
              <w:t xml:space="preserve">its Action Plan for Housing </w:t>
            </w:r>
            <w:r w:rsidR="00CE7485">
              <w:rPr>
                <w:rFonts w:ascii="Times New Roman" w:hAnsi="Times New Roman"/>
                <w:color w:val="000000"/>
                <w:sz w:val="24"/>
                <w:szCs w:val="24"/>
                <w:lang w:eastAsia="en-GB"/>
              </w:rPr>
              <w:t xml:space="preserve">which is </w:t>
            </w:r>
            <w:r>
              <w:rPr>
                <w:rFonts w:ascii="Times New Roman" w:hAnsi="Times New Roman"/>
                <w:color w:val="000000"/>
                <w:sz w:val="24"/>
                <w:szCs w:val="24"/>
                <w:lang w:eastAsia="en-GB"/>
              </w:rPr>
              <w:t xml:space="preserve">complemented by </w:t>
            </w:r>
            <w:r w:rsidR="00344B60">
              <w:rPr>
                <w:rFonts w:ascii="Times New Roman" w:hAnsi="Times New Roman"/>
                <w:color w:val="000000"/>
                <w:sz w:val="24"/>
                <w:szCs w:val="24"/>
                <w:lang w:eastAsia="en-GB"/>
              </w:rPr>
              <w:t xml:space="preserve">the </w:t>
            </w:r>
            <w:r w:rsidR="00CE7485">
              <w:rPr>
                <w:rFonts w:ascii="Times New Roman" w:hAnsi="Times New Roman"/>
                <w:color w:val="000000"/>
                <w:sz w:val="24"/>
                <w:szCs w:val="24"/>
                <w:lang w:eastAsia="en-GB"/>
              </w:rPr>
              <w:t xml:space="preserve">ongoing work to complete its </w:t>
            </w:r>
            <w:r>
              <w:rPr>
                <w:rFonts w:ascii="Times New Roman" w:hAnsi="Times New Roman"/>
                <w:color w:val="000000"/>
                <w:sz w:val="24"/>
                <w:szCs w:val="24"/>
                <w:lang w:eastAsia="en-GB"/>
              </w:rPr>
              <w:t>one-stop-shop portal launched to provide advisory and financial support for innovation in construction, affordable housing and energy-efficient renovations.</w:t>
            </w:r>
          </w:p>
          <w:p w14:paraId="0C75A1A5" w14:textId="46144007" w:rsidR="00CE7485" w:rsidRDefault="00344B60" w:rsidP="00253500">
            <w:pPr>
              <w:spacing w:before="120" w:after="120"/>
              <w:jc w:val="both"/>
              <w:rPr>
                <w:rFonts w:ascii="Times New Roman" w:hAnsi="Times New Roman"/>
                <w:color w:val="000000"/>
                <w:sz w:val="24"/>
                <w:szCs w:val="24"/>
                <w:lang w:eastAsia="en-GB"/>
              </w:rPr>
            </w:pPr>
            <w:r>
              <w:rPr>
                <w:rFonts w:ascii="Times New Roman" w:hAnsi="Times New Roman"/>
                <w:color w:val="000000"/>
                <w:sz w:val="24"/>
                <w:szCs w:val="24"/>
                <w:lang w:val="en-US" w:eastAsia="en-GB"/>
              </w:rPr>
              <w:t>Regarding</w:t>
            </w:r>
            <w:r w:rsidR="003F1E66">
              <w:rPr>
                <w:rFonts w:ascii="Times New Roman" w:hAnsi="Times New Roman"/>
                <w:color w:val="000000"/>
                <w:sz w:val="24"/>
                <w:szCs w:val="24"/>
                <w:lang w:val="en-US" w:eastAsia="en-GB"/>
              </w:rPr>
              <w:t xml:space="preserve"> </w:t>
            </w:r>
            <w:r w:rsidR="003F1E66">
              <w:rPr>
                <w:rFonts w:ascii="Times New Roman" w:hAnsi="Times New Roman"/>
                <w:color w:val="000000"/>
                <w:sz w:val="24"/>
                <w:szCs w:val="24"/>
                <w:u w:val="single"/>
                <w:lang w:val="en-US" w:eastAsia="en-GB"/>
              </w:rPr>
              <w:t>point 4.16</w:t>
            </w:r>
            <w:r w:rsidR="003F1E66">
              <w:rPr>
                <w:rFonts w:ascii="Times New Roman" w:hAnsi="Times New Roman"/>
                <w:color w:val="000000"/>
                <w:sz w:val="24"/>
                <w:szCs w:val="24"/>
                <w:lang w:val="en-US" w:eastAsia="en-GB"/>
              </w:rPr>
              <w:t>, the Commission agrees that social housing is a key element of any solution that aim</w:t>
            </w:r>
            <w:r w:rsidR="00482080">
              <w:rPr>
                <w:rFonts w:ascii="Times New Roman" w:hAnsi="Times New Roman"/>
                <w:color w:val="000000"/>
                <w:sz w:val="24"/>
                <w:szCs w:val="24"/>
                <w:lang w:val="en-US" w:eastAsia="en-GB"/>
              </w:rPr>
              <w:t>s to</w:t>
            </w:r>
            <w:r w:rsidR="003F1E66">
              <w:rPr>
                <w:rFonts w:ascii="Times New Roman" w:hAnsi="Times New Roman"/>
                <w:color w:val="000000"/>
                <w:sz w:val="24"/>
                <w:szCs w:val="24"/>
                <w:lang w:val="en-US" w:eastAsia="en-GB"/>
              </w:rPr>
              <w:t xml:space="preserve"> tackle the housing crisis</w:t>
            </w:r>
            <w:r>
              <w:rPr>
                <w:rFonts w:ascii="Times New Roman" w:hAnsi="Times New Roman"/>
                <w:color w:val="000000"/>
                <w:sz w:val="24"/>
                <w:szCs w:val="24"/>
                <w:lang w:val="en-US" w:eastAsia="en-GB"/>
              </w:rPr>
              <w:t xml:space="preserve">. The Commission </w:t>
            </w:r>
            <w:r w:rsidR="003F1E66">
              <w:rPr>
                <w:rFonts w:ascii="Times New Roman" w:hAnsi="Times New Roman"/>
                <w:color w:val="000000"/>
                <w:sz w:val="24"/>
                <w:szCs w:val="24"/>
                <w:lang w:val="en-US" w:eastAsia="en-GB"/>
              </w:rPr>
              <w:t xml:space="preserve">draws attention </w:t>
            </w:r>
            <w:r>
              <w:rPr>
                <w:rFonts w:ascii="Times New Roman" w:hAnsi="Times New Roman"/>
                <w:color w:val="000000"/>
                <w:sz w:val="24"/>
                <w:szCs w:val="24"/>
                <w:lang w:val="en-US" w:eastAsia="en-GB"/>
              </w:rPr>
              <w:t>to</w:t>
            </w:r>
            <w:r w:rsidR="003F1E66">
              <w:rPr>
                <w:rFonts w:ascii="Times New Roman" w:hAnsi="Times New Roman"/>
                <w:color w:val="000000"/>
                <w:sz w:val="24"/>
                <w:szCs w:val="24"/>
                <w:lang w:val="en-US" w:eastAsia="en-GB"/>
              </w:rPr>
              <w:t xml:space="preserve"> the ongoing EU </w:t>
            </w:r>
            <w:proofErr w:type="spellStart"/>
            <w:r w:rsidR="003F1E66">
              <w:rPr>
                <w:rFonts w:ascii="Times New Roman" w:hAnsi="Times New Roman"/>
                <w:color w:val="000000"/>
                <w:sz w:val="24"/>
                <w:szCs w:val="24"/>
                <w:lang w:val="en-US" w:eastAsia="en-GB"/>
              </w:rPr>
              <w:t>programmes</w:t>
            </w:r>
            <w:proofErr w:type="spellEnd"/>
            <w:r w:rsidR="003F1E66">
              <w:rPr>
                <w:rFonts w:ascii="Times New Roman" w:hAnsi="Times New Roman"/>
                <w:color w:val="000000"/>
                <w:sz w:val="24"/>
                <w:szCs w:val="24"/>
                <w:lang w:val="en-US" w:eastAsia="en-GB"/>
              </w:rPr>
              <w:t xml:space="preserve">, initiatives and funds available to support construction, services and capacity building, such as the Recovery and Resilience Facility, </w:t>
            </w:r>
            <w:proofErr w:type="spellStart"/>
            <w:r w:rsidR="003F1E66">
              <w:rPr>
                <w:rFonts w:ascii="Times New Roman" w:hAnsi="Times New Roman"/>
                <w:color w:val="000000"/>
                <w:sz w:val="24"/>
                <w:szCs w:val="24"/>
                <w:lang w:val="en-US" w:eastAsia="en-GB"/>
              </w:rPr>
              <w:t>InvestEU</w:t>
            </w:r>
            <w:proofErr w:type="spellEnd"/>
            <w:r w:rsidR="003F1E66">
              <w:rPr>
                <w:rFonts w:ascii="Times New Roman" w:hAnsi="Times New Roman"/>
                <w:color w:val="000000"/>
                <w:sz w:val="24"/>
                <w:szCs w:val="24"/>
                <w:lang w:val="en-US" w:eastAsia="en-GB"/>
              </w:rPr>
              <w:t xml:space="preserve">, </w:t>
            </w:r>
            <w:r>
              <w:rPr>
                <w:rFonts w:ascii="Times New Roman" w:hAnsi="Times New Roman"/>
                <w:color w:val="000000"/>
                <w:sz w:val="24"/>
                <w:szCs w:val="24"/>
                <w:lang w:val="en-US" w:eastAsia="en-GB"/>
              </w:rPr>
              <w:t xml:space="preserve">and </w:t>
            </w:r>
            <w:r w:rsidR="003F1E66">
              <w:rPr>
                <w:rFonts w:ascii="Times New Roman" w:hAnsi="Times New Roman"/>
                <w:color w:val="000000"/>
                <w:sz w:val="24"/>
                <w:szCs w:val="24"/>
                <w:lang w:val="en-US" w:eastAsia="en-GB"/>
              </w:rPr>
              <w:t>the European Regional Development Fund.</w:t>
            </w:r>
            <w:r w:rsidR="00CE7485">
              <w:rPr>
                <w:rFonts w:ascii="Times New Roman" w:hAnsi="Times New Roman"/>
                <w:color w:val="000000"/>
                <w:sz w:val="24"/>
                <w:szCs w:val="24"/>
                <w:lang w:val="en-US" w:eastAsia="en-GB"/>
              </w:rPr>
              <w:t xml:space="preserve"> In addition, w</w:t>
            </w:r>
            <w:proofErr w:type="spellStart"/>
            <w:r w:rsidR="00CE7485" w:rsidRPr="00CE7485">
              <w:rPr>
                <w:rFonts w:ascii="Times New Roman" w:hAnsi="Times New Roman"/>
                <w:color w:val="000000"/>
                <w:sz w:val="24"/>
                <w:szCs w:val="24"/>
                <w:lang w:eastAsia="en-GB"/>
              </w:rPr>
              <w:t>hile</w:t>
            </w:r>
            <w:proofErr w:type="spellEnd"/>
            <w:r w:rsidR="00CE7485" w:rsidRPr="00CE7485">
              <w:rPr>
                <w:rFonts w:ascii="Times New Roman" w:hAnsi="Times New Roman"/>
                <w:color w:val="000000"/>
                <w:sz w:val="24"/>
                <w:szCs w:val="24"/>
                <w:lang w:eastAsia="en-GB"/>
              </w:rPr>
              <w:t xml:space="preserve"> housing remains a national competence, the Commission is committed to supporting investment in this area. In its proposal for the 2028–2034 Multiannual Financial Framework</w:t>
            </w:r>
            <w:r w:rsidR="00541EA3">
              <w:rPr>
                <w:rFonts w:ascii="Times New Roman" w:hAnsi="Times New Roman"/>
                <w:color w:val="000000"/>
                <w:sz w:val="24"/>
                <w:szCs w:val="24"/>
                <w:lang w:eastAsia="en-GB"/>
              </w:rPr>
              <w:t> </w:t>
            </w:r>
            <w:r w:rsidR="00CE7485" w:rsidRPr="00CE7485">
              <w:rPr>
                <w:rFonts w:ascii="Times New Roman" w:hAnsi="Times New Roman"/>
                <w:color w:val="000000"/>
                <w:sz w:val="24"/>
                <w:szCs w:val="24"/>
                <w:lang w:eastAsia="en-GB"/>
              </w:rPr>
              <w:t xml:space="preserve">(MFF), affordable and social housing is explicitly identified amongst the objectives. </w:t>
            </w:r>
            <w:r w:rsidR="004D482C">
              <w:rPr>
                <w:rFonts w:ascii="Times New Roman" w:hAnsi="Times New Roman"/>
                <w:color w:val="000000"/>
                <w:sz w:val="24"/>
                <w:szCs w:val="24"/>
                <w:lang w:eastAsia="en-GB"/>
              </w:rPr>
              <w:t xml:space="preserve">As per the proposal, </w:t>
            </w:r>
            <w:r w:rsidR="00CE7485" w:rsidRPr="00CE7485">
              <w:rPr>
                <w:rFonts w:ascii="Times New Roman" w:hAnsi="Times New Roman"/>
                <w:color w:val="000000"/>
                <w:sz w:val="24"/>
                <w:szCs w:val="24"/>
                <w:lang w:eastAsia="en-GB"/>
              </w:rPr>
              <w:lastRenderedPageBreak/>
              <w:t>Member States and regions would have the flexibility to prioritise housing-related reforms and investments under National and Regional Partnership Plans, with at least 14% of the Plans’ funding earmarked for social objective</w:t>
            </w:r>
            <w:r w:rsidR="004D482C">
              <w:rPr>
                <w:rFonts w:ascii="Times New Roman" w:hAnsi="Times New Roman"/>
                <w:color w:val="000000"/>
                <w:sz w:val="24"/>
                <w:szCs w:val="24"/>
                <w:lang w:eastAsia="en-GB"/>
              </w:rPr>
              <w:t>s and a</w:t>
            </w:r>
            <w:r w:rsidR="00CE7485" w:rsidRPr="00CE7485">
              <w:rPr>
                <w:rFonts w:ascii="Times New Roman" w:hAnsi="Times New Roman"/>
                <w:color w:val="000000"/>
                <w:sz w:val="24"/>
                <w:szCs w:val="24"/>
                <w:lang w:eastAsia="en-GB"/>
              </w:rPr>
              <w:t>dditional support would be available through the European Competitiveness Fund, which includes social infrastructure</w:t>
            </w:r>
            <w:r w:rsidR="004D482C">
              <w:rPr>
                <w:rFonts w:ascii="Times New Roman" w:hAnsi="Times New Roman"/>
                <w:color w:val="000000"/>
                <w:sz w:val="24"/>
                <w:szCs w:val="24"/>
                <w:lang w:eastAsia="en-GB"/>
              </w:rPr>
              <w:t>.</w:t>
            </w:r>
          </w:p>
          <w:p w14:paraId="4C3335CD" w14:textId="5CB04991" w:rsidR="00734613" w:rsidRDefault="00532F3E" w:rsidP="00BD2F11">
            <w:pPr>
              <w:spacing w:before="120" w:after="120"/>
              <w:jc w:val="both"/>
              <w:rPr>
                <w:rFonts w:ascii="Times New Roman" w:hAnsi="Times New Roman"/>
                <w:color w:val="000000"/>
                <w:sz w:val="24"/>
                <w:szCs w:val="24"/>
                <w:lang w:eastAsia="en-GB"/>
              </w:rPr>
            </w:pPr>
            <w:r>
              <w:rPr>
                <w:rFonts w:ascii="Times New Roman" w:hAnsi="Times New Roman"/>
                <w:color w:val="000000"/>
                <w:sz w:val="24"/>
                <w:szCs w:val="24"/>
                <w:lang w:eastAsia="en-GB"/>
              </w:rPr>
              <w:t>Concerning</w:t>
            </w:r>
            <w:r w:rsidR="00482080">
              <w:rPr>
                <w:rFonts w:ascii="Times New Roman" w:hAnsi="Times New Roman"/>
                <w:color w:val="000000"/>
                <w:sz w:val="24"/>
                <w:szCs w:val="24"/>
                <w:lang w:eastAsia="en-GB"/>
              </w:rPr>
              <w:t xml:space="preserve"> </w:t>
            </w:r>
            <w:r w:rsidR="003F1E66">
              <w:rPr>
                <w:rFonts w:ascii="Times New Roman" w:hAnsi="Times New Roman"/>
                <w:color w:val="000000"/>
                <w:sz w:val="24"/>
                <w:szCs w:val="24"/>
                <w:u w:val="single"/>
                <w:lang w:eastAsia="en-GB"/>
              </w:rPr>
              <w:t>point 4.17</w:t>
            </w:r>
            <w:r w:rsidR="003F1E66">
              <w:rPr>
                <w:rFonts w:ascii="Times New Roman" w:hAnsi="Times New Roman"/>
                <w:color w:val="000000"/>
                <w:sz w:val="24"/>
                <w:szCs w:val="24"/>
                <w:lang w:eastAsia="en-GB"/>
              </w:rPr>
              <w:t>, the Commission acknowledges that young people are particularly impacted by the housing crisis. Therefore, the Commission will continue to strengthen its contribution to mitigating the housing crisis, including for youth in its future actions.</w:t>
            </w:r>
          </w:p>
          <w:p w14:paraId="0AF75E61" w14:textId="5A5277C4" w:rsidR="00253500" w:rsidRDefault="00532F3E" w:rsidP="2AF9322C">
            <w:pPr>
              <w:spacing w:before="120" w:after="120"/>
              <w:jc w:val="both"/>
              <w:rPr>
                <w:rFonts w:ascii="Times New Roman" w:hAnsi="Times New Roman"/>
                <w:color w:val="000000"/>
                <w:sz w:val="24"/>
                <w:szCs w:val="24"/>
              </w:rPr>
            </w:pPr>
            <w:r>
              <w:rPr>
                <w:rFonts w:ascii="Times New Roman" w:hAnsi="Times New Roman"/>
                <w:color w:val="000000"/>
                <w:sz w:val="24"/>
                <w:szCs w:val="24"/>
              </w:rPr>
              <w:t>With regards to</w:t>
            </w:r>
            <w:r w:rsidR="2B04B238">
              <w:rPr>
                <w:rFonts w:ascii="Times New Roman" w:hAnsi="Times New Roman"/>
                <w:color w:val="000000"/>
                <w:sz w:val="24"/>
                <w:szCs w:val="24"/>
              </w:rPr>
              <w:t xml:space="preserve"> </w:t>
            </w:r>
            <w:r w:rsidR="2B04B238">
              <w:rPr>
                <w:rFonts w:ascii="Times New Roman" w:hAnsi="Times New Roman"/>
                <w:color w:val="000000"/>
                <w:sz w:val="24"/>
                <w:szCs w:val="24"/>
                <w:u w:val="single"/>
              </w:rPr>
              <w:t>transport</w:t>
            </w:r>
            <w:r w:rsidR="2B04B238">
              <w:rPr>
                <w:rFonts w:ascii="Times New Roman" w:hAnsi="Times New Roman"/>
                <w:color w:val="000000"/>
                <w:sz w:val="24"/>
                <w:szCs w:val="24"/>
              </w:rPr>
              <w:t>, the Commission agrees with the EESC that transport poverty is a</w:t>
            </w:r>
            <w:r w:rsidR="0040615A">
              <w:rPr>
                <w:rFonts w:ascii="Times New Roman" w:hAnsi="Times New Roman"/>
                <w:color w:val="000000"/>
                <w:sz w:val="24"/>
                <w:szCs w:val="24"/>
              </w:rPr>
              <w:t> </w:t>
            </w:r>
            <w:r w:rsidR="2B04B238">
              <w:rPr>
                <w:rFonts w:ascii="Times New Roman" w:hAnsi="Times New Roman"/>
                <w:color w:val="000000"/>
                <w:sz w:val="24"/>
                <w:szCs w:val="24"/>
              </w:rPr>
              <w:t>serious problem within the EU, and that public transport plays a crucial role in fighting it. On 22</w:t>
            </w:r>
            <w:r w:rsidR="0040615A">
              <w:rPr>
                <w:rFonts w:ascii="Times New Roman" w:hAnsi="Times New Roman"/>
                <w:color w:val="000000"/>
                <w:sz w:val="24"/>
                <w:szCs w:val="24"/>
              </w:rPr>
              <w:t> </w:t>
            </w:r>
            <w:r w:rsidR="2B04B238">
              <w:rPr>
                <w:rFonts w:ascii="Times New Roman" w:hAnsi="Times New Roman"/>
                <w:color w:val="000000"/>
                <w:sz w:val="24"/>
                <w:szCs w:val="24"/>
              </w:rPr>
              <w:t>May</w:t>
            </w:r>
            <w:r w:rsidR="0040615A">
              <w:rPr>
                <w:rFonts w:ascii="Times New Roman" w:hAnsi="Times New Roman"/>
                <w:color w:val="000000"/>
                <w:sz w:val="24"/>
                <w:szCs w:val="24"/>
              </w:rPr>
              <w:t xml:space="preserve"> 2025</w:t>
            </w:r>
            <w:r w:rsidR="2B04B238">
              <w:rPr>
                <w:rFonts w:ascii="Times New Roman" w:hAnsi="Times New Roman"/>
                <w:color w:val="000000"/>
                <w:sz w:val="24"/>
                <w:szCs w:val="24"/>
              </w:rPr>
              <w:t xml:space="preserve">, it adopted a </w:t>
            </w:r>
            <w:hyperlink r:id="rId11">
              <w:r w:rsidR="2B04B238">
                <w:rPr>
                  <w:rStyle w:val="Hyperlink"/>
                  <w:rFonts w:ascii="Times New Roman" w:hAnsi="Times New Roman"/>
                  <w:color w:val="000000"/>
                  <w:sz w:val="24"/>
                  <w:szCs w:val="24"/>
                  <w:u w:val="none"/>
                  <w:lang w:val="en-IE"/>
                </w:rPr>
                <w:t>Transport Poverty Recommendation</w:t>
              </w:r>
            </w:hyperlink>
            <w:r w:rsidR="0040615A">
              <w:rPr>
                <w:rStyle w:val="FootnoteReference"/>
              </w:rPr>
              <w:footnoteReference w:id="6"/>
            </w:r>
            <w:r w:rsidR="2B04B238">
              <w:rPr>
                <w:rFonts w:ascii="Times New Roman" w:hAnsi="Times New Roman"/>
                <w:color w:val="000000"/>
                <w:sz w:val="24"/>
                <w:szCs w:val="24"/>
                <w:lang w:val="en-IE"/>
              </w:rPr>
              <w:t xml:space="preserve">. </w:t>
            </w:r>
            <w:r w:rsidR="2B04B238">
              <w:rPr>
                <w:rFonts w:ascii="Times New Roman" w:hAnsi="Times New Roman"/>
                <w:color w:val="000000"/>
                <w:sz w:val="24"/>
                <w:szCs w:val="24"/>
              </w:rPr>
              <w:t>The first and only EU-wide definition of transport poverty has been included in the Social Climate Fund Regulation</w:t>
            </w:r>
            <w:r w:rsidR="0040615A">
              <w:rPr>
                <w:rStyle w:val="FootnoteReference"/>
                <w:rFonts w:ascii="Times New Roman" w:hAnsi="Times New Roman"/>
                <w:color w:val="000000"/>
                <w:sz w:val="24"/>
                <w:szCs w:val="24"/>
              </w:rPr>
              <w:footnoteReference w:id="7"/>
            </w:r>
            <w:r w:rsidR="2B04B238">
              <w:rPr>
                <w:rFonts w:ascii="Times New Roman" w:hAnsi="Times New Roman"/>
                <w:color w:val="000000"/>
                <w:sz w:val="24"/>
                <w:szCs w:val="24"/>
              </w:rPr>
              <w:t>. Preventing and mitigating transport poverty is one of the priorities of the Trans-European Network.</w:t>
            </w:r>
          </w:p>
          <w:p w14:paraId="0B29187D" w14:textId="59A7B0FD" w:rsidR="0033670D" w:rsidRDefault="38811ECB" w:rsidP="2AF9322C">
            <w:pPr>
              <w:spacing w:before="120"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Through the Connecting Europe Facility, the EU has ensured access to high quality transport services across the Trans-European Network. Furthermore, EU Cohesion policy funds and</w:t>
            </w:r>
            <w:r w:rsidR="00482080">
              <w:rPr>
                <w:rFonts w:ascii="Times New Roman" w:eastAsia="Times New Roman" w:hAnsi="Times New Roman"/>
                <w:strike/>
                <w:color w:val="000000"/>
                <w:sz w:val="24"/>
                <w:szCs w:val="24"/>
              </w:rPr>
              <w:t xml:space="preserve"> </w:t>
            </w:r>
            <w:r>
              <w:rPr>
                <w:rFonts w:ascii="Times New Roman" w:eastAsia="Times New Roman" w:hAnsi="Times New Roman"/>
                <w:color w:val="000000"/>
                <w:sz w:val="24"/>
                <w:szCs w:val="24"/>
              </w:rPr>
              <w:t xml:space="preserve">the Recovery and Resilience Facility, </w:t>
            </w:r>
            <w:r w:rsidR="0033670D">
              <w:rPr>
                <w:rFonts w:ascii="Times New Roman" w:eastAsia="Times New Roman" w:hAnsi="Times New Roman"/>
                <w:color w:val="000000"/>
                <w:sz w:val="24"/>
                <w:szCs w:val="24"/>
              </w:rPr>
              <w:t xml:space="preserve">as well as </w:t>
            </w:r>
            <w:r w:rsidR="00A35D9A">
              <w:rPr>
                <w:rFonts w:ascii="Times New Roman" w:eastAsia="Times New Roman" w:hAnsi="Times New Roman"/>
                <w:color w:val="000000"/>
                <w:sz w:val="24"/>
                <w:szCs w:val="24"/>
              </w:rPr>
              <w:t>instruments</w:t>
            </w:r>
            <w:r w:rsidR="0033670D">
              <w:rPr>
                <w:rFonts w:ascii="Times New Roman" w:eastAsia="Times New Roman" w:hAnsi="Times New Roman"/>
                <w:color w:val="000000"/>
                <w:sz w:val="24"/>
                <w:szCs w:val="24"/>
              </w:rPr>
              <w:t xml:space="preserve"> such as the Social Climate Fund, the </w:t>
            </w:r>
            <w:proofErr w:type="spellStart"/>
            <w:r w:rsidR="0033670D">
              <w:rPr>
                <w:rFonts w:ascii="Times New Roman" w:eastAsia="Times New Roman" w:hAnsi="Times New Roman"/>
                <w:color w:val="000000"/>
                <w:sz w:val="24"/>
                <w:szCs w:val="24"/>
              </w:rPr>
              <w:t>InvestEU</w:t>
            </w:r>
            <w:proofErr w:type="spellEnd"/>
            <w:r w:rsidR="0033670D">
              <w:rPr>
                <w:rFonts w:ascii="Times New Roman" w:eastAsia="Times New Roman" w:hAnsi="Times New Roman"/>
                <w:color w:val="000000"/>
                <w:sz w:val="24"/>
                <w:szCs w:val="24"/>
              </w:rPr>
              <w:t xml:space="preserve"> programme and the Connecting Europe Facility </w:t>
            </w:r>
            <w:r>
              <w:rPr>
                <w:rFonts w:ascii="Times New Roman" w:eastAsia="Times New Roman" w:hAnsi="Times New Roman"/>
                <w:color w:val="000000"/>
                <w:sz w:val="24"/>
                <w:szCs w:val="24"/>
              </w:rPr>
              <w:t xml:space="preserve">have contributed to improving the affordability, availability and accessibility of transport. The Social Climate Fund is </w:t>
            </w:r>
            <w:r w:rsidR="001B554D">
              <w:rPr>
                <w:rFonts w:ascii="Times New Roman" w:eastAsia="Times New Roman" w:hAnsi="Times New Roman"/>
                <w:color w:val="000000"/>
                <w:sz w:val="24"/>
                <w:szCs w:val="24"/>
              </w:rPr>
              <w:t xml:space="preserve">established to </w:t>
            </w:r>
            <w:r w:rsidR="00BD2F11">
              <w:rPr>
                <w:rFonts w:ascii="Times New Roman" w:eastAsia="Times New Roman" w:hAnsi="Times New Roman"/>
                <w:color w:val="000000"/>
                <w:sz w:val="24"/>
                <w:szCs w:val="24"/>
              </w:rPr>
              <w:t>address</w:t>
            </w:r>
            <w:r w:rsidR="001B554D">
              <w:rPr>
                <w:rFonts w:ascii="Times New Roman" w:eastAsia="Times New Roman" w:hAnsi="Times New Roman"/>
                <w:color w:val="000000"/>
                <w:sz w:val="24"/>
                <w:szCs w:val="24"/>
              </w:rPr>
              <w:t xml:space="preserve"> the social impacts from creating carbon pricing for the sectors of buildings and road transports. It is </w:t>
            </w:r>
            <w:r>
              <w:rPr>
                <w:rFonts w:ascii="Times New Roman" w:eastAsia="Times New Roman" w:hAnsi="Times New Roman"/>
                <w:color w:val="000000"/>
                <w:sz w:val="24"/>
                <w:szCs w:val="24"/>
              </w:rPr>
              <w:t>specifically targeted towards the most vulnerable transport users</w:t>
            </w:r>
            <w:r w:rsidR="00482080">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including the younger and older age groups highlighted by the EESC. This fund will be deployed to tackle transport and energy poverty over the next 6</w:t>
            </w:r>
            <w:r w:rsidR="003D3AA3">
              <w:rPr>
                <w:rFonts w:ascii="Times New Roman" w:eastAsia="Times New Roman" w:hAnsi="Times New Roman"/>
                <w:color w:val="000000"/>
                <w:sz w:val="24"/>
                <w:szCs w:val="24"/>
              </w:rPr>
              <w:t> </w:t>
            </w:r>
            <w:r>
              <w:rPr>
                <w:rFonts w:ascii="Times New Roman" w:eastAsia="Times New Roman" w:hAnsi="Times New Roman"/>
                <w:color w:val="000000"/>
                <w:sz w:val="24"/>
                <w:szCs w:val="24"/>
              </w:rPr>
              <w:t>years</w:t>
            </w:r>
            <w:r w:rsidR="00482080">
              <w:rPr>
                <w:rFonts w:ascii="Times New Roman" w:eastAsia="Times New Roman" w:hAnsi="Times New Roman"/>
                <w:color w:val="000000"/>
                <w:sz w:val="24"/>
                <w:szCs w:val="24"/>
              </w:rPr>
              <w:t>. T</w:t>
            </w:r>
            <w:r>
              <w:rPr>
                <w:rFonts w:ascii="Times New Roman" w:eastAsia="Times New Roman" w:hAnsi="Times New Roman"/>
                <w:color w:val="000000"/>
                <w:sz w:val="24"/>
                <w:szCs w:val="24"/>
              </w:rPr>
              <w:t>he Commission has been working with Member States to help them develop investments which truly target those most affected by high fuel prices.</w:t>
            </w:r>
          </w:p>
          <w:p w14:paraId="30D14481" w14:textId="30ABE8EF" w:rsidR="0049246C" w:rsidRDefault="001B554D" w:rsidP="2AF9322C">
            <w:pPr>
              <w:spacing w:before="120" w:after="120"/>
              <w:jc w:val="both"/>
              <w:rPr>
                <w:rFonts w:ascii="Times New Roman" w:hAnsi="Times New Roman"/>
                <w:color w:val="000000"/>
                <w:sz w:val="24"/>
                <w:szCs w:val="24"/>
                <w:lang w:val="en-IE"/>
              </w:rPr>
            </w:pPr>
            <w:r>
              <w:rPr>
                <w:rFonts w:ascii="Times New Roman" w:hAnsi="Times New Roman"/>
                <w:bCs/>
                <w:color w:val="000000"/>
                <w:sz w:val="24"/>
                <w:szCs w:val="24"/>
              </w:rPr>
              <w:t>With regards</w:t>
            </w:r>
            <w:r w:rsidR="0033670D">
              <w:rPr>
                <w:rFonts w:ascii="Times New Roman" w:hAnsi="Times New Roman"/>
                <w:bCs/>
                <w:color w:val="000000"/>
                <w:sz w:val="24"/>
                <w:szCs w:val="24"/>
              </w:rPr>
              <w:t xml:space="preserve"> to</w:t>
            </w:r>
            <w:r>
              <w:rPr>
                <w:rFonts w:ascii="Times New Roman" w:hAnsi="Times New Roman"/>
                <w:bCs/>
                <w:color w:val="000000"/>
                <w:sz w:val="24"/>
                <w:szCs w:val="24"/>
              </w:rPr>
              <w:t xml:space="preserve"> </w:t>
            </w:r>
            <w:r>
              <w:rPr>
                <w:rFonts w:ascii="Times New Roman" w:hAnsi="Times New Roman"/>
                <w:bCs/>
                <w:color w:val="000000"/>
                <w:sz w:val="24"/>
                <w:szCs w:val="24"/>
                <w:u w:val="single"/>
              </w:rPr>
              <w:t>point 2.4</w:t>
            </w:r>
            <w:r>
              <w:rPr>
                <w:rFonts w:ascii="Times New Roman" w:hAnsi="Times New Roman"/>
                <w:bCs/>
                <w:color w:val="000000"/>
                <w:sz w:val="24"/>
                <w:szCs w:val="24"/>
              </w:rPr>
              <w:t>, the Commission acknowledges that the price increases from this new carbon pricing must be cushioned by additional measures in the Member States for vulnerable households and companies, as well as through the social climate plans. The Commission also agrees that the</w:t>
            </w:r>
            <w:r w:rsidR="00BD2F11">
              <w:rPr>
                <w:rFonts w:ascii="Times New Roman" w:hAnsi="Times New Roman"/>
                <w:bCs/>
                <w:color w:val="000000"/>
                <w:sz w:val="24"/>
                <w:szCs w:val="24"/>
              </w:rPr>
              <w:t xml:space="preserve">se plans </w:t>
            </w:r>
            <w:r>
              <w:rPr>
                <w:rFonts w:ascii="Times New Roman" w:hAnsi="Times New Roman"/>
                <w:bCs/>
                <w:color w:val="000000"/>
                <w:sz w:val="24"/>
                <w:szCs w:val="24"/>
              </w:rPr>
              <w:t xml:space="preserve">should be submitted quickly, </w:t>
            </w:r>
            <w:r w:rsidR="00BD2F11">
              <w:rPr>
                <w:rFonts w:ascii="Times New Roman" w:hAnsi="Times New Roman"/>
                <w:bCs/>
                <w:color w:val="000000"/>
                <w:sz w:val="24"/>
                <w:szCs w:val="24"/>
              </w:rPr>
              <w:t xml:space="preserve">closely monitored and </w:t>
            </w:r>
            <w:r>
              <w:rPr>
                <w:rFonts w:ascii="Times New Roman" w:hAnsi="Times New Roman"/>
                <w:bCs/>
                <w:color w:val="000000"/>
                <w:sz w:val="24"/>
                <w:szCs w:val="24"/>
              </w:rPr>
              <w:t xml:space="preserve">evaluated, as mentioned in </w:t>
            </w:r>
            <w:r>
              <w:rPr>
                <w:rFonts w:ascii="Times New Roman" w:hAnsi="Times New Roman"/>
                <w:bCs/>
                <w:color w:val="000000"/>
                <w:sz w:val="24"/>
                <w:szCs w:val="24"/>
                <w:u w:val="single"/>
              </w:rPr>
              <w:t>points 2.4. and 4.8</w:t>
            </w:r>
            <w:r>
              <w:rPr>
                <w:rFonts w:ascii="Times New Roman" w:hAnsi="Times New Roman"/>
                <w:bCs/>
                <w:color w:val="000000"/>
                <w:sz w:val="24"/>
                <w:szCs w:val="24"/>
              </w:rPr>
              <w:t xml:space="preserve">. To that end, </w:t>
            </w:r>
            <w:r>
              <w:rPr>
                <w:rFonts w:ascii="Times New Roman" w:eastAsia="Times New Roman" w:hAnsi="Times New Roman"/>
                <w:color w:val="000000"/>
                <w:sz w:val="24"/>
                <w:szCs w:val="24"/>
              </w:rPr>
              <w:t>t</w:t>
            </w:r>
            <w:r w:rsidR="38811ECB">
              <w:rPr>
                <w:rFonts w:ascii="Times New Roman" w:eastAsia="Times New Roman" w:hAnsi="Times New Roman"/>
                <w:color w:val="000000"/>
                <w:sz w:val="24"/>
                <w:szCs w:val="24"/>
              </w:rPr>
              <w:t>he Commission has also</w:t>
            </w:r>
            <w:r w:rsidR="2B04B238">
              <w:rPr>
                <w:rFonts w:ascii="Times New Roman" w:hAnsi="Times New Roman"/>
                <w:color w:val="000000"/>
                <w:sz w:val="24"/>
                <w:szCs w:val="24"/>
              </w:rPr>
              <w:t xml:space="preserve"> facilitated the exchange of good practices among Member States on cost-effective measures and investments to be included in the social climate plans, and on conducting public consultations. It has published guidance documents related to implementing the </w:t>
            </w:r>
            <w:r w:rsidR="009402FA" w:rsidRPr="009402FA">
              <w:rPr>
                <w:rFonts w:ascii="Times New Roman" w:hAnsi="Times New Roman"/>
                <w:color w:val="000000"/>
                <w:sz w:val="24"/>
                <w:szCs w:val="24"/>
              </w:rPr>
              <w:t>Social Climate Fund</w:t>
            </w:r>
            <w:r w:rsidR="0040615A">
              <w:rPr>
                <w:rFonts w:ascii="Times New Roman" w:hAnsi="Times New Roman"/>
                <w:color w:val="000000"/>
                <w:sz w:val="24"/>
                <w:szCs w:val="24"/>
              </w:rPr>
              <w:t> </w:t>
            </w:r>
            <w:r w:rsidR="009402FA">
              <w:rPr>
                <w:rFonts w:ascii="Times New Roman" w:hAnsi="Times New Roman"/>
                <w:color w:val="000000"/>
                <w:sz w:val="24"/>
                <w:szCs w:val="24"/>
              </w:rPr>
              <w:t>(</w:t>
            </w:r>
            <w:r w:rsidR="2B04B238">
              <w:rPr>
                <w:rFonts w:ascii="Times New Roman" w:hAnsi="Times New Roman"/>
                <w:color w:val="000000"/>
                <w:sz w:val="24"/>
                <w:szCs w:val="24"/>
              </w:rPr>
              <w:t>SCF</w:t>
            </w:r>
            <w:r w:rsidR="009402FA">
              <w:rPr>
                <w:rFonts w:ascii="Times New Roman" w:hAnsi="Times New Roman"/>
                <w:color w:val="000000"/>
                <w:sz w:val="24"/>
                <w:szCs w:val="24"/>
              </w:rPr>
              <w:t>)</w:t>
            </w:r>
            <w:r w:rsidR="2B04B238">
              <w:rPr>
                <w:rFonts w:ascii="Times New Roman" w:hAnsi="Times New Roman"/>
                <w:color w:val="000000"/>
                <w:sz w:val="24"/>
                <w:szCs w:val="24"/>
              </w:rPr>
              <w:t xml:space="preserve">, as well as </w:t>
            </w:r>
            <w:hyperlink r:id="rId12" w:history="1">
              <w:r w:rsidR="2B04B238">
                <w:rPr>
                  <w:rStyle w:val="Hyperlink"/>
                  <w:rFonts w:ascii="Times New Roman" w:hAnsi="Times New Roman"/>
                  <w:color w:val="000000"/>
                  <w:sz w:val="24"/>
                  <w:szCs w:val="24"/>
                  <w:u w:val="none"/>
                </w:rPr>
                <w:t>a set of recommendations with good practices for the SCF</w:t>
              </w:r>
            </w:hyperlink>
            <w:r w:rsidR="0040615A">
              <w:rPr>
                <w:rFonts w:ascii="Times New Roman" w:hAnsi="Times New Roman"/>
                <w:color w:val="000000"/>
                <w:sz w:val="24"/>
                <w:szCs w:val="24"/>
              </w:rPr>
              <w:t xml:space="preserve"> </w:t>
            </w:r>
            <w:r w:rsidR="2B04B238">
              <w:rPr>
                <w:rFonts w:ascii="Times New Roman" w:hAnsi="Times New Roman"/>
                <w:color w:val="000000"/>
                <w:sz w:val="24"/>
                <w:szCs w:val="24"/>
              </w:rPr>
              <w:t>as formulated by the Subgroup on Public Transport and Shared Mobility of the Expert Group on Urban Mobility</w:t>
            </w:r>
            <w:r w:rsidR="00EF4856">
              <w:rPr>
                <w:rStyle w:val="FootnoteReference"/>
                <w:rFonts w:ascii="Times New Roman" w:hAnsi="Times New Roman"/>
                <w:color w:val="000000"/>
                <w:sz w:val="24"/>
                <w:szCs w:val="24"/>
              </w:rPr>
              <w:footnoteReference w:id="8"/>
            </w:r>
            <w:r w:rsidR="00EF4856">
              <w:rPr>
                <w:rFonts w:ascii="Times New Roman" w:hAnsi="Times New Roman"/>
                <w:color w:val="000000"/>
                <w:sz w:val="24"/>
                <w:szCs w:val="24"/>
              </w:rPr>
              <w:t>.</w:t>
            </w:r>
            <w:r w:rsidR="00CD3711">
              <w:rPr>
                <w:rFonts w:ascii="Times New Roman" w:hAnsi="Times New Roman"/>
                <w:color w:val="000000"/>
                <w:sz w:val="24"/>
                <w:szCs w:val="24"/>
              </w:rPr>
              <w:t xml:space="preserve"> The Commission is in regular contact with all 27 Member States to discuss the preparation of their plans and provide guidance. The Commission has established a robust system for the assessment of the plans and for the monitoring of </w:t>
            </w:r>
            <w:r>
              <w:rPr>
                <w:rFonts w:ascii="Times New Roman" w:hAnsi="Times New Roman"/>
                <w:color w:val="000000"/>
                <w:sz w:val="24"/>
                <w:szCs w:val="24"/>
              </w:rPr>
              <w:t>its implementation.</w:t>
            </w:r>
          </w:p>
        </w:tc>
      </w:tr>
    </w:tbl>
    <w:p w14:paraId="6AF07B14" w14:textId="26AEAB66" w:rsidR="004F6117" w:rsidRPr="00351664" w:rsidRDefault="004F6117" w:rsidP="009D2368">
      <w:pPr>
        <w:spacing w:after="0" w:line="240" w:lineRule="auto"/>
        <w:ind w:left="-426"/>
        <w:rPr>
          <w:rFonts w:ascii="Times New Roman" w:hAnsi="Times New Roman"/>
          <w:bCs/>
          <w:sz w:val="16"/>
          <w:szCs w:val="16"/>
        </w:rPr>
      </w:pPr>
    </w:p>
    <w:sectPr w:rsidR="004F6117" w:rsidRPr="003516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8A32" w14:textId="77777777" w:rsidR="00B121F7" w:rsidRDefault="00B121F7" w:rsidP="00FF63EA">
      <w:pPr>
        <w:spacing w:after="0" w:line="240" w:lineRule="auto"/>
      </w:pPr>
      <w:r>
        <w:separator/>
      </w:r>
    </w:p>
  </w:endnote>
  <w:endnote w:type="continuationSeparator" w:id="0">
    <w:p w14:paraId="1764E69A" w14:textId="77777777" w:rsidR="00B121F7" w:rsidRDefault="00B121F7" w:rsidP="00FF63EA">
      <w:pPr>
        <w:spacing w:after="0" w:line="240" w:lineRule="auto"/>
      </w:pPr>
      <w:r>
        <w:continuationSeparator/>
      </w:r>
    </w:p>
  </w:endnote>
  <w:endnote w:type="continuationNotice" w:id="1">
    <w:p w14:paraId="3FDD3D2E" w14:textId="77777777" w:rsidR="00B121F7" w:rsidRDefault="00B12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C751" w14:textId="77777777" w:rsidR="00B121F7" w:rsidRDefault="00B121F7" w:rsidP="00FF63EA">
      <w:pPr>
        <w:spacing w:after="0" w:line="240" w:lineRule="auto"/>
      </w:pPr>
      <w:r>
        <w:separator/>
      </w:r>
    </w:p>
  </w:footnote>
  <w:footnote w:type="continuationSeparator" w:id="0">
    <w:p w14:paraId="06402E84" w14:textId="77777777" w:rsidR="00B121F7" w:rsidRDefault="00B121F7" w:rsidP="00FF63EA">
      <w:pPr>
        <w:spacing w:after="0" w:line="240" w:lineRule="auto"/>
      </w:pPr>
      <w:r>
        <w:continuationSeparator/>
      </w:r>
    </w:p>
  </w:footnote>
  <w:footnote w:type="continuationNotice" w:id="1">
    <w:p w14:paraId="66F8D56E" w14:textId="77777777" w:rsidR="00B121F7" w:rsidRDefault="00B121F7">
      <w:pPr>
        <w:spacing w:after="0" w:line="240" w:lineRule="auto"/>
      </w:pPr>
    </w:p>
  </w:footnote>
  <w:footnote w:id="2">
    <w:p w14:paraId="445DED0F" w14:textId="29FAA05E" w:rsidR="00AB4934" w:rsidRPr="00541EA3" w:rsidRDefault="00AB4934" w:rsidP="00541EA3">
      <w:pPr>
        <w:pStyle w:val="FootnoteText"/>
        <w:widowControl w:val="0"/>
        <w:ind w:left="-142" w:right="-284" w:hanging="284"/>
        <w:jc w:val="both"/>
        <w:rPr>
          <w:rFonts w:ascii="Times New Roman" w:hAnsi="Times New Roman" w:cs="Times New Roman"/>
        </w:rPr>
      </w:pPr>
      <w:r w:rsidRPr="00541EA3">
        <w:rPr>
          <w:rStyle w:val="FootnoteReference"/>
          <w:rFonts w:ascii="Times New Roman" w:hAnsi="Times New Roman" w:cs="Times New Roman"/>
        </w:rPr>
        <w:footnoteRef/>
      </w:r>
      <w:r w:rsidRPr="00541EA3">
        <w:rPr>
          <w:rFonts w:ascii="Times New Roman" w:hAnsi="Times New Roman" w:cs="Times New Roman"/>
        </w:rPr>
        <w:t xml:space="preserve"> </w:t>
      </w:r>
      <w:r w:rsidR="009402FA" w:rsidRPr="00541EA3">
        <w:rPr>
          <w:rFonts w:ascii="Times New Roman" w:hAnsi="Times New Roman" w:cs="Times New Roman"/>
        </w:rPr>
        <w:tab/>
      </w:r>
      <w:r w:rsidRPr="00541EA3">
        <w:rPr>
          <w:rFonts w:ascii="Times New Roman" w:hAnsi="Times New Roman" w:cs="Times New Roman"/>
        </w:rPr>
        <w:t>Commission Notice on a guidance on anticipatory investments for developing forward-looking electricity networks, 2</w:t>
      </w:r>
      <w:r w:rsidR="00541EA3">
        <w:rPr>
          <w:rFonts w:ascii="Times New Roman" w:hAnsi="Times New Roman" w:cs="Times New Roman"/>
        </w:rPr>
        <w:t> </w:t>
      </w:r>
      <w:r w:rsidRPr="00541EA3">
        <w:rPr>
          <w:rFonts w:ascii="Times New Roman" w:hAnsi="Times New Roman" w:cs="Times New Roman"/>
        </w:rPr>
        <w:t>June 2025, C(2025) 3291 final</w:t>
      </w:r>
      <w:r w:rsidR="008F3A9A" w:rsidRPr="00541EA3">
        <w:rPr>
          <w:rFonts w:ascii="Times New Roman" w:hAnsi="Times New Roman" w:cs="Times New Roman"/>
        </w:rPr>
        <w:t xml:space="preserve"> (</w:t>
      </w:r>
      <w:hyperlink r:id="rId1" w:tooltip="Gives access to this document through its ELI URI." w:history="1">
        <w:r w:rsidR="008F3A9A" w:rsidRPr="00541EA3">
          <w:rPr>
            <w:rStyle w:val="Hyperlink"/>
            <w:rFonts w:ascii="Times New Roman" w:hAnsi="Times New Roman" w:cs="Times New Roman"/>
            <w:lang w:val="en-GB"/>
          </w:rPr>
          <w:t>http://data.europa.eu/eli/C/2025/3179/oj</w:t>
        </w:r>
      </w:hyperlink>
      <w:r w:rsidR="008F3A9A" w:rsidRPr="00541EA3">
        <w:rPr>
          <w:rFonts w:ascii="Times New Roman" w:hAnsi="Times New Roman" w:cs="Times New Roman"/>
        </w:rPr>
        <w:t>)</w:t>
      </w:r>
      <w:r w:rsidRPr="00541EA3">
        <w:rPr>
          <w:rFonts w:ascii="Times New Roman" w:hAnsi="Times New Roman" w:cs="Times New Roman"/>
        </w:rPr>
        <w:t>.</w:t>
      </w:r>
    </w:p>
  </w:footnote>
  <w:footnote w:id="3">
    <w:p w14:paraId="0214FEC9" w14:textId="051B99E7" w:rsidR="00E56834" w:rsidRPr="00541EA3" w:rsidRDefault="00E56834" w:rsidP="00541EA3">
      <w:pPr>
        <w:pStyle w:val="FootnoteText"/>
        <w:widowControl w:val="0"/>
        <w:ind w:left="-142" w:right="-567" w:hanging="284"/>
        <w:jc w:val="both"/>
        <w:rPr>
          <w:rFonts w:ascii="Times New Roman" w:hAnsi="Times New Roman" w:cs="Times New Roman"/>
        </w:rPr>
      </w:pPr>
      <w:r w:rsidRPr="00541EA3">
        <w:rPr>
          <w:rStyle w:val="FootnoteReference"/>
          <w:rFonts w:ascii="Times New Roman" w:hAnsi="Times New Roman" w:cs="Times New Roman"/>
        </w:rPr>
        <w:footnoteRef/>
      </w:r>
      <w:r w:rsidRPr="00541EA3">
        <w:rPr>
          <w:rFonts w:ascii="Times New Roman" w:hAnsi="Times New Roman" w:cs="Times New Roman"/>
        </w:rPr>
        <w:t xml:space="preserve"> </w:t>
      </w:r>
      <w:r w:rsidR="0029325E" w:rsidRPr="00541EA3">
        <w:rPr>
          <w:rFonts w:ascii="Times New Roman" w:hAnsi="Times New Roman" w:cs="Times New Roman"/>
        </w:rPr>
        <w:tab/>
      </w:r>
      <w:hyperlink r:id="rId2" w:history="1">
        <w:r w:rsidR="0029325E" w:rsidRPr="00541EA3">
          <w:rPr>
            <w:rStyle w:val="Hyperlink"/>
            <w:rFonts w:ascii="Times New Roman" w:hAnsi="Times New Roman" w:cs="Times New Roman"/>
          </w:rPr>
          <w:t>https://commission.europa.eu/news-and-media/news/roadmap-fully-end-eu-dependency-russian-energy-2025-05-06_en</w:t>
        </w:r>
      </w:hyperlink>
      <w:r w:rsidR="0029325E">
        <w:rPr>
          <w:rFonts w:ascii="Times New Roman" w:hAnsi="Times New Roman" w:cs="Times New Roman"/>
        </w:rPr>
        <w:t>.</w:t>
      </w:r>
    </w:p>
  </w:footnote>
  <w:footnote w:id="4">
    <w:p w14:paraId="603F749F" w14:textId="2A4B5032" w:rsidR="0040615A" w:rsidRPr="0029325E" w:rsidRDefault="00943BD8" w:rsidP="00541EA3">
      <w:pPr>
        <w:pStyle w:val="FootnoteText"/>
        <w:widowControl w:val="0"/>
        <w:ind w:left="-142" w:right="-567" w:hanging="284"/>
        <w:jc w:val="both"/>
        <w:rPr>
          <w:rFonts w:ascii="Times New Roman" w:hAnsi="Times New Roman" w:cs="Times New Roman"/>
        </w:rPr>
      </w:pPr>
      <w:r w:rsidRPr="00541EA3">
        <w:rPr>
          <w:rStyle w:val="FootnoteReference"/>
          <w:rFonts w:ascii="Times New Roman" w:hAnsi="Times New Roman" w:cs="Times New Roman"/>
        </w:rPr>
        <w:footnoteRef/>
      </w:r>
      <w:r w:rsidRPr="00541EA3">
        <w:rPr>
          <w:rFonts w:ascii="Times New Roman" w:hAnsi="Times New Roman" w:cs="Times New Roman"/>
        </w:rPr>
        <w:t xml:space="preserve"> </w:t>
      </w:r>
      <w:r w:rsidR="0029325E">
        <w:rPr>
          <w:rFonts w:ascii="Times New Roman" w:hAnsi="Times New Roman" w:cs="Times New Roman"/>
        </w:rPr>
        <w:tab/>
      </w:r>
      <w:r w:rsidR="0029325E" w:rsidRPr="00600698">
        <w:rPr>
          <w:rFonts w:ascii="Times New Roman" w:hAnsi="Times New Roman" w:cs="Times New Roman"/>
        </w:rPr>
        <w:t>Regulation (EU) 2025/1914 of the European Parliament and of the Council of 18 September 2025 amending Regulations (EU) 2021/1058 and (EU) 2021/1056 as regards specific measures to address strategic challenges in the context of the mid-term review</w:t>
      </w:r>
      <w:r w:rsidR="0029325E">
        <w:rPr>
          <w:rFonts w:ascii="Times New Roman" w:hAnsi="Times New Roman" w:cs="Times New Roman"/>
        </w:rPr>
        <w:t xml:space="preserve"> </w:t>
      </w:r>
      <w:r w:rsidR="0029325E">
        <w:rPr>
          <w:rFonts w:ascii="Times New Roman" w:hAnsi="Times New Roman" w:cs="Times New Roman"/>
          <w:lang w:val="en-GB"/>
        </w:rPr>
        <w:t>(</w:t>
      </w:r>
      <w:hyperlink r:id="rId3" w:history="1">
        <w:r w:rsidR="0029325E" w:rsidRPr="00922513">
          <w:rPr>
            <w:rStyle w:val="Hyperlink"/>
            <w:rFonts w:ascii="Times New Roman" w:hAnsi="Times New Roman" w:cs="Times New Roman"/>
            <w:lang w:val="en-GB"/>
          </w:rPr>
          <w:t>https://eur-lex.europa.eu/legal-content/EN/TXT/?uri=celex:32025R1914</w:t>
        </w:r>
      </w:hyperlink>
      <w:r w:rsidR="0029325E">
        <w:rPr>
          <w:rFonts w:ascii="Times New Roman" w:hAnsi="Times New Roman" w:cs="Times New Roman"/>
          <w:lang w:val="en-GB"/>
        </w:rPr>
        <w:t>).</w:t>
      </w:r>
    </w:p>
  </w:footnote>
  <w:footnote w:id="5">
    <w:p w14:paraId="1E75F0CE" w14:textId="5ED62F1D" w:rsidR="00943BD8" w:rsidRPr="00541EA3" w:rsidRDefault="00943BD8" w:rsidP="00541EA3">
      <w:pPr>
        <w:pStyle w:val="FootnoteText"/>
        <w:widowControl w:val="0"/>
        <w:ind w:left="-142" w:right="-567" w:hanging="284"/>
        <w:jc w:val="both"/>
        <w:rPr>
          <w:rFonts w:ascii="Times New Roman" w:hAnsi="Times New Roman" w:cs="Times New Roman"/>
        </w:rPr>
      </w:pPr>
      <w:r w:rsidRPr="00541EA3">
        <w:rPr>
          <w:rStyle w:val="FootnoteReference"/>
          <w:rFonts w:ascii="Times New Roman" w:hAnsi="Times New Roman" w:cs="Times New Roman"/>
        </w:rPr>
        <w:footnoteRef/>
      </w:r>
      <w:r w:rsidRPr="00541EA3">
        <w:rPr>
          <w:rFonts w:ascii="Times New Roman" w:hAnsi="Times New Roman" w:cs="Times New Roman"/>
        </w:rPr>
        <w:t xml:space="preserve"> </w:t>
      </w:r>
      <w:r w:rsidR="0029325E" w:rsidRPr="00541EA3">
        <w:rPr>
          <w:rFonts w:ascii="Times New Roman" w:hAnsi="Times New Roman" w:cs="Times New Roman"/>
        </w:rPr>
        <w:tab/>
      </w:r>
      <w:r w:rsidR="0063529F" w:rsidRPr="0063529F">
        <w:rPr>
          <w:rFonts w:ascii="Times New Roman" w:hAnsi="Times New Roman" w:cs="Times New Roman"/>
          <w:lang w:val="en-GB"/>
        </w:rPr>
        <w:t>SWD(2025) 78 final</w:t>
      </w:r>
      <w:r w:rsidR="0029325E" w:rsidRPr="0063529F">
        <w:rPr>
          <w:rFonts w:ascii="Times New Roman" w:hAnsi="Times New Roman" w:cs="Times New Roman"/>
        </w:rPr>
        <w:t xml:space="preserve"> </w:t>
      </w:r>
      <w:r w:rsidR="0063529F">
        <w:rPr>
          <w:rFonts w:ascii="Times New Roman" w:hAnsi="Times New Roman" w:cs="Times New Roman"/>
        </w:rPr>
        <w:t>(</w:t>
      </w:r>
      <w:hyperlink r:id="rId4" w:history="1">
        <w:r w:rsidR="0063529F" w:rsidRPr="0063529F">
          <w:rPr>
            <w:rStyle w:val="Hyperlink"/>
            <w:rFonts w:ascii="Times New Roman" w:hAnsi="Times New Roman" w:cs="Times New Roman"/>
            <w:lang w:val="en-GB"/>
          </w:rPr>
          <w:t>swd-affordable-housing-2025_en.pdf</w:t>
        </w:r>
      </w:hyperlink>
      <w:r w:rsidR="0063529F">
        <w:rPr>
          <w:rFonts w:ascii="Times New Roman" w:hAnsi="Times New Roman" w:cs="Times New Roman"/>
        </w:rPr>
        <w:t>)</w:t>
      </w:r>
      <w:r w:rsidR="0029325E" w:rsidRPr="00541EA3">
        <w:rPr>
          <w:rFonts w:ascii="Times New Roman" w:hAnsi="Times New Roman" w:cs="Times New Roman"/>
        </w:rPr>
        <w:t>.</w:t>
      </w:r>
    </w:p>
  </w:footnote>
  <w:footnote w:id="6">
    <w:p w14:paraId="4D502A04" w14:textId="447DE0E5" w:rsidR="0040615A" w:rsidRPr="00F53BB4" w:rsidRDefault="0040615A" w:rsidP="00541EA3">
      <w:pPr>
        <w:pStyle w:val="FootnoteText"/>
        <w:widowControl w:val="0"/>
        <w:ind w:left="-142" w:right="-567" w:hanging="284"/>
        <w:jc w:val="both"/>
        <w:rPr>
          <w:rFonts w:ascii="Times New Roman" w:hAnsi="Times New Roman" w:cs="Times New Roman"/>
        </w:rPr>
      </w:pPr>
      <w:r w:rsidRPr="00F53BB4">
        <w:rPr>
          <w:rStyle w:val="FootnoteReference"/>
          <w:rFonts w:ascii="Times New Roman" w:hAnsi="Times New Roman" w:cs="Times New Roman"/>
        </w:rPr>
        <w:footnoteRef/>
      </w:r>
      <w:r w:rsidRPr="00F53BB4">
        <w:rPr>
          <w:rFonts w:ascii="Times New Roman" w:hAnsi="Times New Roman" w:cs="Times New Roman"/>
        </w:rPr>
        <w:t xml:space="preserve"> </w:t>
      </w:r>
      <w:r w:rsidRPr="00F53BB4">
        <w:rPr>
          <w:rFonts w:ascii="Times New Roman" w:hAnsi="Times New Roman" w:cs="Times New Roman"/>
        </w:rPr>
        <w:tab/>
        <w:t>Commission Recommendation (EU) 2025/1021 of 22 May 2025 on transport poverty: ensuring affordable, accessible and fair mobility; C/2025/3068 (</w:t>
      </w:r>
      <w:hyperlink r:id="rId5" w:history="1">
        <w:r w:rsidR="0063529F" w:rsidRPr="0063529F">
          <w:rPr>
            <w:rStyle w:val="Hyperlink"/>
            <w:rFonts w:ascii="Times New Roman" w:hAnsi="Times New Roman" w:cs="Times New Roman"/>
            <w:lang w:val="en-GB"/>
          </w:rPr>
          <w:t>EUR-Lex - 32025H1021 - EN - EUR-Lex</w:t>
        </w:r>
      </w:hyperlink>
      <w:r w:rsidRPr="00F53BB4">
        <w:rPr>
          <w:rFonts w:ascii="Times New Roman" w:hAnsi="Times New Roman" w:cs="Times New Roman"/>
        </w:rPr>
        <w:t>).</w:t>
      </w:r>
    </w:p>
  </w:footnote>
  <w:footnote w:id="7">
    <w:p w14:paraId="487D245F" w14:textId="5C3419CE" w:rsidR="0040615A" w:rsidRPr="00F53BB4" w:rsidRDefault="0040615A" w:rsidP="00541EA3">
      <w:pPr>
        <w:pStyle w:val="FootnoteText"/>
        <w:widowControl w:val="0"/>
        <w:ind w:left="-142" w:right="-567" w:hanging="284"/>
        <w:jc w:val="both"/>
        <w:rPr>
          <w:rFonts w:ascii="Times New Roman" w:hAnsi="Times New Roman" w:cs="Times New Roman"/>
        </w:rPr>
      </w:pPr>
      <w:r w:rsidRPr="00F53BB4">
        <w:rPr>
          <w:rStyle w:val="FootnoteReference"/>
          <w:rFonts w:ascii="Times New Roman" w:hAnsi="Times New Roman" w:cs="Times New Roman"/>
        </w:rPr>
        <w:footnoteRef/>
      </w:r>
      <w:r w:rsidRPr="00F53BB4">
        <w:rPr>
          <w:rFonts w:ascii="Times New Roman" w:hAnsi="Times New Roman" w:cs="Times New Roman"/>
        </w:rPr>
        <w:t xml:space="preserve"> </w:t>
      </w:r>
      <w:r w:rsidRPr="00F53BB4">
        <w:rPr>
          <w:rFonts w:ascii="Times New Roman" w:hAnsi="Times New Roman" w:cs="Times New Roman"/>
        </w:rPr>
        <w:tab/>
      </w:r>
      <w:r w:rsidRPr="00F53BB4">
        <w:rPr>
          <w:rFonts w:ascii="Times New Roman" w:hAnsi="Times New Roman" w:cs="Times New Roman"/>
          <w:lang w:val="en-GB"/>
        </w:rPr>
        <w:t xml:space="preserve">Regulation (EU) 2023/955 of the European Parliament and of the Council of 10 May 2023 establishing a Social Climate Fund and amending Regulation (EU) 2021/1060 </w:t>
      </w:r>
      <w:r w:rsidR="0063529F">
        <w:rPr>
          <w:rFonts w:ascii="Times New Roman" w:hAnsi="Times New Roman" w:cs="Times New Roman"/>
          <w:lang w:val="en-GB"/>
        </w:rPr>
        <w:t>(</w:t>
      </w:r>
      <w:hyperlink r:id="rId6" w:tooltip="Gives access to this document through its ELI URI." w:history="1">
        <w:r w:rsidR="0063529F" w:rsidRPr="0063529F">
          <w:rPr>
            <w:rStyle w:val="Hyperlink"/>
            <w:rFonts w:ascii="Times New Roman" w:hAnsi="Times New Roman" w:cs="Times New Roman"/>
            <w:lang w:val="en-GB"/>
          </w:rPr>
          <w:t>http://data.europa.eu/eli/reg/2023/955/oj</w:t>
        </w:r>
      </w:hyperlink>
      <w:r w:rsidRPr="00F53BB4">
        <w:rPr>
          <w:rFonts w:ascii="Times New Roman" w:hAnsi="Times New Roman" w:cs="Times New Roman"/>
          <w:lang w:val="en-GB"/>
        </w:rPr>
        <w:t>).</w:t>
      </w:r>
    </w:p>
  </w:footnote>
  <w:footnote w:id="8">
    <w:p w14:paraId="51CA41DF" w14:textId="3586CAAA" w:rsidR="00EF4856" w:rsidRPr="00EF4856" w:rsidRDefault="00EF4856" w:rsidP="00541EA3">
      <w:pPr>
        <w:pStyle w:val="FootnoteText"/>
        <w:ind w:left="-142" w:right="-567" w:hanging="284"/>
        <w:rPr>
          <w:rFonts w:ascii="Times New Roman" w:hAnsi="Times New Roman" w:cs="Times New Roman"/>
          <w:lang w:val="fr-BE"/>
        </w:rPr>
      </w:pPr>
      <w:r w:rsidRPr="00EF4856">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hAnsi="Times New Roman" w:cs="Times New Roman"/>
          <w:lang w:val="en-GB"/>
        </w:rPr>
        <w:tab/>
      </w:r>
      <w:hyperlink r:id="rId7" w:history="1">
        <w:r w:rsidRPr="00EF4856">
          <w:rPr>
            <w:rStyle w:val="Hyperlink"/>
            <w:rFonts w:ascii="Times New Roman" w:hAnsi="Times New Roman" w:cs="Times New Roman"/>
            <w:lang w:val="en-GB"/>
          </w:rPr>
          <w:t>Social Climate Fund - Climate Action - European Commission</w:t>
        </w:r>
      </w:hyperlink>
      <w:r>
        <w:rPr>
          <w:rFonts w:ascii="Times New Roman" w:hAnsi="Times New Roman" w:cs="Times New Roman"/>
        </w:rPr>
        <w:t>.</w:t>
      </w:r>
      <w:r w:rsidRPr="00EF4856">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8C3B"/>
    <w:multiLevelType w:val="hybridMultilevel"/>
    <w:tmpl w:val="17C2C1D8"/>
    <w:lvl w:ilvl="0" w:tplc="0EE0F144">
      <w:start w:val="1"/>
      <w:numFmt w:val="bullet"/>
      <w:lvlText w:val="-"/>
      <w:lvlJc w:val="left"/>
      <w:pPr>
        <w:ind w:left="720" w:hanging="360"/>
      </w:pPr>
      <w:rPr>
        <w:rFonts w:ascii="Aptos" w:hAnsi="Aptos" w:hint="default"/>
      </w:rPr>
    </w:lvl>
    <w:lvl w:ilvl="1" w:tplc="6562EBFA">
      <w:start w:val="1"/>
      <w:numFmt w:val="bullet"/>
      <w:lvlText w:val="o"/>
      <w:lvlJc w:val="left"/>
      <w:pPr>
        <w:ind w:left="1440" w:hanging="360"/>
      </w:pPr>
      <w:rPr>
        <w:rFonts w:ascii="Courier New" w:hAnsi="Courier New" w:hint="default"/>
      </w:rPr>
    </w:lvl>
    <w:lvl w:ilvl="2" w:tplc="9606D524">
      <w:start w:val="1"/>
      <w:numFmt w:val="bullet"/>
      <w:lvlText w:val=""/>
      <w:lvlJc w:val="left"/>
      <w:pPr>
        <w:ind w:left="2160" w:hanging="360"/>
      </w:pPr>
      <w:rPr>
        <w:rFonts w:ascii="Wingdings" w:hAnsi="Wingdings" w:hint="default"/>
      </w:rPr>
    </w:lvl>
    <w:lvl w:ilvl="3" w:tplc="488485B4">
      <w:start w:val="1"/>
      <w:numFmt w:val="bullet"/>
      <w:lvlText w:val=""/>
      <w:lvlJc w:val="left"/>
      <w:pPr>
        <w:ind w:left="2880" w:hanging="360"/>
      </w:pPr>
      <w:rPr>
        <w:rFonts w:ascii="Symbol" w:hAnsi="Symbol" w:hint="default"/>
      </w:rPr>
    </w:lvl>
    <w:lvl w:ilvl="4" w:tplc="EACE927E">
      <w:start w:val="1"/>
      <w:numFmt w:val="bullet"/>
      <w:lvlText w:val="o"/>
      <w:lvlJc w:val="left"/>
      <w:pPr>
        <w:ind w:left="3600" w:hanging="360"/>
      </w:pPr>
      <w:rPr>
        <w:rFonts w:ascii="Courier New" w:hAnsi="Courier New" w:hint="default"/>
      </w:rPr>
    </w:lvl>
    <w:lvl w:ilvl="5" w:tplc="642A2288">
      <w:start w:val="1"/>
      <w:numFmt w:val="bullet"/>
      <w:lvlText w:val=""/>
      <w:lvlJc w:val="left"/>
      <w:pPr>
        <w:ind w:left="4320" w:hanging="360"/>
      </w:pPr>
      <w:rPr>
        <w:rFonts w:ascii="Wingdings" w:hAnsi="Wingdings" w:hint="default"/>
      </w:rPr>
    </w:lvl>
    <w:lvl w:ilvl="6" w:tplc="2F621C50">
      <w:start w:val="1"/>
      <w:numFmt w:val="bullet"/>
      <w:lvlText w:val=""/>
      <w:lvlJc w:val="left"/>
      <w:pPr>
        <w:ind w:left="5040" w:hanging="360"/>
      </w:pPr>
      <w:rPr>
        <w:rFonts w:ascii="Symbol" w:hAnsi="Symbol" w:hint="default"/>
      </w:rPr>
    </w:lvl>
    <w:lvl w:ilvl="7" w:tplc="933E1F9A">
      <w:start w:val="1"/>
      <w:numFmt w:val="bullet"/>
      <w:lvlText w:val="o"/>
      <w:lvlJc w:val="left"/>
      <w:pPr>
        <w:ind w:left="5760" w:hanging="360"/>
      </w:pPr>
      <w:rPr>
        <w:rFonts w:ascii="Courier New" w:hAnsi="Courier New" w:hint="default"/>
      </w:rPr>
    </w:lvl>
    <w:lvl w:ilvl="8" w:tplc="A956E584">
      <w:start w:val="1"/>
      <w:numFmt w:val="bullet"/>
      <w:lvlText w:val=""/>
      <w:lvlJc w:val="left"/>
      <w:pPr>
        <w:ind w:left="6480" w:hanging="360"/>
      </w:pPr>
      <w:rPr>
        <w:rFonts w:ascii="Wingdings" w:hAnsi="Wingdings" w:hint="default"/>
      </w:rPr>
    </w:lvl>
  </w:abstractNum>
  <w:abstractNum w:abstractNumId="1" w15:restartNumberingAfterBreak="0">
    <w:nsid w:val="11DD61F8"/>
    <w:multiLevelType w:val="hybridMultilevel"/>
    <w:tmpl w:val="5B66B2B0"/>
    <w:lvl w:ilvl="0" w:tplc="A9909016">
      <w:start w:val="1"/>
      <w:numFmt w:val="decimal"/>
      <w:lvlText w:val="̶"/>
      <w:lvlJc w:val="left"/>
      <w:pPr>
        <w:ind w:left="720" w:hanging="360"/>
      </w:pPr>
    </w:lvl>
    <w:lvl w:ilvl="1" w:tplc="43CAF616">
      <w:start w:val="1"/>
      <w:numFmt w:val="lowerLetter"/>
      <w:lvlText w:val="%2."/>
      <w:lvlJc w:val="left"/>
      <w:pPr>
        <w:ind w:left="1440" w:hanging="360"/>
      </w:pPr>
    </w:lvl>
    <w:lvl w:ilvl="2" w:tplc="4BA8C53A">
      <w:start w:val="1"/>
      <w:numFmt w:val="lowerRoman"/>
      <w:lvlText w:val="%3."/>
      <w:lvlJc w:val="right"/>
      <w:pPr>
        <w:ind w:left="2160" w:hanging="180"/>
      </w:pPr>
    </w:lvl>
    <w:lvl w:ilvl="3" w:tplc="CA4409A4">
      <w:start w:val="1"/>
      <w:numFmt w:val="decimal"/>
      <w:lvlText w:val="%4."/>
      <w:lvlJc w:val="left"/>
      <w:pPr>
        <w:ind w:left="2880" w:hanging="360"/>
      </w:pPr>
    </w:lvl>
    <w:lvl w:ilvl="4" w:tplc="236EBE48">
      <w:start w:val="1"/>
      <w:numFmt w:val="lowerLetter"/>
      <w:lvlText w:val="%5."/>
      <w:lvlJc w:val="left"/>
      <w:pPr>
        <w:ind w:left="3600" w:hanging="360"/>
      </w:pPr>
    </w:lvl>
    <w:lvl w:ilvl="5" w:tplc="58E4C044">
      <w:start w:val="1"/>
      <w:numFmt w:val="lowerRoman"/>
      <w:lvlText w:val="%6."/>
      <w:lvlJc w:val="right"/>
      <w:pPr>
        <w:ind w:left="4320" w:hanging="180"/>
      </w:pPr>
    </w:lvl>
    <w:lvl w:ilvl="6" w:tplc="650031CC">
      <w:start w:val="1"/>
      <w:numFmt w:val="decimal"/>
      <w:lvlText w:val="%7."/>
      <w:lvlJc w:val="left"/>
      <w:pPr>
        <w:ind w:left="5040" w:hanging="360"/>
      </w:pPr>
    </w:lvl>
    <w:lvl w:ilvl="7" w:tplc="B492C16C">
      <w:start w:val="1"/>
      <w:numFmt w:val="lowerLetter"/>
      <w:lvlText w:val="%8."/>
      <w:lvlJc w:val="left"/>
      <w:pPr>
        <w:ind w:left="5760" w:hanging="360"/>
      </w:pPr>
    </w:lvl>
    <w:lvl w:ilvl="8" w:tplc="BCC2F410">
      <w:start w:val="1"/>
      <w:numFmt w:val="lowerRoman"/>
      <w:lvlText w:val="%9."/>
      <w:lvlJc w:val="right"/>
      <w:pPr>
        <w:ind w:left="6480" w:hanging="180"/>
      </w:pPr>
    </w:lvl>
  </w:abstractNum>
  <w:abstractNum w:abstractNumId="2" w15:restartNumberingAfterBreak="0">
    <w:nsid w:val="15773CB8"/>
    <w:multiLevelType w:val="hybridMultilevel"/>
    <w:tmpl w:val="54747230"/>
    <w:lvl w:ilvl="0" w:tplc="B084449C">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05CBB"/>
    <w:multiLevelType w:val="hybridMultilevel"/>
    <w:tmpl w:val="FE0EE2FE"/>
    <w:lvl w:ilvl="0" w:tplc="FFFFFFFF">
      <w:numFmt w:val="bullet"/>
      <w:lvlText w:val="̶"/>
      <w:lvlJc w:val="left"/>
      <w:pPr>
        <w:ind w:left="720" w:hanging="360"/>
      </w:pPr>
      <w:rPr>
        <w:rFonts w:ascii="Times New Roman" w:hAnsi="Times New Roman" w:hint="default"/>
      </w:rPr>
    </w:lvl>
    <w:lvl w:ilvl="1" w:tplc="D46AA7E0">
      <w:numFmt w:val="bullet"/>
      <w:lvlText w:val="-"/>
      <w:lvlJc w:val="left"/>
      <w:pPr>
        <w:ind w:left="1440" w:hanging="360"/>
      </w:pPr>
      <w:rPr>
        <w:rFonts w:ascii="Times New Roman" w:eastAsia="Calibri"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D0685"/>
    <w:multiLevelType w:val="hybridMultilevel"/>
    <w:tmpl w:val="88B2A12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717314C6"/>
    <w:multiLevelType w:val="hybridMultilevel"/>
    <w:tmpl w:val="442243E6"/>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794296">
    <w:abstractNumId w:val="1"/>
  </w:num>
  <w:num w:numId="2" w16cid:durableId="787236885">
    <w:abstractNumId w:val="0"/>
  </w:num>
  <w:num w:numId="3" w16cid:durableId="1324553391">
    <w:abstractNumId w:val="4"/>
  </w:num>
  <w:num w:numId="4" w16cid:durableId="811336166">
    <w:abstractNumId w:val="3"/>
  </w:num>
  <w:num w:numId="5" w16cid:durableId="155849830">
    <w:abstractNumId w:val="5"/>
  </w:num>
  <w:num w:numId="6" w16cid:durableId="783426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0F87"/>
    <w:rsid w:val="00012A37"/>
    <w:rsid w:val="00021BAC"/>
    <w:rsid w:val="000245A3"/>
    <w:rsid w:val="00030BDE"/>
    <w:rsid w:val="00045E79"/>
    <w:rsid w:val="00046B15"/>
    <w:rsid w:val="00050DC7"/>
    <w:rsid w:val="000541C6"/>
    <w:rsid w:val="00054916"/>
    <w:rsid w:val="00056452"/>
    <w:rsid w:val="00076109"/>
    <w:rsid w:val="00077C4F"/>
    <w:rsid w:val="00084375"/>
    <w:rsid w:val="00092C14"/>
    <w:rsid w:val="00092EDD"/>
    <w:rsid w:val="00093AF9"/>
    <w:rsid w:val="000D290A"/>
    <w:rsid w:val="000F0975"/>
    <w:rsid w:val="000F2B61"/>
    <w:rsid w:val="000F3329"/>
    <w:rsid w:val="000F5FD8"/>
    <w:rsid w:val="00105598"/>
    <w:rsid w:val="001167C0"/>
    <w:rsid w:val="00135C2A"/>
    <w:rsid w:val="001423AB"/>
    <w:rsid w:val="0015624D"/>
    <w:rsid w:val="0015646B"/>
    <w:rsid w:val="00175F3D"/>
    <w:rsid w:val="001B0E0B"/>
    <w:rsid w:val="001B554D"/>
    <w:rsid w:val="001C4138"/>
    <w:rsid w:val="001F2EC6"/>
    <w:rsid w:val="001F65D0"/>
    <w:rsid w:val="00217E59"/>
    <w:rsid w:val="00243AE5"/>
    <w:rsid w:val="00253500"/>
    <w:rsid w:val="00257F0C"/>
    <w:rsid w:val="00273463"/>
    <w:rsid w:val="00290F77"/>
    <w:rsid w:val="0029325E"/>
    <w:rsid w:val="002A44EC"/>
    <w:rsid w:val="002D36FE"/>
    <w:rsid w:val="002F03FA"/>
    <w:rsid w:val="003004D2"/>
    <w:rsid w:val="00303096"/>
    <w:rsid w:val="00321D7B"/>
    <w:rsid w:val="003349A3"/>
    <w:rsid w:val="0033670D"/>
    <w:rsid w:val="00344B60"/>
    <w:rsid w:val="00351664"/>
    <w:rsid w:val="0035656F"/>
    <w:rsid w:val="00374865"/>
    <w:rsid w:val="00377967"/>
    <w:rsid w:val="00386143"/>
    <w:rsid w:val="003B58DC"/>
    <w:rsid w:val="003D3AA3"/>
    <w:rsid w:val="003E682A"/>
    <w:rsid w:val="003F1E66"/>
    <w:rsid w:val="003F2444"/>
    <w:rsid w:val="003F3AC4"/>
    <w:rsid w:val="003F686E"/>
    <w:rsid w:val="0040615A"/>
    <w:rsid w:val="00421CDD"/>
    <w:rsid w:val="00431832"/>
    <w:rsid w:val="00435588"/>
    <w:rsid w:val="00437713"/>
    <w:rsid w:val="00442552"/>
    <w:rsid w:val="004434A5"/>
    <w:rsid w:val="004459A0"/>
    <w:rsid w:val="00455A1C"/>
    <w:rsid w:val="004675B5"/>
    <w:rsid w:val="004770D6"/>
    <w:rsid w:val="00482080"/>
    <w:rsid w:val="0049246C"/>
    <w:rsid w:val="004B2136"/>
    <w:rsid w:val="004D2F74"/>
    <w:rsid w:val="004D3875"/>
    <w:rsid w:val="004D482C"/>
    <w:rsid w:val="004E3866"/>
    <w:rsid w:val="004E65CD"/>
    <w:rsid w:val="004F38B1"/>
    <w:rsid w:val="004F6117"/>
    <w:rsid w:val="004F63F1"/>
    <w:rsid w:val="004F651E"/>
    <w:rsid w:val="0052596B"/>
    <w:rsid w:val="00532F3E"/>
    <w:rsid w:val="00541EA3"/>
    <w:rsid w:val="00551B22"/>
    <w:rsid w:val="00554D8D"/>
    <w:rsid w:val="00563485"/>
    <w:rsid w:val="00565B7F"/>
    <w:rsid w:val="00572821"/>
    <w:rsid w:val="00573835"/>
    <w:rsid w:val="00581306"/>
    <w:rsid w:val="005879EA"/>
    <w:rsid w:val="00590F96"/>
    <w:rsid w:val="005A13DE"/>
    <w:rsid w:val="005B0221"/>
    <w:rsid w:val="005B04E8"/>
    <w:rsid w:val="005B2E53"/>
    <w:rsid w:val="005B736A"/>
    <w:rsid w:val="005C3105"/>
    <w:rsid w:val="005C3E57"/>
    <w:rsid w:val="005D0BE1"/>
    <w:rsid w:val="005D2546"/>
    <w:rsid w:val="005E7FFC"/>
    <w:rsid w:val="005F2FAF"/>
    <w:rsid w:val="00600698"/>
    <w:rsid w:val="00606E18"/>
    <w:rsid w:val="00624B8B"/>
    <w:rsid w:val="00630E7A"/>
    <w:rsid w:val="0063220B"/>
    <w:rsid w:val="0063529F"/>
    <w:rsid w:val="00645696"/>
    <w:rsid w:val="00655212"/>
    <w:rsid w:val="006601F1"/>
    <w:rsid w:val="00666047"/>
    <w:rsid w:val="00671260"/>
    <w:rsid w:val="00692C2F"/>
    <w:rsid w:val="00695797"/>
    <w:rsid w:val="00696A5E"/>
    <w:rsid w:val="006B3B69"/>
    <w:rsid w:val="006B3FA0"/>
    <w:rsid w:val="006F0A78"/>
    <w:rsid w:val="006F2E3A"/>
    <w:rsid w:val="00732F31"/>
    <w:rsid w:val="00734613"/>
    <w:rsid w:val="00751910"/>
    <w:rsid w:val="00751E60"/>
    <w:rsid w:val="007547B5"/>
    <w:rsid w:val="0079235E"/>
    <w:rsid w:val="00795A9E"/>
    <w:rsid w:val="007A606D"/>
    <w:rsid w:val="007C2214"/>
    <w:rsid w:val="007D23BD"/>
    <w:rsid w:val="007D3469"/>
    <w:rsid w:val="00807B48"/>
    <w:rsid w:val="008135CA"/>
    <w:rsid w:val="0081584F"/>
    <w:rsid w:val="0084671E"/>
    <w:rsid w:val="0086467A"/>
    <w:rsid w:val="008703BF"/>
    <w:rsid w:val="008925CE"/>
    <w:rsid w:val="008A4010"/>
    <w:rsid w:val="008C4D41"/>
    <w:rsid w:val="008C6B54"/>
    <w:rsid w:val="008E6D64"/>
    <w:rsid w:val="008F0A09"/>
    <w:rsid w:val="008F3A9A"/>
    <w:rsid w:val="0093714A"/>
    <w:rsid w:val="009402FA"/>
    <w:rsid w:val="00943BD8"/>
    <w:rsid w:val="00944571"/>
    <w:rsid w:val="00950FA4"/>
    <w:rsid w:val="00954243"/>
    <w:rsid w:val="009658C2"/>
    <w:rsid w:val="00972799"/>
    <w:rsid w:val="00981F45"/>
    <w:rsid w:val="00985166"/>
    <w:rsid w:val="00994D12"/>
    <w:rsid w:val="009A045F"/>
    <w:rsid w:val="009B128B"/>
    <w:rsid w:val="009C4476"/>
    <w:rsid w:val="009D2368"/>
    <w:rsid w:val="009F42CC"/>
    <w:rsid w:val="009F4E73"/>
    <w:rsid w:val="00A071AE"/>
    <w:rsid w:val="00A11099"/>
    <w:rsid w:val="00A14448"/>
    <w:rsid w:val="00A16F07"/>
    <w:rsid w:val="00A2527B"/>
    <w:rsid w:val="00A35D9A"/>
    <w:rsid w:val="00A35F6F"/>
    <w:rsid w:val="00A376A2"/>
    <w:rsid w:val="00A52185"/>
    <w:rsid w:val="00A62C7B"/>
    <w:rsid w:val="00A7709A"/>
    <w:rsid w:val="00A861E2"/>
    <w:rsid w:val="00A90988"/>
    <w:rsid w:val="00AA45E6"/>
    <w:rsid w:val="00AB4934"/>
    <w:rsid w:val="00AD14EB"/>
    <w:rsid w:val="00AD536B"/>
    <w:rsid w:val="00AE0635"/>
    <w:rsid w:val="00AE1842"/>
    <w:rsid w:val="00AE3C7C"/>
    <w:rsid w:val="00AE4A7F"/>
    <w:rsid w:val="00AF726A"/>
    <w:rsid w:val="00B121F7"/>
    <w:rsid w:val="00B162C7"/>
    <w:rsid w:val="00B31306"/>
    <w:rsid w:val="00B37BD6"/>
    <w:rsid w:val="00B417D2"/>
    <w:rsid w:val="00B42814"/>
    <w:rsid w:val="00B43DAE"/>
    <w:rsid w:val="00B468E8"/>
    <w:rsid w:val="00B63339"/>
    <w:rsid w:val="00B66ABD"/>
    <w:rsid w:val="00B77A4B"/>
    <w:rsid w:val="00B82313"/>
    <w:rsid w:val="00B83936"/>
    <w:rsid w:val="00B92961"/>
    <w:rsid w:val="00BA565E"/>
    <w:rsid w:val="00BD2F11"/>
    <w:rsid w:val="00BD6EB7"/>
    <w:rsid w:val="00BF0377"/>
    <w:rsid w:val="00C07A77"/>
    <w:rsid w:val="00C40F67"/>
    <w:rsid w:val="00C54D27"/>
    <w:rsid w:val="00C76EEB"/>
    <w:rsid w:val="00C876E9"/>
    <w:rsid w:val="00C958BB"/>
    <w:rsid w:val="00CC6104"/>
    <w:rsid w:val="00CD3711"/>
    <w:rsid w:val="00CD50FE"/>
    <w:rsid w:val="00CE4BFD"/>
    <w:rsid w:val="00CE7485"/>
    <w:rsid w:val="00CF5B13"/>
    <w:rsid w:val="00CF6DB8"/>
    <w:rsid w:val="00D00406"/>
    <w:rsid w:val="00D01F5A"/>
    <w:rsid w:val="00D1716E"/>
    <w:rsid w:val="00D52F19"/>
    <w:rsid w:val="00D6427E"/>
    <w:rsid w:val="00D643DC"/>
    <w:rsid w:val="00D64E05"/>
    <w:rsid w:val="00D73709"/>
    <w:rsid w:val="00D7457B"/>
    <w:rsid w:val="00D92FD3"/>
    <w:rsid w:val="00D96EA9"/>
    <w:rsid w:val="00DA3B6E"/>
    <w:rsid w:val="00DB7581"/>
    <w:rsid w:val="00DC5307"/>
    <w:rsid w:val="00DC70C1"/>
    <w:rsid w:val="00DD3F8F"/>
    <w:rsid w:val="00DD5A82"/>
    <w:rsid w:val="00E0175F"/>
    <w:rsid w:val="00E05DD9"/>
    <w:rsid w:val="00E13AD0"/>
    <w:rsid w:val="00E55672"/>
    <w:rsid w:val="00E56834"/>
    <w:rsid w:val="00E67D40"/>
    <w:rsid w:val="00E83C12"/>
    <w:rsid w:val="00E904C8"/>
    <w:rsid w:val="00E937BE"/>
    <w:rsid w:val="00EA1BBF"/>
    <w:rsid w:val="00EB29A9"/>
    <w:rsid w:val="00EB77D2"/>
    <w:rsid w:val="00EC7D9C"/>
    <w:rsid w:val="00EE25A7"/>
    <w:rsid w:val="00EE547D"/>
    <w:rsid w:val="00EF4856"/>
    <w:rsid w:val="00F12ABD"/>
    <w:rsid w:val="00F316C8"/>
    <w:rsid w:val="00F369FC"/>
    <w:rsid w:val="00F53BB4"/>
    <w:rsid w:val="00F632DE"/>
    <w:rsid w:val="00F735E4"/>
    <w:rsid w:val="00FA753C"/>
    <w:rsid w:val="00FB7834"/>
    <w:rsid w:val="00FD2B96"/>
    <w:rsid w:val="00FD4B6A"/>
    <w:rsid w:val="00FE0B80"/>
    <w:rsid w:val="00FF03A8"/>
    <w:rsid w:val="00FF2866"/>
    <w:rsid w:val="00FF4D7F"/>
    <w:rsid w:val="00FF63EA"/>
    <w:rsid w:val="00FF6AA0"/>
    <w:rsid w:val="00FF79BB"/>
    <w:rsid w:val="020507B0"/>
    <w:rsid w:val="04CC1827"/>
    <w:rsid w:val="085BD7E6"/>
    <w:rsid w:val="0CE65EEE"/>
    <w:rsid w:val="0D2BE241"/>
    <w:rsid w:val="0D998DBF"/>
    <w:rsid w:val="0E8B74BC"/>
    <w:rsid w:val="199E0A31"/>
    <w:rsid w:val="19BE32D1"/>
    <w:rsid w:val="1CE315CF"/>
    <w:rsid w:val="1FB354E5"/>
    <w:rsid w:val="22AAFEAD"/>
    <w:rsid w:val="25649F22"/>
    <w:rsid w:val="25A87A27"/>
    <w:rsid w:val="25CACB9A"/>
    <w:rsid w:val="2AF9322C"/>
    <w:rsid w:val="2B04B238"/>
    <w:rsid w:val="32A1AB09"/>
    <w:rsid w:val="3471953C"/>
    <w:rsid w:val="36349844"/>
    <w:rsid w:val="38811ECB"/>
    <w:rsid w:val="397B0840"/>
    <w:rsid w:val="39BECFD0"/>
    <w:rsid w:val="3CA836F5"/>
    <w:rsid w:val="404EA80F"/>
    <w:rsid w:val="435D76F4"/>
    <w:rsid w:val="48CF5EA9"/>
    <w:rsid w:val="510E98D9"/>
    <w:rsid w:val="54E2A1B1"/>
    <w:rsid w:val="5AB996DD"/>
    <w:rsid w:val="5B1F3B83"/>
    <w:rsid w:val="5D4C1411"/>
    <w:rsid w:val="61DEA588"/>
    <w:rsid w:val="6349B6F2"/>
    <w:rsid w:val="66A103E3"/>
    <w:rsid w:val="6AA552AB"/>
    <w:rsid w:val="6B98A446"/>
    <w:rsid w:val="6C46361C"/>
    <w:rsid w:val="7677E91B"/>
    <w:rsid w:val="79525163"/>
    <w:rsid w:val="7A48E379"/>
    <w:rsid w:val="7CEF6A41"/>
    <w:rsid w:val="7DCF336E"/>
    <w:rsid w:val="7E16F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5EB58397-31B6-4D58-B48A-FA71DEAC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paragraph" w:styleId="Header">
    <w:name w:val="header"/>
    <w:basedOn w:val="Normal"/>
    <w:link w:val="HeaderChar"/>
    <w:uiPriority w:val="99"/>
    <w:semiHidden/>
    <w:unhideWhenUsed/>
    <w:rsid w:val="00944571"/>
    <w:pPr>
      <w:tabs>
        <w:tab w:val="center" w:pos="4513"/>
        <w:tab w:val="right" w:pos="9026"/>
      </w:tabs>
    </w:pPr>
  </w:style>
  <w:style w:type="character" w:customStyle="1" w:styleId="HeaderChar">
    <w:name w:val="Header Char"/>
    <w:link w:val="Header"/>
    <w:uiPriority w:val="99"/>
    <w:semiHidden/>
    <w:rsid w:val="00944571"/>
    <w:rPr>
      <w:sz w:val="22"/>
      <w:szCs w:val="22"/>
      <w:lang w:eastAsia="en-US"/>
    </w:rPr>
  </w:style>
  <w:style w:type="paragraph" w:styleId="Footer">
    <w:name w:val="footer"/>
    <w:basedOn w:val="Normal"/>
    <w:link w:val="FooterChar"/>
    <w:uiPriority w:val="99"/>
    <w:semiHidden/>
    <w:unhideWhenUsed/>
    <w:rsid w:val="00944571"/>
    <w:pPr>
      <w:tabs>
        <w:tab w:val="center" w:pos="4513"/>
        <w:tab w:val="right" w:pos="9026"/>
      </w:tabs>
    </w:pPr>
  </w:style>
  <w:style w:type="character" w:customStyle="1" w:styleId="FooterChar">
    <w:name w:val="Footer Char"/>
    <w:link w:val="Footer"/>
    <w:uiPriority w:val="99"/>
    <w:semiHidden/>
    <w:rsid w:val="00944571"/>
    <w:rPr>
      <w:sz w:val="22"/>
      <w:szCs w:val="22"/>
      <w:lang w:eastAsia="en-US"/>
    </w:rPr>
  </w:style>
  <w:style w:type="character" w:styleId="UnresolvedMention">
    <w:name w:val="Unresolved Mention"/>
    <w:uiPriority w:val="99"/>
    <w:semiHidden/>
    <w:unhideWhenUsed/>
    <w:rsid w:val="00655212"/>
    <w:rPr>
      <w:color w:val="605E5C"/>
      <w:shd w:val="clear" w:color="auto" w:fill="E1DFDD"/>
    </w:rPr>
  </w:style>
  <w:style w:type="paragraph" w:styleId="FootnoteText">
    <w:name w:val="footnote text"/>
    <w:basedOn w:val="Normal"/>
    <w:link w:val="FootnoteTextChar"/>
    <w:uiPriority w:val="99"/>
    <w:unhideWhenUsed/>
    <w:rsid w:val="00A861E2"/>
    <w:pPr>
      <w:spacing w:after="0" w:line="240" w:lineRule="auto"/>
    </w:pPr>
    <w:rPr>
      <w:rFonts w:ascii="Aptos" w:eastAsia="Aptos" w:hAnsi="Aptos" w:cs="Aptos"/>
      <w:sz w:val="20"/>
      <w:szCs w:val="20"/>
      <w:lang w:val="en-IE" w:eastAsia="en-IE"/>
    </w:rPr>
  </w:style>
  <w:style w:type="character" w:customStyle="1" w:styleId="FootnoteTextChar">
    <w:name w:val="Footnote Text Char"/>
    <w:link w:val="FootnoteText"/>
    <w:uiPriority w:val="99"/>
    <w:rsid w:val="00A861E2"/>
    <w:rPr>
      <w:rFonts w:ascii="Aptos" w:eastAsia="Aptos" w:hAnsi="Aptos" w:cs="Aptos"/>
    </w:rPr>
  </w:style>
  <w:style w:type="character" w:styleId="FootnoteReference">
    <w:name w:val="footnote reference"/>
    <w:uiPriority w:val="99"/>
    <w:semiHidden/>
    <w:unhideWhenUsed/>
    <w:rsid w:val="00A861E2"/>
    <w:rPr>
      <w:vertAlign w:val="superscript"/>
    </w:rPr>
  </w:style>
  <w:style w:type="character" w:styleId="CommentReference">
    <w:name w:val="annotation reference"/>
    <w:uiPriority w:val="99"/>
    <w:semiHidden/>
    <w:unhideWhenUsed/>
    <w:rsid w:val="00A14448"/>
    <w:rPr>
      <w:sz w:val="16"/>
      <w:szCs w:val="16"/>
    </w:rPr>
  </w:style>
  <w:style w:type="paragraph" w:styleId="CommentText">
    <w:name w:val="annotation text"/>
    <w:basedOn w:val="Normal"/>
    <w:link w:val="CommentTextChar"/>
    <w:uiPriority w:val="99"/>
    <w:unhideWhenUsed/>
    <w:rsid w:val="00A14448"/>
    <w:rPr>
      <w:sz w:val="20"/>
      <w:szCs w:val="20"/>
    </w:rPr>
  </w:style>
  <w:style w:type="character" w:customStyle="1" w:styleId="CommentTextChar">
    <w:name w:val="Comment Text Char"/>
    <w:link w:val="CommentText"/>
    <w:uiPriority w:val="99"/>
    <w:rsid w:val="00A14448"/>
    <w:rPr>
      <w:lang w:val="en-GB" w:eastAsia="en-US"/>
    </w:rPr>
  </w:style>
  <w:style w:type="paragraph" w:styleId="CommentSubject">
    <w:name w:val="annotation subject"/>
    <w:basedOn w:val="CommentText"/>
    <w:next w:val="CommentText"/>
    <w:link w:val="CommentSubjectChar"/>
    <w:uiPriority w:val="99"/>
    <w:semiHidden/>
    <w:unhideWhenUsed/>
    <w:rsid w:val="00A14448"/>
    <w:rPr>
      <w:b/>
      <w:bCs/>
    </w:rPr>
  </w:style>
  <w:style w:type="character" w:customStyle="1" w:styleId="CommentSubjectChar">
    <w:name w:val="Comment Subject Char"/>
    <w:link w:val="CommentSubject"/>
    <w:uiPriority w:val="99"/>
    <w:semiHidden/>
    <w:rsid w:val="00A14448"/>
    <w:rPr>
      <w:b/>
      <w:bCs/>
      <w:lang w:val="en-GB" w:eastAsia="en-US"/>
    </w:rPr>
  </w:style>
  <w:style w:type="paragraph" w:styleId="Revision">
    <w:name w:val="Revision"/>
    <w:hidden/>
    <w:uiPriority w:val="99"/>
    <w:semiHidden/>
    <w:rsid w:val="000D290A"/>
    <w:rPr>
      <w:sz w:val="22"/>
      <w:szCs w:val="22"/>
      <w:lang w:val="en-GB"/>
    </w:rPr>
  </w:style>
  <w:style w:type="character" w:styleId="FollowedHyperlink">
    <w:name w:val="FollowedHyperlink"/>
    <w:basedOn w:val="DefaultParagraphFont"/>
    <w:uiPriority w:val="99"/>
    <w:semiHidden/>
    <w:unhideWhenUsed/>
    <w:rsid w:val="00293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310052">
      <w:bodyDiv w:val="1"/>
      <w:marLeft w:val="0"/>
      <w:marRight w:val="0"/>
      <w:marTop w:val="0"/>
      <w:marBottom w:val="0"/>
      <w:divBdr>
        <w:top w:val="none" w:sz="0" w:space="0" w:color="auto"/>
        <w:left w:val="none" w:sz="0" w:space="0" w:color="auto"/>
        <w:bottom w:val="none" w:sz="0" w:space="0" w:color="auto"/>
        <w:right w:val="none" w:sz="0" w:space="0" w:color="auto"/>
      </w:divBdr>
    </w:div>
    <w:div w:id="1069883598">
      <w:bodyDiv w:val="1"/>
      <w:marLeft w:val="0"/>
      <w:marRight w:val="0"/>
      <w:marTop w:val="0"/>
      <w:marBottom w:val="0"/>
      <w:divBdr>
        <w:top w:val="none" w:sz="0" w:space="0" w:color="auto"/>
        <w:left w:val="none" w:sz="0" w:space="0" w:color="auto"/>
        <w:bottom w:val="none" w:sz="0" w:space="0" w:color="auto"/>
        <w:right w:val="none" w:sz="0" w:space="0" w:color="auto"/>
      </w:divBdr>
    </w:div>
    <w:div w:id="1107967830">
      <w:bodyDiv w:val="1"/>
      <w:marLeft w:val="0"/>
      <w:marRight w:val="0"/>
      <w:marTop w:val="0"/>
      <w:marBottom w:val="0"/>
      <w:divBdr>
        <w:top w:val="none" w:sz="0" w:space="0" w:color="auto"/>
        <w:left w:val="none" w:sz="0" w:space="0" w:color="auto"/>
        <w:bottom w:val="none" w:sz="0" w:space="0" w:color="auto"/>
        <w:right w:val="none" w:sz="0" w:space="0" w:color="auto"/>
      </w:divBdr>
    </w:div>
    <w:div w:id="1150975217">
      <w:bodyDiv w:val="1"/>
      <w:marLeft w:val="0"/>
      <w:marRight w:val="0"/>
      <w:marTop w:val="0"/>
      <w:marBottom w:val="0"/>
      <w:divBdr>
        <w:top w:val="none" w:sz="0" w:space="0" w:color="auto"/>
        <w:left w:val="none" w:sz="0" w:space="0" w:color="auto"/>
        <w:bottom w:val="none" w:sz="0" w:space="0" w:color="auto"/>
        <w:right w:val="none" w:sz="0" w:space="0" w:color="auto"/>
      </w:divBdr>
    </w:div>
    <w:div w:id="1364861786">
      <w:bodyDiv w:val="1"/>
      <w:marLeft w:val="0"/>
      <w:marRight w:val="0"/>
      <w:marTop w:val="0"/>
      <w:marBottom w:val="0"/>
      <w:divBdr>
        <w:top w:val="none" w:sz="0" w:space="0" w:color="auto"/>
        <w:left w:val="none" w:sz="0" w:space="0" w:color="auto"/>
        <w:bottom w:val="none" w:sz="0" w:space="0" w:color="auto"/>
        <w:right w:val="none" w:sz="0" w:space="0" w:color="auto"/>
      </w:divBdr>
    </w:div>
    <w:div w:id="1375348270">
      <w:bodyDiv w:val="1"/>
      <w:marLeft w:val="0"/>
      <w:marRight w:val="0"/>
      <w:marTop w:val="0"/>
      <w:marBottom w:val="0"/>
      <w:divBdr>
        <w:top w:val="none" w:sz="0" w:space="0" w:color="auto"/>
        <w:left w:val="none" w:sz="0" w:space="0" w:color="auto"/>
        <w:bottom w:val="none" w:sz="0" w:space="0" w:color="auto"/>
        <w:right w:val="none" w:sz="0" w:space="0" w:color="auto"/>
      </w:divBdr>
    </w:div>
    <w:div w:id="1628588135">
      <w:bodyDiv w:val="1"/>
      <w:marLeft w:val="0"/>
      <w:marRight w:val="0"/>
      <w:marTop w:val="0"/>
      <w:marBottom w:val="0"/>
      <w:divBdr>
        <w:top w:val="none" w:sz="0" w:space="0" w:color="auto"/>
        <w:left w:val="none" w:sz="0" w:space="0" w:color="auto"/>
        <w:bottom w:val="none" w:sz="0" w:space="0" w:color="auto"/>
        <w:right w:val="none" w:sz="0" w:space="0" w:color="auto"/>
      </w:divBdr>
    </w:div>
    <w:div w:id="205253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t.ec.europa.eu/document/download/f7e54ea5-23aa-4f8d-a24c-9d902fc9652c_en?filename=EGUM_Recommendations_Social-Climate-Fun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t.ec.europa.eu/news-events/news/recommendations-member-states-help-tackle-transport-poverty-and-promote-fair-sustainable-mobility-2025-05-22_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2025R1914" TargetMode="External"/><Relationship Id="rId7" Type="http://schemas.openxmlformats.org/officeDocument/2006/relationships/hyperlink" Target="https://climate.ec.europa.eu/eu-action/carbon-markets/social-climate-fund_en" TargetMode="External"/><Relationship Id="rId2" Type="http://schemas.openxmlformats.org/officeDocument/2006/relationships/hyperlink" Target="https://commission.europa.eu/news-and-media/news/roadmap-fully-end-eu-dependency-russian-energy-2025-05-06_en" TargetMode="External"/><Relationship Id="rId1" Type="http://schemas.openxmlformats.org/officeDocument/2006/relationships/hyperlink" Target="http://data.europa.eu/eli/C/2025/3179/oj" TargetMode="External"/><Relationship Id="rId6" Type="http://schemas.openxmlformats.org/officeDocument/2006/relationships/hyperlink" Target="http://data.europa.eu/eli/reg/2023/955/oj" TargetMode="External"/><Relationship Id="rId5" Type="http://schemas.openxmlformats.org/officeDocument/2006/relationships/hyperlink" Target="https://eur-lex.europa.eu/eli/reco/2025/1021/oj" TargetMode="External"/><Relationship Id="rId4" Type="http://schemas.openxmlformats.org/officeDocument/2006/relationships/hyperlink" Target="https://ec.europa.eu/regional_policy/sources/communication/mid-term-review-2025/swd-affordable-housing-202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F4484D18C4F4D95D6492997A33CB5" ma:contentTypeVersion="19" ma:contentTypeDescription="Create a new document." ma:contentTypeScope="" ma:versionID="71036d282f92b9fe21a70842b077ed78">
  <xsd:schema xmlns:xsd="http://www.w3.org/2001/XMLSchema" xmlns:xs="http://www.w3.org/2001/XMLSchema" xmlns:p="http://schemas.microsoft.com/office/2006/metadata/properties" xmlns:ns1="http://schemas.microsoft.com/sharepoint/v3" xmlns:ns2="5d6de6f9-1b0f-4326-b081-5bd9075b1903" xmlns:ns3="http://schemas.microsoft.com/sharepoint/v3/fields" xmlns:ns4="a2c83353-3777-449e-be28-6ba3f1c70682" targetNamespace="http://schemas.microsoft.com/office/2006/metadata/properties" ma:root="true" ma:fieldsID="2ddf03499a3c9587c1ec766ec11186b4" ns1:_="" ns2:_="" ns3:_="" ns4:_="">
    <xsd:import namespace="http://schemas.microsoft.com/sharepoint/v3"/>
    <xsd:import namespace="5d6de6f9-1b0f-4326-b081-5bd9075b1903"/>
    <xsd:import namespace="http://schemas.microsoft.com/sharepoint/v3/fields"/>
    <xsd:import namespace="a2c83353-3777-449e-be28-6ba3f1c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Version" minOccurs="0"/>
                <xsd:element ref="ns3:_Status" minOccurs="0"/>
                <xsd:element ref="ns1:DateCompleted"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ic" minOccurs="0"/>
                <xsd:element ref="ns2:Country" minOccurs="0"/>
                <xsd:element ref="ns2: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14"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6de6f9-1b0f-4326-b081-5bd9075b1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Topic" ma:index="24" nillable="true" ma:displayName="Topic" ma:description="Social housing" ma:format="Dropdown" ma:internalName="Topic">
      <xsd:simpleType>
        <xsd:restriction base="dms:Text">
          <xsd:maxLength value="255"/>
        </xsd:restriction>
      </xsd:simpleType>
    </xsd:element>
    <xsd:element name="Country" ma:index="25" nillable="true" ma:displayName="Country" ma:format="Dropdown" ma:internalName="Country">
      <xsd:simpleType>
        <xsd:restriction base="dms:Choice">
          <xsd:enumeration value="BE"/>
          <xsd:enumeration value="BG"/>
          <xsd:enumeration value="CZ"/>
        </xsd:restriction>
      </xsd:simpleType>
    </xsd:element>
    <xsd:element name="Topics" ma:index="26" nillable="true" ma:displayName="Topics" ma:format="Dropdown" ma:internalName="Topics">
      <xsd:complexType>
        <xsd:complexContent>
          <xsd:extension base="dms:MultiChoice">
            <xsd:sequence>
              <xsd:element name="Value" maxOccurs="unbounded" minOccurs="0" nillable="true">
                <xsd:simpleType>
                  <xsd:restriction base="dms:Choice">
                    <xsd:enumeration value="Financing"/>
                    <xsd:enumeration value="Financialisation"/>
                    <xsd:enumeration value="Land, zoning, permitting"/>
                    <xsd:enumeration value="Construction"/>
                    <xsd:enumeration value="Energy efficiency"/>
                    <xsd:enumeration value="Labour &amp; skills"/>
                    <xsd:enumeration value="STR &amp; tourism"/>
                    <xsd:enumeration value="Social housing"/>
                    <xsd:enumeration value="Community led"/>
                    <xsd:enumeration value="Homelessness"/>
                    <xsd:enumeration value="Students &amp; youth"/>
                    <xsd:enumeration value="Elderly"/>
                    <xsd:enumeration value="Governance"/>
                    <xsd:enumeration value="Cities &amp; region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internalName="_Version">
      <xsd:simpleType>
        <xsd:restriction base="dms:Text"/>
      </xsd:simpleType>
    </xsd:element>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2c83353-3777-449e-be28-6ba3f1c706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e8e3cc-dbcd-4a9d-86fe-9ce3c6856a25}" ma:internalName="TaxCatchAll" ma:showField="CatchAllData" ma:web="a2c83353-3777-449e-be28-6ba3f1c70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6de6f9-1b0f-4326-b081-5bd9075b190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2c83353-3777-449e-be28-6ba3f1c70682" xsi:nil="true"/>
    <_Version xmlns="http://schemas.microsoft.com/sharepoint/v3/fields" xsi:nil="true"/>
    <DateCompleted xmlns="http://schemas.microsoft.com/sharepoint/v3" xsi:nil="true"/>
    <_Status xmlns="http://schemas.microsoft.com/sharepoint/v3/fields">Not Started</_Status>
    <Country xmlns="5d6de6f9-1b0f-4326-b081-5bd9075b1903" xsi:nil="true"/>
    <Topic xmlns="5d6de6f9-1b0f-4326-b081-5bd9075b1903" xsi:nil="true"/>
    <Topics xmlns="5d6de6f9-1b0f-4326-b081-5bd9075b1903" xsi:nil="true"/>
  </documentManagement>
</p:properties>
</file>

<file path=customXml/itemProps1.xml><?xml version="1.0" encoding="utf-8"?>
<ds:datastoreItem xmlns:ds="http://schemas.openxmlformats.org/officeDocument/2006/customXml" ds:itemID="{27DF1396-70C1-4B87-8489-55E76217E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6de6f9-1b0f-4326-b081-5bd9075b1903"/>
    <ds:schemaRef ds:uri="http://schemas.microsoft.com/sharepoint/v3/fields"/>
    <ds:schemaRef ds:uri="a2c83353-3777-449e-be28-6ba3f1c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60392-AACE-4931-BBDF-69C7A3C6343A}">
  <ds:schemaRefs>
    <ds:schemaRef ds:uri="http://schemas.openxmlformats.org/officeDocument/2006/bibliography"/>
  </ds:schemaRefs>
</ds:datastoreItem>
</file>

<file path=customXml/itemProps3.xml><?xml version="1.0" encoding="utf-8"?>
<ds:datastoreItem xmlns:ds="http://schemas.openxmlformats.org/officeDocument/2006/customXml" ds:itemID="{641E85DA-4ED2-4A5D-B6F4-1F0DAC489F56}">
  <ds:schemaRefs>
    <ds:schemaRef ds:uri="http://schemas.microsoft.com/sharepoint/v3/contenttype/forms"/>
  </ds:schemaRefs>
</ds:datastoreItem>
</file>

<file path=customXml/itemProps4.xml><?xml version="1.0" encoding="utf-8"?>
<ds:datastoreItem xmlns:ds="http://schemas.openxmlformats.org/officeDocument/2006/customXml" ds:itemID="{F413DAD2-D715-4CD5-BD7D-4F0F1535D0A6}">
  <ds:schemaRefs>
    <ds:schemaRef ds:uri="http://schemas.microsoft.com/office/2006/metadata/properties"/>
    <ds:schemaRef ds:uri="http://schemas.microsoft.com/office/infopath/2007/PartnerControls"/>
    <ds:schemaRef ds:uri="2a565401-6124-4834-af4c-bc1a772a6083"/>
    <ds:schemaRef ds:uri="ed350a78-f7eb-44a2-bb43-fd61cd942e28"/>
    <ds:schemaRef ds:uri="5d6de6f9-1b0f-4326-b081-5bd9075b1903"/>
    <ds:schemaRef ds:uri="a2c83353-3777-449e-be28-6ba3f1c70682"/>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1989</Words>
  <Characters>11462</Characters>
  <Application>Microsoft Office Word</Application>
  <DocSecurity>0</DocSecurity>
  <Lines>150</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13425</CharactersWithSpaces>
  <SharedDoc>false</SharedDoc>
  <HLinks>
    <vt:vector size="18" baseType="variant">
      <vt:variant>
        <vt:i4>4849789</vt:i4>
      </vt:variant>
      <vt:variant>
        <vt:i4>3</vt:i4>
      </vt:variant>
      <vt:variant>
        <vt:i4>0</vt:i4>
      </vt:variant>
      <vt:variant>
        <vt:i4>5</vt:i4>
      </vt:variant>
      <vt:variant>
        <vt:lpwstr>https://transport.ec.europa.eu/document/download/f7e54ea5-23aa-4f8d-a24c-9d902fc9652c_en?filename=EGUM_Recommendations_Social-Climate-Fund.pdf</vt:lpwstr>
      </vt:variant>
      <vt:variant>
        <vt:lpwstr/>
      </vt:variant>
      <vt:variant>
        <vt:i4>3276829</vt:i4>
      </vt:variant>
      <vt:variant>
        <vt:i4>0</vt:i4>
      </vt:variant>
      <vt:variant>
        <vt:i4>0</vt:i4>
      </vt:variant>
      <vt:variant>
        <vt:i4>5</vt:i4>
      </vt:variant>
      <vt:variant>
        <vt:lpwstr>https://transport.ec.europa.eu/news-events/news/recommendations-member-states-help-tackle-transport-poverty-and-promote-fair-sustainable-mobility-2025-05-22_en</vt:lpwstr>
      </vt:variant>
      <vt:variant>
        <vt:lpwstr/>
      </vt:variant>
      <vt:variant>
        <vt:i4>4063298</vt:i4>
      </vt:variant>
      <vt:variant>
        <vt:i4>0</vt:i4>
      </vt:variant>
      <vt:variant>
        <vt:i4>0</vt:i4>
      </vt:variant>
      <vt:variant>
        <vt:i4>5</vt:i4>
      </vt:variant>
      <vt:variant>
        <vt:lpwstr>https://climate.ec.europa.eu/eu-action/eu-emissions-trading-system-eu-ets/social-climate-fund_en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2013-02-28T12:02:00Z</cp:lastPrinted>
  <dcterms:created xsi:type="dcterms:W3CDTF">2026-01-09T09:43:00Z</dcterms:created>
  <dcterms:modified xsi:type="dcterms:W3CDTF">2026-01-09T09:46:00Z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0x010100BDAF4484D18C4F4D95D6492997A33CB5</vt:lpwstr>
  </property>
  <property fmtid="{D5CDD505-2E9C-101B-9397-08002B2CF9AE}" pid="10" name="MediaServiceImageTags">
    <vt:lpwstr/>
  </property>
</Properties>
</file>