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9"/>
      </w:tblGrid>
      <w:tr w:rsidR="001C4138" w:rsidRPr="00E22D3A" w14:paraId="7E6372DC" w14:textId="77777777" w:rsidTr="00E93C58">
        <w:trPr>
          <w:jc w:val="center"/>
        </w:trPr>
        <w:tc>
          <w:tcPr>
            <w:tcW w:w="9959" w:type="dxa"/>
          </w:tcPr>
          <w:p w14:paraId="3A4EDC3A" w14:textId="5B448A33" w:rsidR="001C4138" w:rsidRPr="002C0A34" w:rsidRDefault="00655212" w:rsidP="00E22D3A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</w:pPr>
            <w:r w:rsidRPr="439368D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IE"/>
              </w:rPr>
              <w:br w:type="page"/>
            </w:r>
            <w:r w:rsidR="007D57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Phasing out fossil fuel subsidies </w:t>
            </w:r>
            <w:r w:rsidR="007D5751" w:rsidRPr="007D5751">
              <w:rPr>
                <w:rFonts w:ascii="Times New Roman" w:hAnsi="Times New Roman"/>
                <w:b/>
                <w:bCs/>
                <w:sz w:val="24"/>
                <w:szCs w:val="24"/>
              </w:rPr>
              <w:t>while ensuring European competitiveness, mitigating the cost-of-living crisis, and promoting a just transition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E22D3A" w:rsidRPr="002C0A34">
              <w:rPr>
                <w:rFonts w:ascii="Times New Roman" w:hAnsi="Times New Roman"/>
                <w:b/>
                <w:bCs/>
                <w:sz w:val="24"/>
                <w:szCs w:val="24"/>
              </w:rPr>
              <w:t>(own-initiative opinion)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7D5751" w:rsidRPr="02DA10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EESC-</w:t>
            </w:r>
            <w:r w:rsidR="007D5751" w:rsidRPr="002C0A34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 w:rsidR="00E22D3A" w:rsidRPr="002C0A3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22D3A" w:rsidRPr="00762B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04592 –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22D3A" w:rsidRPr="02DA10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NAT/946</w:t>
            </w:r>
            <w:r w:rsidR="3CA836F5">
              <w:br/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t>596</w:t>
            </w:r>
            <w:r w:rsidR="00E22D3A" w:rsidRPr="002C0A3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C4138" w:rsidRPr="02DA10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Plenary Session – </w:t>
            </w:r>
            <w:r w:rsidR="007D5751" w:rsidRPr="02DA10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April </w:t>
            </w:r>
            <w:r w:rsidR="6B98A446" w:rsidRPr="02DA102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788C27D0" w:rsidRPr="02DA102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C4138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Rapporteur: </w:t>
            </w:r>
            <w:r w:rsidR="007D5751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Corina </w:t>
            </w:r>
            <w:r w:rsidR="00E22D3A" w:rsidRPr="002C0A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Andrea </w:t>
            </w:r>
            <w:r w:rsidR="007D5751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MURAFA BENGA</w:t>
            </w:r>
            <w:r w:rsidR="00E22D3A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</w:t>
            </w:r>
            <w:r w:rsidR="00E22D3A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(RO-III)</w:t>
            </w:r>
            <w:r w:rsidR="001C4138" w:rsidRPr="002C0A34">
              <w:rPr>
                <w:lang w:val="en-IE"/>
              </w:rPr>
              <w:br/>
            </w:r>
            <w:r w:rsidR="001C4138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DG </w:t>
            </w:r>
            <w:r w:rsidR="007D5751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ENER</w:t>
            </w:r>
            <w:r w:rsidR="001C4138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– Commissioner </w:t>
            </w:r>
            <w:r w:rsidR="007D5751" w:rsidRPr="002C0A34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J</w:t>
            </w:r>
            <w:r w:rsidR="00E22D3A" w:rsidRPr="00E22D3A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ØRGENSEN</w:t>
            </w:r>
          </w:p>
        </w:tc>
      </w:tr>
      <w:tr w:rsidR="00734613" w:rsidRPr="00442552" w14:paraId="1937071F" w14:textId="77777777" w:rsidTr="00E93C58">
        <w:trPr>
          <w:jc w:val="center"/>
        </w:trPr>
        <w:tc>
          <w:tcPr>
            <w:tcW w:w="9959" w:type="dxa"/>
          </w:tcPr>
          <w:p w14:paraId="1E50B4DB" w14:textId="2EAED521" w:rsidR="00734613" w:rsidRPr="00695797" w:rsidRDefault="004F6117" w:rsidP="00E22D3A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E22D3A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E93C58">
        <w:trPr>
          <w:jc w:val="center"/>
        </w:trPr>
        <w:tc>
          <w:tcPr>
            <w:tcW w:w="9959" w:type="dxa"/>
          </w:tcPr>
          <w:p w14:paraId="022C0F36" w14:textId="330EDEF8" w:rsidR="00295DCC" w:rsidRPr="00211305" w:rsidRDefault="1FB354E5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2A7A2D" w:rsidRPr="00211305">
              <w:rPr>
                <w:rFonts w:ascii="Times New Roman" w:hAnsi="Times New Roman"/>
                <w:sz w:val="24"/>
                <w:szCs w:val="24"/>
              </w:rPr>
              <w:t xml:space="preserve">welcomes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802F69" w:rsidRPr="00211305">
              <w:rPr>
                <w:rFonts w:ascii="Times New Roman" w:hAnsi="Times New Roman"/>
                <w:sz w:val="24"/>
                <w:szCs w:val="24"/>
              </w:rPr>
              <w:t>Committee</w:t>
            </w:r>
            <w:r w:rsidR="002A7A2D" w:rsidRPr="00211305">
              <w:rPr>
                <w:rFonts w:ascii="Times New Roman" w:hAnsi="Times New Roman"/>
                <w:sz w:val="24"/>
                <w:szCs w:val="24"/>
              </w:rPr>
              <w:t>’s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 timely own-initiative opinion</w:t>
            </w:r>
            <w:r w:rsidR="00E728A8" w:rsidRPr="00211305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0201A9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BE4" w:rsidRPr="00211305">
              <w:rPr>
                <w:rFonts w:ascii="Times New Roman" w:hAnsi="Times New Roman"/>
                <w:sz w:val="24"/>
                <w:szCs w:val="24"/>
              </w:rPr>
              <w:t xml:space="preserve">an important </w:t>
            </w:r>
            <w:r w:rsidR="005B7B8C" w:rsidRPr="00211305">
              <w:rPr>
                <w:rFonts w:ascii="Times New Roman" w:hAnsi="Times New Roman"/>
                <w:sz w:val="24"/>
                <w:szCs w:val="24"/>
              </w:rPr>
              <w:t xml:space="preserve">contribution to the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>Comm</w:t>
            </w:r>
            <w:r w:rsidR="00DE5EA2" w:rsidRPr="00211305">
              <w:rPr>
                <w:rFonts w:ascii="Times New Roman" w:hAnsi="Times New Roman"/>
                <w:sz w:val="24"/>
                <w:szCs w:val="24"/>
              </w:rPr>
              <w:t>ission</w:t>
            </w:r>
            <w:r w:rsidR="002C0BE4" w:rsidRPr="00211305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="006012B2" w:rsidRPr="00211305">
              <w:rPr>
                <w:rFonts w:ascii="Times New Roman" w:hAnsi="Times New Roman"/>
                <w:sz w:val="24"/>
                <w:szCs w:val="24"/>
              </w:rPr>
              <w:t>on-going work r</w:t>
            </w:r>
            <w:r w:rsidR="002C0BE4" w:rsidRPr="00211305">
              <w:rPr>
                <w:rFonts w:ascii="Times New Roman" w:hAnsi="Times New Roman"/>
                <w:sz w:val="24"/>
                <w:szCs w:val="24"/>
              </w:rPr>
              <w:t xml:space="preserve">egarding the phase-out </w:t>
            </w:r>
            <w:r w:rsidR="00295DCC" w:rsidRPr="00211305">
              <w:rPr>
                <w:rFonts w:ascii="Times New Roman" w:hAnsi="Times New Roman"/>
                <w:sz w:val="24"/>
                <w:szCs w:val="24"/>
              </w:rPr>
              <w:t>of fossil fuel subsidies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3C58" w:rsidRPr="00211305">
              <w:rPr>
                <w:rFonts w:ascii="Times New Roman" w:hAnsi="Times New Roman"/>
                <w:sz w:val="24"/>
                <w:szCs w:val="24"/>
              </w:rPr>
              <w:t xml:space="preserve"> The Commission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 value</w:t>
            </w:r>
            <w:r w:rsidR="00E93C58">
              <w:rPr>
                <w:rFonts w:ascii="Times New Roman" w:hAnsi="Times New Roman"/>
                <w:sz w:val="24"/>
                <w:szCs w:val="24"/>
              </w:rPr>
              <w:t>s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 the Committee’s comprehensive and thorough treatment of this important </w:t>
            </w:r>
            <w:r w:rsidR="000201A9" w:rsidRPr="00211305">
              <w:rPr>
                <w:rFonts w:ascii="Times New Roman" w:hAnsi="Times New Roman"/>
                <w:sz w:val="24"/>
                <w:szCs w:val="24"/>
              </w:rPr>
              <w:t>topic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. The opinion sets out the 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aspects </w:t>
            </w:r>
            <w:r w:rsidR="003267AF" w:rsidRPr="00211305">
              <w:rPr>
                <w:rFonts w:ascii="Times New Roman" w:hAnsi="Times New Roman"/>
                <w:sz w:val="24"/>
                <w:szCs w:val="24"/>
              </w:rPr>
              <w:t xml:space="preserve">in this domain 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and highlights 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 xml:space="preserve">key </w:t>
            </w:r>
            <w:r w:rsidR="003267AF" w:rsidRPr="00211305">
              <w:rPr>
                <w:rFonts w:ascii="Times New Roman" w:hAnsi="Times New Roman"/>
                <w:sz w:val="24"/>
                <w:szCs w:val="24"/>
              </w:rPr>
              <w:t xml:space="preserve">domestic and international </w:t>
            </w:r>
            <w:r w:rsidR="0004792E" w:rsidRPr="00211305">
              <w:rPr>
                <w:rFonts w:ascii="Times New Roman" w:hAnsi="Times New Roman"/>
                <w:sz w:val="24"/>
                <w:szCs w:val="24"/>
              </w:rPr>
              <w:t>issues that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 a successful EU policy </w:t>
            </w:r>
            <w:r w:rsidR="009937FD">
              <w:rPr>
                <w:rFonts w:ascii="Times New Roman" w:hAnsi="Times New Roman"/>
                <w:sz w:val="24"/>
                <w:szCs w:val="24"/>
              </w:rPr>
              <w:t xml:space="preserve">would 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>need to take into account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 xml:space="preserve"> in order to successfully 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 xml:space="preserve">address 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>the c</w:t>
            </w:r>
            <w:r w:rsidR="00C17666" w:rsidRPr="00211305">
              <w:rPr>
                <w:rFonts w:ascii="Times New Roman" w:hAnsi="Times New Roman"/>
                <w:sz w:val="24"/>
                <w:szCs w:val="24"/>
              </w:rPr>
              <w:t>hallenge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>s i</w:t>
            </w:r>
            <w:r w:rsidR="00295DCC" w:rsidRPr="00211305">
              <w:rPr>
                <w:rFonts w:ascii="Times New Roman" w:hAnsi="Times New Roman"/>
                <w:sz w:val="24"/>
                <w:szCs w:val="24"/>
              </w:rPr>
              <w:t xml:space="preserve">n a balanced </w:t>
            </w:r>
            <w:r w:rsidR="00EC3D45" w:rsidRPr="00211305">
              <w:rPr>
                <w:rFonts w:ascii="Times New Roman" w:hAnsi="Times New Roman"/>
                <w:sz w:val="24"/>
                <w:szCs w:val="24"/>
              </w:rPr>
              <w:t xml:space="preserve">and equitable </w:t>
            </w:r>
            <w:r w:rsidR="00295DCC" w:rsidRPr="00211305">
              <w:rPr>
                <w:rFonts w:ascii="Times New Roman" w:hAnsi="Times New Roman"/>
                <w:sz w:val="24"/>
                <w:szCs w:val="24"/>
              </w:rPr>
              <w:t>w</w:t>
            </w:r>
            <w:r w:rsidR="00A20BD2" w:rsidRPr="00211305">
              <w:rPr>
                <w:rFonts w:ascii="Times New Roman" w:hAnsi="Times New Roman"/>
                <w:sz w:val="24"/>
                <w:szCs w:val="24"/>
              </w:rPr>
              <w:t>ay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A20BD2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255" w:rsidRPr="00211305">
              <w:rPr>
                <w:rFonts w:ascii="Times New Roman" w:hAnsi="Times New Roman"/>
                <w:sz w:val="24"/>
                <w:szCs w:val="24"/>
              </w:rPr>
              <w:t xml:space="preserve">mindful of </w:t>
            </w:r>
            <w:r w:rsidR="00A20BD2" w:rsidRPr="00211305">
              <w:rPr>
                <w:rFonts w:ascii="Times New Roman" w:hAnsi="Times New Roman"/>
                <w:sz w:val="24"/>
                <w:szCs w:val="24"/>
              </w:rPr>
              <w:t xml:space="preserve">this subject’s </w:t>
            </w:r>
            <w:r w:rsidR="008F38C0" w:rsidRPr="00211305">
              <w:rPr>
                <w:rFonts w:ascii="Times New Roman" w:hAnsi="Times New Roman"/>
                <w:sz w:val="24"/>
                <w:szCs w:val="24"/>
              </w:rPr>
              <w:t>complex social, political and economic context.</w:t>
            </w:r>
          </w:p>
          <w:p w14:paraId="5A3BE09C" w14:textId="1FC44A3C" w:rsidR="0040498E" w:rsidRPr="00211305" w:rsidRDefault="002C0BE4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>The Commission</w:t>
            </w:r>
            <w:r w:rsidR="003B1146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9D2" w:rsidRPr="00211305">
              <w:rPr>
                <w:rFonts w:ascii="Times New Roman" w:hAnsi="Times New Roman"/>
                <w:sz w:val="24"/>
                <w:szCs w:val="24"/>
              </w:rPr>
              <w:t xml:space="preserve">continues </w:t>
            </w:r>
            <w:r w:rsidR="0020142C" w:rsidRPr="00211305">
              <w:rPr>
                <w:rFonts w:ascii="Times New Roman" w:hAnsi="Times New Roman"/>
                <w:sz w:val="24"/>
                <w:szCs w:val="24"/>
              </w:rPr>
              <w:t xml:space="preserve">to be </w:t>
            </w:r>
            <w:r w:rsidR="002D7B57" w:rsidRPr="00211305">
              <w:rPr>
                <w:rFonts w:ascii="Times New Roman" w:hAnsi="Times New Roman"/>
                <w:sz w:val="24"/>
                <w:szCs w:val="24"/>
              </w:rPr>
              <w:t>firmly committed to the phase-out of fossil fuel</w:t>
            </w:r>
            <w:r w:rsidR="00CE5255" w:rsidRPr="00211305">
              <w:rPr>
                <w:rFonts w:ascii="Times New Roman" w:hAnsi="Times New Roman"/>
                <w:sz w:val="24"/>
                <w:szCs w:val="24"/>
              </w:rPr>
              <w:t xml:space="preserve"> subsidies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 xml:space="preserve">. This is </w:t>
            </w:r>
            <w:r w:rsidR="002D7B57" w:rsidRPr="00211305">
              <w:rPr>
                <w:rFonts w:ascii="Times New Roman" w:hAnsi="Times New Roman"/>
                <w:sz w:val="24"/>
                <w:szCs w:val="24"/>
              </w:rPr>
              <w:t xml:space="preserve">essential 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CD39D2" w:rsidRPr="00211305">
              <w:rPr>
                <w:rFonts w:ascii="Times New Roman" w:hAnsi="Times New Roman"/>
                <w:sz w:val="24"/>
                <w:szCs w:val="24"/>
              </w:rPr>
              <w:t xml:space="preserve">cost-effectively </w:t>
            </w:r>
            <w:r w:rsidR="002D7B57" w:rsidRPr="00211305">
              <w:rPr>
                <w:rFonts w:ascii="Times New Roman" w:hAnsi="Times New Roman"/>
                <w:sz w:val="24"/>
                <w:szCs w:val="24"/>
              </w:rPr>
              <w:t>delivering on the Green Deal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 xml:space="preserve"> objectives</w:t>
            </w:r>
            <w:r w:rsidR="002D7B57" w:rsidRPr="002113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9B1" w:rsidRPr="0021130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>achiev</w:t>
            </w:r>
            <w:r w:rsidR="002939B1" w:rsidRPr="00211305">
              <w:rPr>
                <w:rFonts w:ascii="Times New Roman" w:hAnsi="Times New Roman"/>
                <w:sz w:val="24"/>
                <w:szCs w:val="24"/>
              </w:rPr>
              <w:t>ing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2939B1" w:rsidRPr="00211305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 w:rsidR="0043070D" w:rsidRPr="00211305">
              <w:rPr>
                <w:rFonts w:ascii="Times New Roman" w:hAnsi="Times New Roman"/>
                <w:sz w:val="24"/>
                <w:szCs w:val="24"/>
              </w:rPr>
              <w:t xml:space="preserve">energy and climate 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>targets</w:t>
            </w:r>
            <w:r w:rsidR="002931F7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40498E" w:rsidRPr="00211305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becom</w:t>
            </w:r>
            <w:r w:rsidR="002939B1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 </w:t>
            </w:r>
            <w:r w:rsidR="00B9393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N</w:t>
            </w:r>
            <w:r w:rsidR="00B136E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et-</w:t>
            </w:r>
            <w:r w:rsidR="00B9393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Z</w:t>
            </w:r>
            <w:r w:rsidR="00B136E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ero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economy by 2050 </w:t>
            </w:r>
            <w:r w:rsidR="00D20649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while 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boost</w:t>
            </w:r>
            <w:r w:rsidR="00D20649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4C7A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inclusive 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growth</w:t>
            </w:r>
            <w:r w:rsidR="004C7A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 environmental </w:t>
            </w:r>
            <w:r w:rsidR="00C61D5F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sustainability and</w:t>
            </w:r>
            <w:r w:rsidR="002931F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D20649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creating a competitive clean tech industrial base </w:t>
            </w:r>
            <w:r w:rsidR="002931F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parallel with </w:t>
            </w:r>
            <w:r w:rsidR="002168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strengthening</w:t>
            </w:r>
            <w:r w:rsidR="006617E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D20649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EU’s 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energy</w:t>
            </w:r>
            <w:r w:rsidR="002168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security and resilience</w:t>
            </w:r>
            <w:r w:rsidR="000E0A2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5C932621" w14:textId="194F6AE3" w:rsidR="7F8B2349" w:rsidRPr="00211305" w:rsidRDefault="7F8B2349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>The 8</w:t>
            </w:r>
            <w:r w:rsidRPr="002C0A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B136E5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>Environmental Action Program</w:t>
            </w:r>
            <w:r w:rsidR="00D048AB" w:rsidRPr="00211305">
              <w:rPr>
                <w:rFonts w:ascii="Times New Roman" w:hAnsi="Times New Roman"/>
                <w:sz w:val="24"/>
                <w:szCs w:val="24"/>
              </w:rPr>
              <w:t>me</w:t>
            </w:r>
            <w:r w:rsidR="00E93C58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 calls for the establishment of a binding Union framework to monitor and report on Member States’ progress towards phasing out fossil fuel subsidies, based on an agreed methodology, as well as for the establishment of a deadline for the phase out of fossil fuels subsidies consistent with the ambition of limiting global warming to 1,5°C.</w:t>
            </w:r>
          </w:p>
          <w:p w14:paraId="63853AA4" w14:textId="0F7CCF08" w:rsidR="00431837" w:rsidRPr="00211305" w:rsidRDefault="00D24631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993D6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Commission pursue</w:t>
            </w:r>
            <w:r w:rsidR="006A46A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993D6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6A46A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 multi-pronged approach to </w:t>
            </w:r>
            <w:r w:rsidR="00732D2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move away from </w:t>
            </w:r>
            <w:r w:rsidR="006A46A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fossil fuels</w:t>
            </w:r>
            <w:r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 accordance with </w:t>
            </w:r>
            <w:r w:rsidR="008C13B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its international commitments </w:t>
            </w:r>
            <w:r w:rsidR="0043183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under the </w:t>
            </w:r>
            <w:hyperlink r:id="rId11" w:history="1">
              <w:r w:rsidR="00E93C58" w:rsidRPr="00443CE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United Nations Framework Convention on Climate Change</w:t>
              </w:r>
            </w:hyperlink>
            <w:r w:rsidR="00E93C58" w:rsidRPr="00E93C58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E93C58">
              <w:rPr>
                <w:rFonts w:ascii="Times New Roman" w:hAnsi="Times New Roman"/>
                <w:sz w:val="24"/>
                <w:szCs w:val="24"/>
                <w:lang w:val="en-IE"/>
              </w:rPr>
              <w:t>(</w:t>
            </w:r>
            <w:r w:rsidR="0043183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UNFCCC</w:t>
            </w:r>
            <w:r w:rsidR="00E93C58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43183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 in </w:t>
            </w:r>
            <w:r w:rsidR="00FF1FA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full 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alignment</w:t>
            </w:r>
            <w:r w:rsidR="0043183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with EU policy goals as set out in President Ursula von der Leyen’s Political Guidelines.</w:t>
            </w:r>
          </w:p>
          <w:p w14:paraId="20D9935E" w14:textId="7DBCABB0" w:rsidR="00C358F7" w:rsidRPr="00211305" w:rsidRDefault="00C358F7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  <w:lang w:val="en-IE"/>
              </w:rPr>
              <w:t>As the Committee’s opinion rightly pointed out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008B626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phase-out of 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fossil fuel </w:t>
            </w:r>
            <w:r w:rsidR="00E337C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subsidies</w:t>
            </w:r>
            <w:r w:rsidR="002931F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cannot be succe</w:t>
            </w:r>
            <w:r w:rsidR="003A0648" w:rsidRPr="00211305">
              <w:rPr>
                <w:rFonts w:ascii="Times New Roman" w:hAnsi="Times New Roman"/>
                <w:sz w:val="24"/>
                <w:szCs w:val="24"/>
              </w:rPr>
              <w:t xml:space="preserve">ssful unless it </w:t>
            </w:r>
            <w:r w:rsidR="009C1E12" w:rsidRPr="00211305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3A0648" w:rsidRPr="00211305">
              <w:rPr>
                <w:rFonts w:ascii="Times New Roman" w:hAnsi="Times New Roman"/>
                <w:sz w:val="24"/>
                <w:szCs w:val="24"/>
              </w:rPr>
              <w:t xml:space="preserve">part of a broader policy </w:t>
            </w:r>
            <w:r w:rsidR="008B6265" w:rsidRPr="00211305">
              <w:rPr>
                <w:rFonts w:ascii="Times New Roman" w:hAnsi="Times New Roman"/>
                <w:sz w:val="24"/>
                <w:szCs w:val="24"/>
              </w:rPr>
              <w:t>framework</w:t>
            </w:r>
            <w:r w:rsidR="003A0648" w:rsidRPr="00211305">
              <w:rPr>
                <w:rFonts w:ascii="Times New Roman" w:hAnsi="Times New Roman"/>
                <w:sz w:val="24"/>
                <w:szCs w:val="24"/>
              </w:rPr>
              <w:t>, which include</w:t>
            </w:r>
            <w:r w:rsidR="009C1E12" w:rsidRPr="00211305">
              <w:rPr>
                <w:rFonts w:ascii="Times New Roman" w:hAnsi="Times New Roman"/>
                <w:sz w:val="24"/>
                <w:szCs w:val="24"/>
              </w:rPr>
              <w:t xml:space="preserve">s, among other things, </w:t>
            </w:r>
            <w:r w:rsidR="003A0648" w:rsidRPr="00211305">
              <w:rPr>
                <w:rFonts w:ascii="Times New Roman" w:hAnsi="Times New Roman"/>
                <w:sz w:val="24"/>
                <w:szCs w:val="24"/>
              </w:rPr>
              <w:t>investment incentives</w:t>
            </w:r>
            <w:r w:rsidR="00531AAB" w:rsidRPr="002113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760E2" w:rsidRPr="00211305">
              <w:rPr>
                <w:rFonts w:ascii="Times New Roman" w:hAnsi="Times New Roman"/>
                <w:sz w:val="24"/>
                <w:szCs w:val="24"/>
              </w:rPr>
              <w:t xml:space="preserve">redirecting revenues from </w:t>
            </w:r>
            <w:r w:rsidR="00531AAB" w:rsidRPr="00211305">
              <w:rPr>
                <w:rFonts w:ascii="Times New Roman" w:hAnsi="Times New Roman"/>
                <w:sz w:val="24"/>
                <w:szCs w:val="24"/>
              </w:rPr>
              <w:t>carbon pricing</w:t>
            </w:r>
            <w:r w:rsidR="003A0648" w:rsidRPr="00211305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B368B9" w:rsidRPr="00211305">
              <w:rPr>
                <w:rFonts w:ascii="Times New Roman" w:hAnsi="Times New Roman"/>
                <w:sz w:val="24"/>
                <w:szCs w:val="24"/>
              </w:rPr>
              <w:t>fiscal r</w:t>
            </w:r>
            <w:r w:rsidR="00B368B9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eform</w:t>
            </w:r>
            <w:r w:rsidR="009937FD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3348FA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23739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CD39D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ensures 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 fair and just </w:t>
            </w:r>
            <w:r w:rsidR="009C1E1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transition. As set out in the mission letters of the new Commission, 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the implementation of EU priorities</w:t>
            </w:r>
            <w:r w:rsidR="00E12A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such as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E12A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the phase-out of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fossil fuel subsidies, requires recognising that </w:t>
            </w:r>
            <w:r w:rsidR="009C1E1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all policy areas are </w:t>
            </w:r>
            <w:r w:rsidR="00E337C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connected,</w:t>
            </w:r>
            <w:r w:rsidR="003A064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d </w:t>
            </w:r>
            <w:r w:rsidR="00CD39D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 </w:t>
            </w:r>
            <w:r w:rsidR="009C1E1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stand-alone approach 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can</w:t>
            </w:r>
            <w:r w:rsidR="00CD39D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not</w:t>
            </w:r>
            <w:r w:rsidR="008770D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be successful. </w:t>
            </w:r>
            <w:r w:rsidR="002931F7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All </w:t>
            </w:r>
            <w:r w:rsidR="004F368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Commission </w:t>
            </w:r>
            <w:r w:rsidR="00CD39D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policies </w:t>
            </w:r>
            <w:r w:rsidR="004F3685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must </w:t>
            </w:r>
            <w:r w:rsidR="004F3685" w:rsidRPr="00211305">
              <w:rPr>
                <w:rFonts w:ascii="Times New Roman" w:hAnsi="Times New Roman"/>
                <w:sz w:val="24"/>
                <w:szCs w:val="24"/>
                <w:lang w:val="en-IE"/>
              </w:rPr>
              <w:lastRenderedPageBreak/>
              <w:t xml:space="preserve">integrate overarching EU objectives </w:t>
            </w:r>
            <w:r w:rsidR="00CD39D2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such as the </w:t>
            </w:r>
            <w:r w:rsidR="004F3685" w:rsidRPr="00211305">
              <w:rPr>
                <w:rFonts w:ascii="Times New Roman" w:hAnsi="Times New Roman"/>
                <w:sz w:val="24"/>
                <w:szCs w:val="24"/>
              </w:rPr>
              <w:t>avoid</w:t>
            </w:r>
            <w:r w:rsidR="00CD39D2" w:rsidRPr="00211305">
              <w:rPr>
                <w:rFonts w:ascii="Times New Roman" w:hAnsi="Times New Roman"/>
                <w:sz w:val="24"/>
                <w:szCs w:val="24"/>
              </w:rPr>
              <w:t>ance of</w:t>
            </w:r>
            <w:r w:rsidR="004F3685" w:rsidRPr="00211305">
              <w:rPr>
                <w:rFonts w:ascii="Times New Roman" w:hAnsi="Times New Roman"/>
                <w:sz w:val="24"/>
                <w:szCs w:val="24"/>
              </w:rPr>
              <w:t xml:space="preserve"> fossil fuel technology lock-in.</w:t>
            </w:r>
          </w:p>
          <w:p w14:paraId="2F48E769" w14:textId="4A138A28" w:rsidR="001F4C44" w:rsidRPr="00211305" w:rsidRDefault="4DACA7D9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 xml:space="preserve">The Commission therefore continues </w:t>
            </w:r>
            <w:r w:rsidR="4943E780" w:rsidRPr="00211305">
              <w:rPr>
                <w:rFonts w:ascii="Times New Roman" w:hAnsi="Times New Roman"/>
                <w:sz w:val="24"/>
                <w:szCs w:val="24"/>
              </w:rPr>
              <w:t xml:space="preserve">pursuing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significant efforts </w:t>
            </w:r>
            <w:r w:rsidR="4943E780" w:rsidRPr="00211305">
              <w:rPr>
                <w:rFonts w:ascii="Times New Roman" w:hAnsi="Times New Roman"/>
                <w:sz w:val="24"/>
                <w:szCs w:val="24"/>
              </w:rPr>
              <w:t xml:space="preserve">to integrate the goal of phasing out fossil fuel subsidies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4943E780" w:rsidRPr="00211305">
              <w:rPr>
                <w:rFonts w:ascii="Times New Roman" w:hAnsi="Times New Roman"/>
                <w:sz w:val="24"/>
                <w:szCs w:val="24"/>
              </w:rPr>
              <w:t xml:space="preserve">the most relevant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>priority areas</w:t>
            </w:r>
            <w:r w:rsidR="4943E780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0E2" w:rsidRPr="00211305">
              <w:rPr>
                <w:rFonts w:ascii="Times New Roman" w:hAnsi="Times New Roman"/>
                <w:sz w:val="24"/>
                <w:szCs w:val="24"/>
              </w:rPr>
              <w:t xml:space="preserve">such as </w:t>
            </w:r>
            <w:r w:rsidR="005A302F" w:rsidRPr="00211305">
              <w:rPr>
                <w:rFonts w:ascii="Times New Roman" w:hAnsi="Times New Roman"/>
                <w:sz w:val="24"/>
                <w:szCs w:val="24"/>
              </w:rPr>
              <w:t xml:space="preserve">in the context of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>the conclusion of the negotiations on the revised Energy Taxation Directive</w:t>
            </w:r>
            <w:r w:rsidR="00E93C58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Pr="00211305">
              <w:rPr>
                <w:rFonts w:ascii="Times New Roman" w:hAnsi="Times New Roman"/>
                <w:sz w:val="24"/>
                <w:szCs w:val="24"/>
              </w:rPr>
              <w:t>.</w:t>
            </w:r>
            <w:r w:rsidR="007760E2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5C3E5B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main priorities of the </w:t>
            </w:r>
            <w:r w:rsidR="4CFC6A6D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>review of the</w:t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4CFC6A6D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>Energy Taxation Directive</w:t>
            </w:r>
            <w:r w:rsidR="00E93C58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footnoteReference w:id="4"/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35C3E5B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are</w:t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align </w:t>
            </w:r>
            <w:r w:rsidR="26F91D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4F80E2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energy </w:t>
            </w:r>
            <w:r w:rsidR="26F91D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taxation framework </w:t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with our </w:t>
            </w:r>
            <w:r w:rsidR="7E8A90BA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G</w:t>
            </w:r>
            <w:r w:rsidR="26F91D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reen </w:t>
            </w:r>
            <w:r w:rsidR="6A899BE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D</w:t>
            </w:r>
            <w:r w:rsidR="26F91DE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eal </w:t>
            </w:r>
            <w:r w:rsidR="4CFC6A6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ambitions and </w:t>
            </w:r>
            <w:r w:rsidR="04F80E2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significantly reduce the possibilities for Member States to subject fossil fuel use to favourable tax treatment</w:t>
            </w:r>
            <w:r w:rsidR="7117EF8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</w:t>
            </w:r>
            <w:r w:rsidR="71AEC20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71AEC204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 xml:space="preserve">new </w:t>
            </w:r>
            <w:r w:rsidR="6164FDA8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>Clean Industrial Deal</w:t>
            </w:r>
            <w:r w:rsidR="00ED765F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footnoteReference w:id="5"/>
            </w:r>
            <w:r w:rsidR="6164FDA8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 xml:space="preserve"> </w:t>
            </w:r>
            <w:r w:rsidR="001F4C4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B65147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>State-aid</w:t>
            </w:r>
            <w:r w:rsidR="71AEC204" w:rsidRPr="00211305">
              <w:rPr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t xml:space="preserve"> Framework</w:t>
            </w:r>
            <w:r w:rsidR="00ED765F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  <w:lang w:val="en-IE"/>
              </w:rPr>
              <w:footnoteReference w:id="6"/>
            </w:r>
            <w:r w:rsidR="71AEC20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1F4C4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1F4C44" w:rsidRPr="00211305">
              <w:rPr>
                <w:rFonts w:ascii="Times New Roman" w:hAnsi="Times New Roman"/>
                <w:sz w:val="24"/>
                <w:szCs w:val="24"/>
              </w:rPr>
              <w:t xml:space="preserve">et out concrete actions to accelerate the roll-out of clean technologies and products, </w:t>
            </w:r>
            <w:r w:rsidR="00B65147" w:rsidRPr="00211305">
              <w:rPr>
                <w:rFonts w:ascii="Times New Roman" w:hAnsi="Times New Roman"/>
                <w:sz w:val="24"/>
                <w:szCs w:val="24"/>
              </w:rPr>
              <w:t xml:space="preserve">to boost renewable energy deployment and to strengthen </w:t>
            </w:r>
            <w:r w:rsidR="001F4C44" w:rsidRPr="00211305">
              <w:rPr>
                <w:rFonts w:ascii="Times New Roman" w:hAnsi="Times New Roman"/>
                <w:sz w:val="24"/>
                <w:szCs w:val="24"/>
              </w:rPr>
              <w:t>circular economy solutions in order to replace fossil fuels</w:t>
            </w:r>
            <w:r w:rsidR="00B65147" w:rsidRPr="00211305">
              <w:rPr>
                <w:rFonts w:ascii="Times New Roman" w:hAnsi="Times New Roman"/>
                <w:sz w:val="24"/>
                <w:szCs w:val="24"/>
              </w:rPr>
              <w:t xml:space="preserve">, while providing </w:t>
            </w:r>
            <w:r w:rsidR="007F03E8" w:rsidRPr="00211305">
              <w:rPr>
                <w:rFonts w:ascii="Times New Roman" w:hAnsi="Times New Roman"/>
                <w:sz w:val="24"/>
                <w:szCs w:val="24"/>
              </w:rPr>
              <w:t xml:space="preserve">for effective </w:t>
            </w:r>
            <w:r w:rsidR="00B65147" w:rsidRPr="00211305">
              <w:rPr>
                <w:rFonts w:ascii="Times New Roman" w:hAnsi="Times New Roman"/>
                <w:sz w:val="24"/>
                <w:szCs w:val="24"/>
              </w:rPr>
              <w:t xml:space="preserve">instruments to support </w:t>
            </w:r>
            <w:r w:rsidR="001F4C44" w:rsidRPr="00211305">
              <w:rPr>
                <w:rFonts w:ascii="Times New Roman" w:hAnsi="Times New Roman"/>
                <w:sz w:val="24"/>
                <w:szCs w:val="24"/>
              </w:rPr>
              <w:t>decarbonisation in industry and across the EU economy.</w:t>
            </w:r>
          </w:p>
          <w:p w14:paraId="696B3542" w14:textId="19BB5DB9" w:rsidR="00EF369C" w:rsidRPr="00211305" w:rsidRDefault="009937FD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t>The f</w:t>
            </w:r>
            <w:r w:rsidR="00531A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irst elements of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</w:t>
            </w:r>
            <w:r w:rsidR="00531A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binding monitoring and reporting framework on energy subsidies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531A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including fossil fuel subsidies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531A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have been set in the Regulation on the Governance of the Energy Union and Climate Action</w:t>
            </w:r>
            <w:r w:rsidR="00F44CC0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7"/>
            </w:r>
            <w:r w:rsidR="00531AA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531AAB" w:rsidRPr="00032AE1">
              <w:rPr>
                <w:rFonts w:ascii="Times New Roman" w:hAnsi="Times New Roman"/>
                <w:sz w:val="24"/>
                <w:szCs w:val="24"/>
                <w:lang w:val="en-IE"/>
              </w:rPr>
              <w:t>in 2018.</w:t>
            </w:r>
            <w:r w:rsidR="006B7661" w:rsidRPr="00032AE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691162" w:rsidRPr="00032AE1">
              <w:rPr>
                <w:rFonts w:ascii="Times New Roman" w:hAnsi="Times New Roman"/>
                <w:sz w:val="24"/>
                <w:szCs w:val="24"/>
                <w:lang w:val="en-IE"/>
              </w:rPr>
              <w:t>Updating and simplifying the</w:t>
            </w:r>
            <w:r w:rsidR="00D27A96" w:rsidRPr="00032AE1">
              <w:rPr>
                <w:rFonts w:ascii="Times New Roman" w:hAnsi="Times New Roman"/>
                <w:sz w:val="24"/>
                <w:szCs w:val="24"/>
                <w:lang w:val="en-IE"/>
              </w:rPr>
              <w:t>se rules</w:t>
            </w:r>
            <w:r w:rsidR="00F0282E" w:rsidRPr="00032AE1">
              <w:rPr>
                <w:rFonts w:ascii="Times New Roman" w:hAnsi="Times New Roman"/>
                <w:sz w:val="24"/>
                <w:szCs w:val="24"/>
                <w:lang w:val="en-IE"/>
              </w:rPr>
              <w:t>, including by placing the focus on untargeted subsidies not sufficiently addressing household and enterprise vulnerabilities,</w:t>
            </w:r>
            <w:r w:rsidR="00691162" w:rsidRPr="00032AE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4778C4" w:rsidRPr="00032AE1">
              <w:rPr>
                <w:rFonts w:ascii="Times New Roman" w:hAnsi="Times New Roman"/>
                <w:sz w:val="24"/>
                <w:szCs w:val="24"/>
                <w:lang w:val="en-IE"/>
              </w:rPr>
              <w:t>is</w:t>
            </w:r>
            <w:r w:rsidR="003267AF" w:rsidRPr="00032AE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also</w:t>
            </w:r>
            <w:r w:rsidR="00BA64B7" w:rsidRPr="0003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06C" w:rsidRPr="00032AE1">
              <w:rPr>
                <w:rFonts w:ascii="Times New Roman" w:hAnsi="Times New Roman"/>
                <w:sz w:val="24"/>
                <w:szCs w:val="24"/>
              </w:rPr>
              <w:t xml:space="preserve">paramount </w:t>
            </w:r>
            <w:r w:rsidR="00EE6D43" w:rsidRPr="00032AE1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BA64B7" w:rsidRPr="00032AE1">
              <w:rPr>
                <w:rFonts w:ascii="Times New Roman" w:hAnsi="Times New Roman"/>
                <w:sz w:val="24"/>
                <w:szCs w:val="24"/>
              </w:rPr>
              <w:t>encourage</w:t>
            </w:r>
            <w:r w:rsidR="00EE6D43" w:rsidRPr="0003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B64" w:rsidRPr="00032AE1">
              <w:rPr>
                <w:rFonts w:ascii="Times New Roman" w:hAnsi="Times New Roman"/>
                <w:sz w:val="24"/>
                <w:szCs w:val="24"/>
              </w:rPr>
              <w:t xml:space="preserve">and coordinate </w:t>
            </w:r>
            <w:r w:rsidR="00EE6D43" w:rsidRPr="00032AE1">
              <w:rPr>
                <w:rFonts w:ascii="Times New Roman" w:hAnsi="Times New Roman"/>
                <w:sz w:val="24"/>
                <w:szCs w:val="24"/>
              </w:rPr>
              <w:t>action</w:t>
            </w:r>
            <w:r w:rsidR="00401B64" w:rsidRPr="00032AE1">
              <w:rPr>
                <w:rFonts w:ascii="Times New Roman" w:hAnsi="Times New Roman"/>
                <w:sz w:val="24"/>
                <w:szCs w:val="24"/>
              </w:rPr>
              <w:t>s</w:t>
            </w:r>
            <w:r w:rsidR="00EE6D43" w:rsidRPr="00032AE1">
              <w:rPr>
                <w:rFonts w:ascii="Times New Roman" w:hAnsi="Times New Roman"/>
                <w:sz w:val="24"/>
                <w:szCs w:val="24"/>
              </w:rPr>
              <w:t xml:space="preserve"> throughout all Member States.</w:t>
            </w:r>
            <w:r w:rsidR="005A45D4" w:rsidRPr="00032AE1">
              <w:rPr>
                <w:rFonts w:ascii="Times New Roman" w:hAnsi="Times New Roman"/>
                <w:sz w:val="24"/>
                <w:szCs w:val="24"/>
              </w:rPr>
              <w:t xml:space="preserve"> This</w:t>
            </w:r>
            <w:r w:rsidR="005A45D4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5D2" w:rsidRPr="00211305">
              <w:rPr>
                <w:rFonts w:ascii="Times New Roman" w:hAnsi="Times New Roman"/>
                <w:sz w:val="24"/>
                <w:szCs w:val="24"/>
              </w:rPr>
              <w:t>could</w:t>
            </w:r>
            <w:r w:rsidR="005A45D4" w:rsidRPr="00211305">
              <w:rPr>
                <w:rFonts w:ascii="Times New Roman" w:hAnsi="Times New Roman"/>
                <w:sz w:val="24"/>
                <w:szCs w:val="24"/>
              </w:rPr>
              <w:t xml:space="preserve"> also reflect ongoing debates in the </w:t>
            </w:r>
            <w:r w:rsidR="00F44CC0" w:rsidRPr="00F44CC0">
              <w:rPr>
                <w:rFonts w:ascii="Times New Roman" w:hAnsi="Times New Roman"/>
                <w:sz w:val="24"/>
                <w:szCs w:val="24"/>
              </w:rPr>
              <w:t xml:space="preserve">Organisation for Economic Co-operation and Development </w:t>
            </w:r>
            <w:r w:rsidR="00F44CC0">
              <w:rPr>
                <w:rFonts w:ascii="Times New Roman" w:hAnsi="Times New Roman"/>
                <w:sz w:val="24"/>
                <w:szCs w:val="24"/>
              </w:rPr>
              <w:t>(</w:t>
            </w:r>
            <w:r w:rsidR="005A45D4" w:rsidRPr="00211305">
              <w:rPr>
                <w:rFonts w:ascii="Times New Roman" w:hAnsi="Times New Roman"/>
                <w:sz w:val="24"/>
                <w:szCs w:val="24"/>
              </w:rPr>
              <w:t>OECD</w:t>
            </w:r>
            <w:r w:rsidR="00F44CC0">
              <w:rPr>
                <w:rFonts w:ascii="Times New Roman" w:hAnsi="Times New Roman"/>
                <w:sz w:val="24"/>
                <w:szCs w:val="24"/>
              </w:rPr>
              <w:t>)</w:t>
            </w:r>
            <w:r w:rsidR="005A45D4" w:rsidRPr="00211305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="007405D2" w:rsidRPr="00211305">
              <w:rPr>
                <w:rFonts w:ascii="Times New Roman" w:hAnsi="Times New Roman"/>
                <w:sz w:val="24"/>
                <w:szCs w:val="24"/>
              </w:rPr>
              <w:t>improving the definition and measurement of fossil fuel subsidies</w:t>
            </w:r>
            <w:r w:rsidR="005D2224" w:rsidRPr="00211305">
              <w:rPr>
                <w:rFonts w:ascii="Times New Roman" w:hAnsi="Times New Roman"/>
                <w:sz w:val="24"/>
                <w:szCs w:val="24"/>
              </w:rPr>
              <w:t xml:space="preserve"> and possible complementary indicators</w:t>
            </w:r>
            <w:r w:rsidR="005B6782" w:rsidRPr="00211305">
              <w:rPr>
                <w:rFonts w:ascii="Times New Roman" w:hAnsi="Times New Roman"/>
                <w:sz w:val="24"/>
                <w:szCs w:val="24"/>
              </w:rPr>
              <w:t>.</w:t>
            </w:r>
            <w:r w:rsidR="00EE6D43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B64" w:rsidRPr="00211305">
              <w:rPr>
                <w:rFonts w:ascii="Times New Roman" w:hAnsi="Times New Roman"/>
                <w:sz w:val="24"/>
                <w:szCs w:val="24"/>
              </w:rPr>
              <w:t>T</w:t>
            </w:r>
            <w:r w:rsidR="00EE6D43" w:rsidRPr="00211305">
              <w:rPr>
                <w:rFonts w:ascii="Times New Roman" w:hAnsi="Times New Roman"/>
                <w:sz w:val="24"/>
                <w:szCs w:val="24"/>
              </w:rPr>
              <w:t xml:space="preserve">he Commission recently adopted its EU-wide assessment </w:t>
            </w:r>
            <w:r w:rsidR="00EE6D4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of the final updated national energy and climate plans</w:t>
            </w:r>
            <w:r w:rsidR="00FB385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(NECP</w:t>
            </w:r>
            <w:r w:rsidR="00BF0DF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FB385E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F44CC0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8"/>
            </w:r>
            <w:r w:rsidR="00F42DD0" w:rsidRPr="002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42C61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Th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e</w:t>
            </w:r>
            <w:r w:rsidR="00742C61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assessment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includes recommendations that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BF0DF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encourage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Member States to set a clear and credible timeline for the phase out of fossil fuel subsidies. </w:t>
            </w:r>
            <w:r w:rsidR="00BF0DF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</w:t>
            </w:r>
            <w:r w:rsidR="0072586B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also </w:t>
            </w:r>
            <w:r w:rsidR="00BF0DF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commits t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he Commission to develop a</w:t>
            </w:r>
            <w:r w:rsidR="00F44CC0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roadmap to further scale down and phase out fossil fuel subsidies as part of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work to reduce Europe’s dependencies. </w:t>
            </w:r>
            <w:r w:rsidR="00BF0DF3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It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guides Member States towards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free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-up resources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us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ing them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support a fair and just climate and energy transition, in line with the energy and climate objectives and with a view to building a competitive clean industrial base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strengthening </w:t>
            </w:r>
            <w:r w:rsidR="00A15A30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the EU’s</w:t>
            </w:r>
            <w:r w:rsidR="009E33BD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strategic autonomy</w:t>
            </w:r>
            <w:r w:rsidR="438EE070" w:rsidRPr="002113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796D5D9" w14:textId="0F12C0C9" w:rsidR="00EF369C" w:rsidRPr="00211305" w:rsidRDefault="00BF0DF3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 xml:space="preserve">recently adopted </w:t>
            </w:r>
            <w:r w:rsidR="00F222F3" w:rsidRPr="00211305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AD655A8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>European Semester</w:t>
            </w:r>
            <w:r w:rsidR="00EF369C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2F3" w:rsidRPr="00211305">
              <w:rPr>
                <w:rFonts w:ascii="Times New Roman" w:hAnsi="Times New Roman"/>
                <w:sz w:val="24"/>
                <w:szCs w:val="24"/>
              </w:rPr>
              <w:t>Spring Package</w:t>
            </w:r>
            <w:r w:rsidR="00F44CC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  <w:r w:rsidR="00F222F3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AE7" w:rsidRPr="00211305">
              <w:rPr>
                <w:rFonts w:ascii="Times New Roman" w:hAnsi="Times New Roman"/>
                <w:sz w:val="24"/>
                <w:szCs w:val="24"/>
              </w:rPr>
              <w:t>call</w:t>
            </w:r>
            <w:r w:rsidR="00F222F3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206AE7" w:rsidRPr="00211305">
              <w:rPr>
                <w:rFonts w:ascii="Times New Roman" w:hAnsi="Times New Roman"/>
                <w:sz w:val="24"/>
                <w:szCs w:val="24"/>
              </w:rPr>
              <w:t xml:space="preserve"> for continued decarbonisation of the energy system and, for </w:t>
            </w:r>
            <w:r w:rsidR="205BCF02" w:rsidRPr="00211305">
              <w:rPr>
                <w:rFonts w:ascii="Times New Roman" w:hAnsi="Times New Roman"/>
                <w:sz w:val="24"/>
                <w:szCs w:val="24"/>
              </w:rPr>
              <w:t xml:space="preserve">a number of </w:t>
            </w:r>
            <w:r w:rsidR="00EF369C" w:rsidRPr="00211305">
              <w:rPr>
                <w:rFonts w:ascii="Times New Roman" w:hAnsi="Times New Roman"/>
                <w:sz w:val="24"/>
                <w:szCs w:val="24"/>
              </w:rPr>
              <w:t>Member States</w:t>
            </w:r>
            <w:r w:rsidR="00206AE7" w:rsidRPr="00211305">
              <w:rPr>
                <w:rFonts w:ascii="Times New Roman" w:hAnsi="Times New Roman"/>
                <w:sz w:val="24"/>
                <w:szCs w:val="24"/>
              </w:rPr>
              <w:t>, include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655040" w:rsidRPr="00211305">
              <w:rPr>
                <w:rFonts w:ascii="Times New Roman" w:hAnsi="Times New Roman"/>
                <w:sz w:val="24"/>
                <w:szCs w:val="24"/>
              </w:rPr>
              <w:t xml:space="preserve"> proposals for</w:t>
            </w:r>
            <w:r w:rsidR="00206AE7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2F3" w:rsidRPr="00211305">
              <w:rPr>
                <w:rFonts w:ascii="Times New Roman" w:hAnsi="Times New Roman"/>
                <w:sz w:val="24"/>
                <w:szCs w:val="24"/>
              </w:rPr>
              <w:t>Country-Specific Recommendations</w:t>
            </w:r>
            <w:r w:rsidR="354A1EF6" w:rsidRPr="00211305">
              <w:rPr>
                <w:rFonts w:ascii="Times New Roman" w:hAnsi="Times New Roman"/>
                <w:sz w:val="24"/>
                <w:szCs w:val="24"/>
              </w:rPr>
              <w:t xml:space="preserve"> to take concrete steps to phase out fossil-fuel subsidies</w:t>
            </w:r>
            <w:r w:rsidR="00FC0B19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54A1EF6" w:rsidRPr="00211305">
              <w:rPr>
                <w:rFonts w:ascii="Times New Roman" w:hAnsi="Times New Roman"/>
                <w:sz w:val="24"/>
                <w:szCs w:val="24"/>
              </w:rPr>
              <w:t>that do not address energy poverty in a targeted way nor genuine energy security concerns, hinder electrification and are not crucial for industrial competitiveness</w:t>
            </w:r>
            <w:r w:rsidR="3C7FF8E7" w:rsidRPr="00211305">
              <w:rPr>
                <w:rFonts w:ascii="Times New Roman" w:hAnsi="Times New Roman"/>
                <w:sz w:val="24"/>
                <w:szCs w:val="24"/>
              </w:rPr>
              <w:t>.</w:t>
            </w:r>
            <w:r w:rsidR="00496451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F3B" w:rsidRPr="00211305">
              <w:rPr>
                <w:rFonts w:ascii="Times New Roman" w:hAnsi="Times New Roman"/>
                <w:sz w:val="24"/>
                <w:szCs w:val="24"/>
              </w:rPr>
              <w:t xml:space="preserve">These </w:t>
            </w:r>
            <w:r w:rsidR="00BE676D" w:rsidRPr="00211305">
              <w:rPr>
                <w:rFonts w:ascii="Times New Roman" w:hAnsi="Times New Roman"/>
                <w:sz w:val="24"/>
                <w:szCs w:val="24"/>
              </w:rPr>
              <w:t xml:space="preserve">policy </w:t>
            </w:r>
            <w:r w:rsidR="004D5E80" w:rsidRPr="00211305">
              <w:rPr>
                <w:rFonts w:ascii="Times New Roman" w:hAnsi="Times New Roman"/>
                <w:sz w:val="24"/>
                <w:szCs w:val="24"/>
              </w:rPr>
              <w:t>recommendations</w:t>
            </w:r>
            <w:r w:rsidR="001B504C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65B" w:rsidRPr="00211305">
              <w:rPr>
                <w:rFonts w:ascii="Times New Roman" w:hAnsi="Times New Roman"/>
                <w:sz w:val="24"/>
                <w:szCs w:val="24"/>
              </w:rPr>
              <w:t xml:space="preserve">are underpinned by </w:t>
            </w:r>
            <w:r w:rsidR="002C265B" w:rsidRPr="00211305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r w:rsidR="00F44CC0">
              <w:rPr>
                <w:rFonts w:ascii="Times New Roman" w:hAnsi="Times New Roman"/>
                <w:sz w:val="24"/>
                <w:szCs w:val="24"/>
              </w:rPr>
              <w:t> </w:t>
            </w:r>
            <w:r w:rsidR="0019416C" w:rsidRPr="00211305">
              <w:rPr>
                <w:rFonts w:ascii="Times New Roman" w:hAnsi="Times New Roman"/>
                <w:sz w:val="24"/>
                <w:szCs w:val="24"/>
              </w:rPr>
              <w:t xml:space="preserve">streamlined </w:t>
            </w:r>
            <w:r w:rsidR="00BD1824" w:rsidRPr="00211305">
              <w:rPr>
                <w:rFonts w:ascii="Times New Roman" w:hAnsi="Times New Roman"/>
                <w:sz w:val="24"/>
                <w:szCs w:val="24"/>
              </w:rPr>
              <w:t xml:space="preserve">quantitative and qualitative </w:t>
            </w:r>
            <w:r w:rsidR="0019416C" w:rsidRPr="00211305">
              <w:rPr>
                <w:rFonts w:ascii="Times New Roman" w:hAnsi="Times New Roman"/>
                <w:sz w:val="24"/>
                <w:szCs w:val="24"/>
              </w:rPr>
              <w:t xml:space="preserve">assessment </w:t>
            </w:r>
            <w:r w:rsidR="00A059DC" w:rsidRPr="00211305">
              <w:rPr>
                <w:rFonts w:ascii="Times New Roman" w:hAnsi="Times New Roman"/>
                <w:sz w:val="24"/>
                <w:szCs w:val="24"/>
              </w:rPr>
              <w:t>of fossil fuel subsidies</w:t>
            </w:r>
            <w:r w:rsidR="00E85BF8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A059DC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EEA" w:rsidRPr="00211305">
              <w:rPr>
                <w:rFonts w:ascii="Times New Roman" w:hAnsi="Times New Roman"/>
                <w:sz w:val="24"/>
                <w:szCs w:val="24"/>
              </w:rPr>
              <w:t xml:space="preserve">including </w:t>
            </w:r>
            <w:r w:rsidR="00BD3D39" w:rsidRPr="00211305">
              <w:rPr>
                <w:rFonts w:ascii="Times New Roman" w:hAnsi="Times New Roman"/>
                <w:sz w:val="24"/>
                <w:szCs w:val="24"/>
              </w:rPr>
              <w:t>criteria for priori</w:t>
            </w:r>
            <w:r w:rsidR="00DE427D" w:rsidRPr="00211305">
              <w:rPr>
                <w:rFonts w:ascii="Times New Roman" w:hAnsi="Times New Roman"/>
                <w:sz w:val="24"/>
                <w:szCs w:val="24"/>
              </w:rPr>
              <w:t>ti</w:t>
            </w:r>
            <w:r w:rsidR="00BD3D39" w:rsidRPr="00211305">
              <w:rPr>
                <w:rFonts w:ascii="Times New Roman" w:hAnsi="Times New Roman"/>
                <w:sz w:val="24"/>
                <w:szCs w:val="24"/>
              </w:rPr>
              <w:t xml:space="preserve">sation </w:t>
            </w:r>
            <w:r w:rsidR="001B504C" w:rsidRPr="00211305">
              <w:rPr>
                <w:rFonts w:ascii="Times New Roman" w:hAnsi="Times New Roman"/>
                <w:sz w:val="24"/>
                <w:szCs w:val="24"/>
              </w:rPr>
              <w:t>across all Country Reports.</w:t>
            </w:r>
            <w:r w:rsidR="00AF122C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7CF" w:rsidRPr="00211305">
              <w:rPr>
                <w:rFonts w:ascii="Times New Roman" w:hAnsi="Times New Roman"/>
                <w:sz w:val="24"/>
                <w:szCs w:val="24"/>
              </w:rPr>
              <w:t>The package</w:t>
            </w:r>
            <w:r w:rsidR="00DC238B" w:rsidRPr="00211305">
              <w:rPr>
                <w:rFonts w:ascii="Times New Roman" w:hAnsi="Times New Roman"/>
                <w:sz w:val="24"/>
                <w:szCs w:val="24"/>
              </w:rPr>
              <w:t xml:space="preserve"> also highlighted t</w:t>
            </w:r>
            <w:r w:rsidR="00AC3FE0" w:rsidRPr="00211305">
              <w:rPr>
                <w:rFonts w:ascii="Times New Roman" w:hAnsi="Times New Roman"/>
                <w:sz w:val="24"/>
                <w:szCs w:val="24"/>
              </w:rPr>
              <w:t>he high public debt level in a</w:t>
            </w:r>
            <w:r w:rsidR="00F44CC0">
              <w:rPr>
                <w:rFonts w:ascii="Times New Roman" w:hAnsi="Times New Roman"/>
                <w:sz w:val="24"/>
                <w:szCs w:val="24"/>
              </w:rPr>
              <w:t> </w:t>
            </w:r>
            <w:r w:rsidR="00AC3FE0" w:rsidRPr="00211305">
              <w:rPr>
                <w:rFonts w:ascii="Times New Roman" w:hAnsi="Times New Roman"/>
                <w:sz w:val="24"/>
                <w:szCs w:val="24"/>
              </w:rPr>
              <w:t xml:space="preserve">number of Member </w:t>
            </w:r>
            <w:r w:rsidR="00DC238B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AC3FE0" w:rsidRPr="00211305">
              <w:rPr>
                <w:rFonts w:ascii="Times New Roman" w:hAnsi="Times New Roman"/>
                <w:sz w:val="24"/>
                <w:szCs w:val="24"/>
              </w:rPr>
              <w:t>tates</w:t>
            </w:r>
            <w:r w:rsidR="00DC238B" w:rsidRPr="00211305">
              <w:rPr>
                <w:rFonts w:ascii="Times New Roman" w:hAnsi="Times New Roman"/>
                <w:sz w:val="24"/>
                <w:szCs w:val="24"/>
              </w:rPr>
              <w:t xml:space="preserve"> and the</w:t>
            </w:r>
            <w:r w:rsidR="00AC3FE0" w:rsidRPr="00211305">
              <w:rPr>
                <w:rFonts w:ascii="Times New Roman" w:hAnsi="Times New Roman"/>
                <w:sz w:val="24"/>
                <w:szCs w:val="24"/>
              </w:rPr>
              <w:t xml:space="preserve"> importance of</w:t>
            </w:r>
            <w:r w:rsidR="00DC238B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FE0" w:rsidRPr="00211305">
              <w:rPr>
                <w:rFonts w:ascii="Times New Roman" w:hAnsi="Times New Roman"/>
                <w:sz w:val="24"/>
                <w:szCs w:val="24"/>
              </w:rPr>
              <w:t>ensuring the quality of public expenditure.</w:t>
            </w:r>
            <w:r w:rsidR="00DC238B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76D" w:rsidRPr="00211305">
              <w:rPr>
                <w:rFonts w:ascii="Times New Roman" w:hAnsi="Times New Roman"/>
                <w:sz w:val="24"/>
                <w:szCs w:val="24"/>
              </w:rPr>
              <w:t xml:space="preserve">The European Semester is expected to remain an important channel for monitoring and assessing fossil fuel subsidies 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 xml:space="preserve">and their phase-out </w:t>
            </w:r>
            <w:r w:rsidR="00BE676D" w:rsidRPr="00211305">
              <w:rPr>
                <w:rFonts w:ascii="Times New Roman" w:hAnsi="Times New Roman"/>
                <w:sz w:val="24"/>
                <w:szCs w:val="24"/>
              </w:rPr>
              <w:t>in the EU</w:t>
            </w:r>
            <w:r w:rsidR="00313E66" w:rsidRPr="002113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9B8C6B" w14:textId="3376F788" w:rsidR="003F6B16" w:rsidRPr="00211305" w:rsidRDefault="00194B45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350F5C" w:rsidRPr="00211305">
              <w:rPr>
                <w:rFonts w:ascii="Times New Roman" w:hAnsi="Times New Roman"/>
                <w:sz w:val="24"/>
                <w:szCs w:val="24"/>
              </w:rPr>
              <w:t xml:space="preserve">recently issued </w:t>
            </w:r>
            <w:r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>Affordable Energy Action Plan</w:t>
            </w:r>
            <w:r w:rsidR="00F44CC0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</w:rPr>
              <w:footnoteReference w:id="10"/>
            </w:r>
            <w:r w:rsidR="00350F5C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50F5C" w:rsidRPr="00211305">
              <w:rPr>
                <w:rFonts w:ascii="Times New Roman" w:hAnsi="Times New Roman"/>
                <w:sz w:val="24"/>
                <w:szCs w:val="24"/>
              </w:rPr>
              <w:t>and</w:t>
            </w:r>
            <w:r w:rsidR="00350F5C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F4D77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the </w:t>
            </w:r>
            <w:r w:rsidR="00350F5C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>Citizen</w:t>
            </w:r>
            <w:r w:rsidR="00F44CC0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="00350F5C" w:rsidRPr="002113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Energy Package</w:t>
            </w:r>
            <w:r w:rsidR="00092024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</w:rPr>
              <w:footnoteReference w:id="11"/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 should contribute to affordability of clean energy for households, to alleviate potential </w:t>
            </w:r>
            <w:r w:rsidR="00FC2E98" w:rsidRPr="00211305">
              <w:rPr>
                <w:rFonts w:ascii="Times New Roman" w:hAnsi="Times New Roman"/>
                <w:sz w:val="24"/>
                <w:szCs w:val="24"/>
              </w:rPr>
              <w:t>disproportionate</w:t>
            </w:r>
            <w:r w:rsidR="00F163DD" w:rsidRPr="00211305">
              <w:rPr>
                <w:rFonts w:ascii="Times New Roman" w:hAnsi="Times New Roman"/>
                <w:sz w:val="24"/>
                <w:szCs w:val="24"/>
              </w:rPr>
              <w:t xml:space="preserve"> negative</w:t>
            </w:r>
            <w:r w:rsidR="00FC2E98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impacts on </w:t>
            </w:r>
            <w:r w:rsidR="004C12CC" w:rsidRPr="00211305">
              <w:rPr>
                <w:rFonts w:ascii="Times New Roman" w:hAnsi="Times New Roman"/>
                <w:sz w:val="24"/>
                <w:szCs w:val="24"/>
              </w:rPr>
              <w:t xml:space="preserve">energy prices </w:t>
            </w:r>
            <w:r w:rsidR="00EB7585" w:rsidRPr="0021130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>costs</w:t>
            </w:r>
            <w:r w:rsidR="004C12CC" w:rsidRPr="002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>The</w:t>
            </w:r>
            <w:r w:rsidR="006928BF" w:rsidRPr="00211305">
              <w:rPr>
                <w:rFonts w:ascii="Times New Roman" w:hAnsi="Times New Roman"/>
                <w:sz w:val="24"/>
                <w:szCs w:val="24"/>
              </w:rPr>
              <w:t xml:space="preserve"> plan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6928BF" w:rsidRPr="00211305">
              <w:rPr>
                <w:rFonts w:ascii="Times New Roman" w:hAnsi="Times New Roman"/>
                <w:sz w:val="24"/>
                <w:szCs w:val="24"/>
              </w:rPr>
              <w:t xml:space="preserve"> together with the Commission work in the </w:t>
            </w:r>
            <w:r w:rsidR="006134D4" w:rsidRPr="00211305">
              <w:rPr>
                <w:rFonts w:ascii="Times New Roman" w:hAnsi="Times New Roman"/>
                <w:sz w:val="24"/>
                <w:szCs w:val="24"/>
              </w:rPr>
              <w:t>above-mentioned</w:t>
            </w:r>
            <w:r w:rsidR="006928BF" w:rsidRPr="00211305">
              <w:rPr>
                <w:rFonts w:ascii="Times New Roman" w:hAnsi="Times New Roman"/>
                <w:sz w:val="24"/>
                <w:szCs w:val="24"/>
              </w:rPr>
              <w:t xml:space="preserve"> initiatives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6928BF" w:rsidRPr="00211305">
              <w:rPr>
                <w:rFonts w:ascii="Times New Roman" w:hAnsi="Times New Roman"/>
                <w:sz w:val="24"/>
                <w:szCs w:val="24"/>
              </w:rPr>
              <w:t xml:space="preserve"> will help 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>to create the enabling regulatory and policy conditions whereby fossil fuel subsidies can be phase</w:t>
            </w:r>
            <w:r w:rsidR="0020142C" w:rsidRPr="00211305">
              <w:rPr>
                <w:rFonts w:ascii="Times New Roman" w:hAnsi="Times New Roman"/>
                <w:sz w:val="24"/>
                <w:szCs w:val="24"/>
              </w:rPr>
              <w:t>d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>-out in a balanced, fair and gradual way</w:t>
            </w:r>
            <w:r w:rsidR="0088097A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 xml:space="preserve"> while also contributing to the rolling out of their substitutes</w:t>
            </w:r>
            <w:r w:rsidR="0088097A" w:rsidRPr="00211305">
              <w:rPr>
                <w:rFonts w:ascii="Times New Roman" w:hAnsi="Times New Roman"/>
                <w:sz w:val="24"/>
                <w:szCs w:val="24"/>
              </w:rPr>
              <w:t xml:space="preserve">, notably renewables, 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 xml:space="preserve">clean </w:t>
            </w:r>
            <w:r w:rsidR="0088097A" w:rsidRPr="00211305">
              <w:rPr>
                <w:rFonts w:ascii="Times New Roman" w:hAnsi="Times New Roman"/>
                <w:sz w:val="24"/>
                <w:szCs w:val="24"/>
              </w:rPr>
              <w:t xml:space="preserve">and energy efficient 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88097A" w:rsidRPr="00211305">
              <w:rPr>
                <w:rFonts w:ascii="Times New Roman" w:hAnsi="Times New Roman"/>
                <w:sz w:val="24"/>
                <w:szCs w:val="24"/>
              </w:rPr>
              <w:t>olutions</w:t>
            </w:r>
            <w:r w:rsidR="006928BF" w:rsidRPr="002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>across the EU</w:t>
            </w:r>
            <w:r w:rsidR="00A15A30" w:rsidRPr="00211305">
              <w:rPr>
                <w:rFonts w:ascii="Times New Roman" w:hAnsi="Times New Roman"/>
                <w:sz w:val="24"/>
                <w:szCs w:val="24"/>
              </w:rPr>
              <w:t>’s</w:t>
            </w:r>
            <w:r w:rsidR="003F6B16" w:rsidRPr="00211305">
              <w:rPr>
                <w:rFonts w:ascii="Times New Roman" w:hAnsi="Times New Roman"/>
                <w:sz w:val="24"/>
                <w:szCs w:val="24"/>
              </w:rPr>
              <w:t xml:space="preserve"> entire economy, including industry, buildings, transport and agriculture.</w:t>
            </w:r>
          </w:p>
          <w:p w14:paraId="402681DC" w14:textId="19FBF118" w:rsidR="00224B57" w:rsidRPr="00211305" w:rsidRDefault="00886ED6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>T</w:t>
            </w:r>
            <w:r w:rsidR="00A71A1F" w:rsidRPr="00211305">
              <w:rPr>
                <w:rFonts w:ascii="Times New Roman" w:hAnsi="Times New Roman"/>
                <w:sz w:val="24"/>
                <w:szCs w:val="24"/>
              </w:rPr>
              <w:t xml:space="preserve">he Commission 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actively participating in the various </w:t>
            </w:r>
            <w:r w:rsidR="00E13684" w:rsidRPr="002C0A34">
              <w:rPr>
                <w:rFonts w:ascii="Times New Roman" w:hAnsi="Times New Roman"/>
                <w:sz w:val="24"/>
                <w:szCs w:val="24"/>
              </w:rPr>
              <w:t>international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 fora and cooperate</w:t>
            </w:r>
            <w:r w:rsidR="007A50F8">
              <w:rPr>
                <w:rFonts w:ascii="Times New Roman" w:hAnsi="Times New Roman"/>
                <w:sz w:val="24"/>
                <w:szCs w:val="24"/>
              </w:rPr>
              <w:t>s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 with relevant international organisations promoting the global phase-out of fossil fuel subsidies. This work, among other things</w:t>
            </w:r>
            <w:r w:rsidR="00CC42E2" w:rsidRPr="00211305">
              <w:rPr>
                <w:rFonts w:ascii="Times New Roman" w:hAnsi="Times New Roman"/>
                <w:sz w:val="24"/>
                <w:szCs w:val="24"/>
              </w:rPr>
              <w:t>,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 encompasses clarifying and building consensus on the definition, measurement, reporting and best practices, as well as forward looking strategies and policies </w:t>
            </w:r>
            <w:r w:rsidR="00CC42E2" w:rsidRPr="0021130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>fossil fuel subsidies</w:t>
            </w:r>
            <w:r w:rsidR="00CC42E2" w:rsidRPr="00211305">
              <w:rPr>
                <w:rFonts w:ascii="Times New Roman" w:hAnsi="Times New Roman"/>
                <w:sz w:val="24"/>
                <w:szCs w:val="24"/>
              </w:rPr>
              <w:t>’ phase-out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672AFD" w14:textId="307D92A4" w:rsidR="0049246C" w:rsidRDefault="00CC42E2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211305">
              <w:rPr>
                <w:rFonts w:ascii="Times New Roman" w:hAnsi="Times New Roman"/>
                <w:sz w:val="24"/>
                <w:szCs w:val="24"/>
              </w:rPr>
              <w:t>The Commission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 conduct</w:t>
            </w:r>
            <w:r w:rsidR="009629E9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 regular dialogues with </w:t>
            </w:r>
            <w:r w:rsidRPr="00211305">
              <w:rPr>
                <w:rFonts w:ascii="Times New Roman" w:hAnsi="Times New Roman"/>
                <w:sz w:val="24"/>
                <w:szCs w:val="24"/>
              </w:rPr>
              <w:t xml:space="preserve">international stakeholders </w:t>
            </w:r>
            <w:r w:rsidR="00D86ECF" w:rsidRPr="0021130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Member States </w:t>
            </w:r>
            <w:r w:rsidR="002B7DB8" w:rsidRPr="00211305">
              <w:rPr>
                <w:rFonts w:ascii="Times New Roman" w:hAnsi="Times New Roman"/>
                <w:sz w:val="24"/>
                <w:szCs w:val="24"/>
              </w:rPr>
              <w:t xml:space="preserve">which feed the preparation of </w:t>
            </w:r>
            <w:r w:rsidR="00224B57" w:rsidRPr="00211305">
              <w:rPr>
                <w:rFonts w:ascii="Times New Roman" w:hAnsi="Times New Roman"/>
                <w:sz w:val="24"/>
                <w:szCs w:val="24"/>
              </w:rPr>
              <w:t xml:space="preserve">the review of the Governance regulation </w:t>
            </w:r>
            <w:r w:rsidR="00C71A3D" w:rsidRPr="00211305">
              <w:rPr>
                <w:rFonts w:ascii="Times New Roman" w:hAnsi="Times New Roman"/>
                <w:sz w:val="24"/>
                <w:szCs w:val="24"/>
              </w:rPr>
              <w:t xml:space="preserve">and help </w:t>
            </w:r>
            <w:r w:rsidR="00927678" w:rsidRPr="00211305">
              <w:rPr>
                <w:rFonts w:ascii="Times New Roman" w:hAnsi="Times New Roman"/>
                <w:sz w:val="24"/>
                <w:szCs w:val="24"/>
              </w:rPr>
              <w:t>lead international action</w:t>
            </w:r>
            <w:r w:rsidR="0088097A" w:rsidRPr="00211305">
              <w:rPr>
                <w:rFonts w:ascii="Times New Roman" w:hAnsi="Times New Roman"/>
                <w:sz w:val="24"/>
                <w:szCs w:val="24"/>
              </w:rPr>
              <w:t>s</w:t>
            </w:r>
            <w:r w:rsidR="00E13684" w:rsidRPr="002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678" w:rsidRPr="00211305">
              <w:rPr>
                <w:rFonts w:ascii="Times New Roman" w:hAnsi="Times New Roman"/>
                <w:sz w:val="24"/>
                <w:szCs w:val="24"/>
              </w:rPr>
              <w:t>This includes the preparat</w:t>
            </w:r>
            <w:r w:rsidR="002B7DB8" w:rsidRPr="00211305">
              <w:rPr>
                <w:rFonts w:ascii="Times New Roman" w:hAnsi="Times New Roman"/>
                <w:sz w:val="24"/>
                <w:szCs w:val="24"/>
              </w:rPr>
              <w:t>ory work</w:t>
            </w:r>
            <w:r w:rsidR="00927678" w:rsidRPr="00211305">
              <w:rPr>
                <w:rFonts w:ascii="Times New Roman" w:hAnsi="Times New Roman"/>
                <w:sz w:val="24"/>
                <w:szCs w:val="24"/>
              </w:rPr>
              <w:t xml:space="preserve"> for the next </w:t>
            </w:r>
            <w:r w:rsidR="00092024" w:rsidRPr="002C0A34">
              <w:rPr>
                <w:rFonts w:ascii="Times New Roman" w:hAnsi="Times New Roman"/>
                <w:sz w:val="24"/>
                <w:szCs w:val="24"/>
              </w:rPr>
              <w:t>UN Climate Change Conference</w:t>
            </w:r>
            <w:r w:rsidR="00092024" w:rsidRPr="0009202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</w:t>
            </w:r>
            <w:r w:rsidR="00927678" w:rsidRPr="002C0A34">
              <w:rPr>
                <w:rFonts w:ascii="Times New Roman" w:hAnsi="Times New Roman"/>
                <w:sz w:val="24"/>
                <w:szCs w:val="24"/>
              </w:rPr>
              <w:t>Bel</w:t>
            </w:r>
            <w:r w:rsidR="00092024" w:rsidRPr="002C0A34">
              <w:rPr>
                <w:rFonts w:ascii="Times New Roman" w:hAnsi="Times New Roman"/>
                <w:sz w:val="24"/>
                <w:szCs w:val="24"/>
              </w:rPr>
              <w:t>é</w:t>
            </w:r>
            <w:r w:rsidR="00927678" w:rsidRPr="002C0A34">
              <w:rPr>
                <w:rFonts w:ascii="Times New Roman" w:hAnsi="Times New Roman"/>
                <w:sz w:val="24"/>
                <w:szCs w:val="24"/>
              </w:rPr>
              <w:t>m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, Brazil</w:t>
            </w:r>
            <w:r w:rsidR="00092024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 November 2025</w:t>
            </w:r>
            <w:r w:rsidR="0009202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</w:t>
            </w:r>
            <w:r w:rsidR="00092024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COP30</w:t>
            </w:r>
            <w:r w:rsidR="00092024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where the Commission will set out </w:t>
            </w:r>
            <w:r w:rsidR="0088097A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the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EU</w:t>
            </w:r>
            <w:r w:rsidR="0088097A" w:rsidRPr="00211305">
              <w:rPr>
                <w:rFonts w:ascii="Times New Roman" w:hAnsi="Times New Roman"/>
                <w:sz w:val="24"/>
                <w:szCs w:val="24"/>
                <w:lang w:val="en-IE"/>
              </w:rPr>
              <w:t>’s</w:t>
            </w:r>
            <w:r w:rsidR="00927678" w:rsidRPr="0021130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global climate and energy vision, including as regards fossil fuel phase-out.</w:t>
            </w:r>
          </w:p>
          <w:p w14:paraId="30D14481" w14:textId="05F68B41" w:rsidR="007A50F8" w:rsidRPr="00E22D3A" w:rsidRDefault="0091076F" w:rsidP="00E22D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new 2028-2034 multiannual framework recommends earmarking </w:t>
            </w:r>
            <w:r w:rsidR="00443CEC">
              <w:rPr>
                <w:rFonts w:ascii="Times New Roman" w:hAnsi="Times New Roman"/>
                <w:sz w:val="24"/>
                <w:szCs w:val="24"/>
                <w:lang w:val="en-IE"/>
              </w:rPr>
              <w:t>research and development (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R&amp;D</w:t>
            </w:r>
            <w:r w:rsidR="00443CEC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funding for clean fuels, respecting strict criteria in line with the EU Taxonomy</w:t>
            </w:r>
            <w:r w:rsidR="00443CEC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</w:tc>
      </w:tr>
    </w:tbl>
    <w:p w14:paraId="4B31F071" w14:textId="77777777" w:rsidR="00077C4F" w:rsidRPr="00E22D3A" w:rsidRDefault="00077C4F" w:rsidP="00E22D3A">
      <w:pPr>
        <w:widowControl w:val="0"/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</w:p>
    <w:sectPr w:rsidR="00077C4F" w:rsidRPr="00E22D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BC" w14:textId="77777777" w:rsidR="007B3F59" w:rsidRDefault="007B3F59" w:rsidP="00FF63EA">
      <w:pPr>
        <w:spacing w:after="0" w:line="240" w:lineRule="auto"/>
      </w:pPr>
      <w:r>
        <w:separator/>
      </w:r>
    </w:p>
  </w:endnote>
  <w:endnote w:type="continuationSeparator" w:id="0">
    <w:p w14:paraId="5B4E0CB1" w14:textId="77777777" w:rsidR="007B3F59" w:rsidRDefault="007B3F59" w:rsidP="00FF63EA">
      <w:pPr>
        <w:spacing w:after="0" w:line="240" w:lineRule="auto"/>
      </w:pPr>
      <w:r>
        <w:continuationSeparator/>
      </w:r>
    </w:p>
  </w:endnote>
  <w:endnote w:type="continuationNotice" w:id="1">
    <w:p w14:paraId="13114AC5" w14:textId="77777777" w:rsidR="007B3F59" w:rsidRDefault="007B3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AE5C" w14:textId="77777777" w:rsidR="0015385B" w:rsidRDefault="00153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2EE5" w14:textId="77777777" w:rsidR="0015385B" w:rsidRDefault="001538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A674D7" w14:textId="77777777" w:rsidR="0015385B" w:rsidRDefault="00153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6D1" w14:textId="77777777" w:rsidR="0015385B" w:rsidRDefault="00153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229C" w14:textId="77777777" w:rsidR="007B3F59" w:rsidRDefault="007B3F59" w:rsidP="00FF63EA">
      <w:pPr>
        <w:spacing w:after="0" w:line="240" w:lineRule="auto"/>
      </w:pPr>
      <w:r>
        <w:separator/>
      </w:r>
    </w:p>
  </w:footnote>
  <w:footnote w:type="continuationSeparator" w:id="0">
    <w:p w14:paraId="7D6CE020" w14:textId="77777777" w:rsidR="007B3F59" w:rsidRDefault="007B3F59" w:rsidP="00FF63EA">
      <w:pPr>
        <w:spacing w:after="0" w:line="240" w:lineRule="auto"/>
      </w:pPr>
      <w:r>
        <w:continuationSeparator/>
      </w:r>
    </w:p>
  </w:footnote>
  <w:footnote w:type="continuationNotice" w:id="1">
    <w:p w14:paraId="103F7A2A" w14:textId="77777777" w:rsidR="007B3F59" w:rsidRDefault="007B3F59">
      <w:pPr>
        <w:spacing w:after="0" w:line="240" w:lineRule="auto"/>
      </w:pPr>
    </w:p>
  </w:footnote>
  <w:footnote w:id="2">
    <w:p w14:paraId="380D459E" w14:textId="17C0DE54" w:rsidR="00E93C58" w:rsidRPr="00F36178" w:rsidRDefault="00E93C58" w:rsidP="002C0A34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en-I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</w:rPr>
        <w:t xml:space="preserve"> </w:t>
      </w:r>
      <w:r w:rsidRPr="00F36178">
        <w:rPr>
          <w:rFonts w:ascii="Times New Roman" w:hAnsi="Times New Roman"/>
          <w:lang w:val="en-IE"/>
        </w:rPr>
        <w:tab/>
      </w:r>
      <w:r w:rsidRPr="00F36178">
        <w:rPr>
          <w:rFonts w:ascii="Times New Roman" w:hAnsi="Times New Roman"/>
        </w:rPr>
        <w:t>Decision (EU) 2022/591 of the European Parliament and of the Council of 6 April 2022 on a General Union Environment Action Programme to 2030 (</w:t>
      </w:r>
      <w:hyperlink r:id="rId1" w:history="1">
        <w:r w:rsidR="00762BBD" w:rsidRPr="002C2E2E">
          <w:rPr>
            <w:rStyle w:val="Hyperlink"/>
            <w:rFonts w:ascii="Times New Roman" w:hAnsi="Times New Roman"/>
          </w:rPr>
          <w:t>http://data.europa.eu/eli/dec/2022/591/oj</w:t>
        </w:r>
      </w:hyperlink>
      <w:r w:rsidRPr="00F36178">
        <w:rPr>
          <w:rFonts w:ascii="Times New Roman" w:hAnsi="Times New Roman"/>
        </w:rPr>
        <w:t>).</w:t>
      </w:r>
    </w:p>
  </w:footnote>
  <w:footnote w:id="3">
    <w:p w14:paraId="06BB0342" w14:textId="2C980F9D" w:rsidR="00E93C58" w:rsidRPr="00762BBD" w:rsidRDefault="00E93C58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fr-B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762BBD">
        <w:rPr>
          <w:rFonts w:ascii="Times New Roman" w:hAnsi="Times New Roman"/>
          <w:lang w:val="fr-BE"/>
        </w:rPr>
        <w:t xml:space="preserve"> </w:t>
      </w:r>
      <w:r w:rsidRPr="00762BBD">
        <w:rPr>
          <w:rFonts w:ascii="Times New Roman" w:hAnsi="Times New Roman"/>
          <w:lang w:val="fr-BE"/>
        </w:rPr>
        <w:tab/>
        <w:t>COM(2021) 563 final (</w:t>
      </w:r>
      <w:hyperlink r:id="rId2" w:history="1">
        <w:r w:rsidRPr="00762BBD">
          <w:rPr>
            <w:rStyle w:val="Hyperlink"/>
            <w:rFonts w:ascii="Times New Roman" w:hAnsi="Times New Roman"/>
            <w:lang w:val="fr-BE"/>
          </w:rPr>
          <w:t>EUR-Lex - 52021PC0563 - EN - EUR-Lex</w:t>
        </w:r>
      </w:hyperlink>
      <w:r w:rsidRPr="00762BBD">
        <w:rPr>
          <w:rFonts w:ascii="Times New Roman" w:hAnsi="Times New Roman"/>
          <w:lang w:val="fr-BE"/>
        </w:rPr>
        <w:t>).</w:t>
      </w:r>
    </w:p>
  </w:footnote>
  <w:footnote w:id="4">
    <w:p w14:paraId="538405DC" w14:textId="3A9763BE" w:rsidR="00E93C58" w:rsidRPr="00762BBD" w:rsidRDefault="00E93C58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fr-B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762BBD">
        <w:rPr>
          <w:rFonts w:ascii="Times New Roman" w:hAnsi="Times New Roman"/>
          <w:lang w:val="fr-BE"/>
        </w:rPr>
        <w:t xml:space="preserve"> </w:t>
      </w:r>
      <w:r w:rsidRPr="00762BBD">
        <w:rPr>
          <w:rFonts w:ascii="Times New Roman" w:hAnsi="Times New Roman"/>
          <w:lang w:val="fr-BE"/>
        </w:rPr>
        <w:tab/>
      </w:r>
      <w:hyperlink r:id="rId3" w:history="1">
        <w:r w:rsidRPr="00762BBD">
          <w:rPr>
            <w:rStyle w:val="Hyperlink"/>
            <w:rFonts w:ascii="Times New Roman" w:hAnsi="Times New Roman"/>
            <w:lang w:val="fr-BE"/>
          </w:rPr>
          <w:t>Revision Energy Taxation Directive - European Commission</w:t>
        </w:r>
      </w:hyperlink>
      <w:r w:rsidRPr="00762BBD">
        <w:rPr>
          <w:rFonts w:ascii="Times New Roman" w:hAnsi="Times New Roman"/>
          <w:lang w:val="fr-BE"/>
        </w:rPr>
        <w:t>.</w:t>
      </w:r>
    </w:p>
  </w:footnote>
  <w:footnote w:id="5">
    <w:p w14:paraId="5F0AFCB0" w14:textId="034C9ECE" w:rsidR="00ED765F" w:rsidRPr="00762BBD" w:rsidRDefault="00ED765F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pt-PT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762BBD">
        <w:rPr>
          <w:rFonts w:ascii="Times New Roman" w:hAnsi="Times New Roman"/>
          <w:lang w:val="pt-PT"/>
        </w:rPr>
        <w:t xml:space="preserve"> </w:t>
      </w:r>
      <w:r w:rsidRPr="00762BBD">
        <w:rPr>
          <w:rFonts w:ascii="Times New Roman" w:hAnsi="Times New Roman"/>
          <w:lang w:val="pt-PT"/>
        </w:rPr>
        <w:tab/>
        <w:t>COM(2025) 85 final (</w:t>
      </w:r>
      <w:hyperlink r:id="rId4" w:history="1">
        <w:r w:rsidR="00A05747" w:rsidRPr="00762BBD">
          <w:rPr>
            <w:rStyle w:val="Hyperlink"/>
            <w:rFonts w:ascii="Times New Roman" w:hAnsi="Times New Roman"/>
            <w:lang w:val="pt-PT"/>
          </w:rPr>
          <w:t>https://eur-lex.europa.eu/legal-content/EN/TXT/PDF/?uri=COM:2025:85:FIN</w:t>
        </w:r>
      </w:hyperlink>
      <w:r w:rsidRPr="00762BBD">
        <w:rPr>
          <w:rFonts w:ascii="Times New Roman" w:hAnsi="Times New Roman"/>
          <w:lang w:val="pt-PT"/>
        </w:rPr>
        <w:t>).</w:t>
      </w:r>
    </w:p>
  </w:footnote>
  <w:footnote w:id="6">
    <w:p w14:paraId="08085B78" w14:textId="1F800EDF" w:rsidR="00ED765F" w:rsidRPr="00F36178" w:rsidRDefault="00ED765F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en-I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</w:rPr>
        <w:t xml:space="preserve"> </w:t>
      </w:r>
      <w:r w:rsidRPr="00F36178">
        <w:rPr>
          <w:rFonts w:ascii="Times New Roman" w:hAnsi="Times New Roman"/>
          <w:lang w:val="en-IE"/>
        </w:rPr>
        <w:tab/>
      </w:r>
      <w:hyperlink r:id="rId5" w:history="1">
        <w:r w:rsidRPr="00F36178">
          <w:rPr>
            <w:rStyle w:val="Hyperlink"/>
            <w:rFonts w:ascii="Times New Roman" w:hAnsi="Times New Roman"/>
          </w:rPr>
          <w:t>New State aid framework enables support for clean industry</w:t>
        </w:r>
      </w:hyperlink>
      <w:r w:rsidRPr="00F36178">
        <w:rPr>
          <w:rFonts w:ascii="Times New Roman" w:hAnsi="Times New Roman"/>
          <w:lang w:val="en-IE"/>
        </w:rPr>
        <w:t>.</w:t>
      </w:r>
    </w:p>
  </w:footnote>
  <w:footnote w:id="7">
    <w:p w14:paraId="6BF01B1C" w14:textId="3203452A" w:rsidR="00F44CC0" w:rsidRPr="00F36178" w:rsidRDefault="00F44CC0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en-I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</w:rPr>
        <w:t xml:space="preserve"> </w:t>
      </w:r>
      <w:r w:rsidRPr="00F36178">
        <w:rPr>
          <w:rFonts w:ascii="Times New Roman" w:hAnsi="Times New Roman"/>
          <w:lang w:val="en-IE"/>
        </w:rPr>
        <w:tab/>
      </w:r>
      <w:r w:rsidRPr="00F36178">
        <w:rPr>
          <w:rFonts w:ascii="Times New Roman" w:hAnsi="Times New Roman"/>
        </w:rPr>
        <w:t>Regulation (EU) 2018/1999 of the European Parliament and of the Council of 11 December 2018 on the Governance of the Energy Union and Climate Action, amending Regulations (EC) No 663/2009 and (EC) No 715/2009 of the European Parliament and of the Council, Directives 94/22/EC, 98/70/EC, 2009/31/EC, 2009/73/EC, 2010/31/EU, 2012/27/EU and 2013/30/EU of the European Parliament and of the Council, Council Directives 2009/119/EC and (EU) 2015/652 and repealing Regulation (EU) No 525/2013 of the European Parliament and of the Council (</w:t>
      </w:r>
      <w:hyperlink r:id="rId6" w:tooltip="Gives access to this document through its ELI URI." w:history="1">
        <w:r w:rsidRPr="00F36178">
          <w:rPr>
            <w:rStyle w:val="Hyperlink"/>
            <w:rFonts w:ascii="Times New Roman" w:hAnsi="Times New Roman"/>
          </w:rPr>
          <w:t>http://data.europa.eu/eli/reg/2018/1999/oj</w:t>
        </w:r>
      </w:hyperlink>
      <w:r w:rsidRPr="00F36178">
        <w:rPr>
          <w:rFonts w:ascii="Times New Roman" w:hAnsi="Times New Roman"/>
        </w:rPr>
        <w:t>).</w:t>
      </w:r>
    </w:p>
  </w:footnote>
  <w:footnote w:id="8">
    <w:p w14:paraId="2F941037" w14:textId="4BB0307C" w:rsidR="00F44CC0" w:rsidRPr="00F36178" w:rsidRDefault="00F44CC0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fr-B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  <w:lang w:val="fr-BE"/>
        </w:rPr>
        <w:t xml:space="preserve"> </w:t>
      </w:r>
      <w:r w:rsidRPr="00F36178">
        <w:rPr>
          <w:rFonts w:ascii="Times New Roman" w:hAnsi="Times New Roman"/>
          <w:lang w:val="fr-BE"/>
        </w:rPr>
        <w:tab/>
        <w:t>COM(2023) 796 final (</w:t>
      </w:r>
      <w:r>
        <w:fldChar w:fldCharType="begin"/>
      </w:r>
      <w:r w:rsidRPr="00F6202A">
        <w:rPr>
          <w:lang w:val="fr-BE"/>
          <w:rPrChange w:id="0" w:author="ROSSI Simona (SG-EXT)" w:date="2025-11-24T09:36:00Z" w16du:dateUtc="2025-11-24T08:36:00Z">
            <w:rPr/>
          </w:rPrChange>
        </w:rPr>
        <w:instrText>HYPERLINK "https://eur-lex.europa.eu/legal-content/EN/TXT/?uri=COM%3A2023%3A796%3AFIN"</w:instrText>
      </w:r>
      <w:r>
        <w:fldChar w:fldCharType="separate"/>
      </w:r>
      <w:r w:rsidRPr="00F36178">
        <w:rPr>
          <w:rStyle w:val="Hyperlink"/>
          <w:rFonts w:ascii="Times New Roman" w:hAnsi="Times New Roman"/>
          <w:lang w:val="fr-BE"/>
        </w:rPr>
        <w:t>EUR-Lex - 52023DC0796 - EN - EUR-Lex</w:t>
      </w:r>
      <w:r>
        <w:fldChar w:fldCharType="end"/>
      </w:r>
      <w:r w:rsidRPr="00F36178">
        <w:rPr>
          <w:rFonts w:ascii="Times New Roman" w:hAnsi="Times New Roman"/>
          <w:lang w:val="fr-BE"/>
        </w:rPr>
        <w:t>).</w:t>
      </w:r>
    </w:p>
  </w:footnote>
  <w:footnote w:id="9">
    <w:p w14:paraId="435EC683" w14:textId="3F4B35E7" w:rsidR="00F44CC0" w:rsidRPr="002C0A34" w:rsidRDefault="00F44CC0" w:rsidP="00D41FA8">
      <w:pPr>
        <w:pStyle w:val="FootnoteText"/>
        <w:widowControl w:val="0"/>
        <w:spacing w:after="0" w:line="240" w:lineRule="auto"/>
        <w:ind w:right="-425" w:hanging="284"/>
        <w:jc w:val="both"/>
        <w:rPr>
          <w:rFonts w:ascii="Times New Roman" w:hAnsi="Times New Roman"/>
          <w:lang w:val="fr-B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  <w:lang w:val="fr-BE"/>
        </w:rPr>
        <w:t xml:space="preserve"> </w:t>
      </w:r>
      <w:r w:rsidRPr="00F36178">
        <w:rPr>
          <w:rFonts w:ascii="Times New Roman" w:hAnsi="Times New Roman"/>
          <w:lang w:val="fr-BE"/>
        </w:rPr>
        <w:tab/>
        <w:t>COM(2025) 200 final (</w:t>
      </w:r>
      <w:r>
        <w:fldChar w:fldCharType="begin"/>
      </w:r>
      <w:r w:rsidRPr="00F6202A">
        <w:rPr>
          <w:lang w:val="fr-BE"/>
          <w:rPrChange w:id="1" w:author="ROSSI Simona (SG-EXT)" w:date="2025-11-24T09:36:00Z" w16du:dateUtc="2025-11-24T08:36:00Z">
            <w:rPr/>
          </w:rPrChange>
        </w:rPr>
        <w:instrText>HYPERLINK "https://eur-lex.europa.eu/legal-content/EN/TXT/?uri=celex:52025DC0200"</w:instrText>
      </w:r>
      <w:r>
        <w:fldChar w:fldCharType="separate"/>
      </w:r>
      <w:r w:rsidRPr="00F36178">
        <w:rPr>
          <w:rStyle w:val="Hyperlink"/>
          <w:rFonts w:ascii="Times New Roman" w:hAnsi="Times New Roman"/>
          <w:lang w:val="fr-BE"/>
        </w:rPr>
        <w:t>EUR-Lex - 52025DC0200 - EN - EUR-Lex</w:t>
      </w:r>
      <w:r>
        <w:fldChar w:fldCharType="end"/>
      </w:r>
      <w:r w:rsidRPr="00F36178">
        <w:rPr>
          <w:rFonts w:ascii="Times New Roman" w:hAnsi="Times New Roman"/>
          <w:lang w:val="fr-BE"/>
        </w:rPr>
        <w:t>).</w:t>
      </w:r>
    </w:p>
  </w:footnote>
  <w:footnote w:id="10">
    <w:p w14:paraId="0312D4D2" w14:textId="6EF4E011" w:rsidR="00F44CC0" w:rsidRPr="00F36178" w:rsidRDefault="00F44CC0" w:rsidP="002C0A34">
      <w:pPr>
        <w:pStyle w:val="FootnoteText"/>
        <w:widowControl w:val="0"/>
        <w:spacing w:after="0" w:line="240" w:lineRule="auto"/>
        <w:ind w:right="-426" w:hanging="284"/>
        <w:jc w:val="both"/>
        <w:rPr>
          <w:rFonts w:ascii="Times New Roman" w:hAnsi="Times New Roman"/>
          <w:lang w:val="fr-B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  <w:lang w:val="fr-BE"/>
        </w:rPr>
        <w:t xml:space="preserve"> </w:t>
      </w:r>
      <w:r w:rsidRPr="00F36178">
        <w:rPr>
          <w:rFonts w:ascii="Times New Roman" w:hAnsi="Times New Roman"/>
          <w:lang w:val="fr-BE"/>
        </w:rPr>
        <w:tab/>
        <w:t>COM</w:t>
      </w:r>
      <w:r w:rsidR="00F6202A">
        <w:rPr>
          <w:rFonts w:ascii="Times New Roman" w:hAnsi="Times New Roman"/>
          <w:lang w:val="fr-BE"/>
        </w:rPr>
        <w:t>(</w:t>
      </w:r>
      <w:r w:rsidRPr="00F36178">
        <w:rPr>
          <w:rFonts w:ascii="Times New Roman" w:hAnsi="Times New Roman"/>
          <w:lang w:val="fr-BE"/>
        </w:rPr>
        <w:t>2025</w:t>
      </w:r>
      <w:r w:rsidR="00F6202A">
        <w:rPr>
          <w:rFonts w:ascii="Times New Roman" w:hAnsi="Times New Roman"/>
          <w:lang w:val="fr-BE"/>
        </w:rPr>
        <w:t xml:space="preserve">) </w:t>
      </w:r>
      <w:r w:rsidRPr="00F36178">
        <w:rPr>
          <w:rFonts w:ascii="Times New Roman" w:hAnsi="Times New Roman"/>
          <w:lang w:val="fr-BE"/>
        </w:rPr>
        <w:t>79 final (</w:t>
      </w:r>
      <w:r>
        <w:fldChar w:fldCharType="begin"/>
      </w:r>
      <w:r w:rsidRPr="00F6202A">
        <w:rPr>
          <w:lang w:val="fr-BE"/>
          <w:rPrChange w:id="2" w:author="ROSSI Simona (SG-EXT)" w:date="2025-11-24T09:36:00Z" w16du:dateUtc="2025-11-24T08:36:00Z">
            <w:rPr/>
          </w:rPrChange>
        </w:rPr>
        <w:instrText>HYPERLINK "https://eur-lex.europa.eu/legal-content/EN/TXT/?uri=celex:52025DC0079"</w:instrText>
      </w:r>
      <w:r>
        <w:fldChar w:fldCharType="separate"/>
      </w:r>
      <w:r w:rsidRPr="00F36178">
        <w:rPr>
          <w:rStyle w:val="Hyperlink"/>
          <w:rFonts w:ascii="Times New Roman" w:hAnsi="Times New Roman"/>
          <w:lang w:val="fr-BE"/>
        </w:rPr>
        <w:t>EUR-Lex - 52025DC0079 - EN - EUR-Lex</w:t>
      </w:r>
      <w:r>
        <w:fldChar w:fldCharType="end"/>
      </w:r>
      <w:r w:rsidRPr="00F36178">
        <w:rPr>
          <w:rFonts w:ascii="Times New Roman" w:hAnsi="Times New Roman"/>
          <w:lang w:val="fr-BE"/>
        </w:rPr>
        <w:t>).</w:t>
      </w:r>
    </w:p>
  </w:footnote>
  <w:footnote w:id="11">
    <w:p w14:paraId="7602FE42" w14:textId="7B09E1C4" w:rsidR="00092024" w:rsidRPr="00F36178" w:rsidRDefault="00092024" w:rsidP="002C0A34">
      <w:pPr>
        <w:pStyle w:val="FootnoteText"/>
        <w:widowControl w:val="0"/>
        <w:spacing w:after="0" w:line="240" w:lineRule="auto"/>
        <w:ind w:right="-426" w:hanging="284"/>
        <w:jc w:val="both"/>
        <w:rPr>
          <w:rFonts w:ascii="Times New Roman" w:hAnsi="Times New Roman"/>
          <w:lang w:val="en-I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  <w:lang w:val="en-IE"/>
        </w:rPr>
        <w:t xml:space="preserve"> </w:t>
      </w:r>
      <w:r w:rsidRPr="00F36178">
        <w:rPr>
          <w:rFonts w:ascii="Times New Roman" w:hAnsi="Times New Roman"/>
          <w:lang w:val="en-IE"/>
        </w:rPr>
        <w:tab/>
      </w:r>
      <w:hyperlink r:id="rId7" w:history="1">
        <w:r w:rsidR="00F36178" w:rsidRPr="00F36178">
          <w:rPr>
            <w:rStyle w:val="Hyperlink"/>
            <w:rFonts w:ascii="Times New Roman" w:hAnsi="Times New Roman"/>
          </w:rPr>
          <w:t>Citizens’ Energy Package: EU Launches Public Consultation to Empower Consumers in the Green Transition - Citizen-led renovation</w:t>
        </w:r>
      </w:hyperlink>
      <w:r w:rsidR="000F7EBA">
        <w:t>.</w:t>
      </w:r>
    </w:p>
  </w:footnote>
  <w:footnote w:id="12">
    <w:p w14:paraId="293A76D9" w14:textId="600E3AA2" w:rsidR="00443CEC" w:rsidRPr="00B046AB" w:rsidRDefault="00443CEC" w:rsidP="00D41FA8">
      <w:pPr>
        <w:pStyle w:val="FootnoteText"/>
        <w:widowControl w:val="0"/>
        <w:spacing w:after="0" w:line="240" w:lineRule="auto"/>
        <w:ind w:right="-426" w:hanging="284"/>
        <w:jc w:val="both"/>
        <w:rPr>
          <w:rFonts w:ascii="Times New Roman" w:hAnsi="Times New Roman"/>
          <w:lang w:val="en-IE"/>
        </w:rPr>
      </w:pPr>
      <w:r w:rsidRPr="00F36178">
        <w:rPr>
          <w:rStyle w:val="FootnoteReference"/>
          <w:rFonts w:ascii="Times New Roman" w:hAnsi="Times New Roman"/>
        </w:rPr>
        <w:footnoteRef/>
      </w:r>
      <w:r w:rsidRPr="00F36178">
        <w:rPr>
          <w:rFonts w:ascii="Times New Roman" w:hAnsi="Times New Roman"/>
          <w:lang w:val="en-IE"/>
        </w:rPr>
        <w:t xml:space="preserve"> </w:t>
      </w:r>
      <w:r w:rsidRPr="00F36178">
        <w:rPr>
          <w:rFonts w:ascii="Times New Roman" w:hAnsi="Times New Roman"/>
          <w:lang w:val="en-IE"/>
        </w:rPr>
        <w:tab/>
        <w:t>Regulation (EU) 2020/852 of the European Parliament and of the Council of 18 June 2020 on the establishment of a</w:t>
      </w:r>
      <w:r w:rsidR="00762BBD">
        <w:rPr>
          <w:rFonts w:ascii="Times New Roman" w:hAnsi="Times New Roman"/>
          <w:lang w:val="en-IE"/>
        </w:rPr>
        <w:t> </w:t>
      </w:r>
      <w:r w:rsidRPr="00F36178">
        <w:rPr>
          <w:rFonts w:ascii="Times New Roman" w:hAnsi="Times New Roman"/>
          <w:lang w:val="en-IE"/>
        </w:rPr>
        <w:t>framework to facilitate sustainable investment, and amending Regulation (EU) 2019/2088 (</w:t>
      </w:r>
      <w:hyperlink r:id="rId8" w:history="1">
        <w:r w:rsidRPr="00F36178">
          <w:rPr>
            <w:rStyle w:val="Hyperlink"/>
            <w:rFonts w:ascii="Times New Roman" w:hAnsi="Times New Roman"/>
            <w:lang w:val="en-IE"/>
          </w:rPr>
          <w:t>http://data.europa.eu/eli/reg/2020/852/oj</w:t>
        </w:r>
      </w:hyperlink>
      <w:r w:rsidRPr="00F36178">
        <w:rPr>
          <w:rFonts w:ascii="Times New Roman" w:hAnsi="Times New Roman"/>
          <w:lang w:val="en-IE"/>
        </w:rPr>
        <w:t>)</w:t>
      </w:r>
      <w:r w:rsidR="00F36178" w:rsidRPr="00F36178">
        <w:rPr>
          <w:rFonts w:ascii="Times New Roman" w:hAnsi="Times New Roman"/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2FC2" w14:textId="77777777" w:rsidR="0015385B" w:rsidRDefault="00153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B942" w14:textId="77777777" w:rsidR="0015385B" w:rsidRDefault="00153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09BE" w14:textId="77777777" w:rsidR="0015385B" w:rsidRDefault="00153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8C3B"/>
    <w:multiLevelType w:val="hybridMultilevel"/>
    <w:tmpl w:val="17C2C1D8"/>
    <w:lvl w:ilvl="0" w:tplc="0EE0F1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6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6D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8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1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6E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61F8"/>
    <w:multiLevelType w:val="hybridMultilevel"/>
    <w:tmpl w:val="5B66B2B0"/>
    <w:lvl w:ilvl="0" w:tplc="A9909016">
      <w:start w:val="1"/>
      <w:numFmt w:val="decimal"/>
      <w:lvlText w:val="̶"/>
      <w:lvlJc w:val="left"/>
      <w:pPr>
        <w:ind w:left="720" w:hanging="360"/>
      </w:pPr>
    </w:lvl>
    <w:lvl w:ilvl="1" w:tplc="43CAF616">
      <w:start w:val="1"/>
      <w:numFmt w:val="lowerLetter"/>
      <w:lvlText w:val="%2."/>
      <w:lvlJc w:val="left"/>
      <w:pPr>
        <w:ind w:left="1440" w:hanging="360"/>
      </w:pPr>
    </w:lvl>
    <w:lvl w:ilvl="2" w:tplc="4BA8C53A">
      <w:start w:val="1"/>
      <w:numFmt w:val="lowerRoman"/>
      <w:lvlText w:val="%3."/>
      <w:lvlJc w:val="right"/>
      <w:pPr>
        <w:ind w:left="2160" w:hanging="180"/>
      </w:pPr>
    </w:lvl>
    <w:lvl w:ilvl="3" w:tplc="CA4409A4">
      <w:start w:val="1"/>
      <w:numFmt w:val="decimal"/>
      <w:lvlText w:val="%4."/>
      <w:lvlJc w:val="left"/>
      <w:pPr>
        <w:ind w:left="2880" w:hanging="360"/>
      </w:pPr>
    </w:lvl>
    <w:lvl w:ilvl="4" w:tplc="236EBE48">
      <w:start w:val="1"/>
      <w:numFmt w:val="lowerLetter"/>
      <w:lvlText w:val="%5."/>
      <w:lvlJc w:val="left"/>
      <w:pPr>
        <w:ind w:left="3600" w:hanging="360"/>
      </w:pPr>
    </w:lvl>
    <w:lvl w:ilvl="5" w:tplc="58E4C044">
      <w:start w:val="1"/>
      <w:numFmt w:val="lowerRoman"/>
      <w:lvlText w:val="%6."/>
      <w:lvlJc w:val="right"/>
      <w:pPr>
        <w:ind w:left="4320" w:hanging="180"/>
      </w:pPr>
    </w:lvl>
    <w:lvl w:ilvl="6" w:tplc="650031CC">
      <w:start w:val="1"/>
      <w:numFmt w:val="decimal"/>
      <w:lvlText w:val="%7."/>
      <w:lvlJc w:val="left"/>
      <w:pPr>
        <w:ind w:left="5040" w:hanging="360"/>
      </w:pPr>
    </w:lvl>
    <w:lvl w:ilvl="7" w:tplc="B492C16C">
      <w:start w:val="1"/>
      <w:numFmt w:val="lowerLetter"/>
      <w:lvlText w:val="%8."/>
      <w:lvlJc w:val="left"/>
      <w:pPr>
        <w:ind w:left="5760" w:hanging="360"/>
      </w:pPr>
    </w:lvl>
    <w:lvl w:ilvl="8" w:tplc="BCC2F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3CB8"/>
    <w:multiLevelType w:val="hybridMultilevel"/>
    <w:tmpl w:val="54747230"/>
    <w:lvl w:ilvl="0" w:tplc="B084449C">
      <w:numFmt w:val="bullet"/>
      <w:lvlText w:val="̶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CBB"/>
    <w:multiLevelType w:val="hybridMultilevel"/>
    <w:tmpl w:val="FE0EE2FE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D46AA7E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0685"/>
    <w:multiLevelType w:val="hybridMultilevel"/>
    <w:tmpl w:val="88B2A12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17314C6"/>
    <w:multiLevelType w:val="hybridMultilevel"/>
    <w:tmpl w:val="442243E6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94296">
    <w:abstractNumId w:val="1"/>
  </w:num>
  <w:num w:numId="2" w16cid:durableId="787236885">
    <w:abstractNumId w:val="0"/>
  </w:num>
  <w:num w:numId="3" w16cid:durableId="1324553391">
    <w:abstractNumId w:val="4"/>
  </w:num>
  <w:num w:numId="4" w16cid:durableId="811336166">
    <w:abstractNumId w:val="3"/>
  </w:num>
  <w:num w:numId="5" w16cid:durableId="155849830">
    <w:abstractNumId w:val="5"/>
  </w:num>
  <w:num w:numId="6" w16cid:durableId="7834266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I Simona (SG-EXT)">
    <w15:presenceInfo w15:providerId="AD" w15:userId="S::Simona.ROSSI@ext.ec.europa.eu::03d79afa-981d-4143-a7b7-3a0747e471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Kit_DocumentHasBeenSaved" w:val="true"/>
    <w:docVar w:name="LW_DocType" w:val="NORMAL"/>
  </w:docVars>
  <w:rsids>
    <w:rsidRoot w:val="00077C4F"/>
    <w:rsid w:val="00000330"/>
    <w:rsid w:val="0000149F"/>
    <w:rsid w:val="00004F4D"/>
    <w:rsid w:val="00007755"/>
    <w:rsid w:val="0001029E"/>
    <w:rsid w:val="00012A37"/>
    <w:rsid w:val="000139DC"/>
    <w:rsid w:val="000201A9"/>
    <w:rsid w:val="00023547"/>
    <w:rsid w:val="00030A10"/>
    <w:rsid w:val="00032449"/>
    <w:rsid w:val="00032AE1"/>
    <w:rsid w:val="000331BC"/>
    <w:rsid w:val="0003600A"/>
    <w:rsid w:val="00042597"/>
    <w:rsid w:val="00042631"/>
    <w:rsid w:val="00046B15"/>
    <w:rsid w:val="0004792E"/>
    <w:rsid w:val="00050DC7"/>
    <w:rsid w:val="00056452"/>
    <w:rsid w:val="000579CF"/>
    <w:rsid w:val="00060148"/>
    <w:rsid w:val="0006188F"/>
    <w:rsid w:val="00062E72"/>
    <w:rsid w:val="000639F9"/>
    <w:rsid w:val="00066084"/>
    <w:rsid w:val="00066D20"/>
    <w:rsid w:val="00071159"/>
    <w:rsid w:val="000731E3"/>
    <w:rsid w:val="000748E2"/>
    <w:rsid w:val="00076109"/>
    <w:rsid w:val="0007705B"/>
    <w:rsid w:val="00077C4F"/>
    <w:rsid w:val="00085DD8"/>
    <w:rsid w:val="00091C53"/>
    <w:rsid w:val="00092024"/>
    <w:rsid w:val="00097537"/>
    <w:rsid w:val="00097791"/>
    <w:rsid w:val="00097ED1"/>
    <w:rsid w:val="000A45C1"/>
    <w:rsid w:val="000A5F6E"/>
    <w:rsid w:val="000A7385"/>
    <w:rsid w:val="000A74E8"/>
    <w:rsid w:val="000A77B2"/>
    <w:rsid w:val="000B036A"/>
    <w:rsid w:val="000B247D"/>
    <w:rsid w:val="000B4B43"/>
    <w:rsid w:val="000B731D"/>
    <w:rsid w:val="000C05A1"/>
    <w:rsid w:val="000D045B"/>
    <w:rsid w:val="000D07BC"/>
    <w:rsid w:val="000D18C5"/>
    <w:rsid w:val="000E0521"/>
    <w:rsid w:val="000E0A27"/>
    <w:rsid w:val="000E1FE2"/>
    <w:rsid w:val="000E67EC"/>
    <w:rsid w:val="000E715C"/>
    <w:rsid w:val="000F1D58"/>
    <w:rsid w:val="000F5985"/>
    <w:rsid w:val="000F5B4D"/>
    <w:rsid w:val="000F5FD8"/>
    <w:rsid w:val="000F7E05"/>
    <w:rsid w:val="000F7EBA"/>
    <w:rsid w:val="00105598"/>
    <w:rsid w:val="00113F8B"/>
    <w:rsid w:val="00114CAB"/>
    <w:rsid w:val="001167C0"/>
    <w:rsid w:val="00116A84"/>
    <w:rsid w:val="00122BC4"/>
    <w:rsid w:val="00125763"/>
    <w:rsid w:val="00135B89"/>
    <w:rsid w:val="00135C2A"/>
    <w:rsid w:val="00141F41"/>
    <w:rsid w:val="0014299E"/>
    <w:rsid w:val="00144F6A"/>
    <w:rsid w:val="00150E35"/>
    <w:rsid w:val="001520A6"/>
    <w:rsid w:val="00152FC8"/>
    <w:rsid w:val="0015385B"/>
    <w:rsid w:val="00155DDE"/>
    <w:rsid w:val="00155FA8"/>
    <w:rsid w:val="0015624D"/>
    <w:rsid w:val="0016499D"/>
    <w:rsid w:val="00167DFA"/>
    <w:rsid w:val="00170369"/>
    <w:rsid w:val="00172A3F"/>
    <w:rsid w:val="00173B81"/>
    <w:rsid w:val="0017443D"/>
    <w:rsid w:val="0019416C"/>
    <w:rsid w:val="001947A3"/>
    <w:rsid w:val="00194B45"/>
    <w:rsid w:val="00195246"/>
    <w:rsid w:val="00195713"/>
    <w:rsid w:val="001A26B6"/>
    <w:rsid w:val="001A4983"/>
    <w:rsid w:val="001A4F45"/>
    <w:rsid w:val="001B0E0B"/>
    <w:rsid w:val="001B1447"/>
    <w:rsid w:val="001B262A"/>
    <w:rsid w:val="001B504C"/>
    <w:rsid w:val="001B6CC2"/>
    <w:rsid w:val="001C018A"/>
    <w:rsid w:val="001C2806"/>
    <w:rsid w:val="001C4138"/>
    <w:rsid w:val="001D43FD"/>
    <w:rsid w:val="001D7EE6"/>
    <w:rsid w:val="001E2BCD"/>
    <w:rsid w:val="001E2D59"/>
    <w:rsid w:val="001F2526"/>
    <w:rsid w:val="001F2EC6"/>
    <w:rsid w:val="001F3781"/>
    <w:rsid w:val="001F4C44"/>
    <w:rsid w:val="001F65D0"/>
    <w:rsid w:val="001F6863"/>
    <w:rsid w:val="001F70B6"/>
    <w:rsid w:val="001F78CB"/>
    <w:rsid w:val="0020142C"/>
    <w:rsid w:val="002015C9"/>
    <w:rsid w:val="00206AE7"/>
    <w:rsid w:val="00211305"/>
    <w:rsid w:val="00215579"/>
    <w:rsid w:val="002168AB"/>
    <w:rsid w:val="00217E59"/>
    <w:rsid w:val="00222A2A"/>
    <w:rsid w:val="0022310B"/>
    <w:rsid w:val="00224B57"/>
    <w:rsid w:val="00226730"/>
    <w:rsid w:val="00227B0F"/>
    <w:rsid w:val="00230539"/>
    <w:rsid w:val="0023219C"/>
    <w:rsid w:val="00234830"/>
    <w:rsid w:val="00235AB5"/>
    <w:rsid w:val="00236ECB"/>
    <w:rsid w:val="0023739B"/>
    <w:rsid w:val="002421E9"/>
    <w:rsid w:val="00245EFD"/>
    <w:rsid w:val="00246B0A"/>
    <w:rsid w:val="00250150"/>
    <w:rsid w:val="0025156D"/>
    <w:rsid w:val="00252334"/>
    <w:rsid w:val="002527B9"/>
    <w:rsid w:val="00257A50"/>
    <w:rsid w:val="00257D33"/>
    <w:rsid w:val="002614F6"/>
    <w:rsid w:val="0026375A"/>
    <w:rsid w:val="00273E62"/>
    <w:rsid w:val="00274626"/>
    <w:rsid w:val="00276857"/>
    <w:rsid w:val="002809C7"/>
    <w:rsid w:val="002814CF"/>
    <w:rsid w:val="0028533E"/>
    <w:rsid w:val="00291372"/>
    <w:rsid w:val="0029267A"/>
    <w:rsid w:val="002931F7"/>
    <w:rsid w:val="002939B1"/>
    <w:rsid w:val="00293B8C"/>
    <w:rsid w:val="00294922"/>
    <w:rsid w:val="00295652"/>
    <w:rsid w:val="00295DCC"/>
    <w:rsid w:val="002A2FA0"/>
    <w:rsid w:val="002A377D"/>
    <w:rsid w:val="002A4F50"/>
    <w:rsid w:val="002A5746"/>
    <w:rsid w:val="002A7A2D"/>
    <w:rsid w:val="002B0B6F"/>
    <w:rsid w:val="002B142C"/>
    <w:rsid w:val="002B4345"/>
    <w:rsid w:val="002B4579"/>
    <w:rsid w:val="002B7DB8"/>
    <w:rsid w:val="002C0A34"/>
    <w:rsid w:val="002C0BE4"/>
    <w:rsid w:val="002C2632"/>
    <w:rsid w:val="002C265B"/>
    <w:rsid w:val="002D3A02"/>
    <w:rsid w:val="002D3D33"/>
    <w:rsid w:val="002D4B36"/>
    <w:rsid w:val="002D7B57"/>
    <w:rsid w:val="002E18EF"/>
    <w:rsid w:val="002E4751"/>
    <w:rsid w:val="002E53DB"/>
    <w:rsid w:val="002F03FA"/>
    <w:rsid w:val="002F0DC6"/>
    <w:rsid w:val="002F1797"/>
    <w:rsid w:val="002F26E7"/>
    <w:rsid w:val="002F373D"/>
    <w:rsid w:val="002F6914"/>
    <w:rsid w:val="003004D2"/>
    <w:rsid w:val="00300CE7"/>
    <w:rsid w:val="0030188F"/>
    <w:rsid w:val="00301B23"/>
    <w:rsid w:val="00303096"/>
    <w:rsid w:val="0030635B"/>
    <w:rsid w:val="00306513"/>
    <w:rsid w:val="00312EC4"/>
    <w:rsid w:val="00313E66"/>
    <w:rsid w:val="0031422E"/>
    <w:rsid w:val="003142D8"/>
    <w:rsid w:val="0031451D"/>
    <w:rsid w:val="00316BF9"/>
    <w:rsid w:val="00320671"/>
    <w:rsid w:val="00321B5D"/>
    <w:rsid w:val="0032428A"/>
    <w:rsid w:val="003267AF"/>
    <w:rsid w:val="00330A93"/>
    <w:rsid w:val="003317BB"/>
    <w:rsid w:val="003346FD"/>
    <w:rsid w:val="003348FA"/>
    <w:rsid w:val="0033498E"/>
    <w:rsid w:val="003349A3"/>
    <w:rsid w:val="003378C4"/>
    <w:rsid w:val="00342210"/>
    <w:rsid w:val="00347985"/>
    <w:rsid w:val="00350EA3"/>
    <w:rsid w:val="00350F5C"/>
    <w:rsid w:val="003522C9"/>
    <w:rsid w:val="003570D7"/>
    <w:rsid w:val="00366A94"/>
    <w:rsid w:val="00371ED0"/>
    <w:rsid w:val="0037453D"/>
    <w:rsid w:val="00374865"/>
    <w:rsid w:val="00377967"/>
    <w:rsid w:val="0038009F"/>
    <w:rsid w:val="00386143"/>
    <w:rsid w:val="00392CCD"/>
    <w:rsid w:val="00394E77"/>
    <w:rsid w:val="00396E74"/>
    <w:rsid w:val="003A0648"/>
    <w:rsid w:val="003A192A"/>
    <w:rsid w:val="003A1D6D"/>
    <w:rsid w:val="003A757A"/>
    <w:rsid w:val="003B1146"/>
    <w:rsid w:val="003B4004"/>
    <w:rsid w:val="003B442F"/>
    <w:rsid w:val="003B4605"/>
    <w:rsid w:val="003B56A5"/>
    <w:rsid w:val="003B58DC"/>
    <w:rsid w:val="003B61A6"/>
    <w:rsid w:val="003C285B"/>
    <w:rsid w:val="003D00B6"/>
    <w:rsid w:val="003D3355"/>
    <w:rsid w:val="003D388D"/>
    <w:rsid w:val="003D442A"/>
    <w:rsid w:val="003D7F31"/>
    <w:rsid w:val="003E682A"/>
    <w:rsid w:val="003F2444"/>
    <w:rsid w:val="003F47CE"/>
    <w:rsid w:val="003F62BD"/>
    <w:rsid w:val="003F6680"/>
    <w:rsid w:val="003F686E"/>
    <w:rsid w:val="003F6B16"/>
    <w:rsid w:val="003F73DD"/>
    <w:rsid w:val="003F7814"/>
    <w:rsid w:val="00401B64"/>
    <w:rsid w:val="00401CB6"/>
    <w:rsid w:val="0040498E"/>
    <w:rsid w:val="004070A4"/>
    <w:rsid w:val="004109D0"/>
    <w:rsid w:val="00421CDD"/>
    <w:rsid w:val="00425EC8"/>
    <w:rsid w:val="00426495"/>
    <w:rsid w:val="004268AF"/>
    <w:rsid w:val="00426D16"/>
    <w:rsid w:val="00427061"/>
    <w:rsid w:val="00427232"/>
    <w:rsid w:val="004302DD"/>
    <w:rsid w:val="0043070D"/>
    <w:rsid w:val="004312F2"/>
    <w:rsid w:val="004315B4"/>
    <w:rsid w:val="00431837"/>
    <w:rsid w:val="00432676"/>
    <w:rsid w:val="00435304"/>
    <w:rsid w:val="004368E6"/>
    <w:rsid w:val="004407B4"/>
    <w:rsid w:val="00442552"/>
    <w:rsid w:val="00443CEC"/>
    <w:rsid w:val="00444DFB"/>
    <w:rsid w:val="004453FA"/>
    <w:rsid w:val="004459A0"/>
    <w:rsid w:val="0044797D"/>
    <w:rsid w:val="00455A1C"/>
    <w:rsid w:val="00460B80"/>
    <w:rsid w:val="00462E28"/>
    <w:rsid w:val="00464C0D"/>
    <w:rsid w:val="004675B5"/>
    <w:rsid w:val="004720C5"/>
    <w:rsid w:val="004730F9"/>
    <w:rsid w:val="004751C8"/>
    <w:rsid w:val="004770D6"/>
    <w:rsid w:val="004778C4"/>
    <w:rsid w:val="00481323"/>
    <w:rsid w:val="0049246C"/>
    <w:rsid w:val="00493264"/>
    <w:rsid w:val="004958A9"/>
    <w:rsid w:val="00496451"/>
    <w:rsid w:val="004972AC"/>
    <w:rsid w:val="004A18D0"/>
    <w:rsid w:val="004A282B"/>
    <w:rsid w:val="004A3CE7"/>
    <w:rsid w:val="004B368A"/>
    <w:rsid w:val="004B3CA6"/>
    <w:rsid w:val="004C1260"/>
    <w:rsid w:val="004C12CC"/>
    <w:rsid w:val="004C3DAD"/>
    <w:rsid w:val="004C549F"/>
    <w:rsid w:val="004C7A78"/>
    <w:rsid w:val="004D152C"/>
    <w:rsid w:val="004D16D3"/>
    <w:rsid w:val="004D5E80"/>
    <w:rsid w:val="004E104D"/>
    <w:rsid w:val="004E1224"/>
    <w:rsid w:val="004E3866"/>
    <w:rsid w:val="004F02DC"/>
    <w:rsid w:val="004F0F12"/>
    <w:rsid w:val="004F2161"/>
    <w:rsid w:val="004F2988"/>
    <w:rsid w:val="004F364B"/>
    <w:rsid w:val="004F3685"/>
    <w:rsid w:val="004F51A2"/>
    <w:rsid w:val="004F6117"/>
    <w:rsid w:val="004F63F1"/>
    <w:rsid w:val="004F651E"/>
    <w:rsid w:val="00500036"/>
    <w:rsid w:val="005078C5"/>
    <w:rsid w:val="0051203B"/>
    <w:rsid w:val="00514395"/>
    <w:rsid w:val="00520D9A"/>
    <w:rsid w:val="00523123"/>
    <w:rsid w:val="005251A1"/>
    <w:rsid w:val="0052596B"/>
    <w:rsid w:val="00526458"/>
    <w:rsid w:val="00531AAB"/>
    <w:rsid w:val="00533923"/>
    <w:rsid w:val="00540A6C"/>
    <w:rsid w:val="00544316"/>
    <w:rsid w:val="005462C5"/>
    <w:rsid w:val="00546504"/>
    <w:rsid w:val="00554B05"/>
    <w:rsid w:val="00554D8D"/>
    <w:rsid w:val="00557520"/>
    <w:rsid w:val="00567984"/>
    <w:rsid w:val="00573835"/>
    <w:rsid w:val="00581306"/>
    <w:rsid w:val="00585136"/>
    <w:rsid w:val="0059054B"/>
    <w:rsid w:val="00595643"/>
    <w:rsid w:val="005A302F"/>
    <w:rsid w:val="005A45D4"/>
    <w:rsid w:val="005A5C8B"/>
    <w:rsid w:val="005A6019"/>
    <w:rsid w:val="005B078D"/>
    <w:rsid w:val="005B13C6"/>
    <w:rsid w:val="005B2934"/>
    <w:rsid w:val="005B2E53"/>
    <w:rsid w:val="005B6643"/>
    <w:rsid w:val="005B6782"/>
    <w:rsid w:val="005B7B8C"/>
    <w:rsid w:val="005C2844"/>
    <w:rsid w:val="005C3105"/>
    <w:rsid w:val="005C3E57"/>
    <w:rsid w:val="005C5C17"/>
    <w:rsid w:val="005C619A"/>
    <w:rsid w:val="005C6C81"/>
    <w:rsid w:val="005D2224"/>
    <w:rsid w:val="005D2546"/>
    <w:rsid w:val="005D44E4"/>
    <w:rsid w:val="005D7DBB"/>
    <w:rsid w:val="005E1332"/>
    <w:rsid w:val="005E521C"/>
    <w:rsid w:val="005F4D77"/>
    <w:rsid w:val="005F750C"/>
    <w:rsid w:val="006012B2"/>
    <w:rsid w:val="00605CAA"/>
    <w:rsid w:val="006069E3"/>
    <w:rsid w:val="00606E8E"/>
    <w:rsid w:val="006134D4"/>
    <w:rsid w:val="0062673A"/>
    <w:rsid w:val="00630ADC"/>
    <w:rsid w:val="00631B1D"/>
    <w:rsid w:val="00632482"/>
    <w:rsid w:val="00633B23"/>
    <w:rsid w:val="00637C0F"/>
    <w:rsid w:val="00644EF6"/>
    <w:rsid w:val="006450ED"/>
    <w:rsid w:val="006455A5"/>
    <w:rsid w:val="00645696"/>
    <w:rsid w:val="00645E76"/>
    <w:rsid w:val="00646075"/>
    <w:rsid w:val="00647C5B"/>
    <w:rsid w:val="00655040"/>
    <w:rsid w:val="00655212"/>
    <w:rsid w:val="006560A4"/>
    <w:rsid w:val="00656127"/>
    <w:rsid w:val="006617E5"/>
    <w:rsid w:val="0066267D"/>
    <w:rsid w:val="006632E7"/>
    <w:rsid w:val="006646B7"/>
    <w:rsid w:val="00667EE1"/>
    <w:rsid w:val="006713B9"/>
    <w:rsid w:val="00671865"/>
    <w:rsid w:val="006736CE"/>
    <w:rsid w:val="00674C70"/>
    <w:rsid w:val="00677519"/>
    <w:rsid w:val="00680134"/>
    <w:rsid w:val="00680644"/>
    <w:rsid w:val="00682DC3"/>
    <w:rsid w:val="00683EAE"/>
    <w:rsid w:val="006847A3"/>
    <w:rsid w:val="00685045"/>
    <w:rsid w:val="00687EEA"/>
    <w:rsid w:val="00691162"/>
    <w:rsid w:val="006928BF"/>
    <w:rsid w:val="00692C2F"/>
    <w:rsid w:val="00694081"/>
    <w:rsid w:val="00695797"/>
    <w:rsid w:val="00696A5E"/>
    <w:rsid w:val="006A16BF"/>
    <w:rsid w:val="006A31E0"/>
    <w:rsid w:val="006A46AE"/>
    <w:rsid w:val="006A46EB"/>
    <w:rsid w:val="006A6195"/>
    <w:rsid w:val="006B1B51"/>
    <w:rsid w:val="006B3310"/>
    <w:rsid w:val="006B3B69"/>
    <w:rsid w:val="006B3FA0"/>
    <w:rsid w:val="006B5121"/>
    <w:rsid w:val="006B7372"/>
    <w:rsid w:val="006B7419"/>
    <w:rsid w:val="006B760F"/>
    <w:rsid w:val="006B7661"/>
    <w:rsid w:val="006B7895"/>
    <w:rsid w:val="006C50B3"/>
    <w:rsid w:val="006C7E95"/>
    <w:rsid w:val="006D0CD5"/>
    <w:rsid w:val="006D6EF8"/>
    <w:rsid w:val="006D7E2D"/>
    <w:rsid w:val="006E3CCA"/>
    <w:rsid w:val="006F137E"/>
    <w:rsid w:val="006F3AB6"/>
    <w:rsid w:val="006F4C3A"/>
    <w:rsid w:val="006F587C"/>
    <w:rsid w:val="006F625F"/>
    <w:rsid w:val="007010A8"/>
    <w:rsid w:val="00702D76"/>
    <w:rsid w:val="00703131"/>
    <w:rsid w:val="00703530"/>
    <w:rsid w:val="00706A78"/>
    <w:rsid w:val="00706D3D"/>
    <w:rsid w:val="00711A6B"/>
    <w:rsid w:val="00715469"/>
    <w:rsid w:val="00715576"/>
    <w:rsid w:val="00720741"/>
    <w:rsid w:val="00724CF5"/>
    <w:rsid w:val="00724DA3"/>
    <w:rsid w:val="0072586B"/>
    <w:rsid w:val="007305AD"/>
    <w:rsid w:val="007324A3"/>
    <w:rsid w:val="00732D23"/>
    <w:rsid w:val="00734613"/>
    <w:rsid w:val="007359CE"/>
    <w:rsid w:val="007405D2"/>
    <w:rsid w:val="00742C61"/>
    <w:rsid w:val="00743071"/>
    <w:rsid w:val="0075131F"/>
    <w:rsid w:val="00751910"/>
    <w:rsid w:val="00751E60"/>
    <w:rsid w:val="007547B5"/>
    <w:rsid w:val="00754A17"/>
    <w:rsid w:val="00756F25"/>
    <w:rsid w:val="007577B5"/>
    <w:rsid w:val="00762BBD"/>
    <w:rsid w:val="007631C8"/>
    <w:rsid w:val="00764760"/>
    <w:rsid w:val="007660E0"/>
    <w:rsid w:val="00774A93"/>
    <w:rsid w:val="00775BD8"/>
    <w:rsid w:val="007760E2"/>
    <w:rsid w:val="00794AAE"/>
    <w:rsid w:val="00795A9E"/>
    <w:rsid w:val="007975E3"/>
    <w:rsid w:val="007A0C4C"/>
    <w:rsid w:val="007A18B6"/>
    <w:rsid w:val="007A4AFD"/>
    <w:rsid w:val="007A50F8"/>
    <w:rsid w:val="007A5C12"/>
    <w:rsid w:val="007A606D"/>
    <w:rsid w:val="007B23FC"/>
    <w:rsid w:val="007B3F59"/>
    <w:rsid w:val="007B46DD"/>
    <w:rsid w:val="007B4C9F"/>
    <w:rsid w:val="007B5C12"/>
    <w:rsid w:val="007B6771"/>
    <w:rsid w:val="007C2214"/>
    <w:rsid w:val="007C428C"/>
    <w:rsid w:val="007C5FB7"/>
    <w:rsid w:val="007D1DEB"/>
    <w:rsid w:val="007D24BA"/>
    <w:rsid w:val="007D3469"/>
    <w:rsid w:val="007D3D5A"/>
    <w:rsid w:val="007D3ECA"/>
    <w:rsid w:val="007D5213"/>
    <w:rsid w:val="007D5751"/>
    <w:rsid w:val="007D5E16"/>
    <w:rsid w:val="007D7372"/>
    <w:rsid w:val="007E1133"/>
    <w:rsid w:val="007F03E8"/>
    <w:rsid w:val="007F31D8"/>
    <w:rsid w:val="007F454A"/>
    <w:rsid w:val="00800A58"/>
    <w:rsid w:val="008025CA"/>
    <w:rsid w:val="00802F69"/>
    <w:rsid w:val="00803E45"/>
    <w:rsid w:val="0080616F"/>
    <w:rsid w:val="00807B48"/>
    <w:rsid w:val="008135CA"/>
    <w:rsid w:val="00813765"/>
    <w:rsid w:val="00815740"/>
    <w:rsid w:val="0081584F"/>
    <w:rsid w:val="00817B40"/>
    <w:rsid w:val="00831B14"/>
    <w:rsid w:val="0083451E"/>
    <w:rsid w:val="00837E47"/>
    <w:rsid w:val="00840930"/>
    <w:rsid w:val="00842D94"/>
    <w:rsid w:val="008468C1"/>
    <w:rsid w:val="0085206D"/>
    <w:rsid w:val="008539F1"/>
    <w:rsid w:val="00853E95"/>
    <w:rsid w:val="0085466C"/>
    <w:rsid w:val="00861280"/>
    <w:rsid w:val="00861DEF"/>
    <w:rsid w:val="0086662D"/>
    <w:rsid w:val="008703BF"/>
    <w:rsid w:val="008718A0"/>
    <w:rsid w:val="00873152"/>
    <w:rsid w:val="00875351"/>
    <w:rsid w:val="0087598D"/>
    <w:rsid w:val="008770D0"/>
    <w:rsid w:val="0088097A"/>
    <w:rsid w:val="00881D6A"/>
    <w:rsid w:val="00882D75"/>
    <w:rsid w:val="0088593C"/>
    <w:rsid w:val="00886ED6"/>
    <w:rsid w:val="008925CE"/>
    <w:rsid w:val="00896316"/>
    <w:rsid w:val="00897714"/>
    <w:rsid w:val="008A0D76"/>
    <w:rsid w:val="008A0EDA"/>
    <w:rsid w:val="008A3EED"/>
    <w:rsid w:val="008A4010"/>
    <w:rsid w:val="008B2E40"/>
    <w:rsid w:val="008B52B4"/>
    <w:rsid w:val="008B6265"/>
    <w:rsid w:val="008C13BB"/>
    <w:rsid w:val="008C4D41"/>
    <w:rsid w:val="008C6953"/>
    <w:rsid w:val="008C7555"/>
    <w:rsid w:val="008D0301"/>
    <w:rsid w:val="008D1C20"/>
    <w:rsid w:val="008D3647"/>
    <w:rsid w:val="008E4E15"/>
    <w:rsid w:val="008F0A09"/>
    <w:rsid w:val="008F1203"/>
    <w:rsid w:val="008F1524"/>
    <w:rsid w:val="008F1D9E"/>
    <w:rsid w:val="008F38C0"/>
    <w:rsid w:val="008F69E3"/>
    <w:rsid w:val="0091076F"/>
    <w:rsid w:val="00921E91"/>
    <w:rsid w:val="0092721E"/>
    <w:rsid w:val="00927678"/>
    <w:rsid w:val="00930C94"/>
    <w:rsid w:val="009315BA"/>
    <w:rsid w:val="00935B00"/>
    <w:rsid w:val="00937DF8"/>
    <w:rsid w:val="00943B5D"/>
    <w:rsid w:val="009442F6"/>
    <w:rsid w:val="00944571"/>
    <w:rsid w:val="00953C92"/>
    <w:rsid w:val="00956259"/>
    <w:rsid w:val="009576E8"/>
    <w:rsid w:val="00961942"/>
    <w:rsid w:val="00961B46"/>
    <w:rsid w:val="00962229"/>
    <w:rsid w:val="009629E9"/>
    <w:rsid w:val="0096518C"/>
    <w:rsid w:val="009661FC"/>
    <w:rsid w:val="00972799"/>
    <w:rsid w:val="00972C5B"/>
    <w:rsid w:val="00974D1A"/>
    <w:rsid w:val="00976299"/>
    <w:rsid w:val="0098021C"/>
    <w:rsid w:val="00980EFC"/>
    <w:rsid w:val="00981F45"/>
    <w:rsid w:val="00984E31"/>
    <w:rsid w:val="00991C9E"/>
    <w:rsid w:val="00991F2B"/>
    <w:rsid w:val="009937FD"/>
    <w:rsid w:val="00993C28"/>
    <w:rsid w:val="00993D63"/>
    <w:rsid w:val="00994D12"/>
    <w:rsid w:val="00996405"/>
    <w:rsid w:val="00996B4E"/>
    <w:rsid w:val="009A1177"/>
    <w:rsid w:val="009B128B"/>
    <w:rsid w:val="009B3C53"/>
    <w:rsid w:val="009B5DA4"/>
    <w:rsid w:val="009B600F"/>
    <w:rsid w:val="009B7D87"/>
    <w:rsid w:val="009C1CD8"/>
    <w:rsid w:val="009C1DAB"/>
    <w:rsid w:val="009C1E12"/>
    <w:rsid w:val="009C312E"/>
    <w:rsid w:val="009C54CF"/>
    <w:rsid w:val="009C61CD"/>
    <w:rsid w:val="009D3E5D"/>
    <w:rsid w:val="009E33BD"/>
    <w:rsid w:val="009E474D"/>
    <w:rsid w:val="009E754F"/>
    <w:rsid w:val="009F3E4F"/>
    <w:rsid w:val="009F42CC"/>
    <w:rsid w:val="009F6880"/>
    <w:rsid w:val="00A04974"/>
    <w:rsid w:val="00A05747"/>
    <w:rsid w:val="00A059DC"/>
    <w:rsid w:val="00A15A30"/>
    <w:rsid w:val="00A16F07"/>
    <w:rsid w:val="00A20BD2"/>
    <w:rsid w:val="00A2415C"/>
    <w:rsid w:val="00A2527B"/>
    <w:rsid w:val="00A33AE2"/>
    <w:rsid w:val="00A3566C"/>
    <w:rsid w:val="00A35F6F"/>
    <w:rsid w:val="00A42C31"/>
    <w:rsid w:val="00A4496A"/>
    <w:rsid w:val="00A44BCF"/>
    <w:rsid w:val="00A47D76"/>
    <w:rsid w:val="00A5139A"/>
    <w:rsid w:val="00A51DBB"/>
    <w:rsid w:val="00A52658"/>
    <w:rsid w:val="00A55879"/>
    <w:rsid w:val="00A6282C"/>
    <w:rsid w:val="00A62C7B"/>
    <w:rsid w:val="00A63B14"/>
    <w:rsid w:val="00A66920"/>
    <w:rsid w:val="00A67B35"/>
    <w:rsid w:val="00A71A1F"/>
    <w:rsid w:val="00A74A9F"/>
    <w:rsid w:val="00A7709A"/>
    <w:rsid w:val="00A80993"/>
    <w:rsid w:val="00A91627"/>
    <w:rsid w:val="00A92707"/>
    <w:rsid w:val="00A92907"/>
    <w:rsid w:val="00AA45E6"/>
    <w:rsid w:val="00AA5BD9"/>
    <w:rsid w:val="00AA5FC8"/>
    <w:rsid w:val="00AB07C2"/>
    <w:rsid w:val="00AB1A58"/>
    <w:rsid w:val="00AB662C"/>
    <w:rsid w:val="00AB695C"/>
    <w:rsid w:val="00AC1717"/>
    <w:rsid w:val="00AC3FE0"/>
    <w:rsid w:val="00AC563B"/>
    <w:rsid w:val="00AC64D9"/>
    <w:rsid w:val="00AD06E3"/>
    <w:rsid w:val="00AD14EB"/>
    <w:rsid w:val="00AD1ECC"/>
    <w:rsid w:val="00AD51C8"/>
    <w:rsid w:val="00AD7525"/>
    <w:rsid w:val="00AE07AE"/>
    <w:rsid w:val="00AE1361"/>
    <w:rsid w:val="00AE1842"/>
    <w:rsid w:val="00AE280E"/>
    <w:rsid w:val="00AE3789"/>
    <w:rsid w:val="00AE3C7C"/>
    <w:rsid w:val="00AE444E"/>
    <w:rsid w:val="00AE4A7F"/>
    <w:rsid w:val="00AE7307"/>
    <w:rsid w:val="00AF122C"/>
    <w:rsid w:val="00AF76EF"/>
    <w:rsid w:val="00AF7AFE"/>
    <w:rsid w:val="00AF7FDB"/>
    <w:rsid w:val="00B0060D"/>
    <w:rsid w:val="00B024EC"/>
    <w:rsid w:val="00B0292B"/>
    <w:rsid w:val="00B02BF6"/>
    <w:rsid w:val="00B046AB"/>
    <w:rsid w:val="00B06553"/>
    <w:rsid w:val="00B136E5"/>
    <w:rsid w:val="00B13999"/>
    <w:rsid w:val="00B15365"/>
    <w:rsid w:val="00B1731E"/>
    <w:rsid w:val="00B17C90"/>
    <w:rsid w:val="00B2092D"/>
    <w:rsid w:val="00B2324C"/>
    <w:rsid w:val="00B23C53"/>
    <w:rsid w:val="00B26EE1"/>
    <w:rsid w:val="00B27D5F"/>
    <w:rsid w:val="00B31306"/>
    <w:rsid w:val="00B31621"/>
    <w:rsid w:val="00B31DA1"/>
    <w:rsid w:val="00B33977"/>
    <w:rsid w:val="00B351A3"/>
    <w:rsid w:val="00B3559F"/>
    <w:rsid w:val="00B368B9"/>
    <w:rsid w:val="00B40AE7"/>
    <w:rsid w:val="00B40FDB"/>
    <w:rsid w:val="00B42814"/>
    <w:rsid w:val="00B44DC2"/>
    <w:rsid w:val="00B4574C"/>
    <w:rsid w:val="00B47CF9"/>
    <w:rsid w:val="00B50688"/>
    <w:rsid w:val="00B51B9B"/>
    <w:rsid w:val="00B63339"/>
    <w:rsid w:val="00B643F0"/>
    <w:rsid w:val="00B65147"/>
    <w:rsid w:val="00B66731"/>
    <w:rsid w:val="00B66ABD"/>
    <w:rsid w:val="00B710BD"/>
    <w:rsid w:val="00B7453A"/>
    <w:rsid w:val="00B75B25"/>
    <w:rsid w:val="00B77A4B"/>
    <w:rsid w:val="00B80A9E"/>
    <w:rsid w:val="00B81233"/>
    <w:rsid w:val="00B83355"/>
    <w:rsid w:val="00B83936"/>
    <w:rsid w:val="00B875D7"/>
    <w:rsid w:val="00B87762"/>
    <w:rsid w:val="00B93934"/>
    <w:rsid w:val="00B97ED6"/>
    <w:rsid w:val="00B97F3F"/>
    <w:rsid w:val="00BA0CAF"/>
    <w:rsid w:val="00BA486E"/>
    <w:rsid w:val="00BA64B7"/>
    <w:rsid w:val="00BB4038"/>
    <w:rsid w:val="00BB49BB"/>
    <w:rsid w:val="00BB6A9D"/>
    <w:rsid w:val="00BB7997"/>
    <w:rsid w:val="00BB79F8"/>
    <w:rsid w:val="00BC69DA"/>
    <w:rsid w:val="00BD092A"/>
    <w:rsid w:val="00BD1824"/>
    <w:rsid w:val="00BD36A4"/>
    <w:rsid w:val="00BD3C79"/>
    <w:rsid w:val="00BD3D39"/>
    <w:rsid w:val="00BD4C23"/>
    <w:rsid w:val="00BD52A3"/>
    <w:rsid w:val="00BD6EB7"/>
    <w:rsid w:val="00BE676D"/>
    <w:rsid w:val="00BF0DF3"/>
    <w:rsid w:val="00BF494B"/>
    <w:rsid w:val="00BF57B8"/>
    <w:rsid w:val="00C07A77"/>
    <w:rsid w:val="00C11D07"/>
    <w:rsid w:val="00C13CC7"/>
    <w:rsid w:val="00C13D3A"/>
    <w:rsid w:val="00C17666"/>
    <w:rsid w:val="00C200F3"/>
    <w:rsid w:val="00C21E84"/>
    <w:rsid w:val="00C21F08"/>
    <w:rsid w:val="00C22E23"/>
    <w:rsid w:val="00C25668"/>
    <w:rsid w:val="00C25F7C"/>
    <w:rsid w:val="00C358F7"/>
    <w:rsid w:val="00C3601D"/>
    <w:rsid w:val="00C402F0"/>
    <w:rsid w:val="00C40CE3"/>
    <w:rsid w:val="00C40F67"/>
    <w:rsid w:val="00C43A41"/>
    <w:rsid w:val="00C54D27"/>
    <w:rsid w:val="00C602BF"/>
    <w:rsid w:val="00C60905"/>
    <w:rsid w:val="00C61D5F"/>
    <w:rsid w:val="00C65594"/>
    <w:rsid w:val="00C66054"/>
    <w:rsid w:val="00C71A3D"/>
    <w:rsid w:val="00C72A62"/>
    <w:rsid w:val="00C76316"/>
    <w:rsid w:val="00C76EEB"/>
    <w:rsid w:val="00C77293"/>
    <w:rsid w:val="00C778F1"/>
    <w:rsid w:val="00C85934"/>
    <w:rsid w:val="00C86E8B"/>
    <w:rsid w:val="00C876E9"/>
    <w:rsid w:val="00C879BC"/>
    <w:rsid w:val="00C9215F"/>
    <w:rsid w:val="00C95958"/>
    <w:rsid w:val="00CA1A67"/>
    <w:rsid w:val="00CA5E45"/>
    <w:rsid w:val="00CA6399"/>
    <w:rsid w:val="00CA7A90"/>
    <w:rsid w:val="00CB1C72"/>
    <w:rsid w:val="00CB4830"/>
    <w:rsid w:val="00CB582D"/>
    <w:rsid w:val="00CC0CED"/>
    <w:rsid w:val="00CC1A2A"/>
    <w:rsid w:val="00CC2C9B"/>
    <w:rsid w:val="00CC42E2"/>
    <w:rsid w:val="00CD134A"/>
    <w:rsid w:val="00CD39D2"/>
    <w:rsid w:val="00CD4365"/>
    <w:rsid w:val="00CD50FE"/>
    <w:rsid w:val="00CD6465"/>
    <w:rsid w:val="00CE2F57"/>
    <w:rsid w:val="00CE3637"/>
    <w:rsid w:val="00CE367B"/>
    <w:rsid w:val="00CE5255"/>
    <w:rsid w:val="00CE7621"/>
    <w:rsid w:val="00CF1B40"/>
    <w:rsid w:val="00CF1F9F"/>
    <w:rsid w:val="00CF3FEE"/>
    <w:rsid w:val="00CF4752"/>
    <w:rsid w:val="00CF5B13"/>
    <w:rsid w:val="00CF6CF4"/>
    <w:rsid w:val="00D00F3B"/>
    <w:rsid w:val="00D01F5A"/>
    <w:rsid w:val="00D02D93"/>
    <w:rsid w:val="00D048AB"/>
    <w:rsid w:val="00D1625C"/>
    <w:rsid w:val="00D1716E"/>
    <w:rsid w:val="00D20649"/>
    <w:rsid w:val="00D207CF"/>
    <w:rsid w:val="00D20EFD"/>
    <w:rsid w:val="00D24439"/>
    <w:rsid w:val="00D24631"/>
    <w:rsid w:val="00D266F6"/>
    <w:rsid w:val="00D27A96"/>
    <w:rsid w:val="00D30FD8"/>
    <w:rsid w:val="00D3787A"/>
    <w:rsid w:val="00D40A06"/>
    <w:rsid w:val="00D414D2"/>
    <w:rsid w:val="00D41FA8"/>
    <w:rsid w:val="00D42D7A"/>
    <w:rsid w:val="00D4424C"/>
    <w:rsid w:val="00D44335"/>
    <w:rsid w:val="00D445A9"/>
    <w:rsid w:val="00D47168"/>
    <w:rsid w:val="00D47A1D"/>
    <w:rsid w:val="00D509C4"/>
    <w:rsid w:val="00D52F19"/>
    <w:rsid w:val="00D564A8"/>
    <w:rsid w:val="00D575EE"/>
    <w:rsid w:val="00D643DC"/>
    <w:rsid w:val="00D64E05"/>
    <w:rsid w:val="00D64E82"/>
    <w:rsid w:val="00D67E47"/>
    <w:rsid w:val="00D7276A"/>
    <w:rsid w:val="00D74DFE"/>
    <w:rsid w:val="00D75ECF"/>
    <w:rsid w:val="00D805DC"/>
    <w:rsid w:val="00D8116D"/>
    <w:rsid w:val="00D8205C"/>
    <w:rsid w:val="00D826E5"/>
    <w:rsid w:val="00D86ECF"/>
    <w:rsid w:val="00D87290"/>
    <w:rsid w:val="00D91E38"/>
    <w:rsid w:val="00D920F5"/>
    <w:rsid w:val="00D92FD3"/>
    <w:rsid w:val="00D96EA9"/>
    <w:rsid w:val="00DA029F"/>
    <w:rsid w:val="00DA0609"/>
    <w:rsid w:val="00DA0E9E"/>
    <w:rsid w:val="00DA3B6E"/>
    <w:rsid w:val="00DB1E99"/>
    <w:rsid w:val="00DB2079"/>
    <w:rsid w:val="00DB49AF"/>
    <w:rsid w:val="00DB56BC"/>
    <w:rsid w:val="00DB7581"/>
    <w:rsid w:val="00DC238B"/>
    <w:rsid w:val="00DC2E19"/>
    <w:rsid w:val="00DC4E3F"/>
    <w:rsid w:val="00DC670B"/>
    <w:rsid w:val="00DC70C1"/>
    <w:rsid w:val="00DD3EF7"/>
    <w:rsid w:val="00DD57FC"/>
    <w:rsid w:val="00DE0B13"/>
    <w:rsid w:val="00DE3123"/>
    <w:rsid w:val="00DE38FF"/>
    <w:rsid w:val="00DE427D"/>
    <w:rsid w:val="00DE5E2D"/>
    <w:rsid w:val="00DE5EA2"/>
    <w:rsid w:val="00DF0492"/>
    <w:rsid w:val="00DF1A50"/>
    <w:rsid w:val="00E0175F"/>
    <w:rsid w:val="00E05ABE"/>
    <w:rsid w:val="00E0606C"/>
    <w:rsid w:val="00E066F0"/>
    <w:rsid w:val="00E10D21"/>
    <w:rsid w:val="00E11497"/>
    <w:rsid w:val="00E12AE0"/>
    <w:rsid w:val="00E13684"/>
    <w:rsid w:val="00E14B30"/>
    <w:rsid w:val="00E15C4A"/>
    <w:rsid w:val="00E2024C"/>
    <w:rsid w:val="00E2125D"/>
    <w:rsid w:val="00E21BC1"/>
    <w:rsid w:val="00E22D3A"/>
    <w:rsid w:val="00E25E21"/>
    <w:rsid w:val="00E25FBB"/>
    <w:rsid w:val="00E26461"/>
    <w:rsid w:val="00E337CB"/>
    <w:rsid w:val="00E339BA"/>
    <w:rsid w:val="00E37149"/>
    <w:rsid w:val="00E41594"/>
    <w:rsid w:val="00E424EE"/>
    <w:rsid w:val="00E442AF"/>
    <w:rsid w:val="00E505F1"/>
    <w:rsid w:val="00E51555"/>
    <w:rsid w:val="00E52AC5"/>
    <w:rsid w:val="00E54AD3"/>
    <w:rsid w:val="00E562CD"/>
    <w:rsid w:val="00E57F00"/>
    <w:rsid w:val="00E60488"/>
    <w:rsid w:val="00E61053"/>
    <w:rsid w:val="00E63B92"/>
    <w:rsid w:val="00E641BD"/>
    <w:rsid w:val="00E66F89"/>
    <w:rsid w:val="00E7110E"/>
    <w:rsid w:val="00E728A8"/>
    <w:rsid w:val="00E74A42"/>
    <w:rsid w:val="00E80361"/>
    <w:rsid w:val="00E8079C"/>
    <w:rsid w:val="00E83C12"/>
    <w:rsid w:val="00E852D1"/>
    <w:rsid w:val="00E85BF8"/>
    <w:rsid w:val="00E904C8"/>
    <w:rsid w:val="00E92548"/>
    <w:rsid w:val="00E92633"/>
    <w:rsid w:val="00E932AF"/>
    <w:rsid w:val="00E93C58"/>
    <w:rsid w:val="00E9460C"/>
    <w:rsid w:val="00E95484"/>
    <w:rsid w:val="00E97468"/>
    <w:rsid w:val="00EA1BBF"/>
    <w:rsid w:val="00EA310F"/>
    <w:rsid w:val="00EB29A9"/>
    <w:rsid w:val="00EB48FD"/>
    <w:rsid w:val="00EB7585"/>
    <w:rsid w:val="00EB77D2"/>
    <w:rsid w:val="00EB7ED4"/>
    <w:rsid w:val="00EC3D45"/>
    <w:rsid w:val="00EC761B"/>
    <w:rsid w:val="00ED016F"/>
    <w:rsid w:val="00ED2F94"/>
    <w:rsid w:val="00ED3CAC"/>
    <w:rsid w:val="00ED765F"/>
    <w:rsid w:val="00EE6D43"/>
    <w:rsid w:val="00EF369C"/>
    <w:rsid w:val="00EF7A2E"/>
    <w:rsid w:val="00F003FF"/>
    <w:rsid w:val="00F0199D"/>
    <w:rsid w:val="00F0282E"/>
    <w:rsid w:val="00F070E0"/>
    <w:rsid w:val="00F13A70"/>
    <w:rsid w:val="00F13EC4"/>
    <w:rsid w:val="00F14195"/>
    <w:rsid w:val="00F146C2"/>
    <w:rsid w:val="00F163DD"/>
    <w:rsid w:val="00F222F3"/>
    <w:rsid w:val="00F24376"/>
    <w:rsid w:val="00F26611"/>
    <w:rsid w:val="00F269A0"/>
    <w:rsid w:val="00F316C8"/>
    <w:rsid w:val="00F36178"/>
    <w:rsid w:val="00F369FC"/>
    <w:rsid w:val="00F40034"/>
    <w:rsid w:val="00F42DD0"/>
    <w:rsid w:val="00F434E9"/>
    <w:rsid w:val="00F44CC0"/>
    <w:rsid w:val="00F46094"/>
    <w:rsid w:val="00F46FD5"/>
    <w:rsid w:val="00F50D9F"/>
    <w:rsid w:val="00F53A3C"/>
    <w:rsid w:val="00F53E2E"/>
    <w:rsid w:val="00F56A6B"/>
    <w:rsid w:val="00F571AA"/>
    <w:rsid w:val="00F6202A"/>
    <w:rsid w:val="00F62A24"/>
    <w:rsid w:val="00F632DE"/>
    <w:rsid w:val="00F6366C"/>
    <w:rsid w:val="00F63B2A"/>
    <w:rsid w:val="00F64E65"/>
    <w:rsid w:val="00F66649"/>
    <w:rsid w:val="00F735E4"/>
    <w:rsid w:val="00F7453A"/>
    <w:rsid w:val="00F75FA6"/>
    <w:rsid w:val="00F82C9F"/>
    <w:rsid w:val="00F82CC5"/>
    <w:rsid w:val="00F85B24"/>
    <w:rsid w:val="00F87492"/>
    <w:rsid w:val="00F92BBD"/>
    <w:rsid w:val="00F9491B"/>
    <w:rsid w:val="00F96159"/>
    <w:rsid w:val="00FA4089"/>
    <w:rsid w:val="00FA753C"/>
    <w:rsid w:val="00FB385E"/>
    <w:rsid w:val="00FB4173"/>
    <w:rsid w:val="00FB6149"/>
    <w:rsid w:val="00FB7834"/>
    <w:rsid w:val="00FB7AD6"/>
    <w:rsid w:val="00FC0B19"/>
    <w:rsid w:val="00FC104C"/>
    <w:rsid w:val="00FC1314"/>
    <w:rsid w:val="00FC2E8E"/>
    <w:rsid w:val="00FC2E98"/>
    <w:rsid w:val="00FC349B"/>
    <w:rsid w:val="00FC3BD6"/>
    <w:rsid w:val="00FD2B96"/>
    <w:rsid w:val="00FD4B6A"/>
    <w:rsid w:val="00FE2CC1"/>
    <w:rsid w:val="00FE4204"/>
    <w:rsid w:val="00FE578D"/>
    <w:rsid w:val="00FE7DBF"/>
    <w:rsid w:val="00FF03A8"/>
    <w:rsid w:val="00FF1FA3"/>
    <w:rsid w:val="00FF2D80"/>
    <w:rsid w:val="00FF502C"/>
    <w:rsid w:val="00FF63EA"/>
    <w:rsid w:val="00FF6879"/>
    <w:rsid w:val="00FF6AA0"/>
    <w:rsid w:val="00FF79BB"/>
    <w:rsid w:val="02DA1020"/>
    <w:rsid w:val="03B411E5"/>
    <w:rsid w:val="04F80E28"/>
    <w:rsid w:val="05F15853"/>
    <w:rsid w:val="06DA039A"/>
    <w:rsid w:val="07131144"/>
    <w:rsid w:val="09C84FD5"/>
    <w:rsid w:val="0AD655A8"/>
    <w:rsid w:val="0ADDFBF6"/>
    <w:rsid w:val="0C7C520C"/>
    <w:rsid w:val="0CE65EEE"/>
    <w:rsid w:val="0CF3CCF5"/>
    <w:rsid w:val="0D2BE241"/>
    <w:rsid w:val="0E8B74BC"/>
    <w:rsid w:val="0EAA0B94"/>
    <w:rsid w:val="105AF937"/>
    <w:rsid w:val="132FAAE8"/>
    <w:rsid w:val="1446BF68"/>
    <w:rsid w:val="15636F9F"/>
    <w:rsid w:val="194CE2FE"/>
    <w:rsid w:val="19BE32D1"/>
    <w:rsid w:val="1B84233F"/>
    <w:rsid w:val="1E2423CA"/>
    <w:rsid w:val="1FB354E5"/>
    <w:rsid w:val="205BCF02"/>
    <w:rsid w:val="25649F22"/>
    <w:rsid w:val="263229FB"/>
    <w:rsid w:val="26F91DE0"/>
    <w:rsid w:val="279EAF45"/>
    <w:rsid w:val="295D36D6"/>
    <w:rsid w:val="29749234"/>
    <w:rsid w:val="29D1C950"/>
    <w:rsid w:val="2AD0AC87"/>
    <w:rsid w:val="2D21528E"/>
    <w:rsid w:val="3104DACA"/>
    <w:rsid w:val="342463E9"/>
    <w:rsid w:val="3471953C"/>
    <w:rsid w:val="34E0972B"/>
    <w:rsid w:val="354A1EF6"/>
    <w:rsid w:val="358EBFED"/>
    <w:rsid w:val="35C3E5BE"/>
    <w:rsid w:val="39AF6547"/>
    <w:rsid w:val="3C7FF8E7"/>
    <w:rsid w:val="3CA836F5"/>
    <w:rsid w:val="3DCE51C1"/>
    <w:rsid w:val="3DD10CFC"/>
    <w:rsid w:val="404EA80F"/>
    <w:rsid w:val="438EE070"/>
    <w:rsid w:val="439368D0"/>
    <w:rsid w:val="45146525"/>
    <w:rsid w:val="4606327D"/>
    <w:rsid w:val="4943E780"/>
    <w:rsid w:val="4A1E0437"/>
    <w:rsid w:val="4BC69146"/>
    <w:rsid w:val="4CFC6A6D"/>
    <w:rsid w:val="4DACA7D9"/>
    <w:rsid w:val="4F22E2A9"/>
    <w:rsid w:val="512F5AAE"/>
    <w:rsid w:val="54E2A1B1"/>
    <w:rsid w:val="5AA106E0"/>
    <w:rsid w:val="5AC0CECD"/>
    <w:rsid w:val="5B1F3B83"/>
    <w:rsid w:val="5B2A422A"/>
    <w:rsid w:val="5CA86383"/>
    <w:rsid w:val="5D4C1411"/>
    <w:rsid w:val="5DCD3C8D"/>
    <w:rsid w:val="611A64DB"/>
    <w:rsid w:val="6164FDA8"/>
    <w:rsid w:val="61DEA588"/>
    <w:rsid w:val="629CC5D6"/>
    <w:rsid w:val="6323ED6C"/>
    <w:rsid w:val="64966112"/>
    <w:rsid w:val="656B3E90"/>
    <w:rsid w:val="66A103E3"/>
    <w:rsid w:val="696E705D"/>
    <w:rsid w:val="6A899BE3"/>
    <w:rsid w:val="6B44E91C"/>
    <w:rsid w:val="6B98A446"/>
    <w:rsid w:val="6C46361C"/>
    <w:rsid w:val="6E17C97C"/>
    <w:rsid w:val="7117EF83"/>
    <w:rsid w:val="71AEC204"/>
    <w:rsid w:val="72D63B58"/>
    <w:rsid w:val="7309F880"/>
    <w:rsid w:val="74819B90"/>
    <w:rsid w:val="7795EF82"/>
    <w:rsid w:val="788C27D0"/>
    <w:rsid w:val="7926C4A7"/>
    <w:rsid w:val="79F2EE30"/>
    <w:rsid w:val="7DCF336E"/>
    <w:rsid w:val="7E16F6CC"/>
    <w:rsid w:val="7E58176E"/>
    <w:rsid w:val="7E8A90BA"/>
    <w:rsid w:val="7F8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89D6FC96-367B-4332-A7DE-91CE4E5F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5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45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5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4571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6552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39D2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D3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9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D39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39D2"/>
    <w:rPr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C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C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3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United_Nations_Framework_Convention_on_Climate_Chan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0/852/oj" TargetMode="External"/><Relationship Id="rId3" Type="http://schemas.openxmlformats.org/officeDocument/2006/relationships/hyperlink" Target="https://taxation-customs.ec.europa.eu/taxation/excise-taxes/revision-energy-taxation-directive_en" TargetMode="External"/><Relationship Id="rId7" Type="http://schemas.openxmlformats.org/officeDocument/2006/relationships/hyperlink" Target="https://citizen-led-renovation.ec.europa.eu/news/citizens-energy-package-eu-launches-public-consultation-empower-consumers-green-transition-2025-06-24_en" TargetMode="External"/><Relationship Id="rId2" Type="http://schemas.openxmlformats.org/officeDocument/2006/relationships/hyperlink" Target="https://eur-lex.europa.eu/legal-content/EN/TXT/?uri=CELEX:52021PC0563" TargetMode="External"/><Relationship Id="rId1" Type="http://schemas.openxmlformats.org/officeDocument/2006/relationships/hyperlink" Target="http://data.europa.eu/eli/dec/2022/591/oj" TargetMode="External"/><Relationship Id="rId6" Type="http://schemas.openxmlformats.org/officeDocument/2006/relationships/hyperlink" Target="http://data.europa.eu/eli/reg/2018/1999/oj" TargetMode="External"/><Relationship Id="rId5" Type="http://schemas.openxmlformats.org/officeDocument/2006/relationships/hyperlink" Target="https://ec.europa.eu/commission/presscorner/detail/en/ip_25_1598" TargetMode="External"/><Relationship Id="rId4" Type="http://schemas.openxmlformats.org/officeDocument/2006/relationships/hyperlink" Target="https://eur-lex.europa.eu/legal-content/EN/TXT/PDF/?uri=COM:2025:85:F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901220668F4BB3A67BE672005023" ma:contentTypeVersion="15" ma:contentTypeDescription="Create a new document." ma:contentTypeScope="" ma:versionID="f333c58127ff6b683d4fe8e9bc86f713">
  <xsd:schema xmlns:xsd="http://www.w3.org/2001/XMLSchema" xmlns:xs="http://www.w3.org/2001/XMLSchema" xmlns:p="http://schemas.microsoft.com/office/2006/metadata/properties" xmlns:ns2="6f3ca250-38ff-4ce0-a943-575e2b64cba9" xmlns:ns3="e1a78ac4-7176-4dde-ad25-36245d50a152" targetNamespace="http://schemas.microsoft.com/office/2006/metadata/properties" ma:root="true" ma:fieldsID="8f091cfee7f0ea5671a30e12c569ddc2" ns2:_="" ns3:_="">
    <xsd:import namespace="6f3ca250-38ff-4ce0-a943-575e2b64cba9"/>
    <xsd:import namespace="e1a78ac4-7176-4dde-ad25-36245d50a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a250-38ff-4ce0-a943-575e2b64c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2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8ac4-7176-4dde-ad25-36245d50a1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cdbe16-ee85-4ce4-942c-24a2e27804b5}" ma:internalName="TaxCatchAll" ma:showField="CatchAllData" ma:web="e1a78ac4-7176-4dde-ad25-36245d50a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ca250-38ff-4ce0-a943-575e2b64c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e1a78ac4-7176-4dde-ad25-36245d50a152" xsi:nil="true"/>
    <comment xmlns="6f3ca250-38ff-4ce0-a943-575e2b64cb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EABF9-414F-4AF6-9FAF-5150A9A9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a250-38ff-4ce0-a943-575e2b64cba9"/>
    <ds:schemaRef ds:uri="e1a78ac4-7176-4dde-ad25-36245d50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3DAD2-D715-4CD5-BD7D-4F0F1535D0A6}">
  <ds:schemaRefs>
    <ds:schemaRef ds:uri="http://schemas.openxmlformats.org/package/2006/metadata/core-properties"/>
    <ds:schemaRef ds:uri="e1a78ac4-7176-4dde-ad25-36245d50a152"/>
    <ds:schemaRef ds:uri="http://purl.org/dc/terms/"/>
    <ds:schemaRef ds:uri="6f3ca250-38ff-4ce0-a943-575e2b64cba9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CC7642-285C-45D0-A2E1-246F78A9D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1E85DA-4ED2-4A5D-B6F4-1F0DAC489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1150</Words>
  <Characters>6756</Characters>
  <Application>Microsoft Office Word</Application>
  <DocSecurity>0</DocSecurity>
  <Lines>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3</cp:revision>
  <cp:lastPrinted>2013-02-28T21:02:00Z</cp:lastPrinted>
  <dcterms:created xsi:type="dcterms:W3CDTF">2026-01-09T10:44:00Z</dcterms:created>
  <dcterms:modified xsi:type="dcterms:W3CDTF">2026-01-09T10:45:00Z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0x010100F696901220668F4BB3A67BE672005023</vt:lpwstr>
  </property>
  <property fmtid="{D5CDD505-2E9C-101B-9397-08002B2CF9AE}" pid="10" name="MediaServiceImageTags">
    <vt:lpwstr/>
  </property>
</Properties>
</file>