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80"/>
      </w:tblGrid>
      <w:tr w:rsidR="00F62C5C" w:rsidRPr="00442552" w14:paraId="34222E23" w14:textId="77777777" w:rsidTr="009525D9">
        <w:trPr>
          <w:jc w:val="center"/>
        </w:trPr>
        <w:tc>
          <w:tcPr>
            <w:tcW w:w="10580" w:type="dxa"/>
          </w:tcPr>
          <w:p w14:paraId="01A50E4C" w14:textId="3608700C" w:rsidR="00F62C5C" w:rsidRPr="00807B48" w:rsidRDefault="00F62C5C" w:rsidP="00B81D61">
            <w:pPr>
              <w:spacing w:before="120" w:after="120"/>
              <w:rPr>
                <w:rFonts w:ascii="Times New Roman" w:hAnsi="Times New Roman"/>
                <w:b/>
                <w:sz w:val="24"/>
                <w:szCs w:val="24"/>
              </w:rPr>
            </w:pPr>
            <w:r>
              <w:rPr>
                <w:rFonts w:ascii="Times New Roman" w:hAnsi="Times New Roman"/>
                <w:b/>
                <w:bCs/>
                <w:sz w:val="24"/>
                <w:szCs w:val="24"/>
              </w:rPr>
              <w:t>EU Anti-Poverty Strategy</w:t>
            </w:r>
            <w:r w:rsidRPr="00A0076C">
              <w:rPr>
                <w:rFonts w:ascii="Times New Roman" w:hAnsi="Times New Roman"/>
                <w:b/>
                <w:bCs/>
                <w:sz w:val="24"/>
                <w:szCs w:val="24"/>
              </w:rPr>
              <w:br/>
            </w:r>
            <w:r w:rsidR="009525D9" w:rsidRPr="00B81D61">
              <w:rPr>
                <w:rFonts w:ascii="Times New Roman" w:hAnsi="Times New Roman"/>
                <w:b/>
                <w:bCs/>
                <w:sz w:val="24"/>
                <w:szCs w:val="24"/>
              </w:rPr>
              <w:t>(exploratory opinion requested by the European Commission)</w:t>
            </w:r>
            <w:r w:rsidR="009525D9" w:rsidRPr="00B81D61">
              <w:rPr>
                <w:rFonts w:ascii="Times New Roman" w:hAnsi="Times New Roman"/>
                <w:b/>
                <w:bCs/>
                <w:sz w:val="24"/>
                <w:szCs w:val="24"/>
              </w:rPr>
              <w:br/>
            </w:r>
            <w:r>
              <w:rPr>
                <w:rFonts w:ascii="Times New Roman" w:hAnsi="Times New Roman"/>
                <w:b/>
                <w:bCs/>
                <w:sz w:val="24"/>
                <w:szCs w:val="24"/>
              </w:rPr>
              <w:t>EESC</w:t>
            </w:r>
            <w:r w:rsidRPr="00FF2E69">
              <w:rPr>
                <w:rFonts w:ascii="Times New Roman" w:hAnsi="Times New Roman"/>
                <w:b/>
                <w:bCs/>
                <w:sz w:val="24"/>
                <w:szCs w:val="24"/>
              </w:rPr>
              <w:t>-</w:t>
            </w:r>
            <w:r w:rsidRPr="00800BFA">
              <w:rPr>
                <w:rFonts w:ascii="Times New Roman" w:hAnsi="Times New Roman"/>
                <w:b/>
                <w:bCs/>
                <w:sz w:val="24"/>
                <w:szCs w:val="24"/>
              </w:rPr>
              <w:t>2025-00984</w:t>
            </w:r>
            <w:r>
              <w:rPr>
                <w:rFonts w:ascii="Times New Roman" w:hAnsi="Times New Roman"/>
                <w:b/>
                <w:bCs/>
                <w:sz w:val="24"/>
                <w:szCs w:val="24"/>
              </w:rPr>
              <w:t xml:space="preserve"> </w:t>
            </w:r>
            <w:r w:rsidRPr="3269524E">
              <w:rPr>
                <w:rFonts w:ascii="Times New Roman" w:hAnsi="Times New Roman"/>
                <w:b/>
                <w:bCs/>
                <w:sz w:val="24"/>
                <w:szCs w:val="24"/>
              </w:rPr>
              <w:t>‒ SOC/82</w:t>
            </w:r>
            <w:r>
              <w:rPr>
                <w:rFonts w:ascii="Times New Roman" w:hAnsi="Times New Roman"/>
                <w:b/>
                <w:bCs/>
                <w:sz w:val="24"/>
                <w:szCs w:val="24"/>
              </w:rPr>
              <w:t>9</w:t>
            </w:r>
            <w:r w:rsidRPr="00A0076C">
              <w:rPr>
                <w:rFonts w:ascii="Times New Roman" w:hAnsi="Times New Roman"/>
                <w:b/>
                <w:bCs/>
                <w:sz w:val="24"/>
                <w:szCs w:val="24"/>
              </w:rPr>
              <w:br/>
            </w:r>
            <w:r w:rsidRPr="00FF2E69">
              <w:rPr>
                <w:rFonts w:ascii="Times New Roman" w:hAnsi="Times New Roman"/>
                <w:b/>
                <w:bCs/>
                <w:sz w:val="24"/>
                <w:szCs w:val="24"/>
              </w:rPr>
              <w:t>59</w:t>
            </w:r>
            <w:r>
              <w:rPr>
                <w:rFonts w:ascii="Times New Roman" w:hAnsi="Times New Roman"/>
                <w:b/>
                <w:bCs/>
                <w:sz w:val="24"/>
                <w:szCs w:val="24"/>
              </w:rPr>
              <w:t>8</w:t>
            </w:r>
            <w:r w:rsidRPr="00B81D61">
              <w:rPr>
                <w:rFonts w:ascii="Times New Roman" w:hAnsi="Times New Roman"/>
                <w:b/>
                <w:bCs/>
                <w:sz w:val="24"/>
                <w:szCs w:val="24"/>
                <w:vertAlign w:val="superscript"/>
              </w:rPr>
              <w:t>th</w:t>
            </w:r>
            <w:r w:rsidRPr="00A0076C">
              <w:rPr>
                <w:rFonts w:ascii="Times New Roman" w:hAnsi="Times New Roman"/>
                <w:b/>
                <w:bCs/>
                <w:sz w:val="24"/>
                <w:szCs w:val="24"/>
              </w:rPr>
              <w:t xml:space="preserve"> </w:t>
            </w:r>
            <w:r w:rsidRPr="00FF2E69">
              <w:rPr>
                <w:rFonts w:ascii="Times New Roman" w:hAnsi="Times New Roman"/>
                <w:b/>
                <w:bCs/>
                <w:sz w:val="24"/>
                <w:szCs w:val="24"/>
              </w:rPr>
              <w:t>Plenary</w:t>
            </w:r>
            <w:r w:rsidRPr="3269524E">
              <w:rPr>
                <w:rFonts w:ascii="Times New Roman" w:hAnsi="Times New Roman"/>
                <w:b/>
                <w:bCs/>
                <w:sz w:val="24"/>
                <w:szCs w:val="24"/>
              </w:rPr>
              <w:t xml:space="preserve"> Session – Ju</w:t>
            </w:r>
            <w:r>
              <w:rPr>
                <w:rFonts w:ascii="Times New Roman" w:hAnsi="Times New Roman"/>
                <w:b/>
                <w:bCs/>
                <w:sz w:val="24"/>
                <w:szCs w:val="24"/>
              </w:rPr>
              <w:t>ly</w:t>
            </w:r>
            <w:r w:rsidRPr="3269524E">
              <w:rPr>
                <w:rFonts w:ascii="Times New Roman" w:hAnsi="Times New Roman"/>
                <w:b/>
                <w:bCs/>
                <w:sz w:val="24"/>
                <w:szCs w:val="24"/>
              </w:rPr>
              <w:t xml:space="preserve"> 2025</w:t>
            </w:r>
            <w:r w:rsidRPr="00A0076C">
              <w:rPr>
                <w:rFonts w:ascii="Times New Roman" w:hAnsi="Times New Roman"/>
                <w:b/>
                <w:bCs/>
                <w:sz w:val="24"/>
                <w:szCs w:val="24"/>
              </w:rPr>
              <w:br/>
            </w:r>
            <w:r w:rsidRPr="3269524E">
              <w:rPr>
                <w:rFonts w:ascii="Times New Roman" w:hAnsi="Times New Roman"/>
                <w:b/>
                <w:bCs/>
                <w:sz w:val="24"/>
                <w:szCs w:val="24"/>
              </w:rPr>
              <w:t xml:space="preserve">Rapporteur: </w:t>
            </w:r>
            <w:r w:rsidRPr="00A0076C">
              <w:rPr>
                <w:rFonts w:ascii="Times New Roman" w:hAnsi="Times New Roman"/>
                <w:b/>
                <w:bCs/>
                <w:sz w:val="24"/>
                <w:szCs w:val="24"/>
              </w:rPr>
              <w:t xml:space="preserve">Krzysztof BALON </w:t>
            </w:r>
            <w:r w:rsidRPr="3269524E">
              <w:rPr>
                <w:rFonts w:ascii="Times New Roman" w:hAnsi="Times New Roman"/>
                <w:b/>
                <w:bCs/>
                <w:sz w:val="24"/>
                <w:szCs w:val="24"/>
              </w:rPr>
              <w:t>(</w:t>
            </w:r>
            <w:r>
              <w:rPr>
                <w:rFonts w:ascii="Times New Roman" w:hAnsi="Times New Roman"/>
                <w:b/>
                <w:bCs/>
                <w:sz w:val="24"/>
                <w:szCs w:val="24"/>
              </w:rPr>
              <w:t>PL</w:t>
            </w:r>
            <w:r w:rsidRPr="3269524E">
              <w:rPr>
                <w:rFonts w:ascii="Times New Roman" w:hAnsi="Times New Roman"/>
                <w:b/>
                <w:bCs/>
                <w:sz w:val="24"/>
                <w:szCs w:val="24"/>
              </w:rPr>
              <w:t>-II</w:t>
            </w:r>
            <w:r>
              <w:rPr>
                <w:rFonts w:ascii="Times New Roman" w:hAnsi="Times New Roman"/>
                <w:b/>
                <w:bCs/>
                <w:sz w:val="24"/>
                <w:szCs w:val="24"/>
              </w:rPr>
              <w:t>I</w:t>
            </w:r>
            <w:r w:rsidRPr="3269524E">
              <w:rPr>
                <w:rFonts w:ascii="Times New Roman" w:hAnsi="Times New Roman"/>
                <w:b/>
                <w:bCs/>
                <w:sz w:val="24"/>
                <w:szCs w:val="24"/>
              </w:rPr>
              <w:t>)</w:t>
            </w:r>
            <w:r>
              <w:rPr>
                <w:rFonts w:ascii="Times New Roman" w:hAnsi="Times New Roman"/>
                <w:b/>
                <w:sz w:val="24"/>
                <w:szCs w:val="24"/>
              </w:rPr>
              <w:br/>
            </w:r>
            <w:r w:rsidRPr="52411FF0">
              <w:rPr>
                <w:rFonts w:ascii="Times New Roman" w:hAnsi="Times New Roman"/>
                <w:b/>
                <w:sz w:val="24"/>
                <w:szCs w:val="24"/>
              </w:rPr>
              <w:t>Co-rapporteur: Sophia REISECKER (AT-II)</w:t>
            </w:r>
            <w:r>
              <w:br/>
            </w:r>
            <w:r w:rsidRPr="52411FF0">
              <w:rPr>
                <w:rFonts w:ascii="Times New Roman" w:hAnsi="Times New Roman"/>
                <w:b/>
                <w:sz w:val="24"/>
                <w:szCs w:val="24"/>
              </w:rPr>
              <w:t xml:space="preserve">DG EMPL </w:t>
            </w:r>
            <w:r w:rsidR="009525D9" w:rsidRPr="001A622D">
              <w:rPr>
                <w:rFonts w:ascii="Times New Roman" w:hAnsi="Times New Roman"/>
                <w:b/>
                <w:sz w:val="24"/>
                <w:szCs w:val="24"/>
              </w:rPr>
              <w:t>‒</w:t>
            </w:r>
            <w:r w:rsidRPr="52411FF0">
              <w:rPr>
                <w:rFonts w:ascii="Times New Roman" w:hAnsi="Times New Roman"/>
                <w:b/>
                <w:sz w:val="24"/>
                <w:szCs w:val="24"/>
              </w:rPr>
              <w:t xml:space="preserve"> Executive Vice-President MÎNZATU</w:t>
            </w:r>
          </w:p>
        </w:tc>
      </w:tr>
      <w:tr w:rsidR="00734613" w:rsidRPr="00442552" w14:paraId="1937071F" w14:textId="77777777" w:rsidTr="009525D9">
        <w:trPr>
          <w:jc w:val="center"/>
        </w:trPr>
        <w:tc>
          <w:tcPr>
            <w:tcW w:w="10580" w:type="dxa"/>
          </w:tcPr>
          <w:p w14:paraId="1E50B4DB" w14:textId="6507364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F62C5C">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F34CDC" w:rsidRPr="00117B3E" w14:paraId="79062833" w14:textId="77777777" w:rsidTr="009525D9">
        <w:trPr>
          <w:jc w:val="center"/>
        </w:trPr>
        <w:tc>
          <w:tcPr>
            <w:tcW w:w="10580" w:type="dxa"/>
          </w:tcPr>
          <w:p w14:paraId="741BC216" w14:textId="5429AAE3" w:rsidR="003E7A32" w:rsidRPr="00AF6063" w:rsidRDefault="003E7A32" w:rsidP="003E7A32">
            <w:pPr>
              <w:spacing w:before="120" w:after="120"/>
              <w:jc w:val="both"/>
              <w:rPr>
                <w:rFonts w:ascii="Times New Roman" w:hAnsi="Times New Roman"/>
                <w:bCs/>
                <w:sz w:val="24"/>
                <w:szCs w:val="24"/>
              </w:rPr>
            </w:pPr>
            <w:r w:rsidRPr="00A06B1E">
              <w:rPr>
                <w:rFonts w:ascii="Times New Roman" w:hAnsi="Times New Roman"/>
                <w:bCs/>
                <w:sz w:val="24"/>
                <w:szCs w:val="24"/>
              </w:rPr>
              <w:t>T</w:t>
            </w:r>
            <w:r w:rsidR="0027010C">
              <w:rPr>
                <w:rFonts w:ascii="Times New Roman" w:hAnsi="Times New Roman"/>
                <w:bCs/>
                <w:sz w:val="24"/>
                <w:szCs w:val="24"/>
              </w:rPr>
              <w:t>he Commission would like to t</w:t>
            </w:r>
            <w:r w:rsidRPr="00A06B1E">
              <w:rPr>
                <w:rFonts w:ascii="Times New Roman" w:hAnsi="Times New Roman"/>
                <w:bCs/>
                <w:sz w:val="24"/>
                <w:szCs w:val="24"/>
              </w:rPr>
              <w:t xml:space="preserve">hank </w:t>
            </w:r>
            <w:r w:rsidR="0027010C">
              <w:rPr>
                <w:rFonts w:ascii="Times New Roman" w:hAnsi="Times New Roman"/>
                <w:bCs/>
                <w:sz w:val="24"/>
                <w:szCs w:val="24"/>
              </w:rPr>
              <w:t xml:space="preserve">the </w:t>
            </w:r>
            <w:r w:rsidR="009525D9" w:rsidRPr="00B81D61">
              <w:rPr>
                <w:rFonts w:ascii="Times New Roman" w:hAnsi="Times New Roman"/>
                <w:bCs/>
                <w:sz w:val="24"/>
                <w:szCs w:val="24"/>
              </w:rPr>
              <w:t>Committee</w:t>
            </w:r>
            <w:r w:rsidR="0027010C" w:rsidRPr="00A06B1E">
              <w:rPr>
                <w:rFonts w:ascii="Times New Roman" w:hAnsi="Times New Roman"/>
                <w:bCs/>
                <w:sz w:val="24"/>
                <w:szCs w:val="24"/>
              </w:rPr>
              <w:t xml:space="preserve"> </w:t>
            </w:r>
            <w:r w:rsidRPr="00A06B1E">
              <w:rPr>
                <w:rFonts w:ascii="Times New Roman" w:hAnsi="Times New Roman"/>
                <w:bCs/>
                <w:sz w:val="24"/>
                <w:szCs w:val="24"/>
              </w:rPr>
              <w:t xml:space="preserve">for </w:t>
            </w:r>
            <w:r w:rsidR="0027010C">
              <w:rPr>
                <w:rFonts w:ascii="Times New Roman" w:hAnsi="Times New Roman"/>
                <w:bCs/>
                <w:sz w:val="24"/>
                <w:szCs w:val="24"/>
              </w:rPr>
              <w:t>its</w:t>
            </w:r>
            <w:r w:rsidR="0027010C" w:rsidRPr="00A06B1E">
              <w:rPr>
                <w:rFonts w:ascii="Times New Roman" w:hAnsi="Times New Roman"/>
                <w:bCs/>
                <w:sz w:val="24"/>
                <w:szCs w:val="24"/>
              </w:rPr>
              <w:t xml:space="preserve"> </w:t>
            </w:r>
            <w:r w:rsidRPr="00A06B1E">
              <w:rPr>
                <w:rFonts w:ascii="Times New Roman" w:hAnsi="Times New Roman"/>
                <w:bCs/>
                <w:sz w:val="24"/>
                <w:szCs w:val="24"/>
              </w:rPr>
              <w:t xml:space="preserve">detailed </w:t>
            </w:r>
            <w:r w:rsidR="0027010C">
              <w:rPr>
                <w:rFonts w:ascii="Times New Roman" w:hAnsi="Times New Roman"/>
                <w:bCs/>
                <w:sz w:val="24"/>
                <w:szCs w:val="24"/>
              </w:rPr>
              <w:t xml:space="preserve">exploratory </w:t>
            </w:r>
            <w:r w:rsidRPr="00A06B1E">
              <w:rPr>
                <w:rFonts w:ascii="Times New Roman" w:hAnsi="Times New Roman"/>
                <w:bCs/>
                <w:sz w:val="24"/>
                <w:szCs w:val="24"/>
              </w:rPr>
              <w:t>opinion</w:t>
            </w:r>
            <w:r w:rsidR="0027010C">
              <w:rPr>
                <w:rFonts w:ascii="Times New Roman" w:hAnsi="Times New Roman"/>
                <w:bCs/>
                <w:sz w:val="24"/>
                <w:szCs w:val="24"/>
              </w:rPr>
              <w:t xml:space="preserve"> as requested by the Commission</w:t>
            </w:r>
            <w:r w:rsidRPr="00A06B1E">
              <w:rPr>
                <w:rFonts w:ascii="Times New Roman" w:hAnsi="Times New Roman"/>
                <w:bCs/>
                <w:sz w:val="24"/>
                <w:szCs w:val="24"/>
              </w:rPr>
              <w:t xml:space="preserve"> concerning the EU Anti-Poverty Strategy (APS) and the constructive recommendations put forward. </w:t>
            </w:r>
            <w:r w:rsidRPr="00AF6063">
              <w:rPr>
                <w:rFonts w:ascii="Times New Roman" w:hAnsi="Times New Roman"/>
                <w:bCs/>
                <w:sz w:val="24"/>
                <w:szCs w:val="24"/>
              </w:rPr>
              <w:t>In response, the Commission would like to draw attention on the following points</w:t>
            </w:r>
            <w:r w:rsidR="000D166D">
              <w:rPr>
                <w:rFonts w:ascii="Times New Roman" w:hAnsi="Times New Roman"/>
                <w:bCs/>
                <w:sz w:val="24"/>
                <w:szCs w:val="24"/>
              </w:rPr>
              <w:t>.</w:t>
            </w:r>
          </w:p>
          <w:p w14:paraId="421F6295" w14:textId="6B0ED321" w:rsidR="008406D9" w:rsidRDefault="00760853" w:rsidP="004757E3">
            <w:pPr>
              <w:spacing w:before="120" w:after="120"/>
              <w:jc w:val="both"/>
              <w:rPr>
                <w:rFonts w:ascii="Times New Roman" w:hAnsi="Times New Roman"/>
                <w:bCs/>
                <w:sz w:val="24"/>
                <w:szCs w:val="24"/>
              </w:rPr>
            </w:pPr>
            <w:r w:rsidRPr="00AF6063">
              <w:rPr>
                <w:rFonts w:ascii="Times New Roman" w:hAnsi="Times New Roman"/>
                <w:b/>
                <w:sz w:val="24"/>
                <w:szCs w:val="24"/>
              </w:rPr>
              <w:t xml:space="preserve">1.1 and other paragraphs </w:t>
            </w:r>
            <w:r w:rsidR="00AF6063" w:rsidRPr="00AF6063">
              <w:rPr>
                <w:rFonts w:ascii="Times New Roman" w:hAnsi="Times New Roman"/>
                <w:b/>
                <w:sz w:val="24"/>
                <w:szCs w:val="24"/>
              </w:rPr>
              <w:t>on</w:t>
            </w:r>
            <w:r w:rsidRPr="00AF6063">
              <w:rPr>
                <w:rFonts w:ascii="Times New Roman" w:hAnsi="Times New Roman"/>
                <w:b/>
                <w:sz w:val="24"/>
                <w:szCs w:val="24"/>
              </w:rPr>
              <w:t xml:space="preserve"> the overall approach of the APS</w:t>
            </w:r>
            <w:r w:rsidRPr="00AF6063">
              <w:rPr>
                <w:rFonts w:ascii="Times New Roman" w:hAnsi="Times New Roman"/>
                <w:bCs/>
                <w:sz w:val="24"/>
                <w:szCs w:val="24"/>
              </w:rPr>
              <w:t xml:space="preserve"> – The </w:t>
            </w:r>
            <w:r w:rsidR="00800BFA">
              <w:rPr>
                <w:rFonts w:ascii="Times New Roman" w:hAnsi="Times New Roman"/>
                <w:bCs/>
                <w:sz w:val="24"/>
                <w:szCs w:val="24"/>
              </w:rPr>
              <w:t>P</w:t>
            </w:r>
            <w:r w:rsidRPr="00AF6063">
              <w:rPr>
                <w:rFonts w:ascii="Times New Roman" w:hAnsi="Times New Roman"/>
                <w:bCs/>
                <w:sz w:val="24"/>
                <w:szCs w:val="24"/>
              </w:rPr>
              <w:t xml:space="preserve">olitical </w:t>
            </w:r>
            <w:r w:rsidR="00800BFA">
              <w:rPr>
                <w:rFonts w:ascii="Times New Roman" w:hAnsi="Times New Roman"/>
                <w:bCs/>
                <w:sz w:val="24"/>
                <w:szCs w:val="24"/>
              </w:rPr>
              <w:t>G</w:t>
            </w:r>
            <w:r w:rsidRPr="00AF6063">
              <w:rPr>
                <w:rFonts w:ascii="Times New Roman" w:hAnsi="Times New Roman"/>
                <w:bCs/>
                <w:sz w:val="24"/>
                <w:szCs w:val="24"/>
              </w:rPr>
              <w:t xml:space="preserve">uidelines </w:t>
            </w:r>
            <w:r w:rsidR="002A0E0B">
              <w:rPr>
                <w:rFonts w:ascii="Times New Roman" w:hAnsi="Times New Roman"/>
                <w:bCs/>
                <w:sz w:val="24"/>
                <w:szCs w:val="24"/>
              </w:rPr>
              <w:t xml:space="preserve">for </w:t>
            </w:r>
            <w:r w:rsidRPr="00AF6063">
              <w:rPr>
                <w:rFonts w:ascii="Times New Roman" w:hAnsi="Times New Roman"/>
                <w:bCs/>
                <w:sz w:val="24"/>
                <w:szCs w:val="24"/>
              </w:rPr>
              <w:t>2024-2029 announced the EU</w:t>
            </w:r>
            <w:r w:rsidR="00703B37">
              <w:rPr>
                <w:rFonts w:ascii="Times New Roman" w:hAnsi="Times New Roman"/>
                <w:bCs/>
                <w:sz w:val="24"/>
                <w:szCs w:val="24"/>
              </w:rPr>
              <w:t xml:space="preserve"> </w:t>
            </w:r>
            <w:r w:rsidR="00703B37" w:rsidRPr="00AF6063">
              <w:rPr>
                <w:rFonts w:ascii="Times New Roman" w:hAnsi="Times New Roman"/>
                <w:bCs/>
                <w:sz w:val="24"/>
                <w:szCs w:val="24"/>
              </w:rPr>
              <w:t>first-ever</w:t>
            </w:r>
            <w:r w:rsidRPr="00AF6063">
              <w:rPr>
                <w:rFonts w:ascii="Times New Roman" w:hAnsi="Times New Roman"/>
                <w:bCs/>
                <w:sz w:val="24"/>
                <w:szCs w:val="24"/>
              </w:rPr>
              <w:t xml:space="preserve"> </w:t>
            </w:r>
            <w:r w:rsidR="00D666F8" w:rsidRPr="00AF6063">
              <w:rPr>
                <w:rFonts w:ascii="Times New Roman" w:hAnsi="Times New Roman"/>
                <w:bCs/>
                <w:sz w:val="24"/>
                <w:szCs w:val="24"/>
              </w:rPr>
              <w:t>APS</w:t>
            </w:r>
            <w:r w:rsidRPr="00AF6063">
              <w:rPr>
                <w:rFonts w:ascii="Times New Roman" w:hAnsi="Times New Roman"/>
                <w:bCs/>
                <w:sz w:val="24"/>
                <w:szCs w:val="24"/>
              </w:rPr>
              <w:t xml:space="preserve"> with the aim ‘to help people to get access to the essential protection</w:t>
            </w:r>
            <w:r w:rsidR="002E3FB7">
              <w:rPr>
                <w:rFonts w:ascii="Times New Roman" w:hAnsi="Times New Roman"/>
                <w:bCs/>
                <w:sz w:val="24"/>
                <w:szCs w:val="24"/>
              </w:rPr>
              <w:t>s</w:t>
            </w:r>
            <w:r w:rsidRPr="00AF6063">
              <w:rPr>
                <w:rFonts w:ascii="Times New Roman" w:hAnsi="Times New Roman"/>
                <w:bCs/>
                <w:sz w:val="24"/>
                <w:szCs w:val="24"/>
              </w:rPr>
              <w:t xml:space="preserve"> and services they need, along with addressing the root causes of poverty’.</w:t>
            </w:r>
            <w:r w:rsidR="00D23409">
              <w:rPr>
                <w:rFonts w:ascii="Times New Roman" w:hAnsi="Times New Roman"/>
                <w:bCs/>
                <w:sz w:val="24"/>
                <w:szCs w:val="24"/>
              </w:rPr>
              <w:t xml:space="preserve"> The State of the Union 2025 further specifies that the </w:t>
            </w:r>
            <w:r w:rsidR="00D23409" w:rsidRPr="00D23409">
              <w:rPr>
                <w:rFonts w:ascii="Times New Roman" w:hAnsi="Times New Roman"/>
                <w:bCs/>
                <w:sz w:val="24"/>
                <w:szCs w:val="24"/>
              </w:rPr>
              <w:t xml:space="preserve">plan </w:t>
            </w:r>
            <w:r w:rsidR="00D23409">
              <w:rPr>
                <w:rFonts w:ascii="Times New Roman" w:hAnsi="Times New Roman"/>
                <w:bCs/>
                <w:sz w:val="24"/>
                <w:szCs w:val="24"/>
              </w:rPr>
              <w:t>will</w:t>
            </w:r>
            <w:r w:rsidR="00D23409" w:rsidRPr="00D23409">
              <w:rPr>
                <w:rFonts w:ascii="Times New Roman" w:hAnsi="Times New Roman"/>
                <w:bCs/>
                <w:sz w:val="24"/>
                <w:szCs w:val="24"/>
              </w:rPr>
              <w:t xml:space="preserve"> help eradicate poverty by 2050</w:t>
            </w:r>
            <w:r w:rsidR="00D23409">
              <w:rPr>
                <w:rFonts w:ascii="Times New Roman" w:hAnsi="Times New Roman"/>
                <w:bCs/>
                <w:sz w:val="24"/>
                <w:szCs w:val="24"/>
              </w:rPr>
              <w:t xml:space="preserve"> and will be b</w:t>
            </w:r>
            <w:r w:rsidR="00D23409" w:rsidRPr="00D23409">
              <w:rPr>
                <w:rFonts w:ascii="Times New Roman" w:hAnsi="Times New Roman"/>
                <w:bCs/>
                <w:sz w:val="24"/>
                <w:szCs w:val="24"/>
              </w:rPr>
              <w:t>acked up by a strong Child Guarantee to shield our children from poverty</w:t>
            </w:r>
            <w:r w:rsidR="00D23409">
              <w:rPr>
                <w:rFonts w:ascii="Times New Roman" w:hAnsi="Times New Roman"/>
                <w:bCs/>
                <w:sz w:val="24"/>
                <w:szCs w:val="24"/>
              </w:rPr>
              <w:t>.</w:t>
            </w:r>
            <w:r w:rsidR="00D666F8" w:rsidRPr="00AF6063">
              <w:rPr>
                <w:rFonts w:ascii="Times New Roman" w:hAnsi="Times New Roman"/>
                <w:bCs/>
                <w:sz w:val="24"/>
                <w:szCs w:val="24"/>
              </w:rPr>
              <w:t xml:space="preserve"> While making </w:t>
            </w:r>
            <w:r w:rsidR="0027010C">
              <w:rPr>
                <w:rFonts w:ascii="Times New Roman" w:hAnsi="Times New Roman"/>
                <w:bCs/>
                <w:sz w:val="24"/>
                <w:szCs w:val="24"/>
              </w:rPr>
              <w:t>European</w:t>
            </w:r>
            <w:r w:rsidR="0027010C" w:rsidRPr="00AF6063">
              <w:rPr>
                <w:rFonts w:ascii="Times New Roman" w:hAnsi="Times New Roman"/>
                <w:bCs/>
                <w:sz w:val="24"/>
                <w:szCs w:val="24"/>
              </w:rPr>
              <w:t xml:space="preserve"> </w:t>
            </w:r>
            <w:r w:rsidR="00D666F8" w:rsidRPr="00AF6063">
              <w:rPr>
                <w:rFonts w:ascii="Times New Roman" w:hAnsi="Times New Roman"/>
                <w:bCs/>
                <w:sz w:val="24"/>
                <w:szCs w:val="24"/>
              </w:rPr>
              <w:t xml:space="preserve">societies more resilient and economies more competitive, </w:t>
            </w:r>
            <w:r w:rsidR="007C368A" w:rsidRPr="00AF6063">
              <w:rPr>
                <w:rFonts w:ascii="Times New Roman" w:hAnsi="Times New Roman"/>
                <w:bCs/>
                <w:sz w:val="24"/>
                <w:szCs w:val="24"/>
              </w:rPr>
              <w:t>the APS</w:t>
            </w:r>
            <w:r w:rsidR="00D666F8" w:rsidRPr="00AF6063">
              <w:rPr>
                <w:rFonts w:ascii="Times New Roman" w:hAnsi="Times New Roman"/>
                <w:bCs/>
                <w:sz w:val="24"/>
                <w:szCs w:val="24"/>
              </w:rPr>
              <w:t xml:space="preserve"> will also contribute to the implementation of the rights-based framework </w:t>
            </w:r>
            <w:r w:rsidR="002E3FB7">
              <w:rPr>
                <w:rFonts w:ascii="Times New Roman" w:hAnsi="Times New Roman"/>
                <w:bCs/>
                <w:sz w:val="24"/>
                <w:szCs w:val="24"/>
              </w:rPr>
              <w:t>enshrined</w:t>
            </w:r>
            <w:r w:rsidR="00D666F8" w:rsidRPr="00AF6063">
              <w:rPr>
                <w:rFonts w:ascii="Times New Roman" w:hAnsi="Times New Roman"/>
                <w:bCs/>
                <w:sz w:val="24"/>
                <w:szCs w:val="24"/>
              </w:rPr>
              <w:t xml:space="preserve"> in the European Pillar of Social Rights, </w:t>
            </w:r>
            <w:r w:rsidR="00703B37">
              <w:rPr>
                <w:rFonts w:ascii="Times New Roman" w:hAnsi="Times New Roman"/>
                <w:bCs/>
                <w:sz w:val="24"/>
                <w:szCs w:val="24"/>
              </w:rPr>
              <w:t xml:space="preserve">and to </w:t>
            </w:r>
            <w:r w:rsidR="00D666F8" w:rsidRPr="00AF6063">
              <w:rPr>
                <w:rFonts w:ascii="Times New Roman" w:hAnsi="Times New Roman"/>
                <w:bCs/>
                <w:sz w:val="24"/>
                <w:szCs w:val="24"/>
              </w:rPr>
              <w:t>the achievement of the 2030 poverty targets – i.e. reducing by at least 15</w:t>
            </w:r>
            <w:r w:rsidR="00F62C5C">
              <w:rPr>
                <w:rFonts w:ascii="Times New Roman" w:hAnsi="Times New Roman"/>
                <w:bCs/>
                <w:sz w:val="24"/>
                <w:szCs w:val="24"/>
              </w:rPr>
              <w:t> </w:t>
            </w:r>
            <w:r w:rsidR="00D666F8" w:rsidRPr="00AF6063">
              <w:rPr>
                <w:rFonts w:ascii="Times New Roman" w:hAnsi="Times New Roman"/>
                <w:bCs/>
                <w:sz w:val="24"/>
                <w:szCs w:val="24"/>
              </w:rPr>
              <w:t>million the number of persons at risk of poverty or social exclusion (AROPE), including at least 5</w:t>
            </w:r>
            <w:r w:rsidR="00F62C5C">
              <w:rPr>
                <w:rFonts w:ascii="Times New Roman" w:hAnsi="Times New Roman"/>
                <w:bCs/>
                <w:sz w:val="24"/>
                <w:szCs w:val="24"/>
              </w:rPr>
              <w:t> </w:t>
            </w:r>
            <w:r w:rsidR="00D666F8" w:rsidRPr="00AF6063">
              <w:rPr>
                <w:rFonts w:ascii="Times New Roman" w:hAnsi="Times New Roman"/>
                <w:bCs/>
                <w:sz w:val="24"/>
                <w:szCs w:val="24"/>
              </w:rPr>
              <w:t xml:space="preserve">million children. </w:t>
            </w:r>
            <w:r w:rsidR="00F5663F" w:rsidRPr="00AF6063">
              <w:rPr>
                <w:rFonts w:ascii="Times New Roman" w:hAnsi="Times New Roman"/>
                <w:bCs/>
                <w:sz w:val="24"/>
                <w:szCs w:val="24"/>
              </w:rPr>
              <w:t>The APS will address the multidimensional aspects of poverty</w:t>
            </w:r>
            <w:r w:rsidR="00A67A4C">
              <w:rPr>
                <w:rFonts w:ascii="Times New Roman" w:hAnsi="Times New Roman"/>
                <w:bCs/>
                <w:sz w:val="24"/>
                <w:szCs w:val="24"/>
              </w:rPr>
              <w:t xml:space="preserve"> (going beyond income)</w:t>
            </w:r>
            <w:r w:rsidR="00F5663F" w:rsidRPr="00AF6063">
              <w:rPr>
                <w:rFonts w:ascii="Times New Roman" w:hAnsi="Times New Roman"/>
                <w:bCs/>
                <w:sz w:val="24"/>
                <w:szCs w:val="24"/>
              </w:rPr>
              <w:t xml:space="preserve"> through a life cycle and holistic approach</w:t>
            </w:r>
            <w:r w:rsidR="00800BFA">
              <w:rPr>
                <w:rFonts w:ascii="Times New Roman" w:hAnsi="Times New Roman"/>
                <w:bCs/>
                <w:sz w:val="24"/>
                <w:szCs w:val="24"/>
              </w:rPr>
              <w:t xml:space="preserve">, </w:t>
            </w:r>
            <w:r w:rsidR="00F5663F" w:rsidRPr="00AF6063">
              <w:rPr>
                <w:rFonts w:ascii="Times New Roman" w:hAnsi="Times New Roman"/>
                <w:bCs/>
                <w:sz w:val="24"/>
                <w:szCs w:val="24"/>
              </w:rPr>
              <w:t>mainstreaming the goal of tackling poverty beyond the sole employment and social policies’ remits</w:t>
            </w:r>
            <w:r w:rsidR="00703B37">
              <w:rPr>
                <w:rFonts w:ascii="Times New Roman" w:hAnsi="Times New Roman"/>
                <w:bCs/>
                <w:sz w:val="24"/>
                <w:szCs w:val="24"/>
              </w:rPr>
              <w:t>, in a coordinated manner with other flagship initiatives</w:t>
            </w:r>
            <w:r w:rsidR="002E3FB7">
              <w:rPr>
                <w:rFonts w:ascii="Times New Roman" w:hAnsi="Times New Roman"/>
                <w:bCs/>
                <w:sz w:val="24"/>
                <w:szCs w:val="24"/>
              </w:rPr>
              <w:t>,</w:t>
            </w:r>
            <w:r w:rsidR="00703B37">
              <w:rPr>
                <w:rFonts w:ascii="Times New Roman" w:hAnsi="Times New Roman"/>
                <w:bCs/>
                <w:sz w:val="24"/>
                <w:szCs w:val="24"/>
              </w:rPr>
              <w:t xml:space="preserve"> such as the </w:t>
            </w:r>
            <w:r w:rsidR="00800BFA">
              <w:rPr>
                <w:rFonts w:ascii="Times New Roman" w:hAnsi="Times New Roman"/>
                <w:bCs/>
                <w:sz w:val="24"/>
                <w:szCs w:val="24"/>
              </w:rPr>
              <w:t xml:space="preserve">upcoming European </w:t>
            </w:r>
            <w:r w:rsidR="00703B37">
              <w:rPr>
                <w:rFonts w:ascii="Times New Roman" w:hAnsi="Times New Roman"/>
                <w:bCs/>
                <w:sz w:val="24"/>
                <w:szCs w:val="24"/>
              </w:rPr>
              <w:t xml:space="preserve">Pillar of Social </w:t>
            </w:r>
            <w:r w:rsidR="00800BFA">
              <w:rPr>
                <w:rFonts w:ascii="Times New Roman" w:hAnsi="Times New Roman"/>
                <w:bCs/>
                <w:sz w:val="24"/>
                <w:szCs w:val="24"/>
              </w:rPr>
              <w:t>Rights Action Plan</w:t>
            </w:r>
            <w:r w:rsidR="00703B37">
              <w:rPr>
                <w:rFonts w:ascii="Times New Roman" w:hAnsi="Times New Roman"/>
                <w:bCs/>
                <w:sz w:val="24"/>
                <w:szCs w:val="24"/>
              </w:rPr>
              <w:t>, the Quality Jobs Roadmap and the Affordable Housing Plan</w:t>
            </w:r>
            <w:r w:rsidR="00F5663F" w:rsidRPr="00AF6063">
              <w:rPr>
                <w:rFonts w:ascii="Times New Roman" w:hAnsi="Times New Roman"/>
                <w:bCs/>
                <w:sz w:val="24"/>
                <w:szCs w:val="24"/>
              </w:rPr>
              <w:t xml:space="preserve">. Good practices which have been proven to work will be at </w:t>
            </w:r>
            <w:r w:rsidR="00703B37">
              <w:rPr>
                <w:rFonts w:ascii="Times New Roman" w:hAnsi="Times New Roman"/>
                <w:bCs/>
                <w:sz w:val="24"/>
                <w:szCs w:val="24"/>
              </w:rPr>
              <w:t>the core of the Strategy</w:t>
            </w:r>
            <w:r w:rsidR="007C368A" w:rsidRPr="00AF6063">
              <w:rPr>
                <w:rFonts w:ascii="Times New Roman" w:hAnsi="Times New Roman"/>
                <w:bCs/>
                <w:sz w:val="24"/>
                <w:szCs w:val="24"/>
              </w:rPr>
              <w:t xml:space="preserve"> to provide</w:t>
            </w:r>
            <w:r w:rsidR="00F5663F" w:rsidRPr="00AF6063">
              <w:rPr>
                <w:rFonts w:ascii="Times New Roman" w:hAnsi="Times New Roman"/>
                <w:bCs/>
                <w:sz w:val="24"/>
                <w:szCs w:val="24"/>
              </w:rPr>
              <w:t xml:space="preserve"> national authorities as well as other stakeholders </w:t>
            </w:r>
            <w:r w:rsidR="007C368A" w:rsidRPr="00AF6063">
              <w:rPr>
                <w:rFonts w:ascii="Times New Roman" w:hAnsi="Times New Roman"/>
                <w:bCs/>
                <w:sz w:val="24"/>
                <w:szCs w:val="24"/>
              </w:rPr>
              <w:t xml:space="preserve">with operational guidance on ways to </w:t>
            </w:r>
            <w:r w:rsidR="00F5663F" w:rsidRPr="00AF6063">
              <w:rPr>
                <w:rFonts w:ascii="Times New Roman" w:hAnsi="Times New Roman"/>
                <w:bCs/>
                <w:sz w:val="24"/>
                <w:szCs w:val="24"/>
              </w:rPr>
              <w:t xml:space="preserve">step up </w:t>
            </w:r>
            <w:r w:rsidR="00B00692">
              <w:rPr>
                <w:rFonts w:ascii="Times New Roman" w:hAnsi="Times New Roman"/>
                <w:bCs/>
                <w:sz w:val="24"/>
                <w:szCs w:val="24"/>
              </w:rPr>
              <w:t>the</w:t>
            </w:r>
            <w:r w:rsidR="00F5663F" w:rsidRPr="00AF6063">
              <w:rPr>
                <w:rFonts w:ascii="Times New Roman" w:hAnsi="Times New Roman"/>
                <w:bCs/>
                <w:sz w:val="24"/>
                <w:szCs w:val="24"/>
              </w:rPr>
              <w:t xml:space="preserve"> fight against </w:t>
            </w:r>
            <w:r w:rsidR="007C368A" w:rsidRPr="00AF6063">
              <w:rPr>
                <w:rFonts w:ascii="Times New Roman" w:hAnsi="Times New Roman"/>
                <w:bCs/>
                <w:sz w:val="24"/>
                <w:szCs w:val="24"/>
              </w:rPr>
              <w:t>poverty.</w:t>
            </w:r>
          </w:p>
          <w:p w14:paraId="15D49CE9" w14:textId="48202440" w:rsidR="008B7280" w:rsidRPr="008B7280" w:rsidRDefault="008B7280" w:rsidP="004757E3">
            <w:pPr>
              <w:jc w:val="both"/>
              <w:rPr>
                <w:rFonts w:ascii="Times New Roman" w:hAnsi="Times New Roman"/>
                <w:bCs/>
                <w:sz w:val="24"/>
                <w:szCs w:val="24"/>
              </w:rPr>
            </w:pPr>
            <w:r w:rsidRPr="008B7280">
              <w:rPr>
                <w:rFonts w:ascii="Times New Roman" w:hAnsi="Times New Roman"/>
                <w:b/>
                <w:sz w:val="24"/>
                <w:szCs w:val="24"/>
              </w:rPr>
              <w:t>1.2 and other paragraphs on active inclusion</w:t>
            </w:r>
            <w:r>
              <w:rPr>
                <w:rFonts w:ascii="Times New Roman" w:hAnsi="Times New Roman"/>
                <w:b/>
                <w:sz w:val="24"/>
                <w:szCs w:val="24"/>
              </w:rPr>
              <w:t xml:space="preserve"> and minimum income</w:t>
            </w:r>
            <w:r w:rsidRPr="008B7280">
              <w:rPr>
                <w:rFonts w:ascii="Times New Roman" w:hAnsi="Times New Roman"/>
                <w:bCs/>
                <w:sz w:val="24"/>
                <w:szCs w:val="24"/>
              </w:rPr>
              <w:t xml:space="preserve"> – The Commission agrees on the relevance of the Council Recommendation on adequate minimum income</w:t>
            </w:r>
            <w:r w:rsidR="00A25374">
              <w:rPr>
                <w:rFonts w:ascii="Times New Roman" w:hAnsi="Times New Roman"/>
                <w:bCs/>
                <w:sz w:val="24"/>
                <w:szCs w:val="24"/>
              </w:rPr>
              <w:t xml:space="preserve"> ensuring active inclusion</w:t>
            </w:r>
            <w:r w:rsidR="00AA6B79">
              <w:rPr>
                <w:rStyle w:val="FootnoteReference"/>
                <w:rFonts w:ascii="Times New Roman" w:hAnsi="Times New Roman"/>
                <w:bCs/>
                <w:szCs w:val="24"/>
              </w:rPr>
              <w:footnoteReference w:id="2"/>
            </w:r>
            <w:r w:rsidRPr="008B7280">
              <w:rPr>
                <w:rFonts w:ascii="Times New Roman" w:hAnsi="Times New Roman"/>
                <w:bCs/>
                <w:sz w:val="24"/>
                <w:szCs w:val="24"/>
              </w:rPr>
              <w:t xml:space="preserve"> to the fight against poverty. In line with the active inclusion approach set in the Recommendation, inadequate income, barriers to the </w:t>
            </w:r>
            <w:proofErr w:type="spellStart"/>
            <w:r w:rsidRPr="008B7280">
              <w:rPr>
                <w:rFonts w:ascii="Times New Roman" w:hAnsi="Times New Roman"/>
                <w:bCs/>
                <w:sz w:val="24"/>
                <w:szCs w:val="24"/>
              </w:rPr>
              <w:t>labour</w:t>
            </w:r>
            <w:proofErr w:type="spellEnd"/>
            <w:r w:rsidRPr="008B7280">
              <w:rPr>
                <w:rFonts w:ascii="Times New Roman" w:hAnsi="Times New Roman"/>
                <w:bCs/>
                <w:sz w:val="24"/>
                <w:szCs w:val="24"/>
              </w:rPr>
              <w:t xml:space="preserve"> market </w:t>
            </w:r>
            <w:r w:rsidR="00714D28">
              <w:rPr>
                <w:rFonts w:ascii="Times New Roman" w:hAnsi="Times New Roman"/>
                <w:bCs/>
                <w:sz w:val="24"/>
                <w:szCs w:val="24"/>
              </w:rPr>
              <w:t xml:space="preserve">(including lack of necessary skills) </w:t>
            </w:r>
            <w:r w:rsidRPr="008B7280">
              <w:rPr>
                <w:rFonts w:ascii="Times New Roman" w:hAnsi="Times New Roman"/>
                <w:bCs/>
                <w:sz w:val="24"/>
                <w:szCs w:val="24"/>
              </w:rPr>
              <w:t xml:space="preserve">and gaps in access to goods and services </w:t>
            </w:r>
            <w:r w:rsidR="00B00692">
              <w:rPr>
                <w:rFonts w:ascii="Times New Roman" w:hAnsi="Times New Roman"/>
                <w:bCs/>
                <w:sz w:val="24"/>
                <w:szCs w:val="24"/>
              </w:rPr>
              <w:t>are</w:t>
            </w:r>
            <w:r w:rsidRPr="008B7280">
              <w:rPr>
                <w:rFonts w:ascii="Times New Roman" w:hAnsi="Times New Roman"/>
                <w:bCs/>
                <w:sz w:val="24"/>
                <w:szCs w:val="24"/>
              </w:rPr>
              <w:t xml:space="preserve"> </w:t>
            </w:r>
            <w:r w:rsidR="002E3FB7">
              <w:rPr>
                <w:rFonts w:ascii="Times New Roman" w:hAnsi="Times New Roman"/>
                <w:bCs/>
                <w:sz w:val="24"/>
                <w:szCs w:val="24"/>
              </w:rPr>
              <w:t>key</w:t>
            </w:r>
            <w:r w:rsidRPr="008B7280">
              <w:rPr>
                <w:rFonts w:ascii="Times New Roman" w:hAnsi="Times New Roman"/>
                <w:bCs/>
                <w:sz w:val="24"/>
                <w:szCs w:val="24"/>
              </w:rPr>
              <w:t xml:space="preserve"> issues to be addressed, alongside</w:t>
            </w:r>
            <w:r w:rsidR="0027010C">
              <w:rPr>
                <w:rFonts w:ascii="Times New Roman" w:hAnsi="Times New Roman"/>
                <w:bCs/>
                <w:sz w:val="24"/>
                <w:szCs w:val="24"/>
              </w:rPr>
              <w:t xml:space="preserve"> the</w:t>
            </w:r>
            <w:r w:rsidRPr="008B7280">
              <w:rPr>
                <w:rFonts w:ascii="Times New Roman" w:hAnsi="Times New Roman"/>
                <w:bCs/>
                <w:sz w:val="24"/>
                <w:szCs w:val="24"/>
              </w:rPr>
              <w:t xml:space="preserve"> non-take up</w:t>
            </w:r>
            <w:r w:rsidR="00A25374">
              <w:rPr>
                <w:rFonts w:ascii="Times New Roman" w:hAnsi="Times New Roman"/>
                <w:bCs/>
                <w:sz w:val="24"/>
                <w:szCs w:val="24"/>
              </w:rPr>
              <w:t xml:space="preserve"> of social rights</w:t>
            </w:r>
            <w:r w:rsidRPr="008B7280">
              <w:rPr>
                <w:rFonts w:ascii="Times New Roman" w:hAnsi="Times New Roman"/>
                <w:bCs/>
                <w:sz w:val="24"/>
                <w:szCs w:val="24"/>
              </w:rPr>
              <w:t xml:space="preserve">. </w:t>
            </w:r>
            <w:r w:rsidR="00703B37">
              <w:rPr>
                <w:rFonts w:ascii="Times New Roman" w:hAnsi="Times New Roman"/>
                <w:bCs/>
                <w:sz w:val="24"/>
                <w:szCs w:val="24"/>
              </w:rPr>
              <w:t>T</w:t>
            </w:r>
            <w:r w:rsidRPr="008B7280">
              <w:rPr>
                <w:rFonts w:ascii="Times New Roman" w:hAnsi="Times New Roman"/>
                <w:bCs/>
                <w:sz w:val="24"/>
                <w:szCs w:val="24"/>
              </w:rPr>
              <w:t xml:space="preserve">he Commission supports Member States in their implementation of the Recommendation through mutual learning activities </w:t>
            </w:r>
            <w:r w:rsidR="002E3FB7">
              <w:rPr>
                <w:rFonts w:ascii="Times New Roman" w:hAnsi="Times New Roman"/>
                <w:bCs/>
                <w:sz w:val="24"/>
                <w:szCs w:val="24"/>
              </w:rPr>
              <w:t>as well as</w:t>
            </w:r>
            <w:r w:rsidRPr="008B7280">
              <w:rPr>
                <w:rFonts w:ascii="Times New Roman" w:hAnsi="Times New Roman"/>
                <w:bCs/>
                <w:sz w:val="24"/>
                <w:szCs w:val="24"/>
              </w:rPr>
              <w:t xml:space="preserve"> </w:t>
            </w:r>
            <w:r w:rsidR="002E3FB7">
              <w:rPr>
                <w:rFonts w:ascii="Times New Roman" w:hAnsi="Times New Roman"/>
                <w:bCs/>
                <w:sz w:val="24"/>
                <w:szCs w:val="24"/>
              </w:rPr>
              <w:t xml:space="preserve">technical and </w:t>
            </w:r>
            <w:r w:rsidRPr="008B7280">
              <w:rPr>
                <w:rFonts w:ascii="Times New Roman" w:hAnsi="Times New Roman"/>
                <w:bCs/>
                <w:sz w:val="24"/>
                <w:szCs w:val="24"/>
              </w:rPr>
              <w:t>financial support. A</w:t>
            </w:r>
            <w:r w:rsidR="00B81D61">
              <w:rPr>
                <w:rFonts w:ascii="Times New Roman" w:hAnsi="Times New Roman"/>
                <w:bCs/>
                <w:sz w:val="24"/>
                <w:szCs w:val="24"/>
              </w:rPr>
              <w:t xml:space="preserve"> </w:t>
            </w:r>
            <w:r w:rsidR="00B00692">
              <w:rPr>
                <w:rFonts w:ascii="Times New Roman" w:hAnsi="Times New Roman"/>
                <w:bCs/>
                <w:sz w:val="24"/>
                <w:szCs w:val="24"/>
              </w:rPr>
              <w:t xml:space="preserve">joint </w:t>
            </w:r>
            <w:r w:rsidRPr="008B7280">
              <w:rPr>
                <w:rFonts w:ascii="Times New Roman" w:hAnsi="Times New Roman"/>
                <w:bCs/>
                <w:sz w:val="24"/>
                <w:szCs w:val="24"/>
              </w:rPr>
              <w:t xml:space="preserve">report prepared by the Commission and the Social Protection Committee on the </w:t>
            </w:r>
            <w:r w:rsidR="00703B37">
              <w:rPr>
                <w:rFonts w:ascii="Times New Roman" w:hAnsi="Times New Roman"/>
                <w:bCs/>
                <w:sz w:val="24"/>
                <w:szCs w:val="24"/>
              </w:rPr>
              <w:t xml:space="preserve">implementation </w:t>
            </w:r>
            <w:r w:rsidRPr="008B7280">
              <w:rPr>
                <w:rFonts w:ascii="Times New Roman" w:hAnsi="Times New Roman"/>
                <w:bCs/>
                <w:sz w:val="24"/>
                <w:szCs w:val="24"/>
              </w:rPr>
              <w:t xml:space="preserve">progress is </w:t>
            </w:r>
            <w:r w:rsidR="00A25374">
              <w:rPr>
                <w:rFonts w:ascii="Times New Roman" w:hAnsi="Times New Roman"/>
                <w:bCs/>
                <w:sz w:val="24"/>
                <w:szCs w:val="24"/>
              </w:rPr>
              <w:t>to be adopted in the autumn 2025</w:t>
            </w:r>
            <w:r w:rsidRPr="008B7280">
              <w:rPr>
                <w:rFonts w:ascii="Times New Roman" w:hAnsi="Times New Roman"/>
                <w:bCs/>
                <w:sz w:val="24"/>
                <w:szCs w:val="24"/>
              </w:rPr>
              <w:t>.</w:t>
            </w:r>
          </w:p>
          <w:p w14:paraId="30011C04" w14:textId="18DF6F45" w:rsidR="008B7280" w:rsidRDefault="008406D9" w:rsidP="004757E3">
            <w:pPr>
              <w:spacing w:before="120" w:after="120"/>
              <w:jc w:val="both"/>
              <w:rPr>
                <w:rFonts w:ascii="Times New Roman" w:hAnsi="Times New Roman"/>
                <w:bCs/>
                <w:sz w:val="24"/>
                <w:szCs w:val="24"/>
              </w:rPr>
            </w:pPr>
            <w:r w:rsidRPr="008406D9">
              <w:rPr>
                <w:rFonts w:ascii="Times New Roman" w:hAnsi="Times New Roman"/>
                <w:b/>
                <w:sz w:val="24"/>
                <w:szCs w:val="24"/>
              </w:rPr>
              <w:t>1.3 and other paragraphs on in-work poverty and quality jobs</w:t>
            </w:r>
            <w:r w:rsidR="007C368A" w:rsidRPr="00AF6063">
              <w:rPr>
                <w:rFonts w:ascii="Times New Roman" w:hAnsi="Times New Roman"/>
                <w:bCs/>
                <w:sz w:val="24"/>
                <w:szCs w:val="24"/>
              </w:rPr>
              <w:t xml:space="preserve"> </w:t>
            </w:r>
            <w:r>
              <w:rPr>
                <w:rFonts w:ascii="Times New Roman" w:hAnsi="Times New Roman"/>
                <w:bCs/>
                <w:sz w:val="24"/>
                <w:szCs w:val="24"/>
              </w:rPr>
              <w:t xml:space="preserve">– The Commission </w:t>
            </w:r>
            <w:r w:rsidR="008B7280">
              <w:rPr>
                <w:rFonts w:ascii="Times New Roman" w:hAnsi="Times New Roman"/>
                <w:bCs/>
                <w:sz w:val="24"/>
                <w:szCs w:val="24"/>
              </w:rPr>
              <w:t xml:space="preserve">also </w:t>
            </w:r>
            <w:r>
              <w:rPr>
                <w:rFonts w:ascii="Times New Roman" w:hAnsi="Times New Roman"/>
                <w:bCs/>
                <w:sz w:val="24"/>
                <w:szCs w:val="24"/>
              </w:rPr>
              <w:t>agrees with the EESC on the need to further combat in-work poverty</w:t>
            </w:r>
            <w:r w:rsidR="000A6A94">
              <w:rPr>
                <w:rFonts w:ascii="Times New Roman" w:hAnsi="Times New Roman"/>
                <w:bCs/>
                <w:sz w:val="24"/>
                <w:szCs w:val="24"/>
              </w:rPr>
              <w:t>. Supporting fair wage</w:t>
            </w:r>
            <w:r w:rsidR="00D23409">
              <w:rPr>
                <w:rFonts w:ascii="Times New Roman" w:hAnsi="Times New Roman"/>
                <w:bCs/>
                <w:sz w:val="24"/>
                <w:szCs w:val="24"/>
              </w:rPr>
              <w:t>s</w:t>
            </w:r>
            <w:r w:rsidR="000A6A94">
              <w:rPr>
                <w:rFonts w:ascii="Times New Roman" w:hAnsi="Times New Roman"/>
                <w:bCs/>
                <w:sz w:val="24"/>
                <w:szCs w:val="24"/>
              </w:rPr>
              <w:t xml:space="preserve"> and</w:t>
            </w:r>
            <w:r w:rsidR="002E3FB7">
              <w:rPr>
                <w:rFonts w:ascii="Times New Roman" w:hAnsi="Times New Roman"/>
                <w:bCs/>
                <w:sz w:val="24"/>
                <w:szCs w:val="24"/>
              </w:rPr>
              <w:t>,</w:t>
            </w:r>
            <w:r w:rsidR="000A6A94">
              <w:rPr>
                <w:rFonts w:ascii="Times New Roman" w:hAnsi="Times New Roman"/>
                <w:bCs/>
                <w:sz w:val="24"/>
                <w:szCs w:val="24"/>
              </w:rPr>
              <w:t xml:space="preserve"> </w:t>
            </w:r>
            <w:r w:rsidR="00703B37">
              <w:rPr>
                <w:rFonts w:ascii="Times New Roman" w:hAnsi="Times New Roman"/>
                <w:bCs/>
                <w:sz w:val="24"/>
                <w:szCs w:val="24"/>
              </w:rPr>
              <w:t>more broadly</w:t>
            </w:r>
            <w:r w:rsidR="002E3FB7">
              <w:rPr>
                <w:rFonts w:ascii="Times New Roman" w:hAnsi="Times New Roman"/>
                <w:bCs/>
                <w:sz w:val="24"/>
                <w:szCs w:val="24"/>
              </w:rPr>
              <w:t>,</w:t>
            </w:r>
            <w:r w:rsidR="00703B37">
              <w:rPr>
                <w:rFonts w:ascii="Times New Roman" w:hAnsi="Times New Roman"/>
                <w:bCs/>
                <w:sz w:val="24"/>
                <w:szCs w:val="24"/>
              </w:rPr>
              <w:t xml:space="preserve"> </w:t>
            </w:r>
            <w:r w:rsidR="000A6A94">
              <w:rPr>
                <w:rFonts w:ascii="Times New Roman" w:hAnsi="Times New Roman"/>
                <w:bCs/>
                <w:sz w:val="24"/>
                <w:szCs w:val="24"/>
              </w:rPr>
              <w:t>better working conditions</w:t>
            </w:r>
            <w:r w:rsidR="00B00692">
              <w:rPr>
                <w:rFonts w:ascii="Times New Roman" w:hAnsi="Times New Roman"/>
                <w:bCs/>
                <w:sz w:val="24"/>
                <w:szCs w:val="24"/>
              </w:rPr>
              <w:t xml:space="preserve"> </w:t>
            </w:r>
            <w:r w:rsidR="000A6A94">
              <w:rPr>
                <w:rFonts w:ascii="Times New Roman" w:hAnsi="Times New Roman"/>
                <w:bCs/>
                <w:sz w:val="24"/>
                <w:szCs w:val="24"/>
              </w:rPr>
              <w:t xml:space="preserve">will be </w:t>
            </w:r>
            <w:r w:rsidR="00A25374">
              <w:rPr>
                <w:rFonts w:ascii="Times New Roman" w:hAnsi="Times New Roman"/>
                <w:bCs/>
                <w:sz w:val="24"/>
                <w:szCs w:val="24"/>
              </w:rPr>
              <w:t xml:space="preserve">also </w:t>
            </w:r>
            <w:r w:rsidR="000A6A94">
              <w:rPr>
                <w:rFonts w:ascii="Times New Roman" w:hAnsi="Times New Roman"/>
                <w:bCs/>
                <w:sz w:val="24"/>
                <w:szCs w:val="24"/>
              </w:rPr>
              <w:t xml:space="preserve">among the </w:t>
            </w:r>
            <w:r w:rsidR="002E3FB7">
              <w:rPr>
                <w:rFonts w:ascii="Times New Roman" w:hAnsi="Times New Roman"/>
                <w:bCs/>
                <w:sz w:val="24"/>
                <w:szCs w:val="24"/>
              </w:rPr>
              <w:t>main</w:t>
            </w:r>
            <w:r w:rsidR="000A6A94">
              <w:rPr>
                <w:rFonts w:ascii="Times New Roman" w:hAnsi="Times New Roman"/>
                <w:bCs/>
                <w:sz w:val="24"/>
                <w:szCs w:val="24"/>
              </w:rPr>
              <w:t xml:space="preserve"> objectives of the Quality Jobs Roadmap. Synergies with </w:t>
            </w:r>
            <w:r w:rsidR="000A6A94">
              <w:rPr>
                <w:rFonts w:ascii="Times New Roman" w:hAnsi="Times New Roman"/>
                <w:bCs/>
                <w:sz w:val="24"/>
                <w:szCs w:val="24"/>
              </w:rPr>
              <w:lastRenderedPageBreak/>
              <w:t xml:space="preserve">other upcoming initiatives like the </w:t>
            </w:r>
            <w:r w:rsidR="008B7280">
              <w:rPr>
                <w:rFonts w:ascii="Times New Roman" w:hAnsi="Times New Roman"/>
                <w:bCs/>
                <w:sz w:val="24"/>
                <w:szCs w:val="24"/>
              </w:rPr>
              <w:t>APS</w:t>
            </w:r>
            <w:r w:rsidR="000A6A94">
              <w:rPr>
                <w:rFonts w:ascii="Times New Roman" w:hAnsi="Times New Roman"/>
                <w:bCs/>
                <w:sz w:val="24"/>
                <w:szCs w:val="24"/>
              </w:rPr>
              <w:t xml:space="preserve"> will be fostered, just like with existing </w:t>
            </w:r>
            <w:r w:rsidR="00BE7769">
              <w:rPr>
                <w:rFonts w:ascii="Times New Roman" w:hAnsi="Times New Roman"/>
                <w:bCs/>
                <w:sz w:val="24"/>
                <w:szCs w:val="24"/>
              </w:rPr>
              <w:t>policies</w:t>
            </w:r>
            <w:r w:rsidR="00A25374">
              <w:rPr>
                <w:rFonts w:ascii="Times New Roman" w:hAnsi="Times New Roman"/>
                <w:bCs/>
                <w:sz w:val="24"/>
                <w:szCs w:val="24"/>
              </w:rPr>
              <w:t xml:space="preserve"> and initiatives, for example</w:t>
            </w:r>
            <w:r w:rsidR="00800BFA">
              <w:rPr>
                <w:rFonts w:ascii="Times New Roman" w:hAnsi="Times New Roman"/>
                <w:bCs/>
                <w:sz w:val="24"/>
                <w:szCs w:val="24"/>
              </w:rPr>
              <w:t>,</w:t>
            </w:r>
            <w:r w:rsidR="00A25374">
              <w:rPr>
                <w:rFonts w:ascii="Times New Roman" w:hAnsi="Times New Roman"/>
                <w:bCs/>
                <w:sz w:val="24"/>
                <w:szCs w:val="24"/>
              </w:rPr>
              <w:t xml:space="preserve"> t</w:t>
            </w:r>
            <w:r w:rsidRPr="000A6A94">
              <w:rPr>
                <w:rFonts w:ascii="Times New Roman" w:hAnsi="Times New Roman"/>
                <w:bCs/>
                <w:sz w:val="24"/>
                <w:szCs w:val="24"/>
              </w:rPr>
              <w:t xml:space="preserve">he Directive on </w:t>
            </w:r>
            <w:r w:rsidR="00AA6B79">
              <w:rPr>
                <w:rFonts w:ascii="Times New Roman" w:hAnsi="Times New Roman"/>
                <w:bCs/>
                <w:sz w:val="24"/>
                <w:szCs w:val="24"/>
              </w:rPr>
              <w:t>a</w:t>
            </w:r>
            <w:r w:rsidRPr="000A6A94">
              <w:rPr>
                <w:rFonts w:ascii="Times New Roman" w:hAnsi="Times New Roman"/>
                <w:bCs/>
                <w:sz w:val="24"/>
                <w:szCs w:val="24"/>
              </w:rPr>
              <w:t xml:space="preserve">dequate </w:t>
            </w:r>
            <w:r w:rsidR="00AA6B79">
              <w:rPr>
                <w:rFonts w:ascii="Times New Roman" w:hAnsi="Times New Roman"/>
                <w:bCs/>
                <w:sz w:val="24"/>
                <w:szCs w:val="24"/>
              </w:rPr>
              <w:t>m</w:t>
            </w:r>
            <w:r w:rsidRPr="000A6A94">
              <w:rPr>
                <w:rFonts w:ascii="Times New Roman" w:hAnsi="Times New Roman"/>
                <w:bCs/>
                <w:sz w:val="24"/>
                <w:szCs w:val="24"/>
              </w:rPr>
              <w:t xml:space="preserve">inimum </w:t>
            </w:r>
            <w:r w:rsidR="00AA6B79">
              <w:rPr>
                <w:rFonts w:ascii="Times New Roman" w:hAnsi="Times New Roman"/>
                <w:bCs/>
                <w:sz w:val="24"/>
                <w:szCs w:val="24"/>
              </w:rPr>
              <w:t>w</w:t>
            </w:r>
            <w:r w:rsidRPr="000A6A94">
              <w:rPr>
                <w:rFonts w:ascii="Times New Roman" w:hAnsi="Times New Roman"/>
                <w:bCs/>
                <w:sz w:val="24"/>
                <w:szCs w:val="24"/>
              </w:rPr>
              <w:t>ages in the EU</w:t>
            </w:r>
            <w:r w:rsidRPr="00AF6063">
              <w:rPr>
                <w:rStyle w:val="FootnoteReference"/>
                <w:rFonts w:ascii="Times New Roman" w:hAnsi="Times New Roman"/>
                <w:bCs/>
                <w:szCs w:val="24"/>
              </w:rPr>
              <w:footnoteReference w:id="3"/>
            </w:r>
            <w:r w:rsidR="000F7E7B">
              <w:rPr>
                <w:rFonts w:ascii="Times New Roman" w:hAnsi="Times New Roman"/>
                <w:bCs/>
                <w:sz w:val="24"/>
                <w:szCs w:val="24"/>
              </w:rPr>
              <w:t xml:space="preserve">. It </w:t>
            </w:r>
            <w:r w:rsidRPr="000A6A94">
              <w:rPr>
                <w:rFonts w:ascii="Times New Roman" w:hAnsi="Times New Roman"/>
                <w:bCs/>
                <w:sz w:val="24"/>
                <w:szCs w:val="24"/>
              </w:rPr>
              <w:t xml:space="preserve">puts </w:t>
            </w:r>
            <w:r w:rsidR="00ED1DC8">
              <w:rPr>
                <w:rFonts w:ascii="Times New Roman" w:hAnsi="Times New Roman"/>
                <w:bCs/>
                <w:sz w:val="24"/>
                <w:szCs w:val="24"/>
              </w:rPr>
              <w:t xml:space="preserve">into action </w:t>
            </w:r>
            <w:r w:rsidR="00703B37">
              <w:rPr>
                <w:rFonts w:ascii="Times New Roman" w:hAnsi="Times New Roman"/>
                <w:bCs/>
                <w:sz w:val="24"/>
                <w:szCs w:val="24"/>
              </w:rPr>
              <w:t>P</w:t>
            </w:r>
            <w:r w:rsidR="00703B37" w:rsidRPr="000A6A94">
              <w:rPr>
                <w:rFonts w:ascii="Times New Roman" w:hAnsi="Times New Roman"/>
                <w:bCs/>
                <w:sz w:val="24"/>
                <w:szCs w:val="24"/>
              </w:rPr>
              <w:t>rinciple 6 of the European Pillar of Social Rights</w:t>
            </w:r>
            <w:r w:rsidR="00800BFA">
              <w:rPr>
                <w:rFonts w:ascii="Times New Roman" w:hAnsi="Times New Roman"/>
                <w:bCs/>
                <w:sz w:val="24"/>
                <w:szCs w:val="24"/>
              </w:rPr>
              <w:t>,</w:t>
            </w:r>
            <w:r w:rsidR="00703B37">
              <w:rPr>
                <w:rFonts w:ascii="Times New Roman" w:hAnsi="Times New Roman"/>
                <w:bCs/>
                <w:sz w:val="24"/>
                <w:szCs w:val="24"/>
              </w:rPr>
              <w:t xml:space="preserve"> which </w:t>
            </w:r>
            <w:r w:rsidR="00703B37" w:rsidRPr="000A6A94">
              <w:rPr>
                <w:rFonts w:ascii="Times New Roman" w:hAnsi="Times New Roman"/>
                <w:bCs/>
                <w:sz w:val="24"/>
                <w:szCs w:val="24"/>
              </w:rPr>
              <w:t>guarantees workers the right to fair wages that provide a decent standard of living</w:t>
            </w:r>
            <w:r w:rsidRPr="000A6A94">
              <w:rPr>
                <w:rFonts w:ascii="Times New Roman" w:hAnsi="Times New Roman"/>
                <w:bCs/>
                <w:sz w:val="24"/>
                <w:szCs w:val="24"/>
              </w:rPr>
              <w:t>.</w:t>
            </w:r>
            <w:r w:rsidR="000A6A94">
              <w:rPr>
                <w:rFonts w:ascii="Times New Roman" w:hAnsi="Times New Roman"/>
                <w:bCs/>
                <w:sz w:val="24"/>
                <w:szCs w:val="24"/>
              </w:rPr>
              <w:t xml:space="preserve"> </w:t>
            </w:r>
            <w:r w:rsidR="00BE7769">
              <w:rPr>
                <w:rFonts w:ascii="Times New Roman" w:hAnsi="Times New Roman"/>
                <w:bCs/>
                <w:sz w:val="24"/>
                <w:szCs w:val="24"/>
              </w:rPr>
              <w:t>Beyond fair wage</w:t>
            </w:r>
            <w:r w:rsidR="00800BFA">
              <w:rPr>
                <w:rFonts w:ascii="Times New Roman" w:hAnsi="Times New Roman"/>
                <w:bCs/>
                <w:sz w:val="24"/>
                <w:szCs w:val="24"/>
              </w:rPr>
              <w:t>s</w:t>
            </w:r>
            <w:r w:rsidR="00BE7769">
              <w:rPr>
                <w:rFonts w:ascii="Times New Roman" w:hAnsi="Times New Roman"/>
                <w:bCs/>
                <w:sz w:val="24"/>
                <w:szCs w:val="24"/>
              </w:rPr>
              <w:t xml:space="preserve">, other existing initiatives are also </w:t>
            </w:r>
            <w:r w:rsidR="002E3FB7">
              <w:rPr>
                <w:rFonts w:ascii="Times New Roman" w:hAnsi="Times New Roman"/>
                <w:bCs/>
                <w:sz w:val="24"/>
                <w:szCs w:val="24"/>
              </w:rPr>
              <w:t>of importance when it comes</w:t>
            </w:r>
            <w:r w:rsidR="00BE7769">
              <w:rPr>
                <w:rFonts w:ascii="Times New Roman" w:hAnsi="Times New Roman"/>
                <w:bCs/>
                <w:sz w:val="24"/>
                <w:szCs w:val="24"/>
              </w:rPr>
              <w:t xml:space="preserve"> to improving working conditions, such as the 2023 Council Recommendation on strengthen</w:t>
            </w:r>
            <w:r w:rsidR="00A25374">
              <w:rPr>
                <w:rFonts w:ascii="Times New Roman" w:hAnsi="Times New Roman"/>
                <w:bCs/>
                <w:sz w:val="24"/>
                <w:szCs w:val="24"/>
              </w:rPr>
              <w:t>ing</w:t>
            </w:r>
            <w:r w:rsidR="00BE7769">
              <w:rPr>
                <w:rFonts w:ascii="Times New Roman" w:hAnsi="Times New Roman"/>
                <w:bCs/>
                <w:sz w:val="24"/>
                <w:szCs w:val="24"/>
              </w:rPr>
              <w:t xml:space="preserve"> social dialogue</w:t>
            </w:r>
            <w:r w:rsidR="00AA6B79">
              <w:rPr>
                <w:rStyle w:val="FootnoteReference"/>
                <w:rFonts w:ascii="Times New Roman" w:hAnsi="Times New Roman"/>
                <w:bCs/>
                <w:szCs w:val="24"/>
              </w:rPr>
              <w:footnoteReference w:id="4"/>
            </w:r>
            <w:r w:rsidR="000F7E7B">
              <w:rPr>
                <w:rFonts w:ascii="Times New Roman" w:hAnsi="Times New Roman"/>
                <w:bCs/>
                <w:sz w:val="24"/>
                <w:szCs w:val="24"/>
              </w:rPr>
              <w:t>,</w:t>
            </w:r>
            <w:r w:rsidR="00BE7769">
              <w:rPr>
                <w:rFonts w:ascii="Times New Roman" w:hAnsi="Times New Roman"/>
                <w:bCs/>
                <w:sz w:val="24"/>
                <w:szCs w:val="24"/>
              </w:rPr>
              <w:t xml:space="preserve"> </w:t>
            </w:r>
            <w:r w:rsidR="00A25374">
              <w:rPr>
                <w:rFonts w:ascii="Times New Roman" w:hAnsi="Times New Roman"/>
                <w:bCs/>
                <w:sz w:val="24"/>
                <w:szCs w:val="24"/>
              </w:rPr>
              <w:t xml:space="preserve">or the 2019 </w:t>
            </w:r>
            <w:r w:rsidR="00A25374" w:rsidRPr="00A25374">
              <w:rPr>
                <w:rFonts w:ascii="Times New Roman" w:hAnsi="Times New Roman"/>
                <w:sz w:val="24"/>
                <w:szCs w:val="24"/>
              </w:rPr>
              <w:t>Council Recommendation on access to social protection for workers and the self-employed</w:t>
            </w:r>
            <w:r w:rsidR="00A25374" w:rsidRPr="00A25374">
              <w:rPr>
                <w:rStyle w:val="FootnoteReference"/>
                <w:rFonts w:ascii="Times New Roman" w:hAnsi="Times New Roman"/>
                <w:szCs w:val="24"/>
              </w:rPr>
              <w:footnoteReference w:id="5"/>
            </w:r>
            <w:r w:rsidR="00A25374">
              <w:rPr>
                <w:rFonts w:ascii="Times New Roman" w:hAnsi="Times New Roman"/>
                <w:sz w:val="24"/>
                <w:szCs w:val="24"/>
              </w:rPr>
              <w:t>. In addition,</w:t>
            </w:r>
            <w:r w:rsidR="00BE7769">
              <w:rPr>
                <w:rFonts w:ascii="Times New Roman" w:hAnsi="Times New Roman"/>
                <w:bCs/>
                <w:sz w:val="24"/>
                <w:szCs w:val="24"/>
              </w:rPr>
              <w:t xml:space="preserve"> the 2023 Commission Communication on </w:t>
            </w:r>
            <w:r w:rsidR="00AA6B79">
              <w:rPr>
                <w:rFonts w:ascii="Times New Roman" w:hAnsi="Times New Roman"/>
                <w:bCs/>
                <w:sz w:val="24"/>
                <w:szCs w:val="24"/>
              </w:rPr>
              <w:t>a</w:t>
            </w:r>
            <w:r w:rsidR="00BE7769">
              <w:rPr>
                <w:rFonts w:ascii="Times New Roman" w:hAnsi="Times New Roman"/>
                <w:bCs/>
                <w:sz w:val="24"/>
                <w:szCs w:val="24"/>
              </w:rPr>
              <w:t xml:space="preserve"> comprehensive approach to mental health</w:t>
            </w:r>
            <w:r w:rsidR="00AA6B79">
              <w:rPr>
                <w:rStyle w:val="FootnoteReference"/>
                <w:rFonts w:ascii="Times New Roman" w:hAnsi="Times New Roman"/>
                <w:bCs/>
                <w:szCs w:val="24"/>
              </w:rPr>
              <w:footnoteReference w:id="6"/>
            </w:r>
            <w:r w:rsidR="0007746F">
              <w:rPr>
                <w:rFonts w:ascii="Times New Roman" w:hAnsi="Times New Roman"/>
                <w:bCs/>
                <w:sz w:val="24"/>
                <w:szCs w:val="24"/>
              </w:rPr>
              <w:t xml:space="preserve"> pav</w:t>
            </w:r>
            <w:r w:rsidR="00A25374">
              <w:rPr>
                <w:rFonts w:ascii="Times New Roman" w:hAnsi="Times New Roman"/>
                <w:bCs/>
                <w:sz w:val="24"/>
                <w:szCs w:val="24"/>
              </w:rPr>
              <w:t>es</w:t>
            </w:r>
            <w:r w:rsidR="0007746F">
              <w:rPr>
                <w:rFonts w:ascii="Times New Roman" w:hAnsi="Times New Roman"/>
                <w:bCs/>
                <w:sz w:val="24"/>
                <w:szCs w:val="24"/>
              </w:rPr>
              <w:t xml:space="preserve"> the way to tackle</w:t>
            </w:r>
            <w:r w:rsidR="00BE7769">
              <w:rPr>
                <w:rFonts w:ascii="Times New Roman" w:hAnsi="Times New Roman"/>
                <w:bCs/>
                <w:sz w:val="24"/>
                <w:szCs w:val="24"/>
              </w:rPr>
              <w:t xml:space="preserve"> psychosocial risks and work-related stress.</w:t>
            </w:r>
          </w:p>
          <w:p w14:paraId="524B5876" w14:textId="2EBA783C" w:rsidR="008B7280" w:rsidRDefault="008B7280" w:rsidP="004757E3">
            <w:pPr>
              <w:spacing w:before="120" w:after="120"/>
              <w:jc w:val="both"/>
              <w:rPr>
                <w:rFonts w:ascii="Times New Roman" w:hAnsi="Times New Roman"/>
                <w:bCs/>
                <w:sz w:val="24"/>
                <w:szCs w:val="24"/>
              </w:rPr>
            </w:pPr>
            <w:r w:rsidRPr="008B7280">
              <w:rPr>
                <w:rFonts w:ascii="Times New Roman" w:hAnsi="Times New Roman"/>
                <w:b/>
                <w:sz w:val="24"/>
                <w:szCs w:val="24"/>
              </w:rPr>
              <w:t xml:space="preserve">1.4 and other paragraphs </w:t>
            </w:r>
            <w:r>
              <w:rPr>
                <w:rFonts w:ascii="Times New Roman" w:hAnsi="Times New Roman"/>
                <w:b/>
                <w:sz w:val="24"/>
                <w:szCs w:val="24"/>
              </w:rPr>
              <w:t>on the European Child Guarantee</w:t>
            </w:r>
            <w:r>
              <w:rPr>
                <w:rFonts w:ascii="Times New Roman" w:hAnsi="Times New Roman"/>
                <w:bCs/>
                <w:sz w:val="24"/>
                <w:szCs w:val="24"/>
              </w:rPr>
              <w:t xml:space="preserve"> – </w:t>
            </w:r>
            <w:r w:rsidRPr="008B7280">
              <w:rPr>
                <w:rFonts w:ascii="Times New Roman" w:hAnsi="Times New Roman"/>
                <w:bCs/>
                <w:sz w:val="24"/>
                <w:szCs w:val="24"/>
              </w:rPr>
              <w:t xml:space="preserve">The Commission </w:t>
            </w:r>
            <w:r w:rsidR="000F7E7B">
              <w:rPr>
                <w:rFonts w:ascii="Times New Roman" w:hAnsi="Times New Roman"/>
                <w:bCs/>
                <w:sz w:val="24"/>
                <w:szCs w:val="24"/>
              </w:rPr>
              <w:t>welcomes the emphasis put on</w:t>
            </w:r>
            <w:r w:rsidRPr="008B7280">
              <w:rPr>
                <w:rFonts w:ascii="Times New Roman" w:hAnsi="Times New Roman"/>
                <w:bCs/>
                <w:sz w:val="24"/>
                <w:szCs w:val="24"/>
              </w:rPr>
              <w:t xml:space="preserve"> the Council Recommendation establishing a European Child Guarantee</w:t>
            </w:r>
            <w:r w:rsidR="00AA6B79">
              <w:rPr>
                <w:rStyle w:val="FootnoteReference"/>
                <w:rFonts w:ascii="Times New Roman" w:hAnsi="Times New Roman"/>
                <w:bCs/>
                <w:szCs w:val="24"/>
              </w:rPr>
              <w:footnoteReference w:id="7"/>
            </w:r>
            <w:r w:rsidR="00800BFA">
              <w:rPr>
                <w:rFonts w:ascii="Times New Roman" w:hAnsi="Times New Roman"/>
                <w:bCs/>
                <w:sz w:val="24"/>
                <w:szCs w:val="24"/>
              </w:rPr>
              <w:t>,</w:t>
            </w:r>
            <w:r w:rsidR="000F7E7B">
              <w:rPr>
                <w:rFonts w:ascii="Times New Roman" w:hAnsi="Times New Roman"/>
                <w:bCs/>
                <w:sz w:val="24"/>
                <w:szCs w:val="24"/>
              </w:rPr>
              <w:t xml:space="preserve"> a key tool to </w:t>
            </w:r>
            <w:r w:rsidRPr="008B7280">
              <w:rPr>
                <w:rFonts w:ascii="Times New Roman" w:hAnsi="Times New Roman"/>
                <w:bCs/>
                <w:sz w:val="24"/>
                <w:szCs w:val="24"/>
              </w:rPr>
              <w:t>enhanc</w:t>
            </w:r>
            <w:r w:rsidR="000F7E7B">
              <w:rPr>
                <w:rFonts w:ascii="Times New Roman" w:hAnsi="Times New Roman"/>
                <w:bCs/>
                <w:sz w:val="24"/>
                <w:szCs w:val="24"/>
              </w:rPr>
              <w:t>e</w:t>
            </w:r>
            <w:r w:rsidRPr="008B7280">
              <w:rPr>
                <w:rFonts w:ascii="Times New Roman" w:hAnsi="Times New Roman"/>
                <w:bCs/>
                <w:sz w:val="24"/>
                <w:szCs w:val="24"/>
              </w:rPr>
              <w:t xml:space="preserve"> equal opportunities for children in need</w:t>
            </w:r>
            <w:r w:rsidR="000F7E7B">
              <w:rPr>
                <w:rFonts w:ascii="Times New Roman" w:hAnsi="Times New Roman"/>
                <w:bCs/>
                <w:sz w:val="24"/>
                <w:szCs w:val="24"/>
              </w:rPr>
              <w:t xml:space="preserve"> and break the </w:t>
            </w:r>
            <w:r w:rsidR="00740E32">
              <w:rPr>
                <w:rFonts w:ascii="Times New Roman" w:hAnsi="Times New Roman"/>
                <w:bCs/>
                <w:sz w:val="24"/>
                <w:szCs w:val="24"/>
              </w:rPr>
              <w:t xml:space="preserve">inter-generational </w:t>
            </w:r>
            <w:r w:rsidR="000F7E7B">
              <w:rPr>
                <w:rFonts w:ascii="Times New Roman" w:hAnsi="Times New Roman"/>
                <w:bCs/>
                <w:sz w:val="24"/>
                <w:szCs w:val="24"/>
              </w:rPr>
              <w:t>transmission of poverty</w:t>
            </w:r>
            <w:r>
              <w:rPr>
                <w:rFonts w:ascii="Times New Roman" w:hAnsi="Times New Roman"/>
                <w:bCs/>
                <w:sz w:val="24"/>
                <w:szCs w:val="24"/>
              </w:rPr>
              <w:t xml:space="preserve">. </w:t>
            </w:r>
            <w:r w:rsidRPr="008B7280">
              <w:rPr>
                <w:rFonts w:ascii="Times New Roman" w:hAnsi="Times New Roman"/>
                <w:bCs/>
                <w:sz w:val="24"/>
                <w:szCs w:val="24"/>
              </w:rPr>
              <w:t xml:space="preserve">Since its adoption in 2021, reforms </w:t>
            </w:r>
            <w:r w:rsidR="000F7E7B">
              <w:rPr>
                <w:rFonts w:ascii="Times New Roman" w:hAnsi="Times New Roman"/>
                <w:bCs/>
                <w:sz w:val="24"/>
                <w:szCs w:val="24"/>
              </w:rPr>
              <w:t xml:space="preserve">have been undertaken </w:t>
            </w:r>
            <w:r w:rsidR="00740E32">
              <w:rPr>
                <w:rFonts w:ascii="Times New Roman" w:hAnsi="Times New Roman"/>
                <w:bCs/>
                <w:sz w:val="24"/>
                <w:szCs w:val="24"/>
              </w:rPr>
              <w:t>by Member States</w:t>
            </w:r>
            <w:r>
              <w:rPr>
                <w:rFonts w:ascii="Times New Roman" w:hAnsi="Times New Roman"/>
                <w:bCs/>
                <w:sz w:val="24"/>
                <w:szCs w:val="24"/>
              </w:rPr>
              <w:t xml:space="preserve"> </w:t>
            </w:r>
            <w:r w:rsidR="00703179">
              <w:rPr>
                <w:rFonts w:ascii="Times New Roman" w:hAnsi="Times New Roman"/>
                <w:bCs/>
                <w:sz w:val="24"/>
                <w:szCs w:val="24"/>
              </w:rPr>
              <w:t>in areas such as</w:t>
            </w:r>
            <w:r>
              <w:rPr>
                <w:rFonts w:ascii="Times New Roman" w:hAnsi="Times New Roman"/>
                <w:bCs/>
                <w:sz w:val="24"/>
                <w:szCs w:val="24"/>
              </w:rPr>
              <w:t xml:space="preserve"> </w:t>
            </w:r>
            <w:r w:rsidRPr="008B7280">
              <w:rPr>
                <w:rFonts w:ascii="Times New Roman" w:hAnsi="Times New Roman"/>
                <w:bCs/>
                <w:sz w:val="24"/>
                <w:szCs w:val="24"/>
              </w:rPr>
              <w:t xml:space="preserve">early childhood education and care and </w:t>
            </w:r>
            <w:r w:rsidR="000F7E7B">
              <w:rPr>
                <w:rFonts w:ascii="Times New Roman" w:hAnsi="Times New Roman"/>
                <w:bCs/>
                <w:sz w:val="24"/>
                <w:szCs w:val="24"/>
              </w:rPr>
              <w:t xml:space="preserve">the provision of </w:t>
            </w:r>
            <w:r w:rsidRPr="008B7280">
              <w:rPr>
                <w:rFonts w:ascii="Times New Roman" w:hAnsi="Times New Roman"/>
                <w:bCs/>
                <w:sz w:val="24"/>
                <w:szCs w:val="24"/>
              </w:rPr>
              <w:t xml:space="preserve">healthy school meals. </w:t>
            </w:r>
            <w:r w:rsidR="000F7E7B">
              <w:rPr>
                <w:rFonts w:ascii="Times New Roman" w:hAnsi="Times New Roman"/>
                <w:bCs/>
                <w:sz w:val="24"/>
                <w:szCs w:val="24"/>
              </w:rPr>
              <w:t>As part of the APS, t</w:t>
            </w:r>
            <w:r w:rsidRPr="008B7280">
              <w:rPr>
                <w:rFonts w:ascii="Times New Roman" w:hAnsi="Times New Roman"/>
                <w:bCs/>
                <w:sz w:val="24"/>
                <w:szCs w:val="24"/>
              </w:rPr>
              <w:t xml:space="preserve">he </w:t>
            </w:r>
            <w:r w:rsidR="00ED1DC8">
              <w:rPr>
                <w:rFonts w:ascii="Times New Roman" w:hAnsi="Times New Roman"/>
                <w:bCs/>
                <w:sz w:val="24"/>
                <w:szCs w:val="24"/>
              </w:rPr>
              <w:t>‘</w:t>
            </w:r>
            <w:r w:rsidRPr="008B7280">
              <w:rPr>
                <w:rFonts w:ascii="Times New Roman" w:hAnsi="Times New Roman"/>
                <w:bCs/>
                <w:sz w:val="24"/>
                <w:szCs w:val="24"/>
              </w:rPr>
              <w:t>strengthening of the Child Guarantee</w:t>
            </w:r>
            <w:r w:rsidR="00ED1DC8">
              <w:rPr>
                <w:rFonts w:ascii="Times New Roman" w:hAnsi="Times New Roman"/>
                <w:bCs/>
                <w:sz w:val="24"/>
                <w:szCs w:val="24"/>
              </w:rPr>
              <w:t>’</w:t>
            </w:r>
            <w:r w:rsidR="000F7E7B">
              <w:rPr>
                <w:rFonts w:ascii="Times New Roman" w:hAnsi="Times New Roman"/>
                <w:bCs/>
                <w:sz w:val="24"/>
                <w:szCs w:val="24"/>
              </w:rPr>
              <w:t>,</w:t>
            </w:r>
            <w:r w:rsidRPr="008B7280">
              <w:rPr>
                <w:rFonts w:ascii="Times New Roman" w:hAnsi="Times New Roman"/>
                <w:bCs/>
                <w:sz w:val="24"/>
                <w:szCs w:val="24"/>
              </w:rPr>
              <w:t xml:space="preserve"> announced in the</w:t>
            </w:r>
            <w:r w:rsidR="00957926">
              <w:rPr>
                <w:rFonts w:ascii="Times New Roman" w:hAnsi="Times New Roman"/>
                <w:bCs/>
                <w:sz w:val="24"/>
                <w:szCs w:val="24"/>
              </w:rPr>
              <w:t xml:space="preserve"> </w:t>
            </w:r>
            <w:r w:rsidRPr="008B7280">
              <w:rPr>
                <w:rFonts w:ascii="Times New Roman" w:hAnsi="Times New Roman"/>
                <w:bCs/>
                <w:sz w:val="24"/>
                <w:szCs w:val="24"/>
              </w:rPr>
              <w:t>2024</w:t>
            </w:r>
            <w:r w:rsidR="00ED1DC8">
              <w:rPr>
                <w:rFonts w:ascii="Times New Roman" w:hAnsi="Times New Roman"/>
                <w:bCs/>
                <w:sz w:val="24"/>
                <w:szCs w:val="24"/>
              </w:rPr>
              <w:noBreakHyphen/>
            </w:r>
            <w:r w:rsidRPr="008B7280">
              <w:rPr>
                <w:rFonts w:ascii="Times New Roman" w:hAnsi="Times New Roman"/>
                <w:bCs/>
                <w:sz w:val="24"/>
                <w:szCs w:val="24"/>
              </w:rPr>
              <w:t xml:space="preserve">2029 </w:t>
            </w:r>
            <w:r w:rsidR="00703179">
              <w:rPr>
                <w:rFonts w:ascii="Times New Roman" w:hAnsi="Times New Roman"/>
                <w:bCs/>
                <w:sz w:val="24"/>
                <w:szCs w:val="24"/>
              </w:rPr>
              <w:t>p</w:t>
            </w:r>
            <w:r w:rsidRPr="008B7280">
              <w:rPr>
                <w:rFonts w:ascii="Times New Roman" w:hAnsi="Times New Roman"/>
                <w:bCs/>
                <w:sz w:val="24"/>
                <w:szCs w:val="24"/>
              </w:rPr>
              <w:t xml:space="preserve">olitical </w:t>
            </w:r>
            <w:r w:rsidR="00703179">
              <w:rPr>
                <w:rFonts w:ascii="Times New Roman" w:hAnsi="Times New Roman"/>
                <w:bCs/>
                <w:sz w:val="24"/>
                <w:szCs w:val="24"/>
              </w:rPr>
              <w:t>g</w:t>
            </w:r>
            <w:r w:rsidRPr="008B7280">
              <w:rPr>
                <w:rFonts w:ascii="Times New Roman" w:hAnsi="Times New Roman"/>
                <w:bCs/>
                <w:sz w:val="24"/>
                <w:szCs w:val="24"/>
              </w:rPr>
              <w:t>uidelines</w:t>
            </w:r>
            <w:r w:rsidR="000F7E7B">
              <w:rPr>
                <w:rFonts w:ascii="Times New Roman" w:hAnsi="Times New Roman"/>
                <w:bCs/>
                <w:sz w:val="24"/>
                <w:szCs w:val="24"/>
              </w:rPr>
              <w:t>,</w:t>
            </w:r>
            <w:r w:rsidRPr="008B7280">
              <w:rPr>
                <w:rFonts w:ascii="Times New Roman" w:hAnsi="Times New Roman"/>
                <w:bCs/>
                <w:sz w:val="24"/>
                <w:szCs w:val="24"/>
              </w:rPr>
              <w:t xml:space="preserve"> will give the opportunity to bridge remaining gaps in access to services and accelerate the fight against child poverty to reach the European Pillar of Social Rights</w:t>
            </w:r>
            <w:r w:rsidR="00703179">
              <w:rPr>
                <w:rFonts w:ascii="Times New Roman" w:hAnsi="Times New Roman"/>
                <w:bCs/>
                <w:sz w:val="24"/>
                <w:szCs w:val="24"/>
              </w:rPr>
              <w:t xml:space="preserve"> 2030</w:t>
            </w:r>
            <w:r w:rsidRPr="008B7280">
              <w:rPr>
                <w:rFonts w:ascii="Times New Roman" w:hAnsi="Times New Roman"/>
                <w:bCs/>
                <w:sz w:val="24"/>
                <w:szCs w:val="24"/>
              </w:rPr>
              <w:t xml:space="preserve"> poverty </w:t>
            </w:r>
            <w:r w:rsidR="00740E32">
              <w:rPr>
                <w:rFonts w:ascii="Times New Roman" w:hAnsi="Times New Roman"/>
                <w:bCs/>
                <w:sz w:val="24"/>
                <w:szCs w:val="24"/>
              </w:rPr>
              <w:t xml:space="preserve">reduction </w:t>
            </w:r>
            <w:r w:rsidRPr="008B7280">
              <w:rPr>
                <w:rFonts w:ascii="Times New Roman" w:hAnsi="Times New Roman"/>
                <w:bCs/>
                <w:sz w:val="24"/>
                <w:szCs w:val="24"/>
              </w:rPr>
              <w:t xml:space="preserve">target for </w:t>
            </w:r>
            <w:r w:rsidR="00703179">
              <w:rPr>
                <w:rFonts w:ascii="Times New Roman" w:hAnsi="Times New Roman"/>
                <w:bCs/>
                <w:sz w:val="24"/>
                <w:szCs w:val="24"/>
              </w:rPr>
              <w:t>children</w:t>
            </w:r>
            <w:r w:rsidRPr="008B7280">
              <w:rPr>
                <w:rFonts w:ascii="Times New Roman" w:hAnsi="Times New Roman"/>
                <w:bCs/>
                <w:sz w:val="24"/>
                <w:szCs w:val="24"/>
              </w:rPr>
              <w:t>.</w:t>
            </w:r>
          </w:p>
          <w:p w14:paraId="703BAB1C" w14:textId="35DEB214" w:rsidR="00311AFE" w:rsidRDefault="004A717B" w:rsidP="004757E3">
            <w:pPr>
              <w:spacing w:before="120" w:after="120"/>
              <w:jc w:val="both"/>
              <w:rPr>
                <w:rFonts w:ascii="Times New Roman" w:hAnsi="Times New Roman"/>
                <w:bCs/>
                <w:sz w:val="24"/>
                <w:szCs w:val="24"/>
              </w:rPr>
            </w:pPr>
            <w:r>
              <w:rPr>
                <w:rFonts w:ascii="Times New Roman" w:hAnsi="Times New Roman"/>
                <w:b/>
                <w:sz w:val="24"/>
                <w:szCs w:val="24"/>
              </w:rPr>
              <w:t>1.5</w:t>
            </w:r>
            <w:r w:rsidR="008B7280" w:rsidRPr="008B7280">
              <w:rPr>
                <w:rFonts w:ascii="Times New Roman" w:hAnsi="Times New Roman"/>
                <w:b/>
                <w:sz w:val="24"/>
                <w:szCs w:val="24"/>
              </w:rPr>
              <w:t xml:space="preserve"> and other paragraphs on groups facing specific disadvantages</w:t>
            </w:r>
            <w:r w:rsidR="008B7280">
              <w:rPr>
                <w:rFonts w:ascii="Times New Roman" w:hAnsi="Times New Roman"/>
                <w:bCs/>
                <w:sz w:val="24"/>
                <w:szCs w:val="24"/>
              </w:rPr>
              <w:t xml:space="preserve"> – </w:t>
            </w:r>
            <w:r w:rsidR="00757D30">
              <w:rPr>
                <w:rFonts w:ascii="Times New Roman" w:hAnsi="Times New Roman"/>
                <w:bCs/>
                <w:sz w:val="24"/>
                <w:szCs w:val="24"/>
              </w:rPr>
              <w:t>Besides children, y</w:t>
            </w:r>
            <w:r w:rsidR="008B7280">
              <w:rPr>
                <w:rFonts w:ascii="Times New Roman" w:hAnsi="Times New Roman"/>
                <w:bCs/>
                <w:sz w:val="24"/>
                <w:szCs w:val="24"/>
              </w:rPr>
              <w:t>oung</w:t>
            </w:r>
            <w:r w:rsidR="00757D30">
              <w:rPr>
                <w:rFonts w:ascii="Times New Roman" w:hAnsi="Times New Roman"/>
                <w:bCs/>
                <w:sz w:val="24"/>
                <w:szCs w:val="24"/>
              </w:rPr>
              <w:t xml:space="preserve"> people, </w:t>
            </w:r>
            <w:r w:rsidR="00C75CAA">
              <w:rPr>
                <w:rFonts w:ascii="Times New Roman" w:hAnsi="Times New Roman"/>
                <w:bCs/>
                <w:sz w:val="24"/>
                <w:szCs w:val="24"/>
              </w:rPr>
              <w:t xml:space="preserve">older people </w:t>
            </w:r>
            <w:r w:rsidR="005953C5">
              <w:rPr>
                <w:rFonts w:ascii="Times New Roman" w:hAnsi="Times New Roman"/>
                <w:bCs/>
                <w:sz w:val="24"/>
                <w:szCs w:val="24"/>
              </w:rPr>
              <w:t>– especially older women –</w:t>
            </w:r>
            <w:r w:rsidR="00757D30">
              <w:rPr>
                <w:rFonts w:ascii="Times New Roman" w:hAnsi="Times New Roman"/>
                <w:bCs/>
                <w:sz w:val="24"/>
                <w:szCs w:val="24"/>
              </w:rPr>
              <w:t>, homeless people</w:t>
            </w:r>
            <w:r w:rsidR="008B7280">
              <w:rPr>
                <w:rFonts w:ascii="Times New Roman" w:hAnsi="Times New Roman"/>
                <w:bCs/>
                <w:sz w:val="24"/>
                <w:szCs w:val="24"/>
              </w:rPr>
              <w:t xml:space="preserve"> are </w:t>
            </w:r>
            <w:r w:rsidR="0007746F">
              <w:rPr>
                <w:rFonts w:ascii="Times New Roman" w:hAnsi="Times New Roman"/>
                <w:bCs/>
                <w:sz w:val="24"/>
                <w:szCs w:val="24"/>
              </w:rPr>
              <w:t>other</w:t>
            </w:r>
            <w:r w:rsidR="00757D30">
              <w:rPr>
                <w:rFonts w:ascii="Times New Roman" w:hAnsi="Times New Roman"/>
                <w:bCs/>
                <w:sz w:val="24"/>
                <w:szCs w:val="24"/>
              </w:rPr>
              <w:t xml:space="preserve"> </w:t>
            </w:r>
            <w:r w:rsidR="008B7280">
              <w:rPr>
                <w:rFonts w:ascii="Times New Roman" w:hAnsi="Times New Roman"/>
                <w:bCs/>
                <w:sz w:val="24"/>
                <w:szCs w:val="24"/>
              </w:rPr>
              <w:t>group</w:t>
            </w:r>
            <w:r w:rsidR="00800BFA">
              <w:rPr>
                <w:rFonts w:ascii="Times New Roman" w:hAnsi="Times New Roman"/>
                <w:bCs/>
                <w:sz w:val="24"/>
                <w:szCs w:val="24"/>
              </w:rPr>
              <w:t>s</w:t>
            </w:r>
            <w:r w:rsidR="008B7280">
              <w:rPr>
                <w:rFonts w:ascii="Times New Roman" w:hAnsi="Times New Roman"/>
                <w:bCs/>
                <w:sz w:val="24"/>
                <w:szCs w:val="24"/>
              </w:rPr>
              <w:t xml:space="preserve"> facing disadvantages and in need of support</w:t>
            </w:r>
            <w:r w:rsidR="00B00692">
              <w:rPr>
                <w:rFonts w:ascii="Times New Roman" w:hAnsi="Times New Roman"/>
                <w:bCs/>
                <w:sz w:val="24"/>
                <w:szCs w:val="24"/>
              </w:rPr>
              <w:t>, as pointed out in the opinion</w:t>
            </w:r>
            <w:r w:rsidR="008B7280">
              <w:rPr>
                <w:rFonts w:ascii="Times New Roman" w:hAnsi="Times New Roman"/>
                <w:bCs/>
                <w:sz w:val="24"/>
                <w:szCs w:val="24"/>
              </w:rPr>
              <w:t>.</w:t>
            </w:r>
            <w:r w:rsidR="00757D30">
              <w:rPr>
                <w:rFonts w:ascii="Times New Roman" w:hAnsi="Times New Roman"/>
                <w:bCs/>
                <w:sz w:val="24"/>
                <w:szCs w:val="24"/>
              </w:rPr>
              <w:t xml:space="preserve"> </w:t>
            </w:r>
            <w:r w:rsidR="00A4660F">
              <w:rPr>
                <w:rFonts w:ascii="Times New Roman" w:hAnsi="Times New Roman"/>
                <w:bCs/>
                <w:sz w:val="24"/>
                <w:szCs w:val="24"/>
              </w:rPr>
              <w:t>The implementation of s</w:t>
            </w:r>
            <w:r w:rsidR="00757D30">
              <w:rPr>
                <w:rFonts w:ascii="Times New Roman" w:hAnsi="Times New Roman"/>
                <w:bCs/>
                <w:sz w:val="24"/>
                <w:szCs w:val="24"/>
              </w:rPr>
              <w:t>everal initiatives</w:t>
            </w:r>
            <w:r w:rsidR="000F7E7B">
              <w:rPr>
                <w:rFonts w:ascii="Times New Roman" w:hAnsi="Times New Roman"/>
                <w:bCs/>
                <w:sz w:val="24"/>
                <w:szCs w:val="24"/>
              </w:rPr>
              <w:t xml:space="preserve"> </w:t>
            </w:r>
            <w:r w:rsidR="0007746F">
              <w:rPr>
                <w:rFonts w:ascii="Times New Roman" w:hAnsi="Times New Roman"/>
                <w:bCs/>
                <w:sz w:val="24"/>
                <w:szCs w:val="24"/>
              </w:rPr>
              <w:t>addressing</w:t>
            </w:r>
            <w:r w:rsidR="00A4660F">
              <w:rPr>
                <w:rFonts w:ascii="Times New Roman" w:hAnsi="Times New Roman"/>
                <w:bCs/>
                <w:sz w:val="24"/>
                <w:szCs w:val="24"/>
              </w:rPr>
              <w:t xml:space="preserve"> such disadvantages</w:t>
            </w:r>
            <w:r w:rsidR="00757D30">
              <w:rPr>
                <w:rFonts w:ascii="Times New Roman" w:hAnsi="Times New Roman"/>
                <w:bCs/>
                <w:sz w:val="24"/>
                <w:szCs w:val="24"/>
              </w:rPr>
              <w:t xml:space="preserve"> </w:t>
            </w:r>
            <w:r w:rsidR="00A4660F">
              <w:rPr>
                <w:rFonts w:ascii="Times New Roman" w:hAnsi="Times New Roman"/>
                <w:bCs/>
                <w:sz w:val="24"/>
                <w:szCs w:val="24"/>
              </w:rPr>
              <w:t>is ongoing</w:t>
            </w:r>
            <w:r w:rsidR="0027010C">
              <w:rPr>
                <w:rFonts w:ascii="Times New Roman" w:hAnsi="Times New Roman"/>
                <w:bCs/>
                <w:sz w:val="24"/>
                <w:szCs w:val="24"/>
              </w:rPr>
              <w:t>, including</w:t>
            </w:r>
            <w:r w:rsidR="00757D30">
              <w:rPr>
                <w:rFonts w:ascii="Times New Roman" w:hAnsi="Times New Roman"/>
                <w:bCs/>
                <w:sz w:val="24"/>
                <w:szCs w:val="24"/>
              </w:rPr>
              <w:t xml:space="preserve"> the Youth Guarantee</w:t>
            </w:r>
            <w:r w:rsidR="00AA6B79">
              <w:rPr>
                <w:rStyle w:val="FootnoteReference"/>
                <w:rFonts w:ascii="Times New Roman" w:hAnsi="Times New Roman"/>
                <w:bCs/>
                <w:szCs w:val="24"/>
              </w:rPr>
              <w:footnoteReference w:id="8"/>
            </w:r>
            <w:r w:rsidR="00757D30">
              <w:rPr>
                <w:rFonts w:ascii="Times New Roman" w:hAnsi="Times New Roman"/>
                <w:bCs/>
                <w:sz w:val="24"/>
                <w:szCs w:val="24"/>
              </w:rPr>
              <w:t xml:space="preserve"> </w:t>
            </w:r>
            <w:r w:rsidR="00311AFE">
              <w:rPr>
                <w:rFonts w:ascii="Times New Roman" w:hAnsi="Times New Roman"/>
                <w:bCs/>
                <w:sz w:val="24"/>
                <w:szCs w:val="24"/>
              </w:rPr>
              <w:t>which has helped 57 million young European</w:t>
            </w:r>
            <w:r w:rsidR="00703179">
              <w:rPr>
                <w:rFonts w:ascii="Times New Roman" w:hAnsi="Times New Roman"/>
                <w:bCs/>
                <w:sz w:val="24"/>
                <w:szCs w:val="24"/>
              </w:rPr>
              <w:t>s</w:t>
            </w:r>
            <w:r w:rsidR="00311AFE">
              <w:rPr>
                <w:rFonts w:ascii="Times New Roman" w:hAnsi="Times New Roman"/>
                <w:bCs/>
                <w:sz w:val="24"/>
                <w:szCs w:val="24"/>
              </w:rPr>
              <w:t xml:space="preserve"> find a job or</w:t>
            </w:r>
            <w:r w:rsidR="004A0FB2">
              <w:rPr>
                <w:rFonts w:ascii="Times New Roman" w:hAnsi="Times New Roman"/>
                <w:bCs/>
                <w:sz w:val="24"/>
                <w:szCs w:val="24"/>
              </w:rPr>
              <w:t xml:space="preserve"> a</w:t>
            </w:r>
            <w:r w:rsidR="00311AFE">
              <w:rPr>
                <w:rFonts w:ascii="Times New Roman" w:hAnsi="Times New Roman"/>
                <w:bCs/>
                <w:sz w:val="24"/>
                <w:szCs w:val="24"/>
              </w:rPr>
              <w:t xml:space="preserve"> </w:t>
            </w:r>
            <w:r w:rsidR="000F7E7B">
              <w:rPr>
                <w:rFonts w:ascii="Times New Roman" w:hAnsi="Times New Roman"/>
                <w:bCs/>
                <w:sz w:val="24"/>
                <w:szCs w:val="24"/>
              </w:rPr>
              <w:t>training</w:t>
            </w:r>
            <w:r w:rsidR="00665EA9">
              <w:rPr>
                <w:rFonts w:ascii="Times New Roman" w:hAnsi="Times New Roman"/>
                <w:bCs/>
                <w:sz w:val="24"/>
                <w:szCs w:val="24"/>
              </w:rPr>
              <w:t xml:space="preserve">, </w:t>
            </w:r>
            <w:r w:rsidR="00311AFE">
              <w:rPr>
                <w:rFonts w:ascii="Times New Roman" w:hAnsi="Times New Roman"/>
                <w:bCs/>
                <w:sz w:val="24"/>
                <w:szCs w:val="24"/>
              </w:rPr>
              <w:t xml:space="preserve">and </w:t>
            </w:r>
            <w:r w:rsidR="00757D30">
              <w:rPr>
                <w:rFonts w:ascii="Times New Roman" w:hAnsi="Times New Roman"/>
                <w:bCs/>
                <w:sz w:val="24"/>
                <w:szCs w:val="24"/>
              </w:rPr>
              <w:t xml:space="preserve">the European Platform </w:t>
            </w:r>
            <w:r w:rsidR="004A0FB2">
              <w:rPr>
                <w:rFonts w:ascii="Times New Roman" w:hAnsi="Times New Roman"/>
                <w:bCs/>
                <w:sz w:val="24"/>
                <w:szCs w:val="24"/>
              </w:rPr>
              <w:t>on</w:t>
            </w:r>
            <w:r w:rsidR="00757D30">
              <w:rPr>
                <w:rFonts w:ascii="Times New Roman" w:hAnsi="Times New Roman"/>
                <w:bCs/>
                <w:sz w:val="24"/>
                <w:szCs w:val="24"/>
              </w:rPr>
              <w:t xml:space="preserve"> </w:t>
            </w:r>
            <w:r w:rsidR="004A0FB2">
              <w:rPr>
                <w:rFonts w:ascii="Times New Roman" w:hAnsi="Times New Roman"/>
                <w:bCs/>
                <w:sz w:val="24"/>
                <w:szCs w:val="24"/>
              </w:rPr>
              <w:t>C</w:t>
            </w:r>
            <w:r w:rsidR="00757D30">
              <w:rPr>
                <w:rFonts w:ascii="Times New Roman" w:hAnsi="Times New Roman"/>
                <w:bCs/>
                <w:sz w:val="24"/>
                <w:szCs w:val="24"/>
              </w:rPr>
              <w:t xml:space="preserve">ombatting </w:t>
            </w:r>
            <w:r w:rsidR="004A0FB2">
              <w:rPr>
                <w:rFonts w:ascii="Times New Roman" w:hAnsi="Times New Roman"/>
                <w:bCs/>
                <w:sz w:val="24"/>
                <w:szCs w:val="24"/>
              </w:rPr>
              <w:t>H</w:t>
            </w:r>
            <w:r w:rsidR="00757D30">
              <w:rPr>
                <w:rFonts w:ascii="Times New Roman" w:hAnsi="Times New Roman"/>
                <w:bCs/>
                <w:sz w:val="24"/>
                <w:szCs w:val="24"/>
              </w:rPr>
              <w:t>omelessness</w:t>
            </w:r>
            <w:r w:rsidR="00311AFE">
              <w:rPr>
                <w:rFonts w:ascii="Times New Roman" w:hAnsi="Times New Roman"/>
                <w:bCs/>
                <w:sz w:val="24"/>
                <w:szCs w:val="24"/>
              </w:rPr>
              <w:t xml:space="preserve">, </w:t>
            </w:r>
            <w:r w:rsidR="00665EA9">
              <w:rPr>
                <w:rFonts w:ascii="Times New Roman" w:hAnsi="Times New Roman"/>
                <w:bCs/>
                <w:sz w:val="24"/>
                <w:szCs w:val="24"/>
              </w:rPr>
              <w:t>in line with</w:t>
            </w:r>
            <w:r w:rsidR="00311AFE">
              <w:rPr>
                <w:rFonts w:ascii="Times New Roman" w:hAnsi="Times New Roman"/>
                <w:bCs/>
                <w:sz w:val="24"/>
                <w:szCs w:val="24"/>
              </w:rPr>
              <w:t xml:space="preserve"> the Lisbon Declaration which </w:t>
            </w:r>
            <w:r w:rsidR="004A0FB2">
              <w:rPr>
                <w:rFonts w:ascii="Times New Roman" w:hAnsi="Times New Roman"/>
                <w:bCs/>
                <w:sz w:val="24"/>
                <w:szCs w:val="24"/>
              </w:rPr>
              <w:t>sets the objective of</w:t>
            </w:r>
            <w:r w:rsidR="00311AFE">
              <w:rPr>
                <w:rFonts w:ascii="Times New Roman" w:hAnsi="Times New Roman"/>
                <w:bCs/>
                <w:sz w:val="24"/>
                <w:szCs w:val="24"/>
              </w:rPr>
              <w:t xml:space="preserve"> working towards ending homelessness by 2030.</w:t>
            </w:r>
            <w:r w:rsidR="005953C5">
              <w:rPr>
                <w:rFonts w:ascii="Times New Roman" w:hAnsi="Times New Roman"/>
                <w:bCs/>
                <w:sz w:val="24"/>
                <w:szCs w:val="24"/>
              </w:rPr>
              <w:t xml:space="preserve"> </w:t>
            </w:r>
            <w:r w:rsidR="00DE489E">
              <w:rPr>
                <w:rFonts w:ascii="Times New Roman" w:hAnsi="Times New Roman"/>
                <w:bCs/>
                <w:sz w:val="24"/>
                <w:szCs w:val="24"/>
              </w:rPr>
              <w:t>Furthermore, t</w:t>
            </w:r>
            <w:r w:rsidR="00DE489E" w:rsidRPr="00DE489E">
              <w:rPr>
                <w:rFonts w:ascii="Times New Roman" w:hAnsi="Times New Roman"/>
                <w:bCs/>
                <w:sz w:val="24"/>
                <w:szCs w:val="24"/>
              </w:rPr>
              <w:t xml:space="preserve">he Commission’s Roadmap for Women’s Rights lists tackling women’s poverty as objective. </w:t>
            </w:r>
            <w:r w:rsidR="00DE489E">
              <w:rPr>
                <w:rFonts w:ascii="Times New Roman" w:hAnsi="Times New Roman"/>
                <w:bCs/>
                <w:sz w:val="24"/>
                <w:szCs w:val="24"/>
              </w:rPr>
              <w:t>In this context,</w:t>
            </w:r>
            <w:r w:rsidR="00957926">
              <w:rPr>
                <w:rFonts w:ascii="Times New Roman" w:hAnsi="Times New Roman"/>
                <w:bCs/>
                <w:sz w:val="24"/>
                <w:szCs w:val="24"/>
              </w:rPr>
              <w:t xml:space="preserve"> </w:t>
            </w:r>
            <w:r w:rsidR="005953C5">
              <w:rPr>
                <w:rFonts w:ascii="Times New Roman" w:hAnsi="Times New Roman"/>
                <w:bCs/>
                <w:sz w:val="24"/>
                <w:szCs w:val="24"/>
              </w:rPr>
              <w:t>the Directive 2023/970 to strengthen the principle of equal pay for equal work</w:t>
            </w:r>
            <w:r w:rsidR="00665EA9">
              <w:rPr>
                <w:rStyle w:val="FootnoteReference"/>
                <w:rFonts w:ascii="Times New Roman" w:hAnsi="Times New Roman"/>
                <w:bCs/>
                <w:szCs w:val="24"/>
              </w:rPr>
              <w:footnoteReference w:id="9"/>
            </w:r>
            <w:r w:rsidR="005953C5">
              <w:rPr>
                <w:rFonts w:ascii="Times New Roman" w:hAnsi="Times New Roman"/>
                <w:bCs/>
                <w:sz w:val="24"/>
                <w:szCs w:val="24"/>
              </w:rPr>
              <w:t xml:space="preserve"> </w:t>
            </w:r>
            <w:r w:rsidR="00B4394E">
              <w:rPr>
                <w:rFonts w:ascii="Times New Roman" w:hAnsi="Times New Roman"/>
                <w:bCs/>
                <w:sz w:val="24"/>
                <w:szCs w:val="24"/>
              </w:rPr>
              <w:t xml:space="preserve">is an </w:t>
            </w:r>
            <w:r w:rsidR="005953C5">
              <w:rPr>
                <w:rFonts w:ascii="Times New Roman" w:hAnsi="Times New Roman"/>
                <w:bCs/>
                <w:sz w:val="24"/>
                <w:szCs w:val="24"/>
              </w:rPr>
              <w:t xml:space="preserve">important milestone </w:t>
            </w:r>
            <w:r w:rsidR="0007746F">
              <w:rPr>
                <w:rFonts w:ascii="Times New Roman" w:hAnsi="Times New Roman"/>
                <w:bCs/>
                <w:sz w:val="24"/>
                <w:szCs w:val="24"/>
              </w:rPr>
              <w:t>dealing</w:t>
            </w:r>
            <w:r w:rsidR="005953C5">
              <w:rPr>
                <w:rFonts w:ascii="Times New Roman" w:hAnsi="Times New Roman"/>
                <w:bCs/>
                <w:sz w:val="24"/>
                <w:szCs w:val="24"/>
              </w:rPr>
              <w:t xml:space="preserve"> with gender-aspects of poverty, ranging from pay </w:t>
            </w:r>
            <w:r w:rsidR="00B4394E">
              <w:rPr>
                <w:rFonts w:ascii="Times New Roman" w:hAnsi="Times New Roman"/>
                <w:bCs/>
                <w:sz w:val="24"/>
                <w:szCs w:val="24"/>
              </w:rPr>
              <w:t xml:space="preserve">to </w:t>
            </w:r>
            <w:r w:rsidR="005953C5">
              <w:rPr>
                <w:rFonts w:ascii="Times New Roman" w:hAnsi="Times New Roman"/>
                <w:bCs/>
                <w:sz w:val="24"/>
                <w:szCs w:val="24"/>
              </w:rPr>
              <w:t>pension gaps.</w:t>
            </w:r>
            <w:r w:rsidR="00B4394E">
              <w:rPr>
                <w:rFonts w:ascii="Times New Roman" w:hAnsi="Times New Roman"/>
                <w:bCs/>
                <w:sz w:val="24"/>
                <w:szCs w:val="24"/>
              </w:rPr>
              <w:t xml:space="preserve"> Besides that, the Directive 2022/542</w:t>
            </w:r>
            <w:r w:rsidR="00B4394E">
              <w:rPr>
                <w:rStyle w:val="FootnoteReference"/>
                <w:rFonts w:ascii="Times New Roman" w:hAnsi="Times New Roman"/>
                <w:bCs/>
                <w:szCs w:val="24"/>
              </w:rPr>
              <w:footnoteReference w:id="10"/>
            </w:r>
            <w:r w:rsidR="00B4394E">
              <w:rPr>
                <w:rFonts w:ascii="Times New Roman" w:hAnsi="Times New Roman"/>
                <w:bCs/>
                <w:sz w:val="24"/>
                <w:szCs w:val="24"/>
              </w:rPr>
              <w:t xml:space="preserve"> enables Member States, if they so wish, to reduce the </w:t>
            </w:r>
            <w:r w:rsidR="00B4394E" w:rsidRPr="00957926">
              <w:rPr>
                <w:rFonts w:ascii="Times New Roman" w:hAnsi="Times New Roman"/>
                <w:bCs/>
                <w:sz w:val="24"/>
                <w:szCs w:val="24"/>
              </w:rPr>
              <w:t xml:space="preserve">value added </w:t>
            </w:r>
            <w:r w:rsidR="001B0F7A" w:rsidRPr="00957926">
              <w:rPr>
                <w:rFonts w:ascii="Times New Roman" w:hAnsi="Times New Roman"/>
                <w:bCs/>
                <w:sz w:val="24"/>
                <w:szCs w:val="24"/>
              </w:rPr>
              <w:t>tax</w:t>
            </w:r>
            <w:r w:rsidR="001B0F7A">
              <w:rPr>
                <w:rFonts w:ascii="Times New Roman" w:hAnsi="Times New Roman"/>
                <w:bCs/>
                <w:sz w:val="24"/>
                <w:szCs w:val="24"/>
              </w:rPr>
              <w:t xml:space="preserve"> </w:t>
            </w:r>
            <w:r w:rsidR="001B0F7A" w:rsidRPr="00957926">
              <w:rPr>
                <w:rFonts w:ascii="Times New Roman" w:hAnsi="Times New Roman"/>
                <w:bCs/>
                <w:sz w:val="24"/>
                <w:szCs w:val="24"/>
              </w:rPr>
              <w:t>rate</w:t>
            </w:r>
            <w:r w:rsidR="00B4394E">
              <w:rPr>
                <w:rFonts w:ascii="Times New Roman" w:hAnsi="Times New Roman"/>
                <w:bCs/>
                <w:sz w:val="24"/>
                <w:szCs w:val="24"/>
              </w:rPr>
              <w:t xml:space="preserve"> on sanitary products.</w:t>
            </w:r>
            <w:r w:rsidR="001B0F7A">
              <w:rPr>
                <w:rFonts w:ascii="Times New Roman" w:hAnsi="Times New Roman"/>
                <w:bCs/>
                <w:sz w:val="24"/>
                <w:szCs w:val="24"/>
              </w:rPr>
              <w:t xml:space="preserve"> </w:t>
            </w:r>
            <w:r w:rsidR="00DE489E">
              <w:rPr>
                <w:rFonts w:ascii="Times New Roman" w:hAnsi="Times New Roman"/>
                <w:bCs/>
                <w:sz w:val="24"/>
                <w:szCs w:val="24"/>
              </w:rPr>
              <w:t>As regards the Directive on equal pay for equal work, which should be transposed by June 2026, t</w:t>
            </w:r>
            <w:r w:rsidR="00DE489E" w:rsidRPr="00DE489E">
              <w:rPr>
                <w:rFonts w:ascii="Times New Roman" w:hAnsi="Times New Roman"/>
                <w:bCs/>
                <w:sz w:val="24"/>
                <w:szCs w:val="24"/>
              </w:rPr>
              <w:t xml:space="preserve">he Commission is currently </w:t>
            </w:r>
            <w:proofErr w:type="spellStart"/>
            <w:r w:rsidR="00DE489E" w:rsidRPr="00DE489E">
              <w:rPr>
                <w:rFonts w:ascii="Times New Roman" w:hAnsi="Times New Roman"/>
                <w:bCs/>
                <w:sz w:val="24"/>
                <w:szCs w:val="24"/>
              </w:rPr>
              <w:t>organising</w:t>
            </w:r>
            <w:proofErr w:type="spellEnd"/>
            <w:r w:rsidR="00DE489E" w:rsidRPr="00DE489E">
              <w:rPr>
                <w:rFonts w:ascii="Times New Roman" w:hAnsi="Times New Roman"/>
                <w:bCs/>
                <w:sz w:val="24"/>
                <w:szCs w:val="24"/>
              </w:rPr>
              <w:t xml:space="preserve"> implementation workshops with Member States to support them with regard to full and timely implementation. Three workshops have already taken place.</w:t>
            </w:r>
            <w:r w:rsidR="00DE489E">
              <w:t xml:space="preserve"> </w:t>
            </w:r>
            <w:r w:rsidR="00DE489E">
              <w:rPr>
                <w:rFonts w:ascii="Times New Roman" w:hAnsi="Times New Roman"/>
                <w:bCs/>
                <w:sz w:val="24"/>
                <w:szCs w:val="24"/>
              </w:rPr>
              <w:t xml:space="preserve">Finally, the Commission </w:t>
            </w:r>
            <w:r w:rsidR="00DE489E" w:rsidRPr="00DE489E">
              <w:rPr>
                <w:rFonts w:ascii="Times New Roman" w:hAnsi="Times New Roman"/>
                <w:bCs/>
                <w:sz w:val="24"/>
                <w:szCs w:val="24"/>
              </w:rPr>
              <w:t>will continue to support the Presidency and the Member States with all possible means to help find an agreement</w:t>
            </w:r>
            <w:r w:rsidR="00DE489E">
              <w:rPr>
                <w:rFonts w:ascii="Times New Roman" w:hAnsi="Times New Roman"/>
                <w:bCs/>
                <w:sz w:val="24"/>
                <w:szCs w:val="24"/>
              </w:rPr>
              <w:t xml:space="preserve"> on the Equal Treatment Directive.</w:t>
            </w:r>
            <w:r w:rsidR="00DE489E">
              <w:t xml:space="preserve"> </w:t>
            </w:r>
            <w:r w:rsidR="00DE489E">
              <w:rPr>
                <w:rFonts w:ascii="Times New Roman" w:hAnsi="Times New Roman"/>
                <w:bCs/>
                <w:sz w:val="24"/>
                <w:szCs w:val="24"/>
              </w:rPr>
              <w:t xml:space="preserve">More generally, the </w:t>
            </w:r>
            <w:r w:rsidR="00DE489E" w:rsidRPr="00DE489E">
              <w:rPr>
                <w:rFonts w:ascii="Times New Roman" w:hAnsi="Times New Roman"/>
                <w:bCs/>
                <w:sz w:val="24"/>
                <w:szCs w:val="24"/>
              </w:rPr>
              <w:t>Commission will continue leading efforts at the European Union level to do more for everyone to live, thrive and lead regardless of who they are. After the Roadmap on Women’s Rights, the Commission will present new strategies on LGBTIQ</w:t>
            </w:r>
            <w:r w:rsidR="00146EAB">
              <w:rPr>
                <w:rFonts w:ascii="Times New Roman" w:hAnsi="Times New Roman"/>
                <w:bCs/>
                <w:sz w:val="24"/>
                <w:szCs w:val="24"/>
              </w:rPr>
              <w:t xml:space="preserve"> (</w:t>
            </w:r>
            <w:r w:rsidR="001066A7" w:rsidRPr="00146EAB">
              <w:rPr>
                <w:rFonts w:ascii="Times New Roman" w:hAnsi="Times New Roman"/>
                <w:bCs/>
                <w:sz w:val="24"/>
                <w:szCs w:val="24"/>
              </w:rPr>
              <w:t>lesbian, gay, bisexual, transgender, intersex, and queer</w:t>
            </w:r>
            <w:r w:rsidR="00146EAB">
              <w:rPr>
                <w:rFonts w:ascii="Times New Roman" w:hAnsi="Times New Roman"/>
                <w:bCs/>
                <w:sz w:val="24"/>
                <w:szCs w:val="24"/>
              </w:rPr>
              <w:t xml:space="preserve">) </w:t>
            </w:r>
            <w:r w:rsidR="00DE489E" w:rsidRPr="00DE489E">
              <w:rPr>
                <w:rFonts w:ascii="Times New Roman" w:hAnsi="Times New Roman"/>
                <w:bCs/>
                <w:sz w:val="24"/>
                <w:szCs w:val="24"/>
              </w:rPr>
              <w:t xml:space="preserve">equality, anti-racism and gender equality, and we will ensure the full implementation of the Strategic framework for Roma equality and the Strategy for the </w:t>
            </w:r>
            <w:r w:rsidR="00DE489E" w:rsidRPr="00DE489E">
              <w:rPr>
                <w:rFonts w:ascii="Times New Roman" w:hAnsi="Times New Roman"/>
                <w:bCs/>
                <w:sz w:val="24"/>
                <w:szCs w:val="24"/>
              </w:rPr>
              <w:lastRenderedPageBreak/>
              <w:t>rights of persons with disabilities.</w:t>
            </w:r>
          </w:p>
          <w:p w14:paraId="7B25C818" w14:textId="1CAA808D" w:rsidR="00311AFE" w:rsidRPr="004A717B" w:rsidRDefault="004A717B" w:rsidP="004757E3">
            <w:pPr>
              <w:spacing w:before="120" w:after="120"/>
              <w:jc w:val="both"/>
              <w:rPr>
                <w:rFonts w:ascii="Times New Roman" w:hAnsi="Times New Roman"/>
                <w:bCs/>
                <w:sz w:val="24"/>
                <w:szCs w:val="24"/>
              </w:rPr>
            </w:pPr>
            <w:r>
              <w:rPr>
                <w:rFonts w:ascii="Times New Roman" w:hAnsi="Times New Roman"/>
                <w:b/>
                <w:sz w:val="24"/>
                <w:szCs w:val="24"/>
              </w:rPr>
              <w:t>1.4</w:t>
            </w:r>
            <w:r w:rsidR="00311AFE" w:rsidRPr="00311AFE">
              <w:rPr>
                <w:rFonts w:ascii="Times New Roman" w:hAnsi="Times New Roman"/>
                <w:b/>
                <w:sz w:val="24"/>
                <w:szCs w:val="24"/>
              </w:rPr>
              <w:t xml:space="preserve"> and other paragraphs on </w:t>
            </w:r>
            <w:r w:rsidR="0007746F">
              <w:rPr>
                <w:rFonts w:ascii="Times New Roman" w:hAnsi="Times New Roman"/>
                <w:b/>
                <w:sz w:val="24"/>
                <w:szCs w:val="24"/>
              </w:rPr>
              <w:t xml:space="preserve">access to </w:t>
            </w:r>
            <w:r w:rsidR="00311AFE" w:rsidRPr="00311AFE">
              <w:rPr>
                <w:rFonts w:ascii="Times New Roman" w:hAnsi="Times New Roman"/>
                <w:b/>
                <w:sz w:val="24"/>
                <w:szCs w:val="24"/>
              </w:rPr>
              <w:t>housing</w:t>
            </w:r>
            <w:r w:rsidR="0007746F">
              <w:rPr>
                <w:rFonts w:ascii="Times New Roman" w:hAnsi="Times New Roman"/>
                <w:b/>
                <w:sz w:val="24"/>
                <w:szCs w:val="24"/>
              </w:rPr>
              <w:t xml:space="preserve">, </w:t>
            </w:r>
            <w:r w:rsidR="00311AFE" w:rsidRPr="00311AFE">
              <w:rPr>
                <w:rFonts w:ascii="Times New Roman" w:hAnsi="Times New Roman"/>
                <w:b/>
                <w:sz w:val="24"/>
                <w:szCs w:val="24"/>
              </w:rPr>
              <w:t>essential services</w:t>
            </w:r>
            <w:r w:rsidR="0007746F">
              <w:rPr>
                <w:rFonts w:ascii="Times New Roman" w:hAnsi="Times New Roman"/>
                <w:b/>
                <w:sz w:val="24"/>
                <w:szCs w:val="24"/>
              </w:rPr>
              <w:t xml:space="preserve"> and legal aid</w:t>
            </w:r>
            <w:r w:rsidR="00311AFE">
              <w:rPr>
                <w:rFonts w:ascii="Times New Roman" w:hAnsi="Times New Roman"/>
                <w:bCs/>
                <w:sz w:val="24"/>
                <w:szCs w:val="24"/>
              </w:rPr>
              <w:t xml:space="preserve"> – </w:t>
            </w:r>
            <w:r w:rsidR="003F7083">
              <w:rPr>
                <w:rFonts w:ascii="Times New Roman" w:hAnsi="Times New Roman"/>
                <w:bCs/>
                <w:sz w:val="24"/>
                <w:szCs w:val="24"/>
              </w:rPr>
              <w:t>T</w:t>
            </w:r>
            <w:r w:rsidR="00BB7F21">
              <w:rPr>
                <w:rFonts w:ascii="Times New Roman" w:hAnsi="Times New Roman"/>
                <w:bCs/>
                <w:sz w:val="24"/>
                <w:szCs w:val="24"/>
              </w:rPr>
              <w:t>he rights to access</w:t>
            </w:r>
            <w:r w:rsidR="00311AFE">
              <w:rPr>
                <w:rFonts w:ascii="Times New Roman" w:hAnsi="Times New Roman"/>
                <w:bCs/>
                <w:sz w:val="24"/>
                <w:szCs w:val="24"/>
              </w:rPr>
              <w:t xml:space="preserve"> adequate housing and services, including essential ones, </w:t>
            </w:r>
            <w:r w:rsidR="003F7083">
              <w:rPr>
                <w:rFonts w:ascii="Times New Roman" w:hAnsi="Times New Roman"/>
                <w:bCs/>
                <w:sz w:val="24"/>
                <w:szCs w:val="24"/>
              </w:rPr>
              <w:t xml:space="preserve">are </w:t>
            </w:r>
            <w:r w:rsidR="00BB7F21">
              <w:rPr>
                <w:rFonts w:ascii="Times New Roman" w:hAnsi="Times New Roman"/>
                <w:bCs/>
                <w:sz w:val="24"/>
                <w:szCs w:val="24"/>
              </w:rPr>
              <w:t>enshrined in</w:t>
            </w:r>
            <w:r w:rsidR="00311AFE">
              <w:rPr>
                <w:rFonts w:ascii="Times New Roman" w:hAnsi="Times New Roman"/>
                <w:bCs/>
                <w:sz w:val="24"/>
                <w:szCs w:val="24"/>
              </w:rPr>
              <w:t xml:space="preserve"> the European Pillar of Social Rights. </w:t>
            </w:r>
            <w:r w:rsidR="00BB7F21">
              <w:rPr>
                <w:rFonts w:ascii="Times New Roman" w:hAnsi="Times New Roman"/>
                <w:bCs/>
                <w:sz w:val="24"/>
                <w:szCs w:val="24"/>
              </w:rPr>
              <w:t xml:space="preserve">While </w:t>
            </w:r>
            <w:r w:rsidR="00311AFE" w:rsidRPr="00311AFE">
              <w:rPr>
                <w:rFonts w:ascii="Times New Roman" w:hAnsi="Times New Roman"/>
                <w:bCs/>
                <w:sz w:val="24"/>
                <w:szCs w:val="24"/>
              </w:rPr>
              <w:t xml:space="preserve">the Commission will </w:t>
            </w:r>
            <w:r w:rsidR="00740E32">
              <w:rPr>
                <w:rFonts w:ascii="Times New Roman" w:hAnsi="Times New Roman"/>
                <w:bCs/>
                <w:sz w:val="24"/>
                <w:szCs w:val="24"/>
              </w:rPr>
              <w:t>present</w:t>
            </w:r>
            <w:r w:rsidR="00311AFE" w:rsidRPr="00311AFE">
              <w:rPr>
                <w:rFonts w:ascii="Times New Roman" w:hAnsi="Times New Roman"/>
                <w:bCs/>
                <w:sz w:val="24"/>
                <w:szCs w:val="24"/>
              </w:rPr>
              <w:t xml:space="preserve"> the European Affordable Housing Plan in 2026</w:t>
            </w:r>
            <w:r w:rsidR="00BB7F21" w:rsidRPr="00311AFE">
              <w:rPr>
                <w:rFonts w:ascii="Times New Roman" w:hAnsi="Times New Roman"/>
                <w:bCs/>
                <w:sz w:val="24"/>
                <w:szCs w:val="24"/>
              </w:rPr>
              <w:t xml:space="preserve">, </w:t>
            </w:r>
            <w:r w:rsidR="00665EA9">
              <w:rPr>
                <w:rFonts w:ascii="Times New Roman" w:hAnsi="Times New Roman"/>
                <w:bCs/>
                <w:sz w:val="24"/>
                <w:szCs w:val="24"/>
              </w:rPr>
              <w:t>steps</w:t>
            </w:r>
            <w:r w:rsidR="00BB7F21">
              <w:rPr>
                <w:rFonts w:ascii="Times New Roman" w:hAnsi="Times New Roman"/>
                <w:bCs/>
                <w:sz w:val="24"/>
                <w:szCs w:val="24"/>
              </w:rPr>
              <w:t xml:space="preserve"> to support access to housing are </w:t>
            </w:r>
            <w:r w:rsidR="00B00692">
              <w:rPr>
                <w:rFonts w:ascii="Times New Roman" w:hAnsi="Times New Roman"/>
                <w:bCs/>
                <w:sz w:val="24"/>
                <w:szCs w:val="24"/>
              </w:rPr>
              <w:t>taken</w:t>
            </w:r>
            <w:r w:rsidR="006F1B5A">
              <w:rPr>
                <w:rFonts w:ascii="Times New Roman" w:hAnsi="Times New Roman"/>
                <w:bCs/>
                <w:sz w:val="24"/>
                <w:szCs w:val="24"/>
              </w:rPr>
              <w:t xml:space="preserve"> in the meantime</w:t>
            </w:r>
            <w:r w:rsidR="00B00692">
              <w:rPr>
                <w:rFonts w:ascii="Times New Roman" w:hAnsi="Times New Roman"/>
                <w:bCs/>
                <w:sz w:val="24"/>
                <w:szCs w:val="24"/>
              </w:rPr>
              <w:t xml:space="preserve"> (</w:t>
            </w:r>
            <w:r w:rsidR="00E11850">
              <w:rPr>
                <w:rFonts w:ascii="Times New Roman" w:hAnsi="Times New Roman"/>
                <w:bCs/>
                <w:sz w:val="24"/>
                <w:szCs w:val="24"/>
              </w:rPr>
              <w:t xml:space="preserve">e.g. </w:t>
            </w:r>
            <w:r w:rsidR="00665EA9">
              <w:rPr>
                <w:rFonts w:ascii="Times New Roman" w:hAnsi="Times New Roman"/>
                <w:bCs/>
                <w:sz w:val="24"/>
                <w:szCs w:val="24"/>
              </w:rPr>
              <w:t xml:space="preserve">through </w:t>
            </w:r>
            <w:r w:rsidR="00311AFE" w:rsidRPr="00311AFE">
              <w:rPr>
                <w:rFonts w:ascii="Times New Roman" w:hAnsi="Times New Roman"/>
                <w:bCs/>
                <w:sz w:val="24"/>
                <w:szCs w:val="24"/>
              </w:rPr>
              <w:t xml:space="preserve">cohesion policy </w:t>
            </w:r>
            <w:r w:rsidR="006F1B5A" w:rsidRPr="00311AFE">
              <w:rPr>
                <w:rFonts w:ascii="Times New Roman" w:hAnsi="Times New Roman"/>
                <w:bCs/>
                <w:sz w:val="24"/>
                <w:szCs w:val="24"/>
              </w:rPr>
              <w:t>fund</w:t>
            </w:r>
            <w:r w:rsidR="00740E32">
              <w:rPr>
                <w:rFonts w:ascii="Times New Roman" w:hAnsi="Times New Roman"/>
                <w:bCs/>
                <w:sz w:val="24"/>
                <w:szCs w:val="24"/>
              </w:rPr>
              <w:t>ing</w:t>
            </w:r>
            <w:r w:rsidR="006F1B5A" w:rsidRPr="00311AFE">
              <w:rPr>
                <w:rFonts w:ascii="Times New Roman" w:hAnsi="Times New Roman"/>
                <w:bCs/>
                <w:sz w:val="24"/>
                <w:szCs w:val="24"/>
              </w:rPr>
              <w:t xml:space="preserve"> </w:t>
            </w:r>
            <w:r w:rsidR="006F1B5A">
              <w:rPr>
                <w:rFonts w:ascii="Times New Roman" w:hAnsi="Times New Roman"/>
                <w:bCs/>
                <w:sz w:val="24"/>
                <w:szCs w:val="24"/>
              </w:rPr>
              <w:t>as well as</w:t>
            </w:r>
            <w:r w:rsidR="00C821A2">
              <w:rPr>
                <w:rFonts w:ascii="Times New Roman" w:hAnsi="Times New Roman"/>
                <w:bCs/>
                <w:sz w:val="24"/>
                <w:szCs w:val="24"/>
              </w:rPr>
              <w:t xml:space="preserve"> </w:t>
            </w:r>
            <w:r w:rsidR="00C112BC">
              <w:rPr>
                <w:rFonts w:ascii="Times New Roman" w:hAnsi="Times New Roman"/>
                <w:bCs/>
                <w:sz w:val="24"/>
                <w:szCs w:val="24"/>
              </w:rPr>
              <w:t>the preparation of</w:t>
            </w:r>
            <w:r w:rsidR="00C821A2">
              <w:rPr>
                <w:rFonts w:ascii="Times New Roman" w:hAnsi="Times New Roman"/>
                <w:bCs/>
                <w:sz w:val="24"/>
                <w:szCs w:val="24"/>
              </w:rPr>
              <w:t xml:space="preserve"> </w:t>
            </w:r>
            <w:r w:rsidR="00665EA9">
              <w:rPr>
                <w:rFonts w:ascii="Times New Roman" w:hAnsi="Times New Roman"/>
                <w:bCs/>
                <w:sz w:val="24"/>
                <w:szCs w:val="24"/>
              </w:rPr>
              <w:t>a revision of</w:t>
            </w:r>
            <w:r w:rsidR="00311AFE" w:rsidRPr="00311AFE">
              <w:rPr>
                <w:rFonts w:ascii="Times New Roman" w:hAnsi="Times New Roman"/>
                <w:bCs/>
                <w:sz w:val="24"/>
                <w:szCs w:val="24"/>
              </w:rPr>
              <w:t xml:space="preserve"> State aid rules and a pan-European investment platform for housing</w:t>
            </w:r>
            <w:r w:rsidR="00E11850">
              <w:rPr>
                <w:rFonts w:ascii="Times New Roman" w:hAnsi="Times New Roman"/>
                <w:bCs/>
                <w:sz w:val="24"/>
                <w:szCs w:val="24"/>
              </w:rPr>
              <w:t>)</w:t>
            </w:r>
            <w:r w:rsidR="00311AFE" w:rsidRPr="00311AFE">
              <w:rPr>
                <w:rFonts w:ascii="Times New Roman" w:hAnsi="Times New Roman"/>
                <w:bCs/>
                <w:sz w:val="24"/>
                <w:szCs w:val="24"/>
              </w:rPr>
              <w:t>.</w:t>
            </w:r>
            <w:r w:rsidR="00BB7F21">
              <w:rPr>
                <w:rFonts w:ascii="Times New Roman" w:hAnsi="Times New Roman"/>
                <w:bCs/>
                <w:sz w:val="24"/>
                <w:szCs w:val="24"/>
              </w:rPr>
              <w:t xml:space="preserve"> As regards essential services, the Commission published in</w:t>
            </w:r>
            <w:r w:rsidR="001066A7">
              <w:rPr>
                <w:rFonts w:ascii="Times New Roman" w:hAnsi="Times New Roman"/>
                <w:bCs/>
                <w:sz w:val="24"/>
                <w:szCs w:val="24"/>
              </w:rPr>
              <w:t> </w:t>
            </w:r>
            <w:r w:rsidR="00BB7F21">
              <w:rPr>
                <w:rFonts w:ascii="Times New Roman" w:hAnsi="Times New Roman"/>
                <w:bCs/>
                <w:sz w:val="24"/>
                <w:szCs w:val="24"/>
              </w:rPr>
              <w:t>2023 a report on access to the services covered by Principle 20 of the Pilla</w:t>
            </w:r>
            <w:r w:rsidR="00D60E28">
              <w:rPr>
                <w:rFonts w:ascii="Times New Roman" w:hAnsi="Times New Roman"/>
                <w:bCs/>
                <w:sz w:val="24"/>
                <w:szCs w:val="24"/>
              </w:rPr>
              <w:t xml:space="preserve">r. </w:t>
            </w:r>
            <w:r w:rsidR="0027010C">
              <w:rPr>
                <w:rFonts w:ascii="Times New Roman" w:hAnsi="Times New Roman"/>
                <w:bCs/>
                <w:sz w:val="24"/>
                <w:szCs w:val="24"/>
              </w:rPr>
              <w:t xml:space="preserve">This </w:t>
            </w:r>
            <w:r w:rsidR="00D60E28">
              <w:rPr>
                <w:rFonts w:ascii="Times New Roman" w:hAnsi="Times New Roman"/>
                <w:bCs/>
                <w:sz w:val="24"/>
                <w:szCs w:val="24"/>
              </w:rPr>
              <w:t xml:space="preserve">report </w:t>
            </w:r>
            <w:r w:rsidR="0027010C">
              <w:rPr>
                <w:rFonts w:ascii="Times New Roman" w:hAnsi="Times New Roman"/>
                <w:bCs/>
                <w:sz w:val="24"/>
                <w:szCs w:val="24"/>
              </w:rPr>
              <w:t xml:space="preserve">is in line with </w:t>
            </w:r>
            <w:r w:rsidR="00D60E28">
              <w:rPr>
                <w:rFonts w:ascii="Times New Roman" w:hAnsi="Times New Roman"/>
                <w:bCs/>
                <w:sz w:val="24"/>
                <w:szCs w:val="24"/>
              </w:rPr>
              <w:t xml:space="preserve">the EESC’s call to ensure that </w:t>
            </w:r>
            <w:r w:rsidR="00D60E28" w:rsidRPr="00D60E28">
              <w:rPr>
                <w:rFonts w:ascii="Times New Roman" w:hAnsi="Times New Roman"/>
                <w:bCs/>
                <w:sz w:val="24"/>
                <w:szCs w:val="24"/>
              </w:rPr>
              <w:t xml:space="preserve">non-digital services remain accessible </w:t>
            </w:r>
            <w:r w:rsidR="00EA5978" w:rsidRPr="00D60E28">
              <w:rPr>
                <w:rFonts w:ascii="Times New Roman" w:hAnsi="Times New Roman"/>
                <w:bCs/>
                <w:sz w:val="24"/>
                <w:szCs w:val="24"/>
              </w:rPr>
              <w:t>to</w:t>
            </w:r>
            <w:r w:rsidR="00D60E28" w:rsidRPr="00D60E28">
              <w:rPr>
                <w:rFonts w:ascii="Times New Roman" w:hAnsi="Times New Roman"/>
                <w:bCs/>
                <w:sz w:val="24"/>
                <w:szCs w:val="24"/>
              </w:rPr>
              <w:t xml:space="preserve"> meet the needs of persons who face barriers to the use of online services</w:t>
            </w:r>
            <w:r w:rsidR="00D60E28">
              <w:rPr>
                <w:rFonts w:ascii="Times New Roman" w:hAnsi="Times New Roman"/>
                <w:bCs/>
                <w:sz w:val="24"/>
                <w:szCs w:val="24"/>
              </w:rPr>
              <w:t xml:space="preserve">. </w:t>
            </w:r>
            <w:r w:rsidR="00EA5978">
              <w:rPr>
                <w:rFonts w:ascii="Times New Roman" w:hAnsi="Times New Roman"/>
                <w:bCs/>
                <w:sz w:val="24"/>
                <w:szCs w:val="24"/>
              </w:rPr>
              <w:t>Furthermore,</w:t>
            </w:r>
            <w:r w:rsidR="00D60E28">
              <w:rPr>
                <w:rFonts w:ascii="Times New Roman" w:hAnsi="Times New Roman"/>
                <w:bCs/>
                <w:sz w:val="24"/>
                <w:szCs w:val="24"/>
              </w:rPr>
              <w:t xml:space="preserve"> the AI Act</w:t>
            </w:r>
            <w:r w:rsidR="00AC013F">
              <w:rPr>
                <w:rStyle w:val="FootnoteReference"/>
                <w:rFonts w:ascii="Times New Roman" w:hAnsi="Times New Roman"/>
                <w:bCs/>
                <w:szCs w:val="24"/>
              </w:rPr>
              <w:footnoteReference w:id="11"/>
            </w:r>
            <w:r w:rsidR="00D60E28">
              <w:rPr>
                <w:rFonts w:ascii="Times New Roman" w:hAnsi="Times New Roman"/>
                <w:bCs/>
                <w:sz w:val="24"/>
                <w:szCs w:val="24"/>
              </w:rPr>
              <w:t xml:space="preserve"> </w:t>
            </w:r>
            <w:r w:rsidR="00D60E28" w:rsidRPr="004A717B">
              <w:rPr>
                <w:rFonts w:ascii="Times New Roman" w:hAnsi="Times New Roman"/>
                <w:bCs/>
                <w:sz w:val="24"/>
                <w:szCs w:val="24"/>
              </w:rPr>
              <w:t xml:space="preserve">establishes safeguards to tackle </w:t>
            </w:r>
            <w:r w:rsidR="00E11850" w:rsidRPr="004A717B">
              <w:rPr>
                <w:rFonts w:ascii="Times New Roman" w:hAnsi="Times New Roman"/>
                <w:bCs/>
                <w:sz w:val="24"/>
                <w:szCs w:val="24"/>
              </w:rPr>
              <w:t xml:space="preserve">discrimination </w:t>
            </w:r>
            <w:r w:rsidR="00D60E28" w:rsidRPr="004A717B">
              <w:rPr>
                <w:rFonts w:ascii="Times New Roman" w:hAnsi="Times New Roman"/>
                <w:bCs/>
                <w:sz w:val="24"/>
                <w:szCs w:val="24"/>
              </w:rPr>
              <w:t xml:space="preserve">risks, including for systems used in the access to services and benefits. As regards </w:t>
            </w:r>
            <w:r w:rsidR="00EA5978" w:rsidRPr="004A717B">
              <w:rPr>
                <w:rFonts w:ascii="Times New Roman" w:hAnsi="Times New Roman"/>
                <w:bCs/>
                <w:sz w:val="24"/>
                <w:szCs w:val="24"/>
              </w:rPr>
              <w:t xml:space="preserve">the </w:t>
            </w:r>
            <w:r w:rsidR="00D60E28" w:rsidRPr="004A717B">
              <w:rPr>
                <w:rFonts w:ascii="Times New Roman" w:hAnsi="Times New Roman"/>
                <w:bCs/>
                <w:sz w:val="24"/>
                <w:szCs w:val="24"/>
              </w:rPr>
              <w:t xml:space="preserve">green transition, </w:t>
            </w:r>
            <w:r w:rsidR="004E62CB">
              <w:rPr>
                <w:rFonts w:ascii="Times New Roman" w:hAnsi="Times New Roman"/>
                <w:bCs/>
                <w:sz w:val="24"/>
                <w:szCs w:val="24"/>
              </w:rPr>
              <w:t>the</w:t>
            </w:r>
            <w:r w:rsidR="00D60E28" w:rsidRPr="004A717B">
              <w:rPr>
                <w:rFonts w:ascii="Times New Roman" w:hAnsi="Times New Roman"/>
                <w:bCs/>
                <w:sz w:val="24"/>
                <w:szCs w:val="24"/>
              </w:rPr>
              <w:t xml:space="preserve"> Member States </w:t>
            </w:r>
            <w:r w:rsidR="004E62CB">
              <w:rPr>
                <w:rFonts w:ascii="Times New Roman" w:hAnsi="Times New Roman"/>
                <w:bCs/>
                <w:sz w:val="24"/>
                <w:szCs w:val="24"/>
              </w:rPr>
              <w:t>and the Commission</w:t>
            </w:r>
            <w:r w:rsidR="009B29D8" w:rsidRPr="004A717B">
              <w:rPr>
                <w:rFonts w:ascii="Times New Roman" w:hAnsi="Times New Roman"/>
                <w:bCs/>
                <w:sz w:val="24"/>
                <w:szCs w:val="24"/>
              </w:rPr>
              <w:t xml:space="preserve"> </w:t>
            </w:r>
            <w:r w:rsidR="00BB7F21" w:rsidRPr="004A717B">
              <w:rPr>
                <w:rFonts w:ascii="Times New Roman" w:hAnsi="Times New Roman"/>
                <w:bCs/>
                <w:sz w:val="24"/>
                <w:szCs w:val="24"/>
              </w:rPr>
              <w:t>implement the Social Climate Fund</w:t>
            </w:r>
            <w:r w:rsidR="00AC013F">
              <w:rPr>
                <w:rStyle w:val="FootnoteReference"/>
                <w:rFonts w:ascii="Times New Roman" w:hAnsi="Times New Roman"/>
                <w:bCs/>
                <w:szCs w:val="24"/>
              </w:rPr>
              <w:footnoteReference w:id="12"/>
            </w:r>
            <w:r w:rsidR="00665EA9">
              <w:rPr>
                <w:rFonts w:ascii="Times New Roman" w:hAnsi="Times New Roman"/>
                <w:bCs/>
                <w:sz w:val="24"/>
                <w:szCs w:val="24"/>
              </w:rPr>
              <w:t xml:space="preserve">, which </w:t>
            </w:r>
            <w:r w:rsidR="00BB7F21" w:rsidRPr="004A717B">
              <w:rPr>
                <w:rFonts w:ascii="Times New Roman" w:hAnsi="Times New Roman"/>
                <w:bCs/>
                <w:sz w:val="24"/>
                <w:szCs w:val="24"/>
              </w:rPr>
              <w:t xml:space="preserve">plays a crucial role in combating energy poverty and transport poverty </w:t>
            </w:r>
            <w:r w:rsidR="00665EA9">
              <w:rPr>
                <w:rFonts w:ascii="Times New Roman" w:hAnsi="Times New Roman"/>
                <w:bCs/>
                <w:sz w:val="24"/>
                <w:szCs w:val="24"/>
              </w:rPr>
              <w:t>faced by</w:t>
            </w:r>
            <w:r w:rsidR="00BB7F21" w:rsidRPr="004A717B">
              <w:rPr>
                <w:rFonts w:ascii="Times New Roman" w:hAnsi="Times New Roman"/>
                <w:bCs/>
                <w:sz w:val="24"/>
                <w:szCs w:val="24"/>
              </w:rPr>
              <w:t xml:space="preserve"> vulnerable </w:t>
            </w:r>
            <w:r w:rsidR="00EA5978" w:rsidRPr="004A717B">
              <w:rPr>
                <w:rFonts w:ascii="Times New Roman" w:hAnsi="Times New Roman"/>
                <w:bCs/>
                <w:sz w:val="24"/>
                <w:szCs w:val="24"/>
              </w:rPr>
              <w:t>people and</w:t>
            </w:r>
            <w:r w:rsidR="00BB7F21" w:rsidRPr="004A717B">
              <w:rPr>
                <w:rFonts w:ascii="Times New Roman" w:hAnsi="Times New Roman"/>
                <w:bCs/>
                <w:sz w:val="24"/>
                <w:szCs w:val="24"/>
              </w:rPr>
              <w:t xml:space="preserve"> micro-enterprises</w:t>
            </w:r>
            <w:r w:rsidR="00665EA9">
              <w:rPr>
                <w:rFonts w:ascii="Times New Roman" w:hAnsi="Times New Roman"/>
                <w:bCs/>
                <w:sz w:val="24"/>
                <w:szCs w:val="24"/>
              </w:rPr>
              <w:t xml:space="preserve"> in the EU</w:t>
            </w:r>
            <w:r w:rsidR="00BB7F21" w:rsidRPr="004A717B">
              <w:rPr>
                <w:rFonts w:ascii="Times New Roman" w:hAnsi="Times New Roman"/>
                <w:bCs/>
                <w:sz w:val="24"/>
                <w:szCs w:val="24"/>
              </w:rPr>
              <w:t xml:space="preserve">. </w:t>
            </w:r>
            <w:r w:rsidR="0007746F">
              <w:rPr>
                <w:rFonts w:ascii="Times New Roman" w:hAnsi="Times New Roman"/>
                <w:bCs/>
                <w:sz w:val="24"/>
                <w:szCs w:val="24"/>
              </w:rPr>
              <w:t xml:space="preserve">Lastly, the Commission would like to draw attention </w:t>
            </w:r>
            <w:r w:rsidR="0027010C">
              <w:rPr>
                <w:rFonts w:ascii="Times New Roman" w:hAnsi="Times New Roman"/>
                <w:bCs/>
                <w:sz w:val="24"/>
                <w:szCs w:val="24"/>
              </w:rPr>
              <w:t xml:space="preserve">to </w:t>
            </w:r>
            <w:r w:rsidR="0007746F">
              <w:rPr>
                <w:rFonts w:ascii="Times New Roman" w:hAnsi="Times New Roman"/>
                <w:bCs/>
                <w:sz w:val="24"/>
                <w:szCs w:val="24"/>
              </w:rPr>
              <w:t>several legislative instruments</w:t>
            </w:r>
            <w:r w:rsidR="00AA6B79">
              <w:rPr>
                <w:rFonts w:ascii="Times New Roman" w:hAnsi="Times New Roman"/>
                <w:bCs/>
                <w:sz w:val="24"/>
                <w:szCs w:val="24"/>
              </w:rPr>
              <w:t xml:space="preserve"> which include provisions</w:t>
            </w:r>
            <w:r w:rsidR="0007746F">
              <w:rPr>
                <w:rFonts w:ascii="Times New Roman" w:hAnsi="Times New Roman"/>
                <w:bCs/>
                <w:sz w:val="24"/>
                <w:szCs w:val="24"/>
              </w:rPr>
              <w:t xml:space="preserve"> aim</w:t>
            </w:r>
            <w:r w:rsidR="00AA6B79">
              <w:rPr>
                <w:rFonts w:ascii="Times New Roman" w:hAnsi="Times New Roman"/>
                <w:bCs/>
                <w:sz w:val="24"/>
                <w:szCs w:val="24"/>
              </w:rPr>
              <w:t>ing</w:t>
            </w:r>
            <w:r w:rsidR="0007746F">
              <w:rPr>
                <w:rFonts w:ascii="Times New Roman" w:hAnsi="Times New Roman"/>
                <w:bCs/>
                <w:sz w:val="24"/>
                <w:szCs w:val="24"/>
              </w:rPr>
              <w:t xml:space="preserve"> to lower access barriers to legal aid</w:t>
            </w:r>
            <w:r w:rsidR="00E72A5E">
              <w:rPr>
                <w:rFonts w:ascii="Times New Roman" w:hAnsi="Times New Roman"/>
                <w:bCs/>
                <w:sz w:val="24"/>
                <w:szCs w:val="24"/>
              </w:rPr>
              <w:t>. This includes provisions in</w:t>
            </w:r>
            <w:r w:rsidR="00665EA9">
              <w:rPr>
                <w:rFonts w:ascii="Times New Roman" w:hAnsi="Times New Roman"/>
                <w:bCs/>
                <w:sz w:val="24"/>
                <w:szCs w:val="24"/>
              </w:rPr>
              <w:t xml:space="preserve"> </w:t>
            </w:r>
            <w:r w:rsidR="00AA6B79">
              <w:rPr>
                <w:rFonts w:ascii="Times New Roman" w:hAnsi="Times New Roman"/>
                <w:bCs/>
                <w:sz w:val="24"/>
                <w:szCs w:val="24"/>
              </w:rPr>
              <w:t>Directive 2016/1919</w:t>
            </w:r>
            <w:r w:rsidR="00AC013F">
              <w:rPr>
                <w:rStyle w:val="FootnoteReference"/>
                <w:rFonts w:ascii="Times New Roman" w:hAnsi="Times New Roman"/>
                <w:bCs/>
                <w:szCs w:val="24"/>
              </w:rPr>
              <w:footnoteReference w:id="13"/>
            </w:r>
            <w:r w:rsidR="00E72A5E">
              <w:rPr>
                <w:rFonts w:ascii="Times New Roman" w:hAnsi="Times New Roman"/>
                <w:bCs/>
                <w:sz w:val="24"/>
                <w:szCs w:val="24"/>
              </w:rPr>
              <w:t xml:space="preserve">, which set </w:t>
            </w:r>
            <w:r w:rsidR="00E72A5E" w:rsidRPr="00E72A5E">
              <w:rPr>
                <w:rFonts w:ascii="Times New Roman" w:hAnsi="Times New Roman"/>
                <w:bCs/>
                <w:sz w:val="24"/>
                <w:szCs w:val="24"/>
              </w:rPr>
              <w:t>that Member States shall ensure that suspects and accused persons who lack sufficient resources to pay for the assistance of a lawyer have the right to legal aid when the interests of justice so require</w:t>
            </w:r>
            <w:r w:rsidR="004544F0">
              <w:rPr>
                <w:rFonts w:ascii="Times New Roman" w:hAnsi="Times New Roman"/>
                <w:bCs/>
                <w:sz w:val="24"/>
                <w:szCs w:val="24"/>
              </w:rPr>
              <w:t xml:space="preserve">. </w:t>
            </w:r>
            <w:proofErr w:type="spellStart"/>
            <w:r w:rsidR="004544F0">
              <w:rPr>
                <w:rFonts w:ascii="Times New Roman" w:hAnsi="Times New Roman"/>
                <w:bCs/>
                <w:sz w:val="24"/>
                <w:szCs w:val="24"/>
              </w:rPr>
              <w:t>Futhermore</w:t>
            </w:r>
            <w:proofErr w:type="spellEnd"/>
            <w:r w:rsidR="004544F0">
              <w:rPr>
                <w:rFonts w:ascii="Times New Roman" w:hAnsi="Times New Roman"/>
                <w:bCs/>
                <w:sz w:val="24"/>
                <w:szCs w:val="24"/>
              </w:rPr>
              <w:t>, provisions</w:t>
            </w:r>
            <w:r w:rsidR="00E72A5E">
              <w:rPr>
                <w:rFonts w:ascii="Times New Roman" w:hAnsi="Times New Roman"/>
                <w:bCs/>
                <w:sz w:val="24"/>
                <w:szCs w:val="24"/>
              </w:rPr>
              <w:t xml:space="preserve"> in</w:t>
            </w:r>
            <w:r w:rsidR="00E72A5E" w:rsidRPr="00E72A5E">
              <w:rPr>
                <w:rFonts w:ascii="Times New Roman" w:hAnsi="Times New Roman"/>
                <w:bCs/>
                <w:sz w:val="24"/>
                <w:szCs w:val="24"/>
              </w:rPr>
              <w:t xml:space="preserve"> Council Directive 2003/8/EC</w:t>
            </w:r>
            <w:r w:rsidR="00E72A5E">
              <w:rPr>
                <w:rStyle w:val="FootnoteReference"/>
                <w:rFonts w:ascii="Times New Roman" w:hAnsi="Times New Roman"/>
                <w:bCs/>
                <w:szCs w:val="24"/>
              </w:rPr>
              <w:footnoteReference w:id="14"/>
            </w:r>
            <w:r w:rsidR="00E72A5E">
              <w:rPr>
                <w:rFonts w:ascii="Times New Roman" w:hAnsi="Times New Roman"/>
                <w:bCs/>
                <w:sz w:val="24"/>
                <w:szCs w:val="24"/>
              </w:rPr>
              <w:t xml:space="preserve">, </w:t>
            </w:r>
            <w:r w:rsidR="00E72A5E" w:rsidRPr="00E72A5E">
              <w:rPr>
                <w:rFonts w:ascii="Times New Roman" w:hAnsi="Times New Roman"/>
                <w:bCs/>
                <w:sz w:val="24"/>
                <w:szCs w:val="24"/>
              </w:rPr>
              <w:t>aim to improve access to justice in cross-border disputes by establishing minimum common rules relating to legal aid for such disputes</w:t>
            </w:r>
            <w:r w:rsidR="004544F0">
              <w:rPr>
                <w:rFonts w:ascii="Times New Roman" w:hAnsi="Times New Roman"/>
                <w:bCs/>
                <w:sz w:val="24"/>
                <w:szCs w:val="24"/>
              </w:rPr>
              <w:t>.  In addition, Council</w:t>
            </w:r>
            <w:r w:rsidR="00E72A5E" w:rsidRPr="00E72A5E">
              <w:rPr>
                <w:rFonts w:ascii="Times New Roman" w:hAnsi="Times New Roman"/>
                <w:bCs/>
                <w:sz w:val="24"/>
                <w:szCs w:val="24"/>
              </w:rPr>
              <w:t xml:space="preserve"> Regulation (EC) No 4/2009</w:t>
            </w:r>
            <w:r w:rsidR="00E72A5E">
              <w:rPr>
                <w:rStyle w:val="FootnoteReference"/>
                <w:rFonts w:ascii="Times New Roman" w:hAnsi="Times New Roman"/>
                <w:bCs/>
                <w:szCs w:val="24"/>
              </w:rPr>
              <w:footnoteReference w:id="15"/>
            </w:r>
            <w:r w:rsidR="00E72A5E" w:rsidRPr="00E72A5E">
              <w:rPr>
                <w:rFonts w:ascii="Times New Roman" w:hAnsi="Times New Roman"/>
                <w:bCs/>
                <w:sz w:val="24"/>
                <w:szCs w:val="24"/>
              </w:rPr>
              <w:t xml:space="preserve"> on jurisdiction, applicable law, recognition and enforcement of decisions and cooperation in matters relating to</w:t>
            </w:r>
            <w:r w:rsidR="00E72A5E">
              <w:t xml:space="preserve"> </w:t>
            </w:r>
            <w:r w:rsidR="00E72A5E" w:rsidRPr="00E72A5E">
              <w:rPr>
                <w:rFonts w:ascii="Times New Roman" w:hAnsi="Times New Roman"/>
                <w:bCs/>
                <w:sz w:val="24"/>
                <w:szCs w:val="24"/>
              </w:rPr>
              <w:t>maintenance obligations</w:t>
            </w:r>
            <w:r w:rsidR="00E72A5E">
              <w:rPr>
                <w:rFonts w:ascii="Times New Roman" w:hAnsi="Times New Roman"/>
                <w:bCs/>
                <w:sz w:val="24"/>
                <w:szCs w:val="24"/>
              </w:rPr>
              <w:t xml:space="preserve">, </w:t>
            </w:r>
            <w:r w:rsidR="00E72A5E" w:rsidRPr="00E72A5E">
              <w:rPr>
                <w:rFonts w:ascii="Times New Roman" w:hAnsi="Times New Roman"/>
                <w:bCs/>
                <w:sz w:val="24"/>
                <w:szCs w:val="24"/>
              </w:rPr>
              <w:t>envisages the obligation of Member States to provide legal aid to the parties who are involved in a dispute covered by this Regulation</w:t>
            </w:r>
            <w:r w:rsidR="00E72A5E">
              <w:rPr>
                <w:rFonts w:ascii="Times New Roman" w:hAnsi="Times New Roman"/>
                <w:bCs/>
                <w:sz w:val="24"/>
                <w:szCs w:val="24"/>
              </w:rPr>
              <w:t>.</w:t>
            </w:r>
          </w:p>
          <w:p w14:paraId="1A1C677C" w14:textId="2786386B" w:rsidR="006E7F64" w:rsidRDefault="00A4660F" w:rsidP="004757E3">
            <w:pPr>
              <w:spacing w:before="120" w:after="120"/>
              <w:jc w:val="both"/>
              <w:rPr>
                <w:rFonts w:ascii="Times New Roman" w:hAnsi="Times New Roman"/>
                <w:bCs/>
                <w:sz w:val="24"/>
                <w:szCs w:val="24"/>
              </w:rPr>
            </w:pPr>
            <w:r w:rsidRPr="004A717B">
              <w:rPr>
                <w:rFonts w:ascii="Times New Roman" w:hAnsi="Times New Roman"/>
                <w:b/>
                <w:sz w:val="24"/>
                <w:szCs w:val="24"/>
              </w:rPr>
              <w:t xml:space="preserve">1.6 and other paragraphs on funding </w:t>
            </w:r>
            <w:r w:rsidRPr="004A717B">
              <w:rPr>
                <w:rFonts w:ascii="Times New Roman" w:hAnsi="Times New Roman"/>
                <w:bCs/>
                <w:sz w:val="24"/>
                <w:szCs w:val="24"/>
              </w:rPr>
              <w:t xml:space="preserve">– </w:t>
            </w:r>
            <w:r w:rsidR="00665EA9">
              <w:rPr>
                <w:rFonts w:ascii="Times New Roman" w:hAnsi="Times New Roman"/>
                <w:bCs/>
                <w:sz w:val="24"/>
                <w:szCs w:val="24"/>
              </w:rPr>
              <w:t>Efficiently f</w:t>
            </w:r>
            <w:r w:rsidR="00345EFE" w:rsidRPr="004A717B">
              <w:rPr>
                <w:rFonts w:ascii="Times New Roman" w:hAnsi="Times New Roman"/>
                <w:bCs/>
                <w:sz w:val="24"/>
                <w:szCs w:val="24"/>
              </w:rPr>
              <w:t xml:space="preserve">inancing the fight against poverty yields </w:t>
            </w:r>
            <w:r w:rsidR="004544F0">
              <w:rPr>
                <w:rFonts w:ascii="Times New Roman" w:hAnsi="Times New Roman"/>
                <w:bCs/>
                <w:sz w:val="24"/>
                <w:szCs w:val="24"/>
              </w:rPr>
              <w:t xml:space="preserve">both </w:t>
            </w:r>
            <w:r w:rsidR="00345EFE" w:rsidRPr="004A717B">
              <w:rPr>
                <w:rFonts w:ascii="Times New Roman" w:hAnsi="Times New Roman"/>
                <w:bCs/>
                <w:sz w:val="24"/>
                <w:szCs w:val="24"/>
              </w:rPr>
              <w:t xml:space="preserve">economic </w:t>
            </w:r>
            <w:r w:rsidR="0027010C">
              <w:rPr>
                <w:rFonts w:ascii="Times New Roman" w:hAnsi="Times New Roman"/>
                <w:bCs/>
                <w:sz w:val="24"/>
                <w:szCs w:val="24"/>
              </w:rPr>
              <w:t xml:space="preserve">returns </w:t>
            </w:r>
            <w:r w:rsidR="00345EFE" w:rsidRPr="004A717B">
              <w:rPr>
                <w:rFonts w:ascii="Times New Roman" w:hAnsi="Times New Roman"/>
                <w:bCs/>
                <w:sz w:val="24"/>
                <w:szCs w:val="24"/>
              </w:rPr>
              <w:t xml:space="preserve">(e.g. by </w:t>
            </w:r>
            <w:proofErr w:type="spellStart"/>
            <w:r w:rsidR="00740E32">
              <w:rPr>
                <w:rFonts w:ascii="Times New Roman" w:hAnsi="Times New Roman"/>
                <w:bCs/>
                <w:sz w:val="24"/>
                <w:szCs w:val="24"/>
              </w:rPr>
              <w:t>labour</w:t>
            </w:r>
            <w:proofErr w:type="spellEnd"/>
            <w:r w:rsidR="00740E32">
              <w:rPr>
                <w:rFonts w:ascii="Times New Roman" w:hAnsi="Times New Roman"/>
                <w:bCs/>
                <w:sz w:val="24"/>
                <w:szCs w:val="24"/>
              </w:rPr>
              <w:t xml:space="preserve"> market activation</w:t>
            </w:r>
            <w:r w:rsidR="00345EFE" w:rsidRPr="004A717B">
              <w:rPr>
                <w:rFonts w:ascii="Times New Roman" w:hAnsi="Times New Roman"/>
                <w:bCs/>
                <w:sz w:val="24"/>
                <w:szCs w:val="24"/>
              </w:rPr>
              <w:t>) and democratic returns (</w:t>
            </w:r>
            <w:r w:rsidR="004544F0" w:rsidRPr="004544F0">
              <w:rPr>
                <w:rFonts w:ascii="Times New Roman" w:hAnsi="Times New Roman"/>
                <w:bCs/>
                <w:sz w:val="24"/>
                <w:szCs w:val="24"/>
              </w:rPr>
              <w:t>by fostering more cohesive and resilient societies</w:t>
            </w:r>
            <w:r w:rsidR="00345EFE" w:rsidRPr="004A717B">
              <w:rPr>
                <w:rFonts w:ascii="Times New Roman" w:hAnsi="Times New Roman"/>
                <w:bCs/>
                <w:sz w:val="24"/>
                <w:szCs w:val="24"/>
              </w:rPr>
              <w:t xml:space="preserve">). In line with their competences, the bulk of </w:t>
            </w:r>
            <w:r w:rsidR="004E62CB">
              <w:rPr>
                <w:rFonts w:ascii="Times New Roman" w:hAnsi="Times New Roman"/>
                <w:bCs/>
                <w:sz w:val="24"/>
                <w:szCs w:val="24"/>
              </w:rPr>
              <w:t>the financing</w:t>
            </w:r>
            <w:r w:rsidR="00345EFE" w:rsidRPr="004A717B">
              <w:rPr>
                <w:rFonts w:ascii="Times New Roman" w:hAnsi="Times New Roman"/>
                <w:bCs/>
                <w:sz w:val="24"/>
                <w:szCs w:val="24"/>
              </w:rPr>
              <w:t xml:space="preserve"> come</w:t>
            </w:r>
            <w:r w:rsidR="00740E32">
              <w:rPr>
                <w:rFonts w:ascii="Times New Roman" w:hAnsi="Times New Roman"/>
                <w:bCs/>
                <w:sz w:val="24"/>
                <w:szCs w:val="24"/>
              </w:rPr>
              <w:t>s</w:t>
            </w:r>
            <w:r w:rsidR="00345EFE" w:rsidRPr="004A717B">
              <w:rPr>
                <w:rFonts w:ascii="Times New Roman" w:hAnsi="Times New Roman"/>
                <w:bCs/>
                <w:sz w:val="24"/>
                <w:szCs w:val="24"/>
              </w:rPr>
              <w:t xml:space="preserve"> from Member States’ budget</w:t>
            </w:r>
            <w:r w:rsidR="00740E32">
              <w:rPr>
                <w:rFonts w:ascii="Times New Roman" w:hAnsi="Times New Roman"/>
                <w:bCs/>
                <w:sz w:val="24"/>
                <w:szCs w:val="24"/>
              </w:rPr>
              <w:t>s</w:t>
            </w:r>
            <w:r w:rsidR="00345EFE" w:rsidRPr="004A717B">
              <w:rPr>
                <w:rFonts w:ascii="Times New Roman" w:hAnsi="Times New Roman"/>
                <w:bCs/>
                <w:sz w:val="24"/>
                <w:szCs w:val="24"/>
              </w:rPr>
              <w:t xml:space="preserve">, </w:t>
            </w:r>
            <w:r w:rsidR="00740E32">
              <w:rPr>
                <w:rFonts w:ascii="Times New Roman" w:hAnsi="Times New Roman"/>
                <w:bCs/>
                <w:sz w:val="24"/>
                <w:szCs w:val="24"/>
              </w:rPr>
              <w:t>taking into account</w:t>
            </w:r>
            <w:r w:rsidR="00345EFE" w:rsidRPr="004A717B">
              <w:rPr>
                <w:rFonts w:ascii="Times New Roman" w:hAnsi="Times New Roman"/>
                <w:bCs/>
                <w:sz w:val="24"/>
                <w:szCs w:val="24"/>
              </w:rPr>
              <w:t xml:space="preserve"> the new EU Economic Governance Framework</w:t>
            </w:r>
            <w:r w:rsidR="006C321A">
              <w:rPr>
                <w:rFonts w:ascii="Times New Roman" w:hAnsi="Times New Roman"/>
                <w:bCs/>
                <w:sz w:val="24"/>
                <w:szCs w:val="24"/>
              </w:rPr>
              <w:t>, balancing</w:t>
            </w:r>
            <w:r w:rsidR="00C1690D" w:rsidRPr="004A717B">
              <w:rPr>
                <w:rFonts w:ascii="Times New Roman" w:hAnsi="Times New Roman"/>
                <w:bCs/>
                <w:sz w:val="24"/>
                <w:szCs w:val="24"/>
              </w:rPr>
              <w:t xml:space="preserve"> sound public finances with reforms and investments</w:t>
            </w:r>
            <w:r w:rsidR="0007746F">
              <w:rPr>
                <w:rFonts w:ascii="Times New Roman" w:hAnsi="Times New Roman"/>
                <w:bCs/>
                <w:sz w:val="24"/>
                <w:szCs w:val="24"/>
              </w:rPr>
              <w:t xml:space="preserve"> </w:t>
            </w:r>
            <w:r w:rsidR="00EA5978" w:rsidRPr="004A717B">
              <w:rPr>
                <w:rFonts w:ascii="Times New Roman" w:hAnsi="Times New Roman"/>
                <w:bCs/>
                <w:sz w:val="24"/>
                <w:szCs w:val="24"/>
              </w:rPr>
              <w:t>in favor of</w:t>
            </w:r>
            <w:r w:rsidR="00C1690D" w:rsidRPr="004A717B">
              <w:rPr>
                <w:rFonts w:ascii="Times New Roman" w:hAnsi="Times New Roman"/>
                <w:bCs/>
                <w:sz w:val="24"/>
                <w:szCs w:val="24"/>
              </w:rPr>
              <w:t xml:space="preserve"> </w:t>
            </w:r>
            <w:r w:rsidR="00C1690D" w:rsidRPr="004A717B">
              <w:rPr>
                <w:rFonts w:ascii="Times New Roman" w:hAnsi="Times New Roman"/>
                <w:bCs/>
                <w:sz w:val="24"/>
                <w:szCs w:val="24"/>
                <w:lang w:val="en-GB"/>
              </w:rPr>
              <w:t>sustainable and inclusive growth and common EU priorities, including the European Pillar of Social Rights.</w:t>
            </w:r>
            <w:r w:rsidR="007B60A3" w:rsidRPr="004A717B">
              <w:rPr>
                <w:rFonts w:ascii="Times New Roman" w:hAnsi="Times New Roman"/>
                <w:bCs/>
                <w:sz w:val="24"/>
                <w:szCs w:val="24"/>
                <w:lang w:val="en-GB"/>
              </w:rPr>
              <w:t xml:space="preserve"> </w:t>
            </w:r>
            <w:r w:rsidR="00A360E2" w:rsidRPr="004A717B">
              <w:rPr>
                <w:rFonts w:ascii="Times New Roman" w:hAnsi="Times New Roman"/>
                <w:bCs/>
                <w:sz w:val="24"/>
                <w:szCs w:val="24"/>
                <w:lang w:val="en-GB"/>
              </w:rPr>
              <w:t>T</w:t>
            </w:r>
            <w:r w:rsidR="00AA671A" w:rsidRPr="004A717B">
              <w:rPr>
                <w:rFonts w:ascii="Times New Roman" w:hAnsi="Times New Roman"/>
                <w:bCs/>
                <w:sz w:val="24"/>
                <w:szCs w:val="24"/>
                <w:lang w:val="en-GB"/>
              </w:rPr>
              <w:t>hrough the promotion of distributional impact assessments</w:t>
            </w:r>
            <w:r w:rsidR="00AC013F">
              <w:rPr>
                <w:rStyle w:val="FootnoteReference"/>
                <w:rFonts w:ascii="Times New Roman" w:hAnsi="Times New Roman"/>
                <w:bCs/>
                <w:szCs w:val="24"/>
                <w:lang w:val="en-GB"/>
              </w:rPr>
              <w:footnoteReference w:id="16"/>
            </w:r>
            <w:r w:rsidR="00AA671A" w:rsidRPr="004A717B">
              <w:rPr>
                <w:rFonts w:ascii="Times New Roman" w:hAnsi="Times New Roman"/>
                <w:bCs/>
                <w:sz w:val="24"/>
                <w:szCs w:val="24"/>
                <w:lang w:val="en-GB"/>
              </w:rPr>
              <w:t xml:space="preserve">, the Commission </w:t>
            </w:r>
            <w:r w:rsidR="00A360E2" w:rsidRPr="004A717B">
              <w:rPr>
                <w:rFonts w:ascii="Times New Roman" w:hAnsi="Times New Roman"/>
                <w:bCs/>
                <w:sz w:val="24"/>
                <w:szCs w:val="24"/>
                <w:lang w:val="en-GB"/>
              </w:rPr>
              <w:t xml:space="preserve">also </w:t>
            </w:r>
            <w:r w:rsidR="00AA671A" w:rsidRPr="004A717B">
              <w:rPr>
                <w:rFonts w:ascii="Times New Roman" w:hAnsi="Times New Roman"/>
                <w:bCs/>
                <w:sz w:val="24"/>
                <w:szCs w:val="24"/>
                <w:lang w:val="en-GB"/>
              </w:rPr>
              <w:t xml:space="preserve">supports efforts to promote </w:t>
            </w:r>
            <w:r w:rsidR="00740E32">
              <w:rPr>
                <w:rFonts w:ascii="Times New Roman" w:hAnsi="Times New Roman"/>
                <w:bCs/>
                <w:sz w:val="24"/>
                <w:szCs w:val="24"/>
                <w:lang w:val="en-GB"/>
              </w:rPr>
              <w:t>evidence-based decision making</w:t>
            </w:r>
            <w:r w:rsidR="00AA671A" w:rsidRPr="004A717B">
              <w:rPr>
                <w:rFonts w:ascii="Times New Roman" w:hAnsi="Times New Roman"/>
                <w:bCs/>
                <w:sz w:val="24"/>
                <w:szCs w:val="24"/>
                <w:lang w:val="en-GB"/>
              </w:rPr>
              <w:t xml:space="preserve">, which </w:t>
            </w:r>
            <w:r w:rsidR="00A360E2" w:rsidRPr="004A717B">
              <w:rPr>
                <w:rFonts w:ascii="Times New Roman" w:hAnsi="Times New Roman"/>
                <w:bCs/>
                <w:sz w:val="24"/>
                <w:szCs w:val="24"/>
                <w:lang w:val="en-GB"/>
              </w:rPr>
              <w:t xml:space="preserve">constitute another </w:t>
            </w:r>
            <w:r w:rsidR="009175C7" w:rsidRPr="004A717B">
              <w:rPr>
                <w:rFonts w:ascii="Times New Roman" w:hAnsi="Times New Roman"/>
                <w:bCs/>
                <w:sz w:val="24"/>
                <w:szCs w:val="24"/>
                <w:lang w:val="en-GB"/>
              </w:rPr>
              <w:t xml:space="preserve">enabler to </w:t>
            </w:r>
            <w:r w:rsidR="00A360E2" w:rsidRPr="004A717B">
              <w:rPr>
                <w:rFonts w:ascii="Times New Roman" w:hAnsi="Times New Roman"/>
                <w:bCs/>
                <w:sz w:val="24"/>
                <w:szCs w:val="24"/>
                <w:lang w:val="en-GB"/>
              </w:rPr>
              <w:t>fight poverty in a</w:t>
            </w:r>
            <w:r w:rsidR="0007746F">
              <w:rPr>
                <w:rFonts w:ascii="Times New Roman" w:hAnsi="Times New Roman"/>
                <w:bCs/>
                <w:sz w:val="24"/>
                <w:szCs w:val="24"/>
                <w:lang w:val="en-GB"/>
              </w:rPr>
              <w:t xml:space="preserve"> </w:t>
            </w:r>
            <w:r w:rsidR="00A360E2" w:rsidRPr="004A717B">
              <w:rPr>
                <w:rFonts w:ascii="Times New Roman" w:hAnsi="Times New Roman"/>
                <w:bCs/>
                <w:sz w:val="24"/>
                <w:szCs w:val="24"/>
                <w:lang w:val="en-GB"/>
              </w:rPr>
              <w:t>sustainable manner. In complement to national budgets, the EU financially supports Member States in their fight against poverty and social exclusion, notably through the European Social Fund Plus (ESF+)</w:t>
            </w:r>
            <w:r w:rsidR="00AC013F">
              <w:rPr>
                <w:rStyle w:val="FootnoteReference"/>
                <w:rFonts w:ascii="Times New Roman" w:hAnsi="Times New Roman"/>
                <w:bCs/>
                <w:szCs w:val="24"/>
                <w:lang w:val="en-GB"/>
              </w:rPr>
              <w:footnoteReference w:id="17"/>
            </w:r>
            <w:r w:rsidR="00665EA9">
              <w:rPr>
                <w:rFonts w:ascii="Times New Roman" w:hAnsi="Times New Roman"/>
                <w:bCs/>
                <w:sz w:val="24"/>
                <w:szCs w:val="24"/>
                <w:lang w:val="en-GB"/>
              </w:rPr>
              <w:t xml:space="preserve">. </w:t>
            </w:r>
            <w:r w:rsidR="00740E32">
              <w:rPr>
                <w:rFonts w:ascii="Times New Roman" w:hAnsi="Times New Roman"/>
                <w:bCs/>
                <w:sz w:val="24"/>
                <w:szCs w:val="24"/>
                <w:lang w:val="en-GB"/>
              </w:rPr>
              <w:t>For example, no</w:t>
            </w:r>
            <w:r w:rsidR="00665EA9">
              <w:rPr>
                <w:rFonts w:ascii="Times New Roman" w:hAnsi="Times New Roman"/>
                <w:bCs/>
                <w:sz w:val="24"/>
                <w:szCs w:val="24"/>
                <w:lang w:val="en-GB"/>
              </w:rPr>
              <w:t xml:space="preserve">t less than </w:t>
            </w:r>
            <w:r w:rsidR="00816B37" w:rsidRPr="004A717B">
              <w:rPr>
                <w:rFonts w:ascii="Times New Roman" w:hAnsi="Times New Roman"/>
                <w:bCs/>
                <w:sz w:val="24"/>
                <w:szCs w:val="24"/>
              </w:rPr>
              <w:t xml:space="preserve">EUR 5.3 billion </w:t>
            </w:r>
            <w:r w:rsidR="009175C7" w:rsidRPr="004A717B">
              <w:rPr>
                <w:rFonts w:ascii="Times New Roman" w:hAnsi="Times New Roman"/>
                <w:bCs/>
                <w:sz w:val="24"/>
                <w:szCs w:val="24"/>
              </w:rPr>
              <w:t>are</w:t>
            </w:r>
            <w:r w:rsidR="00665EA9">
              <w:rPr>
                <w:rFonts w:ascii="Times New Roman" w:hAnsi="Times New Roman"/>
                <w:bCs/>
                <w:sz w:val="24"/>
                <w:szCs w:val="24"/>
              </w:rPr>
              <w:t xml:space="preserve"> </w:t>
            </w:r>
            <w:r w:rsidR="009175C7" w:rsidRPr="004A717B">
              <w:rPr>
                <w:rFonts w:ascii="Times New Roman" w:hAnsi="Times New Roman"/>
                <w:bCs/>
                <w:sz w:val="24"/>
                <w:szCs w:val="24"/>
              </w:rPr>
              <w:t>dedicated to</w:t>
            </w:r>
            <w:r w:rsidR="00816B37" w:rsidRPr="004A717B">
              <w:rPr>
                <w:rFonts w:ascii="Times New Roman" w:hAnsi="Times New Roman"/>
                <w:bCs/>
                <w:sz w:val="24"/>
                <w:szCs w:val="24"/>
              </w:rPr>
              <w:t xml:space="preserve"> the provision of basic food and material </w:t>
            </w:r>
            <w:r w:rsidR="00197922" w:rsidRPr="004A717B">
              <w:rPr>
                <w:rFonts w:ascii="Times New Roman" w:hAnsi="Times New Roman"/>
                <w:bCs/>
                <w:sz w:val="24"/>
                <w:szCs w:val="24"/>
              </w:rPr>
              <w:t>assistance</w:t>
            </w:r>
            <w:r w:rsidR="00816B37" w:rsidRPr="004A717B">
              <w:rPr>
                <w:rFonts w:ascii="Times New Roman" w:hAnsi="Times New Roman"/>
                <w:bCs/>
                <w:sz w:val="24"/>
                <w:szCs w:val="24"/>
              </w:rPr>
              <w:t xml:space="preserve"> to the most in need </w:t>
            </w:r>
            <w:r w:rsidR="009175C7" w:rsidRPr="004A717B">
              <w:rPr>
                <w:rFonts w:ascii="Times New Roman" w:hAnsi="Times New Roman"/>
                <w:bCs/>
                <w:sz w:val="24"/>
                <w:szCs w:val="24"/>
              </w:rPr>
              <w:t>in</w:t>
            </w:r>
            <w:r w:rsidR="00816B37" w:rsidRPr="004A717B">
              <w:rPr>
                <w:rFonts w:ascii="Times New Roman" w:hAnsi="Times New Roman"/>
                <w:bCs/>
                <w:sz w:val="24"/>
                <w:szCs w:val="24"/>
              </w:rPr>
              <w:t xml:space="preserve"> 2021-2027</w:t>
            </w:r>
            <w:r w:rsidR="004A717B" w:rsidRPr="004A717B">
              <w:rPr>
                <w:rFonts w:ascii="Times New Roman" w:hAnsi="Times New Roman"/>
                <w:bCs/>
                <w:sz w:val="24"/>
                <w:szCs w:val="24"/>
              </w:rPr>
              <w:t xml:space="preserve">. </w:t>
            </w:r>
            <w:r w:rsidR="00197922" w:rsidRPr="004A717B">
              <w:rPr>
                <w:rFonts w:ascii="Times New Roman" w:hAnsi="Times New Roman"/>
                <w:bCs/>
                <w:sz w:val="24"/>
                <w:szCs w:val="24"/>
              </w:rPr>
              <w:t xml:space="preserve">In the next Multiannual Financial Framework, the promotion of equal opportunities, social inclusion, and </w:t>
            </w:r>
            <w:r w:rsidR="00465423">
              <w:rPr>
                <w:rFonts w:ascii="Times New Roman" w:hAnsi="Times New Roman"/>
                <w:bCs/>
                <w:sz w:val="24"/>
                <w:szCs w:val="24"/>
              </w:rPr>
              <w:t xml:space="preserve">the </w:t>
            </w:r>
            <w:r w:rsidR="00197922" w:rsidRPr="004A717B">
              <w:rPr>
                <w:rFonts w:ascii="Times New Roman" w:hAnsi="Times New Roman"/>
                <w:bCs/>
                <w:sz w:val="24"/>
                <w:szCs w:val="24"/>
              </w:rPr>
              <w:t>fight</w:t>
            </w:r>
            <w:r w:rsidR="00465423">
              <w:rPr>
                <w:rFonts w:ascii="Times New Roman" w:hAnsi="Times New Roman"/>
                <w:bCs/>
                <w:sz w:val="24"/>
                <w:szCs w:val="24"/>
              </w:rPr>
              <w:t xml:space="preserve"> against</w:t>
            </w:r>
            <w:r w:rsidR="00197922" w:rsidRPr="004A717B">
              <w:rPr>
                <w:rFonts w:ascii="Times New Roman" w:hAnsi="Times New Roman"/>
                <w:bCs/>
                <w:sz w:val="24"/>
                <w:szCs w:val="24"/>
              </w:rPr>
              <w:t xml:space="preserve"> poverty will remain </w:t>
            </w:r>
            <w:r w:rsidR="009175C7" w:rsidRPr="004A717B">
              <w:rPr>
                <w:rFonts w:ascii="Times New Roman" w:hAnsi="Times New Roman"/>
                <w:bCs/>
                <w:sz w:val="24"/>
                <w:szCs w:val="24"/>
              </w:rPr>
              <w:t xml:space="preserve">among the </w:t>
            </w:r>
            <w:r w:rsidR="00665EA9">
              <w:rPr>
                <w:rFonts w:ascii="Times New Roman" w:hAnsi="Times New Roman"/>
                <w:bCs/>
                <w:sz w:val="24"/>
                <w:szCs w:val="24"/>
              </w:rPr>
              <w:t>key</w:t>
            </w:r>
            <w:r w:rsidR="00197922" w:rsidRPr="004A717B">
              <w:rPr>
                <w:rFonts w:ascii="Times New Roman" w:hAnsi="Times New Roman"/>
                <w:bCs/>
                <w:sz w:val="24"/>
                <w:szCs w:val="24"/>
              </w:rPr>
              <w:t xml:space="preserve"> objectives of </w:t>
            </w:r>
            <w:r w:rsidR="00B00692" w:rsidRPr="004A717B">
              <w:rPr>
                <w:rFonts w:ascii="Times New Roman" w:hAnsi="Times New Roman"/>
                <w:bCs/>
                <w:sz w:val="24"/>
                <w:szCs w:val="24"/>
              </w:rPr>
              <w:t xml:space="preserve">the </w:t>
            </w:r>
            <w:r w:rsidR="00665EA9">
              <w:rPr>
                <w:rFonts w:ascii="Times New Roman" w:hAnsi="Times New Roman"/>
                <w:bCs/>
                <w:sz w:val="24"/>
                <w:szCs w:val="24"/>
              </w:rPr>
              <w:t>ESF</w:t>
            </w:r>
            <w:r w:rsidR="00B00692" w:rsidRPr="004A717B">
              <w:rPr>
                <w:rFonts w:ascii="Times New Roman" w:hAnsi="Times New Roman"/>
                <w:bCs/>
                <w:sz w:val="24"/>
                <w:szCs w:val="24"/>
              </w:rPr>
              <w:t>.</w:t>
            </w:r>
            <w:r w:rsidR="00197922" w:rsidRPr="004A717B">
              <w:rPr>
                <w:rFonts w:ascii="Times New Roman" w:hAnsi="Times New Roman"/>
                <w:bCs/>
                <w:sz w:val="24"/>
                <w:szCs w:val="24"/>
              </w:rPr>
              <w:t xml:space="preserve"> </w:t>
            </w:r>
            <w:r w:rsidR="006E7F64">
              <w:rPr>
                <w:rFonts w:ascii="Times New Roman" w:hAnsi="Times New Roman"/>
                <w:bCs/>
                <w:sz w:val="24"/>
                <w:szCs w:val="24"/>
              </w:rPr>
              <w:t>T</w:t>
            </w:r>
            <w:r w:rsidR="00DE489E" w:rsidRPr="00DE489E">
              <w:rPr>
                <w:rFonts w:ascii="Times New Roman" w:hAnsi="Times New Roman"/>
                <w:bCs/>
                <w:sz w:val="24"/>
                <w:szCs w:val="24"/>
              </w:rPr>
              <w:t xml:space="preserve">he Commission supports efforts to promote fairer and more progressive tax systems. </w:t>
            </w:r>
            <w:r w:rsidR="006E7F64" w:rsidRPr="006D2E88">
              <w:rPr>
                <w:rFonts w:ascii="Times New Roman" w:hAnsi="Times New Roman"/>
                <w:sz w:val="24"/>
                <w:szCs w:val="24"/>
                <w:lang w:val="en-GB"/>
              </w:rPr>
              <w:t xml:space="preserve">The Commission’s analysis of tax systems finds that there are highly diverse </w:t>
            </w:r>
            <w:r w:rsidR="006E7F64" w:rsidRPr="006D2E88">
              <w:rPr>
                <w:rFonts w:ascii="Times New Roman" w:hAnsi="Times New Roman"/>
                <w:sz w:val="24"/>
                <w:szCs w:val="24"/>
                <w:lang w:val="en-GB"/>
              </w:rPr>
              <w:lastRenderedPageBreak/>
              <w:t>approaches in the EU on the taxation of capital income and on the imposition of wealth-related taxes. In this context, the design and relevance of potential reforms of national tax systems aimed at supporting fairness may vary across Member States.</w:t>
            </w:r>
          </w:p>
          <w:p w14:paraId="1EB1B5F9" w14:textId="6EF21C2F" w:rsidR="00C1690D" w:rsidRPr="004A717B" w:rsidRDefault="006E7F64" w:rsidP="004757E3">
            <w:pPr>
              <w:spacing w:before="120" w:after="120"/>
              <w:jc w:val="both"/>
              <w:rPr>
                <w:rFonts w:ascii="Times New Roman" w:hAnsi="Times New Roman"/>
                <w:bCs/>
                <w:sz w:val="24"/>
                <w:szCs w:val="24"/>
              </w:rPr>
            </w:pPr>
            <w:r>
              <w:rPr>
                <w:rFonts w:ascii="Times New Roman" w:hAnsi="Times New Roman"/>
                <w:bCs/>
                <w:sz w:val="24"/>
                <w:szCs w:val="24"/>
              </w:rPr>
              <w:t>Furthermore, i</w:t>
            </w:r>
            <w:r w:rsidR="00DE489E" w:rsidRPr="00DE489E">
              <w:rPr>
                <w:rFonts w:ascii="Times New Roman" w:hAnsi="Times New Roman"/>
                <w:bCs/>
                <w:sz w:val="24"/>
                <w:szCs w:val="24"/>
              </w:rPr>
              <w:t>n view of identifying relevant developments, the Commission continues to monitor the distributional impact of tax-benefit systems via the EUROMOD microsimulation tool, i.e. the EU tax-benefit microsimulation model that calculates the effects of taxes and benefits on household incomes and work incentives for the population of each country and for the EU as a whole. The insights obtained through this exercise are used in the process of the European Semester.</w:t>
            </w:r>
            <w:r w:rsidRPr="006D2E88">
              <w:rPr>
                <w:rFonts w:ascii="Times New Roman" w:hAnsi="Times New Roman"/>
                <w:sz w:val="24"/>
                <w:szCs w:val="24"/>
                <w:lang w:val="en-GB"/>
              </w:rPr>
              <w:t xml:space="preserve"> Policies aimed at reducing and eradicating poverty both reflect the diversity of Member States’ tax systems and provide for adequate and continuous monitoring of national tax reforms.</w:t>
            </w:r>
          </w:p>
          <w:p w14:paraId="7001E337" w14:textId="5CD31EAB" w:rsidR="00F34CDC" w:rsidRDefault="004A717B" w:rsidP="004757E3">
            <w:pPr>
              <w:spacing w:before="120" w:after="120"/>
              <w:jc w:val="both"/>
              <w:rPr>
                <w:rFonts w:ascii="Times New Roman" w:hAnsi="Times New Roman"/>
                <w:bCs/>
                <w:sz w:val="24"/>
                <w:szCs w:val="24"/>
              </w:rPr>
            </w:pPr>
            <w:r>
              <w:rPr>
                <w:rFonts w:ascii="Times New Roman" w:hAnsi="Times New Roman"/>
                <w:b/>
                <w:sz w:val="24"/>
                <w:szCs w:val="24"/>
              </w:rPr>
              <w:t>1.6</w:t>
            </w:r>
            <w:r w:rsidR="00EA5978" w:rsidRPr="004A717B">
              <w:rPr>
                <w:rFonts w:ascii="Times New Roman" w:hAnsi="Times New Roman"/>
                <w:b/>
                <w:sz w:val="24"/>
                <w:szCs w:val="24"/>
              </w:rPr>
              <w:t xml:space="preserve"> and other paragraphs on governance</w:t>
            </w:r>
            <w:r w:rsidR="00EA5978" w:rsidRPr="00B81D61">
              <w:rPr>
                <w:rFonts w:ascii="Times New Roman" w:hAnsi="Times New Roman"/>
                <w:bCs/>
                <w:sz w:val="24"/>
                <w:szCs w:val="24"/>
              </w:rPr>
              <w:t xml:space="preserve"> </w:t>
            </w:r>
            <w:r w:rsidR="00EA5978" w:rsidRPr="004A717B">
              <w:rPr>
                <w:rFonts w:ascii="Times New Roman" w:hAnsi="Times New Roman"/>
                <w:bCs/>
                <w:sz w:val="24"/>
                <w:szCs w:val="24"/>
              </w:rPr>
              <w:t xml:space="preserve">– </w:t>
            </w:r>
            <w:r w:rsidR="009175C7" w:rsidRPr="004A717B">
              <w:rPr>
                <w:rFonts w:ascii="Times New Roman" w:hAnsi="Times New Roman"/>
                <w:bCs/>
                <w:sz w:val="24"/>
                <w:szCs w:val="24"/>
              </w:rPr>
              <w:t>The Commission seconds the view</w:t>
            </w:r>
            <w:r w:rsidR="00665EA9">
              <w:rPr>
                <w:rFonts w:ascii="Times New Roman" w:hAnsi="Times New Roman"/>
                <w:bCs/>
                <w:sz w:val="24"/>
                <w:szCs w:val="24"/>
              </w:rPr>
              <w:t xml:space="preserve"> that </w:t>
            </w:r>
            <w:r w:rsidR="009175C7" w:rsidRPr="004A717B">
              <w:rPr>
                <w:rFonts w:ascii="Times New Roman" w:hAnsi="Times New Roman"/>
                <w:bCs/>
                <w:sz w:val="24"/>
                <w:szCs w:val="24"/>
              </w:rPr>
              <w:t>a robust and inclusive governance framework will be needed to efficiently steer</w:t>
            </w:r>
            <w:r w:rsidR="009175C7">
              <w:rPr>
                <w:rFonts w:ascii="Times New Roman" w:hAnsi="Times New Roman"/>
                <w:bCs/>
                <w:sz w:val="24"/>
                <w:szCs w:val="24"/>
              </w:rPr>
              <w:t xml:space="preserve"> and monitor the implementation of the APS. Such framework could build on existing structures and indicators </w:t>
            </w:r>
            <w:r w:rsidR="00A67A4C">
              <w:rPr>
                <w:rFonts w:ascii="Times New Roman" w:hAnsi="Times New Roman"/>
                <w:bCs/>
                <w:sz w:val="24"/>
                <w:szCs w:val="24"/>
              </w:rPr>
              <w:t xml:space="preserve">– </w:t>
            </w:r>
            <w:r w:rsidR="009175C7">
              <w:rPr>
                <w:rFonts w:ascii="Times New Roman" w:hAnsi="Times New Roman"/>
                <w:bCs/>
                <w:sz w:val="24"/>
                <w:szCs w:val="24"/>
              </w:rPr>
              <w:t xml:space="preserve">such as the </w:t>
            </w:r>
            <w:r w:rsidR="00740E32">
              <w:rPr>
                <w:rFonts w:ascii="Times New Roman" w:hAnsi="Times New Roman"/>
                <w:bCs/>
                <w:sz w:val="24"/>
                <w:szCs w:val="24"/>
              </w:rPr>
              <w:t xml:space="preserve">European </w:t>
            </w:r>
            <w:r w:rsidR="009175C7">
              <w:rPr>
                <w:rFonts w:ascii="Times New Roman" w:hAnsi="Times New Roman"/>
                <w:bCs/>
                <w:sz w:val="24"/>
                <w:szCs w:val="24"/>
              </w:rPr>
              <w:t>Semester</w:t>
            </w:r>
            <w:r w:rsidR="00A67A4C">
              <w:rPr>
                <w:rFonts w:ascii="Times New Roman" w:hAnsi="Times New Roman"/>
                <w:bCs/>
                <w:sz w:val="24"/>
                <w:szCs w:val="24"/>
              </w:rPr>
              <w:t xml:space="preserve"> and the Social Scoreboard</w:t>
            </w:r>
            <w:r w:rsidR="009175C7">
              <w:rPr>
                <w:rFonts w:ascii="Times New Roman" w:hAnsi="Times New Roman"/>
                <w:bCs/>
                <w:sz w:val="24"/>
                <w:szCs w:val="24"/>
              </w:rPr>
              <w:t>, the Social Convergence Framework</w:t>
            </w:r>
            <w:r w:rsidR="00740E32">
              <w:rPr>
                <w:rFonts w:ascii="Times New Roman" w:hAnsi="Times New Roman"/>
                <w:bCs/>
                <w:sz w:val="24"/>
                <w:szCs w:val="24"/>
              </w:rPr>
              <w:t>. In addition, t</w:t>
            </w:r>
            <w:r w:rsidR="00A67A4C">
              <w:rPr>
                <w:rFonts w:ascii="Times New Roman" w:hAnsi="Times New Roman"/>
                <w:bCs/>
                <w:sz w:val="24"/>
                <w:szCs w:val="24"/>
              </w:rPr>
              <w:t xml:space="preserve">he Civil Society Dialogue </w:t>
            </w:r>
            <w:r w:rsidR="00740E32">
              <w:rPr>
                <w:rFonts w:ascii="Times New Roman" w:hAnsi="Times New Roman"/>
                <w:bCs/>
                <w:sz w:val="24"/>
                <w:szCs w:val="24"/>
              </w:rPr>
              <w:t>constitute an</w:t>
            </w:r>
            <w:r w:rsidR="005843BA">
              <w:rPr>
                <w:rFonts w:ascii="Times New Roman" w:hAnsi="Times New Roman"/>
                <w:bCs/>
                <w:sz w:val="24"/>
                <w:szCs w:val="24"/>
              </w:rPr>
              <w:t> </w:t>
            </w:r>
            <w:r w:rsidR="00740E32">
              <w:rPr>
                <w:rFonts w:ascii="Times New Roman" w:hAnsi="Times New Roman"/>
                <w:bCs/>
                <w:sz w:val="24"/>
                <w:szCs w:val="24"/>
              </w:rPr>
              <w:t xml:space="preserve">important </w:t>
            </w:r>
            <w:r w:rsidR="006C321A">
              <w:rPr>
                <w:rFonts w:ascii="Times New Roman" w:hAnsi="Times New Roman"/>
                <w:bCs/>
                <w:sz w:val="24"/>
                <w:szCs w:val="24"/>
              </w:rPr>
              <w:t>mechanism to involve non</w:t>
            </w:r>
            <w:r w:rsidR="00200FB5">
              <w:rPr>
                <w:rFonts w:ascii="Times New Roman" w:hAnsi="Times New Roman"/>
                <w:bCs/>
                <w:sz w:val="24"/>
                <w:szCs w:val="24"/>
              </w:rPr>
              <w:noBreakHyphen/>
            </w:r>
            <w:r w:rsidR="006C321A">
              <w:rPr>
                <w:rFonts w:ascii="Times New Roman" w:hAnsi="Times New Roman"/>
                <w:bCs/>
                <w:sz w:val="24"/>
                <w:szCs w:val="24"/>
              </w:rPr>
              <w:t>governmental sector in policy monitoring</w:t>
            </w:r>
            <w:r w:rsidR="009175C7">
              <w:rPr>
                <w:rFonts w:ascii="Times New Roman" w:hAnsi="Times New Roman"/>
                <w:bCs/>
                <w:sz w:val="24"/>
                <w:szCs w:val="24"/>
              </w:rPr>
              <w:t xml:space="preserve">. </w:t>
            </w:r>
            <w:r w:rsidR="00EA5978" w:rsidRPr="009175C7">
              <w:rPr>
                <w:rFonts w:ascii="Times New Roman" w:hAnsi="Times New Roman"/>
                <w:bCs/>
                <w:sz w:val="24"/>
                <w:szCs w:val="24"/>
              </w:rPr>
              <w:t xml:space="preserve">In this respect, the Commission </w:t>
            </w:r>
            <w:r w:rsidR="006C321A">
              <w:rPr>
                <w:rFonts w:ascii="Times New Roman" w:hAnsi="Times New Roman"/>
                <w:bCs/>
                <w:sz w:val="24"/>
                <w:szCs w:val="24"/>
              </w:rPr>
              <w:t>supports</w:t>
            </w:r>
            <w:r w:rsidR="00EA5978" w:rsidRPr="009175C7">
              <w:rPr>
                <w:rFonts w:ascii="Times New Roman" w:hAnsi="Times New Roman"/>
                <w:bCs/>
                <w:sz w:val="24"/>
                <w:szCs w:val="24"/>
              </w:rPr>
              <w:t xml:space="preserve"> the EESC’s calls for inter-alia </w:t>
            </w:r>
            <w:r w:rsidR="00684918">
              <w:rPr>
                <w:rFonts w:ascii="Times New Roman" w:hAnsi="Times New Roman"/>
                <w:bCs/>
                <w:sz w:val="24"/>
                <w:szCs w:val="24"/>
              </w:rPr>
              <w:t xml:space="preserve">promoting </w:t>
            </w:r>
            <w:r w:rsidR="00EA5978" w:rsidRPr="009175C7">
              <w:rPr>
                <w:rFonts w:ascii="Times New Roman" w:hAnsi="Times New Roman"/>
                <w:bCs/>
                <w:sz w:val="24"/>
                <w:szCs w:val="24"/>
              </w:rPr>
              <w:t>local strategies</w:t>
            </w:r>
            <w:r w:rsidR="00684918">
              <w:rPr>
                <w:rFonts w:ascii="Times New Roman" w:hAnsi="Times New Roman"/>
                <w:bCs/>
                <w:sz w:val="24"/>
                <w:szCs w:val="24"/>
              </w:rPr>
              <w:t xml:space="preserve"> and </w:t>
            </w:r>
            <w:r w:rsidR="00EA5978" w:rsidRPr="009175C7">
              <w:rPr>
                <w:rFonts w:ascii="Times New Roman" w:hAnsi="Times New Roman"/>
                <w:bCs/>
                <w:sz w:val="24"/>
                <w:szCs w:val="24"/>
              </w:rPr>
              <w:t>involv</w:t>
            </w:r>
            <w:r w:rsidR="00684918">
              <w:rPr>
                <w:rFonts w:ascii="Times New Roman" w:hAnsi="Times New Roman"/>
                <w:bCs/>
                <w:sz w:val="24"/>
                <w:szCs w:val="24"/>
              </w:rPr>
              <w:t>ing</w:t>
            </w:r>
            <w:r w:rsidR="00EA5978" w:rsidRPr="009175C7">
              <w:rPr>
                <w:rFonts w:ascii="Times New Roman" w:hAnsi="Times New Roman"/>
                <w:bCs/>
                <w:sz w:val="24"/>
                <w:szCs w:val="24"/>
              </w:rPr>
              <w:t xml:space="preserve"> people experiencing poverty.</w:t>
            </w:r>
          </w:p>
          <w:p w14:paraId="3D2CC173" w14:textId="6B82D76D" w:rsidR="009B1570" w:rsidRPr="00465423" w:rsidRDefault="009B1570" w:rsidP="004757E3">
            <w:pPr>
              <w:spacing w:before="120" w:after="120"/>
              <w:jc w:val="both"/>
              <w:rPr>
                <w:rFonts w:ascii="Times New Roman" w:hAnsi="Times New Roman"/>
                <w:bCs/>
                <w:sz w:val="24"/>
                <w:szCs w:val="24"/>
              </w:rPr>
            </w:pPr>
            <w:r w:rsidRPr="009B1570">
              <w:rPr>
                <w:rFonts w:ascii="Times New Roman" w:hAnsi="Times New Roman"/>
                <w:bCs/>
                <w:sz w:val="24"/>
                <w:szCs w:val="24"/>
              </w:rPr>
              <w:t xml:space="preserve">Participation and promoting </w:t>
            </w:r>
            <w:r w:rsidR="00214902">
              <w:rPr>
                <w:rFonts w:ascii="Times New Roman" w:hAnsi="Times New Roman"/>
                <w:bCs/>
                <w:sz w:val="24"/>
                <w:szCs w:val="24"/>
              </w:rPr>
              <w:t xml:space="preserve">the </w:t>
            </w:r>
            <w:r w:rsidRPr="009B1570">
              <w:rPr>
                <w:rFonts w:ascii="Times New Roman" w:hAnsi="Times New Roman"/>
                <w:bCs/>
                <w:sz w:val="24"/>
                <w:szCs w:val="24"/>
              </w:rPr>
              <w:t xml:space="preserve">full inclusion of all young people within society, especially those with fewer opportunities, is a key objective of the EU Youth Strategy (2019-2027), the European Youth Work Agenda and the relevant EU </w:t>
            </w:r>
            <w:proofErr w:type="spellStart"/>
            <w:r w:rsidRPr="009B1570">
              <w:rPr>
                <w:rFonts w:ascii="Times New Roman" w:hAnsi="Times New Roman"/>
                <w:bCs/>
                <w:sz w:val="24"/>
                <w:szCs w:val="24"/>
              </w:rPr>
              <w:t>programmes</w:t>
            </w:r>
            <w:proofErr w:type="spellEnd"/>
            <w:r w:rsidRPr="009B1570">
              <w:rPr>
                <w:rFonts w:ascii="Times New Roman" w:hAnsi="Times New Roman"/>
                <w:bCs/>
                <w:sz w:val="24"/>
                <w:szCs w:val="24"/>
              </w:rPr>
              <w:t xml:space="preserve"> (Erasmus+ and the European Solidarity Corps) through both formal and informal learning mobility opportunities. The Commission </w:t>
            </w:r>
            <w:r w:rsidR="00214902">
              <w:rPr>
                <w:rFonts w:ascii="Times New Roman" w:hAnsi="Times New Roman"/>
                <w:bCs/>
                <w:sz w:val="24"/>
                <w:szCs w:val="24"/>
              </w:rPr>
              <w:t>considers</w:t>
            </w:r>
            <w:r w:rsidR="00214902" w:rsidRPr="009B1570">
              <w:rPr>
                <w:rFonts w:ascii="Times New Roman" w:hAnsi="Times New Roman"/>
                <w:bCs/>
                <w:sz w:val="24"/>
                <w:szCs w:val="24"/>
              </w:rPr>
              <w:t xml:space="preserve"> </w:t>
            </w:r>
            <w:r w:rsidRPr="009B1570">
              <w:rPr>
                <w:rFonts w:ascii="Times New Roman" w:hAnsi="Times New Roman"/>
                <w:bCs/>
                <w:sz w:val="24"/>
                <w:szCs w:val="24"/>
              </w:rPr>
              <w:t>it essential to equip all young people, including those with fewer opportunities, with the necessary skills to become active and engaged citizens and participate in policymaking on every level.</w:t>
            </w:r>
            <w:r w:rsidRPr="009B1570">
              <w:rPr>
                <w:rFonts w:ascii="Times New Roman" w:hAnsi="Times New Roman"/>
                <w:b/>
                <w:bCs/>
                <w:sz w:val="24"/>
                <w:szCs w:val="24"/>
              </w:rPr>
              <w:t xml:space="preserve"> </w:t>
            </w:r>
            <w:r w:rsidRPr="009B1570">
              <w:rPr>
                <w:rFonts w:ascii="Times New Roman" w:hAnsi="Times New Roman"/>
                <w:bCs/>
                <w:sz w:val="24"/>
                <w:szCs w:val="24"/>
              </w:rPr>
              <w:t xml:space="preserve">In the proposal for the next Erasmus+, adopted on 16 July 2025, the Commission has proposed that the </w:t>
            </w:r>
            <w:proofErr w:type="spellStart"/>
            <w:r w:rsidRPr="009B1570">
              <w:rPr>
                <w:rFonts w:ascii="Times New Roman" w:hAnsi="Times New Roman"/>
                <w:bCs/>
                <w:sz w:val="24"/>
                <w:szCs w:val="24"/>
              </w:rPr>
              <w:t>programme</w:t>
            </w:r>
            <w:proofErr w:type="spellEnd"/>
            <w:r w:rsidRPr="009B1570">
              <w:rPr>
                <w:rFonts w:ascii="Times New Roman" w:hAnsi="Times New Roman"/>
                <w:bCs/>
                <w:sz w:val="24"/>
                <w:szCs w:val="24"/>
              </w:rPr>
              <w:t xml:space="preserve"> provides a reinforced contribution to advancing youth engagement, social inclusion and cohesion.</w:t>
            </w:r>
          </w:p>
        </w:tc>
      </w:tr>
    </w:tbl>
    <w:p w14:paraId="6AF07B14" w14:textId="26AEAB66" w:rsidR="004F6117" w:rsidRPr="009525D9" w:rsidRDefault="004F6117" w:rsidP="009525D9">
      <w:pPr>
        <w:spacing w:after="0" w:line="240" w:lineRule="auto"/>
        <w:ind w:left="-709"/>
        <w:rPr>
          <w:rFonts w:ascii="Times New Roman" w:hAnsi="Times New Roman"/>
          <w:bCs/>
          <w:sz w:val="16"/>
          <w:szCs w:val="16"/>
        </w:rPr>
      </w:pPr>
    </w:p>
    <w:sectPr w:rsidR="004F6117" w:rsidRPr="009525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0B72" w14:textId="77777777" w:rsidR="00460F2B" w:rsidRDefault="00460F2B" w:rsidP="00FF63EA">
      <w:pPr>
        <w:spacing w:after="0" w:line="240" w:lineRule="auto"/>
      </w:pPr>
      <w:r>
        <w:separator/>
      </w:r>
    </w:p>
  </w:endnote>
  <w:endnote w:type="continuationSeparator" w:id="0">
    <w:p w14:paraId="3928D171" w14:textId="77777777" w:rsidR="00460F2B" w:rsidRDefault="00460F2B" w:rsidP="00FF63EA">
      <w:pPr>
        <w:spacing w:after="0" w:line="240" w:lineRule="auto"/>
      </w:pPr>
      <w:r>
        <w:continuationSeparator/>
      </w:r>
    </w:p>
  </w:endnote>
  <w:endnote w:type="continuationNotice" w:id="1">
    <w:p w14:paraId="538837CF" w14:textId="77777777" w:rsidR="00460F2B" w:rsidRDefault="00460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D218" w14:textId="77777777" w:rsidR="00460F2B" w:rsidRDefault="00460F2B" w:rsidP="00FF63EA">
      <w:pPr>
        <w:spacing w:after="0" w:line="240" w:lineRule="auto"/>
      </w:pPr>
      <w:r>
        <w:separator/>
      </w:r>
    </w:p>
  </w:footnote>
  <w:footnote w:type="continuationSeparator" w:id="0">
    <w:p w14:paraId="10328B91" w14:textId="77777777" w:rsidR="00460F2B" w:rsidRDefault="00460F2B" w:rsidP="00FF63EA">
      <w:pPr>
        <w:spacing w:after="0" w:line="240" w:lineRule="auto"/>
      </w:pPr>
      <w:r>
        <w:continuationSeparator/>
      </w:r>
    </w:p>
  </w:footnote>
  <w:footnote w:type="continuationNotice" w:id="1">
    <w:p w14:paraId="5339202E" w14:textId="77777777" w:rsidR="00460F2B" w:rsidRDefault="00460F2B">
      <w:pPr>
        <w:spacing w:after="0" w:line="240" w:lineRule="auto"/>
      </w:pPr>
    </w:p>
  </w:footnote>
  <w:footnote w:id="2">
    <w:p w14:paraId="5BB87A10" w14:textId="49AB772D" w:rsidR="00AA6B79" w:rsidRPr="009525D9" w:rsidRDefault="00AA6B79" w:rsidP="009525D9">
      <w:pPr>
        <w:pStyle w:val="FootnoteText"/>
        <w:spacing w:after="0" w:line="240" w:lineRule="auto"/>
        <w:ind w:left="-426"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1" w:history="1">
        <w:r w:rsidR="001066A7" w:rsidRPr="009525D9">
          <w:rPr>
            <w:rStyle w:val="Hyperlink"/>
            <w:rFonts w:ascii="Times New Roman" w:hAnsi="Times New Roman"/>
            <w:lang w:val="fr-BE"/>
          </w:rPr>
          <w:t>https://eur-lex.europa.eu/legal-content/EN/TXT/?uri=oj:JOC_2023_041_R_0001</w:t>
        </w:r>
      </w:hyperlink>
      <w:r w:rsidR="005843BA">
        <w:t>.</w:t>
      </w:r>
    </w:p>
  </w:footnote>
  <w:footnote w:id="3">
    <w:p w14:paraId="18179CAF" w14:textId="52BC7B1D" w:rsidR="008406D9" w:rsidRPr="009525D9" w:rsidRDefault="008406D9" w:rsidP="00B81D61">
      <w:pPr>
        <w:pStyle w:val="FootnoteText"/>
        <w:widowControl w:val="0"/>
        <w:spacing w:after="0" w:line="240" w:lineRule="auto"/>
        <w:ind w:left="-426"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2" w:history="1">
        <w:r w:rsidR="001066A7" w:rsidRPr="009525D9">
          <w:rPr>
            <w:rStyle w:val="Hyperlink"/>
            <w:rFonts w:ascii="Times New Roman" w:hAnsi="Times New Roman"/>
            <w:lang w:val="fr-BE"/>
          </w:rPr>
          <w:t>https://eur-lex.europa.eu/eli/dir/2022/2041/oj/eng</w:t>
        </w:r>
      </w:hyperlink>
      <w:r w:rsidR="005843BA">
        <w:rPr>
          <w:rFonts w:ascii="Times New Roman" w:hAnsi="Times New Roman"/>
          <w:lang w:val="fr-BE"/>
        </w:rPr>
        <w:t>.</w:t>
      </w:r>
    </w:p>
  </w:footnote>
  <w:footnote w:id="4">
    <w:p w14:paraId="27423CAF" w14:textId="23CBE400" w:rsidR="00AA6B79" w:rsidRPr="009525D9" w:rsidRDefault="00AA6B79" w:rsidP="00B81D61">
      <w:pPr>
        <w:pStyle w:val="FootnoteText"/>
        <w:widowControl w:val="0"/>
        <w:spacing w:after="0" w:line="240" w:lineRule="auto"/>
        <w:ind w:left="-426"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3" w:history="1">
        <w:r w:rsidR="001066A7" w:rsidRPr="009525D9">
          <w:rPr>
            <w:rStyle w:val="Hyperlink"/>
            <w:rFonts w:ascii="Times New Roman" w:hAnsi="Times New Roman"/>
            <w:lang w:val="fr-BE"/>
          </w:rPr>
          <w:t>https://eur-lex.europa.eu/eli/C/2023/1389/oj/eng</w:t>
        </w:r>
      </w:hyperlink>
      <w:r w:rsidR="005843BA" w:rsidRPr="005843BA">
        <w:rPr>
          <w:lang w:val="fr-BE"/>
        </w:rPr>
        <w:t>.</w:t>
      </w:r>
      <w:r w:rsidRPr="009525D9">
        <w:rPr>
          <w:rFonts w:ascii="Times New Roman" w:hAnsi="Times New Roman"/>
          <w:lang w:val="fr-BE"/>
        </w:rPr>
        <w:t xml:space="preserve"> </w:t>
      </w:r>
    </w:p>
  </w:footnote>
  <w:footnote w:id="5">
    <w:p w14:paraId="66B0D970" w14:textId="5FF68D05" w:rsidR="00A25374" w:rsidRPr="005843BA" w:rsidRDefault="00A25374" w:rsidP="00B81D61">
      <w:pPr>
        <w:pStyle w:val="FootnoteText"/>
        <w:widowControl w:val="0"/>
        <w:spacing w:after="0" w:line="240" w:lineRule="auto"/>
        <w:ind w:left="-426"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4" w:history="1">
        <w:r w:rsidR="001066A7" w:rsidRPr="009525D9">
          <w:rPr>
            <w:rStyle w:val="Hyperlink"/>
            <w:rFonts w:ascii="Times New Roman" w:hAnsi="Times New Roman"/>
            <w:lang w:val="fr-BE"/>
          </w:rPr>
          <w:t>https://eur-lex.europa.eu/legal-content/EN/TXT/?uri=uriserv:OJ.C_.2019.387.01.0001.01.ENG&amp;toc=OJ:C:2019:387:TOC</w:t>
        </w:r>
      </w:hyperlink>
      <w:r w:rsidR="005843BA" w:rsidRPr="005843BA">
        <w:rPr>
          <w:lang w:val="fr-BE"/>
        </w:rPr>
        <w:t>.</w:t>
      </w:r>
    </w:p>
  </w:footnote>
  <w:footnote w:id="6">
    <w:p w14:paraId="031447C4" w14:textId="06CA9993" w:rsidR="00AA6B79" w:rsidRPr="009525D9" w:rsidRDefault="00AA6B79" w:rsidP="00B81D61">
      <w:pPr>
        <w:pStyle w:val="FootnoteText"/>
        <w:widowControl w:val="0"/>
        <w:spacing w:after="0" w:line="240" w:lineRule="auto"/>
        <w:ind w:left="-426"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5" w:history="1">
        <w:r w:rsidR="001066A7" w:rsidRPr="009525D9">
          <w:rPr>
            <w:rStyle w:val="Hyperlink"/>
            <w:rFonts w:ascii="Times New Roman" w:hAnsi="Times New Roman"/>
            <w:lang w:val="fr-BE"/>
          </w:rPr>
          <w:t>https://eur-lex.europa.eu/legal-content/EN/TXT/?uri=celex:52023DC0298</w:t>
        </w:r>
      </w:hyperlink>
      <w:r w:rsidR="005843BA">
        <w:rPr>
          <w:rFonts w:ascii="Times New Roman" w:hAnsi="Times New Roman"/>
          <w:lang w:val="fr-BE"/>
        </w:rPr>
        <w:t>.</w:t>
      </w:r>
    </w:p>
  </w:footnote>
  <w:footnote w:id="7">
    <w:p w14:paraId="399005A2" w14:textId="25725FFD" w:rsidR="00AA6B79" w:rsidRPr="009525D9" w:rsidRDefault="00AA6B79" w:rsidP="00B81D61">
      <w:pPr>
        <w:pStyle w:val="FootnoteText"/>
        <w:widowControl w:val="0"/>
        <w:spacing w:after="0" w:line="240" w:lineRule="auto"/>
        <w:ind w:left="-426"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6" w:history="1">
        <w:r w:rsidR="001066A7" w:rsidRPr="009525D9">
          <w:rPr>
            <w:rStyle w:val="Hyperlink"/>
            <w:rFonts w:ascii="Times New Roman" w:hAnsi="Times New Roman"/>
            <w:lang w:val="fr-BE"/>
          </w:rPr>
          <w:t>https://eur-lex.europa.eu/eli/reco/2021/1004/oj/eng</w:t>
        </w:r>
      </w:hyperlink>
      <w:r w:rsidR="005843BA" w:rsidRPr="005843BA">
        <w:rPr>
          <w:lang w:val="fr-BE"/>
        </w:rPr>
        <w:t>.</w:t>
      </w:r>
      <w:r w:rsidRPr="009525D9">
        <w:rPr>
          <w:rFonts w:ascii="Times New Roman" w:hAnsi="Times New Roman"/>
          <w:lang w:val="fr-BE"/>
        </w:rPr>
        <w:t xml:space="preserve"> </w:t>
      </w:r>
    </w:p>
  </w:footnote>
  <w:footnote w:id="8">
    <w:p w14:paraId="7301B7C7" w14:textId="2FD9409B" w:rsidR="00AA6B79" w:rsidRPr="009525D9" w:rsidRDefault="00AA6B79" w:rsidP="00B81D61">
      <w:pPr>
        <w:pStyle w:val="FootnoteText"/>
        <w:widowControl w:val="0"/>
        <w:spacing w:after="0" w:line="240" w:lineRule="auto"/>
        <w:ind w:left="-426"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7" w:history="1">
        <w:r w:rsidR="001066A7" w:rsidRPr="009525D9">
          <w:rPr>
            <w:rStyle w:val="Hyperlink"/>
            <w:rFonts w:ascii="Times New Roman" w:hAnsi="Times New Roman"/>
            <w:lang w:val="fr-BE"/>
          </w:rPr>
          <w:t>https://eur-lex.europa.eu/legal-content/EN/TXT/?uri=legissum:4489776</w:t>
        </w:r>
      </w:hyperlink>
      <w:r w:rsidR="005843BA" w:rsidRPr="005843BA">
        <w:rPr>
          <w:lang w:val="fr-BE"/>
        </w:rPr>
        <w:t>.</w:t>
      </w:r>
      <w:r w:rsidRPr="009525D9">
        <w:rPr>
          <w:rFonts w:ascii="Times New Roman" w:hAnsi="Times New Roman"/>
          <w:lang w:val="fr-BE"/>
        </w:rPr>
        <w:t xml:space="preserve"> </w:t>
      </w:r>
    </w:p>
  </w:footnote>
  <w:footnote w:id="9">
    <w:p w14:paraId="6C244755" w14:textId="075AEE98" w:rsidR="00665EA9" w:rsidRPr="009525D9" w:rsidRDefault="00665EA9" w:rsidP="00B81D61">
      <w:pPr>
        <w:pStyle w:val="FootnoteText"/>
        <w:widowControl w:val="0"/>
        <w:spacing w:after="0" w:line="240" w:lineRule="auto"/>
        <w:ind w:left="-426"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8" w:history="1">
        <w:r w:rsidR="001066A7" w:rsidRPr="009525D9">
          <w:rPr>
            <w:rStyle w:val="Hyperlink"/>
            <w:rFonts w:ascii="Times New Roman" w:hAnsi="Times New Roman"/>
            <w:lang w:val="fr-BE"/>
          </w:rPr>
          <w:t>https://eur-lex.europa.eu/eli/dir/2023/970/oj/eng</w:t>
        </w:r>
      </w:hyperlink>
      <w:r w:rsidR="005843BA">
        <w:rPr>
          <w:rFonts w:ascii="Times New Roman" w:hAnsi="Times New Roman"/>
          <w:lang w:val="fr-BE"/>
        </w:rPr>
        <w:t>.</w:t>
      </w:r>
    </w:p>
  </w:footnote>
  <w:footnote w:id="10">
    <w:p w14:paraId="2FC89A67" w14:textId="467FECB9" w:rsidR="00B4394E" w:rsidRPr="009525D9" w:rsidRDefault="00B4394E" w:rsidP="00B81D61">
      <w:pPr>
        <w:pStyle w:val="FootnoteText"/>
        <w:widowControl w:val="0"/>
        <w:spacing w:after="0" w:line="240" w:lineRule="auto"/>
        <w:ind w:left="-426"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Pr="009525D9">
        <w:rPr>
          <w:rFonts w:ascii="Times New Roman" w:hAnsi="Times New Roman"/>
          <w:lang w:val="fr-BE"/>
        </w:rPr>
        <w:tab/>
      </w:r>
      <w:hyperlink r:id="rId9" w:history="1">
        <w:r w:rsidRPr="009525D9">
          <w:rPr>
            <w:rStyle w:val="Hyperlink"/>
            <w:rFonts w:ascii="Times New Roman" w:hAnsi="Times New Roman"/>
            <w:lang w:val="fr-BE"/>
          </w:rPr>
          <w:t>https://eur-lex.europa.eu/el</w:t>
        </w:r>
        <w:r w:rsidRPr="009525D9">
          <w:rPr>
            <w:rStyle w:val="Hyperlink"/>
            <w:rFonts w:ascii="Times New Roman" w:hAnsi="Times New Roman"/>
            <w:lang w:val="fr-BE"/>
          </w:rPr>
          <w:t>i</w:t>
        </w:r>
        <w:r w:rsidRPr="009525D9">
          <w:rPr>
            <w:rStyle w:val="Hyperlink"/>
            <w:rFonts w:ascii="Times New Roman" w:hAnsi="Times New Roman"/>
            <w:lang w:val="fr-BE"/>
          </w:rPr>
          <w:t>/dir/2022/542/oj/eng</w:t>
        </w:r>
      </w:hyperlink>
      <w:r w:rsidR="005843BA" w:rsidRPr="005843BA">
        <w:rPr>
          <w:lang w:val="fr-BE"/>
        </w:rPr>
        <w:t>.</w:t>
      </w:r>
      <w:r w:rsidRPr="009525D9">
        <w:rPr>
          <w:rFonts w:ascii="Times New Roman" w:hAnsi="Times New Roman"/>
          <w:lang w:val="fr-BE"/>
        </w:rPr>
        <w:t xml:space="preserve"> </w:t>
      </w:r>
    </w:p>
  </w:footnote>
  <w:footnote w:id="11">
    <w:p w14:paraId="7693BAC7" w14:textId="34A95531" w:rsidR="00AC013F" w:rsidRPr="005843BA" w:rsidRDefault="00AC013F" w:rsidP="00B81D61">
      <w:pPr>
        <w:pStyle w:val="FootnoteText"/>
        <w:widowControl w:val="0"/>
        <w:spacing w:after="0" w:line="240" w:lineRule="auto"/>
        <w:ind w:left="-284"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10" w:history="1">
        <w:r w:rsidR="001066A7" w:rsidRPr="009525D9">
          <w:rPr>
            <w:rStyle w:val="Hyperlink"/>
            <w:rFonts w:ascii="Times New Roman" w:hAnsi="Times New Roman"/>
            <w:lang w:val="fr-BE"/>
          </w:rPr>
          <w:t>https://eur-lex.europa.eu/eli/reg/2024/1689/oj/eng</w:t>
        </w:r>
      </w:hyperlink>
      <w:r w:rsidR="005843BA" w:rsidRPr="005843BA">
        <w:rPr>
          <w:lang w:val="fr-BE"/>
        </w:rPr>
        <w:t>.</w:t>
      </w:r>
    </w:p>
  </w:footnote>
  <w:footnote w:id="12">
    <w:p w14:paraId="06EBEC8D" w14:textId="5F36066D" w:rsidR="00AC013F" w:rsidRPr="005843BA" w:rsidRDefault="00AC013F" w:rsidP="00B81D61">
      <w:pPr>
        <w:pStyle w:val="FootnoteText"/>
        <w:widowControl w:val="0"/>
        <w:spacing w:after="0" w:line="240" w:lineRule="auto"/>
        <w:ind w:left="-284"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11" w:history="1">
        <w:r w:rsidR="001066A7" w:rsidRPr="009525D9">
          <w:rPr>
            <w:rStyle w:val="Hyperlink"/>
            <w:rFonts w:ascii="Times New Roman" w:hAnsi="Times New Roman"/>
            <w:lang w:val="fr-BE"/>
          </w:rPr>
          <w:t>https://eur-lex.europa.eu/eli/reg/2023/955/oj/eng</w:t>
        </w:r>
      </w:hyperlink>
      <w:r w:rsidR="005843BA" w:rsidRPr="005843BA">
        <w:rPr>
          <w:lang w:val="fr-BE"/>
        </w:rPr>
        <w:t>.</w:t>
      </w:r>
    </w:p>
  </w:footnote>
  <w:footnote w:id="13">
    <w:p w14:paraId="0260510A" w14:textId="36A16455" w:rsidR="00AC013F" w:rsidRPr="005843BA" w:rsidRDefault="00AC013F" w:rsidP="00B81D61">
      <w:pPr>
        <w:pStyle w:val="FootnoteText"/>
        <w:widowControl w:val="0"/>
        <w:spacing w:after="0" w:line="240" w:lineRule="auto"/>
        <w:ind w:left="-284"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12" w:history="1">
        <w:r w:rsidR="001066A7" w:rsidRPr="009525D9">
          <w:rPr>
            <w:rStyle w:val="Hyperlink"/>
            <w:rFonts w:ascii="Times New Roman" w:hAnsi="Times New Roman"/>
            <w:lang w:val="fr-BE"/>
          </w:rPr>
          <w:t>https://eur-lex.europa.eu/eli/dir/2016/1919/oj/eng</w:t>
        </w:r>
      </w:hyperlink>
      <w:r w:rsidR="005843BA" w:rsidRPr="005843BA">
        <w:rPr>
          <w:lang w:val="fr-BE"/>
        </w:rPr>
        <w:t>.</w:t>
      </w:r>
    </w:p>
  </w:footnote>
  <w:footnote w:id="14">
    <w:p w14:paraId="7A9C961C" w14:textId="6892D776" w:rsidR="00E72A5E" w:rsidRPr="005843BA" w:rsidRDefault="00E72A5E" w:rsidP="00B81D61">
      <w:pPr>
        <w:pStyle w:val="FootnoteText"/>
        <w:widowControl w:val="0"/>
        <w:spacing w:after="0" w:line="240" w:lineRule="auto"/>
        <w:ind w:left="-284"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13" w:history="1">
        <w:r w:rsidR="001066A7" w:rsidRPr="009525D9">
          <w:rPr>
            <w:rStyle w:val="Hyperlink"/>
            <w:rFonts w:ascii="Times New Roman" w:hAnsi="Times New Roman"/>
            <w:lang w:val="fr-BE"/>
          </w:rPr>
          <w:t>https://eur-lex.europa.eu/eli/dir/2003/8/oj/eng</w:t>
        </w:r>
      </w:hyperlink>
      <w:r w:rsidR="005843BA" w:rsidRPr="005843BA">
        <w:rPr>
          <w:lang w:val="fr-BE"/>
        </w:rPr>
        <w:t>.</w:t>
      </w:r>
    </w:p>
  </w:footnote>
  <w:footnote w:id="15">
    <w:p w14:paraId="2BB8DBA8" w14:textId="6460A7C0" w:rsidR="00E72A5E" w:rsidRPr="005843BA" w:rsidRDefault="00E72A5E" w:rsidP="00B81D61">
      <w:pPr>
        <w:pStyle w:val="FootnoteText"/>
        <w:widowControl w:val="0"/>
        <w:spacing w:after="0" w:line="240" w:lineRule="auto"/>
        <w:ind w:left="-284"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14" w:history="1">
        <w:r w:rsidR="001066A7" w:rsidRPr="009525D9">
          <w:rPr>
            <w:rStyle w:val="Hyperlink"/>
            <w:rFonts w:ascii="Times New Roman" w:hAnsi="Times New Roman"/>
            <w:lang w:val="fr-BE"/>
          </w:rPr>
          <w:t>https://eur-lex.europa.eu/eli/reg/2009/4(1)/oj/eng</w:t>
        </w:r>
      </w:hyperlink>
      <w:r w:rsidR="005843BA" w:rsidRPr="005843BA">
        <w:rPr>
          <w:lang w:val="fr-BE"/>
        </w:rPr>
        <w:t>.</w:t>
      </w:r>
    </w:p>
  </w:footnote>
  <w:footnote w:id="16">
    <w:p w14:paraId="4B7D83AE" w14:textId="6B106171" w:rsidR="00AC013F" w:rsidRPr="005843BA" w:rsidRDefault="00AC013F" w:rsidP="00B81D61">
      <w:pPr>
        <w:pStyle w:val="FootnoteText"/>
        <w:widowControl w:val="0"/>
        <w:spacing w:after="0" w:line="240" w:lineRule="auto"/>
        <w:ind w:left="-284"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15" w:history="1">
        <w:r w:rsidR="001066A7" w:rsidRPr="009525D9">
          <w:rPr>
            <w:rStyle w:val="Hyperlink"/>
            <w:rFonts w:ascii="Times New Roman" w:hAnsi="Times New Roman"/>
            <w:lang w:val="fr-BE"/>
          </w:rPr>
          <w:t>https://eur-lex.europa.eu/legal-content/EN/TXT/PDF/?uri=CELEX:52022DC0494</w:t>
        </w:r>
      </w:hyperlink>
      <w:r w:rsidR="005843BA" w:rsidRPr="005843BA">
        <w:rPr>
          <w:lang w:val="fr-BE"/>
        </w:rPr>
        <w:t>.</w:t>
      </w:r>
    </w:p>
  </w:footnote>
  <w:footnote w:id="17">
    <w:p w14:paraId="337B07D2" w14:textId="683DC128" w:rsidR="00AC013F" w:rsidRPr="009525D9" w:rsidRDefault="00AC013F" w:rsidP="009525D9">
      <w:pPr>
        <w:pStyle w:val="FootnoteText"/>
        <w:spacing w:after="0" w:line="240" w:lineRule="auto"/>
        <w:ind w:left="-284" w:right="-709" w:hanging="284"/>
        <w:jc w:val="both"/>
        <w:rPr>
          <w:rFonts w:ascii="Times New Roman" w:hAnsi="Times New Roman"/>
          <w:lang w:val="fr-BE"/>
        </w:rPr>
      </w:pPr>
      <w:r w:rsidRPr="009525D9">
        <w:rPr>
          <w:rStyle w:val="FootnoteReference"/>
          <w:rFonts w:ascii="Times New Roman" w:hAnsi="Times New Roman"/>
          <w:sz w:val="20"/>
        </w:rPr>
        <w:footnoteRef/>
      </w:r>
      <w:r w:rsidRPr="009525D9">
        <w:rPr>
          <w:rFonts w:ascii="Times New Roman" w:hAnsi="Times New Roman"/>
          <w:lang w:val="fr-BE"/>
        </w:rPr>
        <w:t xml:space="preserve"> </w:t>
      </w:r>
      <w:r w:rsidR="001066A7" w:rsidRPr="009525D9">
        <w:rPr>
          <w:rFonts w:ascii="Times New Roman" w:hAnsi="Times New Roman"/>
          <w:lang w:val="fr-BE"/>
        </w:rPr>
        <w:tab/>
      </w:r>
      <w:hyperlink r:id="rId16" w:history="1">
        <w:r w:rsidR="001066A7" w:rsidRPr="009525D9">
          <w:rPr>
            <w:rStyle w:val="Hyperlink"/>
            <w:rFonts w:ascii="Times New Roman" w:hAnsi="Times New Roman"/>
            <w:lang w:val="fr-BE"/>
          </w:rPr>
          <w:t>https://eur-lex.europa.eu/legal-content/EN/TXT/?uri=LEGISSUM:european_social_fund</w:t>
        </w:r>
      </w:hyperlink>
      <w:r w:rsidR="005843BA">
        <w:rPr>
          <w:rFonts w:ascii="Times New Roman" w:hAnsi="Times New Roman"/>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FF9"/>
    <w:multiLevelType w:val="multilevel"/>
    <w:tmpl w:val="41F0276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17022"/>
    <w:multiLevelType w:val="multilevel"/>
    <w:tmpl w:val="4CBE665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CF64DA"/>
    <w:multiLevelType w:val="multilevel"/>
    <w:tmpl w:val="ADA29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B2A40"/>
    <w:multiLevelType w:val="multilevel"/>
    <w:tmpl w:val="1286E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FC5F7"/>
    <w:multiLevelType w:val="hybridMultilevel"/>
    <w:tmpl w:val="FFFFFFFF"/>
    <w:lvl w:ilvl="0" w:tplc="EE002016">
      <w:start w:val="1"/>
      <w:numFmt w:val="bullet"/>
      <w:lvlText w:val=""/>
      <w:lvlJc w:val="left"/>
      <w:pPr>
        <w:ind w:left="720" w:hanging="360"/>
      </w:pPr>
      <w:rPr>
        <w:rFonts w:ascii="Symbol" w:hAnsi="Symbol" w:hint="default"/>
      </w:rPr>
    </w:lvl>
    <w:lvl w:ilvl="1" w:tplc="37541506">
      <w:start w:val="1"/>
      <w:numFmt w:val="bullet"/>
      <w:lvlText w:val="o"/>
      <w:lvlJc w:val="left"/>
      <w:pPr>
        <w:ind w:left="1440" w:hanging="360"/>
      </w:pPr>
      <w:rPr>
        <w:rFonts w:ascii="Courier New" w:hAnsi="Courier New" w:hint="default"/>
      </w:rPr>
    </w:lvl>
    <w:lvl w:ilvl="2" w:tplc="C6320BCE">
      <w:start w:val="1"/>
      <w:numFmt w:val="bullet"/>
      <w:lvlText w:val=""/>
      <w:lvlJc w:val="left"/>
      <w:pPr>
        <w:ind w:left="2160" w:hanging="360"/>
      </w:pPr>
      <w:rPr>
        <w:rFonts w:ascii="Wingdings" w:hAnsi="Wingdings" w:hint="default"/>
      </w:rPr>
    </w:lvl>
    <w:lvl w:ilvl="3" w:tplc="1DC20EA8">
      <w:start w:val="1"/>
      <w:numFmt w:val="bullet"/>
      <w:lvlText w:val=""/>
      <w:lvlJc w:val="left"/>
      <w:pPr>
        <w:ind w:left="2880" w:hanging="360"/>
      </w:pPr>
      <w:rPr>
        <w:rFonts w:ascii="Symbol" w:hAnsi="Symbol" w:hint="default"/>
      </w:rPr>
    </w:lvl>
    <w:lvl w:ilvl="4" w:tplc="ABF8E012">
      <w:start w:val="1"/>
      <w:numFmt w:val="bullet"/>
      <w:lvlText w:val="o"/>
      <w:lvlJc w:val="left"/>
      <w:pPr>
        <w:ind w:left="3600" w:hanging="360"/>
      </w:pPr>
      <w:rPr>
        <w:rFonts w:ascii="Courier New" w:hAnsi="Courier New" w:hint="default"/>
      </w:rPr>
    </w:lvl>
    <w:lvl w:ilvl="5" w:tplc="9F7CC340">
      <w:start w:val="1"/>
      <w:numFmt w:val="bullet"/>
      <w:lvlText w:val=""/>
      <w:lvlJc w:val="left"/>
      <w:pPr>
        <w:ind w:left="4320" w:hanging="360"/>
      </w:pPr>
      <w:rPr>
        <w:rFonts w:ascii="Wingdings" w:hAnsi="Wingdings" w:hint="default"/>
      </w:rPr>
    </w:lvl>
    <w:lvl w:ilvl="6" w:tplc="2AF4550E">
      <w:start w:val="1"/>
      <w:numFmt w:val="bullet"/>
      <w:lvlText w:val=""/>
      <w:lvlJc w:val="left"/>
      <w:pPr>
        <w:ind w:left="5040" w:hanging="360"/>
      </w:pPr>
      <w:rPr>
        <w:rFonts w:ascii="Symbol" w:hAnsi="Symbol" w:hint="default"/>
      </w:rPr>
    </w:lvl>
    <w:lvl w:ilvl="7" w:tplc="4ADEBBE6">
      <w:start w:val="1"/>
      <w:numFmt w:val="bullet"/>
      <w:lvlText w:val="o"/>
      <w:lvlJc w:val="left"/>
      <w:pPr>
        <w:ind w:left="5760" w:hanging="360"/>
      </w:pPr>
      <w:rPr>
        <w:rFonts w:ascii="Courier New" w:hAnsi="Courier New" w:hint="default"/>
      </w:rPr>
    </w:lvl>
    <w:lvl w:ilvl="8" w:tplc="155CC6EC">
      <w:start w:val="1"/>
      <w:numFmt w:val="bullet"/>
      <w:lvlText w:val=""/>
      <w:lvlJc w:val="left"/>
      <w:pPr>
        <w:ind w:left="6480" w:hanging="360"/>
      </w:pPr>
      <w:rPr>
        <w:rFonts w:ascii="Wingdings" w:hAnsi="Wingdings" w:hint="default"/>
      </w:rPr>
    </w:lvl>
  </w:abstractNum>
  <w:abstractNum w:abstractNumId="5" w15:restartNumberingAfterBreak="0">
    <w:nsid w:val="2BDF4B79"/>
    <w:multiLevelType w:val="hybridMultilevel"/>
    <w:tmpl w:val="149A9AF6"/>
    <w:lvl w:ilvl="0" w:tplc="AE08D50E">
      <w:start w:val="1"/>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8B517A"/>
    <w:multiLevelType w:val="multilevel"/>
    <w:tmpl w:val="E684F7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FE6367"/>
    <w:multiLevelType w:val="hybridMultilevel"/>
    <w:tmpl w:val="FC62CB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C019C7"/>
    <w:multiLevelType w:val="hybridMultilevel"/>
    <w:tmpl w:val="C756E7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355652B"/>
    <w:multiLevelType w:val="hybridMultilevel"/>
    <w:tmpl w:val="221CE26C"/>
    <w:lvl w:ilvl="0" w:tplc="E25A5124">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46767F7"/>
    <w:multiLevelType w:val="hybridMultilevel"/>
    <w:tmpl w:val="394EB182"/>
    <w:lvl w:ilvl="0" w:tplc="A292338E">
      <w:start w:val="1"/>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8384392">
    <w:abstractNumId w:val="8"/>
  </w:num>
  <w:num w:numId="2" w16cid:durableId="1992051012">
    <w:abstractNumId w:val="0"/>
  </w:num>
  <w:num w:numId="3" w16cid:durableId="1587230472">
    <w:abstractNumId w:val="2"/>
  </w:num>
  <w:num w:numId="4" w16cid:durableId="1272006977">
    <w:abstractNumId w:val="3"/>
  </w:num>
  <w:num w:numId="5" w16cid:durableId="329718438">
    <w:abstractNumId w:val="6"/>
  </w:num>
  <w:num w:numId="6" w16cid:durableId="1777363705">
    <w:abstractNumId w:val="1"/>
  </w:num>
  <w:num w:numId="7" w16cid:durableId="2029289385">
    <w:abstractNumId w:val="7"/>
  </w:num>
  <w:num w:numId="8" w16cid:durableId="1764763708">
    <w:abstractNumId w:val="4"/>
  </w:num>
  <w:num w:numId="9" w16cid:durableId="1072699449">
    <w:abstractNumId w:val="9"/>
  </w:num>
  <w:num w:numId="10" w16cid:durableId="1670519180">
    <w:abstractNumId w:val="5"/>
  </w:num>
  <w:num w:numId="11" w16cid:durableId="552009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0398B"/>
    <w:rsid w:val="000063F4"/>
    <w:rsid w:val="000111E0"/>
    <w:rsid w:val="00011903"/>
    <w:rsid w:val="00012A37"/>
    <w:rsid w:val="00013680"/>
    <w:rsid w:val="00013B37"/>
    <w:rsid w:val="00013C80"/>
    <w:rsid w:val="00013CF1"/>
    <w:rsid w:val="00016A2E"/>
    <w:rsid w:val="00017DBE"/>
    <w:rsid w:val="00017F4F"/>
    <w:rsid w:val="00017FCD"/>
    <w:rsid w:val="00025FF3"/>
    <w:rsid w:val="00027B24"/>
    <w:rsid w:val="00030C6A"/>
    <w:rsid w:val="000378D5"/>
    <w:rsid w:val="000421F0"/>
    <w:rsid w:val="0004373A"/>
    <w:rsid w:val="00046B15"/>
    <w:rsid w:val="00050C00"/>
    <w:rsid w:val="00050DC7"/>
    <w:rsid w:val="00052877"/>
    <w:rsid w:val="00053294"/>
    <w:rsid w:val="00055F27"/>
    <w:rsid w:val="000566D2"/>
    <w:rsid w:val="0006074F"/>
    <w:rsid w:val="000608E2"/>
    <w:rsid w:val="000618B1"/>
    <w:rsid w:val="0006254D"/>
    <w:rsid w:val="000629EA"/>
    <w:rsid w:val="00065BCD"/>
    <w:rsid w:val="000666A9"/>
    <w:rsid w:val="000676DF"/>
    <w:rsid w:val="000742E6"/>
    <w:rsid w:val="00076109"/>
    <w:rsid w:val="00076CC3"/>
    <w:rsid w:val="0007746F"/>
    <w:rsid w:val="000777D0"/>
    <w:rsid w:val="00077C4F"/>
    <w:rsid w:val="00080CDD"/>
    <w:rsid w:val="00080EAC"/>
    <w:rsid w:val="000825B5"/>
    <w:rsid w:val="00084472"/>
    <w:rsid w:val="000876BA"/>
    <w:rsid w:val="00090EEB"/>
    <w:rsid w:val="000939F2"/>
    <w:rsid w:val="00093F78"/>
    <w:rsid w:val="00094BD5"/>
    <w:rsid w:val="00094D5B"/>
    <w:rsid w:val="00095EBD"/>
    <w:rsid w:val="00096114"/>
    <w:rsid w:val="000A052A"/>
    <w:rsid w:val="000A4142"/>
    <w:rsid w:val="000A4E4A"/>
    <w:rsid w:val="000A5740"/>
    <w:rsid w:val="000A6A94"/>
    <w:rsid w:val="000A6D85"/>
    <w:rsid w:val="000B0AA8"/>
    <w:rsid w:val="000B6982"/>
    <w:rsid w:val="000B71B7"/>
    <w:rsid w:val="000C05A5"/>
    <w:rsid w:val="000C3948"/>
    <w:rsid w:val="000D166D"/>
    <w:rsid w:val="000D1E59"/>
    <w:rsid w:val="000D2D08"/>
    <w:rsid w:val="000D3B60"/>
    <w:rsid w:val="000D4B04"/>
    <w:rsid w:val="000D50DA"/>
    <w:rsid w:val="000D5F7D"/>
    <w:rsid w:val="000D6BDA"/>
    <w:rsid w:val="000E08B5"/>
    <w:rsid w:val="000E13AC"/>
    <w:rsid w:val="000E2605"/>
    <w:rsid w:val="000E4444"/>
    <w:rsid w:val="000E566B"/>
    <w:rsid w:val="000E5E33"/>
    <w:rsid w:val="000F15F1"/>
    <w:rsid w:val="000F319E"/>
    <w:rsid w:val="000F4F5B"/>
    <w:rsid w:val="000F54E1"/>
    <w:rsid w:val="000F54FD"/>
    <w:rsid w:val="000F5BDD"/>
    <w:rsid w:val="000F5FD8"/>
    <w:rsid w:val="000F7E7B"/>
    <w:rsid w:val="0010117F"/>
    <w:rsid w:val="0010412F"/>
    <w:rsid w:val="00105914"/>
    <w:rsid w:val="001066A7"/>
    <w:rsid w:val="00107199"/>
    <w:rsid w:val="00112FE7"/>
    <w:rsid w:val="00113B5C"/>
    <w:rsid w:val="001152D3"/>
    <w:rsid w:val="00115EA2"/>
    <w:rsid w:val="001167C0"/>
    <w:rsid w:val="00117778"/>
    <w:rsid w:val="00117A5D"/>
    <w:rsid w:val="00117B3E"/>
    <w:rsid w:val="00120341"/>
    <w:rsid w:val="00120740"/>
    <w:rsid w:val="0012075E"/>
    <w:rsid w:val="001210BD"/>
    <w:rsid w:val="00121283"/>
    <w:rsid w:val="001236BC"/>
    <w:rsid w:val="00124D35"/>
    <w:rsid w:val="00124EA3"/>
    <w:rsid w:val="00124FE2"/>
    <w:rsid w:val="001315E1"/>
    <w:rsid w:val="0013180F"/>
    <w:rsid w:val="0013384C"/>
    <w:rsid w:val="0013416B"/>
    <w:rsid w:val="001347BF"/>
    <w:rsid w:val="001350D4"/>
    <w:rsid w:val="00135C2A"/>
    <w:rsid w:val="00135E45"/>
    <w:rsid w:val="00135F14"/>
    <w:rsid w:val="00136052"/>
    <w:rsid w:val="00137383"/>
    <w:rsid w:val="00142817"/>
    <w:rsid w:val="001437DD"/>
    <w:rsid w:val="001438DD"/>
    <w:rsid w:val="001451CC"/>
    <w:rsid w:val="00146EAB"/>
    <w:rsid w:val="001514D6"/>
    <w:rsid w:val="00152807"/>
    <w:rsid w:val="00152FAD"/>
    <w:rsid w:val="00155A64"/>
    <w:rsid w:val="00155AF0"/>
    <w:rsid w:val="00157BEE"/>
    <w:rsid w:val="00160B35"/>
    <w:rsid w:val="001630EA"/>
    <w:rsid w:val="00163D8D"/>
    <w:rsid w:val="0016665C"/>
    <w:rsid w:val="00174114"/>
    <w:rsid w:val="001752A4"/>
    <w:rsid w:val="00182A3D"/>
    <w:rsid w:val="0018336B"/>
    <w:rsid w:val="00186FFC"/>
    <w:rsid w:val="00192895"/>
    <w:rsid w:val="00192E3E"/>
    <w:rsid w:val="00193ECE"/>
    <w:rsid w:val="00195963"/>
    <w:rsid w:val="00197922"/>
    <w:rsid w:val="00197DAD"/>
    <w:rsid w:val="001A0C37"/>
    <w:rsid w:val="001A18B8"/>
    <w:rsid w:val="001A32F1"/>
    <w:rsid w:val="001A6C85"/>
    <w:rsid w:val="001A76FA"/>
    <w:rsid w:val="001B0E0B"/>
    <w:rsid w:val="001B0F7A"/>
    <w:rsid w:val="001B3400"/>
    <w:rsid w:val="001B633C"/>
    <w:rsid w:val="001B735F"/>
    <w:rsid w:val="001C02EC"/>
    <w:rsid w:val="001C2AA0"/>
    <w:rsid w:val="001C3D56"/>
    <w:rsid w:val="001C7E84"/>
    <w:rsid w:val="001D0D34"/>
    <w:rsid w:val="001D36CB"/>
    <w:rsid w:val="001D3B32"/>
    <w:rsid w:val="001D6380"/>
    <w:rsid w:val="001E2B66"/>
    <w:rsid w:val="001E2E85"/>
    <w:rsid w:val="001F1E68"/>
    <w:rsid w:val="001F2C50"/>
    <w:rsid w:val="001F2EC6"/>
    <w:rsid w:val="001F3095"/>
    <w:rsid w:val="001F389F"/>
    <w:rsid w:val="001F3B19"/>
    <w:rsid w:val="001F40EE"/>
    <w:rsid w:val="001F56DC"/>
    <w:rsid w:val="001F5E59"/>
    <w:rsid w:val="001F65D0"/>
    <w:rsid w:val="001F6633"/>
    <w:rsid w:val="0020024E"/>
    <w:rsid w:val="00200E6E"/>
    <w:rsid w:val="00200FB5"/>
    <w:rsid w:val="002025FD"/>
    <w:rsid w:val="002032F3"/>
    <w:rsid w:val="00203784"/>
    <w:rsid w:val="002043C4"/>
    <w:rsid w:val="00205D70"/>
    <w:rsid w:val="002074B1"/>
    <w:rsid w:val="00212CBF"/>
    <w:rsid w:val="002138D3"/>
    <w:rsid w:val="002139D3"/>
    <w:rsid w:val="00214902"/>
    <w:rsid w:val="002164DA"/>
    <w:rsid w:val="002171C2"/>
    <w:rsid w:val="00217CB1"/>
    <w:rsid w:val="00217D6A"/>
    <w:rsid w:val="00217E59"/>
    <w:rsid w:val="00222207"/>
    <w:rsid w:val="00223303"/>
    <w:rsid w:val="0022359E"/>
    <w:rsid w:val="002238F9"/>
    <w:rsid w:val="00227E98"/>
    <w:rsid w:val="00232128"/>
    <w:rsid w:val="00232512"/>
    <w:rsid w:val="002336B8"/>
    <w:rsid w:val="00234FDE"/>
    <w:rsid w:val="002354E2"/>
    <w:rsid w:val="00235E95"/>
    <w:rsid w:val="00241E56"/>
    <w:rsid w:val="002443F7"/>
    <w:rsid w:val="0024493F"/>
    <w:rsid w:val="00244983"/>
    <w:rsid w:val="0024518C"/>
    <w:rsid w:val="00245CED"/>
    <w:rsid w:val="00247AF2"/>
    <w:rsid w:val="002501ED"/>
    <w:rsid w:val="00250916"/>
    <w:rsid w:val="0025354A"/>
    <w:rsid w:val="00253783"/>
    <w:rsid w:val="0025421C"/>
    <w:rsid w:val="002543FF"/>
    <w:rsid w:val="00254F71"/>
    <w:rsid w:val="00256886"/>
    <w:rsid w:val="00257F72"/>
    <w:rsid w:val="00261D8D"/>
    <w:rsid w:val="00263A42"/>
    <w:rsid w:val="0026421D"/>
    <w:rsid w:val="0026768C"/>
    <w:rsid w:val="0027010C"/>
    <w:rsid w:val="00270F04"/>
    <w:rsid w:val="00272F38"/>
    <w:rsid w:val="002761D1"/>
    <w:rsid w:val="002810C1"/>
    <w:rsid w:val="00284B02"/>
    <w:rsid w:val="002925B2"/>
    <w:rsid w:val="00293C13"/>
    <w:rsid w:val="00294D16"/>
    <w:rsid w:val="00294FFA"/>
    <w:rsid w:val="00295A2F"/>
    <w:rsid w:val="002961FE"/>
    <w:rsid w:val="00297DA9"/>
    <w:rsid w:val="002A0E0B"/>
    <w:rsid w:val="002A23A8"/>
    <w:rsid w:val="002A6205"/>
    <w:rsid w:val="002A73FE"/>
    <w:rsid w:val="002A7E64"/>
    <w:rsid w:val="002B0140"/>
    <w:rsid w:val="002B56C9"/>
    <w:rsid w:val="002B5B87"/>
    <w:rsid w:val="002B7507"/>
    <w:rsid w:val="002C3253"/>
    <w:rsid w:val="002C3DCD"/>
    <w:rsid w:val="002C40D8"/>
    <w:rsid w:val="002D12FD"/>
    <w:rsid w:val="002E0422"/>
    <w:rsid w:val="002E1198"/>
    <w:rsid w:val="002E151F"/>
    <w:rsid w:val="002E1CC7"/>
    <w:rsid w:val="002E2FF9"/>
    <w:rsid w:val="002E3BDD"/>
    <w:rsid w:val="002E3FB7"/>
    <w:rsid w:val="002F01D9"/>
    <w:rsid w:val="002F03FA"/>
    <w:rsid w:val="002F3DCD"/>
    <w:rsid w:val="002F3F67"/>
    <w:rsid w:val="002F4623"/>
    <w:rsid w:val="002F4C0F"/>
    <w:rsid w:val="003004D2"/>
    <w:rsid w:val="00302CBD"/>
    <w:rsid w:val="00303174"/>
    <w:rsid w:val="00303AC9"/>
    <w:rsid w:val="00304F5F"/>
    <w:rsid w:val="00311AFE"/>
    <w:rsid w:val="00313214"/>
    <w:rsid w:val="00314B6B"/>
    <w:rsid w:val="00316E6F"/>
    <w:rsid w:val="00323B7A"/>
    <w:rsid w:val="00326F99"/>
    <w:rsid w:val="003277BF"/>
    <w:rsid w:val="00330064"/>
    <w:rsid w:val="0033042C"/>
    <w:rsid w:val="0033216C"/>
    <w:rsid w:val="003349A3"/>
    <w:rsid w:val="00337B8D"/>
    <w:rsid w:val="00337C75"/>
    <w:rsid w:val="003422DC"/>
    <w:rsid w:val="00344782"/>
    <w:rsid w:val="00345EFE"/>
    <w:rsid w:val="00350686"/>
    <w:rsid w:val="00350A0C"/>
    <w:rsid w:val="00354030"/>
    <w:rsid w:val="003545A7"/>
    <w:rsid w:val="003546C1"/>
    <w:rsid w:val="00355231"/>
    <w:rsid w:val="00356C8E"/>
    <w:rsid w:val="00356F26"/>
    <w:rsid w:val="00357516"/>
    <w:rsid w:val="00360318"/>
    <w:rsid w:val="0036038B"/>
    <w:rsid w:val="00361DED"/>
    <w:rsid w:val="00363E28"/>
    <w:rsid w:val="00363FDB"/>
    <w:rsid w:val="003664F5"/>
    <w:rsid w:val="0036702E"/>
    <w:rsid w:val="0036719C"/>
    <w:rsid w:val="00367D7C"/>
    <w:rsid w:val="003749BC"/>
    <w:rsid w:val="003750C8"/>
    <w:rsid w:val="00375DA0"/>
    <w:rsid w:val="00376E1B"/>
    <w:rsid w:val="00377967"/>
    <w:rsid w:val="00381651"/>
    <w:rsid w:val="00381BCD"/>
    <w:rsid w:val="00381EB0"/>
    <w:rsid w:val="00382D59"/>
    <w:rsid w:val="00384EB9"/>
    <w:rsid w:val="003856A2"/>
    <w:rsid w:val="00386143"/>
    <w:rsid w:val="0038660F"/>
    <w:rsid w:val="00387187"/>
    <w:rsid w:val="003874DD"/>
    <w:rsid w:val="00393482"/>
    <w:rsid w:val="00393823"/>
    <w:rsid w:val="00394F3E"/>
    <w:rsid w:val="00395399"/>
    <w:rsid w:val="003979AA"/>
    <w:rsid w:val="003A0626"/>
    <w:rsid w:val="003A38C7"/>
    <w:rsid w:val="003A570C"/>
    <w:rsid w:val="003A5982"/>
    <w:rsid w:val="003A6E62"/>
    <w:rsid w:val="003B1983"/>
    <w:rsid w:val="003B4051"/>
    <w:rsid w:val="003B4821"/>
    <w:rsid w:val="003B4C35"/>
    <w:rsid w:val="003B4DAA"/>
    <w:rsid w:val="003B58DC"/>
    <w:rsid w:val="003B6BA2"/>
    <w:rsid w:val="003C1D86"/>
    <w:rsid w:val="003C286E"/>
    <w:rsid w:val="003C3899"/>
    <w:rsid w:val="003C46B9"/>
    <w:rsid w:val="003C50E8"/>
    <w:rsid w:val="003C6E93"/>
    <w:rsid w:val="003D1561"/>
    <w:rsid w:val="003D1DE1"/>
    <w:rsid w:val="003D346D"/>
    <w:rsid w:val="003D7D59"/>
    <w:rsid w:val="003E0BBC"/>
    <w:rsid w:val="003E23AD"/>
    <w:rsid w:val="003E2E5C"/>
    <w:rsid w:val="003E7A32"/>
    <w:rsid w:val="003E7BE4"/>
    <w:rsid w:val="003F0121"/>
    <w:rsid w:val="003F244D"/>
    <w:rsid w:val="003F5E42"/>
    <w:rsid w:val="003F686E"/>
    <w:rsid w:val="003F6907"/>
    <w:rsid w:val="003F7083"/>
    <w:rsid w:val="003F734A"/>
    <w:rsid w:val="003F7679"/>
    <w:rsid w:val="004000CB"/>
    <w:rsid w:val="00402998"/>
    <w:rsid w:val="00402F4E"/>
    <w:rsid w:val="00403B91"/>
    <w:rsid w:val="0040574A"/>
    <w:rsid w:val="00410A0D"/>
    <w:rsid w:val="00411B67"/>
    <w:rsid w:val="00413E23"/>
    <w:rsid w:val="00415919"/>
    <w:rsid w:val="004172C9"/>
    <w:rsid w:val="0042045C"/>
    <w:rsid w:val="00423815"/>
    <w:rsid w:val="004303E2"/>
    <w:rsid w:val="0043127B"/>
    <w:rsid w:val="004315FE"/>
    <w:rsid w:val="00431827"/>
    <w:rsid w:val="00431A16"/>
    <w:rsid w:val="00435F20"/>
    <w:rsid w:val="004400D3"/>
    <w:rsid w:val="00442552"/>
    <w:rsid w:val="00442D2A"/>
    <w:rsid w:val="00445D1B"/>
    <w:rsid w:val="00446FD8"/>
    <w:rsid w:val="004540B6"/>
    <w:rsid w:val="004544F0"/>
    <w:rsid w:val="00454D51"/>
    <w:rsid w:val="0045502D"/>
    <w:rsid w:val="004554F5"/>
    <w:rsid w:val="00455A1C"/>
    <w:rsid w:val="00460C28"/>
    <w:rsid w:val="00460F2B"/>
    <w:rsid w:val="00461176"/>
    <w:rsid w:val="00464245"/>
    <w:rsid w:val="00465423"/>
    <w:rsid w:val="0046593D"/>
    <w:rsid w:val="00466121"/>
    <w:rsid w:val="004675B5"/>
    <w:rsid w:val="0047058D"/>
    <w:rsid w:val="00473A7B"/>
    <w:rsid w:val="00473F3A"/>
    <w:rsid w:val="00475712"/>
    <w:rsid w:val="004757E3"/>
    <w:rsid w:val="004770D6"/>
    <w:rsid w:val="0048152D"/>
    <w:rsid w:val="00491B52"/>
    <w:rsid w:val="0049201F"/>
    <w:rsid w:val="0049246C"/>
    <w:rsid w:val="004924A9"/>
    <w:rsid w:val="0049383C"/>
    <w:rsid w:val="004938A8"/>
    <w:rsid w:val="00493A0E"/>
    <w:rsid w:val="00496F32"/>
    <w:rsid w:val="004A0FB2"/>
    <w:rsid w:val="004A624D"/>
    <w:rsid w:val="004A674A"/>
    <w:rsid w:val="004A717B"/>
    <w:rsid w:val="004A78F0"/>
    <w:rsid w:val="004B2B99"/>
    <w:rsid w:val="004B384D"/>
    <w:rsid w:val="004C10E7"/>
    <w:rsid w:val="004C15AA"/>
    <w:rsid w:val="004C69CE"/>
    <w:rsid w:val="004D1066"/>
    <w:rsid w:val="004D1F2E"/>
    <w:rsid w:val="004D4D51"/>
    <w:rsid w:val="004D5484"/>
    <w:rsid w:val="004D741E"/>
    <w:rsid w:val="004E0ED1"/>
    <w:rsid w:val="004E2DDC"/>
    <w:rsid w:val="004E3CC1"/>
    <w:rsid w:val="004E4B89"/>
    <w:rsid w:val="004E509D"/>
    <w:rsid w:val="004E62CB"/>
    <w:rsid w:val="004F2AA0"/>
    <w:rsid w:val="004F3AE0"/>
    <w:rsid w:val="004F3F6C"/>
    <w:rsid w:val="004F4810"/>
    <w:rsid w:val="004F4B2E"/>
    <w:rsid w:val="004F4F16"/>
    <w:rsid w:val="004F6117"/>
    <w:rsid w:val="004F63F1"/>
    <w:rsid w:val="004F651E"/>
    <w:rsid w:val="004F6E9D"/>
    <w:rsid w:val="005031FB"/>
    <w:rsid w:val="00505CF7"/>
    <w:rsid w:val="00507AF5"/>
    <w:rsid w:val="00510C48"/>
    <w:rsid w:val="00515432"/>
    <w:rsid w:val="005176B9"/>
    <w:rsid w:val="00522AC3"/>
    <w:rsid w:val="0052596B"/>
    <w:rsid w:val="005279B4"/>
    <w:rsid w:val="00527BA5"/>
    <w:rsid w:val="00531201"/>
    <w:rsid w:val="005319AC"/>
    <w:rsid w:val="005352BF"/>
    <w:rsid w:val="0053649F"/>
    <w:rsid w:val="00536B54"/>
    <w:rsid w:val="00537229"/>
    <w:rsid w:val="005425F0"/>
    <w:rsid w:val="0054386D"/>
    <w:rsid w:val="005445A8"/>
    <w:rsid w:val="00545FEF"/>
    <w:rsid w:val="005462B0"/>
    <w:rsid w:val="00546D52"/>
    <w:rsid w:val="00547B43"/>
    <w:rsid w:val="005541B1"/>
    <w:rsid w:val="00554D52"/>
    <w:rsid w:val="00554D8D"/>
    <w:rsid w:val="00556270"/>
    <w:rsid w:val="00556EE0"/>
    <w:rsid w:val="005600B7"/>
    <w:rsid w:val="00560DCB"/>
    <w:rsid w:val="00565723"/>
    <w:rsid w:val="00566530"/>
    <w:rsid w:val="00567D19"/>
    <w:rsid w:val="00571197"/>
    <w:rsid w:val="0057187A"/>
    <w:rsid w:val="00571D4A"/>
    <w:rsid w:val="00573835"/>
    <w:rsid w:val="005757C3"/>
    <w:rsid w:val="005771DF"/>
    <w:rsid w:val="00581306"/>
    <w:rsid w:val="00582ADC"/>
    <w:rsid w:val="00583C04"/>
    <w:rsid w:val="0058432E"/>
    <w:rsid w:val="005843BA"/>
    <w:rsid w:val="00586327"/>
    <w:rsid w:val="00586ED2"/>
    <w:rsid w:val="00586FF8"/>
    <w:rsid w:val="00590880"/>
    <w:rsid w:val="00594540"/>
    <w:rsid w:val="005953C5"/>
    <w:rsid w:val="005966C7"/>
    <w:rsid w:val="005A030A"/>
    <w:rsid w:val="005A1484"/>
    <w:rsid w:val="005A27D5"/>
    <w:rsid w:val="005A3CCC"/>
    <w:rsid w:val="005B6617"/>
    <w:rsid w:val="005B7772"/>
    <w:rsid w:val="005C057A"/>
    <w:rsid w:val="005C3105"/>
    <w:rsid w:val="005C633D"/>
    <w:rsid w:val="005C6AF3"/>
    <w:rsid w:val="005C7303"/>
    <w:rsid w:val="005C73CE"/>
    <w:rsid w:val="005D1E6F"/>
    <w:rsid w:val="005D3AA3"/>
    <w:rsid w:val="005D5AA9"/>
    <w:rsid w:val="005D5DF2"/>
    <w:rsid w:val="005D73A1"/>
    <w:rsid w:val="005D7F0A"/>
    <w:rsid w:val="005E027C"/>
    <w:rsid w:val="005E7E84"/>
    <w:rsid w:val="005F6380"/>
    <w:rsid w:val="006015CB"/>
    <w:rsid w:val="00603732"/>
    <w:rsid w:val="00606D12"/>
    <w:rsid w:val="00607315"/>
    <w:rsid w:val="006101AB"/>
    <w:rsid w:val="006115AF"/>
    <w:rsid w:val="0061398E"/>
    <w:rsid w:val="00613CAF"/>
    <w:rsid w:val="00614F44"/>
    <w:rsid w:val="006151F0"/>
    <w:rsid w:val="006172DF"/>
    <w:rsid w:val="00617335"/>
    <w:rsid w:val="00621146"/>
    <w:rsid w:val="00622C80"/>
    <w:rsid w:val="0062590C"/>
    <w:rsid w:val="00625E16"/>
    <w:rsid w:val="00634017"/>
    <w:rsid w:val="00636A58"/>
    <w:rsid w:val="006373A4"/>
    <w:rsid w:val="00643DFC"/>
    <w:rsid w:val="00646120"/>
    <w:rsid w:val="00650E8B"/>
    <w:rsid w:val="006540CD"/>
    <w:rsid w:val="006568DA"/>
    <w:rsid w:val="00657BB6"/>
    <w:rsid w:val="00662FC4"/>
    <w:rsid w:val="00664533"/>
    <w:rsid w:val="00665AE5"/>
    <w:rsid w:val="00665EA9"/>
    <w:rsid w:val="0066622E"/>
    <w:rsid w:val="00666E5D"/>
    <w:rsid w:val="006718D7"/>
    <w:rsid w:val="006730DA"/>
    <w:rsid w:val="006740A3"/>
    <w:rsid w:val="00677425"/>
    <w:rsid w:val="00682C65"/>
    <w:rsid w:val="00684918"/>
    <w:rsid w:val="0068739E"/>
    <w:rsid w:val="0069085B"/>
    <w:rsid w:val="0069262B"/>
    <w:rsid w:val="006926D2"/>
    <w:rsid w:val="00692C2F"/>
    <w:rsid w:val="00694D50"/>
    <w:rsid w:val="00695797"/>
    <w:rsid w:val="00696A5E"/>
    <w:rsid w:val="00697C83"/>
    <w:rsid w:val="006A1301"/>
    <w:rsid w:val="006A3C1D"/>
    <w:rsid w:val="006A4F5A"/>
    <w:rsid w:val="006A4FD3"/>
    <w:rsid w:val="006A7451"/>
    <w:rsid w:val="006B0A7B"/>
    <w:rsid w:val="006B3B69"/>
    <w:rsid w:val="006B640F"/>
    <w:rsid w:val="006C0AC6"/>
    <w:rsid w:val="006C1AD9"/>
    <w:rsid w:val="006C2161"/>
    <w:rsid w:val="006C21DB"/>
    <w:rsid w:val="006C22CA"/>
    <w:rsid w:val="006C2BB9"/>
    <w:rsid w:val="006C2E47"/>
    <w:rsid w:val="006C321A"/>
    <w:rsid w:val="006C4552"/>
    <w:rsid w:val="006C4EFD"/>
    <w:rsid w:val="006C6F5E"/>
    <w:rsid w:val="006D4D81"/>
    <w:rsid w:val="006D5706"/>
    <w:rsid w:val="006D5C5A"/>
    <w:rsid w:val="006D7A6C"/>
    <w:rsid w:val="006D7DEC"/>
    <w:rsid w:val="006E3380"/>
    <w:rsid w:val="006E5D6C"/>
    <w:rsid w:val="006E6F6D"/>
    <w:rsid w:val="006E7F64"/>
    <w:rsid w:val="006F0321"/>
    <w:rsid w:val="006F05F9"/>
    <w:rsid w:val="006F1B5A"/>
    <w:rsid w:val="006F30B3"/>
    <w:rsid w:val="006F35B2"/>
    <w:rsid w:val="006F3C24"/>
    <w:rsid w:val="006F709C"/>
    <w:rsid w:val="00701180"/>
    <w:rsid w:val="0070130D"/>
    <w:rsid w:val="0070180B"/>
    <w:rsid w:val="0070309D"/>
    <w:rsid w:val="00703179"/>
    <w:rsid w:val="007034A8"/>
    <w:rsid w:val="00703B37"/>
    <w:rsid w:val="00705378"/>
    <w:rsid w:val="00714D28"/>
    <w:rsid w:val="00716875"/>
    <w:rsid w:val="00717597"/>
    <w:rsid w:val="00721452"/>
    <w:rsid w:val="00724752"/>
    <w:rsid w:val="007261D5"/>
    <w:rsid w:val="00726432"/>
    <w:rsid w:val="00727423"/>
    <w:rsid w:val="0073137B"/>
    <w:rsid w:val="00731FEC"/>
    <w:rsid w:val="00732207"/>
    <w:rsid w:val="00734613"/>
    <w:rsid w:val="007353B4"/>
    <w:rsid w:val="007367D6"/>
    <w:rsid w:val="0073699F"/>
    <w:rsid w:val="00737C07"/>
    <w:rsid w:val="00740E32"/>
    <w:rsid w:val="00741D2F"/>
    <w:rsid w:val="007423C4"/>
    <w:rsid w:val="00742810"/>
    <w:rsid w:val="0074681B"/>
    <w:rsid w:val="00746B3D"/>
    <w:rsid w:val="007508F0"/>
    <w:rsid w:val="00751910"/>
    <w:rsid w:val="00751B05"/>
    <w:rsid w:val="00751E60"/>
    <w:rsid w:val="007547B5"/>
    <w:rsid w:val="00757651"/>
    <w:rsid w:val="00757D30"/>
    <w:rsid w:val="00760853"/>
    <w:rsid w:val="00765191"/>
    <w:rsid w:val="00765420"/>
    <w:rsid w:val="00766216"/>
    <w:rsid w:val="0077168F"/>
    <w:rsid w:val="00772777"/>
    <w:rsid w:val="00773049"/>
    <w:rsid w:val="00776664"/>
    <w:rsid w:val="00777991"/>
    <w:rsid w:val="00777F53"/>
    <w:rsid w:val="00780202"/>
    <w:rsid w:val="00781195"/>
    <w:rsid w:val="00783131"/>
    <w:rsid w:val="00787646"/>
    <w:rsid w:val="00790DE0"/>
    <w:rsid w:val="00793558"/>
    <w:rsid w:val="00795A9E"/>
    <w:rsid w:val="0079705B"/>
    <w:rsid w:val="007A2276"/>
    <w:rsid w:val="007A3E67"/>
    <w:rsid w:val="007A4209"/>
    <w:rsid w:val="007A606D"/>
    <w:rsid w:val="007A62A0"/>
    <w:rsid w:val="007A670A"/>
    <w:rsid w:val="007B2DC9"/>
    <w:rsid w:val="007B399F"/>
    <w:rsid w:val="007B425C"/>
    <w:rsid w:val="007B47A3"/>
    <w:rsid w:val="007B50AA"/>
    <w:rsid w:val="007B60A3"/>
    <w:rsid w:val="007C156B"/>
    <w:rsid w:val="007C2214"/>
    <w:rsid w:val="007C368A"/>
    <w:rsid w:val="007D06D2"/>
    <w:rsid w:val="007D0A29"/>
    <w:rsid w:val="007D1EEB"/>
    <w:rsid w:val="007D28ED"/>
    <w:rsid w:val="007D399B"/>
    <w:rsid w:val="007D3EF9"/>
    <w:rsid w:val="007D4D75"/>
    <w:rsid w:val="007D75D0"/>
    <w:rsid w:val="007D78D2"/>
    <w:rsid w:val="007E0CF6"/>
    <w:rsid w:val="007E342F"/>
    <w:rsid w:val="007E4205"/>
    <w:rsid w:val="007E4DD9"/>
    <w:rsid w:val="007E5810"/>
    <w:rsid w:val="007E7548"/>
    <w:rsid w:val="007E782F"/>
    <w:rsid w:val="007F2CE8"/>
    <w:rsid w:val="007F3399"/>
    <w:rsid w:val="007F4090"/>
    <w:rsid w:val="007F4C85"/>
    <w:rsid w:val="007F4F94"/>
    <w:rsid w:val="007F6608"/>
    <w:rsid w:val="00800BFA"/>
    <w:rsid w:val="0080151D"/>
    <w:rsid w:val="0080168C"/>
    <w:rsid w:val="00802DEC"/>
    <w:rsid w:val="0080410A"/>
    <w:rsid w:val="00807B48"/>
    <w:rsid w:val="008135CA"/>
    <w:rsid w:val="008148B8"/>
    <w:rsid w:val="0081584F"/>
    <w:rsid w:val="008161CC"/>
    <w:rsid w:val="00816B37"/>
    <w:rsid w:val="008215E8"/>
    <w:rsid w:val="008224A9"/>
    <w:rsid w:val="008234D3"/>
    <w:rsid w:val="00823C7F"/>
    <w:rsid w:val="00824397"/>
    <w:rsid w:val="00826000"/>
    <w:rsid w:val="00826228"/>
    <w:rsid w:val="008303AE"/>
    <w:rsid w:val="00833B4E"/>
    <w:rsid w:val="00834A99"/>
    <w:rsid w:val="008378D5"/>
    <w:rsid w:val="00840162"/>
    <w:rsid w:val="00840309"/>
    <w:rsid w:val="00840478"/>
    <w:rsid w:val="008406D9"/>
    <w:rsid w:val="00841C51"/>
    <w:rsid w:val="00842E77"/>
    <w:rsid w:val="00843591"/>
    <w:rsid w:val="00843857"/>
    <w:rsid w:val="00846280"/>
    <w:rsid w:val="00847EAE"/>
    <w:rsid w:val="00850D34"/>
    <w:rsid w:val="00851103"/>
    <w:rsid w:val="0085279F"/>
    <w:rsid w:val="00852AFD"/>
    <w:rsid w:val="00852F20"/>
    <w:rsid w:val="00854379"/>
    <w:rsid w:val="0085624F"/>
    <w:rsid w:val="0085709D"/>
    <w:rsid w:val="00861270"/>
    <w:rsid w:val="008618ED"/>
    <w:rsid w:val="008625B7"/>
    <w:rsid w:val="00863D2D"/>
    <w:rsid w:val="00866D42"/>
    <w:rsid w:val="008672AC"/>
    <w:rsid w:val="00867305"/>
    <w:rsid w:val="008674FA"/>
    <w:rsid w:val="008703BF"/>
    <w:rsid w:val="00870913"/>
    <w:rsid w:val="00871637"/>
    <w:rsid w:val="008719E1"/>
    <w:rsid w:val="00873633"/>
    <w:rsid w:val="00874724"/>
    <w:rsid w:val="0088320A"/>
    <w:rsid w:val="00884525"/>
    <w:rsid w:val="008867CA"/>
    <w:rsid w:val="008879C5"/>
    <w:rsid w:val="008925CE"/>
    <w:rsid w:val="00892C86"/>
    <w:rsid w:val="008A23EE"/>
    <w:rsid w:val="008A47A7"/>
    <w:rsid w:val="008A5492"/>
    <w:rsid w:val="008A7398"/>
    <w:rsid w:val="008A7EBB"/>
    <w:rsid w:val="008B1667"/>
    <w:rsid w:val="008B207A"/>
    <w:rsid w:val="008B27CB"/>
    <w:rsid w:val="008B58BE"/>
    <w:rsid w:val="008B7280"/>
    <w:rsid w:val="008B7766"/>
    <w:rsid w:val="008B7920"/>
    <w:rsid w:val="008C0411"/>
    <w:rsid w:val="008C102A"/>
    <w:rsid w:val="008C2E08"/>
    <w:rsid w:val="008C4109"/>
    <w:rsid w:val="008C4D41"/>
    <w:rsid w:val="008C580D"/>
    <w:rsid w:val="008C78B6"/>
    <w:rsid w:val="008D0441"/>
    <w:rsid w:val="008D1594"/>
    <w:rsid w:val="008E14B9"/>
    <w:rsid w:val="008E16F0"/>
    <w:rsid w:val="008E1C93"/>
    <w:rsid w:val="008E32C8"/>
    <w:rsid w:val="008E352D"/>
    <w:rsid w:val="008F1278"/>
    <w:rsid w:val="008F2E48"/>
    <w:rsid w:val="008F51BD"/>
    <w:rsid w:val="008F791D"/>
    <w:rsid w:val="00900851"/>
    <w:rsid w:val="00900DDA"/>
    <w:rsid w:val="00902612"/>
    <w:rsid w:val="00903C63"/>
    <w:rsid w:val="0090508C"/>
    <w:rsid w:val="00905480"/>
    <w:rsid w:val="00905D48"/>
    <w:rsid w:val="009101BC"/>
    <w:rsid w:val="00910E55"/>
    <w:rsid w:val="00911303"/>
    <w:rsid w:val="009128DD"/>
    <w:rsid w:val="009131F8"/>
    <w:rsid w:val="00913844"/>
    <w:rsid w:val="00913BB5"/>
    <w:rsid w:val="00914A4C"/>
    <w:rsid w:val="00915CA8"/>
    <w:rsid w:val="009175C7"/>
    <w:rsid w:val="009204BF"/>
    <w:rsid w:val="009212CE"/>
    <w:rsid w:val="009226B1"/>
    <w:rsid w:val="009245F9"/>
    <w:rsid w:val="0093320B"/>
    <w:rsid w:val="00934A43"/>
    <w:rsid w:val="009354C8"/>
    <w:rsid w:val="00936B8B"/>
    <w:rsid w:val="00942909"/>
    <w:rsid w:val="00944CD5"/>
    <w:rsid w:val="00945166"/>
    <w:rsid w:val="00947432"/>
    <w:rsid w:val="00947B33"/>
    <w:rsid w:val="00947E08"/>
    <w:rsid w:val="0095060A"/>
    <w:rsid w:val="009525D9"/>
    <w:rsid w:val="00956D28"/>
    <w:rsid w:val="00957926"/>
    <w:rsid w:val="00961BCD"/>
    <w:rsid w:val="00962460"/>
    <w:rsid w:val="009631D5"/>
    <w:rsid w:val="00963342"/>
    <w:rsid w:val="00965E3D"/>
    <w:rsid w:val="00965FD8"/>
    <w:rsid w:val="00967D38"/>
    <w:rsid w:val="00972FCF"/>
    <w:rsid w:val="009741EF"/>
    <w:rsid w:val="00974A28"/>
    <w:rsid w:val="00976F05"/>
    <w:rsid w:val="00981F45"/>
    <w:rsid w:val="0098421F"/>
    <w:rsid w:val="009845B0"/>
    <w:rsid w:val="009847AB"/>
    <w:rsid w:val="009858F8"/>
    <w:rsid w:val="009864CB"/>
    <w:rsid w:val="009868A9"/>
    <w:rsid w:val="00987ECD"/>
    <w:rsid w:val="009901EA"/>
    <w:rsid w:val="00990DF2"/>
    <w:rsid w:val="00993C00"/>
    <w:rsid w:val="00994D12"/>
    <w:rsid w:val="009965BF"/>
    <w:rsid w:val="009969E8"/>
    <w:rsid w:val="009A3046"/>
    <w:rsid w:val="009A363C"/>
    <w:rsid w:val="009A3662"/>
    <w:rsid w:val="009A5259"/>
    <w:rsid w:val="009A53D5"/>
    <w:rsid w:val="009A6280"/>
    <w:rsid w:val="009A6FC3"/>
    <w:rsid w:val="009A74D9"/>
    <w:rsid w:val="009B102E"/>
    <w:rsid w:val="009B10F0"/>
    <w:rsid w:val="009B128B"/>
    <w:rsid w:val="009B1570"/>
    <w:rsid w:val="009B1DD7"/>
    <w:rsid w:val="009B29D8"/>
    <w:rsid w:val="009C151C"/>
    <w:rsid w:val="009C1804"/>
    <w:rsid w:val="009C18FB"/>
    <w:rsid w:val="009C1B28"/>
    <w:rsid w:val="009C1B67"/>
    <w:rsid w:val="009C1DCB"/>
    <w:rsid w:val="009C3CC7"/>
    <w:rsid w:val="009C3EF4"/>
    <w:rsid w:val="009C7B7E"/>
    <w:rsid w:val="009D0363"/>
    <w:rsid w:val="009D2B68"/>
    <w:rsid w:val="009D413D"/>
    <w:rsid w:val="009E01D8"/>
    <w:rsid w:val="009E0C38"/>
    <w:rsid w:val="009E1766"/>
    <w:rsid w:val="009E6718"/>
    <w:rsid w:val="009E6F71"/>
    <w:rsid w:val="009F1DA7"/>
    <w:rsid w:val="009F2575"/>
    <w:rsid w:val="009F3C92"/>
    <w:rsid w:val="009F6818"/>
    <w:rsid w:val="00A00356"/>
    <w:rsid w:val="00A0052D"/>
    <w:rsid w:val="00A0076C"/>
    <w:rsid w:val="00A0398F"/>
    <w:rsid w:val="00A04853"/>
    <w:rsid w:val="00A05585"/>
    <w:rsid w:val="00A06B1E"/>
    <w:rsid w:val="00A1368A"/>
    <w:rsid w:val="00A13925"/>
    <w:rsid w:val="00A15AB7"/>
    <w:rsid w:val="00A16F07"/>
    <w:rsid w:val="00A217C9"/>
    <w:rsid w:val="00A2416E"/>
    <w:rsid w:val="00A25374"/>
    <w:rsid w:val="00A26063"/>
    <w:rsid w:val="00A2709E"/>
    <w:rsid w:val="00A335D1"/>
    <w:rsid w:val="00A358FC"/>
    <w:rsid w:val="00A35BD5"/>
    <w:rsid w:val="00A360E2"/>
    <w:rsid w:val="00A4095E"/>
    <w:rsid w:val="00A40CF2"/>
    <w:rsid w:val="00A430F9"/>
    <w:rsid w:val="00A4346D"/>
    <w:rsid w:val="00A43DD6"/>
    <w:rsid w:val="00A4660F"/>
    <w:rsid w:val="00A4702C"/>
    <w:rsid w:val="00A47FE2"/>
    <w:rsid w:val="00A507A8"/>
    <w:rsid w:val="00A50974"/>
    <w:rsid w:val="00A516C9"/>
    <w:rsid w:val="00A51E09"/>
    <w:rsid w:val="00A53979"/>
    <w:rsid w:val="00A53D68"/>
    <w:rsid w:val="00A54AAC"/>
    <w:rsid w:val="00A57112"/>
    <w:rsid w:val="00A611B8"/>
    <w:rsid w:val="00A61F48"/>
    <w:rsid w:val="00A627B9"/>
    <w:rsid w:val="00A62C7B"/>
    <w:rsid w:val="00A63A82"/>
    <w:rsid w:val="00A645EA"/>
    <w:rsid w:val="00A65580"/>
    <w:rsid w:val="00A67A4C"/>
    <w:rsid w:val="00A73BC4"/>
    <w:rsid w:val="00A75513"/>
    <w:rsid w:val="00A75D08"/>
    <w:rsid w:val="00A76FC9"/>
    <w:rsid w:val="00A7709A"/>
    <w:rsid w:val="00A77C17"/>
    <w:rsid w:val="00A8325F"/>
    <w:rsid w:val="00A91F4A"/>
    <w:rsid w:val="00A93087"/>
    <w:rsid w:val="00A94FEE"/>
    <w:rsid w:val="00AA21EA"/>
    <w:rsid w:val="00AA4397"/>
    <w:rsid w:val="00AA60D6"/>
    <w:rsid w:val="00AA6363"/>
    <w:rsid w:val="00AA671A"/>
    <w:rsid w:val="00AA6B79"/>
    <w:rsid w:val="00AA6F1A"/>
    <w:rsid w:val="00AB14B0"/>
    <w:rsid w:val="00AB4FD0"/>
    <w:rsid w:val="00AB5AD2"/>
    <w:rsid w:val="00AC013F"/>
    <w:rsid w:val="00AC04EB"/>
    <w:rsid w:val="00AC1469"/>
    <w:rsid w:val="00AD3186"/>
    <w:rsid w:val="00AD4914"/>
    <w:rsid w:val="00AD6138"/>
    <w:rsid w:val="00AE090B"/>
    <w:rsid w:val="00AE1842"/>
    <w:rsid w:val="00AE3C7C"/>
    <w:rsid w:val="00AE5E66"/>
    <w:rsid w:val="00AE612D"/>
    <w:rsid w:val="00AF1A2F"/>
    <w:rsid w:val="00AF22B2"/>
    <w:rsid w:val="00AF3016"/>
    <w:rsid w:val="00AF35D3"/>
    <w:rsid w:val="00AF428E"/>
    <w:rsid w:val="00AF47AB"/>
    <w:rsid w:val="00AF6063"/>
    <w:rsid w:val="00B005EB"/>
    <w:rsid w:val="00B00692"/>
    <w:rsid w:val="00B02D53"/>
    <w:rsid w:val="00B1012A"/>
    <w:rsid w:val="00B1023F"/>
    <w:rsid w:val="00B11F80"/>
    <w:rsid w:val="00B1640D"/>
    <w:rsid w:val="00B169C0"/>
    <w:rsid w:val="00B17899"/>
    <w:rsid w:val="00B220BF"/>
    <w:rsid w:val="00B2398D"/>
    <w:rsid w:val="00B24850"/>
    <w:rsid w:val="00B25BE3"/>
    <w:rsid w:val="00B277EE"/>
    <w:rsid w:val="00B31306"/>
    <w:rsid w:val="00B32C84"/>
    <w:rsid w:val="00B33993"/>
    <w:rsid w:val="00B4014B"/>
    <w:rsid w:val="00B413F6"/>
    <w:rsid w:val="00B42477"/>
    <w:rsid w:val="00B42814"/>
    <w:rsid w:val="00B429C9"/>
    <w:rsid w:val="00B4394E"/>
    <w:rsid w:val="00B45BDE"/>
    <w:rsid w:val="00B46FC5"/>
    <w:rsid w:val="00B50084"/>
    <w:rsid w:val="00B5350F"/>
    <w:rsid w:val="00B571A1"/>
    <w:rsid w:val="00B574A5"/>
    <w:rsid w:val="00B61CF3"/>
    <w:rsid w:val="00B631A0"/>
    <w:rsid w:val="00B64733"/>
    <w:rsid w:val="00B6719E"/>
    <w:rsid w:val="00B72B3E"/>
    <w:rsid w:val="00B73285"/>
    <w:rsid w:val="00B7516D"/>
    <w:rsid w:val="00B7580A"/>
    <w:rsid w:val="00B76E13"/>
    <w:rsid w:val="00B773B1"/>
    <w:rsid w:val="00B8061D"/>
    <w:rsid w:val="00B80CA8"/>
    <w:rsid w:val="00B81029"/>
    <w:rsid w:val="00B818AC"/>
    <w:rsid w:val="00B81D61"/>
    <w:rsid w:val="00B82BFF"/>
    <w:rsid w:val="00B83936"/>
    <w:rsid w:val="00B84765"/>
    <w:rsid w:val="00B855ED"/>
    <w:rsid w:val="00B90954"/>
    <w:rsid w:val="00B91AD6"/>
    <w:rsid w:val="00B929C1"/>
    <w:rsid w:val="00B93279"/>
    <w:rsid w:val="00BA0914"/>
    <w:rsid w:val="00BA5229"/>
    <w:rsid w:val="00BA66BC"/>
    <w:rsid w:val="00BA6BD3"/>
    <w:rsid w:val="00BA79FA"/>
    <w:rsid w:val="00BB006C"/>
    <w:rsid w:val="00BB121D"/>
    <w:rsid w:val="00BB27DC"/>
    <w:rsid w:val="00BB56C2"/>
    <w:rsid w:val="00BB5F1A"/>
    <w:rsid w:val="00BB5F3D"/>
    <w:rsid w:val="00BB671D"/>
    <w:rsid w:val="00BB7F21"/>
    <w:rsid w:val="00BC0576"/>
    <w:rsid w:val="00BC26BE"/>
    <w:rsid w:val="00BC3FFA"/>
    <w:rsid w:val="00BC4BEE"/>
    <w:rsid w:val="00BC5868"/>
    <w:rsid w:val="00BC706C"/>
    <w:rsid w:val="00BD2445"/>
    <w:rsid w:val="00BD3474"/>
    <w:rsid w:val="00BD6138"/>
    <w:rsid w:val="00BD6EB7"/>
    <w:rsid w:val="00BE025B"/>
    <w:rsid w:val="00BE0261"/>
    <w:rsid w:val="00BE1BA9"/>
    <w:rsid w:val="00BE3225"/>
    <w:rsid w:val="00BE652C"/>
    <w:rsid w:val="00BE761F"/>
    <w:rsid w:val="00BE7769"/>
    <w:rsid w:val="00BE77DD"/>
    <w:rsid w:val="00BE7E0C"/>
    <w:rsid w:val="00BE7E1C"/>
    <w:rsid w:val="00BF34B2"/>
    <w:rsid w:val="00BF4204"/>
    <w:rsid w:val="00BF461F"/>
    <w:rsid w:val="00BF4867"/>
    <w:rsid w:val="00BF6869"/>
    <w:rsid w:val="00BF7846"/>
    <w:rsid w:val="00BF7D06"/>
    <w:rsid w:val="00BF7DEE"/>
    <w:rsid w:val="00C02B32"/>
    <w:rsid w:val="00C04387"/>
    <w:rsid w:val="00C04FD7"/>
    <w:rsid w:val="00C056CC"/>
    <w:rsid w:val="00C060E8"/>
    <w:rsid w:val="00C0729B"/>
    <w:rsid w:val="00C07A77"/>
    <w:rsid w:val="00C112BC"/>
    <w:rsid w:val="00C11C66"/>
    <w:rsid w:val="00C12BA1"/>
    <w:rsid w:val="00C142F6"/>
    <w:rsid w:val="00C14BDC"/>
    <w:rsid w:val="00C14F6C"/>
    <w:rsid w:val="00C16844"/>
    <w:rsid w:val="00C1690D"/>
    <w:rsid w:val="00C1693E"/>
    <w:rsid w:val="00C1751A"/>
    <w:rsid w:val="00C17D22"/>
    <w:rsid w:val="00C26A68"/>
    <w:rsid w:val="00C312EA"/>
    <w:rsid w:val="00C336FB"/>
    <w:rsid w:val="00C37D34"/>
    <w:rsid w:val="00C44A05"/>
    <w:rsid w:val="00C457BF"/>
    <w:rsid w:val="00C53785"/>
    <w:rsid w:val="00C53888"/>
    <w:rsid w:val="00C539D5"/>
    <w:rsid w:val="00C53E05"/>
    <w:rsid w:val="00C5412F"/>
    <w:rsid w:val="00C54B66"/>
    <w:rsid w:val="00C54D27"/>
    <w:rsid w:val="00C5732B"/>
    <w:rsid w:val="00C5787A"/>
    <w:rsid w:val="00C60609"/>
    <w:rsid w:val="00C60C9C"/>
    <w:rsid w:val="00C61AE3"/>
    <w:rsid w:val="00C62899"/>
    <w:rsid w:val="00C63850"/>
    <w:rsid w:val="00C66631"/>
    <w:rsid w:val="00C70C29"/>
    <w:rsid w:val="00C72943"/>
    <w:rsid w:val="00C75CAA"/>
    <w:rsid w:val="00C76EEB"/>
    <w:rsid w:val="00C77BED"/>
    <w:rsid w:val="00C821A2"/>
    <w:rsid w:val="00C82ED3"/>
    <w:rsid w:val="00C83942"/>
    <w:rsid w:val="00C84DBA"/>
    <w:rsid w:val="00C85494"/>
    <w:rsid w:val="00C90A9B"/>
    <w:rsid w:val="00C9142E"/>
    <w:rsid w:val="00C919EA"/>
    <w:rsid w:val="00C95EB8"/>
    <w:rsid w:val="00CA0556"/>
    <w:rsid w:val="00CA2769"/>
    <w:rsid w:val="00CA2D19"/>
    <w:rsid w:val="00CA507C"/>
    <w:rsid w:val="00CA6649"/>
    <w:rsid w:val="00CA6F0E"/>
    <w:rsid w:val="00CB1E62"/>
    <w:rsid w:val="00CB3421"/>
    <w:rsid w:val="00CC0176"/>
    <w:rsid w:val="00CC4FDF"/>
    <w:rsid w:val="00CC6BF7"/>
    <w:rsid w:val="00CC72E8"/>
    <w:rsid w:val="00CD29E5"/>
    <w:rsid w:val="00CD3729"/>
    <w:rsid w:val="00CD5AC4"/>
    <w:rsid w:val="00CD5E8F"/>
    <w:rsid w:val="00CE1002"/>
    <w:rsid w:val="00CE2EE8"/>
    <w:rsid w:val="00CE7845"/>
    <w:rsid w:val="00CF27A6"/>
    <w:rsid w:val="00CF777E"/>
    <w:rsid w:val="00D01F5A"/>
    <w:rsid w:val="00D02DD4"/>
    <w:rsid w:val="00D04E67"/>
    <w:rsid w:val="00D06083"/>
    <w:rsid w:val="00D07DD8"/>
    <w:rsid w:val="00D123A0"/>
    <w:rsid w:val="00D13393"/>
    <w:rsid w:val="00D15712"/>
    <w:rsid w:val="00D16210"/>
    <w:rsid w:val="00D1716E"/>
    <w:rsid w:val="00D208E9"/>
    <w:rsid w:val="00D210C3"/>
    <w:rsid w:val="00D2247C"/>
    <w:rsid w:val="00D23409"/>
    <w:rsid w:val="00D23BCB"/>
    <w:rsid w:val="00D24211"/>
    <w:rsid w:val="00D25042"/>
    <w:rsid w:val="00D279B7"/>
    <w:rsid w:val="00D319E7"/>
    <w:rsid w:val="00D32003"/>
    <w:rsid w:val="00D3242F"/>
    <w:rsid w:val="00D360A9"/>
    <w:rsid w:val="00D366EC"/>
    <w:rsid w:val="00D436E3"/>
    <w:rsid w:val="00D44AF3"/>
    <w:rsid w:val="00D462F6"/>
    <w:rsid w:val="00D46530"/>
    <w:rsid w:val="00D53413"/>
    <w:rsid w:val="00D5569D"/>
    <w:rsid w:val="00D5735B"/>
    <w:rsid w:val="00D60E28"/>
    <w:rsid w:val="00D613D0"/>
    <w:rsid w:val="00D615C1"/>
    <w:rsid w:val="00D618E6"/>
    <w:rsid w:val="00D63588"/>
    <w:rsid w:val="00D64E05"/>
    <w:rsid w:val="00D651C6"/>
    <w:rsid w:val="00D666F8"/>
    <w:rsid w:val="00D7093C"/>
    <w:rsid w:val="00D719D4"/>
    <w:rsid w:val="00D72613"/>
    <w:rsid w:val="00D7300E"/>
    <w:rsid w:val="00D76F45"/>
    <w:rsid w:val="00D77979"/>
    <w:rsid w:val="00D779F5"/>
    <w:rsid w:val="00D77B07"/>
    <w:rsid w:val="00D81204"/>
    <w:rsid w:val="00D823F8"/>
    <w:rsid w:val="00D83BED"/>
    <w:rsid w:val="00D83F4A"/>
    <w:rsid w:val="00D842E4"/>
    <w:rsid w:val="00D86C2A"/>
    <w:rsid w:val="00D90D28"/>
    <w:rsid w:val="00D921EF"/>
    <w:rsid w:val="00D92FD3"/>
    <w:rsid w:val="00DA13F0"/>
    <w:rsid w:val="00DA22F1"/>
    <w:rsid w:val="00DA23B3"/>
    <w:rsid w:val="00DA2F48"/>
    <w:rsid w:val="00DA3B6E"/>
    <w:rsid w:val="00DA3F18"/>
    <w:rsid w:val="00DA4A2E"/>
    <w:rsid w:val="00DA5822"/>
    <w:rsid w:val="00DB2436"/>
    <w:rsid w:val="00DB4C9C"/>
    <w:rsid w:val="00DB7443"/>
    <w:rsid w:val="00DB7581"/>
    <w:rsid w:val="00DB7D5F"/>
    <w:rsid w:val="00DC40D8"/>
    <w:rsid w:val="00DC5AAE"/>
    <w:rsid w:val="00DC6273"/>
    <w:rsid w:val="00DC70C1"/>
    <w:rsid w:val="00DD0259"/>
    <w:rsid w:val="00DD0FA7"/>
    <w:rsid w:val="00DD2723"/>
    <w:rsid w:val="00DD54DD"/>
    <w:rsid w:val="00DD68EC"/>
    <w:rsid w:val="00DD6D4E"/>
    <w:rsid w:val="00DE07F1"/>
    <w:rsid w:val="00DE265C"/>
    <w:rsid w:val="00DE277E"/>
    <w:rsid w:val="00DE410B"/>
    <w:rsid w:val="00DE489E"/>
    <w:rsid w:val="00DE5BD3"/>
    <w:rsid w:val="00DE78DE"/>
    <w:rsid w:val="00DF07D9"/>
    <w:rsid w:val="00DF16F3"/>
    <w:rsid w:val="00DF3E37"/>
    <w:rsid w:val="00DF5423"/>
    <w:rsid w:val="00DF7685"/>
    <w:rsid w:val="00DF7749"/>
    <w:rsid w:val="00E040AF"/>
    <w:rsid w:val="00E11848"/>
    <w:rsid w:val="00E11850"/>
    <w:rsid w:val="00E13FFD"/>
    <w:rsid w:val="00E1625D"/>
    <w:rsid w:val="00E16752"/>
    <w:rsid w:val="00E17C3B"/>
    <w:rsid w:val="00E2296D"/>
    <w:rsid w:val="00E22AA7"/>
    <w:rsid w:val="00E24DF4"/>
    <w:rsid w:val="00E27DD6"/>
    <w:rsid w:val="00E27F90"/>
    <w:rsid w:val="00E42397"/>
    <w:rsid w:val="00E454A5"/>
    <w:rsid w:val="00E51355"/>
    <w:rsid w:val="00E52676"/>
    <w:rsid w:val="00E52B16"/>
    <w:rsid w:val="00E5317C"/>
    <w:rsid w:val="00E534F6"/>
    <w:rsid w:val="00E550B5"/>
    <w:rsid w:val="00E60997"/>
    <w:rsid w:val="00E65496"/>
    <w:rsid w:val="00E654E5"/>
    <w:rsid w:val="00E65780"/>
    <w:rsid w:val="00E679B0"/>
    <w:rsid w:val="00E70F7E"/>
    <w:rsid w:val="00E71154"/>
    <w:rsid w:val="00E72A5E"/>
    <w:rsid w:val="00E73157"/>
    <w:rsid w:val="00E74972"/>
    <w:rsid w:val="00E751D6"/>
    <w:rsid w:val="00E75EB0"/>
    <w:rsid w:val="00E77659"/>
    <w:rsid w:val="00E779D8"/>
    <w:rsid w:val="00E77F47"/>
    <w:rsid w:val="00E80D10"/>
    <w:rsid w:val="00E81C46"/>
    <w:rsid w:val="00E82F1F"/>
    <w:rsid w:val="00E83C12"/>
    <w:rsid w:val="00E85126"/>
    <w:rsid w:val="00E8790E"/>
    <w:rsid w:val="00E901D7"/>
    <w:rsid w:val="00E904C8"/>
    <w:rsid w:val="00E92E7D"/>
    <w:rsid w:val="00E93DC1"/>
    <w:rsid w:val="00E97F48"/>
    <w:rsid w:val="00EA056A"/>
    <w:rsid w:val="00EA0F5F"/>
    <w:rsid w:val="00EA1BBF"/>
    <w:rsid w:val="00EA1E1C"/>
    <w:rsid w:val="00EA21B0"/>
    <w:rsid w:val="00EA3260"/>
    <w:rsid w:val="00EA4864"/>
    <w:rsid w:val="00EA5978"/>
    <w:rsid w:val="00EB0BE7"/>
    <w:rsid w:val="00EB29A9"/>
    <w:rsid w:val="00EB551C"/>
    <w:rsid w:val="00EB6F3D"/>
    <w:rsid w:val="00EB77D2"/>
    <w:rsid w:val="00EC02AB"/>
    <w:rsid w:val="00EC1D21"/>
    <w:rsid w:val="00EC3683"/>
    <w:rsid w:val="00EC79DF"/>
    <w:rsid w:val="00EC7C5E"/>
    <w:rsid w:val="00ED0753"/>
    <w:rsid w:val="00ED0D69"/>
    <w:rsid w:val="00ED1DC8"/>
    <w:rsid w:val="00ED2ED7"/>
    <w:rsid w:val="00ED35E0"/>
    <w:rsid w:val="00ED4074"/>
    <w:rsid w:val="00ED4310"/>
    <w:rsid w:val="00ED6CFA"/>
    <w:rsid w:val="00ED78FB"/>
    <w:rsid w:val="00EE1402"/>
    <w:rsid w:val="00EE393B"/>
    <w:rsid w:val="00EE45A1"/>
    <w:rsid w:val="00EF1BA0"/>
    <w:rsid w:val="00EF1C55"/>
    <w:rsid w:val="00EF2676"/>
    <w:rsid w:val="00EF53F5"/>
    <w:rsid w:val="00EF6E1F"/>
    <w:rsid w:val="00EF7D93"/>
    <w:rsid w:val="00F0091B"/>
    <w:rsid w:val="00F01148"/>
    <w:rsid w:val="00F01219"/>
    <w:rsid w:val="00F01549"/>
    <w:rsid w:val="00F03BC9"/>
    <w:rsid w:val="00F11C09"/>
    <w:rsid w:val="00F12C96"/>
    <w:rsid w:val="00F14EEA"/>
    <w:rsid w:val="00F21202"/>
    <w:rsid w:val="00F224F6"/>
    <w:rsid w:val="00F22A75"/>
    <w:rsid w:val="00F23978"/>
    <w:rsid w:val="00F262E7"/>
    <w:rsid w:val="00F26E70"/>
    <w:rsid w:val="00F304DC"/>
    <w:rsid w:val="00F316C8"/>
    <w:rsid w:val="00F34396"/>
    <w:rsid w:val="00F34766"/>
    <w:rsid w:val="00F34CDC"/>
    <w:rsid w:val="00F35024"/>
    <w:rsid w:val="00F41A2A"/>
    <w:rsid w:val="00F43117"/>
    <w:rsid w:val="00F43B0A"/>
    <w:rsid w:val="00F46780"/>
    <w:rsid w:val="00F46A48"/>
    <w:rsid w:val="00F46B45"/>
    <w:rsid w:val="00F46E5A"/>
    <w:rsid w:val="00F47C1B"/>
    <w:rsid w:val="00F47D95"/>
    <w:rsid w:val="00F47FF0"/>
    <w:rsid w:val="00F50AD6"/>
    <w:rsid w:val="00F52060"/>
    <w:rsid w:val="00F5663F"/>
    <w:rsid w:val="00F5693C"/>
    <w:rsid w:val="00F62C5C"/>
    <w:rsid w:val="00F62E45"/>
    <w:rsid w:val="00F62F0D"/>
    <w:rsid w:val="00F632DE"/>
    <w:rsid w:val="00F6420A"/>
    <w:rsid w:val="00F65054"/>
    <w:rsid w:val="00F652FD"/>
    <w:rsid w:val="00F6583A"/>
    <w:rsid w:val="00F66F8E"/>
    <w:rsid w:val="00F67AFD"/>
    <w:rsid w:val="00F706AA"/>
    <w:rsid w:val="00F72282"/>
    <w:rsid w:val="00F735E4"/>
    <w:rsid w:val="00F8059A"/>
    <w:rsid w:val="00F8106A"/>
    <w:rsid w:val="00F8287F"/>
    <w:rsid w:val="00F834D2"/>
    <w:rsid w:val="00F84BF8"/>
    <w:rsid w:val="00F90DCF"/>
    <w:rsid w:val="00F91028"/>
    <w:rsid w:val="00F91060"/>
    <w:rsid w:val="00F92FB9"/>
    <w:rsid w:val="00F94528"/>
    <w:rsid w:val="00F95616"/>
    <w:rsid w:val="00FA24FD"/>
    <w:rsid w:val="00FA2BFD"/>
    <w:rsid w:val="00FA36F7"/>
    <w:rsid w:val="00FA5ED9"/>
    <w:rsid w:val="00FA72E2"/>
    <w:rsid w:val="00FB5309"/>
    <w:rsid w:val="00FB75D9"/>
    <w:rsid w:val="00FB7834"/>
    <w:rsid w:val="00FC0AC4"/>
    <w:rsid w:val="00FC3121"/>
    <w:rsid w:val="00FC3B3C"/>
    <w:rsid w:val="00FC6C94"/>
    <w:rsid w:val="00FD00A5"/>
    <w:rsid w:val="00FD2D89"/>
    <w:rsid w:val="00FD4B6A"/>
    <w:rsid w:val="00FD5FA9"/>
    <w:rsid w:val="00FD7318"/>
    <w:rsid w:val="00FE0821"/>
    <w:rsid w:val="00FE37A4"/>
    <w:rsid w:val="00FE5993"/>
    <w:rsid w:val="00FF03A8"/>
    <w:rsid w:val="00FF2E69"/>
    <w:rsid w:val="00FF3219"/>
    <w:rsid w:val="00FF48CC"/>
    <w:rsid w:val="00FF5DF2"/>
    <w:rsid w:val="00FF63EA"/>
    <w:rsid w:val="00FF7CA6"/>
    <w:rsid w:val="00FF7CA9"/>
    <w:rsid w:val="01077C20"/>
    <w:rsid w:val="0132AC97"/>
    <w:rsid w:val="01F19005"/>
    <w:rsid w:val="023F40B8"/>
    <w:rsid w:val="025848AF"/>
    <w:rsid w:val="03B5BBB6"/>
    <w:rsid w:val="03F5EAE4"/>
    <w:rsid w:val="044207CB"/>
    <w:rsid w:val="04A9CBAD"/>
    <w:rsid w:val="05098C93"/>
    <w:rsid w:val="055BB079"/>
    <w:rsid w:val="057ECF45"/>
    <w:rsid w:val="05BD30A8"/>
    <w:rsid w:val="05D26D5A"/>
    <w:rsid w:val="05EF9E65"/>
    <w:rsid w:val="062B5EDD"/>
    <w:rsid w:val="06D4CE35"/>
    <w:rsid w:val="07A30365"/>
    <w:rsid w:val="07B64396"/>
    <w:rsid w:val="07DC14EE"/>
    <w:rsid w:val="08B2A226"/>
    <w:rsid w:val="08BB2892"/>
    <w:rsid w:val="08E14635"/>
    <w:rsid w:val="08E259F7"/>
    <w:rsid w:val="09028B40"/>
    <w:rsid w:val="090BCD7B"/>
    <w:rsid w:val="0970B254"/>
    <w:rsid w:val="0A2D32FC"/>
    <w:rsid w:val="0AECDF17"/>
    <w:rsid w:val="0B94FA56"/>
    <w:rsid w:val="0BB4CC78"/>
    <w:rsid w:val="0C1204F1"/>
    <w:rsid w:val="0C703648"/>
    <w:rsid w:val="0CEA055F"/>
    <w:rsid w:val="0D2CACCF"/>
    <w:rsid w:val="0D3E754B"/>
    <w:rsid w:val="0DE8B228"/>
    <w:rsid w:val="0E1378E8"/>
    <w:rsid w:val="0EA95376"/>
    <w:rsid w:val="0F09CD53"/>
    <w:rsid w:val="0FB6B3BC"/>
    <w:rsid w:val="0FBC243A"/>
    <w:rsid w:val="10179C71"/>
    <w:rsid w:val="10A05783"/>
    <w:rsid w:val="10F0658E"/>
    <w:rsid w:val="118F214A"/>
    <w:rsid w:val="11C02C77"/>
    <w:rsid w:val="1202A7EF"/>
    <w:rsid w:val="12761A66"/>
    <w:rsid w:val="12F30806"/>
    <w:rsid w:val="13EC826D"/>
    <w:rsid w:val="14252971"/>
    <w:rsid w:val="148E4F0D"/>
    <w:rsid w:val="15520685"/>
    <w:rsid w:val="1554D3C6"/>
    <w:rsid w:val="157D7034"/>
    <w:rsid w:val="161DC75C"/>
    <w:rsid w:val="16FA398B"/>
    <w:rsid w:val="176BB247"/>
    <w:rsid w:val="177FB254"/>
    <w:rsid w:val="188A5BEC"/>
    <w:rsid w:val="188F67A8"/>
    <w:rsid w:val="18FB5009"/>
    <w:rsid w:val="190E2E69"/>
    <w:rsid w:val="19A6C54E"/>
    <w:rsid w:val="19C3E60B"/>
    <w:rsid w:val="1A233BFC"/>
    <w:rsid w:val="1A7D177E"/>
    <w:rsid w:val="1AC17688"/>
    <w:rsid w:val="1B857C31"/>
    <w:rsid w:val="1C07AD6E"/>
    <w:rsid w:val="1C60B65A"/>
    <w:rsid w:val="1C6C0690"/>
    <w:rsid w:val="1CFBD173"/>
    <w:rsid w:val="1D274292"/>
    <w:rsid w:val="1DC1885F"/>
    <w:rsid w:val="1DC2DEDF"/>
    <w:rsid w:val="1E27A3E6"/>
    <w:rsid w:val="1E29C8FA"/>
    <w:rsid w:val="1E6AC266"/>
    <w:rsid w:val="1E7DBE8B"/>
    <w:rsid w:val="1E804723"/>
    <w:rsid w:val="1F23530C"/>
    <w:rsid w:val="1FAC581D"/>
    <w:rsid w:val="20301B33"/>
    <w:rsid w:val="2038DAF8"/>
    <w:rsid w:val="204529FB"/>
    <w:rsid w:val="2091BB78"/>
    <w:rsid w:val="20969D9B"/>
    <w:rsid w:val="20ADECCC"/>
    <w:rsid w:val="21A6A2DC"/>
    <w:rsid w:val="225D5B23"/>
    <w:rsid w:val="22C1D15F"/>
    <w:rsid w:val="23B3CBE1"/>
    <w:rsid w:val="23F55DDE"/>
    <w:rsid w:val="24236B53"/>
    <w:rsid w:val="24DE34C0"/>
    <w:rsid w:val="25038954"/>
    <w:rsid w:val="25380A78"/>
    <w:rsid w:val="26386383"/>
    <w:rsid w:val="26FF5A1B"/>
    <w:rsid w:val="27611093"/>
    <w:rsid w:val="27681BF1"/>
    <w:rsid w:val="27C7CC09"/>
    <w:rsid w:val="28DE9639"/>
    <w:rsid w:val="28EED138"/>
    <w:rsid w:val="29D1E580"/>
    <w:rsid w:val="2A382B3E"/>
    <w:rsid w:val="2A6F6D62"/>
    <w:rsid w:val="2B62B8E0"/>
    <w:rsid w:val="2BABA710"/>
    <w:rsid w:val="2BBD481D"/>
    <w:rsid w:val="2BE67386"/>
    <w:rsid w:val="2C17DF8C"/>
    <w:rsid w:val="2C451974"/>
    <w:rsid w:val="2C8F204B"/>
    <w:rsid w:val="2CAF3CD9"/>
    <w:rsid w:val="2E0FDFE4"/>
    <w:rsid w:val="2EB19270"/>
    <w:rsid w:val="2EF0A848"/>
    <w:rsid w:val="2F12E40C"/>
    <w:rsid w:val="301266F2"/>
    <w:rsid w:val="3013E6D1"/>
    <w:rsid w:val="30424B97"/>
    <w:rsid w:val="30F90022"/>
    <w:rsid w:val="3121E1F0"/>
    <w:rsid w:val="314356A4"/>
    <w:rsid w:val="3219B2CB"/>
    <w:rsid w:val="3248800D"/>
    <w:rsid w:val="3269524E"/>
    <w:rsid w:val="32A1402D"/>
    <w:rsid w:val="32D3DA5D"/>
    <w:rsid w:val="32F31B9F"/>
    <w:rsid w:val="330287B5"/>
    <w:rsid w:val="332A742A"/>
    <w:rsid w:val="334EF20B"/>
    <w:rsid w:val="338EDFF9"/>
    <w:rsid w:val="33B87F4D"/>
    <w:rsid w:val="33BD9F7A"/>
    <w:rsid w:val="342D018C"/>
    <w:rsid w:val="34630C92"/>
    <w:rsid w:val="350FA42E"/>
    <w:rsid w:val="3515E2F2"/>
    <w:rsid w:val="354CEA8C"/>
    <w:rsid w:val="35F0A668"/>
    <w:rsid w:val="36925CC9"/>
    <w:rsid w:val="36FEB018"/>
    <w:rsid w:val="36FF1F1B"/>
    <w:rsid w:val="37E3A3B5"/>
    <w:rsid w:val="37E9D520"/>
    <w:rsid w:val="380D7193"/>
    <w:rsid w:val="3887E492"/>
    <w:rsid w:val="38A8CB88"/>
    <w:rsid w:val="38D619EC"/>
    <w:rsid w:val="39066EC1"/>
    <w:rsid w:val="39418095"/>
    <w:rsid w:val="3981CCF9"/>
    <w:rsid w:val="398496EC"/>
    <w:rsid w:val="3A29F4FD"/>
    <w:rsid w:val="3A37A4A6"/>
    <w:rsid w:val="3A50193F"/>
    <w:rsid w:val="3B07DD4A"/>
    <w:rsid w:val="3B776300"/>
    <w:rsid w:val="3C010F71"/>
    <w:rsid w:val="3C12AF15"/>
    <w:rsid w:val="3C16A62E"/>
    <w:rsid w:val="3C9DC4AF"/>
    <w:rsid w:val="3CD403AE"/>
    <w:rsid w:val="3D0B84E5"/>
    <w:rsid w:val="3D75B6F2"/>
    <w:rsid w:val="3DF44587"/>
    <w:rsid w:val="3EE35D1A"/>
    <w:rsid w:val="3EF2C93F"/>
    <w:rsid w:val="3F0AD682"/>
    <w:rsid w:val="3FC80370"/>
    <w:rsid w:val="3FE3652A"/>
    <w:rsid w:val="4011560E"/>
    <w:rsid w:val="408CB00B"/>
    <w:rsid w:val="40AF8F03"/>
    <w:rsid w:val="40D8D574"/>
    <w:rsid w:val="418DA139"/>
    <w:rsid w:val="418F0918"/>
    <w:rsid w:val="41946F5A"/>
    <w:rsid w:val="4196710B"/>
    <w:rsid w:val="41C8BD93"/>
    <w:rsid w:val="41F1A25A"/>
    <w:rsid w:val="41FE6814"/>
    <w:rsid w:val="4280CD65"/>
    <w:rsid w:val="42A31B6D"/>
    <w:rsid w:val="43063FD2"/>
    <w:rsid w:val="430F22A2"/>
    <w:rsid w:val="430F8790"/>
    <w:rsid w:val="431FC3DE"/>
    <w:rsid w:val="434AFDEB"/>
    <w:rsid w:val="43A2B512"/>
    <w:rsid w:val="43B89427"/>
    <w:rsid w:val="43C10CE1"/>
    <w:rsid w:val="4408D7CE"/>
    <w:rsid w:val="4422C191"/>
    <w:rsid w:val="444F4528"/>
    <w:rsid w:val="449351E2"/>
    <w:rsid w:val="44E5A69E"/>
    <w:rsid w:val="44ED23AE"/>
    <w:rsid w:val="45918ED4"/>
    <w:rsid w:val="45EA82F4"/>
    <w:rsid w:val="46F4EBD3"/>
    <w:rsid w:val="4716EF8A"/>
    <w:rsid w:val="4759DDA7"/>
    <w:rsid w:val="47683A90"/>
    <w:rsid w:val="484B8F0D"/>
    <w:rsid w:val="48C10BCE"/>
    <w:rsid w:val="48F99F33"/>
    <w:rsid w:val="49BBB0DC"/>
    <w:rsid w:val="49CC4C67"/>
    <w:rsid w:val="4A0C1FB1"/>
    <w:rsid w:val="4A0C5F22"/>
    <w:rsid w:val="4AF5F189"/>
    <w:rsid w:val="4B9726C8"/>
    <w:rsid w:val="4BF7A8FA"/>
    <w:rsid w:val="4C3B0028"/>
    <w:rsid w:val="4C63A352"/>
    <w:rsid w:val="4C66C573"/>
    <w:rsid w:val="4D2E22C2"/>
    <w:rsid w:val="4E06448B"/>
    <w:rsid w:val="4E079C80"/>
    <w:rsid w:val="4F26D055"/>
    <w:rsid w:val="4F33A386"/>
    <w:rsid w:val="4FA540FD"/>
    <w:rsid w:val="4FF5BFB2"/>
    <w:rsid w:val="503DF7EC"/>
    <w:rsid w:val="509C24D9"/>
    <w:rsid w:val="513526D9"/>
    <w:rsid w:val="5137561E"/>
    <w:rsid w:val="513DD767"/>
    <w:rsid w:val="515C0FBE"/>
    <w:rsid w:val="5172EC27"/>
    <w:rsid w:val="51DBFDE2"/>
    <w:rsid w:val="520A7D8B"/>
    <w:rsid w:val="52411FF0"/>
    <w:rsid w:val="52F42BB4"/>
    <w:rsid w:val="53738E2B"/>
    <w:rsid w:val="53A86678"/>
    <w:rsid w:val="53DFCA49"/>
    <w:rsid w:val="54BC2A04"/>
    <w:rsid w:val="55127E44"/>
    <w:rsid w:val="555C71EA"/>
    <w:rsid w:val="557E924D"/>
    <w:rsid w:val="563F46F8"/>
    <w:rsid w:val="563F4F4C"/>
    <w:rsid w:val="56463815"/>
    <w:rsid w:val="56968D84"/>
    <w:rsid w:val="56FDAB60"/>
    <w:rsid w:val="570E84FD"/>
    <w:rsid w:val="577B377B"/>
    <w:rsid w:val="588D5C25"/>
    <w:rsid w:val="58D41489"/>
    <w:rsid w:val="594C2A9D"/>
    <w:rsid w:val="5ABEB646"/>
    <w:rsid w:val="5B132666"/>
    <w:rsid w:val="5BCDBF4B"/>
    <w:rsid w:val="5C2B6A32"/>
    <w:rsid w:val="5C76C02C"/>
    <w:rsid w:val="5CD88062"/>
    <w:rsid w:val="5D1BC1B9"/>
    <w:rsid w:val="5D3E5910"/>
    <w:rsid w:val="5DB0E500"/>
    <w:rsid w:val="5DE23688"/>
    <w:rsid w:val="5E3303C5"/>
    <w:rsid w:val="5E73FD35"/>
    <w:rsid w:val="5F024193"/>
    <w:rsid w:val="5F52A484"/>
    <w:rsid w:val="5FE4294B"/>
    <w:rsid w:val="60079BA9"/>
    <w:rsid w:val="60217DA9"/>
    <w:rsid w:val="60AF07E3"/>
    <w:rsid w:val="61270300"/>
    <w:rsid w:val="61AC0699"/>
    <w:rsid w:val="624ADD95"/>
    <w:rsid w:val="62780406"/>
    <w:rsid w:val="62BCF2EE"/>
    <w:rsid w:val="6394379D"/>
    <w:rsid w:val="63A347A2"/>
    <w:rsid w:val="640716A3"/>
    <w:rsid w:val="640DE375"/>
    <w:rsid w:val="6460804D"/>
    <w:rsid w:val="646EBD32"/>
    <w:rsid w:val="64707046"/>
    <w:rsid w:val="64729144"/>
    <w:rsid w:val="649AE6C2"/>
    <w:rsid w:val="64AFCBBC"/>
    <w:rsid w:val="64B259B0"/>
    <w:rsid w:val="64CAA6AF"/>
    <w:rsid w:val="64D0FC23"/>
    <w:rsid w:val="65507133"/>
    <w:rsid w:val="658309D5"/>
    <w:rsid w:val="65FCDAFA"/>
    <w:rsid w:val="663AE48B"/>
    <w:rsid w:val="66A9E10D"/>
    <w:rsid w:val="67B23B71"/>
    <w:rsid w:val="68A9A9AD"/>
    <w:rsid w:val="68E8FE8B"/>
    <w:rsid w:val="697B6138"/>
    <w:rsid w:val="697B8175"/>
    <w:rsid w:val="69E04D06"/>
    <w:rsid w:val="6B173AD3"/>
    <w:rsid w:val="6BC62534"/>
    <w:rsid w:val="6C137D93"/>
    <w:rsid w:val="6C2E3A87"/>
    <w:rsid w:val="6CD16D6B"/>
    <w:rsid w:val="6D129BA5"/>
    <w:rsid w:val="6D1737E8"/>
    <w:rsid w:val="6D1B0075"/>
    <w:rsid w:val="6D24A908"/>
    <w:rsid w:val="6D4C4297"/>
    <w:rsid w:val="6D5D4A6A"/>
    <w:rsid w:val="6D8B88DA"/>
    <w:rsid w:val="6DCBE649"/>
    <w:rsid w:val="6E4FD232"/>
    <w:rsid w:val="7007C747"/>
    <w:rsid w:val="7038720D"/>
    <w:rsid w:val="7067F6F5"/>
    <w:rsid w:val="706D6C97"/>
    <w:rsid w:val="70888EE1"/>
    <w:rsid w:val="71184E1E"/>
    <w:rsid w:val="71AC793B"/>
    <w:rsid w:val="720B04C7"/>
    <w:rsid w:val="7230A735"/>
    <w:rsid w:val="72802768"/>
    <w:rsid w:val="72AB65EB"/>
    <w:rsid w:val="72B34BC0"/>
    <w:rsid w:val="72EF5ED7"/>
    <w:rsid w:val="73107612"/>
    <w:rsid w:val="73A98263"/>
    <w:rsid w:val="7424C702"/>
    <w:rsid w:val="747800F0"/>
    <w:rsid w:val="74EBB758"/>
    <w:rsid w:val="74F11403"/>
    <w:rsid w:val="75326C2B"/>
    <w:rsid w:val="75794020"/>
    <w:rsid w:val="75A91A80"/>
    <w:rsid w:val="75D399AC"/>
    <w:rsid w:val="76A30B7C"/>
    <w:rsid w:val="76AEDF9C"/>
    <w:rsid w:val="76BC2C4A"/>
    <w:rsid w:val="785523F3"/>
    <w:rsid w:val="788CB1DD"/>
    <w:rsid w:val="78A4E1CA"/>
    <w:rsid w:val="78AFF3C8"/>
    <w:rsid w:val="79904A09"/>
    <w:rsid w:val="7994CC47"/>
    <w:rsid w:val="79AFE793"/>
    <w:rsid w:val="79ED4298"/>
    <w:rsid w:val="7A166593"/>
    <w:rsid w:val="7A4FE9CE"/>
    <w:rsid w:val="7A8CF052"/>
    <w:rsid w:val="7B167D80"/>
    <w:rsid w:val="7B3C2160"/>
    <w:rsid w:val="7B56FBC2"/>
    <w:rsid w:val="7B7B10BE"/>
    <w:rsid w:val="7BAD6975"/>
    <w:rsid w:val="7C0F3BDA"/>
    <w:rsid w:val="7CEA4244"/>
    <w:rsid w:val="7DC207C4"/>
    <w:rsid w:val="7E6DFCAC"/>
    <w:rsid w:val="7EAAD60A"/>
    <w:rsid w:val="7EC06A01"/>
    <w:rsid w:val="7F36E265"/>
    <w:rsid w:val="7F4BC1C7"/>
    <w:rsid w:val="7F589951"/>
    <w:rsid w:val="7FE520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DFDE9DCB-4935-4303-97AA-289DDE45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1315E1"/>
    <w:pPr>
      <w:keepNext/>
      <w:spacing w:before="240" w:after="60"/>
      <w:outlineLvl w:val="1"/>
    </w:pPr>
    <w:rPr>
      <w:rFonts w:ascii="Calibri Light" w:eastAsia="Times New Roman" w:hAnsi="Calibri Light"/>
      <w:b/>
      <w:bCs/>
      <w:i/>
      <w:iCs/>
      <w:sz w:val="28"/>
      <w:szCs w:val="28"/>
      <w:lang w:val="en-GB"/>
    </w:rPr>
  </w:style>
  <w:style w:type="paragraph" w:styleId="Heading3">
    <w:name w:val="heading 3"/>
    <w:basedOn w:val="Normal"/>
    <w:next w:val="Normal"/>
    <w:link w:val="Heading3Char"/>
    <w:uiPriority w:val="9"/>
    <w:semiHidden/>
    <w:unhideWhenUsed/>
    <w:qFormat/>
    <w:rsid w:val="002B7507"/>
    <w:pPr>
      <w:keepNext/>
      <w:spacing w:before="240" w:after="60"/>
      <w:outlineLvl w:val="2"/>
    </w:pPr>
    <w:rPr>
      <w:rFonts w:ascii="Calibri Light" w:eastAsia="Yu Gothic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315E1"/>
    <w:rPr>
      <w:sz w:val="20"/>
      <w:szCs w:val="20"/>
    </w:rPr>
  </w:style>
  <w:style w:type="character" w:customStyle="1" w:styleId="FootnoteTextChar">
    <w:name w:val="Footnote Text Char"/>
    <w:link w:val="FootnoteText"/>
    <w:uiPriority w:val="99"/>
    <w:rsid w:val="001315E1"/>
    <w:rPr>
      <w:lang w:eastAsia="en-US"/>
    </w:rPr>
  </w:style>
  <w:style w:type="character" w:styleId="Hyperlink">
    <w:name w:val="Hyperlink"/>
    <w:uiPriority w:val="99"/>
    <w:unhideWhenUsed/>
    <w:rsid w:val="001315E1"/>
    <w:rPr>
      <w:color w:val="0000FF"/>
      <w:u w:val="single"/>
    </w:rPr>
  </w:style>
  <w:style w:type="character" w:styleId="FootnoteReference">
    <w:name w:val="footnote reference"/>
    <w:aliases w:val="Footnote symbol"/>
    <w:link w:val="-FNCharCharChar"/>
    <w:uiPriority w:val="99"/>
    <w:unhideWhenUsed/>
    <w:qFormat/>
    <w:rsid w:val="001315E1"/>
    <w:rPr>
      <w:sz w:val="24"/>
      <w:vertAlign w:val="superscript"/>
    </w:rPr>
  </w:style>
  <w:style w:type="character" w:customStyle="1" w:styleId="Heading2Char">
    <w:name w:val="Heading 2 Char"/>
    <w:link w:val="Heading2"/>
    <w:uiPriority w:val="9"/>
    <w:semiHidden/>
    <w:rsid w:val="001315E1"/>
    <w:rPr>
      <w:rFonts w:ascii="Calibri Light" w:eastAsia="Times New Roman" w:hAnsi="Calibri Light"/>
      <w:b/>
      <w:bCs/>
      <w:i/>
      <w:iCs/>
      <w:sz w:val="28"/>
      <w:szCs w:val="28"/>
      <w:lang w:val="en-GB" w:eastAsia="en-US"/>
    </w:rPr>
  </w:style>
  <w:style w:type="paragraph" w:styleId="Header">
    <w:name w:val="header"/>
    <w:basedOn w:val="Normal"/>
    <w:link w:val="HeaderChar"/>
    <w:uiPriority w:val="99"/>
    <w:semiHidden/>
    <w:unhideWhenUsed/>
    <w:rsid w:val="00B005EB"/>
    <w:pPr>
      <w:tabs>
        <w:tab w:val="center" w:pos="4513"/>
        <w:tab w:val="right" w:pos="9026"/>
      </w:tabs>
    </w:pPr>
  </w:style>
  <w:style w:type="character" w:customStyle="1" w:styleId="HeaderChar">
    <w:name w:val="Header Char"/>
    <w:link w:val="Header"/>
    <w:uiPriority w:val="99"/>
    <w:semiHidden/>
    <w:rsid w:val="00B005EB"/>
    <w:rPr>
      <w:sz w:val="22"/>
      <w:szCs w:val="22"/>
      <w:lang w:eastAsia="en-US"/>
    </w:rPr>
  </w:style>
  <w:style w:type="paragraph" w:styleId="Footer">
    <w:name w:val="footer"/>
    <w:basedOn w:val="Normal"/>
    <w:link w:val="FooterChar"/>
    <w:uiPriority w:val="99"/>
    <w:semiHidden/>
    <w:unhideWhenUsed/>
    <w:rsid w:val="00B005EB"/>
    <w:pPr>
      <w:tabs>
        <w:tab w:val="center" w:pos="4513"/>
        <w:tab w:val="right" w:pos="9026"/>
      </w:tabs>
    </w:pPr>
  </w:style>
  <w:style w:type="character" w:customStyle="1" w:styleId="FooterChar">
    <w:name w:val="Footer Char"/>
    <w:link w:val="Footer"/>
    <w:uiPriority w:val="99"/>
    <w:semiHidden/>
    <w:rsid w:val="00B005EB"/>
    <w:rPr>
      <w:sz w:val="22"/>
      <w:szCs w:val="22"/>
      <w:lang w:eastAsia="en-US"/>
    </w:rPr>
  </w:style>
  <w:style w:type="paragraph" w:styleId="Revision">
    <w:name w:val="Revision"/>
    <w:hidden/>
    <w:uiPriority w:val="99"/>
    <w:semiHidden/>
    <w:rsid w:val="00C457BF"/>
    <w:rPr>
      <w:sz w:val="22"/>
      <w:szCs w:val="22"/>
      <w:lang w:val="en-US" w:eastAsia="en-US"/>
    </w:rPr>
  </w:style>
  <w:style w:type="character" w:styleId="CommentReference">
    <w:name w:val="annotation reference"/>
    <w:uiPriority w:val="99"/>
    <w:semiHidden/>
    <w:unhideWhenUsed/>
    <w:rsid w:val="00EB6F3D"/>
    <w:rPr>
      <w:sz w:val="16"/>
      <w:szCs w:val="16"/>
    </w:rPr>
  </w:style>
  <w:style w:type="paragraph" w:styleId="CommentText">
    <w:name w:val="annotation text"/>
    <w:basedOn w:val="Normal"/>
    <w:link w:val="CommentTextChar"/>
    <w:uiPriority w:val="99"/>
    <w:unhideWhenUsed/>
    <w:rsid w:val="00EB6F3D"/>
    <w:rPr>
      <w:sz w:val="20"/>
      <w:szCs w:val="20"/>
    </w:rPr>
  </w:style>
  <w:style w:type="character" w:customStyle="1" w:styleId="CommentTextChar">
    <w:name w:val="Comment Text Char"/>
    <w:link w:val="CommentText"/>
    <w:uiPriority w:val="99"/>
    <w:rsid w:val="00EB6F3D"/>
    <w:rPr>
      <w:lang w:eastAsia="en-US"/>
    </w:rPr>
  </w:style>
  <w:style w:type="paragraph" w:styleId="CommentSubject">
    <w:name w:val="annotation subject"/>
    <w:basedOn w:val="CommentText"/>
    <w:next w:val="CommentText"/>
    <w:link w:val="CommentSubjectChar"/>
    <w:uiPriority w:val="99"/>
    <w:semiHidden/>
    <w:unhideWhenUsed/>
    <w:rsid w:val="00EB6F3D"/>
    <w:rPr>
      <w:b/>
      <w:bCs/>
    </w:rPr>
  </w:style>
  <w:style w:type="character" w:customStyle="1" w:styleId="CommentSubjectChar">
    <w:name w:val="Comment Subject Char"/>
    <w:link w:val="CommentSubject"/>
    <w:uiPriority w:val="99"/>
    <w:semiHidden/>
    <w:rsid w:val="00EB6F3D"/>
    <w:rPr>
      <w:b/>
      <w:bCs/>
      <w:lang w:eastAsia="en-US"/>
    </w:rPr>
  </w:style>
  <w:style w:type="character" w:styleId="Mention">
    <w:name w:val="Mention"/>
    <w:uiPriority w:val="99"/>
    <w:unhideWhenUsed/>
    <w:rsid w:val="006730DA"/>
    <w:rPr>
      <w:color w:val="2B579A"/>
      <w:shd w:val="clear" w:color="auto" w:fill="E1DFDD"/>
    </w:rPr>
  </w:style>
  <w:style w:type="character" w:styleId="UnresolvedMention">
    <w:name w:val="Unresolved Mention"/>
    <w:uiPriority w:val="99"/>
    <w:semiHidden/>
    <w:unhideWhenUsed/>
    <w:rsid w:val="002354E2"/>
    <w:rPr>
      <w:color w:val="605E5C"/>
      <w:shd w:val="clear" w:color="auto" w:fill="E1DFDD"/>
    </w:rPr>
  </w:style>
  <w:style w:type="character" w:styleId="FollowedHyperlink">
    <w:name w:val="FollowedHyperlink"/>
    <w:uiPriority w:val="99"/>
    <w:semiHidden/>
    <w:unhideWhenUsed/>
    <w:rsid w:val="00643DFC"/>
    <w:rPr>
      <w:color w:val="954F72"/>
      <w:u w:val="single"/>
    </w:rPr>
  </w:style>
  <w:style w:type="paragraph" w:customStyle="1" w:styleId="-FNCharCharChar">
    <w:name w:val="Знак сноски-FN Char Char Char"/>
    <w:basedOn w:val="Normal"/>
    <w:link w:val="FootnoteReference"/>
    <w:uiPriority w:val="99"/>
    <w:rsid w:val="007A2276"/>
    <w:pPr>
      <w:spacing w:after="160" w:line="240" w:lineRule="exact"/>
    </w:pPr>
    <w:rPr>
      <w:sz w:val="24"/>
      <w:szCs w:val="20"/>
      <w:vertAlign w:val="superscript"/>
      <w:lang w:eastAsia="en-IE"/>
    </w:rPr>
  </w:style>
  <w:style w:type="character" w:customStyle="1" w:styleId="Heading3Char">
    <w:name w:val="Heading 3 Char"/>
    <w:link w:val="Heading3"/>
    <w:uiPriority w:val="9"/>
    <w:semiHidden/>
    <w:rsid w:val="002B7507"/>
    <w:rPr>
      <w:rFonts w:ascii="Calibri Light" w:eastAsia="Yu Gothic Light" w:hAnsi="Calibri Light" w:cs="Times New Roman"/>
      <w:b/>
      <w:bCs/>
      <w:sz w:val="26"/>
      <w:szCs w:val="26"/>
      <w:lang w:val="en-IE" w:eastAsia="en-US"/>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uiPriority w:val="99"/>
    <w:qFormat/>
    <w:rsid w:val="002B5B87"/>
    <w:pPr>
      <w:spacing w:after="40" w:line="240" w:lineRule="auto"/>
      <w:ind w:left="720"/>
      <w:contextualSpacing/>
      <w:jc w:val="both"/>
    </w:pPr>
    <w:rPr>
      <w:rFonts w:ascii="EC Square Sans Pro" w:hAnsi="EC Square Sans Pro"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4635">
      <w:bodyDiv w:val="1"/>
      <w:marLeft w:val="0"/>
      <w:marRight w:val="0"/>
      <w:marTop w:val="0"/>
      <w:marBottom w:val="0"/>
      <w:divBdr>
        <w:top w:val="none" w:sz="0" w:space="0" w:color="auto"/>
        <w:left w:val="none" w:sz="0" w:space="0" w:color="auto"/>
        <w:bottom w:val="none" w:sz="0" w:space="0" w:color="auto"/>
        <w:right w:val="none" w:sz="0" w:space="0" w:color="auto"/>
      </w:divBdr>
    </w:div>
    <w:div w:id="165169377">
      <w:bodyDiv w:val="1"/>
      <w:marLeft w:val="0"/>
      <w:marRight w:val="0"/>
      <w:marTop w:val="0"/>
      <w:marBottom w:val="0"/>
      <w:divBdr>
        <w:top w:val="none" w:sz="0" w:space="0" w:color="auto"/>
        <w:left w:val="none" w:sz="0" w:space="0" w:color="auto"/>
        <w:bottom w:val="none" w:sz="0" w:space="0" w:color="auto"/>
        <w:right w:val="none" w:sz="0" w:space="0" w:color="auto"/>
      </w:divBdr>
    </w:div>
    <w:div w:id="173109475">
      <w:bodyDiv w:val="1"/>
      <w:marLeft w:val="0"/>
      <w:marRight w:val="0"/>
      <w:marTop w:val="0"/>
      <w:marBottom w:val="0"/>
      <w:divBdr>
        <w:top w:val="none" w:sz="0" w:space="0" w:color="auto"/>
        <w:left w:val="none" w:sz="0" w:space="0" w:color="auto"/>
        <w:bottom w:val="none" w:sz="0" w:space="0" w:color="auto"/>
        <w:right w:val="none" w:sz="0" w:space="0" w:color="auto"/>
      </w:divBdr>
    </w:div>
    <w:div w:id="212817249">
      <w:bodyDiv w:val="1"/>
      <w:marLeft w:val="0"/>
      <w:marRight w:val="0"/>
      <w:marTop w:val="0"/>
      <w:marBottom w:val="0"/>
      <w:divBdr>
        <w:top w:val="none" w:sz="0" w:space="0" w:color="auto"/>
        <w:left w:val="none" w:sz="0" w:space="0" w:color="auto"/>
        <w:bottom w:val="none" w:sz="0" w:space="0" w:color="auto"/>
        <w:right w:val="none" w:sz="0" w:space="0" w:color="auto"/>
      </w:divBdr>
    </w:div>
    <w:div w:id="268004285">
      <w:bodyDiv w:val="1"/>
      <w:marLeft w:val="0"/>
      <w:marRight w:val="0"/>
      <w:marTop w:val="0"/>
      <w:marBottom w:val="0"/>
      <w:divBdr>
        <w:top w:val="none" w:sz="0" w:space="0" w:color="auto"/>
        <w:left w:val="none" w:sz="0" w:space="0" w:color="auto"/>
        <w:bottom w:val="none" w:sz="0" w:space="0" w:color="auto"/>
        <w:right w:val="none" w:sz="0" w:space="0" w:color="auto"/>
      </w:divBdr>
    </w:div>
    <w:div w:id="379672991">
      <w:bodyDiv w:val="1"/>
      <w:marLeft w:val="0"/>
      <w:marRight w:val="0"/>
      <w:marTop w:val="0"/>
      <w:marBottom w:val="0"/>
      <w:divBdr>
        <w:top w:val="none" w:sz="0" w:space="0" w:color="auto"/>
        <w:left w:val="none" w:sz="0" w:space="0" w:color="auto"/>
        <w:bottom w:val="none" w:sz="0" w:space="0" w:color="auto"/>
        <w:right w:val="none" w:sz="0" w:space="0" w:color="auto"/>
      </w:divBdr>
    </w:div>
    <w:div w:id="420956512">
      <w:bodyDiv w:val="1"/>
      <w:marLeft w:val="0"/>
      <w:marRight w:val="0"/>
      <w:marTop w:val="0"/>
      <w:marBottom w:val="0"/>
      <w:divBdr>
        <w:top w:val="none" w:sz="0" w:space="0" w:color="auto"/>
        <w:left w:val="none" w:sz="0" w:space="0" w:color="auto"/>
        <w:bottom w:val="none" w:sz="0" w:space="0" w:color="auto"/>
        <w:right w:val="none" w:sz="0" w:space="0" w:color="auto"/>
      </w:divBdr>
    </w:div>
    <w:div w:id="517282376">
      <w:bodyDiv w:val="1"/>
      <w:marLeft w:val="0"/>
      <w:marRight w:val="0"/>
      <w:marTop w:val="0"/>
      <w:marBottom w:val="0"/>
      <w:divBdr>
        <w:top w:val="none" w:sz="0" w:space="0" w:color="auto"/>
        <w:left w:val="none" w:sz="0" w:space="0" w:color="auto"/>
        <w:bottom w:val="none" w:sz="0" w:space="0" w:color="auto"/>
        <w:right w:val="none" w:sz="0" w:space="0" w:color="auto"/>
      </w:divBdr>
    </w:div>
    <w:div w:id="575479797">
      <w:bodyDiv w:val="1"/>
      <w:marLeft w:val="0"/>
      <w:marRight w:val="0"/>
      <w:marTop w:val="0"/>
      <w:marBottom w:val="0"/>
      <w:divBdr>
        <w:top w:val="none" w:sz="0" w:space="0" w:color="auto"/>
        <w:left w:val="none" w:sz="0" w:space="0" w:color="auto"/>
        <w:bottom w:val="none" w:sz="0" w:space="0" w:color="auto"/>
        <w:right w:val="none" w:sz="0" w:space="0" w:color="auto"/>
      </w:divBdr>
    </w:div>
    <w:div w:id="711081130">
      <w:bodyDiv w:val="1"/>
      <w:marLeft w:val="0"/>
      <w:marRight w:val="0"/>
      <w:marTop w:val="0"/>
      <w:marBottom w:val="0"/>
      <w:divBdr>
        <w:top w:val="none" w:sz="0" w:space="0" w:color="auto"/>
        <w:left w:val="none" w:sz="0" w:space="0" w:color="auto"/>
        <w:bottom w:val="none" w:sz="0" w:space="0" w:color="auto"/>
        <w:right w:val="none" w:sz="0" w:space="0" w:color="auto"/>
      </w:divBdr>
    </w:div>
    <w:div w:id="741757120">
      <w:bodyDiv w:val="1"/>
      <w:marLeft w:val="0"/>
      <w:marRight w:val="0"/>
      <w:marTop w:val="0"/>
      <w:marBottom w:val="0"/>
      <w:divBdr>
        <w:top w:val="none" w:sz="0" w:space="0" w:color="auto"/>
        <w:left w:val="none" w:sz="0" w:space="0" w:color="auto"/>
        <w:bottom w:val="none" w:sz="0" w:space="0" w:color="auto"/>
        <w:right w:val="none" w:sz="0" w:space="0" w:color="auto"/>
      </w:divBdr>
    </w:div>
    <w:div w:id="883104642">
      <w:bodyDiv w:val="1"/>
      <w:marLeft w:val="0"/>
      <w:marRight w:val="0"/>
      <w:marTop w:val="0"/>
      <w:marBottom w:val="0"/>
      <w:divBdr>
        <w:top w:val="none" w:sz="0" w:space="0" w:color="auto"/>
        <w:left w:val="none" w:sz="0" w:space="0" w:color="auto"/>
        <w:bottom w:val="none" w:sz="0" w:space="0" w:color="auto"/>
        <w:right w:val="none" w:sz="0" w:space="0" w:color="auto"/>
      </w:divBdr>
    </w:div>
    <w:div w:id="889192474">
      <w:bodyDiv w:val="1"/>
      <w:marLeft w:val="0"/>
      <w:marRight w:val="0"/>
      <w:marTop w:val="0"/>
      <w:marBottom w:val="0"/>
      <w:divBdr>
        <w:top w:val="none" w:sz="0" w:space="0" w:color="auto"/>
        <w:left w:val="none" w:sz="0" w:space="0" w:color="auto"/>
        <w:bottom w:val="none" w:sz="0" w:space="0" w:color="auto"/>
        <w:right w:val="none" w:sz="0" w:space="0" w:color="auto"/>
      </w:divBdr>
    </w:div>
    <w:div w:id="966201411">
      <w:bodyDiv w:val="1"/>
      <w:marLeft w:val="0"/>
      <w:marRight w:val="0"/>
      <w:marTop w:val="0"/>
      <w:marBottom w:val="0"/>
      <w:divBdr>
        <w:top w:val="none" w:sz="0" w:space="0" w:color="auto"/>
        <w:left w:val="none" w:sz="0" w:space="0" w:color="auto"/>
        <w:bottom w:val="none" w:sz="0" w:space="0" w:color="auto"/>
        <w:right w:val="none" w:sz="0" w:space="0" w:color="auto"/>
      </w:divBdr>
    </w:div>
    <w:div w:id="983705411">
      <w:bodyDiv w:val="1"/>
      <w:marLeft w:val="0"/>
      <w:marRight w:val="0"/>
      <w:marTop w:val="0"/>
      <w:marBottom w:val="0"/>
      <w:divBdr>
        <w:top w:val="none" w:sz="0" w:space="0" w:color="auto"/>
        <w:left w:val="none" w:sz="0" w:space="0" w:color="auto"/>
        <w:bottom w:val="none" w:sz="0" w:space="0" w:color="auto"/>
        <w:right w:val="none" w:sz="0" w:space="0" w:color="auto"/>
      </w:divBdr>
    </w:div>
    <w:div w:id="1059284922">
      <w:bodyDiv w:val="1"/>
      <w:marLeft w:val="0"/>
      <w:marRight w:val="0"/>
      <w:marTop w:val="0"/>
      <w:marBottom w:val="0"/>
      <w:divBdr>
        <w:top w:val="none" w:sz="0" w:space="0" w:color="auto"/>
        <w:left w:val="none" w:sz="0" w:space="0" w:color="auto"/>
        <w:bottom w:val="none" w:sz="0" w:space="0" w:color="auto"/>
        <w:right w:val="none" w:sz="0" w:space="0" w:color="auto"/>
      </w:divBdr>
    </w:div>
    <w:div w:id="1357151606">
      <w:bodyDiv w:val="1"/>
      <w:marLeft w:val="0"/>
      <w:marRight w:val="0"/>
      <w:marTop w:val="0"/>
      <w:marBottom w:val="0"/>
      <w:divBdr>
        <w:top w:val="none" w:sz="0" w:space="0" w:color="auto"/>
        <w:left w:val="none" w:sz="0" w:space="0" w:color="auto"/>
        <w:bottom w:val="none" w:sz="0" w:space="0" w:color="auto"/>
        <w:right w:val="none" w:sz="0" w:space="0" w:color="auto"/>
      </w:divBdr>
    </w:div>
    <w:div w:id="1424490510">
      <w:bodyDiv w:val="1"/>
      <w:marLeft w:val="0"/>
      <w:marRight w:val="0"/>
      <w:marTop w:val="0"/>
      <w:marBottom w:val="0"/>
      <w:divBdr>
        <w:top w:val="none" w:sz="0" w:space="0" w:color="auto"/>
        <w:left w:val="none" w:sz="0" w:space="0" w:color="auto"/>
        <w:bottom w:val="none" w:sz="0" w:space="0" w:color="auto"/>
        <w:right w:val="none" w:sz="0" w:space="0" w:color="auto"/>
      </w:divBdr>
    </w:div>
    <w:div w:id="1604805655">
      <w:bodyDiv w:val="1"/>
      <w:marLeft w:val="0"/>
      <w:marRight w:val="0"/>
      <w:marTop w:val="0"/>
      <w:marBottom w:val="0"/>
      <w:divBdr>
        <w:top w:val="none" w:sz="0" w:space="0" w:color="auto"/>
        <w:left w:val="none" w:sz="0" w:space="0" w:color="auto"/>
        <w:bottom w:val="none" w:sz="0" w:space="0" w:color="auto"/>
        <w:right w:val="none" w:sz="0" w:space="0" w:color="auto"/>
      </w:divBdr>
    </w:div>
    <w:div w:id="1654485562">
      <w:bodyDiv w:val="1"/>
      <w:marLeft w:val="0"/>
      <w:marRight w:val="0"/>
      <w:marTop w:val="0"/>
      <w:marBottom w:val="0"/>
      <w:divBdr>
        <w:top w:val="none" w:sz="0" w:space="0" w:color="auto"/>
        <w:left w:val="none" w:sz="0" w:space="0" w:color="auto"/>
        <w:bottom w:val="none" w:sz="0" w:space="0" w:color="auto"/>
        <w:right w:val="none" w:sz="0" w:space="0" w:color="auto"/>
      </w:divBdr>
    </w:div>
    <w:div w:id="1767799164">
      <w:bodyDiv w:val="1"/>
      <w:marLeft w:val="0"/>
      <w:marRight w:val="0"/>
      <w:marTop w:val="0"/>
      <w:marBottom w:val="0"/>
      <w:divBdr>
        <w:top w:val="none" w:sz="0" w:space="0" w:color="auto"/>
        <w:left w:val="none" w:sz="0" w:space="0" w:color="auto"/>
        <w:bottom w:val="none" w:sz="0" w:space="0" w:color="auto"/>
        <w:right w:val="none" w:sz="0" w:space="0" w:color="auto"/>
      </w:divBdr>
    </w:div>
    <w:div w:id="1780880540">
      <w:bodyDiv w:val="1"/>
      <w:marLeft w:val="0"/>
      <w:marRight w:val="0"/>
      <w:marTop w:val="0"/>
      <w:marBottom w:val="0"/>
      <w:divBdr>
        <w:top w:val="none" w:sz="0" w:space="0" w:color="auto"/>
        <w:left w:val="none" w:sz="0" w:space="0" w:color="auto"/>
        <w:bottom w:val="none" w:sz="0" w:space="0" w:color="auto"/>
        <w:right w:val="none" w:sz="0" w:space="0" w:color="auto"/>
      </w:divBdr>
    </w:div>
    <w:div w:id="1797478831">
      <w:bodyDiv w:val="1"/>
      <w:marLeft w:val="0"/>
      <w:marRight w:val="0"/>
      <w:marTop w:val="0"/>
      <w:marBottom w:val="0"/>
      <w:divBdr>
        <w:top w:val="none" w:sz="0" w:space="0" w:color="auto"/>
        <w:left w:val="none" w:sz="0" w:space="0" w:color="auto"/>
        <w:bottom w:val="none" w:sz="0" w:space="0" w:color="auto"/>
        <w:right w:val="none" w:sz="0" w:space="0" w:color="auto"/>
      </w:divBdr>
    </w:div>
    <w:div w:id="1920558224">
      <w:bodyDiv w:val="1"/>
      <w:marLeft w:val="0"/>
      <w:marRight w:val="0"/>
      <w:marTop w:val="0"/>
      <w:marBottom w:val="0"/>
      <w:divBdr>
        <w:top w:val="none" w:sz="0" w:space="0" w:color="auto"/>
        <w:left w:val="none" w:sz="0" w:space="0" w:color="auto"/>
        <w:bottom w:val="none" w:sz="0" w:space="0" w:color="auto"/>
        <w:right w:val="none" w:sz="0" w:space="0" w:color="auto"/>
      </w:divBdr>
    </w:div>
    <w:div w:id="1921409258">
      <w:bodyDiv w:val="1"/>
      <w:marLeft w:val="0"/>
      <w:marRight w:val="0"/>
      <w:marTop w:val="0"/>
      <w:marBottom w:val="0"/>
      <w:divBdr>
        <w:top w:val="none" w:sz="0" w:space="0" w:color="auto"/>
        <w:left w:val="none" w:sz="0" w:space="0" w:color="auto"/>
        <w:bottom w:val="none" w:sz="0" w:space="0" w:color="auto"/>
        <w:right w:val="none" w:sz="0" w:space="0" w:color="auto"/>
      </w:divBdr>
    </w:div>
    <w:div w:id="1924797310">
      <w:bodyDiv w:val="1"/>
      <w:marLeft w:val="0"/>
      <w:marRight w:val="0"/>
      <w:marTop w:val="0"/>
      <w:marBottom w:val="0"/>
      <w:divBdr>
        <w:top w:val="none" w:sz="0" w:space="0" w:color="auto"/>
        <w:left w:val="none" w:sz="0" w:space="0" w:color="auto"/>
        <w:bottom w:val="none" w:sz="0" w:space="0" w:color="auto"/>
        <w:right w:val="none" w:sz="0" w:space="0" w:color="auto"/>
      </w:divBdr>
    </w:div>
    <w:div w:id="1932741533">
      <w:bodyDiv w:val="1"/>
      <w:marLeft w:val="0"/>
      <w:marRight w:val="0"/>
      <w:marTop w:val="0"/>
      <w:marBottom w:val="0"/>
      <w:divBdr>
        <w:top w:val="none" w:sz="0" w:space="0" w:color="auto"/>
        <w:left w:val="none" w:sz="0" w:space="0" w:color="auto"/>
        <w:bottom w:val="none" w:sz="0" w:space="0" w:color="auto"/>
        <w:right w:val="none" w:sz="0" w:space="0" w:color="auto"/>
      </w:divBdr>
    </w:div>
    <w:div w:id="2003001042">
      <w:bodyDiv w:val="1"/>
      <w:marLeft w:val="0"/>
      <w:marRight w:val="0"/>
      <w:marTop w:val="0"/>
      <w:marBottom w:val="0"/>
      <w:divBdr>
        <w:top w:val="none" w:sz="0" w:space="0" w:color="auto"/>
        <w:left w:val="none" w:sz="0" w:space="0" w:color="auto"/>
        <w:bottom w:val="none" w:sz="0" w:space="0" w:color="auto"/>
        <w:right w:val="none" w:sz="0" w:space="0" w:color="auto"/>
      </w:divBdr>
    </w:div>
    <w:div w:id="2037808187">
      <w:bodyDiv w:val="1"/>
      <w:marLeft w:val="0"/>
      <w:marRight w:val="0"/>
      <w:marTop w:val="0"/>
      <w:marBottom w:val="0"/>
      <w:divBdr>
        <w:top w:val="none" w:sz="0" w:space="0" w:color="auto"/>
        <w:left w:val="none" w:sz="0" w:space="0" w:color="auto"/>
        <w:bottom w:val="none" w:sz="0" w:space="0" w:color="auto"/>
        <w:right w:val="none" w:sz="0" w:space="0" w:color="auto"/>
      </w:divBdr>
    </w:div>
    <w:div w:id="21011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23/970/oj/eng" TargetMode="External"/><Relationship Id="rId13" Type="http://schemas.openxmlformats.org/officeDocument/2006/relationships/hyperlink" Target="https://eur-lex.europa.eu/eli/dir/2003/8/oj/eng" TargetMode="External"/><Relationship Id="rId3" Type="http://schemas.openxmlformats.org/officeDocument/2006/relationships/hyperlink" Target="https://eur-lex.europa.eu/eli/C/2023/1389/oj/eng" TargetMode="External"/><Relationship Id="rId7" Type="http://schemas.openxmlformats.org/officeDocument/2006/relationships/hyperlink" Target="https://eur-lex.europa.eu/legal-content/EN/TXT/?uri=legissum:4489776" TargetMode="External"/><Relationship Id="rId12" Type="http://schemas.openxmlformats.org/officeDocument/2006/relationships/hyperlink" Target="https://eur-lex.europa.eu/eli/dir/2016/1919/oj/eng" TargetMode="External"/><Relationship Id="rId2" Type="http://schemas.openxmlformats.org/officeDocument/2006/relationships/hyperlink" Target="https://eur-lex.europa.eu/eli/dir/2022/2041/oj/eng" TargetMode="External"/><Relationship Id="rId16" Type="http://schemas.openxmlformats.org/officeDocument/2006/relationships/hyperlink" Target="https://eur-lex.europa.eu/legal-content/EN/TXT/?uri=LEGISSUM:european_social_fund" TargetMode="External"/><Relationship Id="rId1" Type="http://schemas.openxmlformats.org/officeDocument/2006/relationships/hyperlink" Target="https://eur-lex.europa.eu/legal-content/EN/TXT/?uri=oj:JOC_2023_041_R_0001" TargetMode="External"/><Relationship Id="rId6" Type="http://schemas.openxmlformats.org/officeDocument/2006/relationships/hyperlink" Target="https://eur-lex.europa.eu/eli/reco/2021/1004/oj/eng" TargetMode="External"/><Relationship Id="rId11" Type="http://schemas.openxmlformats.org/officeDocument/2006/relationships/hyperlink" Target="https://eur-lex.europa.eu/eli/reg/2023/955/oj/eng" TargetMode="External"/><Relationship Id="rId5" Type="http://schemas.openxmlformats.org/officeDocument/2006/relationships/hyperlink" Target="https://eur-lex.europa.eu/legal-content/EN/TXT/?uri=celex:52023DC0298" TargetMode="External"/><Relationship Id="rId15" Type="http://schemas.openxmlformats.org/officeDocument/2006/relationships/hyperlink" Target="https://eur-lex.europa.eu/legal-content/EN/TXT/PDF/?uri=CELEX:52022DC0494" TargetMode="External"/><Relationship Id="rId10" Type="http://schemas.openxmlformats.org/officeDocument/2006/relationships/hyperlink" Target="https://eur-lex.europa.eu/eli/reg/2024/1689/oj/eng" TargetMode="External"/><Relationship Id="rId4" Type="http://schemas.openxmlformats.org/officeDocument/2006/relationships/hyperlink" Target="https://eur-lex.europa.eu/legal-content/EN/TXT/?uri=uriserv:OJ.C_.2019.387.01.0001.01.ENG&amp;toc=OJ:C:2019:387:TOC" TargetMode="External"/><Relationship Id="rId9" Type="http://schemas.openxmlformats.org/officeDocument/2006/relationships/hyperlink" Target="https://eur-lex.europa.eu/eli/dir/2022/542/oj/eng" TargetMode="External"/><Relationship Id="rId14" Type="http://schemas.openxmlformats.org/officeDocument/2006/relationships/hyperlink" Target="https://eur-lex.europa.eu/eli/reg/2009/4(1)/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itle xmlns="e78fa126-9701-4318-bbce-edf13152f9fc">SOC829 (BALON)_reply_EN_V1</DocumentTitle>
    <RequestID xmlns="e78fa126-9701-4318-bbce-edf13152f9fc">EMPL/3091</RequestID>
    <EC_Collab_DocumentLanguage xmlns="22ee0535-c74f-4e20-993e-fbce5d54a3a0">EN</EC_Collab_DocumentLanguage>
    <_Status xmlns="http://schemas.microsoft.com/sharepoint/v3/fields">Not Started</_Status>
    <AuthorId xmlns="e78fa126-9701-4318-bbce-edf13152f9fc">87595</AuthorId>
    <FileId xmlns="e78fa126-9701-4318-bbce-edf13152f9fc">1562695</FileId>
    <LeadDG xmlns="e78fa126-9701-4318-bbce-edf13152f9fc">EMPL</LeadDG>
    <DocumentId xmlns="e78fa126-9701-4318-bbce-edf13152f9fc">753340</DocumentId>
    <EC_Collab_Reference xmlns="22ee0535-c74f-4e20-993e-fbce5d54a3a0" xsi:nil="true"/>
    <FileTitle xmlns="e78fa126-9701-4318-bbce-edf13152f9fc">SOC829 (BALON)_reply_EN_V1</FileTitle>
    <EC_Collab_Status xmlns="22ee0535-c74f-4e20-993e-fbce5d54a3a0">Not Started</EC_Collab_Status>
    <AuthorName xmlns="e78fa126-9701-4318-bbce-edf13152f9fc">PORCHEZ Mathis (EMPL/D/1)</AuthorName>
    <FileType xmlns="e78fa126-9701-4318-bbce-edf13152f9fc">Follow-up fiche</Fil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FC15C3EB267B243896DD18D3394AAF30042EBFDDDC8151A49B219EE185FEEDBA3" ma:contentTypeVersion="27" ma:contentTypeDescription="Create a new document in this library." ma:contentTypeScope="" ma:versionID="0ea310145ef285e292575f1ccac95f47">
  <xsd:schema xmlns:xsd="http://www.w3.org/2001/XMLSchema" xmlns:xs="http://www.w3.org/2001/XMLSchema" xmlns:p="http://schemas.microsoft.com/office/2006/metadata/properties" xmlns:ns2="http://schemas.microsoft.com/sharepoint/v3/fields" xmlns:ns3="22ee0535-c74f-4e20-993e-fbce5d54a3a0" xmlns:ns4="e78fa126-9701-4318-bbce-edf13152f9fc" targetNamespace="http://schemas.microsoft.com/office/2006/metadata/properties" ma:root="true" ma:fieldsID="074500bd0fa41f5da751f6ec587e9fff" ns2:_="" ns3:_="" ns4:_="">
    <xsd:import namespace="http://schemas.microsoft.com/sharepoint/v3/fields"/>
    <xsd:import namespace="22ee0535-c74f-4e20-993e-fbce5d54a3a0"/>
    <xsd:import namespace="e78fa126-9701-4318-bbce-edf13152f9fc"/>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AuthorId" minOccurs="0"/>
                <xsd:element ref="ns4:AuthorName" minOccurs="0"/>
                <xsd:element ref="ns4:DocumentId" minOccurs="0"/>
                <xsd:element ref="ns4:DocumentTitle" minOccurs="0"/>
                <xsd:element ref="ns4:FileId" minOccurs="0"/>
                <xsd:element ref="ns4:FileTitle" minOccurs="0"/>
                <xsd:element ref="ns4:FileType" minOccurs="0"/>
                <xsd:element ref="ns4:LeadDG" minOccurs="0"/>
                <xsd:element ref="ns4:Reque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2ee0535-c74f-4e20-993e-fbce5d54a3a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e78fa126-9701-4318-bbce-edf13152f9fc" elementFormDefault="qualified">
    <xsd:import namespace="http://schemas.microsoft.com/office/2006/documentManagement/types"/>
    <xsd:import namespace="http://schemas.microsoft.com/office/infopath/2007/PartnerControls"/>
    <xsd:element name="AuthorId" ma:index="16" nillable="true" ma:displayName="AuthorId" ma:internalName="AuthorId" ma:readOnly="false" ma:percentage="FALSE">
      <xsd:simpleType>
        <xsd:restriction base="dms:Number"/>
      </xsd:simpleType>
    </xsd:element>
    <xsd:element name="AuthorName" ma:index="17" nillable="true" ma:displayName="AuthorName" ma:internalName="AuthorName" ma:readOnly="false">
      <xsd:simpleType>
        <xsd:restriction base="dms:Text">
          <xsd:maxLength value="255"/>
        </xsd:restriction>
      </xsd:simpleType>
    </xsd:element>
    <xsd:element name="DocumentId" ma:index="18" nillable="true" ma:displayName="DocumentId" ma:internalName="DocumentId" ma:readOnly="false">
      <xsd:simpleType>
        <xsd:restriction base="dms:Text">
          <xsd:maxLength value="255"/>
        </xsd:restriction>
      </xsd:simpleType>
    </xsd:element>
    <xsd:element name="DocumentTitle" ma:index="19" nillable="true" ma:displayName="DocumentTitle" ma:internalName="DocumentTitle" ma:readOnly="false">
      <xsd:simpleType>
        <xsd:restriction base="dms:Text">
          <xsd:maxLength value="255"/>
        </xsd:restriction>
      </xsd:simpleType>
    </xsd:element>
    <xsd:element name="FileId" ma:index="20" nillable="true" ma:displayName="FileId" ma:internalName="FileId" ma:readOnly="false">
      <xsd:simpleType>
        <xsd:restriction base="dms:Text">
          <xsd:maxLength value="255"/>
        </xsd:restriction>
      </xsd:simpleType>
    </xsd:element>
    <xsd:element name="FileTitle" ma:index="21" nillable="true" ma:displayName="FileTitle" ma:internalName="FileTitle" ma:readOnly="false">
      <xsd:simpleType>
        <xsd:restriction base="dms:Text">
          <xsd:maxLength value="255"/>
        </xsd:restriction>
      </xsd:simpleType>
    </xsd:element>
    <xsd:element name="FileType" ma:index="22" nillable="true" ma:displayName="FileType" ma:internalName="FileType" ma:readOnly="false">
      <xsd:simpleType>
        <xsd:restriction base="dms:Text">
          <xsd:maxLength value="255"/>
        </xsd:restriction>
      </xsd:simpleType>
    </xsd:element>
    <xsd:element name="LeadDG" ma:index="23" nillable="true" ma:displayName="LeadDG" ma:internalName="LeadDG" ma:readOnly="false">
      <xsd:simpleType>
        <xsd:restriction base="dms:Text">
          <xsd:maxLength value="255"/>
        </xsd:restriction>
      </xsd:simpleType>
    </xsd:element>
    <xsd:element name="RequestID" ma:index="24" nillable="true" ma:displayName="RequestID" ma:internalName="RequestID"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A0994-ED7B-4F86-8CF1-92A746CC3941}">
  <ds:schemaRefs>
    <ds:schemaRef ds:uri="http://schemas.microsoft.com/office/2006/metadata/properties"/>
    <ds:schemaRef ds:uri="http://schemas.microsoft.com/office/infopath/2007/PartnerControls"/>
    <ds:schemaRef ds:uri="e78fa126-9701-4318-bbce-edf13152f9fc"/>
    <ds:schemaRef ds:uri="22ee0535-c74f-4e20-993e-fbce5d54a3a0"/>
    <ds:schemaRef ds:uri="http://schemas.microsoft.com/sharepoint/v3/fields"/>
  </ds:schemaRefs>
</ds:datastoreItem>
</file>

<file path=customXml/itemProps2.xml><?xml version="1.0" encoding="utf-8"?>
<ds:datastoreItem xmlns:ds="http://schemas.openxmlformats.org/officeDocument/2006/customXml" ds:itemID="{98B52551-79B8-4644-BE07-B9534FAA3A6F}">
  <ds:schemaRefs>
    <ds:schemaRef ds:uri="http://schemas.microsoft.com/sharepoint/v3/contenttype/forms"/>
  </ds:schemaRefs>
</ds:datastoreItem>
</file>

<file path=customXml/itemProps3.xml><?xml version="1.0" encoding="utf-8"?>
<ds:datastoreItem xmlns:ds="http://schemas.openxmlformats.org/officeDocument/2006/customXml" ds:itemID="{66CDC0AF-5281-43D0-9E62-FCE688416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2ee0535-c74f-4e20-993e-fbce5d54a3a0"/>
    <ds:schemaRef ds:uri="e78fa126-9701-4318-bbce-edf13152f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363A4-3344-48AB-8713-69E78B02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1884</Words>
  <Characters>10892</Characters>
  <Application>Microsoft Office Word</Application>
  <DocSecurity>0</DocSecurity>
  <Lines>141</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ROSSI Simona (SG-EXT)</cp:lastModifiedBy>
  <cp:revision>3</cp:revision>
  <cp:lastPrinted>2013-03-04T15:02:00Z</cp:lastPrinted>
  <dcterms:created xsi:type="dcterms:W3CDTF">2026-01-09T08:54:00Z</dcterms:created>
  <dcterms:modified xsi:type="dcterms:W3CDTF">2026-01-09T08:56:00Z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0x010100BFC15C3EB267B243896DD18D3394AAF30042EBFDDDC8151A49B219EE185FEEDBA3</vt:lpwstr>
  </property>
  <property fmtid="{D5CDD505-2E9C-101B-9397-08002B2CF9AE}" pid="10" name="MediaServiceImageTags">
    <vt:lpwstr/>
  </property>
</Properties>
</file>