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4A75A873">
        <w:trPr>
          <w:jc w:val="center"/>
        </w:trPr>
        <w:tc>
          <w:tcPr>
            <w:tcW w:w="9711" w:type="dxa"/>
          </w:tcPr>
          <w:p w14:paraId="3A4EDC3A" w14:textId="751B87AD" w:rsidR="001C4138" w:rsidRPr="004F6117" w:rsidRDefault="00F858A6" w:rsidP="00393AE9">
            <w:pPr>
              <w:spacing w:before="120" w:after="120"/>
              <w:rPr>
                <w:rFonts w:ascii="Times New Roman" w:hAnsi="Times New Roman"/>
                <w:b/>
                <w:sz w:val="24"/>
                <w:szCs w:val="24"/>
              </w:rPr>
            </w:pPr>
            <w:r w:rsidRPr="2DEA0206">
              <w:rPr>
                <w:rFonts w:ascii="Times New Roman" w:eastAsia="Times New Roman" w:hAnsi="Times New Roman"/>
                <w:b/>
                <w:bCs/>
                <w:sz w:val="24"/>
                <w:szCs w:val="24"/>
              </w:rPr>
              <w:t>Towards a just transition legislative proposal and EU policy tools that enable a more social European Green Deal</w:t>
            </w:r>
            <w:r w:rsidR="001C4138" w:rsidRPr="00F858A6">
              <w:rPr>
                <w:rFonts w:ascii="Times New Roman" w:eastAsia="Times New Roman" w:hAnsi="Times New Roman"/>
                <w:b/>
                <w:bCs/>
                <w:sz w:val="24"/>
                <w:szCs w:val="24"/>
              </w:rPr>
              <w:br/>
            </w:r>
            <w:r w:rsidRPr="00F858A6">
              <w:rPr>
                <w:rFonts w:ascii="Times New Roman" w:eastAsia="Times New Roman" w:hAnsi="Times New Roman"/>
                <w:b/>
                <w:bCs/>
                <w:sz w:val="24"/>
                <w:szCs w:val="24"/>
              </w:rPr>
              <w:t xml:space="preserve">EESC-2024-01077 - NAT/933 </w:t>
            </w:r>
            <w:r w:rsidR="00291205">
              <w:rPr>
                <w:rFonts w:ascii="Times New Roman" w:hAnsi="Times New Roman"/>
                <w:b/>
                <w:sz w:val="24"/>
                <w:szCs w:val="24"/>
              </w:rPr>
              <w:br/>
            </w:r>
            <w:r w:rsidRPr="2DEA0206">
              <w:rPr>
                <w:rFonts w:ascii="Times New Roman" w:eastAsia="Times New Roman" w:hAnsi="Times New Roman"/>
                <w:b/>
                <w:bCs/>
                <w:sz w:val="24"/>
                <w:szCs w:val="24"/>
              </w:rPr>
              <w:t>592</w:t>
            </w:r>
            <w:r w:rsidR="00291205" w:rsidRPr="00291205">
              <w:rPr>
                <w:rFonts w:ascii="Times New Roman" w:eastAsia="Times New Roman" w:hAnsi="Times New Roman"/>
                <w:b/>
                <w:bCs/>
                <w:sz w:val="24"/>
                <w:szCs w:val="24"/>
                <w:vertAlign w:val="superscript"/>
              </w:rPr>
              <w:t>nd</w:t>
            </w:r>
            <w:r w:rsidRPr="2DEA0206">
              <w:rPr>
                <w:rFonts w:ascii="Times New Roman" w:eastAsia="Times New Roman" w:hAnsi="Times New Roman"/>
                <w:b/>
                <w:bCs/>
                <w:sz w:val="24"/>
                <w:szCs w:val="24"/>
              </w:rPr>
              <w:t xml:space="preserve"> Plenary Session – December 2024</w:t>
            </w:r>
            <w:r w:rsidRPr="00F858A6">
              <w:rPr>
                <w:rFonts w:ascii="Times New Roman" w:eastAsia="Times New Roman" w:hAnsi="Times New Roman"/>
                <w:b/>
                <w:bCs/>
                <w:sz w:val="24"/>
                <w:szCs w:val="24"/>
              </w:rPr>
              <w:br/>
            </w:r>
            <w:r w:rsidR="00291205" w:rsidRPr="00291205">
              <w:rPr>
                <w:rFonts w:ascii="Times New Roman" w:eastAsia="Times New Roman" w:hAnsi="Times New Roman"/>
                <w:b/>
                <w:bCs/>
                <w:sz w:val="24"/>
                <w:szCs w:val="24"/>
              </w:rPr>
              <w:t>Rapporteur: Dirk BERGRATH (DE-II)</w:t>
            </w:r>
            <w:r w:rsidRPr="00F858A6">
              <w:rPr>
                <w:rFonts w:ascii="Times New Roman" w:eastAsia="Times New Roman" w:hAnsi="Times New Roman"/>
                <w:b/>
                <w:bCs/>
                <w:sz w:val="24"/>
                <w:szCs w:val="24"/>
              </w:rPr>
              <w:br/>
            </w:r>
            <w:r w:rsidRPr="2DEA0206">
              <w:rPr>
                <w:rFonts w:ascii="Times New Roman" w:eastAsia="Times New Roman" w:hAnsi="Times New Roman"/>
                <w:b/>
                <w:bCs/>
                <w:sz w:val="24"/>
                <w:szCs w:val="24"/>
              </w:rPr>
              <w:t xml:space="preserve">DG EMPL – </w:t>
            </w:r>
            <w:r>
              <w:rPr>
                <w:rFonts w:ascii="Times New Roman" w:eastAsia="Times New Roman" w:hAnsi="Times New Roman"/>
                <w:b/>
                <w:bCs/>
                <w:sz w:val="24"/>
                <w:szCs w:val="24"/>
              </w:rPr>
              <w:t xml:space="preserve">Executive Vice-President </w:t>
            </w:r>
            <w:r w:rsidRPr="2DEA0206">
              <w:rPr>
                <w:rFonts w:ascii="Times New Roman" w:eastAsia="Times New Roman" w:hAnsi="Times New Roman"/>
                <w:b/>
                <w:bCs/>
                <w:sz w:val="24"/>
                <w:szCs w:val="24"/>
              </w:rPr>
              <w:t>MÎNZATU</w:t>
            </w:r>
          </w:p>
        </w:tc>
      </w:tr>
      <w:tr w:rsidR="00734613" w:rsidRPr="00442552" w14:paraId="1937071F" w14:textId="77777777" w:rsidTr="4A75A873">
        <w:trPr>
          <w:jc w:val="center"/>
        </w:trPr>
        <w:tc>
          <w:tcPr>
            <w:tcW w:w="9711" w:type="dxa"/>
          </w:tcPr>
          <w:p w14:paraId="1E50B4DB" w14:textId="23EE4E17" w:rsidR="00734613" w:rsidRPr="00695797" w:rsidRDefault="00BA3BE9" w:rsidP="00393AE9">
            <w:pPr>
              <w:spacing w:before="120" w:after="120"/>
              <w:jc w:val="center"/>
              <w:rPr>
                <w:rFonts w:ascii="Times New Roman" w:hAnsi="Times New Roman"/>
                <w:b/>
                <w:sz w:val="24"/>
                <w:szCs w:val="24"/>
              </w:rPr>
            </w:pPr>
            <w:r>
              <w:rPr>
                <w:rFonts w:ascii="Times New Roman" w:hAnsi="Times New Roman"/>
                <w:b/>
                <w:sz w:val="24"/>
                <w:szCs w:val="24"/>
              </w:rPr>
              <w:t>Commission</w:t>
            </w:r>
            <w:r w:rsidR="004F6117" w:rsidRPr="004F6117">
              <w:rPr>
                <w:rFonts w:ascii="Times New Roman" w:hAnsi="Times New Roman"/>
                <w:b/>
                <w:sz w:val="24"/>
                <w:szCs w:val="24"/>
              </w:rPr>
              <w:t xml:space="preserve"> position on points </w:t>
            </w:r>
            <w:r w:rsidR="004F6117">
              <w:rPr>
                <w:rFonts w:ascii="Times New Roman" w:hAnsi="Times New Roman"/>
                <w:b/>
                <w:sz w:val="24"/>
                <w:szCs w:val="24"/>
              </w:rPr>
              <w:br/>
            </w:r>
            <w:r w:rsidR="004F6117" w:rsidRPr="004F6117">
              <w:rPr>
                <w:rFonts w:ascii="Times New Roman" w:hAnsi="Times New Roman"/>
                <w:b/>
                <w:sz w:val="24"/>
                <w:szCs w:val="24"/>
              </w:rPr>
              <w:t xml:space="preserve">of the European Economic and Social Committee </w:t>
            </w:r>
            <w:r w:rsidR="008C6B2C">
              <w:rPr>
                <w:rFonts w:ascii="Times New Roman" w:hAnsi="Times New Roman"/>
                <w:b/>
                <w:sz w:val="24"/>
                <w:szCs w:val="24"/>
              </w:rPr>
              <w:t xml:space="preserve">(EESC) </w:t>
            </w:r>
            <w:r w:rsidR="004F6117"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4A75A873">
        <w:trPr>
          <w:jc w:val="center"/>
        </w:trPr>
        <w:tc>
          <w:tcPr>
            <w:tcW w:w="9711" w:type="dxa"/>
          </w:tcPr>
          <w:p w14:paraId="20B5CB4E" w14:textId="0BAF7E91" w:rsidR="0082632D" w:rsidRPr="0082632D" w:rsidRDefault="00F858A6" w:rsidP="00393AE9">
            <w:pPr>
              <w:spacing w:before="120" w:after="120"/>
              <w:contextualSpacing/>
              <w:jc w:val="both"/>
              <w:rPr>
                <w:rFonts w:ascii="Times New Roman" w:hAnsi="Times New Roman"/>
                <w:sz w:val="24"/>
                <w:szCs w:val="24"/>
              </w:rPr>
            </w:pPr>
            <w:r w:rsidRPr="00F858A6">
              <w:rPr>
                <w:rFonts w:ascii="Times New Roman" w:eastAsia="Times New Roman" w:hAnsi="Times New Roman"/>
                <w:sz w:val="24"/>
                <w:szCs w:val="24"/>
                <w:lang w:val="en-IE" w:eastAsia="en-IE"/>
              </w:rPr>
              <w:t xml:space="preserve">The Commission welcomes the Opinion of the </w:t>
            </w:r>
            <w:r w:rsidR="00393AE9" w:rsidRPr="00393AE9">
              <w:rPr>
                <w:rFonts w:ascii="Times New Roman" w:eastAsia="Times New Roman" w:hAnsi="Times New Roman"/>
                <w:sz w:val="24"/>
                <w:szCs w:val="24"/>
                <w:lang w:val="en-IE" w:eastAsia="en-IE"/>
              </w:rPr>
              <w:t>Committee</w:t>
            </w:r>
            <w:r w:rsidR="008C6B2C">
              <w:rPr>
                <w:rFonts w:ascii="Times New Roman" w:eastAsia="Times New Roman" w:hAnsi="Times New Roman"/>
                <w:sz w:val="24"/>
                <w:szCs w:val="24"/>
                <w:lang w:val="en-IE" w:eastAsia="en-IE"/>
              </w:rPr>
              <w:t xml:space="preserve"> </w:t>
            </w:r>
            <w:r w:rsidRPr="00F858A6">
              <w:rPr>
                <w:rFonts w:ascii="Times New Roman" w:eastAsia="Times New Roman" w:hAnsi="Times New Roman"/>
                <w:sz w:val="24"/>
                <w:szCs w:val="24"/>
                <w:lang w:val="en-IE" w:eastAsia="en-IE"/>
              </w:rPr>
              <w:t>on strengthening the just transition framework in Europe to ensure fair outcomes towards a</w:t>
            </w:r>
            <w:r w:rsidR="008C6B2C">
              <w:rPr>
                <w:rFonts w:ascii="Times New Roman" w:eastAsia="Times New Roman" w:hAnsi="Times New Roman"/>
                <w:sz w:val="24"/>
                <w:szCs w:val="24"/>
                <w:lang w:val="en-IE" w:eastAsia="en-IE"/>
              </w:rPr>
              <w:t> </w:t>
            </w:r>
            <w:r w:rsidRPr="00F858A6">
              <w:rPr>
                <w:rFonts w:ascii="Times New Roman" w:eastAsia="Times New Roman" w:hAnsi="Times New Roman"/>
                <w:sz w:val="24"/>
                <w:szCs w:val="24"/>
                <w:lang w:val="en-IE" w:eastAsia="en-IE"/>
              </w:rPr>
              <w:t xml:space="preserve">climate-neutral economy. Since the transition is a long-term process that brings social, economic, and environmental impacts with asymmetric sectorial, occupational, and territorial distributions, the EU strives to provide support where it is most needed. </w:t>
            </w:r>
            <w:r w:rsidRPr="0082632D">
              <w:rPr>
                <w:rFonts w:ascii="Times New Roman" w:hAnsi="Times New Roman"/>
                <w:sz w:val="24"/>
                <w:szCs w:val="24"/>
                <w:lang w:val="en-IE" w:eastAsia="en-IE"/>
              </w:rPr>
              <w:t xml:space="preserve">In this context, the Commission is working in different areas, including on policy guidance, skills for the transition, anticipation and management of change, financial support through EU funds, and analytical support to assessing the employment, social and distributional impacts of the transition. </w:t>
            </w:r>
          </w:p>
          <w:p w14:paraId="27AA0CAA" w14:textId="77777777" w:rsidR="00F858A6" w:rsidRPr="00F858A6" w:rsidRDefault="00F858A6" w:rsidP="00393AE9">
            <w:pPr>
              <w:spacing w:before="120" w:after="120"/>
              <w:contextualSpacing/>
              <w:jc w:val="both"/>
              <w:rPr>
                <w:rFonts w:ascii="Times New Roman" w:eastAsia="Times New Roman" w:hAnsi="Times New Roman"/>
                <w:b/>
                <w:bCs/>
                <w:sz w:val="24"/>
                <w:szCs w:val="24"/>
                <w:lang w:val="en-IE" w:eastAsia="en-IE"/>
              </w:rPr>
            </w:pPr>
            <w:r w:rsidRPr="00F858A6">
              <w:rPr>
                <w:rFonts w:ascii="Times New Roman" w:eastAsia="Times New Roman" w:hAnsi="Times New Roman"/>
                <w:b/>
                <w:bCs/>
                <w:i/>
                <w:iCs/>
                <w:sz w:val="24"/>
                <w:szCs w:val="24"/>
                <w:lang w:val="en-IE" w:eastAsia="en-IE"/>
              </w:rPr>
              <w:t>Policy guidance</w:t>
            </w:r>
            <w:r w:rsidRPr="00F858A6">
              <w:rPr>
                <w:rFonts w:ascii="Times New Roman" w:eastAsia="Times New Roman" w:hAnsi="Times New Roman"/>
                <w:b/>
                <w:bCs/>
                <w:sz w:val="24"/>
                <w:szCs w:val="24"/>
                <w:lang w:val="en-IE" w:eastAsia="en-IE"/>
              </w:rPr>
              <w:t xml:space="preserve"> </w:t>
            </w:r>
          </w:p>
          <w:p w14:paraId="46BF4BEF" w14:textId="310F6462" w:rsidR="00F858A6" w:rsidRPr="00F858A6" w:rsidRDefault="00F858A6" w:rsidP="00393AE9">
            <w:pPr>
              <w:spacing w:before="120" w:after="120"/>
              <w:contextualSpacing/>
              <w:jc w:val="both"/>
              <w:rPr>
                <w:rFonts w:ascii="Times New Roman" w:eastAsia="Times New Roman" w:hAnsi="Times New Roman"/>
                <w:sz w:val="24"/>
                <w:szCs w:val="24"/>
                <w:lang w:val="en-US"/>
              </w:rPr>
            </w:pPr>
            <w:r w:rsidRPr="00F858A6">
              <w:rPr>
                <w:rFonts w:ascii="Times New Roman" w:eastAsia="Times New Roman" w:hAnsi="Times New Roman"/>
                <w:sz w:val="24"/>
                <w:szCs w:val="24"/>
                <w:lang w:val="en-US"/>
              </w:rPr>
              <w:t>In the context of the European Green Deal, the</w:t>
            </w:r>
            <w:r w:rsidRPr="00F858A6">
              <w:rPr>
                <w:rFonts w:ascii="Times New Roman" w:eastAsia="Times New Roman" w:hAnsi="Times New Roman"/>
                <w:b/>
                <w:bCs/>
                <w:sz w:val="24"/>
                <w:szCs w:val="24"/>
                <w:lang w:val="en-US"/>
              </w:rPr>
              <w:t xml:space="preserve"> Council Recommendation on ensuring a fair transition towards climate neutrality</w:t>
            </w:r>
            <w:r w:rsidRPr="00F858A6">
              <w:rPr>
                <w:rStyle w:val="FootnoteReference"/>
                <w:rFonts w:ascii="Times New Roman" w:eastAsia="Times New Roman" w:hAnsi="Times New Roman"/>
                <w:szCs w:val="24"/>
                <w:lang w:val="en-US"/>
              </w:rPr>
              <w:footnoteReference w:id="2"/>
            </w:r>
            <w:r w:rsidRPr="00F858A6">
              <w:rPr>
                <w:rFonts w:ascii="Times New Roman" w:eastAsia="Times New Roman" w:hAnsi="Times New Roman"/>
                <w:sz w:val="24"/>
                <w:szCs w:val="24"/>
                <w:lang w:val="en-US"/>
              </w:rPr>
              <w:t xml:space="preserve"> from June 2022 invites Member States to adopt and implement comprehensive and coherent policy packages for a just transition, covering measures in the areas of employment, skills, social protection, tax-benefit systems, and access to essential services, to ensure that the transition is fair for all. This </w:t>
            </w:r>
            <w:r w:rsidR="00F46401">
              <w:rPr>
                <w:rFonts w:ascii="Times New Roman" w:eastAsia="Times New Roman" w:hAnsi="Times New Roman"/>
                <w:sz w:val="24"/>
                <w:szCs w:val="24"/>
                <w:lang w:val="en-US"/>
              </w:rPr>
              <w:t>should be done</w:t>
            </w:r>
            <w:r w:rsidRPr="00F858A6">
              <w:rPr>
                <w:rFonts w:ascii="Times New Roman" w:eastAsia="Times New Roman" w:hAnsi="Times New Roman"/>
                <w:sz w:val="24"/>
                <w:szCs w:val="24"/>
                <w:lang w:val="en-US"/>
              </w:rPr>
              <w:t xml:space="preserve"> in close cooperation with social partners and building on a genuine whole-of-society approach. </w:t>
            </w:r>
            <w:r w:rsidRPr="00F858A6">
              <w:rPr>
                <w:rFonts w:ascii="Times New Roman" w:eastAsia="Times New Roman" w:hAnsi="Times New Roman"/>
                <w:color w:val="0D0D0D"/>
                <w:sz w:val="24"/>
                <w:szCs w:val="24"/>
                <w:lang w:val="en-US"/>
              </w:rPr>
              <w:t xml:space="preserve">In addition, it includes </w:t>
            </w:r>
            <w:r w:rsidR="00F46401">
              <w:rPr>
                <w:rFonts w:ascii="Times New Roman" w:eastAsia="Times New Roman" w:hAnsi="Times New Roman"/>
                <w:color w:val="0D0D0D"/>
                <w:sz w:val="24"/>
                <w:szCs w:val="24"/>
                <w:lang w:val="en-US"/>
              </w:rPr>
              <w:t>a</w:t>
            </w:r>
            <w:r w:rsidR="008C6B2C">
              <w:rPr>
                <w:rFonts w:ascii="Times New Roman" w:eastAsia="Times New Roman" w:hAnsi="Times New Roman"/>
                <w:color w:val="0D0D0D"/>
                <w:sz w:val="24"/>
                <w:szCs w:val="24"/>
                <w:lang w:val="en-US"/>
              </w:rPr>
              <w:t> </w:t>
            </w:r>
            <w:r w:rsidRPr="00F858A6">
              <w:rPr>
                <w:rFonts w:ascii="Times New Roman" w:eastAsia="Times New Roman" w:hAnsi="Times New Roman"/>
                <w:color w:val="0D0D0D"/>
                <w:sz w:val="24"/>
                <w:szCs w:val="24"/>
                <w:lang w:val="en-US"/>
              </w:rPr>
              <w:t xml:space="preserve">commitment to strengthen the </w:t>
            </w:r>
            <w:r w:rsidRPr="00F46401">
              <w:rPr>
                <w:rFonts w:ascii="Times New Roman" w:eastAsia="Times New Roman" w:hAnsi="Times New Roman"/>
                <w:color w:val="0D0D0D"/>
                <w:sz w:val="24"/>
                <w:szCs w:val="24"/>
                <w:lang w:val="en-US"/>
              </w:rPr>
              <w:t>knowledge base for policymaking and public debate</w:t>
            </w:r>
            <w:r w:rsidRPr="00F858A6">
              <w:rPr>
                <w:rFonts w:ascii="Times New Roman" w:eastAsia="Times New Roman" w:hAnsi="Times New Roman"/>
                <w:color w:val="0D0D0D"/>
                <w:sz w:val="24"/>
                <w:szCs w:val="24"/>
                <w:lang w:val="en-US"/>
              </w:rPr>
              <w:t xml:space="preserve"> related to fair transition,</w:t>
            </w:r>
            <w:r w:rsidRPr="00F858A6">
              <w:rPr>
                <w:rFonts w:ascii="Times New Roman" w:eastAsia="Times New Roman" w:hAnsi="Times New Roman"/>
                <w:sz w:val="24"/>
                <w:szCs w:val="24"/>
                <w:lang w:val="en-US"/>
              </w:rPr>
              <w:t xml:space="preserve"> including by:</w:t>
            </w:r>
          </w:p>
          <w:p w14:paraId="33D0E5C5" w14:textId="48A63373" w:rsidR="00F858A6" w:rsidRPr="00F858A6" w:rsidRDefault="00F858A6" w:rsidP="00393AE9">
            <w:pPr>
              <w:pStyle w:val="ListParagraph"/>
              <w:numPr>
                <w:ilvl w:val="0"/>
                <w:numId w:val="4"/>
              </w:numPr>
              <w:spacing w:before="120" w:after="120" w:line="276" w:lineRule="auto"/>
              <w:ind w:left="0"/>
              <w:rPr>
                <w:color w:val="0D0D0D"/>
                <w:sz w:val="24"/>
                <w:szCs w:val="24"/>
              </w:rPr>
            </w:pPr>
            <w:r w:rsidRPr="00F858A6">
              <w:rPr>
                <w:b/>
                <w:bCs/>
                <w:sz w:val="24"/>
                <w:szCs w:val="24"/>
              </w:rPr>
              <w:t xml:space="preserve">providing access to appropriate granular data and evidence </w:t>
            </w:r>
            <w:r w:rsidRPr="00F858A6">
              <w:rPr>
                <w:sz w:val="24"/>
                <w:szCs w:val="24"/>
              </w:rPr>
              <w:t xml:space="preserve">and updating indicators and methodological guidance for assessing employment, social, and distributional impacts of climate and energy </w:t>
            </w:r>
            <w:proofErr w:type="gramStart"/>
            <w:r w:rsidRPr="00F858A6">
              <w:rPr>
                <w:sz w:val="24"/>
                <w:szCs w:val="24"/>
              </w:rPr>
              <w:t>policies;</w:t>
            </w:r>
            <w:proofErr w:type="gramEnd"/>
          </w:p>
          <w:p w14:paraId="700B7727" w14:textId="57718C4B" w:rsidR="00F858A6" w:rsidRPr="00F858A6" w:rsidRDefault="00F858A6" w:rsidP="00393AE9">
            <w:pPr>
              <w:pStyle w:val="ListParagraph"/>
              <w:numPr>
                <w:ilvl w:val="0"/>
                <w:numId w:val="4"/>
              </w:numPr>
              <w:spacing w:before="120" w:after="120" w:line="276" w:lineRule="auto"/>
              <w:ind w:left="0"/>
              <w:rPr>
                <w:color w:val="000000"/>
                <w:sz w:val="24"/>
                <w:szCs w:val="24"/>
              </w:rPr>
            </w:pPr>
            <w:r w:rsidRPr="00F858A6">
              <w:rPr>
                <w:b/>
                <w:bCs/>
                <w:sz w:val="24"/>
                <w:szCs w:val="24"/>
              </w:rPr>
              <w:t>supporting transparent and regular exchanges on the actual impacts of climate, energy and environmental policies</w:t>
            </w:r>
            <w:r w:rsidRPr="00F858A6">
              <w:rPr>
                <w:sz w:val="24"/>
                <w:szCs w:val="24"/>
              </w:rPr>
              <w:t xml:space="preserve"> with social partners, civil society </w:t>
            </w:r>
            <w:proofErr w:type="spellStart"/>
            <w:r w:rsidRPr="00F858A6">
              <w:rPr>
                <w:sz w:val="24"/>
                <w:szCs w:val="24"/>
              </w:rPr>
              <w:t>organisations</w:t>
            </w:r>
            <w:proofErr w:type="spellEnd"/>
            <w:r w:rsidRPr="00F858A6">
              <w:rPr>
                <w:sz w:val="24"/>
                <w:szCs w:val="24"/>
              </w:rPr>
              <w:t>, and citizens at large, as well as exchanges of best practices among Member States and relevant regional and local authorities, to advance the green transition in an inclusive and democratic way</w:t>
            </w:r>
            <w:r w:rsidR="00C959D2">
              <w:rPr>
                <w:sz w:val="24"/>
                <w:szCs w:val="24"/>
              </w:rPr>
              <w:t xml:space="preserve"> including ensuring welfare also in rural </w:t>
            </w:r>
            <w:r w:rsidR="0082632D">
              <w:rPr>
                <w:sz w:val="24"/>
                <w:szCs w:val="24"/>
              </w:rPr>
              <w:t xml:space="preserve">and remote </w:t>
            </w:r>
            <w:r w:rsidR="00C959D2">
              <w:rPr>
                <w:sz w:val="24"/>
                <w:szCs w:val="24"/>
              </w:rPr>
              <w:t>areas</w:t>
            </w:r>
            <w:r w:rsidRPr="00F858A6">
              <w:rPr>
                <w:sz w:val="24"/>
                <w:szCs w:val="24"/>
              </w:rPr>
              <w:t>.</w:t>
            </w:r>
          </w:p>
          <w:p w14:paraId="02E7030A" w14:textId="3114599E" w:rsidR="00F858A6" w:rsidRPr="00F858A6" w:rsidRDefault="00F858A6" w:rsidP="00393AE9">
            <w:pPr>
              <w:spacing w:before="120" w:after="120"/>
              <w:contextualSpacing/>
              <w:jc w:val="both"/>
              <w:rPr>
                <w:rFonts w:ascii="Times New Roman" w:eastAsia="Times New Roman" w:hAnsi="Times New Roman"/>
                <w:sz w:val="24"/>
                <w:szCs w:val="24"/>
              </w:rPr>
            </w:pPr>
            <w:r w:rsidRPr="00F858A6">
              <w:rPr>
                <w:rFonts w:ascii="Times New Roman" w:eastAsia="Times New Roman" w:hAnsi="Times New Roman"/>
                <w:sz w:val="24"/>
                <w:szCs w:val="24"/>
              </w:rPr>
              <w:t xml:space="preserve">The </w:t>
            </w:r>
            <w:r w:rsidRPr="00F858A6">
              <w:rPr>
                <w:rFonts w:ascii="Times New Roman" w:eastAsia="Times New Roman" w:hAnsi="Times New Roman"/>
                <w:b/>
                <w:bCs/>
                <w:sz w:val="24"/>
                <w:szCs w:val="24"/>
              </w:rPr>
              <w:t xml:space="preserve">first progress review of the Council Recommendation </w:t>
            </w:r>
            <w:r w:rsidRPr="00F858A6">
              <w:rPr>
                <w:rFonts w:ascii="Times New Roman" w:eastAsia="Times New Roman" w:hAnsi="Times New Roman"/>
                <w:sz w:val="24"/>
                <w:szCs w:val="24"/>
              </w:rPr>
              <w:t>revealed that Member States are still in the early stages of implementation and that there is scope for a more systematic</w:t>
            </w:r>
            <w:r>
              <w:rPr>
                <w:rFonts w:ascii="Times New Roman" w:eastAsia="Times New Roman" w:hAnsi="Times New Roman"/>
                <w:sz w:val="24"/>
                <w:szCs w:val="24"/>
              </w:rPr>
              <w:t>,</w:t>
            </w:r>
            <w:r w:rsidRPr="00F858A6">
              <w:rPr>
                <w:rFonts w:ascii="Times New Roman" w:eastAsia="Times New Roman" w:hAnsi="Times New Roman"/>
                <w:sz w:val="24"/>
                <w:szCs w:val="24"/>
              </w:rPr>
              <w:t xml:space="preserve"> coordinated and targeted approach</w:t>
            </w:r>
            <w:r>
              <w:rPr>
                <w:rFonts w:ascii="Times New Roman" w:eastAsia="Times New Roman" w:hAnsi="Times New Roman"/>
                <w:sz w:val="24"/>
                <w:szCs w:val="24"/>
              </w:rPr>
              <w:t>,</w:t>
            </w:r>
            <w:r w:rsidRPr="00F858A6">
              <w:rPr>
                <w:rFonts w:ascii="Times New Roman" w:eastAsia="Times New Roman" w:hAnsi="Times New Roman"/>
                <w:sz w:val="24"/>
                <w:szCs w:val="24"/>
              </w:rPr>
              <w:t xml:space="preserve"> as well as for a better involvement of social partners and stakeholders. In addition, in April 2024, the Commission consulted both the Employment Committee </w:t>
            </w:r>
            <w:r>
              <w:rPr>
                <w:rFonts w:ascii="Times New Roman" w:eastAsia="Times New Roman" w:hAnsi="Times New Roman"/>
                <w:sz w:val="24"/>
                <w:szCs w:val="24"/>
              </w:rPr>
              <w:t xml:space="preserve">(EMCO) </w:t>
            </w:r>
            <w:r w:rsidRPr="00F858A6">
              <w:rPr>
                <w:rFonts w:ascii="Times New Roman" w:eastAsia="Times New Roman" w:hAnsi="Times New Roman"/>
                <w:sz w:val="24"/>
                <w:szCs w:val="24"/>
              </w:rPr>
              <w:t>and the Education Committee on the skills provisions, and in May 2024, a discussion on the tax-benefit measures was held in the Economic Policy Committee. A structured dialogue and dedicated hearings with social partners and civil society organisations also took place.</w:t>
            </w:r>
          </w:p>
          <w:p w14:paraId="736C5173" w14:textId="04BC7194" w:rsidR="00F858A6" w:rsidRPr="00F858A6" w:rsidRDefault="00F858A6" w:rsidP="00393AE9">
            <w:pPr>
              <w:spacing w:before="120" w:after="120"/>
              <w:contextualSpacing/>
              <w:jc w:val="both"/>
              <w:rPr>
                <w:rFonts w:ascii="Times New Roman" w:eastAsia="Times New Roman" w:hAnsi="Times New Roman"/>
                <w:sz w:val="24"/>
                <w:szCs w:val="24"/>
              </w:rPr>
            </w:pPr>
            <w:r w:rsidRPr="00F858A6">
              <w:rPr>
                <w:rFonts w:ascii="Times New Roman" w:eastAsia="Times New Roman" w:hAnsi="Times New Roman"/>
                <w:sz w:val="24"/>
                <w:szCs w:val="24"/>
              </w:rPr>
              <w:t xml:space="preserve">Furthermore, the Commission has worked to ensure </w:t>
            </w:r>
            <w:r w:rsidRPr="00F858A6">
              <w:rPr>
                <w:rFonts w:ascii="Times New Roman" w:eastAsia="Times New Roman" w:hAnsi="Times New Roman"/>
                <w:b/>
                <w:bCs/>
                <w:sz w:val="24"/>
                <w:szCs w:val="24"/>
              </w:rPr>
              <w:t>synergies between different processes</w:t>
            </w:r>
            <w:r w:rsidRPr="00F858A6">
              <w:rPr>
                <w:rFonts w:ascii="Times New Roman" w:eastAsia="Times New Roman" w:hAnsi="Times New Roman"/>
                <w:sz w:val="24"/>
                <w:szCs w:val="24"/>
              </w:rPr>
              <w:t>, including evaluating the updated National Energy and Climate Plans to ensure that they are in line with the Council Recommendation.</w:t>
            </w:r>
          </w:p>
          <w:p w14:paraId="7AC4D701" w14:textId="4EFE8587" w:rsidR="00F858A6" w:rsidRDefault="00F858A6" w:rsidP="00393AE9">
            <w:pPr>
              <w:spacing w:before="120" w:after="120"/>
              <w:contextualSpacing/>
              <w:jc w:val="both"/>
              <w:rPr>
                <w:rFonts w:ascii="Times New Roman" w:eastAsia="Times New Roman" w:hAnsi="Times New Roman"/>
                <w:sz w:val="24"/>
                <w:szCs w:val="24"/>
                <w:lang w:val="en-IE" w:eastAsia="en-IE"/>
              </w:rPr>
            </w:pPr>
            <w:r w:rsidRPr="19F990F5">
              <w:rPr>
                <w:rFonts w:ascii="Times New Roman" w:eastAsia="Times New Roman" w:hAnsi="Times New Roman"/>
                <w:sz w:val="24"/>
                <w:szCs w:val="24"/>
                <w:lang w:val="en-IE" w:eastAsia="en-IE"/>
              </w:rPr>
              <w:t xml:space="preserve">The Commission is also providing policy guidance and implementation monitoring in the context of the </w:t>
            </w:r>
            <w:r w:rsidRPr="19F990F5">
              <w:rPr>
                <w:rFonts w:ascii="Times New Roman" w:eastAsia="Times New Roman" w:hAnsi="Times New Roman"/>
                <w:b/>
                <w:bCs/>
                <w:sz w:val="24"/>
                <w:szCs w:val="24"/>
                <w:lang w:val="en-IE" w:eastAsia="en-IE"/>
              </w:rPr>
              <w:t>European Semester</w:t>
            </w:r>
            <w:r w:rsidRPr="19F990F5">
              <w:rPr>
                <w:rFonts w:ascii="Times New Roman" w:eastAsia="Times New Roman" w:hAnsi="Times New Roman"/>
                <w:sz w:val="24"/>
                <w:szCs w:val="24"/>
                <w:lang w:val="en-IE" w:eastAsia="en-IE"/>
              </w:rPr>
              <w:t xml:space="preserve">. Since 2020, the European Semester country reports include dedicated guidance covering among others the employment and social aspects of the green transition and its </w:t>
            </w:r>
            <w:r w:rsidR="00F46401" w:rsidRPr="19F990F5">
              <w:rPr>
                <w:rFonts w:ascii="Times New Roman" w:eastAsia="Times New Roman" w:hAnsi="Times New Roman"/>
                <w:sz w:val="24"/>
                <w:szCs w:val="24"/>
                <w:lang w:val="en-IE" w:eastAsia="en-IE"/>
              </w:rPr>
              <w:t xml:space="preserve">related </w:t>
            </w:r>
            <w:r w:rsidRPr="19F990F5">
              <w:rPr>
                <w:rFonts w:ascii="Times New Roman" w:eastAsia="Times New Roman" w:hAnsi="Times New Roman"/>
                <w:sz w:val="24"/>
                <w:szCs w:val="24"/>
                <w:lang w:val="en-IE" w:eastAsia="en-IE"/>
              </w:rPr>
              <w:t>challenges. The analysis in the country reports also underpins relevant proposals for country-specific recommendations, including, for example, recommendations on the provision and acquisition of skills needed for the green transition in the 2023 European Semester cycle.</w:t>
            </w:r>
          </w:p>
          <w:p w14:paraId="149D086F" w14:textId="368ADAF8" w:rsidR="00E53A5B" w:rsidRPr="0090257F" w:rsidRDefault="44B264CB" w:rsidP="00393AE9">
            <w:pPr>
              <w:spacing w:before="120" w:after="120"/>
              <w:contextualSpacing/>
              <w:jc w:val="both"/>
              <w:rPr>
                <w:rFonts w:ascii="Times New Roman" w:eastAsia="Times New Roman" w:hAnsi="Times New Roman"/>
                <w:sz w:val="24"/>
                <w:szCs w:val="24"/>
                <w:lang w:val="en-IE" w:eastAsia="en-IE"/>
              </w:rPr>
            </w:pPr>
            <w:r w:rsidRPr="19F990F5">
              <w:rPr>
                <w:rFonts w:ascii="Times New Roman" w:eastAsia="Times New Roman" w:hAnsi="Times New Roman"/>
                <w:sz w:val="24"/>
                <w:szCs w:val="24"/>
                <w:lang w:val="en-IE" w:eastAsia="en-IE"/>
              </w:rPr>
              <w:t>The Commission is defining solutions to manage climate risks, to which the most vulnerable groups are more exposed. Future-proofed nature-based solutions can be cost-effective and increase resilience and should be the first climate adaptation choice whenever possible. For effective management of climate risks, ecosystems need to be protected and managed comprehensively, and assessments of wealth and economic activity should fully include natural capital. It will present a</w:t>
            </w:r>
            <w:r w:rsidR="008C6B2C">
              <w:rPr>
                <w:rFonts w:ascii="Times New Roman" w:eastAsia="Times New Roman" w:hAnsi="Times New Roman"/>
                <w:sz w:val="24"/>
                <w:szCs w:val="24"/>
                <w:lang w:val="en-IE" w:eastAsia="en-IE"/>
              </w:rPr>
              <w:t> </w:t>
            </w:r>
            <w:r w:rsidRPr="00FE4795">
              <w:rPr>
                <w:rFonts w:ascii="Times New Roman" w:eastAsia="Times New Roman" w:hAnsi="Times New Roman"/>
                <w:b/>
                <w:bCs/>
                <w:sz w:val="24"/>
                <w:szCs w:val="24"/>
                <w:lang w:val="en-IE" w:eastAsia="en-IE"/>
              </w:rPr>
              <w:t>European Climate Adaptation Plan</w:t>
            </w:r>
            <w:r w:rsidRPr="19F990F5">
              <w:rPr>
                <w:rFonts w:ascii="Times New Roman" w:eastAsia="Times New Roman" w:hAnsi="Times New Roman"/>
                <w:sz w:val="24"/>
                <w:szCs w:val="24"/>
                <w:lang w:val="en-IE" w:eastAsia="en-IE"/>
              </w:rPr>
              <w:t xml:space="preserve"> to support Member States.</w:t>
            </w:r>
          </w:p>
          <w:p w14:paraId="2AEE0607" w14:textId="07FF2DFE" w:rsidR="00E53A5B" w:rsidRPr="0090257F" w:rsidRDefault="002A43F1" w:rsidP="00393AE9">
            <w:pPr>
              <w:spacing w:before="120" w:after="120"/>
              <w:contextualSpacing/>
              <w:jc w:val="both"/>
              <w:rPr>
                <w:rFonts w:ascii="Times New Roman" w:eastAsia="Times New Roman" w:hAnsi="Times New Roman"/>
                <w:sz w:val="24"/>
                <w:szCs w:val="24"/>
                <w:lang w:val="en-IE" w:eastAsia="en-IE"/>
              </w:rPr>
            </w:pPr>
            <w:r w:rsidRPr="19F990F5">
              <w:rPr>
                <w:rFonts w:ascii="Times New Roman" w:eastAsia="Times New Roman" w:hAnsi="Times New Roman"/>
                <w:sz w:val="24"/>
                <w:szCs w:val="24"/>
                <w:lang w:val="en-IE" w:eastAsia="en-IE"/>
              </w:rPr>
              <w:t xml:space="preserve">The </w:t>
            </w:r>
            <w:r w:rsidRPr="19F990F5">
              <w:rPr>
                <w:rFonts w:ascii="Times New Roman" w:eastAsia="Times New Roman" w:hAnsi="Times New Roman"/>
                <w:b/>
                <w:bCs/>
                <w:sz w:val="24"/>
                <w:szCs w:val="24"/>
                <w:lang w:val="en-IE" w:eastAsia="en-IE"/>
              </w:rPr>
              <w:t>8th Environment Action Prog</w:t>
            </w:r>
            <w:r w:rsidR="477C7F6F" w:rsidRPr="19F990F5">
              <w:rPr>
                <w:rFonts w:ascii="Times New Roman" w:eastAsia="Times New Roman" w:hAnsi="Times New Roman"/>
                <w:b/>
                <w:bCs/>
                <w:sz w:val="24"/>
                <w:szCs w:val="24"/>
                <w:lang w:val="en-IE" w:eastAsia="en-IE"/>
              </w:rPr>
              <w:t>r</w:t>
            </w:r>
            <w:r w:rsidRPr="19F990F5">
              <w:rPr>
                <w:rFonts w:ascii="Times New Roman" w:eastAsia="Times New Roman" w:hAnsi="Times New Roman"/>
                <w:b/>
                <w:bCs/>
                <w:sz w:val="24"/>
                <w:szCs w:val="24"/>
                <w:lang w:val="en-IE" w:eastAsia="en-IE"/>
              </w:rPr>
              <w:t>amme</w:t>
            </w:r>
            <w:r w:rsidRPr="19F990F5">
              <w:rPr>
                <w:rFonts w:ascii="Times New Roman" w:eastAsia="Times New Roman" w:hAnsi="Times New Roman"/>
                <w:sz w:val="24"/>
                <w:szCs w:val="24"/>
                <w:lang w:val="en-IE" w:eastAsia="en-IE"/>
              </w:rPr>
              <w:t xml:space="preserve"> </w:t>
            </w:r>
            <w:r w:rsidR="00A870EF" w:rsidRPr="19F990F5">
              <w:rPr>
                <w:rFonts w:ascii="Times New Roman" w:eastAsia="Times New Roman" w:hAnsi="Times New Roman"/>
                <w:sz w:val="24"/>
                <w:szCs w:val="24"/>
                <w:lang w:val="en-IE" w:eastAsia="en-IE"/>
              </w:rPr>
              <w:t xml:space="preserve">(8 EAP) </w:t>
            </w:r>
            <w:r w:rsidRPr="19F990F5">
              <w:rPr>
                <w:rFonts w:ascii="Times New Roman" w:eastAsia="Times New Roman" w:hAnsi="Times New Roman"/>
                <w:sz w:val="24"/>
                <w:szCs w:val="24"/>
                <w:lang w:eastAsia="en-IE"/>
              </w:rPr>
              <w:t>reiterates the EU’s long-term 2050 vision of living well, within planetary boundaries</w:t>
            </w:r>
            <w:r w:rsidRPr="19F990F5">
              <w:rPr>
                <w:rFonts w:ascii="Times New Roman" w:eastAsia="Times New Roman" w:hAnsi="Times New Roman"/>
                <w:sz w:val="24"/>
                <w:szCs w:val="24"/>
                <w:lang w:val="en-IE" w:eastAsia="en-IE"/>
              </w:rPr>
              <w:t xml:space="preserve"> </w:t>
            </w:r>
            <w:r w:rsidRPr="19F990F5">
              <w:rPr>
                <w:rFonts w:ascii="Times New Roman" w:eastAsia="Times New Roman" w:hAnsi="Times New Roman"/>
                <w:sz w:val="24"/>
                <w:szCs w:val="24"/>
                <w:lang w:eastAsia="en-IE"/>
              </w:rPr>
              <w:t xml:space="preserve">to be achieved through ‘sustainability </w:t>
            </w:r>
            <w:proofErr w:type="gramStart"/>
            <w:r w:rsidRPr="19F990F5">
              <w:rPr>
                <w:rFonts w:ascii="Times New Roman" w:eastAsia="Times New Roman" w:hAnsi="Times New Roman"/>
                <w:sz w:val="24"/>
                <w:szCs w:val="24"/>
                <w:lang w:eastAsia="en-IE"/>
              </w:rPr>
              <w:t>transitions’</w:t>
            </w:r>
            <w:proofErr w:type="gramEnd"/>
            <w:r w:rsidRPr="19F990F5">
              <w:rPr>
                <w:rFonts w:ascii="Times New Roman" w:eastAsia="Times New Roman" w:hAnsi="Times New Roman"/>
                <w:sz w:val="24"/>
                <w:szCs w:val="24"/>
                <w:lang w:eastAsia="en-IE"/>
              </w:rPr>
              <w:t xml:space="preserve">. </w:t>
            </w:r>
            <w:r w:rsidR="00E53A5B" w:rsidRPr="19F990F5">
              <w:rPr>
                <w:rFonts w:ascii="Times New Roman" w:eastAsia="Times New Roman" w:hAnsi="Times New Roman"/>
                <w:sz w:val="24"/>
                <w:szCs w:val="24"/>
                <w:lang w:eastAsia="en-IE"/>
              </w:rPr>
              <w:t>A</w:t>
            </w:r>
            <w:r w:rsidR="008C6B2C">
              <w:rPr>
                <w:rFonts w:ascii="Times New Roman" w:eastAsia="Times New Roman" w:hAnsi="Times New Roman"/>
                <w:sz w:val="24"/>
                <w:szCs w:val="24"/>
                <w:lang w:eastAsia="en-IE"/>
              </w:rPr>
              <w:t> </w:t>
            </w:r>
            <w:r w:rsidRPr="19F990F5">
              <w:rPr>
                <w:rFonts w:ascii="Times New Roman" w:eastAsia="Times New Roman" w:hAnsi="Times New Roman"/>
                <w:sz w:val="24"/>
                <w:szCs w:val="24"/>
                <w:lang w:val="en-IE" w:eastAsia="en-IE"/>
              </w:rPr>
              <w:t xml:space="preserve">yearly </w:t>
            </w:r>
            <w:r w:rsidRPr="19F990F5">
              <w:rPr>
                <w:rFonts w:ascii="Times New Roman" w:eastAsia="Times New Roman" w:hAnsi="Times New Roman"/>
                <w:sz w:val="24"/>
                <w:szCs w:val="24"/>
                <w:lang w:eastAsia="en-IE"/>
              </w:rPr>
              <w:t xml:space="preserve">monitoring report </w:t>
            </w:r>
            <w:r w:rsidR="00A710E5" w:rsidRPr="19F990F5">
              <w:rPr>
                <w:rFonts w:ascii="Times New Roman" w:eastAsia="Times New Roman" w:hAnsi="Times New Roman"/>
                <w:sz w:val="24"/>
                <w:szCs w:val="24"/>
                <w:lang w:eastAsia="en-IE"/>
              </w:rPr>
              <w:t xml:space="preserve">of </w:t>
            </w:r>
            <w:r w:rsidR="00E53A5B" w:rsidRPr="19F990F5">
              <w:rPr>
                <w:rFonts w:ascii="Times New Roman" w:eastAsia="Times New Roman" w:hAnsi="Times New Roman"/>
                <w:sz w:val="24"/>
                <w:szCs w:val="24"/>
                <w:lang w:eastAsia="en-IE"/>
              </w:rPr>
              <w:t>the</w:t>
            </w:r>
            <w:r w:rsidR="00466840" w:rsidRPr="19F990F5">
              <w:rPr>
                <w:rFonts w:ascii="Times New Roman" w:eastAsia="Times New Roman" w:hAnsi="Times New Roman"/>
                <w:sz w:val="24"/>
                <w:szCs w:val="24"/>
                <w:lang w:eastAsia="en-IE"/>
              </w:rPr>
              <w:t xml:space="preserve"> </w:t>
            </w:r>
            <w:r w:rsidR="00A710E5" w:rsidRPr="19F990F5">
              <w:rPr>
                <w:rFonts w:ascii="Times New Roman" w:eastAsia="Times New Roman" w:hAnsi="Times New Roman"/>
                <w:sz w:val="24"/>
                <w:szCs w:val="24"/>
                <w:lang w:eastAsia="en-IE"/>
              </w:rPr>
              <w:t>Commission</w:t>
            </w:r>
            <w:r w:rsidR="00466840" w:rsidRPr="19F990F5">
              <w:rPr>
                <w:rFonts w:ascii="Times New Roman" w:eastAsia="Times New Roman" w:hAnsi="Times New Roman"/>
                <w:sz w:val="24"/>
                <w:szCs w:val="24"/>
                <w:lang w:eastAsia="en-IE"/>
              </w:rPr>
              <w:t xml:space="preserve">, </w:t>
            </w:r>
            <w:r w:rsidR="008A1B34" w:rsidRPr="19F990F5">
              <w:rPr>
                <w:rFonts w:ascii="Times New Roman" w:eastAsia="Times New Roman" w:hAnsi="Times New Roman"/>
                <w:sz w:val="24"/>
                <w:szCs w:val="24"/>
                <w:lang w:eastAsia="en-IE"/>
              </w:rPr>
              <w:t>support</w:t>
            </w:r>
            <w:r w:rsidR="00466840" w:rsidRPr="19F990F5">
              <w:rPr>
                <w:rFonts w:ascii="Times New Roman" w:eastAsia="Times New Roman" w:hAnsi="Times New Roman"/>
                <w:sz w:val="24"/>
                <w:szCs w:val="24"/>
                <w:lang w:eastAsia="en-IE"/>
              </w:rPr>
              <w:t>ed</w:t>
            </w:r>
            <w:r w:rsidR="008A1B34" w:rsidRPr="19F990F5">
              <w:rPr>
                <w:rFonts w:ascii="Times New Roman" w:eastAsia="Times New Roman" w:hAnsi="Times New Roman"/>
                <w:sz w:val="24"/>
                <w:szCs w:val="24"/>
                <w:lang w:eastAsia="en-IE"/>
              </w:rPr>
              <w:t xml:space="preserve"> </w:t>
            </w:r>
            <w:r w:rsidR="00466840" w:rsidRPr="19F990F5">
              <w:rPr>
                <w:rFonts w:ascii="Times New Roman" w:eastAsia="Times New Roman" w:hAnsi="Times New Roman"/>
                <w:sz w:val="24"/>
                <w:szCs w:val="24"/>
                <w:lang w:eastAsia="en-IE"/>
              </w:rPr>
              <w:t xml:space="preserve">by </w:t>
            </w:r>
            <w:r w:rsidR="008A1B34" w:rsidRPr="19F990F5">
              <w:rPr>
                <w:rFonts w:ascii="Times New Roman" w:eastAsia="Times New Roman" w:hAnsi="Times New Roman"/>
                <w:sz w:val="24"/>
                <w:szCs w:val="24"/>
                <w:lang w:eastAsia="en-IE"/>
              </w:rPr>
              <w:t>the European Environment Agency</w:t>
            </w:r>
            <w:r w:rsidR="002B0A73" w:rsidRPr="19F990F5">
              <w:rPr>
                <w:rFonts w:ascii="Times New Roman" w:eastAsia="Times New Roman" w:hAnsi="Times New Roman"/>
                <w:sz w:val="24"/>
                <w:szCs w:val="24"/>
                <w:lang w:eastAsia="en-IE"/>
              </w:rPr>
              <w:t xml:space="preserve"> (EEA)</w:t>
            </w:r>
            <w:r w:rsidR="00466840" w:rsidRPr="19F990F5">
              <w:rPr>
                <w:rFonts w:ascii="Times New Roman" w:eastAsia="Times New Roman" w:hAnsi="Times New Roman"/>
                <w:sz w:val="24"/>
                <w:szCs w:val="24"/>
                <w:lang w:eastAsia="en-IE"/>
              </w:rPr>
              <w:t>, takes</w:t>
            </w:r>
            <w:r w:rsidR="008A1B34" w:rsidRPr="19F990F5">
              <w:rPr>
                <w:rFonts w:ascii="Times New Roman" w:eastAsia="Times New Roman" w:hAnsi="Times New Roman"/>
                <w:sz w:val="24"/>
                <w:szCs w:val="24"/>
                <w:lang w:eastAsia="en-IE"/>
              </w:rPr>
              <w:t xml:space="preserve"> </w:t>
            </w:r>
            <w:r w:rsidRPr="19F990F5">
              <w:rPr>
                <w:rFonts w:ascii="Times New Roman" w:eastAsia="Times New Roman" w:hAnsi="Times New Roman"/>
                <w:sz w:val="24"/>
                <w:szCs w:val="24"/>
                <w:lang w:eastAsia="en-IE"/>
              </w:rPr>
              <w:t xml:space="preserve">progress towards the </w:t>
            </w:r>
            <w:r w:rsidR="00466840" w:rsidRPr="19F990F5">
              <w:rPr>
                <w:rFonts w:ascii="Times New Roman" w:eastAsia="Times New Roman" w:hAnsi="Times New Roman"/>
                <w:sz w:val="24"/>
                <w:szCs w:val="24"/>
                <w:lang w:eastAsia="en-IE"/>
              </w:rPr>
              <w:t xml:space="preserve">programme’s </w:t>
            </w:r>
            <w:r w:rsidRPr="19F990F5">
              <w:rPr>
                <w:rFonts w:ascii="Times New Roman" w:eastAsia="Times New Roman" w:hAnsi="Times New Roman"/>
                <w:sz w:val="24"/>
                <w:szCs w:val="24"/>
                <w:lang w:eastAsia="en-IE"/>
              </w:rPr>
              <w:t xml:space="preserve">objectives and its enablers, </w:t>
            </w:r>
            <w:r w:rsidR="00466840" w:rsidRPr="19F990F5">
              <w:rPr>
                <w:rFonts w:ascii="Times New Roman" w:eastAsia="Times New Roman" w:hAnsi="Times New Roman"/>
                <w:sz w:val="24"/>
                <w:szCs w:val="24"/>
                <w:lang w:eastAsia="en-IE"/>
              </w:rPr>
              <w:t>including</w:t>
            </w:r>
            <w:r w:rsidRPr="19F990F5">
              <w:rPr>
                <w:rFonts w:ascii="Times New Roman" w:eastAsia="Times New Roman" w:hAnsi="Times New Roman"/>
                <w:sz w:val="24"/>
                <w:szCs w:val="24"/>
                <w:lang w:val="en-IE" w:eastAsia="en-IE"/>
              </w:rPr>
              <w:t xml:space="preserve"> just transition and environmental fairness. </w:t>
            </w:r>
            <w:r w:rsidR="002946D6" w:rsidRPr="19F990F5">
              <w:rPr>
                <w:rFonts w:ascii="Times New Roman" w:eastAsia="Times New Roman" w:hAnsi="Times New Roman"/>
                <w:sz w:val="24"/>
                <w:szCs w:val="24"/>
                <w:lang w:val="en-IE" w:eastAsia="en-IE"/>
              </w:rPr>
              <w:t>V</w:t>
            </w:r>
            <w:r w:rsidRPr="19F990F5">
              <w:rPr>
                <w:rFonts w:ascii="Times New Roman" w:eastAsia="Times New Roman" w:hAnsi="Times New Roman"/>
                <w:sz w:val="24"/>
                <w:szCs w:val="24"/>
                <w:lang w:val="en-IE" w:eastAsia="en-IE"/>
              </w:rPr>
              <w:t>ulnerable communities and disadvantaged groups</w:t>
            </w:r>
            <w:r w:rsidR="002946D6" w:rsidRPr="19F990F5">
              <w:rPr>
                <w:rFonts w:ascii="Times New Roman" w:eastAsia="Times New Roman" w:hAnsi="Times New Roman"/>
                <w:sz w:val="24"/>
                <w:szCs w:val="24"/>
                <w:lang w:val="en-IE" w:eastAsia="en-IE"/>
              </w:rPr>
              <w:t xml:space="preserve"> disproportion</w:t>
            </w:r>
            <w:r w:rsidR="00922EEB" w:rsidRPr="19F990F5">
              <w:rPr>
                <w:rFonts w:ascii="Times New Roman" w:eastAsia="Times New Roman" w:hAnsi="Times New Roman"/>
                <w:sz w:val="24"/>
                <w:szCs w:val="24"/>
                <w:lang w:val="en-IE" w:eastAsia="en-IE"/>
              </w:rPr>
              <w:t>ately suffer from climate change, environmental degradation and pollution</w:t>
            </w:r>
            <w:r w:rsidR="003471A4" w:rsidRPr="19F990F5">
              <w:rPr>
                <w:rFonts w:ascii="Times New Roman" w:eastAsia="Times New Roman" w:hAnsi="Times New Roman"/>
                <w:sz w:val="24"/>
                <w:szCs w:val="24"/>
                <w:lang w:val="en-IE" w:eastAsia="en-IE"/>
              </w:rPr>
              <w:t>, despite having less</w:t>
            </w:r>
            <w:r w:rsidRPr="19F990F5">
              <w:rPr>
                <w:rFonts w:ascii="Times New Roman" w:eastAsia="Times New Roman" w:hAnsi="Times New Roman"/>
                <w:sz w:val="24"/>
                <w:szCs w:val="24"/>
                <w:lang w:val="en-IE" w:eastAsia="en-IE"/>
              </w:rPr>
              <w:t xml:space="preserve"> responsibility for </w:t>
            </w:r>
            <w:r w:rsidR="003471A4" w:rsidRPr="19F990F5">
              <w:rPr>
                <w:rFonts w:ascii="Times New Roman" w:eastAsia="Times New Roman" w:hAnsi="Times New Roman"/>
                <w:sz w:val="24"/>
                <w:szCs w:val="24"/>
                <w:lang w:val="en-IE" w:eastAsia="en-IE"/>
              </w:rPr>
              <w:t>these issues</w:t>
            </w:r>
            <w:r w:rsidRPr="19F990F5">
              <w:rPr>
                <w:rFonts w:ascii="Times New Roman" w:eastAsia="Times New Roman" w:hAnsi="Times New Roman"/>
                <w:sz w:val="24"/>
                <w:szCs w:val="24"/>
                <w:lang w:val="en-IE" w:eastAsia="en-IE"/>
              </w:rPr>
              <w:t xml:space="preserve"> but bear significant future costs from adaptation to the impacts of climate change, pollution and environmental degradation.</w:t>
            </w:r>
          </w:p>
          <w:p w14:paraId="5CF09A2F" w14:textId="7E923ED5" w:rsidR="00F858A6" w:rsidRPr="00F858A6" w:rsidRDefault="00F858A6" w:rsidP="00393AE9">
            <w:pPr>
              <w:spacing w:before="120" w:after="12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 xml:space="preserve">The Commission contributes and supports the </w:t>
            </w:r>
            <w:r w:rsidRPr="00F858A6">
              <w:rPr>
                <w:rFonts w:ascii="Times New Roman" w:eastAsia="Times New Roman" w:hAnsi="Times New Roman"/>
                <w:b/>
                <w:bCs/>
                <w:sz w:val="24"/>
                <w:szCs w:val="24"/>
                <w:lang w:val="en-IE" w:eastAsia="en-IE"/>
              </w:rPr>
              <w:t>exchange with and between Member States</w:t>
            </w:r>
            <w:r w:rsidRPr="00F858A6">
              <w:rPr>
                <w:rFonts w:ascii="Times New Roman" w:eastAsia="Times New Roman" w:hAnsi="Times New Roman"/>
                <w:sz w:val="24"/>
                <w:szCs w:val="24"/>
                <w:lang w:val="en-IE" w:eastAsia="en-IE"/>
              </w:rPr>
              <w:t xml:space="preserve"> in the employment, skills, and social policy areas, including actions to support a fair green transition. The Commission monitors the employment and social situation in the Member States on a yearly basis, jointly with the EMCO and the Social Protection Committee (SPC). </w:t>
            </w:r>
            <w:r w:rsidRPr="00F858A6">
              <w:rPr>
                <w:rFonts w:ascii="Times New Roman" w:eastAsia="Times New Roman" w:hAnsi="Times New Roman"/>
                <w:sz w:val="24"/>
                <w:szCs w:val="24"/>
                <w:lang w:val="en-IE"/>
              </w:rPr>
              <w:t>The Joint Employment Report and the EMCO and SPC annual reports include analyses of the challenges and policy developments in relation to reskilling initiatives, job-to-job transitions, and energy poverty, both at the EU level and in each Member State.</w:t>
            </w:r>
          </w:p>
          <w:p w14:paraId="1557EC32" w14:textId="0B52F589" w:rsidR="00F858A6" w:rsidRPr="00F858A6" w:rsidRDefault="00F858A6" w:rsidP="00393AE9">
            <w:pPr>
              <w:spacing w:before="120" w:after="120"/>
              <w:contextualSpacing/>
              <w:jc w:val="both"/>
              <w:rPr>
                <w:rFonts w:ascii="Times New Roman" w:eastAsia="Times New Roman" w:hAnsi="Times New Roman"/>
                <w:color w:val="2E74B5"/>
                <w:sz w:val="24"/>
                <w:szCs w:val="24"/>
                <w:lang w:val="en-IE"/>
              </w:rPr>
            </w:pPr>
            <w:r w:rsidRPr="00F858A6">
              <w:rPr>
                <w:rFonts w:ascii="Times New Roman" w:eastAsia="Times New Roman" w:hAnsi="Times New Roman"/>
                <w:sz w:val="24"/>
                <w:szCs w:val="24"/>
                <w:lang w:val="en-IE" w:eastAsia="en-IE"/>
              </w:rPr>
              <w:t xml:space="preserve">In the field of </w:t>
            </w:r>
            <w:r w:rsidRPr="00F858A6">
              <w:rPr>
                <w:rFonts w:ascii="Times New Roman" w:eastAsia="Times New Roman" w:hAnsi="Times New Roman"/>
                <w:b/>
                <w:bCs/>
                <w:sz w:val="24"/>
                <w:szCs w:val="24"/>
                <w:lang w:val="en-IE" w:eastAsia="en-IE"/>
              </w:rPr>
              <w:t>occupational</w:t>
            </w:r>
            <w:r>
              <w:rPr>
                <w:rFonts w:ascii="Times New Roman" w:eastAsia="Times New Roman" w:hAnsi="Times New Roman"/>
                <w:sz w:val="24"/>
                <w:szCs w:val="24"/>
                <w:lang w:val="en-IE" w:eastAsia="en-IE"/>
              </w:rPr>
              <w:t xml:space="preserve"> </w:t>
            </w:r>
            <w:r w:rsidRPr="00F858A6">
              <w:rPr>
                <w:rFonts w:ascii="Times New Roman" w:eastAsia="Times New Roman" w:hAnsi="Times New Roman"/>
                <w:b/>
                <w:bCs/>
                <w:sz w:val="24"/>
                <w:szCs w:val="24"/>
                <w:lang w:val="en-IE" w:eastAsia="en-IE"/>
              </w:rPr>
              <w:t>health and safety</w:t>
            </w:r>
            <w:r w:rsidRPr="00F858A6">
              <w:rPr>
                <w:rFonts w:ascii="Times New Roman" w:eastAsia="Times New Roman" w:hAnsi="Times New Roman"/>
                <w:sz w:val="24"/>
                <w:szCs w:val="24"/>
                <w:lang w:val="en-IE" w:eastAsia="en-IE"/>
              </w:rPr>
              <w:t>, the European Agency for Safety and Health at Work, in cooperation with the Commission, has carried out over the last years several initiatives related to the improvement of health and safety in green jobs. Among others, the publication in 2023 of a comprehensive article on “Health and safety of workers in green jobs”</w:t>
            </w:r>
            <w:r>
              <w:rPr>
                <w:rStyle w:val="FootnoteReference"/>
                <w:rFonts w:ascii="Times New Roman" w:eastAsia="Times New Roman" w:hAnsi="Times New Roman"/>
                <w:szCs w:val="24"/>
                <w:lang w:val="en-IE" w:eastAsia="en-IE"/>
              </w:rPr>
              <w:footnoteReference w:id="3"/>
            </w:r>
            <w:r w:rsidRPr="00F858A6">
              <w:rPr>
                <w:rFonts w:ascii="Times New Roman" w:eastAsia="Times New Roman" w:hAnsi="Times New Roman"/>
                <w:sz w:val="24"/>
                <w:szCs w:val="24"/>
                <w:lang w:val="en-IE" w:eastAsia="en-IE"/>
              </w:rPr>
              <w:t xml:space="preserve"> or, previously, the release of the report “Green jobs and occupational safety and health: Foresight on new and emerging risks associated with new technologies by 2020”</w:t>
            </w:r>
            <w:r>
              <w:rPr>
                <w:rStyle w:val="FootnoteReference"/>
                <w:rFonts w:ascii="Times New Roman" w:eastAsia="Times New Roman" w:hAnsi="Times New Roman"/>
                <w:szCs w:val="24"/>
                <w:lang w:val="en-IE" w:eastAsia="en-IE"/>
              </w:rPr>
              <w:footnoteReference w:id="4"/>
            </w:r>
            <w:r>
              <w:rPr>
                <w:rFonts w:ascii="Times New Roman" w:eastAsia="Times New Roman" w:hAnsi="Times New Roman"/>
                <w:sz w:val="24"/>
                <w:szCs w:val="24"/>
                <w:lang w:val="en-IE" w:eastAsia="en-IE"/>
              </w:rPr>
              <w:t>.</w:t>
            </w:r>
            <w:r w:rsidRPr="00F858A6">
              <w:rPr>
                <w:rFonts w:ascii="Times New Roman" w:eastAsia="Times New Roman" w:hAnsi="Times New Roman"/>
                <w:sz w:val="24"/>
                <w:szCs w:val="24"/>
                <w:lang w:val="en-IE" w:eastAsia="en-IE"/>
              </w:rPr>
              <w:t xml:space="preserve"> Moreover, the Commission has also put in place </w:t>
            </w:r>
            <w:proofErr w:type="gramStart"/>
            <w:r w:rsidRPr="00F858A6">
              <w:rPr>
                <w:rFonts w:ascii="Times New Roman" w:eastAsia="Times New Roman" w:hAnsi="Times New Roman"/>
                <w:sz w:val="24"/>
                <w:szCs w:val="24"/>
                <w:lang w:val="en-IE" w:eastAsia="en-IE"/>
              </w:rPr>
              <w:t>a number of</w:t>
            </w:r>
            <w:proofErr w:type="gramEnd"/>
            <w:r w:rsidRPr="00F858A6">
              <w:rPr>
                <w:rFonts w:ascii="Times New Roman" w:eastAsia="Times New Roman" w:hAnsi="Times New Roman"/>
                <w:sz w:val="24"/>
                <w:szCs w:val="24"/>
                <w:lang w:val="en-IE" w:eastAsia="en-IE"/>
              </w:rPr>
              <w:t xml:space="preserve"> different instruments in place to help workers cope in an equitable way with the effects of climate change, notably increased temperatures, including in the context of the Framework Directive for Occupational Health and Safety and Workplace</w:t>
            </w:r>
            <w:r>
              <w:rPr>
                <w:rStyle w:val="FootnoteReference"/>
                <w:rFonts w:ascii="Times New Roman" w:eastAsia="Times New Roman" w:hAnsi="Times New Roman"/>
                <w:szCs w:val="24"/>
                <w:lang w:val="en-IE" w:eastAsia="en-IE"/>
              </w:rPr>
              <w:footnoteReference w:id="5"/>
            </w:r>
            <w:r w:rsidRPr="00F858A6">
              <w:rPr>
                <w:rFonts w:ascii="Times New Roman" w:eastAsia="Times New Roman" w:hAnsi="Times New Roman"/>
                <w:sz w:val="24"/>
                <w:szCs w:val="24"/>
                <w:lang w:val="en-IE" w:eastAsia="en-IE"/>
              </w:rPr>
              <w:t>.</w:t>
            </w:r>
          </w:p>
          <w:p w14:paraId="322A858D" w14:textId="7AD210B2" w:rsidR="00F858A6" w:rsidRPr="00F858A6" w:rsidRDefault="00F46401" w:rsidP="00393AE9">
            <w:pPr>
              <w:spacing w:before="120" w:after="120"/>
              <w:contextualSpacing/>
              <w:jc w:val="both"/>
              <w:rPr>
                <w:rFonts w:ascii="Times New Roman" w:eastAsia="Times New Roman" w:hAnsi="Times New Roman"/>
                <w:sz w:val="24"/>
                <w:szCs w:val="24"/>
                <w:lang w:val="en-IE" w:eastAsia="en-IE"/>
              </w:rPr>
            </w:pPr>
            <w:r>
              <w:rPr>
                <w:rFonts w:ascii="Times New Roman" w:eastAsia="Times New Roman" w:hAnsi="Times New Roman"/>
                <w:sz w:val="24"/>
                <w:szCs w:val="24"/>
                <w:lang w:val="en-IE" w:eastAsia="en-IE"/>
              </w:rPr>
              <w:t>S</w:t>
            </w:r>
            <w:r w:rsidR="00F858A6" w:rsidRPr="00F858A6">
              <w:rPr>
                <w:rFonts w:ascii="Times New Roman" w:eastAsia="Times New Roman" w:hAnsi="Times New Roman"/>
                <w:sz w:val="24"/>
                <w:szCs w:val="24"/>
                <w:lang w:val="en-IE" w:eastAsia="en-IE"/>
              </w:rPr>
              <w:t xml:space="preserve">ectoral plans and factoring in </w:t>
            </w:r>
            <w:r w:rsidR="00F858A6" w:rsidRPr="00F858A6">
              <w:rPr>
                <w:rFonts w:ascii="Times New Roman" w:eastAsia="Times New Roman" w:hAnsi="Times New Roman"/>
                <w:b/>
                <w:bCs/>
                <w:sz w:val="24"/>
                <w:szCs w:val="24"/>
                <w:lang w:val="en-IE" w:eastAsia="en-IE"/>
              </w:rPr>
              <w:t>international commitments</w:t>
            </w:r>
            <w:r w:rsidR="00F858A6" w:rsidRPr="00F858A6">
              <w:rPr>
                <w:rFonts w:ascii="Times New Roman" w:eastAsia="Times New Roman" w:hAnsi="Times New Roman"/>
                <w:sz w:val="24"/>
                <w:szCs w:val="24"/>
                <w:lang w:val="en-IE" w:eastAsia="en-IE"/>
              </w:rPr>
              <w:t xml:space="preserve"> including trade agreements</w:t>
            </w:r>
            <w:r>
              <w:rPr>
                <w:rFonts w:ascii="Times New Roman" w:eastAsia="Times New Roman" w:hAnsi="Times New Roman"/>
                <w:sz w:val="24"/>
                <w:szCs w:val="24"/>
                <w:lang w:val="en-IE" w:eastAsia="en-IE"/>
              </w:rPr>
              <w:t xml:space="preserve"> are also key</w:t>
            </w:r>
            <w:r w:rsidR="00F858A6" w:rsidRPr="00F858A6">
              <w:rPr>
                <w:rFonts w:ascii="Times New Roman" w:eastAsia="Times New Roman" w:hAnsi="Times New Roman"/>
                <w:sz w:val="24"/>
                <w:szCs w:val="24"/>
                <w:lang w:val="en-IE" w:eastAsia="en-IE"/>
              </w:rPr>
              <w:t xml:space="preserve">, given the importance of the EU’s global economic ties in terms of supporting jobs in Europe. </w:t>
            </w:r>
            <w:proofErr w:type="gramStart"/>
            <w:r w:rsidR="00F858A6" w:rsidRPr="00F858A6">
              <w:rPr>
                <w:rFonts w:ascii="Times New Roman" w:eastAsia="Times New Roman" w:hAnsi="Times New Roman"/>
                <w:sz w:val="24"/>
                <w:szCs w:val="24"/>
                <w:lang w:val="en-IE" w:eastAsia="en-IE"/>
              </w:rPr>
              <w:t>In particular, EU</w:t>
            </w:r>
            <w:proofErr w:type="gramEnd"/>
            <w:r w:rsidR="00F858A6" w:rsidRPr="00F858A6">
              <w:rPr>
                <w:rFonts w:ascii="Times New Roman" w:eastAsia="Times New Roman" w:hAnsi="Times New Roman"/>
                <w:sz w:val="24"/>
                <w:szCs w:val="24"/>
                <w:lang w:val="en-IE" w:eastAsia="en-IE"/>
              </w:rPr>
              <w:t xml:space="preserve"> exports support more than 30 million jobs across the EU</w:t>
            </w:r>
            <w:r>
              <w:rPr>
                <w:rFonts w:ascii="Times New Roman" w:eastAsia="Times New Roman" w:hAnsi="Times New Roman"/>
                <w:sz w:val="24"/>
                <w:szCs w:val="24"/>
                <w:lang w:val="en-IE" w:eastAsia="en-IE"/>
              </w:rPr>
              <w:t>,</w:t>
            </w:r>
            <w:r w:rsidR="00F858A6" w:rsidRPr="00F858A6">
              <w:rPr>
                <w:rFonts w:ascii="Times New Roman" w:eastAsia="Times New Roman" w:hAnsi="Times New Roman"/>
                <w:sz w:val="24"/>
                <w:szCs w:val="24"/>
                <w:lang w:val="en-IE" w:eastAsia="en-IE"/>
              </w:rPr>
              <w:t xml:space="preserve"> which account for almost 15% of the total EU employment. In addition, EU investment links also contribute to jobs in Europe: EU-based affiliates of foreign companies contribute 15% of the total turnover of all companies in the EU and 6.3% of employment.</w:t>
            </w:r>
            <w:r w:rsidR="00F858A6" w:rsidRPr="00F858A6">
              <w:rPr>
                <w:rFonts w:ascii="Times New Roman" w:eastAsia="Times New Roman" w:hAnsi="Times New Roman"/>
                <w:sz w:val="24"/>
                <w:szCs w:val="24"/>
              </w:rPr>
              <w:t xml:space="preserve"> </w:t>
            </w:r>
            <w:r w:rsidR="00FB03D3">
              <w:rPr>
                <w:rFonts w:ascii="Times New Roman" w:eastAsia="Times New Roman" w:hAnsi="Times New Roman"/>
                <w:sz w:val="24"/>
                <w:szCs w:val="24"/>
              </w:rPr>
              <w:t xml:space="preserve">Furthermore, </w:t>
            </w:r>
            <w:r w:rsidR="00FB03D3" w:rsidRPr="00FB03D3">
              <w:rPr>
                <w:rFonts w:ascii="Times New Roman" w:eastAsia="Times New Roman" w:hAnsi="Times New Roman"/>
                <w:sz w:val="24"/>
                <w:szCs w:val="24"/>
              </w:rPr>
              <w:t>the EU has pioneered Just Transition Energy Partnerships with South Africa, Indonesia, Vietnam, Senegal and India. The Just Transition Work Programme established at COP28 will enable exchanges on just transition pathways.</w:t>
            </w:r>
          </w:p>
          <w:p w14:paraId="0131D689" w14:textId="726A9F8C" w:rsidR="00F858A6" w:rsidRPr="00F858A6" w:rsidRDefault="00F858A6" w:rsidP="00393AE9">
            <w:pPr>
              <w:spacing w:before="120" w:after="12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 xml:space="preserve">The Commission also agrees that the EU and its Member States should guarantee the freedom of movement </w:t>
            </w:r>
            <w:proofErr w:type="gramStart"/>
            <w:r w:rsidRPr="00F858A6">
              <w:rPr>
                <w:rFonts w:ascii="Times New Roman" w:eastAsia="Times New Roman" w:hAnsi="Times New Roman"/>
                <w:sz w:val="24"/>
                <w:szCs w:val="24"/>
                <w:lang w:val="en-IE" w:eastAsia="en-IE"/>
              </w:rPr>
              <w:t>with regard to</w:t>
            </w:r>
            <w:proofErr w:type="gramEnd"/>
            <w:r w:rsidRPr="00F858A6">
              <w:rPr>
                <w:rFonts w:ascii="Times New Roman" w:eastAsia="Times New Roman" w:hAnsi="Times New Roman"/>
                <w:sz w:val="24"/>
                <w:szCs w:val="24"/>
                <w:lang w:val="en-IE" w:eastAsia="en-IE"/>
              </w:rPr>
              <w:t xml:space="preserve"> social security when employees transfer to a different Member State in line with </w:t>
            </w:r>
            <w:r w:rsidR="005A0AE1" w:rsidRPr="00F858A6">
              <w:rPr>
                <w:rFonts w:ascii="Times New Roman" w:eastAsia="Times New Roman" w:hAnsi="Times New Roman"/>
                <w:sz w:val="24"/>
                <w:szCs w:val="24"/>
                <w:lang w:val="en-IE" w:eastAsia="en-IE"/>
              </w:rPr>
              <w:t>Regulation (EC) No 883/2004 on the coordination of social security systems</w:t>
            </w:r>
            <w:r w:rsidR="005A0AE1" w:rsidRPr="00F858A6">
              <w:rPr>
                <w:rStyle w:val="FootnoteReference"/>
                <w:rFonts w:ascii="Times New Roman" w:eastAsia="Times New Roman" w:hAnsi="Times New Roman"/>
                <w:szCs w:val="24"/>
                <w:lang w:val="en-IE" w:eastAsia="en-IE"/>
              </w:rPr>
              <w:footnoteReference w:id="6"/>
            </w:r>
            <w:r w:rsidRPr="00F858A6">
              <w:rPr>
                <w:rFonts w:ascii="Times New Roman" w:eastAsia="Times New Roman" w:hAnsi="Times New Roman"/>
                <w:sz w:val="24"/>
                <w:szCs w:val="24"/>
                <w:lang w:val="en-IE" w:eastAsia="en-IE"/>
              </w:rPr>
              <w:t>. For this reason, it is committed to the correct application and enforcement of</w:t>
            </w:r>
            <w:r w:rsidR="005A0AE1">
              <w:rPr>
                <w:rFonts w:ascii="Times New Roman" w:eastAsia="Times New Roman" w:hAnsi="Times New Roman"/>
                <w:sz w:val="24"/>
                <w:szCs w:val="24"/>
                <w:lang w:val="en-IE" w:eastAsia="en-IE"/>
              </w:rPr>
              <w:t xml:space="preserve"> this regulation</w:t>
            </w:r>
            <w:r w:rsidRPr="00F858A6">
              <w:rPr>
                <w:rFonts w:ascii="Times New Roman" w:eastAsia="Times New Roman" w:hAnsi="Times New Roman"/>
                <w:sz w:val="24"/>
                <w:szCs w:val="24"/>
                <w:lang w:val="en-IE" w:eastAsia="en-IE"/>
              </w:rPr>
              <w:t>.</w:t>
            </w:r>
          </w:p>
          <w:p w14:paraId="4A9C50F7" w14:textId="77777777" w:rsidR="00F858A6" w:rsidRPr="00F858A6" w:rsidRDefault="00F858A6" w:rsidP="00393AE9">
            <w:pPr>
              <w:spacing w:before="120" w:after="120"/>
              <w:contextualSpacing/>
              <w:jc w:val="both"/>
              <w:rPr>
                <w:rFonts w:ascii="Times New Roman" w:eastAsia="Times New Roman" w:hAnsi="Times New Roman"/>
                <w:b/>
                <w:bCs/>
                <w:i/>
                <w:iCs/>
                <w:sz w:val="24"/>
                <w:szCs w:val="24"/>
                <w:lang w:val="en-IE" w:eastAsia="en-IE"/>
              </w:rPr>
            </w:pPr>
            <w:r w:rsidRPr="00F858A6">
              <w:rPr>
                <w:rFonts w:ascii="Times New Roman" w:eastAsia="Times New Roman" w:hAnsi="Times New Roman"/>
                <w:b/>
                <w:bCs/>
                <w:i/>
                <w:iCs/>
                <w:sz w:val="24"/>
                <w:szCs w:val="24"/>
                <w:lang w:val="en-IE" w:eastAsia="en-IE"/>
              </w:rPr>
              <w:t xml:space="preserve">Skills </w:t>
            </w:r>
          </w:p>
          <w:p w14:paraId="69DAE660" w14:textId="33D70700" w:rsidR="00F858A6" w:rsidRPr="00F858A6" w:rsidRDefault="00F858A6" w:rsidP="00393AE9">
            <w:pPr>
              <w:spacing w:before="120" w:after="12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 xml:space="preserve">The EU is also working on </w:t>
            </w:r>
            <w:proofErr w:type="gramStart"/>
            <w:r w:rsidRPr="00F858A6">
              <w:rPr>
                <w:rFonts w:ascii="Times New Roman" w:eastAsia="Times New Roman" w:hAnsi="Times New Roman"/>
                <w:sz w:val="24"/>
                <w:szCs w:val="24"/>
                <w:lang w:val="en-IE" w:eastAsia="en-IE"/>
              </w:rPr>
              <w:t>a number of</w:t>
            </w:r>
            <w:proofErr w:type="gramEnd"/>
            <w:r w:rsidRPr="00F858A6">
              <w:rPr>
                <w:rFonts w:ascii="Times New Roman" w:eastAsia="Times New Roman" w:hAnsi="Times New Roman"/>
                <w:sz w:val="24"/>
                <w:szCs w:val="24"/>
                <w:lang w:val="en-IE" w:eastAsia="en-IE"/>
              </w:rPr>
              <w:t xml:space="preserve"> policies to support the skills needed by workers to fully benefit from transition. For instance, in close cooperation with EU agencies, the Commission is delivering on its commitment contained in the </w:t>
            </w:r>
            <w:r w:rsidRPr="00F858A6">
              <w:rPr>
                <w:rFonts w:ascii="Times New Roman" w:eastAsia="Times New Roman" w:hAnsi="Times New Roman"/>
                <w:b/>
                <w:bCs/>
                <w:sz w:val="24"/>
                <w:szCs w:val="24"/>
                <w:lang w:val="en-IE" w:eastAsia="en-IE"/>
              </w:rPr>
              <w:t>Action Plan on labour and skills shortages</w:t>
            </w:r>
            <w:r w:rsidR="00BA3BE9">
              <w:rPr>
                <w:rStyle w:val="FootnoteReference"/>
                <w:rFonts w:ascii="Times New Roman" w:eastAsia="Times New Roman" w:hAnsi="Times New Roman"/>
                <w:b/>
                <w:bCs/>
                <w:szCs w:val="24"/>
                <w:lang w:val="en-IE" w:eastAsia="en-IE"/>
              </w:rPr>
              <w:footnoteReference w:id="7"/>
            </w:r>
            <w:r w:rsidRPr="00F858A6">
              <w:rPr>
                <w:rFonts w:ascii="Times New Roman" w:eastAsia="Times New Roman" w:hAnsi="Times New Roman"/>
                <w:sz w:val="24"/>
                <w:szCs w:val="24"/>
                <w:lang w:val="en-IE" w:eastAsia="en-IE"/>
              </w:rPr>
              <w:t xml:space="preserve"> from March 2024 to broaden the scope of harmonized and comparable information on shortages and improving skills intelligence. </w:t>
            </w:r>
            <w:proofErr w:type="gramStart"/>
            <w:r w:rsidRPr="00F858A6">
              <w:rPr>
                <w:rFonts w:ascii="Times New Roman" w:eastAsia="Times New Roman" w:hAnsi="Times New Roman"/>
                <w:sz w:val="24"/>
                <w:szCs w:val="24"/>
                <w:lang w:val="en-IE" w:eastAsia="en-IE"/>
              </w:rPr>
              <w:t>In particular, an</w:t>
            </w:r>
            <w:proofErr w:type="gramEnd"/>
            <w:r w:rsidRPr="00F858A6">
              <w:rPr>
                <w:rFonts w:ascii="Times New Roman" w:eastAsia="Times New Roman" w:hAnsi="Times New Roman"/>
                <w:sz w:val="24"/>
                <w:szCs w:val="24"/>
                <w:lang w:val="en-IE" w:eastAsia="en-IE"/>
              </w:rPr>
              <w:t xml:space="preserve"> inter-agency data-sharing platform is foreseen.</w:t>
            </w:r>
          </w:p>
          <w:p w14:paraId="0DC4D821" w14:textId="77777777" w:rsidR="00F858A6" w:rsidRPr="00F858A6" w:rsidRDefault="00F858A6" w:rsidP="00393AE9">
            <w:pPr>
              <w:spacing w:before="120" w:after="12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On mapping skills needs and strategies:</w:t>
            </w:r>
          </w:p>
          <w:p w14:paraId="53A42901" w14:textId="49696210" w:rsidR="00F858A6" w:rsidRPr="00F858A6" w:rsidRDefault="00F858A6" w:rsidP="00393AE9">
            <w:pPr>
              <w:numPr>
                <w:ilvl w:val="0"/>
                <w:numId w:val="4"/>
              </w:numPr>
              <w:spacing w:before="120" w:after="120"/>
              <w:ind w:left="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 xml:space="preserve">Strengthening skills intelligence is one of the actions of the European Skills Agenda, on which the </w:t>
            </w:r>
            <w:r w:rsidR="00BA3BE9">
              <w:rPr>
                <w:rFonts w:ascii="Times New Roman" w:eastAsia="Times New Roman" w:hAnsi="Times New Roman"/>
                <w:sz w:val="24"/>
                <w:szCs w:val="24"/>
                <w:lang w:val="en-IE" w:eastAsia="en-IE"/>
              </w:rPr>
              <w:t>Commission</w:t>
            </w:r>
            <w:r w:rsidRPr="00F858A6">
              <w:rPr>
                <w:rFonts w:ascii="Times New Roman" w:eastAsia="Times New Roman" w:hAnsi="Times New Roman"/>
                <w:sz w:val="24"/>
                <w:szCs w:val="24"/>
                <w:lang w:val="en-IE" w:eastAsia="en-IE"/>
              </w:rPr>
              <w:t xml:space="preserve"> is progressing through its work with </w:t>
            </w:r>
            <w:proofErr w:type="spellStart"/>
            <w:r w:rsidRPr="00F858A6">
              <w:rPr>
                <w:rFonts w:ascii="Times New Roman" w:eastAsia="Times New Roman" w:hAnsi="Times New Roman"/>
                <w:sz w:val="24"/>
                <w:szCs w:val="24"/>
                <w:lang w:val="en-IE" w:eastAsia="en-IE"/>
              </w:rPr>
              <w:t>Cedefop</w:t>
            </w:r>
            <w:proofErr w:type="spellEnd"/>
            <w:r w:rsidRPr="00F858A6">
              <w:rPr>
                <w:rFonts w:ascii="Times New Roman" w:eastAsia="Times New Roman" w:hAnsi="Times New Roman"/>
                <w:sz w:val="24"/>
                <w:szCs w:val="24"/>
                <w:lang w:val="en-IE" w:eastAsia="en-IE"/>
              </w:rPr>
              <w:t xml:space="preserve">, Eurostat, and EUROPASS. For example, the big data tool </w:t>
            </w:r>
            <w:proofErr w:type="spellStart"/>
            <w:r w:rsidRPr="00F858A6">
              <w:rPr>
                <w:rFonts w:ascii="Times New Roman" w:eastAsia="Times New Roman" w:hAnsi="Times New Roman"/>
                <w:sz w:val="24"/>
                <w:szCs w:val="24"/>
                <w:lang w:val="en-IE" w:eastAsia="en-IE"/>
              </w:rPr>
              <w:t>SkillsOVATE</w:t>
            </w:r>
            <w:proofErr w:type="spellEnd"/>
            <w:r w:rsidRPr="00F858A6">
              <w:rPr>
                <w:rFonts w:ascii="Times New Roman" w:eastAsia="Times New Roman" w:hAnsi="Times New Roman"/>
                <w:sz w:val="24"/>
                <w:szCs w:val="24"/>
                <w:lang w:val="en-IE" w:eastAsia="en-IE"/>
              </w:rPr>
              <w:t xml:space="preserve"> by </w:t>
            </w:r>
            <w:proofErr w:type="spellStart"/>
            <w:r w:rsidRPr="00F858A6">
              <w:rPr>
                <w:rFonts w:ascii="Times New Roman" w:eastAsia="Times New Roman" w:hAnsi="Times New Roman"/>
                <w:sz w:val="24"/>
                <w:szCs w:val="24"/>
                <w:lang w:val="en-IE" w:eastAsia="en-IE"/>
              </w:rPr>
              <w:t>Cedefop</w:t>
            </w:r>
            <w:proofErr w:type="spellEnd"/>
            <w:r w:rsidRPr="00F858A6">
              <w:rPr>
                <w:rFonts w:ascii="Times New Roman" w:eastAsia="Times New Roman" w:hAnsi="Times New Roman"/>
                <w:sz w:val="24"/>
                <w:szCs w:val="24"/>
                <w:lang w:val="en-IE" w:eastAsia="en-IE"/>
              </w:rPr>
              <w:t xml:space="preserve"> has a focus on the impact of the green transition on jobs and skills.</w:t>
            </w:r>
          </w:p>
          <w:p w14:paraId="5BC5DBFC" w14:textId="17C858AA" w:rsidR="00F858A6" w:rsidRPr="00F858A6" w:rsidRDefault="00F858A6" w:rsidP="00393AE9">
            <w:pPr>
              <w:numPr>
                <w:ilvl w:val="0"/>
                <w:numId w:val="4"/>
              </w:numPr>
              <w:spacing w:before="120" w:after="120"/>
              <w:ind w:left="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Under the Pact for Skills, all Pact members (about 3,000) sign up to “monitoring skill supply/demand and anticipating skill needs.”</w:t>
            </w:r>
          </w:p>
          <w:p w14:paraId="50953D78" w14:textId="77777777" w:rsidR="00F858A6" w:rsidRPr="00F858A6" w:rsidRDefault="00F858A6" w:rsidP="00393AE9">
            <w:pPr>
              <w:numPr>
                <w:ilvl w:val="0"/>
                <w:numId w:val="4"/>
              </w:numPr>
              <w:spacing w:before="120" w:after="120"/>
              <w:ind w:left="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 xml:space="preserve">A main deliverable of all the Erasmus+ alliances for sectoral cooperation on skills (Blueprints) is the gathering of skills intelligence identifying </w:t>
            </w:r>
            <w:proofErr w:type="gramStart"/>
            <w:r w:rsidRPr="00F858A6">
              <w:rPr>
                <w:rFonts w:ascii="Times New Roman" w:eastAsia="Times New Roman" w:hAnsi="Times New Roman"/>
                <w:sz w:val="24"/>
                <w:szCs w:val="24"/>
                <w:lang w:val="en-IE" w:eastAsia="en-IE"/>
              </w:rPr>
              <w:t>skills gaps, and</w:t>
            </w:r>
            <w:proofErr w:type="gramEnd"/>
            <w:r w:rsidRPr="00F858A6">
              <w:rPr>
                <w:rFonts w:ascii="Times New Roman" w:eastAsia="Times New Roman" w:hAnsi="Times New Roman"/>
                <w:sz w:val="24"/>
                <w:szCs w:val="24"/>
                <w:lang w:val="en-IE" w:eastAsia="en-IE"/>
              </w:rPr>
              <w:t xml:space="preserve"> based on this to adapt or to develop training content.</w:t>
            </w:r>
          </w:p>
          <w:p w14:paraId="004CCCAE" w14:textId="77777777" w:rsidR="00F858A6" w:rsidRPr="00F858A6" w:rsidRDefault="00F858A6" w:rsidP="00393AE9">
            <w:pPr>
              <w:spacing w:before="120" w:after="12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On skills development programs:</w:t>
            </w:r>
          </w:p>
          <w:p w14:paraId="1D54DFC4" w14:textId="7BFE2C80" w:rsidR="00F858A6" w:rsidRPr="00F858A6" w:rsidRDefault="00F858A6" w:rsidP="00393AE9">
            <w:pPr>
              <w:numPr>
                <w:ilvl w:val="0"/>
                <w:numId w:val="4"/>
              </w:numPr>
              <w:spacing w:before="120" w:after="120"/>
              <w:ind w:left="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 xml:space="preserve">The </w:t>
            </w:r>
            <w:r w:rsidR="00BA3BE9">
              <w:rPr>
                <w:rFonts w:ascii="Times New Roman" w:eastAsia="Times New Roman" w:hAnsi="Times New Roman"/>
                <w:sz w:val="24"/>
                <w:szCs w:val="24"/>
                <w:lang w:val="en-IE" w:eastAsia="en-IE"/>
              </w:rPr>
              <w:t>Commission</w:t>
            </w:r>
            <w:r w:rsidRPr="00F858A6">
              <w:rPr>
                <w:rFonts w:ascii="Times New Roman" w:eastAsia="Times New Roman" w:hAnsi="Times New Roman"/>
                <w:sz w:val="24"/>
                <w:szCs w:val="24"/>
                <w:lang w:val="en-IE" w:eastAsia="en-IE"/>
              </w:rPr>
              <w:t>’s approach to skills for the green transition is set out in the European Skills Agenda. EU policy action focused on three pillars to support Member States: policy guidance; developing tools and networks; providing financial support to the development of skills through EU funding.</w:t>
            </w:r>
          </w:p>
          <w:p w14:paraId="5C1930A7" w14:textId="0E4F3475" w:rsidR="00F858A6" w:rsidRDefault="00F858A6" w:rsidP="00393AE9">
            <w:pPr>
              <w:numPr>
                <w:ilvl w:val="0"/>
                <w:numId w:val="4"/>
              </w:numPr>
              <w:spacing w:before="120" w:after="120"/>
              <w:ind w:left="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 xml:space="preserve">One example is the European Education Area Working Group on VET and the green transition which brings together representatives from EU Member States and </w:t>
            </w:r>
            <w:r w:rsidR="0035143D">
              <w:rPr>
                <w:rFonts w:ascii="Times New Roman" w:eastAsia="Times New Roman" w:hAnsi="Times New Roman"/>
                <w:sz w:val="24"/>
                <w:szCs w:val="24"/>
                <w:lang w:val="en-IE" w:eastAsia="en-IE"/>
              </w:rPr>
              <w:t>c</w:t>
            </w:r>
            <w:r w:rsidRPr="00F858A6">
              <w:rPr>
                <w:rFonts w:ascii="Times New Roman" w:eastAsia="Times New Roman" w:hAnsi="Times New Roman"/>
                <w:sz w:val="24"/>
                <w:szCs w:val="24"/>
                <w:lang w:val="en-IE" w:eastAsia="en-IE"/>
              </w:rPr>
              <w:t>andidate countries as well as other stakeholders. It enables technical exchanges on how to integrate the green transition into VET systems.</w:t>
            </w:r>
          </w:p>
          <w:p w14:paraId="45DA68D2" w14:textId="2E113104" w:rsidR="0002739C" w:rsidRDefault="0002739C" w:rsidP="00393AE9">
            <w:pPr>
              <w:numPr>
                <w:ilvl w:val="0"/>
                <w:numId w:val="4"/>
              </w:numPr>
              <w:spacing w:before="120" w:after="120"/>
              <w:ind w:left="0"/>
              <w:contextualSpacing/>
              <w:jc w:val="both"/>
              <w:rPr>
                <w:rFonts w:ascii="Times New Roman" w:eastAsia="Times New Roman" w:hAnsi="Times New Roman"/>
                <w:sz w:val="24"/>
                <w:szCs w:val="24"/>
                <w:lang w:val="en-IE" w:eastAsia="en-IE"/>
              </w:rPr>
            </w:pPr>
            <w:r w:rsidRPr="0002739C">
              <w:rPr>
                <w:rFonts w:ascii="Times New Roman" w:eastAsia="Times New Roman" w:hAnsi="Times New Roman"/>
                <w:sz w:val="24"/>
                <w:szCs w:val="24"/>
                <w:lang w:val="en-IE" w:eastAsia="en-IE"/>
              </w:rPr>
              <w:t xml:space="preserve">The Net-Zero Industry Act foresees the launch of Net-Zero Industry Academies to centrally develop learning content in strategic net-zero technologies and enable its use by education and training providers in MS, thus contributing to the </w:t>
            </w:r>
            <w:r w:rsidR="009F48BB">
              <w:rPr>
                <w:rFonts w:ascii="Times New Roman" w:eastAsia="Times New Roman" w:hAnsi="Times New Roman"/>
                <w:sz w:val="24"/>
                <w:szCs w:val="24"/>
                <w:lang w:val="en-IE" w:eastAsia="en-IE"/>
              </w:rPr>
              <w:t>re-</w:t>
            </w:r>
            <w:r w:rsidRPr="0002739C">
              <w:rPr>
                <w:rFonts w:ascii="Times New Roman" w:eastAsia="Times New Roman" w:hAnsi="Times New Roman"/>
                <w:sz w:val="24"/>
                <w:szCs w:val="24"/>
                <w:lang w:val="en-IE" w:eastAsia="en-IE"/>
              </w:rPr>
              <w:t xml:space="preserve"> and </w:t>
            </w:r>
            <w:r w:rsidR="009F48BB">
              <w:rPr>
                <w:rFonts w:ascii="Times New Roman" w:eastAsia="Times New Roman" w:hAnsi="Times New Roman"/>
                <w:sz w:val="24"/>
                <w:szCs w:val="24"/>
                <w:lang w:val="en-IE" w:eastAsia="en-IE"/>
              </w:rPr>
              <w:t>up-</w:t>
            </w:r>
            <w:r w:rsidRPr="0002739C">
              <w:rPr>
                <w:rFonts w:ascii="Times New Roman" w:eastAsia="Times New Roman" w:hAnsi="Times New Roman"/>
                <w:sz w:val="24"/>
                <w:szCs w:val="24"/>
                <w:lang w:val="en-IE" w:eastAsia="en-IE"/>
              </w:rPr>
              <w:t>skilling of the EU labour force in these sectors.</w:t>
            </w:r>
          </w:p>
          <w:p w14:paraId="524F5105" w14:textId="64922205" w:rsidR="0002739C" w:rsidRPr="0021094B" w:rsidRDefault="0002739C" w:rsidP="00393AE9">
            <w:pPr>
              <w:numPr>
                <w:ilvl w:val="0"/>
                <w:numId w:val="4"/>
              </w:numPr>
              <w:spacing w:before="120" w:after="120"/>
              <w:ind w:left="0"/>
              <w:contextualSpacing/>
              <w:jc w:val="both"/>
              <w:rPr>
                <w:rFonts w:ascii="Times New Roman" w:eastAsia="Times New Roman" w:hAnsi="Times New Roman"/>
                <w:sz w:val="24"/>
                <w:szCs w:val="24"/>
                <w:lang w:val="en-IE" w:eastAsia="en-IE"/>
              </w:rPr>
            </w:pPr>
            <w:r w:rsidRPr="00A42D79">
              <w:rPr>
                <w:rFonts w:ascii="Times New Roman" w:eastAsia="Times New Roman" w:hAnsi="Times New Roman"/>
                <w:sz w:val="24"/>
                <w:szCs w:val="24"/>
                <w:lang w:val="en-IE" w:eastAsia="en-IE"/>
              </w:rPr>
              <w:t xml:space="preserve">Regional innovation strategies, called “smart specialisation strategies”, </w:t>
            </w:r>
            <w:r>
              <w:rPr>
                <w:rFonts w:ascii="Times New Roman" w:eastAsia="Times New Roman" w:hAnsi="Times New Roman"/>
                <w:sz w:val="24"/>
                <w:szCs w:val="24"/>
                <w:lang w:val="en-IE" w:eastAsia="en-IE"/>
              </w:rPr>
              <w:t xml:space="preserve">also </w:t>
            </w:r>
            <w:r w:rsidRPr="00A42D79">
              <w:rPr>
                <w:rFonts w:ascii="Times New Roman" w:eastAsia="Times New Roman" w:hAnsi="Times New Roman"/>
                <w:sz w:val="24"/>
                <w:szCs w:val="24"/>
                <w:lang w:val="en-IE" w:eastAsia="en-IE"/>
              </w:rPr>
              <w:t>play a vital role in re- and up</w:t>
            </w:r>
            <w:r w:rsidR="009F48BB">
              <w:rPr>
                <w:rFonts w:ascii="Times New Roman" w:eastAsia="Times New Roman" w:hAnsi="Times New Roman"/>
                <w:sz w:val="24"/>
                <w:szCs w:val="24"/>
                <w:lang w:val="en-IE" w:eastAsia="en-IE"/>
              </w:rPr>
              <w:t>-</w:t>
            </w:r>
            <w:r w:rsidRPr="00A42D79">
              <w:rPr>
                <w:rFonts w:ascii="Times New Roman" w:eastAsia="Times New Roman" w:hAnsi="Times New Roman"/>
                <w:sz w:val="24"/>
                <w:szCs w:val="24"/>
                <w:lang w:val="en-IE" w:eastAsia="en-IE"/>
              </w:rPr>
              <w:t>skilling by aligning regional strengths with emerging green and sustainable job markets. They foster collaboration between industries, academia, and policymakers to identify skills gaps and design targeted training programs. By focusing on innovation and sustainable growth, these strategies enable workers to adapt to evolving economic demands, ensuring inclusive transitions to greener economies.</w:t>
            </w:r>
          </w:p>
          <w:p w14:paraId="5286D84C" w14:textId="77777777" w:rsidR="00F858A6" w:rsidRPr="00F858A6" w:rsidRDefault="00F858A6" w:rsidP="00393AE9">
            <w:pPr>
              <w:spacing w:before="120" w:after="12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On apprenticeships:</w:t>
            </w:r>
          </w:p>
          <w:p w14:paraId="1A24CC01" w14:textId="77777777" w:rsidR="00F858A6" w:rsidRPr="00F858A6" w:rsidRDefault="00F858A6" w:rsidP="00393AE9">
            <w:pPr>
              <w:numPr>
                <w:ilvl w:val="0"/>
                <w:numId w:val="4"/>
              </w:numPr>
              <w:spacing w:before="120" w:after="120"/>
              <w:ind w:left="0"/>
              <w:contextualSpacing/>
              <w:jc w:val="both"/>
              <w:rPr>
                <w:rFonts w:ascii="Times New Roman" w:eastAsia="Times New Roman" w:hAnsi="Times New Roman"/>
                <w:sz w:val="24"/>
                <w:szCs w:val="24"/>
                <w:lang w:val="en-IE" w:eastAsia="en-IE"/>
              </w:rPr>
            </w:pPr>
            <w:r w:rsidRPr="00F858A6">
              <w:rPr>
                <w:rFonts w:ascii="Times New Roman" w:eastAsia="Times New Roman" w:hAnsi="Times New Roman"/>
                <w:sz w:val="24"/>
                <w:szCs w:val="24"/>
                <w:lang w:val="en-IE" w:eastAsia="en-IE"/>
              </w:rPr>
              <w:t>The Council Recommendation of 15 March 2018 on a European Framework for Quality and Effective Apprenticeships identifies criteria that Member States and stakeholders should use to develop quality and effective apprenticeships. In addition, the Commission continues promoting apprenticeships through the European Alliance for Apprenticeships.</w:t>
            </w:r>
          </w:p>
          <w:p w14:paraId="5EFE49B9" w14:textId="2C6212CA" w:rsidR="0086024F" w:rsidRDefault="0634E8B2" w:rsidP="00393AE9">
            <w:pPr>
              <w:spacing w:before="120" w:after="120"/>
              <w:contextualSpacing/>
              <w:jc w:val="both"/>
              <w:rPr>
                <w:rFonts w:ascii="Times New Roman" w:hAnsi="Times New Roman"/>
                <w:sz w:val="24"/>
                <w:szCs w:val="24"/>
                <w:lang w:val="en-IE" w:eastAsia="en-IE"/>
              </w:rPr>
            </w:pPr>
            <w:r w:rsidRPr="09862328">
              <w:rPr>
                <w:rFonts w:ascii="Times New Roman" w:hAnsi="Times New Roman"/>
                <w:sz w:val="24"/>
                <w:szCs w:val="24"/>
                <w:lang w:val="en-IE" w:eastAsia="en-IE"/>
              </w:rPr>
              <w:t xml:space="preserve">The </w:t>
            </w:r>
            <w:r w:rsidR="4961D3A0" w:rsidRPr="3F3A13D1">
              <w:rPr>
                <w:rFonts w:ascii="Times New Roman" w:hAnsi="Times New Roman"/>
                <w:sz w:val="24"/>
                <w:szCs w:val="24"/>
                <w:lang w:val="en-IE" w:eastAsia="en-IE"/>
              </w:rPr>
              <w:t>Competitiveness</w:t>
            </w:r>
            <w:r w:rsidR="009862BD">
              <w:rPr>
                <w:rFonts w:ascii="Times New Roman" w:hAnsi="Times New Roman"/>
                <w:sz w:val="24"/>
                <w:szCs w:val="24"/>
                <w:lang w:val="en-IE" w:eastAsia="en-IE"/>
              </w:rPr>
              <w:t xml:space="preserve"> </w:t>
            </w:r>
            <w:r w:rsidRPr="44C2D63F">
              <w:rPr>
                <w:rFonts w:ascii="Times New Roman" w:hAnsi="Times New Roman"/>
                <w:sz w:val="24"/>
                <w:szCs w:val="24"/>
                <w:lang w:val="en-IE" w:eastAsia="en-IE"/>
              </w:rPr>
              <w:t>Compass</w:t>
            </w:r>
            <w:r w:rsidR="2D647786" w:rsidRPr="44C2D63F">
              <w:rPr>
                <w:rFonts w:ascii="Times New Roman" w:hAnsi="Times New Roman"/>
                <w:sz w:val="24"/>
                <w:szCs w:val="24"/>
                <w:lang w:val="en-IE" w:eastAsia="en-IE"/>
              </w:rPr>
              <w:t xml:space="preserve">, with a focus on the Union </w:t>
            </w:r>
            <w:r w:rsidR="00254CF1">
              <w:rPr>
                <w:rFonts w:ascii="Times New Roman" w:hAnsi="Times New Roman"/>
                <w:sz w:val="24"/>
                <w:szCs w:val="24"/>
                <w:lang w:val="en-IE" w:eastAsia="en-IE"/>
              </w:rPr>
              <w:t xml:space="preserve">of Skills </w:t>
            </w:r>
            <w:r w:rsidR="2D647786" w:rsidRPr="44C2D63F">
              <w:rPr>
                <w:rFonts w:ascii="Times New Roman" w:hAnsi="Times New Roman"/>
                <w:sz w:val="24"/>
                <w:szCs w:val="24"/>
                <w:lang w:val="en-IE" w:eastAsia="en-IE"/>
              </w:rPr>
              <w:t xml:space="preserve">and </w:t>
            </w:r>
            <w:r w:rsidR="00D13B9E">
              <w:rPr>
                <w:rFonts w:ascii="Times New Roman" w:hAnsi="Times New Roman"/>
                <w:sz w:val="24"/>
                <w:szCs w:val="24"/>
                <w:lang w:val="en-IE" w:eastAsia="en-IE"/>
              </w:rPr>
              <w:t>the upcoming Circular Economy Act</w:t>
            </w:r>
            <w:r w:rsidR="00484624" w:rsidRPr="55D98C6F">
              <w:rPr>
                <w:rFonts w:ascii="Times New Roman" w:hAnsi="Times New Roman"/>
                <w:sz w:val="24"/>
                <w:szCs w:val="24"/>
                <w:lang w:val="en-IE" w:eastAsia="en-IE"/>
              </w:rPr>
              <w:t xml:space="preserve">, </w:t>
            </w:r>
            <w:r w:rsidR="7135C0F1" w:rsidRPr="55D98C6F">
              <w:rPr>
                <w:rFonts w:ascii="Times New Roman" w:hAnsi="Times New Roman"/>
                <w:sz w:val="24"/>
                <w:szCs w:val="24"/>
                <w:lang w:val="en-IE" w:eastAsia="en-IE"/>
              </w:rPr>
              <w:t xml:space="preserve">have the potential to support </w:t>
            </w:r>
            <w:r w:rsidR="00D13B9E" w:rsidRPr="1730EB31">
              <w:rPr>
                <w:rFonts w:ascii="Times New Roman" w:hAnsi="Times New Roman"/>
                <w:sz w:val="24"/>
                <w:szCs w:val="24"/>
                <w:lang w:val="en-IE" w:eastAsia="en-IE"/>
              </w:rPr>
              <w:t>a</w:t>
            </w:r>
            <w:r w:rsidR="00D13B9E" w:rsidRPr="0082632D">
              <w:rPr>
                <w:rFonts w:ascii="Times New Roman" w:hAnsi="Times New Roman"/>
                <w:sz w:val="24"/>
                <w:szCs w:val="24"/>
                <w:lang w:val="en-IE" w:eastAsia="en-IE"/>
              </w:rPr>
              <w:t xml:space="preserve"> fair transition by promoting re- and up-skilling </w:t>
            </w:r>
            <w:r w:rsidR="00D13B9E">
              <w:rPr>
                <w:rFonts w:ascii="Times New Roman" w:hAnsi="Times New Roman"/>
                <w:sz w:val="24"/>
                <w:szCs w:val="24"/>
                <w:lang w:val="en-IE" w:eastAsia="en-IE"/>
              </w:rPr>
              <w:t xml:space="preserve">of workforce </w:t>
            </w:r>
            <w:r w:rsidR="00D13B9E" w:rsidRPr="0082632D">
              <w:rPr>
                <w:rFonts w:ascii="Times New Roman" w:hAnsi="Times New Roman"/>
                <w:sz w:val="24"/>
                <w:szCs w:val="24"/>
                <w:lang w:val="en-IE" w:eastAsia="en-IE"/>
              </w:rPr>
              <w:t xml:space="preserve">and creating green jobs </w:t>
            </w:r>
            <w:r w:rsidR="00D13B9E">
              <w:rPr>
                <w:rFonts w:ascii="Times New Roman" w:hAnsi="Times New Roman"/>
                <w:sz w:val="24"/>
                <w:szCs w:val="24"/>
                <w:lang w:val="en-IE" w:eastAsia="en-IE"/>
              </w:rPr>
              <w:t>also at</w:t>
            </w:r>
            <w:r w:rsidR="00D13B9E" w:rsidRPr="0082632D">
              <w:rPr>
                <w:rFonts w:ascii="Times New Roman" w:hAnsi="Times New Roman"/>
                <w:sz w:val="24"/>
                <w:szCs w:val="24"/>
                <w:lang w:val="en-IE" w:eastAsia="en-IE"/>
              </w:rPr>
              <w:t xml:space="preserve"> local </w:t>
            </w:r>
            <w:r w:rsidR="00D13B9E">
              <w:rPr>
                <w:rFonts w:ascii="Times New Roman" w:hAnsi="Times New Roman"/>
                <w:sz w:val="24"/>
                <w:szCs w:val="24"/>
                <w:lang w:val="en-IE" w:eastAsia="en-IE"/>
              </w:rPr>
              <w:t xml:space="preserve">and regional level. </w:t>
            </w:r>
          </w:p>
          <w:p w14:paraId="5929EBE1" w14:textId="77777777" w:rsidR="00F858A6" w:rsidRPr="00F858A6" w:rsidRDefault="00F858A6" w:rsidP="00393AE9">
            <w:pPr>
              <w:spacing w:before="120" w:after="120"/>
              <w:contextualSpacing/>
              <w:jc w:val="both"/>
              <w:rPr>
                <w:rFonts w:ascii="Times New Roman" w:eastAsia="Times New Roman" w:hAnsi="Times New Roman"/>
                <w:b/>
                <w:bCs/>
                <w:i/>
                <w:iCs/>
                <w:sz w:val="24"/>
                <w:szCs w:val="24"/>
                <w:lang w:val="en-US"/>
              </w:rPr>
            </w:pPr>
            <w:r w:rsidRPr="00F858A6">
              <w:rPr>
                <w:rFonts w:ascii="Times New Roman" w:eastAsia="Times New Roman" w:hAnsi="Times New Roman"/>
                <w:b/>
                <w:bCs/>
                <w:i/>
                <w:iCs/>
                <w:sz w:val="24"/>
                <w:szCs w:val="24"/>
                <w:lang w:val="en-IE" w:eastAsia="en-IE"/>
              </w:rPr>
              <w:t>Funds</w:t>
            </w:r>
            <w:r w:rsidRPr="00F858A6">
              <w:rPr>
                <w:rFonts w:ascii="Times New Roman" w:eastAsia="Times New Roman" w:hAnsi="Times New Roman"/>
                <w:b/>
                <w:bCs/>
                <w:i/>
                <w:iCs/>
                <w:sz w:val="24"/>
                <w:szCs w:val="24"/>
                <w:lang w:val="en-US"/>
              </w:rPr>
              <w:t xml:space="preserve"> to support a just transition</w:t>
            </w:r>
          </w:p>
          <w:p w14:paraId="384AF0A7" w14:textId="656180E6" w:rsidR="00F858A6" w:rsidRPr="00F858A6" w:rsidRDefault="00F858A6" w:rsidP="00393AE9">
            <w:pPr>
              <w:spacing w:before="120" w:after="120"/>
              <w:contextualSpacing/>
              <w:jc w:val="both"/>
              <w:rPr>
                <w:rFonts w:ascii="Times New Roman" w:eastAsia="Times New Roman" w:hAnsi="Times New Roman"/>
                <w:sz w:val="24"/>
                <w:szCs w:val="24"/>
                <w:lang w:val="en-US"/>
              </w:rPr>
            </w:pPr>
            <w:r w:rsidRPr="00F858A6">
              <w:rPr>
                <w:rFonts w:ascii="Times New Roman" w:eastAsia="Times New Roman" w:hAnsi="Times New Roman"/>
                <w:sz w:val="24"/>
                <w:szCs w:val="24"/>
                <w:lang w:val="en-US"/>
              </w:rPr>
              <w:t xml:space="preserve">The EU has established several funds to support a just transition to a low-carbon economy. </w:t>
            </w:r>
            <w:r w:rsidRPr="00F858A6">
              <w:rPr>
                <w:rFonts w:ascii="Times New Roman" w:eastAsia="Times New Roman" w:hAnsi="Times New Roman"/>
                <w:sz w:val="24"/>
                <w:szCs w:val="24"/>
                <w:lang w:val="en-IE" w:eastAsia="en-IE"/>
              </w:rPr>
              <w:t xml:space="preserve">This includes the preparation and implementation of the </w:t>
            </w:r>
            <w:r w:rsidRPr="0035143D">
              <w:rPr>
                <w:rFonts w:ascii="Times New Roman" w:eastAsia="Times New Roman" w:hAnsi="Times New Roman"/>
                <w:b/>
                <w:bCs/>
                <w:sz w:val="24"/>
                <w:szCs w:val="24"/>
                <w:lang w:val="en-IE" w:eastAsia="en-IE"/>
              </w:rPr>
              <w:t>Just Transition Fund</w:t>
            </w:r>
            <w:r w:rsidRPr="00F858A6">
              <w:rPr>
                <w:rFonts w:ascii="Times New Roman" w:eastAsia="Times New Roman" w:hAnsi="Times New Roman"/>
                <w:sz w:val="24"/>
                <w:szCs w:val="24"/>
                <w:lang w:val="en-IE" w:eastAsia="en-IE"/>
              </w:rPr>
              <w:t>, a cohesion policy instrument with a unique framework based on territorial just transition plans, which allows the Commission to reflect on how EU funding can be deployed to tackle specific transition challenges and draw lessons. It includes a focus on incentivizing progress in decarbonization, transition planning, targeting most affected regions and groups, promoting partnership and stakeholder engagement, as well as allowing for integrated funding (combining soft and hard investments).</w:t>
            </w:r>
            <w:r w:rsidRPr="00F858A6">
              <w:rPr>
                <w:rFonts w:ascii="Times New Roman" w:eastAsia="Times New Roman" w:hAnsi="Times New Roman"/>
                <w:sz w:val="24"/>
                <w:szCs w:val="24"/>
                <w:lang w:val="en-US"/>
              </w:rPr>
              <w:t xml:space="preserve">  Other funds relevant for a just transition include the </w:t>
            </w:r>
            <w:r w:rsidRPr="0035143D">
              <w:rPr>
                <w:rFonts w:ascii="Times New Roman" w:eastAsia="Times New Roman" w:hAnsi="Times New Roman"/>
                <w:b/>
                <w:bCs/>
                <w:sz w:val="24"/>
                <w:szCs w:val="24"/>
                <w:lang w:val="en-US"/>
              </w:rPr>
              <w:t>European Social Fund Plus</w:t>
            </w:r>
            <w:r w:rsidRPr="00F858A6">
              <w:rPr>
                <w:rFonts w:ascii="Times New Roman" w:eastAsia="Times New Roman" w:hAnsi="Times New Roman"/>
                <w:sz w:val="24"/>
                <w:szCs w:val="24"/>
                <w:lang w:val="en-US"/>
              </w:rPr>
              <w:t xml:space="preserve">, the </w:t>
            </w:r>
            <w:r w:rsidRPr="0035143D">
              <w:rPr>
                <w:rFonts w:ascii="Times New Roman" w:eastAsia="Times New Roman" w:hAnsi="Times New Roman"/>
                <w:b/>
                <w:bCs/>
                <w:sz w:val="24"/>
                <w:szCs w:val="24"/>
                <w:lang w:val="en-US"/>
              </w:rPr>
              <w:t>European Regional Development Fund</w:t>
            </w:r>
            <w:r w:rsidRPr="00F858A6">
              <w:rPr>
                <w:rFonts w:ascii="Times New Roman" w:eastAsia="Times New Roman" w:hAnsi="Times New Roman"/>
                <w:sz w:val="24"/>
                <w:szCs w:val="24"/>
                <w:lang w:val="en-US"/>
              </w:rPr>
              <w:t xml:space="preserve">, and the </w:t>
            </w:r>
            <w:r w:rsidRPr="0035143D">
              <w:rPr>
                <w:rFonts w:ascii="Times New Roman" w:eastAsia="Times New Roman" w:hAnsi="Times New Roman"/>
                <w:b/>
                <w:bCs/>
                <w:sz w:val="24"/>
                <w:szCs w:val="24"/>
                <w:lang w:val="en-US"/>
              </w:rPr>
              <w:t>European Investment Fund</w:t>
            </w:r>
            <w:r w:rsidRPr="00F858A6">
              <w:rPr>
                <w:rFonts w:ascii="Times New Roman" w:eastAsia="Times New Roman" w:hAnsi="Times New Roman"/>
                <w:sz w:val="24"/>
                <w:szCs w:val="24"/>
                <w:lang w:val="en-US"/>
              </w:rPr>
              <w:t xml:space="preserve"> as well as the </w:t>
            </w:r>
            <w:r w:rsidRPr="0035143D">
              <w:rPr>
                <w:rFonts w:ascii="Times New Roman" w:eastAsia="Times New Roman" w:hAnsi="Times New Roman"/>
                <w:b/>
                <w:bCs/>
                <w:sz w:val="24"/>
                <w:szCs w:val="24"/>
                <w:lang w:val="en-US"/>
              </w:rPr>
              <w:t xml:space="preserve">EU </w:t>
            </w:r>
            <w:proofErr w:type="spellStart"/>
            <w:r w:rsidRPr="0035143D">
              <w:rPr>
                <w:rFonts w:ascii="Times New Roman" w:eastAsia="Times New Roman" w:hAnsi="Times New Roman"/>
                <w:b/>
                <w:bCs/>
                <w:sz w:val="24"/>
                <w:szCs w:val="24"/>
                <w:lang w:val="en-US"/>
              </w:rPr>
              <w:t>Globalisation</w:t>
            </w:r>
            <w:proofErr w:type="spellEnd"/>
            <w:r w:rsidRPr="0035143D">
              <w:rPr>
                <w:rFonts w:ascii="Times New Roman" w:eastAsia="Times New Roman" w:hAnsi="Times New Roman"/>
                <w:b/>
                <w:bCs/>
                <w:sz w:val="24"/>
                <w:szCs w:val="24"/>
                <w:lang w:val="en-US"/>
              </w:rPr>
              <w:t xml:space="preserve"> Adjustment Fund</w:t>
            </w:r>
            <w:r w:rsidRPr="00F858A6">
              <w:rPr>
                <w:rFonts w:ascii="Times New Roman" w:eastAsia="Times New Roman" w:hAnsi="Times New Roman"/>
                <w:sz w:val="24"/>
                <w:szCs w:val="24"/>
                <w:lang w:val="en-US"/>
              </w:rPr>
              <w:t xml:space="preserve">. These funds focus on workers' training, education, and re-skilling to ensure a smooth transition. In addition, the new </w:t>
            </w:r>
            <w:r w:rsidRPr="0035143D">
              <w:rPr>
                <w:rFonts w:ascii="Times New Roman" w:eastAsia="Times New Roman" w:hAnsi="Times New Roman"/>
                <w:b/>
                <w:bCs/>
                <w:sz w:val="24"/>
                <w:szCs w:val="24"/>
                <w:lang w:val="en-US"/>
              </w:rPr>
              <w:t>Social Climate Fund</w:t>
            </w:r>
            <w:r w:rsidRPr="00F858A6">
              <w:rPr>
                <w:rFonts w:ascii="Times New Roman" w:eastAsia="Times New Roman" w:hAnsi="Times New Roman"/>
                <w:sz w:val="24"/>
                <w:szCs w:val="24"/>
                <w:lang w:val="en-US"/>
              </w:rPr>
              <w:t>, which is currently being set up, will support vulnerable households, transport users and microenterprises</w:t>
            </w:r>
            <w:r w:rsidR="00B87FD7">
              <w:rPr>
                <w:rFonts w:ascii="Times New Roman" w:eastAsia="Times New Roman" w:hAnsi="Times New Roman"/>
                <w:sz w:val="24"/>
                <w:szCs w:val="24"/>
                <w:lang w:val="en-US"/>
              </w:rPr>
              <w:t xml:space="preserve">, affected by </w:t>
            </w:r>
            <w:r w:rsidR="005771AA" w:rsidRPr="005771AA">
              <w:rPr>
                <w:rFonts w:ascii="Times New Roman" w:eastAsia="Times New Roman" w:hAnsi="Times New Roman"/>
                <w:sz w:val="24"/>
                <w:szCs w:val="24"/>
                <w:lang w:val="en-US"/>
              </w:rPr>
              <w:t>the extension of the EU Emissions Trading System to buildings and road transport</w:t>
            </w:r>
            <w:r w:rsidRPr="00F858A6">
              <w:rPr>
                <w:rFonts w:ascii="Times New Roman" w:eastAsia="Times New Roman" w:hAnsi="Times New Roman"/>
                <w:sz w:val="24"/>
                <w:szCs w:val="24"/>
                <w:lang w:val="en-US"/>
              </w:rPr>
              <w:t>.</w:t>
            </w:r>
          </w:p>
          <w:p w14:paraId="2CFB1EF8" w14:textId="77777777" w:rsidR="00F858A6" w:rsidRPr="00F858A6" w:rsidRDefault="00F858A6" w:rsidP="00393AE9">
            <w:pPr>
              <w:spacing w:before="120" w:after="120"/>
              <w:contextualSpacing/>
              <w:jc w:val="both"/>
              <w:rPr>
                <w:rFonts w:ascii="Times New Roman" w:eastAsia="Times New Roman" w:hAnsi="Times New Roman"/>
                <w:b/>
                <w:bCs/>
                <w:i/>
                <w:iCs/>
                <w:sz w:val="24"/>
                <w:szCs w:val="24"/>
                <w:lang w:val="en-IE" w:eastAsia="en-IE"/>
              </w:rPr>
            </w:pPr>
            <w:r w:rsidRPr="00F858A6">
              <w:rPr>
                <w:rFonts w:ascii="Times New Roman" w:eastAsia="Times New Roman" w:hAnsi="Times New Roman"/>
                <w:b/>
                <w:bCs/>
                <w:i/>
                <w:iCs/>
                <w:sz w:val="24"/>
                <w:szCs w:val="24"/>
                <w:lang w:val="en-IE" w:eastAsia="en-IE"/>
              </w:rPr>
              <w:t>Analysis and monitoring</w:t>
            </w:r>
          </w:p>
          <w:p w14:paraId="7F6F1AE4" w14:textId="63943134" w:rsidR="00F858A6" w:rsidRPr="00F858A6" w:rsidRDefault="00F858A6" w:rsidP="00393AE9">
            <w:pPr>
              <w:spacing w:before="120" w:after="120"/>
              <w:contextualSpacing/>
              <w:jc w:val="both"/>
              <w:rPr>
                <w:rFonts w:ascii="Times New Roman" w:eastAsia="Times New Roman" w:hAnsi="Times New Roman"/>
                <w:sz w:val="24"/>
                <w:szCs w:val="24"/>
              </w:rPr>
            </w:pPr>
            <w:r w:rsidRPr="00F858A6">
              <w:rPr>
                <w:rFonts w:ascii="Times New Roman" w:eastAsia="Times New Roman" w:hAnsi="Times New Roman"/>
                <w:sz w:val="24"/>
                <w:szCs w:val="24"/>
                <w:lang w:val="en-IE" w:eastAsia="en-IE"/>
              </w:rPr>
              <w:t xml:space="preserve">As correctly stated in the opinion, distributional impact assessment is important to understand the challenges and benefits of the transition. For this reason, </w:t>
            </w:r>
            <w:r w:rsidRPr="00F858A6">
              <w:rPr>
                <w:rFonts w:ascii="Times New Roman" w:eastAsia="Times New Roman" w:hAnsi="Times New Roman"/>
                <w:sz w:val="24"/>
                <w:szCs w:val="24"/>
              </w:rPr>
              <w:t>in 2022, the Commission adopted a</w:t>
            </w:r>
            <w:r w:rsidR="008C6B2C">
              <w:rPr>
                <w:rFonts w:ascii="Times New Roman" w:eastAsia="Times New Roman" w:hAnsi="Times New Roman"/>
                <w:sz w:val="24"/>
                <w:szCs w:val="24"/>
              </w:rPr>
              <w:t> </w:t>
            </w:r>
            <w:r w:rsidRPr="00F858A6">
              <w:rPr>
                <w:rFonts w:ascii="Times New Roman" w:eastAsia="Times New Roman" w:hAnsi="Times New Roman"/>
                <w:sz w:val="24"/>
                <w:szCs w:val="24"/>
              </w:rPr>
              <w:t>Communication on Distributional Impact Assessment</w:t>
            </w:r>
            <w:r w:rsidRPr="00F858A6">
              <w:rPr>
                <w:rStyle w:val="FootnoteReference"/>
                <w:rFonts w:ascii="Times New Roman" w:eastAsia="Times New Roman" w:hAnsi="Times New Roman"/>
                <w:szCs w:val="24"/>
              </w:rPr>
              <w:footnoteReference w:id="8"/>
            </w:r>
            <w:r w:rsidRPr="00F858A6">
              <w:rPr>
                <w:rFonts w:ascii="Times New Roman" w:eastAsia="Times New Roman" w:hAnsi="Times New Roman"/>
                <w:sz w:val="24"/>
                <w:szCs w:val="24"/>
              </w:rPr>
              <w:t>, highlighting its importance in assessing the distributional effects of measures on monetary incomes across various population groups, with special attention to lower and middle incomes. Moreover, the Commission (</w:t>
            </w:r>
            <w:r w:rsidR="00177CC4" w:rsidRPr="00177CC4">
              <w:rPr>
                <w:rFonts w:ascii="Times New Roman" w:eastAsia="Times New Roman" w:hAnsi="Times New Roman"/>
                <w:sz w:val="24"/>
                <w:szCs w:val="24"/>
              </w:rPr>
              <w:t>Directorate-General for Employment, Social Affairs and Inclusion</w:t>
            </w:r>
            <w:r w:rsidRPr="00F858A6">
              <w:rPr>
                <w:rFonts w:ascii="Times New Roman" w:eastAsia="Times New Roman" w:hAnsi="Times New Roman"/>
                <w:sz w:val="24"/>
                <w:szCs w:val="24"/>
              </w:rPr>
              <w:t xml:space="preserve"> and the J</w:t>
            </w:r>
            <w:r w:rsidR="00177CC4">
              <w:rPr>
                <w:rFonts w:ascii="Times New Roman" w:eastAsia="Times New Roman" w:hAnsi="Times New Roman"/>
                <w:sz w:val="24"/>
                <w:szCs w:val="24"/>
              </w:rPr>
              <w:t xml:space="preserve">oint </w:t>
            </w:r>
            <w:r w:rsidRPr="00F858A6">
              <w:rPr>
                <w:rFonts w:ascii="Times New Roman" w:eastAsia="Times New Roman" w:hAnsi="Times New Roman"/>
                <w:sz w:val="24"/>
                <w:szCs w:val="24"/>
              </w:rPr>
              <w:t>R</w:t>
            </w:r>
            <w:r w:rsidR="00177CC4">
              <w:rPr>
                <w:rFonts w:ascii="Times New Roman" w:eastAsia="Times New Roman" w:hAnsi="Times New Roman"/>
                <w:sz w:val="24"/>
                <w:szCs w:val="24"/>
              </w:rPr>
              <w:t xml:space="preserve">esearch </w:t>
            </w:r>
            <w:proofErr w:type="spellStart"/>
            <w:r w:rsidRPr="00F858A6">
              <w:rPr>
                <w:rFonts w:ascii="Times New Roman" w:eastAsia="Times New Roman" w:hAnsi="Times New Roman"/>
                <w:sz w:val="24"/>
                <w:szCs w:val="24"/>
              </w:rPr>
              <w:t>C</w:t>
            </w:r>
            <w:r w:rsidR="00177CC4">
              <w:rPr>
                <w:rFonts w:ascii="Times New Roman" w:eastAsia="Times New Roman" w:hAnsi="Times New Roman"/>
                <w:sz w:val="24"/>
                <w:szCs w:val="24"/>
              </w:rPr>
              <w:t>enter</w:t>
            </w:r>
            <w:proofErr w:type="spellEnd"/>
            <w:r w:rsidRPr="00F858A6">
              <w:rPr>
                <w:rFonts w:ascii="Times New Roman" w:eastAsia="Times New Roman" w:hAnsi="Times New Roman"/>
                <w:sz w:val="24"/>
                <w:szCs w:val="24"/>
              </w:rPr>
              <w:t xml:space="preserve">) </w:t>
            </w:r>
            <w:r w:rsidR="0035143D">
              <w:rPr>
                <w:rFonts w:ascii="Times New Roman" w:eastAsia="Times New Roman" w:hAnsi="Times New Roman"/>
                <w:sz w:val="24"/>
                <w:szCs w:val="24"/>
              </w:rPr>
              <w:t>has</w:t>
            </w:r>
            <w:r w:rsidRPr="00F858A6">
              <w:rPr>
                <w:rFonts w:ascii="Times New Roman" w:eastAsia="Times New Roman" w:hAnsi="Times New Roman"/>
                <w:sz w:val="24"/>
                <w:szCs w:val="24"/>
              </w:rPr>
              <w:t xml:space="preserve"> been investing since 2021 in developing further its modelling capacity to assess and monitor employment and distributional impacts in the context of the AMEDI project.</w:t>
            </w:r>
          </w:p>
          <w:p w14:paraId="769586ED" w14:textId="670228DF" w:rsidR="00F858A6" w:rsidRPr="00F858A6" w:rsidRDefault="00F858A6" w:rsidP="00393AE9">
            <w:pPr>
              <w:spacing w:before="120" w:after="120"/>
              <w:contextualSpacing/>
              <w:jc w:val="both"/>
              <w:rPr>
                <w:rFonts w:ascii="Times New Roman" w:eastAsia="Times New Roman" w:hAnsi="Times New Roman"/>
                <w:sz w:val="24"/>
                <w:szCs w:val="24"/>
                <w:lang w:eastAsia="en-IE"/>
              </w:rPr>
            </w:pPr>
            <w:r w:rsidRPr="00F858A6">
              <w:rPr>
                <w:rFonts w:ascii="Times New Roman" w:eastAsia="Times New Roman" w:hAnsi="Times New Roman"/>
                <w:sz w:val="24"/>
                <w:szCs w:val="24"/>
                <w:lang w:eastAsia="en-IE"/>
              </w:rPr>
              <w:t xml:space="preserve">The Commission agrees with the EESC opinion on the need to have granular mapping activities to support policy making on just transition at all levels. </w:t>
            </w:r>
            <w:r w:rsidRPr="005F1E3C">
              <w:rPr>
                <w:rFonts w:ascii="Times New Roman" w:eastAsia="Times New Roman" w:hAnsi="Times New Roman"/>
                <w:sz w:val="24"/>
                <w:szCs w:val="24"/>
                <w:lang w:eastAsia="en-IE"/>
              </w:rPr>
              <w:t xml:space="preserve">It also encouraged Member States to strengthen the evidence base on fair transition policies as stated in the </w:t>
            </w:r>
            <w:r w:rsidR="005F1E3C" w:rsidRPr="005F1E3C">
              <w:rPr>
                <w:rFonts w:ascii="Times New Roman" w:eastAsia="Times New Roman" w:hAnsi="Times New Roman"/>
                <w:sz w:val="24"/>
                <w:szCs w:val="24"/>
                <w:lang w:eastAsia="en-IE"/>
              </w:rPr>
              <w:t xml:space="preserve">Council Recommendation </w:t>
            </w:r>
            <w:r w:rsidR="0035143D" w:rsidRPr="005F1E3C">
              <w:rPr>
                <w:rFonts w:ascii="Times New Roman" w:eastAsia="Times New Roman" w:hAnsi="Times New Roman"/>
                <w:sz w:val="24"/>
                <w:szCs w:val="24"/>
              </w:rPr>
              <w:t xml:space="preserve">on </w:t>
            </w:r>
            <w:r w:rsidR="0035143D" w:rsidRPr="005F1E3C">
              <w:rPr>
                <w:rFonts w:ascii="Times New Roman" w:eastAsia="Times New Roman" w:hAnsi="Times New Roman"/>
                <w:sz w:val="24"/>
                <w:szCs w:val="24"/>
                <w:lang w:val="en-US"/>
              </w:rPr>
              <w:t>ensuring a fair transition towards climate neutrality</w:t>
            </w:r>
            <w:r w:rsidRPr="005F1E3C">
              <w:rPr>
                <w:rFonts w:ascii="Times New Roman" w:eastAsia="Times New Roman" w:hAnsi="Times New Roman"/>
                <w:sz w:val="24"/>
                <w:szCs w:val="24"/>
                <w:lang w:eastAsia="en-IE"/>
              </w:rPr>
              <w:t>.</w:t>
            </w:r>
            <w:r w:rsidRPr="00F858A6">
              <w:rPr>
                <w:rFonts w:ascii="Times New Roman" w:eastAsia="Times New Roman" w:hAnsi="Times New Roman"/>
                <w:sz w:val="24"/>
                <w:szCs w:val="24"/>
                <w:lang w:eastAsia="en-IE"/>
              </w:rPr>
              <w:t xml:space="preserve"> </w:t>
            </w:r>
          </w:p>
          <w:p w14:paraId="17AEDFD3" w14:textId="410F4265" w:rsidR="006A29BA" w:rsidRDefault="00F858A6" w:rsidP="00393AE9">
            <w:pPr>
              <w:spacing w:before="120" w:after="120"/>
              <w:contextualSpacing/>
              <w:jc w:val="both"/>
              <w:rPr>
                <w:rFonts w:ascii="Times New Roman" w:eastAsia="Times New Roman" w:hAnsi="Times New Roman"/>
                <w:sz w:val="24"/>
                <w:szCs w:val="24"/>
              </w:rPr>
            </w:pPr>
            <w:r w:rsidRPr="00F858A6">
              <w:rPr>
                <w:rFonts w:ascii="Times New Roman" w:eastAsia="Times New Roman" w:hAnsi="Times New Roman"/>
                <w:sz w:val="24"/>
                <w:szCs w:val="24"/>
              </w:rPr>
              <w:t>Monitoring developments and addressing related challenges is key to ensuring fairness in the transition. As a follow up of the Council Recommendation</w:t>
            </w:r>
            <w:r w:rsidRPr="00BA3BE9">
              <w:rPr>
                <w:rFonts w:ascii="Times New Roman" w:eastAsia="Times New Roman" w:hAnsi="Times New Roman"/>
                <w:sz w:val="24"/>
                <w:szCs w:val="24"/>
              </w:rPr>
              <w:t>,</w:t>
            </w:r>
            <w:r w:rsidRPr="00F858A6">
              <w:rPr>
                <w:rFonts w:ascii="Times New Roman" w:eastAsia="Times New Roman" w:hAnsi="Times New Roman"/>
                <w:sz w:val="24"/>
                <w:szCs w:val="24"/>
              </w:rPr>
              <w:t xml:space="preserve"> a </w:t>
            </w:r>
            <w:r w:rsidRPr="00F858A6">
              <w:rPr>
                <w:rFonts w:ascii="Times New Roman" w:eastAsia="Times New Roman" w:hAnsi="Times New Roman"/>
                <w:b/>
                <w:bCs/>
                <w:sz w:val="24"/>
                <w:szCs w:val="24"/>
              </w:rPr>
              <w:t>European Fair Transition Observatory</w:t>
            </w:r>
            <w:r w:rsidRPr="00F858A6">
              <w:rPr>
                <w:rFonts w:ascii="Times New Roman" w:eastAsia="Times New Roman" w:hAnsi="Times New Roman"/>
                <w:sz w:val="24"/>
                <w:szCs w:val="24"/>
              </w:rPr>
              <w:t xml:space="preserve"> will be established. It will provide a shared platform for supporting and monitoring the implementation, effectiveness, and impact of fair transition strategies, policies, measures, and investments, at all levels and involving key stakeholders. In particular, it will (i) provide access to comprehensive data on just transition aspects, including at local, company and/or sectoral levels, where available</w:t>
            </w:r>
            <w:r w:rsidR="0035143D">
              <w:rPr>
                <w:rFonts w:ascii="Times New Roman" w:eastAsia="Times New Roman" w:hAnsi="Times New Roman"/>
                <w:sz w:val="24"/>
                <w:szCs w:val="24"/>
              </w:rPr>
              <w:t>;</w:t>
            </w:r>
            <w:r w:rsidRPr="00F858A6">
              <w:rPr>
                <w:rFonts w:ascii="Times New Roman" w:eastAsia="Times New Roman" w:hAnsi="Times New Roman"/>
                <w:sz w:val="24"/>
                <w:szCs w:val="24"/>
              </w:rPr>
              <w:t xml:space="preserve"> (ii) strengthen the evidence basis on the (employment, skills, social and distributional) impacts and opportunities of the transition, including the results of relevant analytical work; (iii) support policy monitoring, analysis, and evaluation, covering employment, job transitions, skills, social protection, and access to essential services, and </w:t>
            </w:r>
            <w:r w:rsidR="0035143D">
              <w:rPr>
                <w:rFonts w:ascii="Times New Roman" w:eastAsia="Times New Roman" w:hAnsi="Times New Roman"/>
                <w:sz w:val="24"/>
                <w:szCs w:val="24"/>
              </w:rPr>
              <w:t xml:space="preserve">(iv) </w:t>
            </w:r>
            <w:r w:rsidRPr="00F858A6">
              <w:rPr>
                <w:rFonts w:ascii="Times New Roman" w:eastAsia="Times New Roman" w:hAnsi="Times New Roman"/>
                <w:sz w:val="24"/>
                <w:szCs w:val="24"/>
              </w:rPr>
              <w:t xml:space="preserve">facilitate exchanging </w:t>
            </w:r>
            <w:r w:rsidR="005A0AE1">
              <w:rPr>
                <w:rFonts w:ascii="Times New Roman" w:eastAsia="Times New Roman" w:hAnsi="Times New Roman"/>
                <w:sz w:val="24"/>
                <w:szCs w:val="24"/>
              </w:rPr>
              <w:t xml:space="preserve">of </w:t>
            </w:r>
            <w:r w:rsidRPr="00F858A6">
              <w:rPr>
                <w:rFonts w:ascii="Times New Roman" w:eastAsia="Times New Roman" w:hAnsi="Times New Roman"/>
                <w:sz w:val="24"/>
                <w:szCs w:val="24"/>
              </w:rPr>
              <w:t>best practices, identifying evidence gaps, informing policymaking, and fostering public debates on the real impacts of the transition on the ground.</w:t>
            </w:r>
          </w:p>
          <w:p w14:paraId="5DD4576C" w14:textId="16C275DC" w:rsidR="006A29BA" w:rsidRPr="00F553AA" w:rsidRDefault="13162D19" w:rsidP="00393AE9">
            <w:pPr>
              <w:spacing w:before="120" w:after="120"/>
              <w:contextualSpacing/>
              <w:jc w:val="both"/>
              <w:rPr>
                <w:rFonts w:ascii="Times New Roman" w:eastAsia="Times New Roman" w:hAnsi="Times New Roman"/>
                <w:sz w:val="24"/>
                <w:szCs w:val="24"/>
              </w:rPr>
            </w:pPr>
            <w:r w:rsidRPr="4A75A873">
              <w:rPr>
                <w:rFonts w:ascii="Times New Roman" w:eastAsia="Times New Roman" w:hAnsi="Times New Roman"/>
                <w:sz w:val="24"/>
                <w:szCs w:val="24"/>
              </w:rPr>
              <w:t>The latest analysis</w:t>
            </w:r>
            <w:r w:rsidR="009862BD">
              <w:rPr>
                <w:rStyle w:val="FootnoteReference"/>
                <w:rFonts w:ascii="Times New Roman" w:eastAsia="Times New Roman" w:hAnsi="Times New Roman"/>
                <w:szCs w:val="24"/>
              </w:rPr>
              <w:footnoteReference w:id="9"/>
            </w:r>
            <w:r w:rsidRPr="4A75A873">
              <w:rPr>
                <w:rFonts w:ascii="Times New Roman" w:eastAsia="Times New Roman" w:hAnsi="Times New Roman"/>
                <w:sz w:val="24"/>
                <w:szCs w:val="24"/>
              </w:rPr>
              <w:t xml:space="preserve"> </w:t>
            </w:r>
            <w:r w:rsidR="002B103B">
              <w:rPr>
                <w:rFonts w:ascii="Times New Roman" w:eastAsia="Times New Roman" w:hAnsi="Times New Roman"/>
                <w:sz w:val="24"/>
                <w:szCs w:val="24"/>
              </w:rPr>
              <w:t>shows</w:t>
            </w:r>
            <w:r w:rsidR="007878A9" w:rsidRPr="4A75A873">
              <w:rPr>
                <w:rFonts w:ascii="Times New Roman" w:eastAsia="Times New Roman" w:hAnsi="Times New Roman"/>
                <w:sz w:val="24"/>
                <w:szCs w:val="24"/>
              </w:rPr>
              <w:t xml:space="preserve"> that the green employment and </w:t>
            </w:r>
            <w:r w:rsidR="0008255B" w:rsidRPr="4A75A873">
              <w:rPr>
                <w:rFonts w:ascii="Times New Roman" w:eastAsia="Times New Roman" w:hAnsi="Times New Roman"/>
                <w:sz w:val="24"/>
                <w:szCs w:val="24"/>
              </w:rPr>
              <w:t xml:space="preserve">green economy </w:t>
            </w:r>
            <w:r w:rsidR="00EA77D0" w:rsidRPr="4A75A873">
              <w:rPr>
                <w:rFonts w:ascii="Times New Roman" w:eastAsia="Times New Roman" w:hAnsi="Times New Roman"/>
                <w:sz w:val="24"/>
                <w:szCs w:val="24"/>
              </w:rPr>
              <w:t>(the part of the economy that produces goods and services used in environmental protection and resource management activities</w:t>
            </w:r>
            <w:r w:rsidR="00457AD1" w:rsidRPr="4A75A873">
              <w:rPr>
                <w:rFonts w:ascii="Times New Roman" w:eastAsia="Times New Roman" w:hAnsi="Times New Roman"/>
                <w:sz w:val="24"/>
                <w:szCs w:val="24"/>
              </w:rPr>
              <w:t xml:space="preserve">) </w:t>
            </w:r>
            <w:r w:rsidR="002C6AFB" w:rsidRPr="4A75A873">
              <w:rPr>
                <w:rFonts w:ascii="Times New Roman" w:eastAsia="Times New Roman" w:hAnsi="Times New Roman"/>
                <w:sz w:val="24"/>
                <w:szCs w:val="24"/>
              </w:rPr>
              <w:t xml:space="preserve">is increasing and </w:t>
            </w:r>
            <w:r w:rsidR="00F553AA" w:rsidRPr="4A75A873">
              <w:rPr>
                <w:rFonts w:ascii="Times New Roman" w:eastAsia="Times New Roman" w:hAnsi="Times New Roman"/>
                <w:sz w:val="24"/>
                <w:szCs w:val="24"/>
              </w:rPr>
              <w:t xml:space="preserve">will rise in the coming years. </w:t>
            </w:r>
            <w:r w:rsidR="002B0A73" w:rsidRPr="4A75A873">
              <w:rPr>
                <w:rFonts w:ascii="Times New Roman" w:eastAsia="Times New Roman" w:hAnsi="Times New Roman"/>
                <w:sz w:val="24"/>
                <w:szCs w:val="24"/>
              </w:rPr>
              <w:t xml:space="preserve">The progress towards the environment and climate objectives and the just transition is monitored yearly by the </w:t>
            </w:r>
            <w:r w:rsidR="00177CC4" w:rsidRPr="4A75A873">
              <w:rPr>
                <w:rFonts w:ascii="Times New Roman" w:eastAsia="Times New Roman" w:hAnsi="Times New Roman"/>
                <w:sz w:val="24"/>
                <w:szCs w:val="24"/>
              </w:rPr>
              <w:t>C</w:t>
            </w:r>
            <w:r w:rsidR="00177CC4">
              <w:rPr>
                <w:rFonts w:ascii="Times New Roman" w:eastAsia="Times New Roman" w:hAnsi="Times New Roman"/>
                <w:sz w:val="24"/>
                <w:szCs w:val="24"/>
              </w:rPr>
              <w:t>ommission</w:t>
            </w:r>
            <w:r w:rsidR="00177CC4" w:rsidRPr="4A75A873">
              <w:rPr>
                <w:rFonts w:ascii="Times New Roman" w:eastAsia="Times New Roman" w:hAnsi="Times New Roman"/>
                <w:sz w:val="24"/>
                <w:szCs w:val="24"/>
              </w:rPr>
              <w:t xml:space="preserve"> </w:t>
            </w:r>
            <w:r w:rsidR="002B0A73" w:rsidRPr="4A75A873">
              <w:rPr>
                <w:rFonts w:ascii="Times New Roman" w:eastAsia="Times New Roman" w:hAnsi="Times New Roman"/>
                <w:sz w:val="24"/>
                <w:szCs w:val="24"/>
              </w:rPr>
              <w:t xml:space="preserve">with support of the </w:t>
            </w:r>
            <w:r w:rsidR="00177CC4" w:rsidRPr="00177CC4">
              <w:rPr>
                <w:rFonts w:ascii="Times New Roman" w:eastAsia="Times New Roman" w:hAnsi="Times New Roman"/>
                <w:sz w:val="24"/>
                <w:szCs w:val="24"/>
              </w:rPr>
              <w:t xml:space="preserve">European Economic Area </w:t>
            </w:r>
            <w:r w:rsidR="00177CC4">
              <w:rPr>
                <w:rFonts w:ascii="Times New Roman" w:eastAsia="Times New Roman" w:hAnsi="Times New Roman"/>
                <w:sz w:val="24"/>
                <w:szCs w:val="24"/>
              </w:rPr>
              <w:t>(</w:t>
            </w:r>
            <w:r w:rsidR="002B0A73" w:rsidRPr="4A75A873">
              <w:rPr>
                <w:rFonts w:ascii="Times New Roman" w:eastAsia="Times New Roman" w:hAnsi="Times New Roman"/>
                <w:sz w:val="24"/>
                <w:szCs w:val="24"/>
              </w:rPr>
              <w:t>EEA</w:t>
            </w:r>
            <w:r w:rsidR="00177CC4">
              <w:rPr>
                <w:rFonts w:ascii="Times New Roman" w:eastAsia="Times New Roman" w:hAnsi="Times New Roman"/>
                <w:sz w:val="24"/>
                <w:szCs w:val="24"/>
              </w:rPr>
              <w:t>)</w:t>
            </w:r>
            <w:r w:rsidR="0058410D">
              <w:rPr>
                <w:rFonts w:ascii="Times New Roman" w:eastAsia="Times New Roman" w:hAnsi="Times New Roman"/>
                <w:sz w:val="24"/>
                <w:szCs w:val="24"/>
              </w:rPr>
              <w:t>.</w:t>
            </w:r>
          </w:p>
          <w:p w14:paraId="26404158" w14:textId="13F2C105" w:rsidR="00F858A6" w:rsidRPr="00F858A6" w:rsidRDefault="0035143D" w:rsidP="00393AE9">
            <w:pPr>
              <w:pStyle w:val="NormalWeb"/>
              <w:spacing w:before="120" w:beforeAutospacing="0" w:after="120" w:afterAutospacing="0" w:line="276" w:lineRule="auto"/>
              <w:contextualSpacing/>
              <w:jc w:val="both"/>
            </w:pPr>
            <w:r>
              <w:t>I</w:t>
            </w:r>
            <w:r w:rsidR="00BA3BE9" w:rsidRPr="00F858A6">
              <w:t>n</w:t>
            </w:r>
            <w:r w:rsidR="00F858A6" w:rsidRPr="00F858A6">
              <w:t xml:space="preserve"> 2023, the Commission published a Report on access to essential services in the EU</w:t>
            </w:r>
            <w:r w:rsidR="00F858A6" w:rsidRPr="00F858A6">
              <w:rPr>
                <w:rStyle w:val="FootnoteReference"/>
              </w:rPr>
              <w:footnoteReference w:id="10"/>
            </w:r>
            <w:r w:rsidR="00F858A6" w:rsidRPr="00F858A6">
              <w:t>, systematizing evidence on structural challenges influencing access to essential services, including energy. This report emphasized the need for a fair and inclusive green transition. Additionally, in October 2024 the Commission published a study on transport poverty</w:t>
            </w:r>
            <w:r w:rsidR="00BA3BE9">
              <w:rPr>
                <w:rStyle w:val="FootnoteReference"/>
              </w:rPr>
              <w:footnoteReference w:id="11"/>
            </w:r>
            <w:r w:rsidR="00F858A6" w:rsidRPr="00F858A6">
              <w:t>, providing an in-depth analysis of transport poverty across Europe, focusing on its definition, measurement, and mitigation strategies.</w:t>
            </w:r>
          </w:p>
          <w:p w14:paraId="0A17895D" w14:textId="77777777" w:rsidR="00F858A6" w:rsidRPr="00F858A6" w:rsidRDefault="00F858A6" w:rsidP="00393AE9">
            <w:pPr>
              <w:spacing w:before="120" w:after="120"/>
              <w:contextualSpacing/>
              <w:jc w:val="both"/>
              <w:rPr>
                <w:rFonts w:ascii="Times New Roman" w:eastAsia="Times New Roman" w:hAnsi="Times New Roman"/>
                <w:b/>
                <w:bCs/>
                <w:i/>
                <w:iCs/>
                <w:sz w:val="24"/>
                <w:szCs w:val="24"/>
              </w:rPr>
            </w:pPr>
            <w:r w:rsidRPr="00F858A6">
              <w:rPr>
                <w:rFonts w:ascii="Times New Roman" w:eastAsia="Times New Roman" w:hAnsi="Times New Roman"/>
                <w:b/>
                <w:bCs/>
                <w:i/>
                <w:iCs/>
                <w:sz w:val="24"/>
                <w:szCs w:val="24"/>
              </w:rPr>
              <w:t>Future initiatives</w:t>
            </w:r>
          </w:p>
          <w:p w14:paraId="43FD77B2" w14:textId="11386AB6" w:rsidR="00F858A6" w:rsidRPr="00F858A6" w:rsidRDefault="00F858A6" w:rsidP="00393AE9">
            <w:pPr>
              <w:spacing w:before="120" w:after="120"/>
              <w:contextualSpacing/>
              <w:jc w:val="both"/>
              <w:rPr>
                <w:rFonts w:ascii="Times New Roman" w:eastAsia="Times New Roman" w:hAnsi="Times New Roman"/>
                <w:sz w:val="24"/>
                <w:szCs w:val="24"/>
              </w:rPr>
            </w:pPr>
            <w:r w:rsidRPr="00F858A6">
              <w:rPr>
                <w:rFonts w:ascii="Times New Roman" w:eastAsia="Times New Roman" w:hAnsi="Times New Roman"/>
                <w:color w:val="000000"/>
                <w:sz w:val="24"/>
                <w:szCs w:val="24"/>
              </w:rPr>
              <w:t xml:space="preserve">There are several upcoming initiatives to reconcile climate, environmental and social objectives, precisely with the objective of protecting the most vulnerable households, promote a transition that is beneficial for workers, and a transition that has people at the heart. </w:t>
            </w:r>
            <w:r w:rsidR="00E00635">
              <w:rPr>
                <w:rFonts w:ascii="Times New Roman" w:eastAsia="Times New Roman" w:hAnsi="Times New Roman"/>
                <w:color w:val="000000"/>
                <w:sz w:val="24"/>
                <w:szCs w:val="24"/>
              </w:rPr>
              <w:t xml:space="preserve">In addition, many initiatives will </w:t>
            </w:r>
            <w:r w:rsidR="00397D88">
              <w:rPr>
                <w:rFonts w:ascii="Times New Roman" w:eastAsia="Times New Roman" w:hAnsi="Times New Roman"/>
                <w:color w:val="000000"/>
                <w:sz w:val="24"/>
                <w:szCs w:val="24"/>
              </w:rPr>
              <w:t xml:space="preserve">boost </w:t>
            </w:r>
            <w:r w:rsidR="00E00635">
              <w:rPr>
                <w:rFonts w:ascii="Times New Roman" w:eastAsia="Times New Roman" w:hAnsi="Times New Roman"/>
                <w:color w:val="000000"/>
                <w:sz w:val="24"/>
                <w:szCs w:val="24"/>
              </w:rPr>
              <w:t>re- and up-skilling</w:t>
            </w:r>
            <w:r w:rsidR="00397D88">
              <w:rPr>
                <w:rFonts w:ascii="Times New Roman" w:eastAsia="Times New Roman" w:hAnsi="Times New Roman"/>
                <w:color w:val="000000"/>
                <w:sz w:val="24"/>
                <w:szCs w:val="24"/>
              </w:rPr>
              <w:t xml:space="preserve"> of the workforce and </w:t>
            </w:r>
            <w:r w:rsidR="00E00635">
              <w:rPr>
                <w:rFonts w:ascii="Times New Roman" w:eastAsia="Times New Roman" w:hAnsi="Times New Roman"/>
                <w:color w:val="000000"/>
                <w:sz w:val="24"/>
                <w:szCs w:val="24"/>
              </w:rPr>
              <w:t>creation of future-fit jobs</w:t>
            </w:r>
            <w:r w:rsidR="00397D88">
              <w:rPr>
                <w:rFonts w:ascii="Times New Roman" w:eastAsia="Times New Roman" w:hAnsi="Times New Roman"/>
                <w:color w:val="000000"/>
                <w:sz w:val="24"/>
                <w:szCs w:val="24"/>
              </w:rPr>
              <w:t xml:space="preserve"> while strengthening competitiveness, resilience and strategic autonomy of the EU economy.</w:t>
            </w:r>
          </w:p>
          <w:p w14:paraId="6DE5C95E" w14:textId="4AF2C5E8" w:rsidR="00F858A6" w:rsidRPr="00F858A6" w:rsidRDefault="00F46401" w:rsidP="00393AE9">
            <w:pPr>
              <w:spacing w:before="120" w:after="120"/>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In addition,</w:t>
            </w:r>
            <w:r w:rsidR="00F858A6" w:rsidRPr="00F858A6">
              <w:rPr>
                <w:rFonts w:ascii="Times New Roman" w:eastAsia="Times New Roman" w:hAnsi="Times New Roman"/>
                <w:color w:val="000000"/>
                <w:sz w:val="24"/>
                <w:szCs w:val="24"/>
              </w:rPr>
              <w:t xml:space="preserve"> the first</w:t>
            </w:r>
            <w:r>
              <w:rPr>
                <w:rFonts w:ascii="Times New Roman" w:eastAsia="Times New Roman" w:hAnsi="Times New Roman"/>
                <w:color w:val="000000"/>
                <w:sz w:val="24"/>
                <w:szCs w:val="24"/>
              </w:rPr>
              <w:t>-</w:t>
            </w:r>
            <w:r w:rsidR="00F858A6" w:rsidRPr="00F858A6">
              <w:rPr>
                <w:rFonts w:ascii="Times New Roman" w:eastAsia="Times New Roman" w:hAnsi="Times New Roman"/>
                <w:color w:val="000000"/>
                <w:sz w:val="24"/>
                <w:szCs w:val="24"/>
              </w:rPr>
              <w:t>ever</w:t>
            </w:r>
            <w:r w:rsidR="00F858A6" w:rsidRPr="00F858A6">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EU</w:t>
            </w:r>
            <w:r w:rsidR="00F858A6" w:rsidRPr="00F858A6">
              <w:rPr>
                <w:rFonts w:ascii="Times New Roman" w:eastAsia="Times New Roman" w:hAnsi="Times New Roman"/>
                <w:b/>
                <w:bCs/>
                <w:color w:val="000000"/>
                <w:sz w:val="24"/>
                <w:szCs w:val="24"/>
              </w:rPr>
              <w:t xml:space="preserve"> Anti-Poverty Strategy </w:t>
            </w:r>
            <w:r w:rsidR="00F858A6" w:rsidRPr="00F858A6">
              <w:rPr>
                <w:rFonts w:ascii="Times New Roman" w:eastAsia="Times New Roman" w:hAnsi="Times New Roman"/>
                <w:color w:val="000000"/>
                <w:sz w:val="24"/>
                <w:szCs w:val="24"/>
              </w:rPr>
              <w:t xml:space="preserve">will cover a key aspect of a fair transition, </w:t>
            </w:r>
            <w:r>
              <w:rPr>
                <w:rFonts w:ascii="Times New Roman" w:eastAsia="Times New Roman" w:hAnsi="Times New Roman"/>
                <w:color w:val="000000"/>
                <w:sz w:val="24"/>
                <w:szCs w:val="24"/>
              </w:rPr>
              <w:t>such as</w:t>
            </w:r>
            <w:r w:rsidR="00F858A6" w:rsidRPr="00F858A6">
              <w:rPr>
                <w:rFonts w:ascii="Times New Roman" w:eastAsia="Times New Roman" w:hAnsi="Times New Roman"/>
                <w:color w:val="000000"/>
                <w:sz w:val="24"/>
                <w:szCs w:val="24"/>
              </w:rPr>
              <w:t xml:space="preserve"> access to essential services, including energy and transport. </w:t>
            </w:r>
            <w:r w:rsidR="00F858A6" w:rsidRPr="00F858A6">
              <w:rPr>
                <w:rFonts w:ascii="Times New Roman" w:eastAsia="Times New Roman" w:hAnsi="Times New Roman"/>
                <w:sz w:val="24"/>
                <w:szCs w:val="24"/>
              </w:rPr>
              <w:t xml:space="preserve">The upcoming </w:t>
            </w:r>
            <w:r w:rsidR="00F858A6" w:rsidRPr="00F858A6">
              <w:rPr>
                <w:rFonts w:ascii="Times New Roman" w:eastAsia="Times New Roman" w:hAnsi="Times New Roman"/>
                <w:b/>
                <w:bCs/>
                <w:sz w:val="24"/>
                <w:szCs w:val="24"/>
              </w:rPr>
              <w:t>European Affordable Housing Plan</w:t>
            </w:r>
            <w:r w:rsidR="00F858A6" w:rsidRPr="00F858A6">
              <w:rPr>
                <w:rFonts w:ascii="Times New Roman" w:eastAsia="Times New Roman" w:hAnsi="Times New Roman"/>
                <w:sz w:val="24"/>
                <w:szCs w:val="24"/>
              </w:rPr>
              <w:t xml:space="preserve"> will also play a crucial role in </w:t>
            </w:r>
            <w:r>
              <w:rPr>
                <w:rFonts w:ascii="Times New Roman" w:eastAsia="Times New Roman" w:hAnsi="Times New Roman"/>
                <w:sz w:val="24"/>
                <w:szCs w:val="24"/>
              </w:rPr>
              <w:t>addressing the main factors driving house prices. Linked actions include swiftly rolling out the Social Climate Fund.</w:t>
            </w:r>
            <w:r w:rsidR="00B11B75">
              <w:rPr>
                <w:rFonts w:ascii="Times New Roman" w:eastAsia="Times New Roman" w:hAnsi="Times New Roman"/>
                <w:sz w:val="24"/>
                <w:szCs w:val="24"/>
              </w:rPr>
              <w:t xml:space="preserve"> The new European Bauhaus will boost sustainability housing, while ensuring inclusion and affordability.</w:t>
            </w:r>
          </w:p>
          <w:p w14:paraId="236B15F5" w14:textId="4CBA81FD" w:rsidR="00F858A6" w:rsidRPr="00F858A6" w:rsidRDefault="00F858A6" w:rsidP="00393AE9">
            <w:pPr>
              <w:spacing w:before="120" w:after="120"/>
              <w:contextualSpacing/>
              <w:jc w:val="both"/>
              <w:rPr>
                <w:rFonts w:ascii="Times New Roman" w:eastAsia="Times New Roman" w:hAnsi="Times New Roman"/>
                <w:sz w:val="24"/>
                <w:szCs w:val="24"/>
                <w:lang w:eastAsia="en-IE"/>
              </w:rPr>
            </w:pPr>
            <w:r w:rsidRPr="00F858A6">
              <w:rPr>
                <w:rFonts w:ascii="Times New Roman" w:eastAsia="Times New Roman" w:hAnsi="Times New Roman"/>
                <w:sz w:val="24"/>
                <w:szCs w:val="24"/>
                <w:lang w:eastAsia="en-IE"/>
              </w:rPr>
              <w:t>As announced in the Political Guidelines, the</w:t>
            </w:r>
            <w:r w:rsidRPr="00F858A6">
              <w:rPr>
                <w:rFonts w:ascii="Times New Roman" w:eastAsia="Times New Roman" w:hAnsi="Times New Roman"/>
                <w:b/>
                <w:bCs/>
                <w:sz w:val="24"/>
                <w:szCs w:val="24"/>
                <w:lang w:eastAsia="en-IE"/>
              </w:rPr>
              <w:t xml:space="preserve"> Quality Jobs Roadmap</w:t>
            </w:r>
            <w:r w:rsidRPr="00F858A6">
              <w:rPr>
                <w:rFonts w:ascii="Times New Roman" w:eastAsia="Times New Roman" w:hAnsi="Times New Roman"/>
                <w:sz w:val="24"/>
                <w:szCs w:val="24"/>
                <w:lang w:eastAsia="en-IE"/>
              </w:rPr>
              <w:t xml:space="preserve"> will support fair wages, good working conditions, training, and fair job transitions for workers and self-employed people, notably by increasing collective bargaining coverage. </w:t>
            </w:r>
          </w:p>
          <w:p w14:paraId="5E799047" w14:textId="025DC7F9" w:rsidR="00F858A6" w:rsidRPr="00F858A6" w:rsidRDefault="00F858A6" w:rsidP="00393AE9">
            <w:pPr>
              <w:spacing w:before="120" w:after="120"/>
              <w:contextualSpacing/>
              <w:jc w:val="both"/>
              <w:rPr>
                <w:rFonts w:ascii="Times New Roman" w:eastAsia="Times New Roman" w:hAnsi="Times New Roman"/>
                <w:sz w:val="24"/>
                <w:szCs w:val="24"/>
                <w:lang w:val="en-IE"/>
              </w:rPr>
            </w:pPr>
            <w:r w:rsidRPr="00F858A6">
              <w:rPr>
                <w:rFonts w:ascii="Times New Roman" w:eastAsia="Times New Roman" w:hAnsi="Times New Roman"/>
                <w:sz w:val="24"/>
                <w:szCs w:val="24"/>
                <w:lang w:val="en-IE"/>
              </w:rPr>
              <w:t xml:space="preserve">The Commission will also continue its work on skills with </w:t>
            </w:r>
            <w:r w:rsidR="003519BF">
              <w:rPr>
                <w:rFonts w:ascii="Times New Roman" w:eastAsia="Times New Roman" w:hAnsi="Times New Roman"/>
                <w:sz w:val="24"/>
                <w:szCs w:val="24"/>
                <w:lang w:val="en-IE"/>
              </w:rPr>
              <w:t>the</w:t>
            </w:r>
            <w:r w:rsidRPr="00F858A6">
              <w:rPr>
                <w:rFonts w:ascii="Times New Roman" w:eastAsia="Times New Roman" w:hAnsi="Times New Roman"/>
                <w:sz w:val="24"/>
                <w:szCs w:val="24"/>
                <w:lang w:val="en-IE"/>
              </w:rPr>
              <w:t xml:space="preserve"> initiative on the </w:t>
            </w:r>
            <w:r w:rsidRPr="00F858A6">
              <w:rPr>
                <w:rFonts w:ascii="Times New Roman" w:eastAsia="Times New Roman" w:hAnsi="Times New Roman"/>
                <w:b/>
                <w:bCs/>
                <w:sz w:val="24"/>
                <w:szCs w:val="24"/>
                <w:lang w:val="en-IE"/>
              </w:rPr>
              <w:t>Union of Skills</w:t>
            </w:r>
            <w:r w:rsidRPr="00F858A6">
              <w:rPr>
                <w:rFonts w:ascii="Times New Roman" w:eastAsia="Times New Roman" w:hAnsi="Times New Roman"/>
                <w:sz w:val="24"/>
                <w:szCs w:val="24"/>
                <w:lang w:val="en-IE"/>
              </w:rPr>
              <w:t xml:space="preserve"> as an overarching strategy, focusing on investment, adult and lifelong learning, vocational education and training, skill retention and recognition and enhancing skills intelligence. This will be also key to further develop actions to support workers with the skills needed for the transition. </w:t>
            </w:r>
          </w:p>
          <w:p w14:paraId="30D14481" w14:textId="5C90F83C" w:rsidR="0049246C" w:rsidRPr="000E59B1" w:rsidRDefault="00F858A6" w:rsidP="00393AE9">
            <w:pPr>
              <w:spacing w:before="120" w:after="120"/>
              <w:contextualSpacing/>
              <w:jc w:val="both"/>
              <w:rPr>
                <w:rFonts w:ascii="Times New Roman" w:hAnsi="Times New Roman"/>
                <w:sz w:val="24"/>
                <w:szCs w:val="24"/>
                <w:lang w:val="en-IE" w:eastAsia="en-IE"/>
              </w:rPr>
            </w:pPr>
            <w:r w:rsidRPr="00F858A6">
              <w:rPr>
                <w:rFonts w:ascii="Times New Roman" w:eastAsia="Times New Roman" w:hAnsi="Times New Roman"/>
                <w:color w:val="000000"/>
                <w:sz w:val="24"/>
                <w:szCs w:val="24"/>
              </w:rPr>
              <w:t xml:space="preserve">Additionally, </w:t>
            </w:r>
            <w:r w:rsidR="003519BF">
              <w:rPr>
                <w:rFonts w:ascii="Times New Roman" w:eastAsia="Times New Roman" w:hAnsi="Times New Roman"/>
                <w:color w:val="000000"/>
                <w:sz w:val="24"/>
                <w:szCs w:val="24"/>
              </w:rPr>
              <w:t xml:space="preserve">the </w:t>
            </w:r>
            <w:r w:rsidRPr="00F858A6">
              <w:rPr>
                <w:rFonts w:ascii="Times New Roman" w:eastAsia="Times New Roman" w:hAnsi="Times New Roman"/>
                <w:color w:val="000000"/>
                <w:sz w:val="24"/>
                <w:szCs w:val="24"/>
              </w:rPr>
              <w:t xml:space="preserve">new </w:t>
            </w:r>
            <w:r w:rsidRPr="00F858A6">
              <w:rPr>
                <w:rFonts w:ascii="Times New Roman" w:eastAsia="Times New Roman" w:hAnsi="Times New Roman"/>
                <w:b/>
                <w:bCs/>
                <w:color w:val="000000"/>
                <w:sz w:val="24"/>
                <w:szCs w:val="24"/>
              </w:rPr>
              <w:t>Clean Industrial Deal</w:t>
            </w:r>
            <w:r w:rsidRPr="00F858A6">
              <w:rPr>
                <w:rFonts w:ascii="Times New Roman" w:eastAsia="Times New Roman" w:hAnsi="Times New Roman"/>
                <w:color w:val="000000"/>
                <w:sz w:val="24"/>
                <w:szCs w:val="24"/>
              </w:rPr>
              <w:t xml:space="preserve"> </w:t>
            </w:r>
            <w:r w:rsidR="003519BF">
              <w:rPr>
                <w:rFonts w:ascii="Times New Roman" w:eastAsia="Times New Roman" w:hAnsi="Times New Roman"/>
                <w:color w:val="000000"/>
                <w:sz w:val="24"/>
                <w:szCs w:val="24"/>
              </w:rPr>
              <w:t>will</w:t>
            </w:r>
            <w:r w:rsidRPr="00F858A6">
              <w:rPr>
                <w:rFonts w:ascii="Times New Roman" w:eastAsia="Times New Roman" w:hAnsi="Times New Roman"/>
                <w:color w:val="000000"/>
                <w:sz w:val="24"/>
                <w:szCs w:val="24"/>
              </w:rPr>
              <w:t xml:space="preserve"> support sustainable and competitive industries as well as quality jobs, focusing on simplifying, attracting investment, promoting demand-side measures, and ensuring access to cheap, sustainable, and secure energy supplies and raw materials. </w:t>
            </w:r>
            <w:r w:rsidR="00397D88">
              <w:rPr>
                <w:rFonts w:ascii="Times New Roman" w:hAnsi="Times New Roman"/>
                <w:sz w:val="24"/>
                <w:szCs w:val="24"/>
              </w:rPr>
              <w:t xml:space="preserve">Implementation of </w:t>
            </w:r>
            <w:r w:rsidR="00397D88" w:rsidRPr="000E59B1">
              <w:rPr>
                <w:rFonts w:ascii="Times New Roman" w:hAnsi="Times New Roman"/>
                <w:b/>
                <w:bCs/>
                <w:sz w:val="24"/>
                <w:szCs w:val="24"/>
              </w:rPr>
              <w:t>circular economy initiatives</w:t>
            </w:r>
            <w:r w:rsidR="000E59B1">
              <w:rPr>
                <w:rFonts w:ascii="Times New Roman" w:hAnsi="Times New Roman"/>
                <w:sz w:val="24"/>
                <w:szCs w:val="24"/>
              </w:rPr>
              <w:t xml:space="preserve"> supports</w:t>
            </w:r>
            <w:r w:rsidR="00397D88" w:rsidRPr="0082632D">
              <w:rPr>
                <w:rFonts w:ascii="Times New Roman" w:hAnsi="Times New Roman"/>
                <w:sz w:val="24"/>
                <w:szCs w:val="24"/>
                <w:lang w:val="en-IE" w:eastAsia="en-IE"/>
              </w:rPr>
              <w:t xml:space="preserve"> fair transition by promoting re- and up-skilling </w:t>
            </w:r>
            <w:r w:rsidR="00397D88">
              <w:rPr>
                <w:rFonts w:ascii="Times New Roman" w:hAnsi="Times New Roman"/>
                <w:sz w:val="24"/>
                <w:szCs w:val="24"/>
                <w:lang w:val="en-IE" w:eastAsia="en-IE"/>
              </w:rPr>
              <w:t xml:space="preserve">of workforce </w:t>
            </w:r>
            <w:r w:rsidR="00397D88" w:rsidRPr="0082632D">
              <w:rPr>
                <w:rFonts w:ascii="Times New Roman" w:hAnsi="Times New Roman"/>
                <w:sz w:val="24"/>
                <w:szCs w:val="24"/>
                <w:lang w:val="en-IE" w:eastAsia="en-IE"/>
              </w:rPr>
              <w:t xml:space="preserve">and creating green jobs </w:t>
            </w:r>
            <w:r w:rsidR="00397D88">
              <w:rPr>
                <w:rFonts w:ascii="Times New Roman" w:hAnsi="Times New Roman"/>
                <w:sz w:val="24"/>
                <w:szCs w:val="24"/>
                <w:lang w:val="en-IE" w:eastAsia="en-IE"/>
              </w:rPr>
              <w:t xml:space="preserve">also </w:t>
            </w:r>
            <w:r w:rsidR="003519BF">
              <w:rPr>
                <w:rFonts w:ascii="Times New Roman" w:hAnsi="Times New Roman"/>
                <w:sz w:val="24"/>
                <w:szCs w:val="24"/>
                <w:lang w:val="en-IE" w:eastAsia="en-IE"/>
              </w:rPr>
              <w:t>at</w:t>
            </w:r>
            <w:r w:rsidR="00397D88" w:rsidRPr="0082632D">
              <w:rPr>
                <w:rFonts w:ascii="Times New Roman" w:hAnsi="Times New Roman"/>
                <w:sz w:val="24"/>
                <w:szCs w:val="24"/>
                <w:lang w:val="en-IE" w:eastAsia="en-IE"/>
              </w:rPr>
              <w:t xml:space="preserve"> local </w:t>
            </w:r>
            <w:r w:rsidR="00397D88">
              <w:rPr>
                <w:rFonts w:ascii="Times New Roman" w:hAnsi="Times New Roman"/>
                <w:sz w:val="24"/>
                <w:szCs w:val="24"/>
                <w:lang w:val="en-IE" w:eastAsia="en-IE"/>
              </w:rPr>
              <w:t>and regional level for example related to increasing repair, reuse, recycling and circular business models</w:t>
            </w:r>
            <w:r w:rsidR="00397D88" w:rsidRPr="0082632D">
              <w:rPr>
                <w:rFonts w:ascii="Times New Roman" w:hAnsi="Times New Roman"/>
                <w:sz w:val="24"/>
                <w:szCs w:val="24"/>
                <w:lang w:val="en-IE" w:eastAsia="en-IE"/>
              </w:rPr>
              <w:t xml:space="preserve">. </w:t>
            </w:r>
          </w:p>
        </w:tc>
      </w:tr>
    </w:tbl>
    <w:p w14:paraId="4B31F071" w14:textId="77777777" w:rsidR="00077C4F" w:rsidRPr="004F6117" w:rsidRDefault="00077C4F" w:rsidP="00393AE9">
      <w:pPr>
        <w:spacing w:before="120" w:after="120"/>
        <w:jc w:val="both"/>
        <w:rPr>
          <w:rFonts w:ascii="Times New Roman" w:hAnsi="Times New Roman"/>
          <w:sz w:val="24"/>
          <w:szCs w:val="24"/>
        </w:rPr>
      </w:pPr>
    </w:p>
    <w:sectPr w:rsidR="00077C4F" w:rsidRPr="004F6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4DC5" w14:textId="77777777" w:rsidR="00DD1EEF" w:rsidRDefault="00DD1EEF" w:rsidP="00FF63EA">
      <w:pPr>
        <w:spacing w:after="0" w:line="240" w:lineRule="auto"/>
      </w:pPr>
      <w:r>
        <w:separator/>
      </w:r>
    </w:p>
  </w:endnote>
  <w:endnote w:type="continuationSeparator" w:id="0">
    <w:p w14:paraId="2986223E" w14:textId="77777777" w:rsidR="00DD1EEF" w:rsidRDefault="00DD1EEF" w:rsidP="00FF63EA">
      <w:pPr>
        <w:spacing w:after="0" w:line="240" w:lineRule="auto"/>
      </w:pPr>
      <w:r>
        <w:continuationSeparator/>
      </w:r>
    </w:p>
  </w:endnote>
  <w:endnote w:type="continuationNotice" w:id="1">
    <w:p w14:paraId="3A41CEF5" w14:textId="77777777" w:rsidR="00DD1EEF" w:rsidRDefault="00DD1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A663" w14:textId="77777777" w:rsidR="00DD1EEF" w:rsidRDefault="00DD1EEF" w:rsidP="00FF63EA">
      <w:pPr>
        <w:spacing w:after="0" w:line="240" w:lineRule="auto"/>
      </w:pPr>
      <w:r>
        <w:separator/>
      </w:r>
    </w:p>
  </w:footnote>
  <w:footnote w:type="continuationSeparator" w:id="0">
    <w:p w14:paraId="33BEF920" w14:textId="77777777" w:rsidR="00DD1EEF" w:rsidRDefault="00DD1EEF" w:rsidP="00FF63EA">
      <w:pPr>
        <w:spacing w:after="0" w:line="240" w:lineRule="auto"/>
      </w:pPr>
      <w:r>
        <w:continuationSeparator/>
      </w:r>
    </w:p>
  </w:footnote>
  <w:footnote w:type="continuationNotice" w:id="1">
    <w:p w14:paraId="73594995" w14:textId="77777777" w:rsidR="00DD1EEF" w:rsidRDefault="00DD1EEF">
      <w:pPr>
        <w:spacing w:after="0" w:line="240" w:lineRule="auto"/>
      </w:pPr>
    </w:p>
  </w:footnote>
  <w:footnote w:id="2">
    <w:p w14:paraId="511696CF" w14:textId="46BE4A3C" w:rsidR="00F858A6" w:rsidRPr="008C6B2C" w:rsidRDefault="00F858A6" w:rsidP="008C6B2C">
      <w:pPr>
        <w:pStyle w:val="FootnoteText"/>
        <w:keepLines w:val="0"/>
        <w:widowControl w:val="0"/>
        <w:spacing w:after="0"/>
        <w:ind w:left="0" w:firstLine="0"/>
        <w:rPr>
          <w:sz w:val="20"/>
          <w:szCs w:val="20"/>
          <w:lang w:val="en-IE"/>
        </w:rPr>
      </w:pPr>
      <w:r w:rsidRPr="008C6B2C">
        <w:rPr>
          <w:rStyle w:val="FootnoteReference"/>
          <w:sz w:val="20"/>
          <w:szCs w:val="20"/>
        </w:rPr>
        <w:footnoteRef/>
      </w:r>
      <w:r w:rsidRPr="008C6B2C">
        <w:rPr>
          <w:sz w:val="20"/>
          <w:szCs w:val="20"/>
        </w:rPr>
        <w:t xml:space="preserve"> </w:t>
      </w:r>
      <w:r w:rsidR="00177CC4" w:rsidRPr="008C6B2C">
        <w:rPr>
          <w:sz w:val="20"/>
          <w:szCs w:val="20"/>
        </w:rPr>
        <w:tab/>
      </w:r>
      <w:hyperlink r:id="rId1">
        <w:r w:rsidRPr="008C6B2C">
          <w:rPr>
            <w:rStyle w:val="Hyperlink"/>
            <w:sz w:val="20"/>
            <w:szCs w:val="20"/>
          </w:rPr>
          <w:t>Council Recommendation on ensuring a fair transition towards climate neutrality is 2022/C 243/04, adopted on 16 June 2022.</w:t>
        </w:r>
      </w:hyperlink>
      <w:r w:rsidRPr="008C6B2C">
        <w:rPr>
          <w:sz w:val="20"/>
          <w:szCs w:val="20"/>
        </w:rPr>
        <w:t xml:space="preserve"> </w:t>
      </w:r>
    </w:p>
  </w:footnote>
  <w:footnote w:id="3">
    <w:p w14:paraId="2D426CEA" w14:textId="0CEFE921" w:rsidR="00F858A6" w:rsidRPr="00177CC4" w:rsidRDefault="00F858A6" w:rsidP="008D51E0">
      <w:pPr>
        <w:pStyle w:val="FootnoteText"/>
        <w:spacing w:after="0"/>
        <w:rPr>
          <w:sz w:val="20"/>
          <w:szCs w:val="20"/>
          <w:lang w:val="en-IE"/>
        </w:rPr>
      </w:pPr>
      <w:r w:rsidRPr="00177CC4">
        <w:rPr>
          <w:rStyle w:val="FootnoteReference"/>
          <w:sz w:val="20"/>
          <w:szCs w:val="20"/>
        </w:rPr>
        <w:footnoteRef/>
      </w:r>
      <w:r w:rsidRPr="00177CC4">
        <w:rPr>
          <w:sz w:val="20"/>
          <w:szCs w:val="20"/>
        </w:rPr>
        <w:t xml:space="preserve"> </w:t>
      </w:r>
      <w:r w:rsidR="00177CC4">
        <w:rPr>
          <w:sz w:val="20"/>
          <w:szCs w:val="20"/>
        </w:rPr>
        <w:tab/>
      </w:r>
      <w:hyperlink r:id="rId2" w:history="1">
        <w:r w:rsidRPr="00177CC4">
          <w:rPr>
            <w:rStyle w:val="Hyperlink"/>
            <w:sz w:val="20"/>
            <w:szCs w:val="20"/>
            <w:lang w:val="en-GB"/>
          </w:rPr>
          <w:t>Health and safety of workers in green jobs - EU-OSHA</w:t>
        </w:r>
      </w:hyperlink>
      <w:r w:rsidR="008C6B2C">
        <w:t>.</w:t>
      </w:r>
    </w:p>
  </w:footnote>
  <w:footnote w:id="4">
    <w:p w14:paraId="191AAF41" w14:textId="6ACF3EC6" w:rsidR="00F858A6" w:rsidRPr="00177CC4" w:rsidRDefault="00F858A6" w:rsidP="001752B7">
      <w:pPr>
        <w:pStyle w:val="FootnoteText"/>
        <w:spacing w:after="0"/>
        <w:ind w:left="0" w:firstLine="0"/>
        <w:rPr>
          <w:sz w:val="20"/>
          <w:szCs w:val="20"/>
          <w:lang w:val="en-IE"/>
        </w:rPr>
      </w:pPr>
      <w:r w:rsidRPr="00177CC4">
        <w:rPr>
          <w:rStyle w:val="FootnoteReference"/>
          <w:sz w:val="20"/>
          <w:szCs w:val="20"/>
        </w:rPr>
        <w:footnoteRef/>
      </w:r>
      <w:r w:rsidRPr="00177CC4">
        <w:rPr>
          <w:sz w:val="20"/>
          <w:szCs w:val="20"/>
        </w:rPr>
        <w:t xml:space="preserve"> </w:t>
      </w:r>
      <w:r w:rsidR="00177CC4">
        <w:rPr>
          <w:sz w:val="20"/>
          <w:szCs w:val="20"/>
        </w:rPr>
        <w:tab/>
      </w:r>
      <w:hyperlink r:id="rId3" w:history="1">
        <w:r w:rsidRPr="00177CC4">
          <w:rPr>
            <w:rStyle w:val="Hyperlink"/>
            <w:sz w:val="20"/>
            <w:szCs w:val="20"/>
            <w:lang w:val="en-GB"/>
          </w:rPr>
          <w:t>Green jobs and occupational safety and health: Foresight on new and emerging risks associated with new technologies by 2020 - EU-OSHA</w:t>
        </w:r>
      </w:hyperlink>
      <w:r w:rsidR="008C6B2C">
        <w:t>.</w:t>
      </w:r>
    </w:p>
  </w:footnote>
  <w:footnote w:id="5">
    <w:p w14:paraId="6FBA45CF" w14:textId="2BA81D14" w:rsidR="00F858A6" w:rsidRPr="00177CC4" w:rsidRDefault="00F858A6" w:rsidP="001752B7">
      <w:pPr>
        <w:pStyle w:val="FootnoteText"/>
        <w:spacing w:after="0"/>
        <w:ind w:left="0" w:firstLine="0"/>
        <w:rPr>
          <w:sz w:val="20"/>
          <w:szCs w:val="20"/>
          <w:lang w:val="en-IE"/>
        </w:rPr>
      </w:pPr>
      <w:r w:rsidRPr="00177CC4">
        <w:rPr>
          <w:rStyle w:val="FootnoteReference"/>
          <w:sz w:val="20"/>
          <w:szCs w:val="20"/>
        </w:rPr>
        <w:footnoteRef/>
      </w:r>
      <w:r w:rsidRPr="00177CC4">
        <w:rPr>
          <w:sz w:val="20"/>
          <w:szCs w:val="20"/>
        </w:rPr>
        <w:t xml:space="preserve"> </w:t>
      </w:r>
      <w:r w:rsidR="00177CC4">
        <w:rPr>
          <w:sz w:val="20"/>
          <w:szCs w:val="20"/>
        </w:rPr>
        <w:tab/>
      </w:r>
      <w:hyperlink r:id="rId4" w:history="1">
        <w:r w:rsidRPr="00177CC4">
          <w:rPr>
            <w:rStyle w:val="Hyperlink"/>
            <w:sz w:val="20"/>
            <w:szCs w:val="20"/>
            <w:lang w:val="en-GB"/>
          </w:rPr>
          <w:t>Directive - 89/391 - EN - EUR-Lex</w:t>
        </w:r>
      </w:hyperlink>
      <w:r w:rsidR="008C6B2C">
        <w:t>.</w:t>
      </w:r>
    </w:p>
  </w:footnote>
  <w:footnote w:id="6">
    <w:p w14:paraId="27A82E08" w14:textId="6B705883" w:rsidR="005A0AE1" w:rsidRPr="00177CC4" w:rsidRDefault="005A0AE1" w:rsidP="001752B7">
      <w:pPr>
        <w:pStyle w:val="FootnoteText"/>
        <w:spacing w:after="0"/>
        <w:ind w:left="0" w:firstLine="0"/>
        <w:rPr>
          <w:sz w:val="20"/>
          <w:szCs w:val="20"/>
        </w:rPr>
      </w:pPr>
      <w:r w:rsidRPr="00177CC4">
        <w:rPr>
          <w:rStyle w:val="FootnoteReference"/>
          <w:sz w:val="20"/>
          <w:szCs w:val="20"/>
        </w:rPr>
        <w:footnoteRef/>
      </w:r>
      <w:r w:rsidRPr="00177CC4">
        <w:rPr>
          <w:sz w:val="20"/>
          <w:szCs w:val="20"/>
        </w:rPr>
        <w:t xml:space="preserve"> </w:t>
      </w:r>
      <w:r w:rsidR="00177CC4">
        <w:rPr>
          <w:sz w:val="20"/>
          <w:szCs w:val="20"/>
        </w:rPr>
        <w:tab/>
      </w:r>
      <w:hyperlink r:id="rId5">
        <w:r w:rsidRPr="00177CC4">
          <w:rPr>
            <w:rStyle w:val="Hyperlink"/>
            <w:sz w:val="20"/>
            <w:szCs w:val="20"/>
          </w:rPr>
          <w:t>Regulation (EC) No 883/2004 of the European Parliament and of the Council of 29 April 2004 on the coordination of social security systems adopted on 29 April 2004</w:t>
        </w:r>
      </w:hyperlink>
      <w:r w:rsidR="008C6B2C">
        <w:t>.</w:t>
      </w:r>
    </w:p>
  </w:footnote>
  <w:footnote w:id="7">
    <w:p w14:paraId="32ED05C8" w14:textId="3F6F9138" w:rsidR="00BA3BE9" w:rsidRPr="008D51E0" w:rsidRDefault="00BA3BE9" w:rsidP="001752B7">
      <w:pPr>
        <w:pStyle w:val="FootnoteText"/>
        <w:spacing w:after="0"/>
        <w:ind w:left="0" w:firstLine="0"/>
        <w:rPr>
          <w:sz w:val="20"/>
          <w:szCs w:val="20"/>
          <w:lang w:val="en-IE"/>
        </w:rPr>
      </w:pPr>
      <w:r w:rsidRPr="00177CC4">
        <w:rPr>
          <w:rStyle w:val="FootnoteReference"/>
          <w:sz w:val="20"/>
          <w:szCs w:val="20"/>
        </w:rPr>
        <w:footnoteRef/>
      </w:r>
      <w:r w:rsidRPr="00177CC4">
        <w:rPr>
          <w:sz w:val="20"/>
          <w:szCs w:val="20"/>
        </w:rPr>
        <w:t xml:space="preserve"> </w:t>
      </w:r>
      <w:r w:rsidR="00177CC4">
        <w:rPr>
          <w:sz w:val="20"/>
          <w:szCs w:val="20"/>
        </w:rPr>
        <w:tab/>
      </w:r>
      <w:hyperlink r:id="rId6" w:history="1">
        <w:r w:rsidR="00177CC4" w:rsidRPr="00177CC4">
          <w:rPr>
            <w:rStyle w:val="Hyperlink"/>
            <w:sz w:val="20"/>
            <w:szCs w:val="20"/>
          </w:rPr>
          <w:t>https://ec.europa.eu/social/BlobServlet?docId=27473&amp;langId=en</w:t>
        </w:r>
      </w:hyperlink>
      <w:r w:rsidR="008C6B2C">
        <w:rPr>
          <w:sz w:val="20"/>
          <w:szCs w:val="20"/>
        </w:rPr>
        <w:t>.</w:t>
      </w:r>
    </w:p>
  </w:footnote>
  <w:footnote w:id="8">
    <w:p w14:paraId="3FD40BD2" w14:textId="1F747BD2" w:rsidR="00F858A6" w:rsidRPr="008D51E0" w:rsidRDefault="00F858A6" w:rsidP="008C6B2C">
      <w:pPr>
        <w:pStyle w:val="FootnoteText"/>
        <w:widowControl w:val="0"/>
        <w:spacing w:after="0"/>
        <w:ind w:left="284" w:right="-142" w:hanging="426"/>
        <w:jc w:val="left"/>
        <w:rPr>
          <w:sz w:val="20"/>
          <w:szCs w:val="20"/>
          <w:lang w:val="en-IE"/>
        </w:rPr>
      </w:pPr>
      <w:r w:rsidRPr="008D51E0">
        <w:rPr>
          <w:rStyle w:val="FootnoteReference"/>
          <w:sz w:val="20"/>
          <w:szCs w:val="20"/>
        </w:rPr>
        <w:footnoteRef/>
      </w:r>
      <w:r w:rsidRPr="008D51E0">
        <w:rPr>
          <w:sz w:val="20"/>
          <w:szCs w:val="20"/>
        </w:rPr>
        <w:t xml:space="preserve"> </w:t>
      </w:r>
      <w:r w:rsidR="008C6B2C">
        <w:rPr>
          <w:sz w:val="20"/>
          <w:szCs w:val="20"/>
        </w:rPr>
        <w:tab/>
      </w:r>
      <w:hyperlink r:id="rId7" w:history="1">
        <w:r w:rsidRPr="008D51E0">
          <w:rPr>
            <w:rStyle w:val="Hyperlink"/>
            <w:sz w:val="20"/>
            <w:szCs w:val="20"/>
            <w:shd w:val="clear" w:color="auto" w:fill="FFFFFF"/>
          </w:rPr>
          <w:t>Communication on Distributional Impact Assessment adopted by the Commission in 2022 is COM/2022/494 final adopted on 28 September 2022</w:t>
        </w:r>
      </w:hyperlink>
      <w:r w:rsidR="008C6B2C">
        <w:t>.</w:t>
      </w:r>
    </w:p>
  </w:footnote>
  <w:footnote w:id="9">
    <w:p w14:paraId="45DC1CBF" w14:textId="52BEDAFD" w:rsidR="009862BD" w:rsidRPr="008D51E0" w:rsidRDefault="009862BD" w:rsidP="008C6B2C">
      <w:pPr>
        <w:pStyle w:val="FootnoteText"/>
        <w:widowControl w:val="0"/>
        <w:spacing w:after="0"/>
        <w:ind w:left="284" w:right="-142" w:hanging="426"/>
        <w:rPr>
          <w:sz w:val="20"/>
          <w:szCs w:val="20"/>
        </w:rPr>
      </w:pPr>
      <w:r w:rsidRPr="008D51E0">
        <w:rPr>
          <w:rStyle w:val="FootnoteReference"/>
          <w:sz w:val="20"/>
          <w:szCs w:val="20"/>
        </w:rPr>
        <w:footnoteRef/>
      </w:r>
      <w:r w:rsidRPr="008D51E0">
        <w:rPr>
          <w:sz w:val="20"/>
          <w:szCs w:val="20"/>
        </w:rPr>
        <w:t xml:space="preserve"> </w:t>
      </w:r>
      <w:r w:rsidR="008C6B2C">
        <w:rPr>
          <w:sz w:val="20"/>
          <w:szCs w:val="20"/>
        </w:rPr>
        <w:tab/>
      </w:r>
      <w:hyperlink r:id="rId8" w:history="1">
        <w:r w:rsidRPr="008D51E0">
          <w:rPr>
            <w:rStyle w:val="Hyperlink"/>
            <w:sz w:val="20"/>
            <w:szCs w:val="20"/>
          </w:rPr>
          <w:t>8</w:t>
        </w:r>
        <w:r w:rsidRPr="008D51E0">
          <w:rPr>
            <w:rStyle w:val="Hyperlink"/>
            <w:sz w:val="20"/>
            <w:szCs w:val="20"/>
            <w:vertAlign w:val="superscript"/>
          </w:rPr>
          <w:t>th</w:t>
        </w:r>
        <w:r w:rsidRPr="008D51E0">
          <w:rPr>
            <w:rStyle w:val="Hyperlink"/>
            <w:sz w:val="20"/>
            <w:szCs w:val="20"/>
          </w:rPr>
          <w:t xml:space="preserve"> EAP Mid-Term Review</w:t>
        </w:r>
      </w:hyperlink>
      <w:r w:rsidR="008C6B2C">
        <w:t>.</w:t>
      </w:r>
    </w:p>
  </w:footnote>
  <w:footnote w:id="10">
    <w:p w14:paraId="44D64F7B" w14:textId="3943C862" w:rsidR="00F858A6" w:rsidRPr="00177CC4" w:rsidRDefault="00F858A6" w:rsidP="008C6B2C">
      <w:pPr>
        <w:widowControl w:val="0"/>
        <w:spacing w:after="0" w:line="240" w:lineRule="auto"/>
        <w:ind w:left="284" w:right="-142" w:hanging="426"/>
        <w:jc w:val="both"/>
        <w:rPr>
          <w:rFonts w:ascii="Times New Roman" w:hAnsi="Times New Roman"/>
          <w:sz w:val="20"/>
          <w:szCs w:val="20"/>
        </w:rPr>
      </w:pPr>
      <w:r w:rsidRPr="00177CC4">
        <w:rPr>
          <w:rFonts w:ascii="Times New Roman" w:hAnsi="Times New Roman"/>
          <w:sz w:val="20"/>
          <w:szCs w:val="20"/>
          <w:vertAlign w:val="superscript"/>
        </w:rPr>
        <w:footnoteRef/>
      </w:r>
      <w:r w:rsidRPr="00177CC4">
        <w:rPr>
          <w:rFonts w:ascii="Times New Roman" w:hAnsi="Times New Roman"/>
          <w:sz w:val="20"/>
          <w:szCs w:val="20"/>
        </w:rPr>
        <w:t xml:space="preserve"> </w:t>
      </w:r>
      <w:r w:rsidR="00177CC4">
        <w:rPr>
          <w:rFonts w:ascii="Times New Roman" w:hAnsi="Times New Roman"/>
          <w:sz w:val="20"/>
          <w:szCs w:val="20"/>
        </w:rPr>
        <w:tab/>
      </w:r>
      <w:hyperlink r:id="rId9" w:history="1">
        <w:r w:rsidR="00177CC4" w:rsidRPr="00177CC4">
          <w:rPr>
            <w:rStyle w:val="Hyperlink"/>
            <w:rFonts w:ascii="Times New Roman" w:eastAsia="Times New Roman" w:hAnsi="Times New Roman"/>
            <w:sz w:val="20"/>
            <w:szCs w:val="20"/>
            <w:lang w:val="en-US"/>
          </w:rPr>
          <w:t>https://employment-social-affairs.ec.europa.eu/news/access-essential-services-key-challenges-most-vulnerable-report-2023-06-28_en</w:t>
        </w:r>
      </w:hyperlink>
      <w:r w:rsidR="008C6B2C">
        <w:t>.</w:t>
      </w:r>
    </w:p>
  </w:footnote>
  <w:footnote w:id="11">
    <w:p w14:paraId="38A5B299" w14:textId="25B972B5" w:rsidR="00BA3BE9" w:rsidRPr="008D51E0" w:rsidRDefault="00BA3BE9" w:rsidP="008C6B2C">
      <w:pPr>
        <w:pStyle w:val="FootnoteText"/>
        <w:spacing w:after="0"/>
        <w:ind w:left="142" w:right="-142" w:hanging="284"/>
        <w:rPr>
          <w:sz w:val="20"/>
          <w:szCs w:val="20"/>
          <w:lang w:val="en-IE"/>
        </w:rPr>
      </w:pPr>
      <w:r w:rsidRPr="00177CC4">
        <w:rPr>
          <w:rStyle w:val="FootnoteReference"/>
          <w:sz w:val="20"/>
          <w:szCs w:val="20"/>
        </w:rPr>
        <w:footnoteRef/>
      </w:r>
      <w:r w:rsidRPr="00177CC4">
        <w:rPr>
          <w:sz w:val="20"/>
          <w:szCs w:val="20"/>
        </w:rPr>
        <w:t xml:space="preserve"> </w:t>
      </w:r>
      <w:r w:rsidR="00177CC4">
        <w:rPr>
          <w:sz w:val="20"/>
          <w:szCs w:val="20"/>
        </w:rPr>
        <w:tab/>
      </w:r>
      <w:hyperlink r:id="rId10" w:history="1">
        <w:r w:rsidRPr="00177CC4">
          <w:rPr>
            <w:rStyle w:val="Hyperlink"/>
            <w:sz w:val="20"/>
            <w:szCs w:val="20"/>
          </w:rPr>
          <w:t>https://urban-mobility-observatory.transport.ec.europa.eu/news-events/news/european-commission-publishes-final-report-transport-poverty-2024-12-11_en</w:t>
        </w:r>
      </w:hyperlink>
      <w:r w:rsidR="008C6B2C">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320D"/>
    <w:multiLevelType w:val="multilevel"/>
    <w:tmpl w:val="A76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16E0A"/>
    <w:multiLevelType w:val="multilevel"/>
    <w:tmpl w:val="771E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500C"/>
    <w:multiLevelType w:val="hybridMultilevel"/>
    <w:tmpl w:val="8138B230"/>
    <w:lvl w:ilvl="0" w:tplc="4CD60BBE">
      <w:start w:val="1"/>
      <w:numFmt w:val="bullet"/>
      <w:lvlText w:val="-"/>
      <w:lvlJc w:val="left"/>
      <w:pPr>
        <w:ind w:left="720" w:hanging="360"/>
      </w:pPr>
      <w:rPr>
        <w:rFonts w:ascii="Symbol" w:hAnsi="Symbol" w:hint="default"/>
      </w:rPr>
    </w:lvl>
    <w:lvl w:ilvl="1" w:tplc="FD94DFF4">
      <w:start w:val="1"/>
      <w:numFmt w:val="bullet"/>
      <w:lvlText w:val="o"/>
      <w:lvlJc w:val="left"/>
      <w:pPr>
        <w:ind w:left="1440" w:hanging="360"/>
      </w:pPr>
      <w:rPr>
        <w:rFonts w:ascii="Courier New" w:hAnsi="Courier New" w:hint="default"/>
      </w:rPr>
    </w:lvl>
    <w:lvl w:ilvl="2" w:tplc="2DFC7C66">
      <w:start w:val="1"/>
      <w:numFmt w:val="bullet"/>
      <w:lvlText w:val=""/>
      <w:lvlJc w:val="left"/>
      <w:pPr>
        <w:ind w:left="2160" w:hanging="360"/>
      </w:pPr>
      <w:rPr>
        <w:rFonts w:ascii="Wingdings" w:hAnsi="Wingdings" w:hint="default"/>
      </w:rPr>
    </w:lvl>
    <w:lvl w:ilvl="3" w:tplc="F8B28ECC">
      <w:start w:val="1"/>
      <w:numFmt w:val="bullet"/>
      <w:lvlText w:val=""/>
      <w:lvlJc w:val="left"/>
      <w:pPr>
        <w:ind w:left="2880" w:hanging="360"/>
      </w:pPr>
      <w:rPr>
        <w:rFonts w:ascii="Symbol" w:hAnsi="Symbol" w:hint="default"/>
      </w:rPr>
    </w:lvl>
    <w:lvl w:ilvl="4" w:tplc="BC5E11E6">
      <w:start w:val="1"/>
      <w:numFmt w:val="bullet"/>
      <w:lvlText w:val="o"/>
      <w:lvlJc w:val="left"/>
      <w:pPr>
        <w:ind w:left="3600" w:hanging="360"/>
      </w:pPr>
      <w:rPr>
        <w:rFonts w:ascii="Courier New" w:hAnsi="Courier New" w:hint="default"/>
      </w:rPr>
    </w:lvl>
    <w:lvl w:ilvl="5" w:tplc="220EEEE2">
      <w:start w:val="1"/>
      <w:numFmt w:val="bullet"/>
      <w:lvlText w:val=""/>
      <w:lvlJc w:val="left"/>
      <w:pPr>
        <w:ind w:left="4320" w:hanging="360"/>
      </w:pPr>
      <w:rPr>
        <w:rFonts w:ascii="Wingdings" w:hAnsi="Wingdings" w:hint="default"/>
      </w:rPr>
    </w:lvl>
    <w:lvl w:ilvl="6" w:tplc="0A9C4B92">
      <w:start w:val="1"/>
      <w:numFmt w:val="bullet"/>
      <w:lvlText w:val=""/>
      <w:lvlJc w:val="left"/>
      <w:pPr>
        <w:ind w:left="5040" w:hanging="360"/>
      </w:pPr>
      <w:rPr>
        <w:rFonts w:ascii="Symbol" w:hAnsi="Symbol" w:hint="default"/>
      </w:rPr>
    </w:lvl>
    <w:lvl w:ilvl="7" w:tplc="A16ADC8C">
      <w:start w:val="1"/>
      <w:numFmt w:val="bullet"/>
      <w:lvlText w:val="o"/>
      <w:lvlJc w:val="left"/>
      <w:pPr>
        <w:ind w:left="5760" w:hanging="360"/>
      </w:pPr>
      <w:rPr>
        <w:rFonts w:ascii="Courier New" w:hAnsi="Courier New" w:hint="default"/>
      </w:rPr>
    </w:lvl>
    <w:lvl w:ilvl="8" w:tplc="8A729C7E">
      <w:start w:val="1"/>
      <w:numFmt w:val="bullet"/>
      <w:lvlText w:val=""/>
      <w:lvlJc w:val="left"/>
      <w:pPr>
        <w:ind w:left="6480" w:hanging="360"/>
      </w:pPr>
      <w:rPr>
        <w:rFonts w:ascii="Wingdings" w:hAnsi="Wingdings" w:hint="default"/>
      </w:rPr>
    </w:lvl>
  </w:abstractNum>
  <w:abstractNum w:abstractNumId="3" w15:restartNumberingAfterBreak="0">
    <w:nsid w:val="44BFE79B"/>
    <w:multiLevelType w:val="hybridMultilevel"/>
    <w:tmpl w:val="14C8BDE6"/>
    <w:lvl w:ilvl="0" w:tplc="BFF6C2DE">
      <w:start w:val="1"/>
      <w:numFmt w:val="bullet"/>
      <w:lvlText w:val="·"/>
      <w:lvlJc w:val="left"/>
      <w:pPr>
        <w:ind w:left="720" w:hanging="360"/>
      </w:pPr>
      <w:rPr>
        <w:rFonts w:ascii="Symbol" w:hAnsi="Symbol" w:hint="default"/>
      </w:rPr>
    </w:lvl>
    <w:lvl w:ilvl="1" w:tplc="776AB696">
      <w:start w:val="1"/>
      <w:numFmt w:val="bullet"/>
      <w:lvlText w:val="o"/>
      <w:lvlJc w:val="left"/>
      <w:pPr>
        <w:ind w:left="1440" w:hanging="360"/>
      </w:pPr>
      <w:rPr>
        <w:rFonts w:ascii="Courier New" w:hAnsi="Courier New" w:hint="default"/>
      </w:rPr>
    </w:lvl>
    <w:lvl w:ilvl="2" w:tplc="3748217A">
      <w:start w:val="1"/>
      <w:numFmt w:val="bullet"/>
      <w:lvlText w:val=""/>
      <w:lvlJc w:val="left"/>
      <w:pPr>
        <w:ind w:left="2160" w:hanging="360"/>
      </w:pPr>
      <w:rPr>
        <w:rFonts w:ascii="Wingdings" w:hAnsi="Wingdings" w:hint="default"/>
      </w:rPr>
    </w:lvl>
    <w:lvl w:ilvl="3" w:tplc="9B5217DC">
      <w:start w:val="1"/>
      <w:numFmt w:val="bullet"/>
      <w:lvlText w:val=""/>
      <w:lvlJc w:val="left"/>
      <w:pPr>
        <w:ind w:left="2880" w:hanging="360"/>
      </w:pPr>
      <w:rPr>
        <w:rFonts w:ascii="Symbol" w:hAnsi="Symbol" w:hint="default"/>
      </w:rPr>
    </w:lvl>
    <w:lvl w:ilvl="4" w:tplc="AE080744">
      <w:start w:val="1"/>
      <w:numFmt w:val="bullet"/>
      <w:lvlText w:val="o"/>
      <w:lvlJc w:val="left"/>
      <w:pPr>
        <w:ind w:left="3600" w:hanging="360"/>
      </w:pPr>
      <w:rPr>
        <w:rFonts w:ascii="Courier New" w:hAnsi="Courier New" w:hint="default"/>
      </w:rPr>
    </w:lvl>
    <w:lvl w:ilvl="5" w:tplc="29A067AA">
      <w:start w:val="1"/>
      <w:numFmt w:val="bullet"/>
      <w:lvlText w:val=""/>
      <w:lvlJc w:val="left"/>
      <w:pPr>
        <w:ind w:left="4320" w:hanging="360"/>
      </w:pPr>
      <w:rPr>
        <w:rFonts w:ascii="Wingdings" w:hAnsi="Wingdings" w:hint="default"/>
      </w:rPr>
    </w:lvl>
    <w:lvl w:ilvl="6" w:tplc="5612496A">
      <w:start w:val="1"/>
      <w:numFmt w:val="bullet"/>
      <w:lvlText w:val=""/>
      <w:lvlJc w:val="left"/>
      <w:pPr>
        <w:ind w:left="5040" w:hanging="360"/>
      </w:pPr>
      <w:rPr>
        <w:rFonts w:ascii="Symbol" w:hAnsi="Symbol" w:hint="default"/>
      </w:rPr>
    </w:lvl>
    <w:lvl w:ilvl="7" w:tplc="C4E4DDBA">
      <w:start w:val="1"/>
      <w:numFmt w:val="bullet"/>
      <w:lvlText w:val="o"/>
      <w:lvlJc w:val="left"/>
      <w:pPr>
        <w:ind w:left="5760" w:hanging="360"/>
      </w:pPr>
      <w:rPr>
        <w:rFonts w:ascii="Courier New" w:hAnsi="Courier New" w:hint="default"/>
      </w:rPr>
    </w:lvl>
    <w:lvl w:ilvl="8" w:tplc="CBA8A572">
      <w:start w:val="1"/>
      <w:numFmt w:val="bullet"/>
      <w:lvlText w:val=""/>
      <w:lvlJc w:val="left"/>
      <w:pPr>
        <w:ind w:left="6480" w:hanging="360"/>
      </w:pPr>
      <w:rPr>
        <w:rFonts w:ascii="Wingdings" w:hAnsi="Wingdings" w:hint="default"/>
      </w:rPr>
    </w:lvl>
  </w:abstractNum>
  <w:abstractNum w:abstractNumId="4" w15:restartNumberingAfterBreak="0">
    <w:nsid w:val="46014F61"/>
    <w:multiLevelType w:val="multilevel"/>
    <w:tmpl w:val="ED50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712423">
    <w:abstractNumId w:val="2"/>
  </w:num>
  <w:num w:numId="2" w16cid:durableId="272638535">
    <w:abstractNumId w:val="1"/>
  </w:num>
  <w:num w:numId="3" w16cid:durableId="547760974">
    <w:abstractNumId w:val="4"/>
  </w:num>
  <w:num w:numId="4" w16cid:durableId="1181510546">
    <w:abstractNumId w:val="0"/>
  </w:num>
  <w:num w:numId="5" w16cid:durableId="193293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12A37"/>
    <w:rsid w:val="0002739C"/>
    <w:rsid w:val="0003193C"/>
    <w:rsid w:val="000448B7"/>
    <w:rsid w:val="00046B15"/>
    <w:rsid w:val="00050DC7"/>
    <w:rsid w:val="00076109"/>
    <w:rsid w:val="00077C4F"/>
    <w:rsid w:val="000804FF"/>
    <w:rsid w:val="0008255B"/>
    <w:rsid w:val="000A2600"/>
    <w:rsid w:val="000A39A7"/>
    <w:rsid w:val="000B0117"/>
    <w:rsid w:val="000C22BF"/>
    <w:rsid w:val="000C7079"/>
    <w:rsid w:val="000D625F"/>
    <w:rsid w:val="000E0FAC"/>
    <w:rsid w:val="000E59B1"/>
    <w:rsid w:val="000F5FD8"/>
    <w:rsid w:val="00103BDA"/>
    <w:rsid w:val="001046A1"/>
    <w:rsid w:val="00105600"/>
    <w:rsid w:val="001061A1"/>
    <w:rsid w:val="00107676"/>
    <w:rsid w:val="001167C0"/>
    <w:rsid w:val="00131FDD"/>
    <w:rsid w:val="00134204"/>
    <w:rsid w:val="00135C2A"/>
    <w:rsid w:val="00135EAB"/>
    <w:rsid w:val="001421E9"/>
    <w:rsid w:val="00147574"/>
    <w:rsid w:val="00167279"/>
    <w:rsid w:val="00167649"/>
    <w:rsid w:val="001752B7"/>
    <w:rsid w:val="00177CC4"/>
    <w:rsid w:val="00186D28"/>
    <w:rsid w:val="0019012D"/>
    <w:rsid w:val="001B0E0B"/>
    <w:rsid w:val="001C06D9"/>
    <w:rsid w:val="001C38A5"/>
    <w:rsid w:val="001C4138"/>
    <w:rsid w:val="001C6EAF"/>
    <w:rsid w:val="001D42DA"/>
    <w:rsid w:val="001E2FCB"/>
    <w:rsid w:val="001E5CFF"/>
    <w:rsid w:val="001E766C"/>
    <w:rsid w:val="001F2EC6"/>
    <w:rsid w:val="001F65D0"/>
    <w:rsid w:val="00204AAE"/>
    <w:rsid w:val="0021094B"/>
    <w:rsid w:val="00217E59"/>
    <w:rsid w:val="002239C0"/>
    <w:rsid w:val="00232794"/>
    <w:rsid w:val="00243499"/>
    <w:rsid w:val="0025413A"/>
    <w:rsid w:val="00254CF1"/>
    <w:rsid w:val="00257DD6"/>
    <w:rsid w:val="00265C98"/>
    <w:rsid w:val="002842D9"/>
    <w:rsid w:val="00284B34"/>
    <w:rsid w:val="00291205"/>
    <w:rsid w:val="002946D6"/>
    <w:rsid w:val="002962F3"/>
    <w:rsid w:val="002974D5"/>
    <w:rsid w:val="002A43F1"/>
    <w:rsid w:val="002A7F58"/>
    <w:rsid w:val="002B0A73"/>
    <w:rsid w:val="002B103B"/>
    <w:rsid w:val="002B19E8"/>
    <w:rsid w:val="002B29D3"/>
    <w:rsid w:val="002C6AFB"/>
    <w:rsid w:val="002C761C"/>
    <w:rsid w:val="002D6755"/>
    <w:rsid w:val="002E45C7"/>
    <w:rsid w:val="002F03FA"/>
    <w:rsid w:val="002F5C72"/>
    <w:rsid w:val="003004D2"/>
    <w:rsid w:val="00306EFB"/>
    <w:rsid w:val="00315A2B"/>
    <w:rsid w:val="00317CF6"/>
    <w:rsid w:val="00327943"/>
    <w:rsid w:val="00331EBB"/>
    <w:rsid w:val="00332403"/>
    <w:rsid w:val="003349A3"/>
    <w:rsid w:val="00346EDF"/>
    <w:rsid w:val="003471A4"/>
    <w:rsid w:val="0035143D"/>
    <w:rsid w:val="003519BF"/>
    <w:rsid w:val="0035499A"/>
    <w:rsid w:val="00357343"/>
    <w:rsid w:val="003670E1"/>
    <w:rsid w:val="00373530"/>
    <w:rsid w:val="00377406"/>
    <w:rsid w:val="00377967"/>
    <w:rsid w:val="00382045"/>
    <w:rsid w:val="0038497D"/>
    <w:rsid w:val="00386143"/>
    <w:rsid w:val="00393AE9"/>
    <w:rsid w:val="00397B75"/>
    <w:rsid w:val="00397D88"/>
    <w:rsid w:val="003A1CAA"/>
    <w:rsid w:val="003A726F"/>
    <w:rsid w:val="003B58DC"/>
    <w:rsid w:val="003C5C8D"/>
    <w:rsid w:val="003E39AF"/>
    <w:rsid w:val="003F686E"/>
    <w:rsid w:val="00404CB4"/>
    <w:rsid w:val="004079CB"/>
    <w:rsid w:val="00413DFF"/>
    <w:rsid w:val="00422008"/>
    <w:rsid w:val="00426288"/>
    <w:rsid w:val="00426B5D"/>
    <w:rsid w:val="00442552"/>
    <w:rsid w:val="00442BF4"/>
    <w:rsid w:val="004559EF"/>
    <w:rsid w:val="00455A1C"/>
    <w:rsid w:val="00457AD1"/>
    <w:rsid w:val="00460E10"/>
    <w:rsid w:val="00466840"/>
    <w:rsid w:val="004675B5"/>
    <w:rsid w:val="004770D6"/>
    <w:rsid w:val="00484624"/>
    <w:rsid w:val="0049246C"/>
    <w:rsid w:val="00495CAA"/>
    <w:rsid w:val="004B0330"/>
    <w:rsid w:val="004C136D"/>
    <w:rsid w:val="004C1AD5"/>
    <w:rsid w:val="004E53F9"/>
    <w:rsid w:val="004E56FB"/>
    <w:rsid w:val="004F6117"/>
    <w:rsid w:val="004F63F1"/>
    <w:rsid w:val="004F651E"/>
    <w:rsid w:val="0051381D"/>
    <w:rsid w:val="00515533"/>
    <w:rsid w:val="00521A85"/>
    <w:rsid w:val="0052596B"/>
    <w:rsid w:val="00531998"/>
    <w:rsid w:val="005375AF"/>
    <w:rsid w:val="00554D8D"/>
    <w:rsid w:val="00573835"/>
    <w:rsid w:val="00576AFF"/>
    <w:rsid w:val="005771AA"/>
    <w:rsid w:val="00581306"/>
    <w:rsid w:val="0058410D"/>
    <w:rsid w:val="005849E5"/>
    <w:rsid w:val="00590031"/>
    <w:rsid w:val="005A0AE1"/>
    <w:rsid w:val="005A7ABA"/>
    <w:rsid w:val="005C1C2E"/>
    <w:rsid w:val="005C3105"/>
    <w:rsid w:val="005C3930"/>
    <w:rsid w:val="005D1438"/>
    <w:rsid w:val="005F1E3C"/>
    <w:rsid w:val="005F7F2B"/>
    <w:rsid w:val="00607498"/>
    <w:rsid w:val="006119DD"/>
    <w:rsid w:val="00627030"/>
    <w:rsid w:val="00632960"/>
    <w:rsid w:val="00637CBF"/>
    <w:rsid w:val="00653195"/>
    <w:rsid w:val="00660B20"/>
    <w:rsid w:val="006615C4"/>
    <w:rsid w:val="00663C90"/>
    <w:rsid w:val="00664438"/>
    <w:rsid w:val="00667E74"/>
    <w:rsid w:val="00680E6E"/>
    <w:rsid w:val="00685AAC"/>
    <w:rsid w:val="00692C2F"/>
    <w:rsid w:val="00693D72"/>
    <w:rsid w:val="00695797"/>
    <w:rsid w:val="00696A5E"/>
    <w:rsid w:val="00697F09"/>
    <w:rsid w:val="006A29BA"/>
    <w:rsid w:val="006A76E8"/>
    <w:rsid w:val="006B3B69"/>
    <w:rsid w:val="006D6A15"/>
    <w:rsid w:val="006E0327"/>
    <w:rsid w:val="006E62A1"/>
    <w:rsid w:val="006F61E7"/>
    <w:rsid w:val="00702805"/>
    <w:rsid w:val="00703B35"/>
    <w:rsid w:val="00707032"/>
    <w:rsid w:val="00721C88"/>
    <w:rsid w:val="00726CE0"/>
    <w:rsid w:val="007305D6"/>
    <w:rsid w:val="00732EA7"/>
    <w:rsid w:val="00734613"/>
    <w:rsid w:val="00741C81"/>
    <w:rsid w:val="00751910"/>
    <w:rsid w:val="00751E60"/>
    <w:rsid w:val="007547B5"/>
    <w:rsid w:val="00763414"/>
    <w:rsid w:val="007725DF"/>
    <w:rsid w:val="007878A9"/>
    <w:rsid w:val="00793DF9"/>
    <w:rsid w:val="00795A9E"/>
    <w:rsid w:val="00795C51"/>
    <w:rsid w:val="007A0C19"/>
    <w:rsid w:val="007A606D"/>
    <w:rsid w:val="007C2214"/>
    <w:rsid w:val="007C7AF2"/>
    <w:rsid w:val="007D3D42"/>
    <w:rsid w:val="007E603F"/>
    <w:rsid w:val="007F0C87"/>
    <w:rsid w:val="007F0CA2"/>
    <w:rsid w:val="007F6257"/>
    <w:rsid w:val="0080030F"/>
    <w:rsid w:val="00804708"/>
    <w:rsid w:val="00807B48"/>
    <w:rsid w:val="008135CA"/>
    <w:rsid w:val="0081584F"/>
    <w:rsid w:val="0082632D"/>
    <w:rsid w:val="00833D49"/>
    <w:rsid w:val="00857339"/>
    <w:rsid w:val="0086024F"/>
    <w:rsid w:val="008642DF"/>
    <w:rsid w:val="008647FE"/>
    <w:rsid w:val="008703BF"/>
    <w:rsid w:val="008864EE"/>
    <w:rsid w:val="00892290"/>
    <w:rsid w:val="008924F3"/>
    <w:rsid w:val="008925CE"/>
    <w:rsid w:val="008A1B34"/>
    <w:rsid w:val="008B0BB9"/>
    <w:rsid w:val="008B29B5"/>
    <w:rsid w:val="008C4D41"/>
    <w:rsid w:val="008C6B2C"/>
    <w:rsid w:val="008D51E0"/>
    <w:rsid w:val="0090257F"/>
    <w:rsid w:val="00904011"/>
    <w:rsid w:val="00922EEB"/>
    <w:rsid w:val="009507A3"/>
    <w:rsid w:val="00970219"/>
    <w:rsid w:val="00981F45"/>
    <w:rsid w:val="009862BD"/>
    <w:rsid w:val="00986607"/>
    <w:rsid w:val="00994D12"/>
    <w:rsid w:val="009A1159"/>
    <w:rsid w:val="009A1CEB"/>
    <w:rsid w:val="009B0A5A"/>
    <w:rsid w:val="009B128B"/>
    <w:rsid w:val="009B2259"/>
    <w:rsid w:val="009B606F"/>
    <w:rsid w:val="009C76ED"/>
    <w:rsid w:val="009D4918"/>
    <w:rsid w:val="009D7985"/>
    <w:rsid w:val="009E613E"/>
    <w:rsid w:val="009F0274"/>
    <w:rsid w:val="009F48BB"/>
    <w:rsid w:val="00A059F3"/>
    <w:rsid w:val="00A14881"/>
    <w:rsid w:val="00A16F07"/>
    <w:rsid w:val="00A24819"/>
    <w:rsid w:val="00A24F8C"/>
    <w:rsid w:val="00A32250"/>
    <w:rsid w:val="00A32838"/>
    <w:rsid w:val="00A44E93"/>
    <w:rsid w:val="00A62C7B"/>
    <w:rsid w:val="00A66BB4"/>
    <w:rsid w:val="00A710E5"/>
    <w:rsid w:val="00A7709A"/>
    <w:rsid w:val="00A870EF"/>
    <w:rsid w:val="00AA0238"/>
    <w:rsid w:val="00AB5E32"/>
    <w:rsid w:val="00AC13CE"/>
    <w:rsid w:val="00AC477A"/>
    <w:rsid w:val="00AC5AC9"/>
    <w:rsid w:val="00AD03B8"/>
    <w:rsid w:val="00AD1ACC"/>
    <w:rsid w:val="00AE0ABE"/>
    <w:rsid w:val="00AE1842"/>
    <w:rsid w:val="00AE3C7C"/>
    <w:rsid w:val="00AE6534"/>
    <w:rsid w:val="00AE768B"/>
    <w:rsid w:val="00AF0F82"/>
    <w:rsid w:val="00B10E5E"/>
    <w:rsid w:val="00B11B75"/>
    <w:rsid w:val="00B13D94"/>
    <w:rsid w:val="00B21A75"/>
    <w:rsid w:val="00B31306"/>
    <w:rsid w:val="00B42814"/>
    <w:rsid w:val="00B50E17"/>
    <w:rsid w:val="00B54C1D"/>
    <w:rsid w:val="00B615C0"/>
    <w:rsid w:val="00B67D9A"/>
    <w:rsid w:val="00B83936"/>
    <w:rsid w:val="00B87FD7"/>
    <w:rsid w:val="00BA3BE9"/>
    <w:rsid w:val="00BA77EF"/>
    <w:rsid w:val="00BB0323"/>
    <w:rsid w:val="00BB5DB7"/>
    <w:rsid w:val="00BB6944"/>
    <w:rsid w:val="00BD08D8"/>
    <w:rsid w:val="00BD4D79"/>
    <w:rsid w:val="00BD6EB7"/>
    <w:rsid w:val="00BF2E69"/>
    <w:rsid w:val="00C06913"/>
    <w:rsid w:val="00C07A77"/>
    <w:rsid w:val="00C1246C"/>
    <w:rsid w:val="00C16DAB"/>
    <w:rsid w:val="00C17C69"/>
    <w:rsid w:val="00C546B7"/>
    <w:rsid w:val="00C54D27"/>
    <w:rsid w:val="00C57FAC"/>
    <w:rsid w:val="00C61AE3"/>
    <w:rsid w:val="00C61FCC"/>
    <w:rsid w:val="00C75F58"/>
    <w:rsid w:val="00C76EEB"/>
    <w:rsid w:val="00C94EFD"/>
    <w:rsid w:val="00C959D2"/>
    <w:rsid w:val="00CA47D2"/>
    <w:rsid w:val="00CD4DAB"/>
    <w:rsid w:val="00CE137A"/>
    <w:rsid w:val="00D01F5A"/>
    <w:rsid w:val="00D03E4B"/>
    <w:rsid w:val="00D10029"/>
    <w:rsid w:val="00D13B9E"/>
    <w:rsid w:val="00D1716E"/>
    <w:rsid w:val="00D2559D"/>
    <w:rsid w:val="00D267AD"/>
    <w:rsid w:val="00D43163"/>
    <w:rsid w:val="00D64E05"/>
    <w:rsid w:val="00D671B4"/>
    <w:rsid w:val="00D738AB"/>
    <w:rsid w:val="00D74E36"/>
    <w:rsid w:val="00D92FD3"/>
    <w:rsid w:val="00DA3B6E"/>
    <w:rsid w:val="00DB7581"/>
    <w:rsid w:val="00DC70C1"/>
    <w:rsid w:val="00DD1EEF"/>
    <w:rsid w:val="00E00635"/>
    <w:rsid w:val="00E03519"/>
    <w:rsid w:val="00E11090"/>
    <w:rsid w:val="00E13989"/>
    <w:rsid w:val="00E220E1"/>
    <w:rsid w:val="00E2274C"/>
    <w:rsid w:val="00E26461"/>
    <w:rsid w:val="00E330BC"/>
    <w:rsid w:val="00E4077D"/>
    <w:rsid w:val="00E46D8B"/>
    <w:rsid w:val="00E50182"/>
    <w:rsid w:val="00E5329E"/>
    <w:rsid w:val="00E53750"/>
    <w:rsid w:val="00E53A5B"/>
    <w:rsid w:val="00E56BEA"/>
    <w:rsid w:val="00E65740"/>
    <w:rsid w:val="00E8337F"/>
    <w:rsid w:val="00E83C12"/>
    <w:rsid w:val="00E904C8"/>
    <w:rsid w:val="00EA1BBF"/>
    <w:rsid w:val="00EA77D0"/>
    <w:rsid w:val="00EB29A9"/>
    <w:rsid w:val="00EB77D2"/>
    <w:rsid w:val="00EC2206"/>
    <w:rsid w:val="00ED0B51"/>
    <w:rsid w:val="00ED1CF9"/>
    <w:rsid w:val="00ED214D"/>
    <w:rsid w:val="00EE0A19"/>
    <w:rsid w:val="00EF41BF"/>
    <w:rsid w:val="00F14852"/>
    <w:rsid w:val="00F15301"/>
    <w:rsid w:val="00F2542E"/>
    <w:rsid w:val="00F25A35"/>
    <w:rsid w:val="00F316C8"/>
    <w:rsid w:val="00F32A79"/>
    <w:rsid w:val="00F433CC"/>
    <w:rsid w:val="00F45FEC"/>
    <w:rsid w:val="00F46401"/>
    <w:rsid w:val="00F50FB1"/>
    <w:rsid w:val="00F51EE0"/>
    <w:rsid w:val="00F553AA"/>
    <w:rsid w:val="00F632DE"/>
    <w:rsid w:val="00F735E4"/>
    <w:rsid w:val="00F74821"/>
    <w:rsid w:val="00F74EF8"/>
    <w:rsid w:val="00F811DD"/>
    <w:rsid w:val="00F858A6"/>
    <w:rsid w:val="00FA22DE"/>
    <w:rsid w:val="00FA28E2"/>
    <w:rsid w:val="00FA5B1A"/>
    <w:rsid w:val="00FA7986"/>
    <w:rsid w:val="00FA7B22"/>
    <w:rsid w:val="00FB03D3"/>
    <w:rsid w:val="00FB7834"/>
    <w:rsid w:val="00FC1F38"/>
    <w:rsid w:val="00FC4BDE"/>
    <w:rsid w:val="00FD4ACC"/>
    <w:rsid w:val="00FD4B6A"/>
    <w:rsid w:val="00FE4795"/>
    <w:rsid w:val="00FF03A8"/>
    <w:rsid w:val="00FF3B04"/>
    <w:rsid w:val="00FF3F07"/>
    <w:rsid w:val="00FF63EA"/>
    <w:rsid w:val="00FF6B85"/>
    <w:rsid w:val="00FF7B2B"/>
    <w:rsid w:val="049ACE6D"/>
    <w:rsid w:val="0634E8B2"/>
    <w:rsid w:val="08FC7244"/>
    <w:rsid w:val="09862328"/>
    <w:rsid w:val="0B976E26"/>
    <w:rsid w:val="130FDF8D"/>
    <w:rsid w:val="13162D19"/>
    <w:rsid w:val="139D273A"/>
    <w:rsid w:val="157E0475"/>
    <w:rsid w:val="1730EB31"/>
    <w:rsid w:val="19F990F5"/>
    <w:rsid w:val="1AA7B175"/>
    <w:rsid w:val="1C22F1DA"/>
    <w:rsid w:val="1E6455E2"/>
    <w:rsid w:val="1EE1EF91"/>
    <w:rsid w:val="2D647786"/>
    <w:rsid w:val="2F02B677"/>
    <w:rsid w:val="35928D57"/>
    <w:rsid w:val="39FE011C"/>
    <w:rsid w:val="3DA21FB8"/>
    <w:rsid w:val="3F3A13D1"/>
    <w:rsid w:val="4245B78F"/>
    <w:rsid w:val="44B264CB"/>
    <w:rsid w:val="44C2D63F"/>
    <w:rsid w:val="477C7F6F"/>
    <w:rsid w:val="4961D3A0"/>
    <w:rsid w:val="49D577E9"/>
    <w:rsid w:val="4A75A873"/>
    <w:rsid w:val="541AF745"/>
    <w:rsid w:val="55D98C6F"/>
    <w:rsid w:val="5809C6E7"/>
    <w:rsid w:val="5939EB86"/>
    <w:rsid w:val="598F4E73"/>
    <w:rsid w:val="5FFE9422"/>
    <w:rsid w:val="656221E7"/>
    <w:rsid w:val="67D7897E"/>
    <w:rsid w:val="6936C6C0"/>
    <w:rsid w:val="6D673E6C"/>
    <w:rsid w:val="7135C0F1"/>
    <w:rsid w:val="794E85A8"/>
    <w:rsid w:val="79DA64E9"/>
    <w:rsid w:val="7AF60F70"/>
    <w:rsid w:val="7BAC582D"/>
    <w:rsid w:val="7C2C139A"/>
    <w:rsid w:val="7CC469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iPriority w:val="99"/>
    <w:qFormat/>
    <w:rsid w:val="00F858A6"/>
    <w:pPr>
      <w:keepLines/>
      <w:spacing w:after="60" w:line="240" w:lineRule="auto"/>
      <w:ind w:left="567" w:hanging="567"/>
      <w:jc w:val="both"/>
    </w:pPr>
    <w:rPr>
      <w:rFonts w:ascii="Times New Roman" w:eastAsia="Times New Roman" w:hAnsi="Times New Roman"/>
      <w:sz w:val="16"/>
      <w:lang w:val="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uiPriority w:val="99"/>
    <w:rsid w:val="00F858A6"/>
    <w:rPr>
      <w:rFonts w:ascii="Times New Roman" w:eastAsia="Times New Roman" w:hAnsi="Times New Roman"/>
      <w:sz w:val="16"/>
      <w:szCs w:val="22"/>
      <w:lang w:val="en-US" w:eastAsia="en-US"/>
    </w:rPr>
  </w:style>
  <w:style w:type="character" w:styleId="FootnoteReference">
    <w:name w:val="footnote reference"/>
    <w:aliases w:val="Footnote symbol"/>
    <w:uiPriority w:val="99"/>
    <w:unhideWhenUsed/>
    <w:qFormat/>
    <w:rsid w:val="00F858A6"/>
    <w:rPr>
      <w:sz w:val="24"/>
      <w:vertAlign w:val="superscript"/>
    </w:rPr>
  </w:style>
  <w:style w:type="character" w:styleId="Hyperlink">
    <w:name w:val="Hyperlink"/>
    <w:uiPriority w:val="99"/>
    <w:rsid w:val="00F858A6"/>
    <w:rPr>
      <w:color w:val="0000FF"/>
      <w:u w:val="single"/>
    </w:rPr>
  </w:style>
  <w:style w:type="paragraph" w:styleId="ListParagraph">
    <w:name w:val="List Paragraph"/>
    <w:basedOn w:val="Normal"/>
    <w:uiPriority w:val="34"/>
    <w:qFormat/>
    <w:rsid w:val="00F858A6"/>
    <w:pPr>
      <w:spacing w:after="0" w:line="288" w:lineRule="auto"/>
      <w:ind w:left="720"/>
      <w:contextualSpacing/>
      <w:jc w:val="both"/>
    </w:pPr>
    <w:rPr>
      <w:rFonts w:ascii="Times New Roman" w:eastAsia="Times New Roman" w:hAnsi="Times New Roman"/>
      <w:lang w:val="en-US"/>
    </w:rPr>
  </w:style>
  <w:style w:type="paragraph" w:styleId="NormalWeb">
    <w:name w:val="Normal (Web)"/>
    <w:basedOn w:val="Normal"/>
    <w:uiPriority w:val="99"/>
    <w:semiHidden/>
    <w:unhideWhenUsed/>
    <w:rsid w:val="00F858A6"/>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UnresolvedMention">
    <w:name w:val="Unresolved Mention"/>
    <w:uiPriority w:val="99"/>
    <w:semiHidden/>
    <w:unhideWhenUsed/>
    <w:rsid w:val="00F858A6"/>
    <w:rPr>
      <w:color w:val="605E5C"/>
      <w:shd w:val="clear" w:color="auto" w:fill="E1DFDD"/>
    </w:rPr>
  </w:style>
  <w:style w:type="paragraph" w:styleId="Revision">
    <w:name w:val="Revision"/>
    <w:hidden/>
    <w:uiPriority w:val="99"/>
    <w:semiHidden/>
    <w:rsid w:val="00C959D2"/>
    <w:rPr>
      <w:sz w:val="22"/>
      <w:szCs w:val="22"/>
      <w:lang w:val="en-GB" w:eastAsia="en-US"/>
    </w:rPr>
  </w:style>
  <w:style w:type="character" w:styleId="FollowedHyperlink">
    <w:name w:val="FollowedHyperlink"/>
    <w:uiPriority w:val="99"/>
    <w:semiHidden/>
    <w:unhideWhenUsed/>
    <w:rsid w:val="00C959D2"/>
    <w:rPr>
      <w:color w:val="954F72"/>
      <w:u w:val="single"/>
    </w:rPr>
  </w:style>
  <w:style w:type="paragraph" w:styleId="Header">
    <w:name w:val="header"/>
    <w:basedOn w:val="Normal"/>
    <w:link w:val="HeaderChar"/>
    <w:uiPriority w:val="99"/>
    <w:unhideWhenUsed/>
    <w:rsid w:val="00D671B4"/>
    <w:pPr>
      <w:tabs>
        <w:tab w:val="center" w:pos="4513"/>
        <w:tab w:val="right" w:pos="9026"/>
      </w:tabs>
    </w:pPr>
  </w:style>
  <w:style w:type="character" w:customStyle="1" w:styleId="HeaderChar">
    <w:name w:val="Header Char"/>
    <w:link w:val="Header"/>
    <w:uiPriority w:val="99"/>
    <w:rsid w:val="00D671B4"/>
    <w:rPr>
      <w:sz w:val="22"/>
      <w:szCs w:val="22"/>
      <w:lang w:val="en-GB" w:eastAsia="en-US"/>
    </w:rPr>
  </w:style>
  <w:style w:type="paragraph" w:styleId="Footer">
    <w:name w:val="footer"/>
    <w:basedOn w:val="Normal"/>
    <w:link w:val="FooterChar"/>
    <w:uiPriority w:val="99"/>
    <w:unhideWhenUsed/>
    <w:rsid w:val="00D671B4"/>
    <w:pPr>
      <w:tabs>
        <w:tab w:val="center" w:pos="4513"/>
        <w:tab w:val="right" w:pos="9026"/>
      </w:tabs>
    </w:pPr>
  </w:style>
  <w:style w:type="character" w:customStyle="1" w:styleId="FooterChar">
    <w:name w:val="Footer Char"/>
    <w:link w:val="Footer"/>
    <w:uiPriority w:val="99"/>
    <w:rsid w:val="00D671B4"/>
    <w:rPr>
      <w:sz w:val="22"/>
      <w:szCs w:val="22"/>
      <w:lang w:val="en-GB" w:eastAsia="en-US"/>
    </w:rPr>
  </w:style>
  <w:style w:type="character" w:styleId="CommentReference">
    <w:name w:val="annotation reference"/>
    <w:uiPriority w:val="99"/>
    <w:semiHidden/>
    <w:unhideWhenUsed/>
    <w:rsid w:val="00AC13CE"/>
    <w:rPr>
      <w:sz w:val="16"/>
      <w:szCs w:val="16"/>
    </w:rPr>
  </w:style>
  <w:style w:type="paragraph" w:styleId="CommentText">
    <w:name w:val="annotation text"/>
    <w:basedOn w:val="Normal"/>
    <w:link w:val="CommentTextChar"/>
    <w:uiPriority w:val="99"/>
    <w:unhideWhenUsed/>
    <w:rsid w:val="00AC13CE"/>
    <w:rPr>
      <w:sz w:val="20"/>
      <w:szCs w:val="20"/>
    </w:rPr>
  </w:style>
  <w:style w:type="character" w:customStyle="1" w:styleId="CommentTextChar">
    <w:name w:val="Comment Text Char"/>
    <w:link w:val="CommentText"/>
    <w:uiPriority w:val="99"/>
    <w:rsid w:val="00AC13CE"/>
    <w:rPr>
      <w:lang w:val="en-GB" w:eastAsia="en-US"/>
    </w:rPr>
  </w:style>
  <w:style w:type="paragraph" w:styleId="CommentSubject">
    <w:name w:val="annotation subject"/>
    <w:basedOn w:val="CommentText"/>
    <w:next w:val="CommentText"/>
    <w:link w:val="CommentSubjectChar"/>
    <w:uiPriority w:val="99"/>
    <w:semiHidden/>
    <w:unhideWhenUsed/>
    <w:rsid w:val="00AC13CE"/>
    <w:rPr>
      <w:b/>
      <w:bCs/>
    </w:rPr>
  </w:style>
  <w:style w:type="character" w:customStyle="1" w:styleId="CommentSubjectChar">
    <w:name w:val="Comment Subject Char"/>
    <w:link w:val="CommentSubject"/>
    <w:uiPriority w:val="99"/>
    <w:semiHidden/>
    <w:rsid w:val="00AC13C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00018">
      <w:bodyDiv w:val="1"/>
      <w:marLeft w:val="0"/>
      <w:marRight w:val="0"/>
      <w:marTop w:val="0"/>
      <w:marBottom w:val="0"/>
      <w:divBdr>
        <w:top w:val="none" w:sz="0" w:space="0" w:color="auto"/>
        <w:left w:val="none" w:sz="0" w:space="0" w:color="auto"/>
        <w:bottom w:val="none" w:sz="0" w:space="0" w:color="auto"/>
        <w:right w:val="none" w:sz="0" w:space="0" w:color="auto"/>
      </w:divBdr>
    </w:div>
    <w:div w:id="1206525368">
      <w:bodyDiv w:val="1"/>
      <w:marLeft w:val="0"/>
      <w:marRight w:val="0"/>
      <w:marTop w:val="0"/>
      <w:marBottom w:val="0"/>
      <w:divBdr>
        <w:top w:val="none" w:sz="0" w:space="0" w:color="auto"/>
        <w:left w:val="none" w:sz="0" w:space="0" w:color="auto"/>
        <w:bottom w:val="none" w:sz="0" w:space="0" w:color="auto"/>
        <w:right w:val="none" w:sz="0" w:space="0" w:color="auto"/>
      </w:divBdr>
    </w:div>
    <w:div w:id="197139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CELEX:52024DC0123" TargetMode="External"/><Relationship Id="rId3" Type="http://schemas.openxmlformats.org/officeDocument/2006/relationships/hyperlink" Target="https://osha.europa.eu/sites/default/files/green-jobs-new-technologies-summary_en.pdf" TargetMode="External"/><Relationship Id="rId7" Type="http://schemas.openxmlformats.org/officeDocument/2006/relationships/hyperlink" Target="https://eur-lex.europa.eu/legal-content/EN/TXT/?uri=COM:2022:494:FIN" TargetMode="External"/><Relationship Id="rId2" Type="http://schemas.openxmlformats.org/officeDocument/2006/relationships/hyperlink" Target="https://oshwiki.osha.europa.eu/en/themes/health-and-safety-workers-green-jobs" TargetMode="External"/><Relationship Id="rId1" Type="http://schemas.openxmlformats.org/officeDocument/2006/relationships/hyperlink" Target="https://eur-lex.europa.eu/legal-content/EN/TXT/?uri=CELEX:32022H0627%2804%29" TargetMode="External"/><Relationship Id="rId6" Type="http://schemas.openxmlformats.org/officeDocument/2006/relationships/hyperlink" Target="https://ec.europa.eu/social/BlobServlet?docId=27473&amp;langId=en" TargetMode="External"/><Relationship Id="rId5" Type="http://schemas.openxmlformats.org/officeDocument/2006/relationships/hyperlink" Target="https://eur-lex.europa.eu/eli/reg/2004/883/oj/eng" TargetMode="External"/><Relationship Id="rId10" Type="http://schemas.openxmlformats.org/officeDocument/2006/relationships/hyperlink" Target="https://urban-mobility-observatory.transport.ec.europa.eu/news-events/news/european-commission-publishes-final-report-transport-poverty-2024-12-11_en" TargetMode="External"/><Relationship Id="rId4" Type="http://schemas.openxmlformats.org/officeDocument/2006/relationships/hyperlink" Target="https://eur-lex.europa.eu/legal-content/EN/ALL/?uri=celex%3A31989L0391" TargetMode="External"/><Relationship Id="rId9" Type="http://schemas.openxmlformats.org/officeDocument/2006/relationships/hyperlink" Target="https://employment-social-affairs.ec.europa.eu/news/access-essential-services-key-challenges-most-vulnerable-report-2023-06-28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BCE59-157B-4EDF-9D42-0C1EA564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2531</Words>
  <Characters>14885</Characters>
  <Application>Microsoft Office Word</Application>
  <DocSecurity>0</DocSecurity>
  <Lines>209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2026-01-09T08:18:00Z</dcterms:created>
  <dcterms:modified xsi:type="dcterms:W3CDTF">2026-01-09T08:18:00Z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2025-01-30T10:48:38Z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a416f1d4-36a6-4fae-af9a-d640429bec44</vt:lpwstr>
  </property>
  <property fmtid="{D5CDD505-2E9C-101B-9397-08002B2CF9AE}" pid="8" name="MSIP_Label_6bd9ddd1-4d20-43f6-abfa-fc3c07406f94_ContentBits">
    <vt:lpwstr>0</vt:lpwstr>
  </property>
</Properties>
</file>