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2469DC9C" w:rsidR="004D7AC0" w:rsidRDefault="001B4202" w:rsidP="004D7AC0">
      <w:pPr>
        <w:jc w:val="center"/>
      </w:pPr>
      <w:r>
        <w:rPr>
          <w:noProof/>
        </w:rPr>
        <w:drawing>
          <wp:inline distT="0" distB="0" distL="0" distR="0" wp14:anchorId="5D8C7463" wp14:editId="1E044222">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0C41006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Bryssel den 17 december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601:a plenarsessionen</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och 4 december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SAMMANFATTNING AV ANTAGNA YTTRANDEN, RESOLUTIONER OCH INFORMATIONS- OCH UTVÄRDERINGSRAPPORTER</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r>
              <w:br/>
            </w:r>
            <w:r>
              <w:br/>
            </w:r>
            <w:hyperlink r:id="rId12" w:history="1">
              <w:r>
                <w:rPr>
                  <w:rStyle w:val="Hyperlink"/>
                </w:rPr>
                <w:t>https://www.eesc.europa.eu/sv/our-work/opinions-information-reports/plenary-session-summaries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De yttranden som tas upp finns tillgängliga på internet via </w:t>
            </w:r>
            <w:proofErr w:type="spellStart"/>
            <w:r>
              <w:t>EESK:s</w:t>
            </w:r>
            <w:proofErr w:type="spellEnd"/>
            <w:r>
              <w:t xml:space="preserve"> sökmotor:</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Innehåll:</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54AFC493" w14:textId="42CE3320" w:rsidR="00427709"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7055360" w:history="1">
            <w:r w:rsidR="00427709" w:rsidRPr="00A3494E">
              <w:rPr>
                <w:rStyle w:val="Hyperlink"/>
                <w:b/>
                <w:noProof/>
              </w:rPr>
              <w:t>1.</w:t>
            </w:r>
            <w:r w:rsidR="00427709">
              <w:rPr>
                <w:rFonts w:asciiTheme="minorHAnsi" w:eastAsiaTheme="minorEastAsia" w:hAnsiTheme="minorHAnsi" w:cstheme="minorBidi"/>
                <w:noProof/>
                <w:lang w:val="en-US"/>
              </w:rPr>
              <w:tab/>
            </w:r>
            <w:r w:rsidR="00427709" w:rsidRPr="00A3494E">
              <w:rPr>
                <w:rStyle w:val="Hyperlink"/>
                <w:b/>
                <w:noProof/>
              </w:rPr>
              <w:t>EKONOMISKA OCH MONETÄRA UNIONEN, EKONOMISK OCH SOCIAL SAMMANHÅLLNING</w:t>
            </w:r>
            <w:r w:rsidR="00427709">
              <w:rPr>
                <w:noProof/>
                <w:webHidden/>
              </w:rPr>
              <w:tab/>
            </w:r>
            <w:r w:rsidR="00427709">
              <w:rPr>
                <w:noProof/>
                <w:webHidden/>
              </w:rPr>
              <w:fldChar w:fldCharType="begin"/>
            </w:r>
            <w:r w:rsidR="00427709">
              <w:rPr>
                <w:noProof/>
                <w:webHidden/>
              </w:rPr>
              <w:instrText xml:space="preserve"> PAGEREF _Toc217055360 \h </w:instrText>
            </w:r>
            <w:r w:rsidR="00427709">
              <w:rPr>
                <w:noProof/>
                <w:webHidden/>
              </w:rPr>
            </w:r>
            <w:r w:rsidR="00427709">
              <w:rPr>
                <w:noProof/>
                <w:webHidden/>
              </w:rPr>
              <w:fldChar w:fldCharType="separate"/>
            </w:r>
            <w:r w:rsidR="00427709">
              <w:rPr>
                <w:noProof/>
                <w:webHidden/>
              </w:rPr>
              <w:t>3</w:t>
            </w:r>
            <w:r w:rsidR="00427709">
              <w:rPr>
                <w:noProof/>
                <w:webHidden/>
              </w:rPr>
              <w:fldChar w:fldCharType="end"/>
            </w:r>
          </w:hyperlink>
        </w:p>
        <w:p w14:paraId="76150BB9" w14:textId="48EC416C"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61" w:history="1">
            <w:r w:rsidRPr="00A3494E">
              <w:rPr>
                <w:rStyle w:val="Hyperlink"/>
                <w:b/>
                <w:noProof/>
              </w:rPr>
              <w:t>2.</w:t>
            </w:r>
            <w:r>
              <w:rPr>
                <w:rFonts w:asciiTheme="minorHAnsi" w:eastAsiaTheme="minorEastAsia" w:hAnsiTheme="minorHAnsi" w:cstheme="minorBidi"/>
                <w:noProof/>
                <w:lang w:val="en-US"/>
              </w:rPr>
              <w:tab/>
            </w:r>
            <w:r w:rsidRPr="00A3494E">
              <w:rPr>
                <w:rStyle w:val="Hyperlink"/>
                <w:b/>
                <w:noProof/>
              </w:rPr>
              <w:t>SYSSELSÄTTNING, SOCIALA FRÅGOR OCH MEDBORGARNA</w:t>
            </w:r>
            <w:r>
              <w:rPr>
                <w:noProof/>
                <w:webHidden/>
              </w:rPr>
              <w:tab/>
            </w:r>
            <w:r>
              <w:rPr>
                <w:noProof/>
                <w:webHidden/>
              </w:rPr>
              <w:fldChar w:fldCharType="begin"/>
            </w:r>
            <w:r>
              <w:rPr>
                <w:noProof/>
                <w:webHidden/>
              </w:rPr>
              <w:instrText xml:space="preserve"> PAGEREF _Toc217055361 \h </w:instrText>
            </w:r>
            <w:r>
              <w:rPr>
                <w:noProof/>
                <w:webHidden/>
              </w:rPr>
            </w:r>
            <w:r>
              <w:rPr>
                <w:noProof/>
                <w:webHidden/>
              </w:rPr>
              <w:fldChar w:fldCharType="separate"/>
            </w:r>
            <w:r>
              <w:rPr>
                <w:noProof/>
                <w:webHidden/>
              </w:rPr>
              <w:t>7</w:t>
            </w:r>
            <w:r>
              <w:rPr>
                <w:noProof/>
                <w:webHidden/>
              </w:rPr>
              <w:fldChar w:fldCharType="end"/>
            </w:r>
          </w:hyperlink>
        </w:p>
        <w:p w14:paraId="7135063A" w14:textId="7267E1CF"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66" w:history="1">
            <w:r w:rsidRPr="00A3494E">
              <w:rPr>
                <w:rStyle w:val="Hyperlink"/>
                <w:b/>
                <w:noProof/>
              </w:rPr>
              <w:t>3.</w:t>
            </w:r>
            <w:r>
              <w:rPr>
                <w:rFonts w:asciiTheme="minorHAnsi" w:eastAsiaTheme="minorEastAsia" w:hAnsiTheme="minorHAnsi" w:cstheme="minorBidi"/>
                <w:noProof/>
                <w:lang w:val="en-US"/>
              </w:rPr>
              <w:tab/>
            </w:r>
            <w:r w:rsidRPr="00A3494E">
              <w:rPr>
                <w:rStyle w:val="Hyperlink"/>
                <w:b/>
                <w:noProof/>
              </w:rPr>
              <w:t>TRANSPORTER, ENERGI, INFRASTRUKTUR OCH INFORMATIONSSAMHÄLLET</w:t>
            </w:r>
            <w:r>
              <w:rPr>
                <w:noProof/>
                <w:webHidden/>
              </w:rPr>
              <w:tab/>
            </w:r>
            <w:r>
              <w:rPr>
                <w:noProof/>
                <w:webHidden/>
              </w:rPr>
              <w:fldChar w:fldCharType="begin"/>
            </w:r>
            <w:r>
              <w:rPr>
                <w:noProof/>
                <w:webHidden/>
              </w:rPr>
              <w:instrText xml:space="preserve"> PAGEREF _Toc217055366 \h </w:instrText>
            </w:r>
            <w:r>
              <w:rPr>
                <w:noProof/>
                <w:webHidden/>
              </w:rPr>
            </w:r>
            <w:r>
              <w:rPr>
                <w:noProof/>
                <w:webHidden/>
              </w:rPr>
              <w:fldChar w:fldCharType="separate"/>
            </w:r>
            <w:r>
              <w:rPr>
                <w:noProof/>
                <w:webHidden/>
              </w:rPr>
              <w:t>11</w:t>
            </w:r>
            <w:r>
              <w:rPr>
                <w:noProof/>
                <w:webHidden/>
              </w:rPr>
              <w:fldChar w:fldCharType="end"/>
            </w:r>
          </w:hyperlink>
        </w:p>
        <w:p w14:paraId="1A3CD2D6" w14:textId="66FD75BB"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67" w:history="1">
            <w:r w:rsidRPr="00A3494E">
              <w:rPr>
                <w:rStyle w:val="Hyperlink"/>
                <w:b/>
                <w:noProof/>
              </w:rPr>
              <w:t>4.</w:t>
            </w:r>
            <w:r>
              <w:rPr>
                <w:rFonts w:asciiTheme="minorHAnsi" w:eastAsiaTheme="minorEastAsia" w:hAnsiTheme="minorHAnsi" w:cstheme="minorBidi"/>
                <w:noProof/>
                <w:lang w:val="en-US"/>
              </w:rPr>
              <w:tab/>
            </w:r>
            <w:r w:rsidRPr="00A3494E">
              <w:rPr>
                <w:rStyle w:val="Hyperlink"/>
                <w:b/>
                <w:noProof/>
              </w:rPr>
              <w:t>INRE MARKNADEN, PRODUKTION OCH KONSUMTION</w:t>
            </w:r>
            <w:r>
              <w:rPr>
                <w:noProof/>
                <w:webHidden/>
              </w:rPr>
              <w:tab/>
            </w:r>
            <w:r>
              <w:rPr>
                <w:noProof/>
                <w:webHidden/>
              </w:rPr>
              <w:fldChar w:fldCharType="begin"/>
            </w:r>
            <w:r>
              <w:rPr>
                <w:noProof/>
                <w:webHidden/>
              </w:rPr>
              <w:instrText xml:space="preserve"> PAGEREF _Toc217055367 \h </w:instrText>
            </w:r>
            <w:r>
              <w:rPr>
                <w:noProof/>
                <w:webHidden/>
              </w:rPr>
            </w:r>
            <w:r>
              <w:rPr>
                <w:noProof/>
                <w:webHidden/>
              </w:rPr>
              <w:fldChar w:fldCharType="separate"/>
            </w:r>
            <w:r>
              <w:rPr>
                <w:noProof/>
                <w:webHidden/>
              </w:rPr>
              <w:t>14</w:t>
            </w:r>
            <w:r>
              <w:rPr>
                <w:noProof/>
                <w:webHidden/>
              </w:rPr>
              <w:fldChar w:fldCharType="end"/>
            </w:r>
          </w:hyperlink>
        </w:p>
        <w:p w14:paraId="2A7127A5" w14:textId="55481205"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68" w:history="1">
            <w:r w:rsidRPr="00A3494E">
              <w:rPr>
                <w:rStyle w:val="Hyperlink"/>
                <w:b/>
                <w:noProof/>
              </w:rPr>
              <w:t>5.</w:t>
            </w:r>
            <w:r>
              <w:rPr>
                <w:rFonts w:asciiTheme="minorHAnsi" w:eastAsiaTheme="minorEastAsia" w:hAnsiTheme="minorHAnsi" w:cstheme="minorBidi"/>
                <w:noProof/>
                <w:lang w:val="en-US"/>
              </w:rPr>
              <w:tab/>
            </w:r>
            <w:r w:rsidRPr="00A3494E">
              <w:rPr>
                <w:rStyle w:val="Hyperlink"/>
                <w:b/>
                <w:noProof/>
              </w:rPr>
              <w:t>JORDBRUK, LANDSBYGDSUTVECKLING OCH MILJÖ</w:t>
            </w:r>
            <w:r>
              <w:rPr>
                <w:noProof/>
                <w:webHidden/>
              </w:rPr>
              <w:tab/>
            </w:r>
            <w:r>
              <w:rPr>
                <w:noProof/>
                <w:webHidden/>
              </w:rPr>
              <w:fldChar w:fldCharType="begin"/>
            </w:r>
            <w:r>
              <w:rPr>
                <w:noProof/>
                <w:webHidden/>
              </w:rPr>
              <w:instrText xml:space="preserve"> PAGEREF _Toc217055368 \h </w:instrText>
            </w:r>
            <w:r>
              <w:rPr>
                <w:noProof/>
                <w:webHidden/>
              </w:rPr>
            </w:r>
            <w:r>
              <w:rPr>
                <w:noProof/>
                <w:webHidden/>
              </w:rPr>
              <w:fldChar w:fldCharType="separate"/>
            </w:r>
            <w:r>
              <w:rPr>
                <w:noProof/>
                <w:webHidden/>
              </w:rPr>
              <w:t>19</w:t>
            </w:r>
            <w:r>
              <w:rPr>
                <w:noProof/>
                <w:webHidden/>
              </w:rPr>
              <w:fldChar w:fldCharType="end"/>
            </w:r>
          </w:hyperlink>
        </w:p>
        <w:p w14:paraId="520ABEDB" w14:textId="0B7363CE"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69" w:history="1">
            <w:r w:rsidRPr="00A3494E">
              <w:rPr>
                <w:rStyle w:val="Hyperlink"/>
                <w:b/>
                <w:noProof/>
              </w:rPr>
              <w:t>6.</w:t>
            </w:r>
            <w:r>
              <w:rPr>
                <w:rFonts w:asciiTheme="minorHAnsi" w:eastAsiaTheme="minorEastAsia" w:hAnsiTheme="minorHAnsi" w:cstheme="minorBidi"/>
                <w:noProof/>
                <w:lang w:val="en-US"/>
              </w:rPr>
              <w:tab/>
            </w:r>
            <w:r w:rsidRPr="00A3494E">
              <w:rPr>
                <w:rStyle w:val="Hyperlink"/>
                <w:b/>
                <w:noProof/>
              </w:rPr>
              <w:t>YTTRE FÖRBINDELSER</w:t>
            </w:r>
            <w:r>
              <w:rPr>
                <w:noProof/>
                <w:webHidden/>
              </w:rPr>
              <w:tab/>
            </w:r>
            <w:r>
              <w:rPr>
                <w:noProof/>
                <w:webHidden/>
              </w:rPr>
              <w:fldChar w:fldCharType="begin"/>
            </w:r>
            <w:r>
              <w:rPr>
                <w:noProof/>
                <w:webHidden/>
              </w:rPr>
              <w:instrText xml:space="preserve"> PAGEREF _Toc217055369 \h </w:instrText>
            </w:r>
            <w:r>
              <w:rPr>
                <w:noProof/>
                <w:webHidden/>
              </w:rPr>
            </w:r>
            <w:r>
              <w:rPr>
                <w:noProof/>
                <w:webHidden/>
              </w:rPr>
              <w:fldChar w:fldCharType="separate"/>
            </w:r>
            <w:r>
              <w:rPr>
                <w:noProof/>
                <w:webHidden/>
              </w:rPr>
              <w:t>21</w:t>
            </w:r>
            <w:r>
              <w:rPr>
                <w:noProof/>
                <w:webHidden/>
              </w:rPr>
              <w:fldChar w:fldCharType="end"/>
            </w:r>
          </w:hyperlink>
        </w:p>
        <w:p w14:paraId="0148B034" w14:textId="7A8B07C7" w:rsidR="00427709" w:rsidRDefault="00427709">
          <w:pPr>
            <w:pStyle w:val="TOC1"/>
            <w:tabs>
              <w:tab w:val="left" w:pos="440"/>
              <w:tab w:val="right" w:leader="dot" w:pos="9063"/>
            </w:tabs>
            <w:rPr>
              <w:rFonts w:asciiTheme="minorHAnsi" w:eastAsiaTheme="minorEastAsia" w:hAnsiTheme="minorHAnsi" w:cstheme="minorBidi"/>
              <w:noProof/>
              <w:lang w:val="en-US"/>
            </w:rPr>
          </w:pPr>
          <w:hyperlink w:anchor="_Toc217055370" w:history="1">
            <w:r w:rsidRPr="00A3494E">
              <w:rPr>
                <w:rStyle w:val="Hyperlink"/>
                <w:b/>
                <w:noProof/>
              </w:rPr>
              <w:t>7.</w:t>
            </w:r>
            <w:r>
              <w:rPr>
                <w:rFonts w:asciiTheme="minorHAnsi" w:eastAsiaTheme="minorEastAsia" w:hAnsiTheme="minorHAnsi" w:cstheme="minorBidi"/>
                <w:noProof/>
                <w:lang w:val="en-US"/>
              </w:rPr>
              <w:tab/>
            </w:r>
            <w:r w:rsidRPr="00A3494E">
              <w:rPr>
                <w:rStyle w:val="Hyperlink"/>
                <w:b/>
                <w:noProof/>
              </w:rPr>
              <w:t>RÅDGIVANDE UTSKOTTET FÖR INDUSTRIELL OMVANDLING</w:t>
            </w:r>
            <w:r>
              <w:rPr>
                <w:noProof/>
                <w:webHidden/>
              </w:rPr>
              <w:tab/>
            </w:r>
            <w:r>
              <w:rPr>
                <w:noProof/>
                <w:webHidden/>
              </w:rPr>
              <w:fldChar w:fldCharType="begin"/>
            </w:r>
            <w:r>
              <w:rPr>
                <w:noProof/>
                <w:webHidden/>
              </w:rPr>
              <w:instrText xml:space="preserve"> PAGEREF _Toc217055370 \h </w:instrText>
            </w:r>
            <w:r>
              <w:rPr>
                <w:noProof/>
                <w:webHidden/>
              </w:rPr>
            </w:r>
            <w:r>
              <w:rPr>
                <w:noProof/>
                <w:webHidden/>
              </w:rPr>
              <w:fldChar w:fldCharType="separate"/>
            </w:r>
            <w:r>
              <w:rPr>
                <w:noProof/>
                <w:webHidden/>
              </w:rPr>
              <w:t>24</w:t>
            </w:r>
            <w:r>
              <w:rPr>
                <w:noProof/>
                <w:webHidden/>
              </w:rPr>
              <w:fldChar w:fldCharType="end"/>
            </w:r>
          </w:hyperlink>
        </w:p>
        <w:p w14:paraId="4982DD6A" w14:textId="5C9C69CB"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7055360"/>
      <w:r>
        <w:rPr>
          <w:b/>
        </w:rPr>
        <w:lastRenderedPageBreak/>
        <w:t>EKONOMISKA OCH MONETÄRA UNIONEN, EKONOMISK OCH SOCIAL SAMMANHÅLLNING</w:t>
      </w:r>
      <w:bookmarkEnd w:id="0"/>
    </w:p>
    <w:p w14:paraId="4982DD6E" w14:textId="77777777" w:rsidR="004D7AC0" w:rsidRDefault="004D7AC0" w:rsidP="004D7AC0"/>
    <w:p w14:paraId="7E506423" w14:textId="4B34D16E" w:rsidR="00612898" w:rsidRPr="00612898" w:rsidRDefault="00D96ED9"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1B4202">
          <w:rPr>
            <w:b/>
            <w:i/>
            <w:color w:val="0000FF"/>
            <w:sz w:val="28"/>
            <w:u w:val="single"/>
          </w:rPr>
          <w:t>Genomförandet av EU:s makroregionala strategier – 5.e rapporten</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27"/>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Föredragande:</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r>
              <w:t>Stefano Palmieri (Arbetstagargruppen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Referensdokument:</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COM(2025) 191 final</w:t>
            </w:r>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COM(2025) 196 final</w:t>
            </w:r>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Huvudpunkter</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24A9DB7C" w14:textId="77777777" w:rsidR="007D364E" w:rsidRDefault="007D364E" w:rsidP="007D364E">
      <w:proofErr w:type="spellStart"/>
      <w:r>
        <w:t>EESK:s</w:t>
      </w:r>
      <w:proofErr w:type="spellEnd"/>
      <w:r>
        <w:t xml:space="preserve"> ståndpunkt:</w:t>
      </w:r>
    </w:p>
    <w:p w14:paraId="2355E6A9" w14:textId="77777777" w:rsidR="007D364E" w:rsidRDefault="007D364E" w:rsidP="007D364E">
      <w:pPr>
        <w:rPr>
          <w:bCs/>
          <w:iCs/>
        </w:rPr>
      </w:pPr>
    </w:p>
    <w:p w14:paraId="317EA73B" w14:textId="77777777" w:rsidR="007D364E" w:rsidRDefault="007D364E" w:rsidP="007D364E">
      <w:pPr>
        <w:pStyle w:val="ListParagraph"/>
        <w:numPr>
          <w:ilvl w:val="0"/>
          <w:numId w:val="5"/>
        </w:numPr>
        <w:overflowPunct w:val="0"/>
        <w:autoSpaceDE w:val="0"/>
        <w:autoSpaceDN w:val="0"/>
        <w:adjustRightInd w:val="0"/>
        <w:textAlignment w:val="baseline"/>
      </w:pPr>
      <w:r>
        <w:t xml:space="preserve">EESK erkänner de makroregionala strategiernas roll när det gäller att skapa synergier på flera nivåer mellan politik, program och aktörer. De har stött den gröna och den digitala omställningen och lett till utvecklingen av betydande </w:t>
      </w:r>
      <w:proofErr w:type="spellStart"/>
      <w:r>
        <w:t>resiliens</w:t>
      </w:r>
      <w:proofErr w:type="spellEnd"/>
      <w:r>
        <w:t xml:space="preserve"> och solidaritet under pandemin och de pågående kriserna.</w:t>
      </w:r>
    </w:p>
    <w:p w14:paraId="62E240FF" w14:textId="77777777" w:rsidR="007D364E" w:rsidRDefault="007D364E" w:rsidP="007D364E">
      <w:pPr>
        <w:pStyle w:val="ListParagraph"/>
        <w:numPr>
          <w:ilvl w:val="0"/>
          <w:numId w:val="5"/>
        </w:numPr>
        <w:overflowPunct w:val="0"/>
        <w:autoSpaceDE w:val="0"/>
        <w:autoSpaceDN w:val="0"/>
        <w:adjustRightInd w:val="0"/>
        <w:textAlignment w:val="baseline"/>
      </w:pPr>
      <w:r>
        <w:t>EESK efterlyser en förstärkning av det vertikala och horisontella flernivåstyret genom att säkerställa att lokala strukturer deltar.</w:t>
      </w:r>
    </w:p>
    <w:p w14:paraId="1CE46A2E" w14:textId="77777777" w:rsidR="007D364E" w:rsidRDefault="007D364E" w:rsidP="007D364E">
      <w:pPr>
        <w:pStyle w:val="ListParagraph"/>
        <w:numPr>
          <w:ilvl w:val="0"/>
          <w:numId w:val="5"/>
        </w:numPr>
        <w:overflowPunct w:val="0"/>
        <w:autoSpaceDE w:val="0"/>
        <w:autoSpaceDN w:val="0"/>
        <w:adjustRightInd w:val="0"/>
        <w:textAlignment w:val="baseline"/>
      </w:pPr>
      <w:r>
        <w:t>EESK välkomnar översynsprocesserna och efterlyser en förstärkning av den sociala dimensionen, medborgardeltagandet (inklusive av ungdomar) och det interregionala samarbetet. De makroregionala strategierna måste fungera som laboratorier för social delaktighet och social innovation och stödja miljöbeskattning och humankapital.</w:t>
      </w:r>
    </w:p>
    <w:p w14:paraId="01CA1DA3" w14:textId="77777777" w:rsidR="007D364E" w:rsidRDefault="007D364E" w:rsidP="007D364E">
      <w:pPr>
        <w:pStyle w:val="ListParagraph"/>
        <w:numPr>
          <w:ilvl w:val="0"/>
          <w:numId w:val="5"/>
        </w:numPr>
        <w:overflowPunct w:val="0"/>
        <w:autoSpaceDE w:val="0"/>
        <w:autoSpaceDN w:val="0"/>
        <w:adjustRightInd w:val="0"/>
        <w:textAlignment w:val="baseline"/>
      </w:pPr>
      <w:r>
        <w:t>Kommittén noterar resultaten av den makroregionala strategin för Östersjön (EU:s strategi för Östersjöregionen), som har främjat hållbarhet och förbindelser i Östersjöregionen. Genom 2021 års översyn, med deltagande av centrumet för Östersjöstrategin (BSP), stärktes samarbetet och förvaltningen. Kontakterna med Ryssland och Belarus har avbrutits, men strategin är fortfarande giltig.</w:t>
      </w:r>
    </w:p>
    <w:p w14:paraId="41DFAF29" w14:textId="77777777" w:rsidR="007D364E" w:rsidRDefault="007D364E" w:rsidP="007D364E">
      <w:pPr>
        <w:pStyle w:val="ListParagraph"/>
        <w:numPr>
          <w:ilvl w:val="0"/>
          <w:numId w:val="5"/>
        </w:numPr>
        <w:overflowPunct w:val="0"/>
        <w:autoSpaceDE w:val="0"/>
        <w:autoSpaceDN w:val="0"/>
        <w:adjustRightInd w:val="0"/>
        <w:textAlignment w:val="baseline"/>
      </w:pPr>
      <w:r>
        <w:t>Kommittén framhåller framstegen med den makroregionala strategin för Donauområdet (EU-strategin för Donauområdet). Genom 2020 års översyn stärktes överensstämmelsen med EU:s prioriteringar och ungdomsdeltagandet, om än i varierande grad och med skillnader i det politiska engagemanget. Ordförandeskapen har gjort en ny satsning på innovation och styrning.</w:t>
      </w:r>
    </w:p>
    <w:p w14:paraId="3D4F9389" w14:textId="77777777" w:rsidR="007D364E" w:rsidRDefault="007D364E" w:rsidP="007D364E">
      <w:pPr>
        <w:pStyle w:val="ListParagraph"/>
        <w:numPr>
          <w:ilvl w:val="0"/>
          <w:numId w:val="5"/>
        </w:numPr>
        <w:overflowPunct w:val="0"/>
        <w:autoSpaceDE w:val="0"/>
        <w:autoSpaceDN w:val="0"/>
        <w:adjustRightInd w:val="0"/>
        <w:textAlignment w:val="baseline"/>
      </w:pPr>
      <w:r>
        <w:t>EESK framhåller resultaten av den makroregionala strategin för den adriatisk-joniska regionen (</w:t>
      </w:r>
      <w:proofErr w:type="spellStart"/>
      <w:r>
        <w:t>Eusair</w:t>
      </w:r>
      <w:proofErr w:type="spellEnd"/>
      <w:r>
        <w:t xml:space="preserve">), vars handlingsplan nyligen uppdaterades genom att en femte social pelare infördes. Strategin integrerar utvidgning, cirkulär ekonomi och digitalisering och stärker partnerskap och </w:t>
      </w:r>
      <w:proofErr w:type="spellStart"/>
      <w:r>
        <w:t>resiliens</w:t>
      </w:r>
      <w:proofErr w:type="spellEnd"/>
      <w:r>
        <w:t>.</w:t>
      </w:r>
    </w:p>
    <w:p w14:paraId="30DBBEDE" w14:textId="77777777" w:rsidR="007D364E" w:rsidRDefault="007D364E" w:rsidP="007D364E">
      <w:pPr>
        <w:pStyle w:val="ListParagraph"/>
        <w:numPr>
          <w:ilvl w:val="0"/>
          <w:numId w:val="5"/>
        </w:numPr>
        <w:overflowPunct w:val="0"/>
        <w:autoSpaceDE w:val="0"/>
        <w:autoSpaceDN w:val="0"/>
        <w:adjustRightInd w:val="0"/>
        <w:textAlignment w:val="baseline"/>
      </w:pPr>
      <w:r>
        <w:t>Kommittén välkomnar den makroregionala strategin för Alperna (</w:t>
      </w:r>
      <w:proofErr w:type="spellStart"/>
      <w:r>
        <w:t>Eusalp</w:t>
      </w:r>
      <w:proofErr w:type="spellEnd"/>
      <w:r>
        <w:t>), som har stärkt samarbetet och stabila styrelseformer och öppnat upp för tredjeländer. Genom översynen integreras prioriteringar som rör digitalisering, energi, vatten och den cirkulära ekonomin.</w:t>
      </w:r>
    </w:p>
    <w:p w14:paraId="79362B27" w14:textId="77777777" w:rsidR="007D364E" w:rsidRDefault="007D364E" w:rsidP="007D364E">
      <w:pPr>
        <w:pStyle w:val="ListParagraph"/>
        <w:numPr>
          <w:ilvl w:val="0"/>
          <w:numId w:val="5"/>
        </w:numPr>
        <w:overflowPunct w:val="0"/>
        <w:autoSpaceDE w:val="0"/>
        <w:autoSpaceDN w:val="0"/>
        <w:adjustRightInd w:val="0"/>
        <w:textAlignment w:val="baseline"/>
      </w:pPr>
      <w:r>
        <w:t>Vi noterar att utvidgningen till västra Balkan, Ukraina och Moldavien är en strategisk prioritering och att de makroregionala strategierna har potential att stärka samarbetet och den institutionella kapaciteten.</w:t>
      </w:r>
    </w:p>
    <w:p w14:paraId="2E227593" w14:textId="77777777" w:rsidR="007D364E" w:rsidRDefault="007D364E" w:rsidP="007D364E">
      <w:pPr>
        <w:pStyle w:val="ListParagraph"/>
        <w:numPr>
          <w:ilvl w:val="0"/>
          <w:numId w:val="5"/>
        </w:numPr>
        <w:overflowPunct w:val="0"/>
        <w:autoSpaceDE w:val="0"/>
        <w:autoSpaceDN w:val="0"/>
        <w:adjustRightInd w:val="0"/>
        <w:textAlignment w:val="baseline"/>
      </w:pPr>
      <w:r>
        <w:lastRenderedPageBreak/>
        <w:t xml:space="preserve">EESK konstaterar att Rysslands väpnade angrepp på Ukraina har bekräftat de makroregionala strategiernas roll som verktyg för solidaritet och </w:t>
      </w:r>
      <w:proofErr w:type="spellStart"/>
      <w:r>
        <w:t>resiliens</w:t>
      </w:r>
      <w:proofErr w:type="spellEnd"/>
      <w:r>
        <w:t xml:space="preserve">. </w:t>
      </w:r>
    </w:p>
    <w:p w14:paraId="7B054C5C" w14:textId="77777777" w:rsidR="007D364E" w:rsidRDefault="007D364E" w:rsidP="007D364E">
      <w:pPr>
        <w:pStyle w:val="ListParagraph"/>
        <w:numPr>
          <w:ilvl w:val="0"/>
          <w:numId w:val="5"/>
        </w:numPr>
        <w:overflowPunct w:val="0"/>
        <w:autoSpaceDE w:val="0"/>
        <w:autoSpaceDN w:val="0"/>
        <w:adjustRightInd w:val="0"/>
        <w:textAlignment w:val="baseline"/>
      </w:pPr>
      <w:r>
        <w:t xml:space="preserve">Kommittén anser att den </w:t>
      </w:r>
      <w:proofErr w:type="spellStart"/>
      <w:r>
        <w:t>platsbaserade</w:t>
      </w:r>
      <w:proofErr w:type="spellEnd"/>
      <w:r>
        <w:t xml:space="preserve"> strategin i de makroregionala strategierna är av avgörande betydelse, eftersom den anpassar EU:s prioriteringar till lokala och regionala särdrag och främjar sammanhållning genom verktyg såsom lokalt ledd utveckling och innovativa initiativ. t.ex. medborgar- och ungdomsdeltagande. </w:t>
      </w:r>
    </w:p>
    <w:p w14:paraId="154F5BF6" w14:textId="77777777" w:rsidR="007D364E" w:rsidRDefault="007D364E" w:rsidP="007D364E">
      <w:pPr>
        <w:pStyle w:val="ListParagraph"/>
        <w:numPr>
          <w:ilvl w:val="0"/>
          <w:numId w:val="5"/>
        </w:numPr>
        <w:overflowPunct w:val="0"/>
        <w:autoSpaceDE w:val="0"/>
        <w:autoSpaceDN w:val="0"/>
        <w:adjustRightInd w:val="0"/>
        <w:textAlignment w:val="baseline"/>
      </w:pPr>
      <w:r>
        <w:t xml:space="preserve">Vi efterlyser en starkare styrning och finansiering för att integrera de makroregionala strategiernas prioriteringar i viktiga EU-program. Det finns ett behov av att stärka den lokala kompetensen, befästa partnerskapen och aktivt involvera det civila samhället och ungdomarna. </w:t>
      </w:r>
    </w:p>
    <w:p w14:paraId="2087ADA2" w14:textId="77777777" w:rsidR="007D364E" w:rsidRDefault="007D364E" w:rsidP="007D364E">
      <w:pPr>
        <w:pStyle w:val="ListParagraph"/>
        <w:numPr>
          <w:ilvl w:val="0"/>
          <w:numId w:val="5"/>
        </w:numPr>
        <w:overflowPunct w:val="0"/>
        <w:autoSpaceDE w:val="0"/>
        <w:autoSpaceDN w:val="0"/>
        <w:adjustRightInd w:val="0"/>
        <w:textAlignment w:val="baseline"/>
      </w:pPr>
      <w:r>
        <w:t>EESK anser att den nya fleråriga budgetramen (för perioden 2028–2034) innebär risker för de makroregionala strategiernas korrekta funktion. Det är därför viktigt att prioriteringar inkluderas i partnerskapsplanerna.</w:t>
      </w:r>
    </w:p>
    <w:p w14:paraId="101CDB59" w14:textId="77777777" w:rsidR="007D364E" w:rsidRDefault="007D364E" w:rsidP="007D364E">
      <w:pPr>
        <w:pStyle w:val="ListParagraph"/>
        <w:numPr>
          <w:ilvl w:val="0"/>
          <w:numId w:val="5"/>
        </w:numPr>
        <w:overflowPunct w:val="0"/>
        <w:autoSpaceDE w:val="0"/>
        <w:autoSpaceDN w:val="0"/>
        <w:adjustRightInd w:val="0"/>
        <w:textAlignment w:val="baseline"/>
      </w:pPr>
      <w:r>
        <w:t>EESK betonar behovet av öppen, ansvarsfull och korruptionsfri styrning inom de institutioner som är involverade i de makroregionala strategierna.</w:t>
      </w:r>
    </w:p>
    <w:p w14:paraId="3E17A15A" w14:textId="77777777" w:rsidR="007D364E" w:rsidRPr="00D12508" w:rsidRDefault="007D364E" w:rsidP="007D364E">
      <w:pPr>
        <w:pStyle w:val="ListParagraph"/>
        <w:numPr>
          <w:ilvl w:val="0"/>
          <w:numId w:val="5"/>
        </w:numPr>
        <w:overflowPunct w:val="0"/>
        <w:autoSpaceDE w:val="0"/>
        <w:autoSpaceDN w:val="0"/>
        <w:adjustRightInd w:val="0"/>
        <w:textAlignment w:val="baseline"/>
        <w:rPr>
          <w:bCs/>
          <w:iCs/>
        </w:rPr>
      </w:pPr>
      <w:r>
        <w:t>Kommittén efterlyser inrättandet av en ny makroregion i Medelhavsområdet för att ta itu med gemensamma utmaningar såsom klimatförändringar, migrationsströmmar, energiomställning och blå hållbarhet.</w:t>
      </w:r>
    </w:p>
    <w:p w14:paraId="2B95C021" w14:textId="77777777" w:rsidR="007D364E" w:rsidRPr="00DE6065" w:rsidRDefault="007D364E" w:rsidP="007D364E">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700"/>
      </w:tblGrid>
      <w:tr w:rsidR="007D364E" w:rsidRPr="00A6689B" w14:paraId="2D1340C3" w14:textId="77777777" w:rsidTr="00BC19DA">
        <w:tc>
          <w:tcPr>
            <w:tcW w:w="1418" w:type="dxa"/>
          </w:tcPr>
          <w:p w14:paraId="2AF881F0" w14:textId="77777777" w:rsidR="007D364E" w:rsidRPr="00A6689B" w:rsidRDefault="007D364E" w:rsidP="00BC19DA">
            <w:pPr>
              <w:rPr>
                <w:i/>
              </w:rPr>
            </w:pPr>
            <w:r>
              <w:rPr>
                <w:b/>
                <w:i/>
              </w:rPr>
              <w:t>Kontaktperson:</w:t>
            </w:r>
          </w:p>
        </w:tc>
        <w:tc>
          <w:tcPr>
            <w:tcW w:w="7904" w:type="dxa"/>
          </w:tcPr>
          <w:p w14:paraId="1A9DA6C3" w14:textId="77777777" w:rsidR="007D364E" w:rsidRPr="00165B52" w:rsidRDefault="007D364E" w:rsidP="00BC19DA">
            <w:pPr>
              <w:rPr>
                <w:i/>
              </w:rPr>
            </w:pPr>
            <w:r>
              <w:rPr>
                <w:i/>
              </w:rPr>
              <w:t>Georgios MELEAS</w:t>
            </w:r>
          </w:p>
        </w:tc>
      </w:tr>
      <w:tr w:rsidR="007D364E" w:rsidRPr="00A6689B" w14:paraId="3582989F" w14:textId="77777777" w:rsidTr="00BC19DA">
        <w:tc>
          <w:tcPr>
            <w:tcW w:w="1418" w:type="dxa"/>
          </w:tcPr>
          <w:p w14:paraId="56A83BF9" w14:textId="77777777" w:rsidR="007D364E" w:rsidRPr="00A6689B" w:rsidRDefault="007D364E" w:rsidP="00BC19DA">
            <w:pPr>
              <w:rPr>
                <w:i/>
              </w:rPr>
            </w:pPr>
            <w:r>
              <w:rPr>
                <w:i/>
              </w:rPr>
              <w:t>Tfn</w:t>
            </w:r>
          </w:p>
        </w:tc>
        <w:tc>
          <w:tcPr>
            <w:tcW w:w="7904" w:type="dxa"/>
          </w:tcPr>
          <w:p w14:paraId="0F11B612" w14:textId="77777777" w:rsidR="007D364E" w:rsidRPr="00A6689B" w:rsidRDefault="007D364E" w:rsidP="00BC19DA">
            <w:pPr>
              <w:rPr>
                <w:i/>
              </w:rPr>
            </w:pPr>
            <w:r>
              <w:rPr>
                <w:i/>
              </w:rPr>
              <w:t>+32 25469795</w:t>
            </w:r>
          </w:p>
        </w:tc>
      </w:tr>
      <w:tr w:rsidR="007D364E" w:rsidRPr="00A6689B" w14:paraId="63231770" w14:textId="77777777" w:rsidTr="00BC19DA">
        <w:tc>
          <w:tcPr>
            <w:tcW w:w="1418" w:type="dxa"/>
          </w:tcPr>
          <w:p w14:paraId="6E25DB8F" w14:textId="77777777" w:rsidR="007D364E" w:rsidRPr="00A6689B" w:rsidRDefault="007D364E" w:rsidP="00BC19DA">
            <w:pPr>
              <w:rPr>
                <w:i/>
              </w:rPr>
            </w:pPr>
            <w:r>
              <w:rPr>
                <w:i/>
              </w:rPr>
              <w:t>E-post:</w:t>
            </w:r>
          </w:p>
        </w:tc>
        <w:tc>
          <w:tcPr>
            <w:tcW w:w="7904" w:type="dxa"/>
          </w:tcPr>
          <w:p w14:paraId="3D64E7F3" w14:textId="77777777" w:rsidR="007D364E" w:rsidRPr="00D12508" w:rsidRDefault="00D96ED9" w:rsidP="00BC19DA">
            <w:pPr>
              <w:rPr>
                <w:i/>
                <w:iCs/>
              </w:rPr>
            </w:pPr>
            <w:hyperlink r:id="rId21" w:history="1">
              <w:r w:rsidR="007D364E">
                <w:rPr>
                  <w:rStyle w:val="Hyperlink"/>
                  <w:i/>
                </w:rPr>
                <w:t>Georgios.Meleas@eesc.europa.eu</w:t>
              </w:r>
            </w:hyperlink>
          </w:p>
        </w:tc>
      </w:tr>
    </w:tbl>
    <w:p w14:paraId="4982DD96" w14:textId="77777777" w:rsidR="004D7AC0" w:rsidRDefault="004D7AC0" w:rsidP="004D7AC0">
      <w:pPr>
        <w:pStyle w:val="ListParagraph"/>
        <w:ind w:left="0"/>
      </w:pPr>
    </w:p>
    <w:p w14:paraId="4B3225FD" w14:textId="0226515E" w:rsidR="00C82E34" w:rsidRPr="00C82E34" w:rsidRDefault="00612898" w:rsidP="00054C58">
      <w:pPr>
        <w:spacing w:after="160" w:line="259" w:lineRule="auto"/>
        <w:jc w:val="left"/>
        <w:rPr>
          <w:b/>
          <w:i/>
          <w:iCs/>
          <w:sz w:val="28"/>
          <w:szCs w:val="28"/>
        </w:rPr>
      </w:pPr>
      <w:r>
        <w:br w:type="page"/>
      </w:r>
      <w:hyperlink r:id="rId22" w:history="1">
        <w:r w:rsidR="00F56EA5">
          <w:rPr>
            <w:rStyle w:val="Hyperlink"/>
            <w:b/>
            <w:i/>
            <w:sz w:val="28"/>
          </w:rPr>
          <w:t xml:space="preserve">Europeiska fonden för regional utveckling inbegripet </w:t>
        </w:r>
        <w:proofErr w:type="spellStart"/>
        <w:r w:rsidR="00F56EA5">
          <w:rPr>
            <w:rStyle w:val="Hyperlink"/>
            <w:b/>
            <w:i/>
            <w:sz w:val="28"/>
          </w:rPr>
          <w:t>Interreg</w:t>
        </w:r>
        <w:proofErr w:type="spellEnd"/>
        <w:r w:rsidR="00F56EA5">
          <w:rPr>
            <w:rStyle w:val="Hyperlink"/>
            <w:b/>
            <w:i/>
            <w:sz w:val="28"/>
          </w:rPr>
          <w:t xml:space="preserve"> och Sammanhållningsfonden</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7417"/>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r>
              <w:t xml:space="preserve">David </w:t>
            </w:r>
            <w:proofErr w:type="spellStart"/>
            <w:r>
              <w:t>Sventek</w:t>
            </w:r>
            <w:proofErr w:type="spellEnd"/>
            <w:r>
              <w:t xml:space="preserve"> (Arbetsgivargruppen –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COM(2025) 552 final</w:t>
            </w:r>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5F6AF7D7" w14:textId="77777777" w:rsidR="00F56EA5" w:rsidRDefault="00F56EA5" w:rsidP="00F56EA5">
      <w:pPr>
        <w:keepNext/>
        <w:keepLines/>
        <w:tabs>
          <w:tab w:val="center" w:pos="284"/>
        </w:tabs>
        <w:spacing w:before="120"/>
        <w:ind w:left="266" w:hanging="266"/>
        <w:rPr>
          <w:b/>
        </w:rPr>
      </w:pPr>
      <w:bookmarkStart w:id="1" w:name="_Toc75527081"/>
      <w:r>
        <w:rPr>
          <w:b/>
        </w:rPr>
        <w:t>Huvudpunkter</w:t>
      </w:r>
    </w:p>
    <w:p w14:paraId="25B2DABC" w14:textId="77777777" w:rsidR="00F56EA5" w:rsidRDefault="00F56EA5" w:rsidP="00F56EA5">
      <w:pPr>
        <w:keepNext/>
        <w:keepLines/>
        <w:tabs>
          <w:tab w:val="center" w:pos="284"/>
        </w:tabs>
        <w:spacing w:before="120"/>
        <w:ind w:left="266" w:hanging="266"/>
        <w:rPr>
          <w:b/>
        </w:rPr>
      </w:pPr>
    </w:p>
    <w:p w14:paraId="597E19CA" w14:textId="77777777" w:rsidR="00F56EA5" w:rsidRDefault="00F56EA5" w:rsidP="00F56EA5">
      <w:proofErr w:type="spellStart"/>
      <w:r>
        <w:t>EESK:s</w:t>
      </w:r>
      <w:proofErr w:type="spellEnd"/>
      <w:r>
        <w:t xml:space="preserve"> ståndpunkt:</w:t>
      </w:r>
    </w:p>
    <w:p w14:paraId="55B03CC3" w14:textId="77777777" w:rsidR="00F56EA5" w:rsidRDefault="00F56EA5" w:rsidP="00F56EA5">
      <w:pPr>
        <w:rPr>
          <w:bCs/>
          <w:iCs/>
        </w:rPr>
      </w:pPr>
    </w:p>
    <w:p w14:paraId="6517F1A2" w14:textId="77777777" w:rsidR="00F56EA5" w:rsidRDefault="00F56EA5" w:rsidP="00F56EA5">
      <w:pPr>
        <w:pStyle w:val="ListParagraph"/>
        <w:numPr>
          <w:ilvl w:val="0"/>
          <w:numId w:val="5"/>
        </w:numPr>
        <w:overflowPunct w:val="0"/>
        <w:autoSpaceDE w:val="0"/>
        <w:autoSpaceDN w:val="0"/>
        <w:adjustRightInd w:val="0"/>
        <w:textAlignment w:val="baseline"/>
      </w:pPr>
      <w:r>
        <w:t>EESK betonar att behovet av att minska regionala och territoriella skillnader fortfarande är en av de viktigaste prioriteringarna för EU-integrationen och att användningen av traditionella, beprövade och ändamålsenliga sammanhållningspolitiska instrument är rätt väg att gå för att stödja hållbar välfärd i alla regioner i EU.</w:t>
      </w:r>
    </w:p>
    <w:p w14:paraId="629DCA29" w14:textId="77777777" w:rsidR="00F56EA5" w:rsidRDefault="00F56EA5" w:rsidP="00F56EA5">
      <w:pPr>
        <w:pStyle w:val="ListParagraph"/>
        <w:numPr>
          <w:ilvl w:val="0"/>
          <w:numId w:val="5"/>
        </w:numPr>
        <w:overflowPunct w:val="0"/>
        <w:autoSpaceDE w:val="0"/>
        <w:autoSpaceDN w:val="0"/>
        <w:adjustRightInd w:val="0"/>
        <w:textAlignment w:val="baseline"/>
      </w:pPr>
      <w:r>
        <w:t xml:space="preserve">EESK rekommenderar att </w:t>
      </w:r>
      <w:proofErr w:type="spellStart"/>
      <w:r>
        <w:t>Erufs</w:t>
      </w:r>
      <w:proofErr w:type="spellEnd"/>
      <w:r>
        <w:t xml:space="preserve"> och Sammanhållningsfondens roll inom Nationella och regionala partnerskapsfonden (NRP-fonden) klargörs, inte bara genom allmänna och specifika mål, utan också genom en tydlig redogörelse i förordningen. Kommittén skulle välkomna om det förslag till förordning som detta yttrande avser skulle utarbetas och kompletteras med åtminstone en bilaga med vägledning om hur </w:t>
      </w:r>
      <w:proofErr w:type="spellStart"/>
      <w:r>
        <w:t>Eruf</w:t>
      </w:r>
      <w:proofErr w:type="spellEnd"/>
      <w:r>
        <w:t xml:space="preserve"> och Sammanhållningsfonden effektivt kan integreras i Nationella och regionala partnerskapsfonden.</w:t>
      </w:r>
    </w:p>
    <w:p w14:paraId="5A617FD4" w14:textId="77777777" w:rsidR="00F56EA5" w:rsidRDefault="00F56EA5" w:rsidP="00F56EA5">
      <w:pPr>
        <w:pStyle w:val="ListParagraph"/>
        <w:numPr>
          <w:ilvl w:val="0"/>
          <w:numId w:val="5"/>
        </w:numPr>
        <w:overflowPunct w:val="0"/>
        <w:autoSpaceDE w:val="0"/>
        <w:autoSpaceDN w:val="0"/>
        <w:adjustRightInd w:val="0"/>
        <w:textAlignment w:val="baseline"/>
      </w:pPr>
      <w:r>
        <w:t xml:space="preserve">De nya arrangemangen får inte leda till att </w:t>
      </w:r>
      <w:proofErr w:type="spellStart"/>
      <w:r>
        <w:t>Erufs</w:t>
      </w:r>
      <w:proofErr w:type="spellEnd"/>
      <w:r>
        <w:t xml:space="preserve"> och Sammanhållningsfondens betydelse och uppdrag minskar, särskilt när det gäller att stödja utvecklingen i de regioner som utvecklas långsammare och omvandlingen av industriområden. EESK betonar vikten av partnerskaps</w:t>
      </w:r>
      <w:r>
        <w:softHyphen/>
        <w:t>principen vid utformningen av framtida program.</w:t>
      </w:r>
    </w:p>
    <w:p w14:paraId="6971C84C" w14:textId="77777777" w:rsidR="00F56EA5" w:rsidRDefault="00F56EA5" w:rsidP="00F56EA5">
      <w:pPr>
        <w:pStyle w:val="ListParagraph"/>
        <w:numPr>
          <w:ilvl w:val="0"/>
          <w:numId w:val="5"/>
        </w:numPr>
        <w:overflowPunct w:val="0"/>
        <w:autoSpaceDE w:val="0"/>
        <w:autoSpaceDN w:val="0"/>
        <w:adjustRightInd w:val="0"/>
        <w:textAlignment w:val="baseline"/>
      </w:pPr>
      <w:r>
        <w:t xml:space="preserve">Kommittén ställer sig bakom det framtida </w:t>
      </w:r>
      <w:proofErr w:type="spellStart"/>
      <w:r>
        <w:t>Interregprogrammets</w:t>
      </w:r>
      <w:proofErr w:type="spellEnd"/>
      <w:r>
        <w:t xml:space="preserve"> innehåll och tematiska inriktning, och instämmer i dess synergier med instrumentet Europa i världen i de specifika fall som föreslås.</w:t>
      </w:r>
    </w:p>
    <w:p w14:paraId="4D1DF51C" w14:textId="77777777" w:rsidR="00F56EA5" w:rsidRDefault="00F56EA5" w:rsidP="00F56EA5">
      <w:pPr>
        <w:pStyle w:val="ListParagraph"/>
        <w:numPr>
          <w:ilvl w:val="0"/>
          <w:numId w:val="5"/>
        </w:numPr>
        <w:overflowPunct w:val="0"/>
        <w:autoSpaceDE w:val="0"/>
        <w:autoSpaceDN w:val="0"/>
        <w:adjustRightInd w:val="0"/>
        <w:textAlignment w:val="baseline"/>
      </w:pPr>
      <w:r>
        <w:t xml:space="preserve">Kommittén instämmer i stort sett i förslagets innovativa syn på framtiden för det etablerade </w:t>
      </w:r>
      <w:proofErr w:type="spellStart"/>
      <w:r>
        <w:t>Interregprogrammet</w:t>
      </w:r>
      <w:proofErr w:type="spellEnd"/>
      <w:r>
        <w:t xml:space="preserve">, särskilt när det gäller att acceptera genomförandestrukturen på nivån för de enskilda kapitlen i </w:t>
      </w:r>
      <w:proofErr w:type="spellStart"/>
      <w:r>
        <w:t>Interregplanen</w:t>
      </w:r>
      <w:proofErr w:type="spellEnd"/>
      <w:r>
        <w:t>.</w:t>
      </w:r>
    </w:p>
    <w:p w14:paraId="1151036C" w14:textId="77777777" w:rsidR="00F56EA5" w:rsidRDefault="00F56EA5" w:rsidP="00F56EA5">
      <w:pPr>
        <w:pStyle w:val="ListParagraph"/>
        <w:numPr>
          <w:ilvl w:val="0"/>
          <w:numId w:val="5"/>
        </w:numPr>
        <w:overflowPunct w:val="0"/>
        <w:autoSpaceDE w:val="0"/>
        <w:autoSpaceDN w:val="0"/>
        <w:adjustRightInd w:val="0"/>
        <w:textAlignment w:val="baseline"/>
      </w:pPr>
      <w:r>
        <w:t xml:space="preserve">Det finns en risk för att berörda aktörer på regional gränsöverskridande nivå inte kommer att kunna nå en överenskommelse, eftersom förslaget till förordning inte är särskilt detaljerat. EESK rekommenderar också att </w:t>
      </w:r>
      <w:proofErr w:type="spellStart"/>
      <w:r>
        <w:t>genomförandeakten</w:t>
      </w:r>
      <w:proofErr w:type="spellEnd"/>
      <w:r>
        <w:t xml:space="preserve"> antas omedelbart efter det att förordningen har antagits.</w:t>
      </w:r>
    </w:p>
    <w:p w14:paraId="6BFD0E50" w14:textId="77777777" w:rsidR="00F56EA5" w:rsidRDefault="00F56EA5" w:rsidP="00F56EA5">
      <w:pPr>
        <w:pStyle w:val="ListParagraph"/>
        <w:numPr>
          <w:ilvl w:val="0"/>
          <w:numId w:val="5"/>
        </w:numPr>
        <w:overflowPunct w:val="0"/>
        <w:autoSpaceDE w:val="0"/>
        <w:autoSpaceDN w:val="0"/>
        <w:adjustRightInd w:val="0"/>
        <w:textAlignment w:val="baseline"/>
      </w:pPr>
      <w:r>
        <w:t>Kommittén rekommenderar att man säkerställer att tolkningen och genomförandet av fonderna på medlemsstatsnivå är jämförbara och att det inte finns några betydande skillnader mellan medlems</w:t>
      </w:r>
      <w:r>
        <w:softHyphen/>
        <w:t>staterna.</w:t>
      </w:r>
    </w:p>
    <w:p w14:paraId="363DBAC8" w14:textId="77777777" w:rsidR="00F56EA5" w:rsidRDefault="00F56EA5" w:rsidP="00F56EA5">
      <w:pPr>
        <w:pStyle w:val="ListParagraph"/>
        <w:numPr>
          <w:ilvl w:val="0"/>
          <w:numId w:val="5"/>
        </w:numPr>
        <w:overflowPunct w:val="0"/>
        <w:autoSpaceDE w:val="0"/>
        <w:autoSpaceDN w:val="0"/>
        <w:adjustRightInd w:val="0"/>
        <w:textAlignment w:val="baseline"/>
      </w:pPr>
      <w:r>
        <w:t>EESK stöder förenklingen av genomförandeförfaranden och administrativa förfaranden för en effektivare användning av medlen.</w:t>
      </w:r>
    </w:p>
    <w:p w14:paraId="793353C8" w14:textId="77777777" w:rsidR="00F56EA5" w:rsidRPr="00BD6FAD" w:rsidRDefault="00F56EA5" w:rsidP="00F56EA5">
      <w:pPr>
        <w:pStyle w:val="ListParagraph"/>
        <w:numPr>
          <w:ilvl w:val="0"/>
          <w:numId w:val="5"/>
        </w:numPr>
        <w:overflowPunct w:val="0"/>
        <w:autoSpaceDE w:val="0"/>
        <w:autoSpaceDN w:val="0"/>
        <w:adjustRightInd w:val="0"/>
        <w:textAlignment w:val="baseline"/>
        <w:rPr>
          <w:bCs/>
          <w:iCs/>
        </w:rPr>
      </w:pPr>
      <w:r>
        <w:t xml:space="preserve">EESK uppskattar att förslaget till förordning om </w:t>
      </w:r>
      <w:proofErr w:type="spellStart"/>
      <w:r>
        <w:t>Eruf</w:t>
      </w:r>
      <w:proofErr w:type="spellEnd"/>
      <w:r>
        <w:t xml:space="preserve"> och Sammanhållningsfonden också ger möjlighet att stödja hållbar stadsutveckling, och inom den ramen, integrerade strategier för stadsutveckling och territoriell utveckling som är inriktade på hållbar utveckling och som tar itu med utmaningar på områdena miljö, energi och klimat, den rättvisa omställningen till en ren, klimatneutral och </w:t>
      </w:r>
      <w:proofErr w:type="spellStart"/>
      <w:r>
        <w:t>resilient</w:t>
      </w:r>
      <w:proofErr w:type="spellEnd"/>
      <w:r>
        <w:t xml:space="preserve"> ekonomi, med särskilt fokus på bostäder till överkomligt pris, </w:t>
      </w:r>
      <w:r>
        <w:lastRenderedPageBreak/>
        <w:t>fattigdom, kulturarv och utnyttjande av den digitala teknikens potential när det gäller innovation och energieffektivitet.</w:t>
      </w:r>
    </w:p>
    <w:p w14:paraId="41222AA6" w14:textId="77777777" w:rsidR="00F56EA5" w:rsidRPr="00F124CF" w:rsidRDefault="00F56EA5" w:rsidP="00F56EA5">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700"/>
      </w:tblGrid>
      <w:tr w:rsidR="00F56EA5" w:rsidRPr="00A6689B" w14:paraId="204341FD" w14:textId="77777777" w:rsidTr="00BC19DA">
        <w:tc>
          <w:tcPr>
            <w:tcW w:w="1418" w:type="dxa"/>
          </w:tcPr>
          <w:p w14:paraId="56CAFA0B" w14:textId="77777777" w:rsidR="00F56EA5" w:rsidRPr="00A6689B" w:rsidRDefault="00F56EA5" w:rsidP="00BC19DA">
            <w:pPr>
              <w:rPr>
                <w:i/>
              </w:rPr>
            </w:pPr>
            <w:r>
              <w:rPr>
                <w:b/>
                <w:i/>
              </w:rPr>
              <w:t>Kontaktperson:</w:t>
            </w:r>
          </w:p>
        </w:tc>
        <w:tc>
          <w:tcPr>
            <w:tcW w:w="7904" w:type="dxa"/>
          </w:tcPr>
          <w:p w14:paraId="43E76CBC" w14:textId="77777777" w:rsidR="00F56EA5" w:rsidRPr="00165B52" w:rsidRDefault="00F56EA5" w:rsidP="00BC19DA">
            <w:pPr>
              <w:rPr>
                <w:i/>
              </w:rPr>
            </w:pPr>
            <w:r>
              <w:rPr>
                <w:i/>
              </w:rPr>
              <w:t>Georgios MELEAS</w:t>
            </w:r>
          </w:p>
        </w:tc>
      </w:tr>
      <w:tr w:rsidR="00F56EA5" w:rsidRPr="00A6689B" w14:paraId="23693DE1" w14:textId="77777777" w:rsidTr="00BC19DA">
        <w:tc>
          <w:tcPr>
            <w:tcW w:w="1418" w:type="dxa"/>
          </w:tcPr>
          <w:p w14:paraId="4F474AA5" w14:textId="77777777" w:rsidR="00F56EA5" w:rsidRPr="00A6689B" w:rsidRDefault="00F56EA5" w:rsidP="00BC19DA">
            <w:pPr>
              <w:rPr>
                <w:i/>
              </w:rPr>
            </w:pPr>
            <w:r>
              <w:rPr>
                <w:i/>
              </w:rPr>
              <w:t>Tfn</w:t>
            </w:r>
          </w:p>
        </w:tc>
        <w:tc>
          <w:tcPr>
            <w:tcW w:w="7904" w:type="dxa"/>
          </w:tcPr>
          <w:p w14:paraId="7D077D92" w14:textId="77777777" w:rsidR="00F56EA5" w:rsidRPr="00A6689B" w:rsidRDefault="00F56EA5" w:rsidP="00BC19DA">
            <w:pPr>
              <w:rPr>
                <w:i/>
              </w:rPr>
            </w:pPr>
            <w:r>
              <w:rPr>
                <w:i/>
              </w:rPr>
              <w:t>+32 25469795</w:t>
            </w:r>
          </w:p>
        </w:tc>
      </w:tr>
      <w:tr w:rsidR="00F56EA5" w:rsidRPr="00A6689B" w14:paraId="1EB34123" w14:textId="77777777" w:rsidTr="00BC19DA">
        <w:tc>
          <w:tcPr>
            <w:tcW w:w="1418" w:type="dxa"/>
          </w:tcPr>
          <w:p w14:paraId="1777B3B0" w14:textId="77777777" w:rsidR="00F56EA5" w:rsidRPr="00A6689B" w:rsidRDefault="00F56EA5" w:rsidP="00BC19DA">
            <w:pPr>
              <w:rPr>
                <w:i/>
              </w:rPr>
            </w:pPr>
            <w:r>
              <w:rPr>
                <w:i/>
              </w:rPr>
              <w:t>E-post:</w:t>
            </w:r>
          </w:p>
        </w:tc>
        <w:tc>
          <w:tcPr>
            <w:tcW w:w="7904" w:type="dxa"/>
          </w:tcPr>
          <w:p w14:paraId="66351D55" w14:textId="77777777" w:rsidR="00F56EA5" w:rsidRPr="009B5E14" w:rsidRDefault="00D96ED9" w:rsidP="00BC19DA">
            <w:pPr>
              <w:rPr>
                <w:i/>
                <w:iCs/>
              </w:rPr>
            </w:pPr>
            <w:hyperlink r:id="rId23" w:history="1">
              <w:r w:rsidR="00F56EA5">
                <w:rPr>
                  <w:rStyle w:val="Hyperlink"/>
                  <w:i/>
                </w:rPr>
                <w:t>Georgios.Meleas@eesc.europa.eu</w:t>
              </w:r>
            </w:hyperlink>
          </w:p>
        </w:tc>
      </w:tr>
    </w:tbl>
    <w:p w14:paraId="002A5372" w14:textId="77777777" w:rsidR="00F56EA5" w:rsidRDefault="00F56EA5" w:rsidP="00F56EA5">
      <w:pPr>
        <w:pStyle w:val="Heading1"/>
        <w:numPr>
          <w:ilvl w:val="0"/>
          <w:numId w:val="0"/>
        </w:numPr>
        <w:ind w:left="567"/>
        <w:rPr>
          <w:b/>
        </w:rPr>
      </w:pPr>
    </w:p>
    <w:p w14:paraId="2FB9BDEA" w14:textId="03B78A69" w:rsidR="00F56EA5" w:rsidRDefault="00F56EA5">
      <w:pPr>
        <w:spacing w:after="160" w:line="259" w:lineRule="auto"/>
        <w:jc w:val="left"/>
        <w:rPr>
          <w:b/>
          <w:kern w:val="28"/>
        </w:rPr>
      </w:pPr>
      <w:r>
        <w:rPr>
          <w:b/>
        </w:rPr>
        <w:br w:type="page"/>
      </w:r>
    </w:p>
    <w:p w14:paraId="5AF37111" w14:textId="72CFFA14" w:rsidR="00F56EA5" w:rsidRPr="00F56EA5" w:rsidRDefault="004D7AC0" w:rsidP="00F56EA5">
      <w:pPr>
        <w:pStyle w:val="Heading1"/>
        <w:rPr>
          <w:b/>
        </w:rPr>
      </w:pPr>
      <w:bookmarkStart w:id="2" w:name="_Toc217055361"/>
      <w:r>
        <w:rPr>
          <w:b/>
        </w:rPr>
        <w:lastRenderedPageBreak/>
        <w:t>SYSSELSÄTTNING, SOCIALA FRÅGOR OCH MEDBORGARNA</w:t>
      </w:r>
      <w:bookmarkEnd w:id="1"/>
      <w:bookmarkEnd w:id="2"/>
    </w:p>
    <w:p w14:paraId="4982DD9A" w14:textId="77777777" w:rsidR="004D7AC0" w:rsidRDefault="004D7AC0" w:rsidP="004D7AC0"/>
    <w:p w14:paraId="0203F323" w14:textId="77777777" w:rsidR="00C24C34" w:rsidRDefault="00C24C34" w:rsidP="004D7AC0"/>
    <w:p w14:paraId="6F994392" w14:textId="602AC9AB" w:rsidR="00E034EC" w:rsidRPr="00A04AFA" w:rsidRDefault="00D96ED9" w:rsidP="00E034EC">
      <w:pPr>
        <w:widowControl w:val="0"/>
        <w:numPr>
          <w:ilvl w:val="0"/>
          <w:numId w:val="36"/>
        </w:numPr>
        <w:overflowPunct w:val="0"/>
        <w:autoSpaceDE w:val="0"/>
        <w:autoSpaceDN w:val="0"/>
        <w:adjustRightInd w:val="0"/>
        <w:ind w:left="567" w:hanging="567"/>
        <w:textAlignment w:val="baseline"/>
        <w:rPr>
          <w:rStyle w:val="Hyperlink"/>
          <w:b/>
        </w:rPr>
      </w:pPr>
      <w:hyperlink r:id="rId24" w:history="1">
        <w:r w:rsidR="00E034EC">
          <w:rPr>
            <w:rStyle w:val="Hyperlink"/>
            <w:b/>
            <w:i/>
            <w:sz w:val="28"/>
          </w:rPr>
          <w:t>Arbetstagarrättigheter för journalister</w:t>
        </w:r>
      </w:hyperlink>
    </w:p>
    <w:p w14:paraId="65C21CBE" w14:textId="77777777" w:rsidR="00E034EC" w:rsidRPr="00175210" w:rsidRDefault="00E034EC" w:rsidP="00E034EC">
      <w:pPr>
        <w:tabs>
          <w:tab w:val="center" w:pos="284"/>
        </w:tabs>
        <w:ind w:left="567" w:hanging="567"/>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6237"/>
      </w:tblGrid>
      <w:tr w:rsidR="00E034EC" w:rsidRPr="00C67392" w14:paraId="6101A3BD" w14:textId="77777777" w:rsidTr="00BC19DA">
        <w:tc>
          <w:tcPr>
            <w:tcW w:w="1701" w:type="dxa"/>
          </w:tcPr>
          <w:p w14:paraId="62D583A8" w14:textId="77777777" w:rsidR="00E034EC" w:rsidRDefault="00E034EC" w:rsidP="00BC19DA">
            <w:pPr>
              <w:tabs>
                <w:tab w:val="center" w:pos="284"/>
              </w:tabs>
              <w:ind w:left="567" w:hanging="567"/>
              <w:rPr>
                <w:b/>
              </w:rPr>
            </w:pPr>
            <w:r>
              <w:rPr>
                <w:b/>
              </w:rPr>
              <w:t>Föredragande:</w:t>
            </w:r>
          </w:p>
          <w:p w14:paraId="3428ADAE" w14:textId="77777777" w:rsidR="00E034EC" w:rsidRPr="00A6689B" w:rsidRDefault="00E034EC" w:rsidP="00BC19DA">
            <w:pPr>
              <w:tabs>
                <w:tab w:val="center" w:pos="284"/>
              </w:tabs>
              <w:ind w:left="567" w:hanging="567"/>
              <w:rPr>
                <w:b/>
              </w:rPr>
            </w:pPr>
            <w:r>
              <w:rPr>
                <w:b/>
              </w:rPr>
              <w:t>Medföredragande:</w:t>
            </w:r>
          </w:p>
        </w:tc>
        <w:tc>
          <w:tcPr>
            <w:tcW w:w="6237" w:type="dxa"/>
          </w:tcPr>
          <w:p w14:paraId="179BCA66" w14:textId="77777777" w:rsidR="00E034EC" w:rsidRDefault="00E034EC" w:rsidP="00BC19DA">
            <w:pPr>
              <w:ind w:left="567" w:hanging="567"/>
            </w:pPr>
            <w:r>
              <w:t>José Antonio Moreno </w:t>
            </w:r>
            <w:proofErr w:type="spellStart"/>
            <w:r>
              <w:t>Díaz</w:t>
            </w:r>
            <w:proofErr w:type="spellEnd"/>
            <w:r>
              <w:t xml:space="preserve"> (Arbetstagargruppen – ES)</w:t>
            </w:r>
          </w:p>
          <w:p w14:paraId="4EB06AE5" w14:textId="77777777" w:rsidR="00E034EC" w:rsidRPr="00C67392" w:rsidRDefault="00E034EC" w:rsidP="00BC19DA">
            <w:pPr>
              <w:ind w:left="567" w:hanging="567"/>
            </w:pPr>
            <w:r>
              <w:t xml:space="preserve">Christian </w:t>
            </w:r>
            <w:proofErr w:type="spellStart"/>
            <w:r>
              <w:t>Moos</w:t>
            </w:r>
            <w:proofErr w:type="spellEnd"/>
            <w:r>
              <w:t xml:space="preserve"> (Gruppen för civilsamhällesorganisationer – DE)</w:t>
            </w:r>
          </w:p>
        </w:tc>
      </w:tr>
      <w:tr w:rsidR="00E034EC" w:rsidRPr="00CA1E86" w14:paraId="78E29D16" w14:textId="77777777" w:rsidTr="00BC19DA">
        <w:tc>
          <w:tcPr>
            <w:tcW w:w="1701" w:type="dxa"/>
            <w:vMerge w:val="restart"/>
          </w:tcPr>
          <w:p w14:paraId="16F36D9E" w14:textId="77777777" w:rsidR="00E034EC" w:rsidRDefault="00E034EC" w:rsidP="00BC19DA">
            <w:pPr>
              <w:tabs>
                <w:tab w:val="center" w:pos="284"/>
              </w:tabs>
              <w:ind w:left="567" w:hanging="567"/>
              <w:rPr>
                <w:b/>
                <w:lang w:val="en-US"/>
              </w:rPr>
            </w:pPr>
          </w:p>
          <w:p w14:paraId="13C105B7" w14:textId="77777777" w:rsidR="00E034EC" w:rsidRPr="00A6689B" w:rsidRDefault="00E034EC" w:rsidP="00BC19DA">
            <w:pPr>
              <w:tabs>
                <w:tab w:val="center" w:pos="284"/>
              </w:tabs>
              <w:ind w:left="567" w:hanging="567"/>
              <w:rPr>
                <w:b/>
              </w:rPr>
            </w:pPr>
            <w:r>
              <w:rPr>
                <w:b/>
              </w:rPr>
              <w:t>Referensdokument:</w:t>
            </w:r>
          </w:p>
        </w:tc>
        <w:tc>
          <w:tcPr>
            <w:tcW w:w="6237" w:type="dxa"/>
          </w:tcPr>
          <w:p w14:paraId="6F05039C" w14:textId="77777777" w:rsidR="00E034EC" w:rsidRDefault="00E034EC" w:rsidP="00BC19DA">
            <w:pPr>
              <w:tabs>
                <w:tab w:val="center" w:pos="284"/>
              </w:tabs>
              <w:ind w:left="567" w:hanging="567"/>
              <w:rPr>
                <w:lang w:val="pt-PT"/>
              </w:rPr>
            </w:pPr>
          </w:p>
          <w:p w14:paraId="2E68787A" w14:textId="77777777" w:rsidR="00E034EC" w:rsidRPr="00A04AFA" w:rsidRDefault="00E034EC" w:rsidP="00BC19DA">
            <w:pPr>
              <w:tabs>
                <w:tab w:val="center" w:pos="284"/>
              </w:tabs>
              <w:ind w:left="567" w:hanging="567"/>
            </w:pPr>
            <w:r>
              <w:t>EESC-2025-01400-00-00-AC-TRA</w:t>
            </w:r>
          </w:p>
        </w:tc>
      </w:tr>
      <w:tr w:rsidR="00E034EC" w:rsidRPr="00CA1E86" w14:paraId="30321778" w14:textId="77777777" w:rsidTr="00BC19DA">
        <w:tc>
          <w:tcPr>
            <w:tcW w:w="1701" w:type="dxa"/>
            <w:vMerge/>
          </w:tcPr>
          <w:p w14:paraId="28B13ABF" w14:textId="77777777" w:rsidR="00E034EC" w:rsidRPr="00A04AFA" w:rsidRDefault="00E034EC" w:rsidP="00BC19DA">
            <w:pPr>
              <w:tabs>
                <w:tab w:val="center" w:pos="284"/>
              </w:tabs>
              <w:ind w:left="266" w:hanging="266"/>
              <w:rPr>
                <w:b/>
                <w:lang w:val="pt-PT"/>
              </w:rPr>
            </w:pPr>
          </w:p>
        </w:tc>
        <w:tc>
          <w:tcPr>
            <w:tcW w:w="6237" w:type="dxa"/>
          </w:tcPr>
          <w:p w14:paraId="32277EA4" w14:textId="77777777" w:rsidR="00E034EC" w:rsidRPr="00724561" w:rsidRDefault="00E034EC" w:rsidP="00BC19DA">
            <w:pPr>
              <w:tabs>
                <w:tab w:val="center" w:pos="284"/>
              </w:tabs>
              <w:ind w:left="266" w:hanging="266"/>
              <w:rPr>
                <w:sz w:val="16"/>
                <w:szCs w:val="16"/>
                <w:lang w:val="pt-PT"/>
              </w:rPr>
            </w:pPr>
          </w:p>
        </w:tc>
      </w:tr>
    </w:tbl>
    <w:p w14:paraId="0CBB31C9" w14:textId="77777777" w:rsidR="00E034EC" w:rsidRDefault="00E034EC" w:rsidP="00E034EC">
      <w:pPr>
        <w:keepNext/>
        <w:keepLines/>
        <w:tabs>
          <w:tab w:val="center" w:pos="284"/>
        </w:tabs>
        <w:ind w:left="266" w:hanging="266"/>
        <w:rPr>
          <w:b/>
        </w:rPr>
      </w:pPr>
      <w:r>
        <w:rPr>
          <w:b/>
        </w:rPr>
        <w:t>Huvudpunkter</w:t>
      </w:r>
    </w:p>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Huvudpunkter</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proofErr w:type="spellStart"/>
      <w:r>
        <w:t>EESK:s</w:t>
      </w:r>
      <w:proofErr w:type="spellEnd"/>
      <w:r>
        <w:t xml:space="preserve"> ståndpunkt:</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237AAC" w14:textId="77777777" w:rsidR="00E034EC" w:rsidRDefault="00E034EC" w:rsidP="00E034EC">
      <w:pPr>
        <w:pStyle w:val="Heading2"/>
        <w:numPr>
          <w:ilvl w:val="1"/>
          <w:numId w:val="37"/>
        </w:numPr>
      </w:pPr>
      <w:bookmarkStart w:id="3" w:name="_Toc217055362"/>
      <w:r>
        <w:t>EESK uppmanar de offentliga myndigheterna att snabbt vidta skyddsåtgärder för att komma till rätta med den ökande osäkerhet som kännetecknar journalisters situation och anser det vara mycket viktigt att den europeiska mediefrihetsförordningen tillämpas fullt ut. Kommittén anser att det bör införas ett oberoende stöd till mediekanaler utöver det offentliga stöd som finns i dag för att garantera den europeiska mediesektorns överlevnad på sikt. Vi efterlyser också betydligt högre anslag till åtgärder för att skydda ett sunt informationsekosystem.</w:t>
      </w:r>
      <w:bookmarkEnd w:id="3"/>
    </w:p>
    <w:p w14:paraId="3825DF11" w14:textId="77777777" w:rsidR="00E034EC" w:rsidRPr="006E673A" w:rsidRDefault="00E034EC" w:rsidP="00E034EC"/>
    <w:p w14:paraId="1FEB6D10" w14:textId="77777777" w:rsidR="00E034EC" w:rsidRDefault="00E034EC" w:rsidP="00E034EC">
      <w:pPr>
        <w:pStyle w:val="Heading2"/>
        <w:numPr>
          <w:ilvl w:val="1"/>
          <w:numId w:val="38"/>
        </w:numPr>
      </w:pPr>
      <w:bookmarkStart w:id="4" w:name="_Toc217055363"/>
      <w:r>
        <w:t>EESK uppmanar kommissionen att lägga fram ett ambitiöst paket med politiska åtgärder och investeringar för att stödja arbetstillfällen av hög kvalitet inom mediesektorn och uppmanar medlemsstaternas regeringar att främja social dialog och kollektivförhandlingar för alla journalister, även frilansjournalister, genom att i förekommande fall införliva direktivet om tillräckliga minimilöner</w:t>
      </w:r>
      <w:r w:rsidRPr="00220959">
        <w:rPr>
          <w:sz w:val="24"/>
          <w:szCs w:val="24"/>
          <w:vertAlign w:val="superscript"/>
        </w:rPr>
        <w:footnoteReference w:id="1"/>
      </w:r>
      <w:r>
        <w:t xml:space="preserve"> och riktlinjerna för tillämpning av unionens konkurrensrätt på kollektivavtal som rör arbetsvillkoren för egenföretagare utan anställda</w:t>
      </w:r>
      <w:r w:rsidRPr="00220959">
        <w:rPr>
          <w:sz w:val="24"/>
          <w:szCs w:val="24"/>
          <w:vertAlign w:val="superscript"/>
        </w:rPr>
        <w:footnoteReference w:id="2"/>
      </w:r>
      <w:r>
        <w:t xml:space="preserve"> i den nationella lagstiftningen. Vi uppmanar även kommissionen och medlemsstaterna att bekämpa falskt egenföretagande.</w:t>
      </w:r>
      <w:bookmarkEnd w:id="4"/>
    </w:p>
    <w:p w14:paraId="25C3C925" w14:textId="77777777" w:rsidR="00E034EC" w:rsidRPr="006E673A" w:rsidRDefault="00E034EC" w:rsidP="00E034EC"/>
    <w:p w14:paraId="63084B1C" w14:textId="77777777" w:rsidR="00E034EC" w:rsidRDefault="00E034EC" w:rsidP="00E034EC">
      <w:pPr>
        <w:pStyle w:val="Heading2"/>
        <w:numPr>
          <w:ilvl w:val="1"/>
          <w:numId w:val="39"/>
        </w:numPr>
      </w:pPr>
      <w:bookmarkStart w:id="5" w:name="_Toc217055364"/>
      <w:r>
        <w:t>Kommittén uppmanar kommissionen att följa upp rekommendationen om journalisters skydd, säkerhet och egenmakt</w:t>
      </w:r>
      <w:r w:rsidRPr="00220959">
        <w:rPr>
          <w:sz w:val="24"/>
          <w:szCs w:val="24"/>
          <w:vertAlign w:val="superscript"/>
        </w:rPr>
        <w:footnoteReference w:id="3"/>
      </w:r>
      <w:r>
        <w:t xml:space="preserve"> och betonar behovet av ett fördjupat samarbete med journalistorganisationerna för att bygga upp strukturer som kan värna journalisters säkerhet. Journalister är arbetstagare som i mycket hög grad utsätts för stress, utbrändhet, trakasserier på nätet och digital överbelastning. Det vore värdefullt om kommissionen överväger hur man ska följa upp Europaparlamentets resolution av den 10 mars 2022 om att anta ett direktiv om psykosociala risker. Kommittén är redo att utarbeta ett yttrande om denna fråga.</w:t>
      </w:r>
      <w:r w:rsidRPr="00C510E4">
        <w:rPr>
          <w:rStyle w:val="FootnoteReference"/>
        </w:rPr>
        <w:footnoteReference w:id="4"/>
      </w:r>
      <w:bookmarkEnd w:id="5"/>
    </w:p>
    <w:p w14:paraId="503653A1" w14:textId="77777777" w:rsidR="00E034EC" w:rsidRDefault="00E034EC" w:rsidP="00E034EC">
      <w:pPr>
        <w:spacing w:line="240" w:lineRule="auto"/>
        <w:jc w:val="left"/>
      </w:pPr>
      <w:r>
        <w:br w:type="page"/>
      </w:r>
    </w:p>
    <w:p w14:paraId="4F3314E3" w14:textId="77777777" w:rsidR="00E034EC" w:rsidRDefault="00E034EC" w:rsidP="00E034EC">
      <w:pPr>
        <w:pStyle w:val="Heading2"/>
        <w:numPr>
          <w:ilvl w:val="1"/>
          <w:numId w:val="40"/>
        </w:numPr>
        <w:pBdr>
          <w:top w:val="nil"/>
          <w:left w:val="nil"/>
          <w:bottom w:val="nil"/>
          <w:right w:val="nil"/>
          <w:between w:val="nil"/>
        </w:pBdr>
      </w:pPr>
      <w:bookmarkStart w:id="6" w:name="_Toc217055365"/>
      <w:r>
        <w:lastRenderedPageBreak/>
        <w:t xml:space="preserve">Kommittén uppmanar kommissionen att se över tillämpningen av EU:s rättsliga ram för användning av artificiell intelligens (AI) för att garantera journalister skydd och uppmuntrar journalistförbunden och </w:t>
      </w:r>
      <w:proofErr w:type="spellStart"/>
      <w:r>
        <w:t>medieorganisationerna</w:t>
      </w:r>
      <w:proofErr w:type="spellEnd"/>
      <w:r>
        <w:t xml:space="preserve"> att inom ramen för den sociala dialogen ta upp frågor som rör användningen av AI vid nyhetsredaktioner. Vi efterlyser också finansiering av projekt som förbättrar journalisters AI-kompetens. Det är viktigt att överväga möjligheterna att medfinansiera europeiska journalistikakademier och fortbildning samt undersöka möjligheterna att subventionera en del av lönen för unga journalister från medieföretag som uppfyller högt satta standarder avseende kvalitetsjournalistik och arbetsvillkor.</w:t>
      </w:r>
      <w:bookmarkEnd w:id="6"/>
    </w:p>
    <w:p w14:paraId="75B53AA7" w14:textId="77777777" w:rsidR="00E034EC" w:rsidRPr="00E15E37" w:rsidRDefault="00E034EC" w:rsidP="00E034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4493"/>
      </w:tblGrid>
      <w:tr w:rsidR="00E034EC" w:rsidRPr="00A6689B" w14:paraId="43B288E5" w14:textId="77777777" w:rsidTr="00BC19DA">
        <w:tc>
          <w:tcPr>
            <w:tcW w:w="1210" w:type="dxa"/>
          </w:tcPr>
          <w:p w14:paraId="449811FA" w14:textId="77777777" w:rsidR="00E034EC" w:rsidRPr="00A6689B" w:rsidRDefault="00E034EC" w:rsidP="00BC19DA">
            <w:pPr>
              <w:spacing w:line="240" w:lineRule="auto"/>
              <w:rPr>
                <w:i/>
              </w:rPr>
            </w:pPr>
            <w:r>
              <w:rPr>
                <w:b/>
                <w:i/>
              </w:rPr>
              <w:t>Kontaktperson:</w:t>
            </w:r>
          </w:p>
        </w:tc>
        <w:tc>
          <w:tcPr>
            <w:tcW w:w="4493" w:type="dxa"/>
          </w:tcPr>
          <w:p w14:paraId="18F680A9" w14:textId="77777777" w:rsidR="00E034EC" w:rsidRPr="00A6689B" w:rsidRDefault="00E034EC" w:rsidP="00BC19DA">
            <w:pPr>
              <w:spacing w:line="240" w:lineRule="auto"/>
              <w:ind w:hanging="12"/>
              <w:rPr>
                <w:i/>
              </w:rPr>
            </w:pPr>
            <w:r>
              <w:rPr>
                <w:i/>
              </w:rPr>
              <w:t xml:space="preserve">June </w:t>
            </w:r>
            <w:proofErr w:type="spellStart"/>
            <w:r>
              <w:rPr>
                <w:i/>
              </w:rPr>
              <w:t>Bedaton</w:t>
            </w:r>
            <w:proofErr w:type="spellEnd"/>
          </w:p>
        </w:tc>
      </w:tr>
      <w:tr w:rsidR="00E034EC" w:rsidRPr="00A6689B" w14:paraId="18E18B6F" w14:textId="77777777" w:rsidTr="00BC19DA">
        <w:tc>
          <w:tcPr>
            <w:tcW w:w="1210" w:type="dxa"/>
          </w:tcPr>
          <w:p w14:paraId="333A8731" w14:textId="77777777" w:rsidR="00E034EC" w:rsidRPr="00A6689B" w:rsidRDefault="00E034EC" w:rsidP="00BC19DA">
            <w:pPr>
              <w:spacing w:line="240" w:lineRule="auto"/>
              <w:rPr>
                <w:i/>
              </w:rPr>
            </w:pPr>
            <w:r>
              <w:rPr>
                <w:i/>
              </w:rPr>
              <w:t>Tfn</w:t>
            </w:r>
          </w:p>
        </w:tc>
        <w:tc>
          <w:tcPr>
            <w:tcW w:w="4493" w:type="dxa"/>
          </w:tcPr>
          <w:p w14:paraId="67614002" w14:textId="77777777" w:rsidR="00E034EC" w:rsidRPr="00A6689B" w:rsidRDefault="00E034EC" w:rsidP="00BC19DA">
            <w:pPr>
              <w:spacing w:line="240" w:lineRule="auto"/>
              <w:rPr>
                <w:i/>
              </w:rPr>
            </w:pPr>
            <w:r>
              <w:rPr>
                <w:i/>
              </w:rPr>
              <w:t>+32 25468134</w:t>
            </w:r>
          </w:p>
        </w:tc>
      </w:tr>
      <w:tr w:rsidR="00E034EC" w:rsidRPr="00A6689B" w14:paraId="16E2A832" w14:textId="77777777" w:rsidTr="00BC19DA">
        <w:tc>
          <w:tcPr>
            <w:tcW w:w="1210" w:type="dxa"/>
          </w:tcPr>
          <w:p w14:paraId="1FAEDAB9" w14:textId="77777777" w:rsidR="00E034EC" w:rsidRPr="00A6689B" w:rsidRDefault="00E034EC" w:rsidP="00BC19DA">
            <w:pPr>
              <w:spacing w:line="240" w:lineRule="auto"/>
              <w:rPr>
                <w:i/>
              </w:rPr>
            </w:pPr>
            <w:r>
              <w:rPr>
                <w:i/>
              </w:rPr>
              <w:t>E-post:</w:t>
            </w:r>
          </w:p>
        </w:tc>
        <w:tc>
          <w:tcPr>
            <w:tcW w:w="4493" w:type="dxa"/>
          </w:tcPr>
          <w:p w14:paraId="1209A3EE" w14:textId="77777777" w:rsidR="00E034EC" w:rsidRPr="00A153DB" w:rsidRDefault="00D96ED9" w:rsidP="00BC19DA">
            <w:pPr>
              <w:spacing w:line="240" w:lineRule="auto"/>
              <w:rPr>
                <w:i/>
                <w:iCs/>
              </w:rPr>
            </w:pPr>
            <w:hyperlink r:id="rId25" w:history="1">
              <w:r w:rsidR="00E034EC">
                <w:rPr>
                  <w:rStyle w:val="Hyperlink"/>
                  <w:i/>
                </w:rPr>
                <w:t>june.bedaton@eesc.europa.eu</w:t>
              </w:r>
            </w:hyperlink>
            <w:r w:rsidR="00E034EC">
              <w:rPr>
                <w:i/>
              </w:rPr>
              <w:t xml:space="preserve"> </w:t>
            </w:r>
          </w:p>
        </w:tc>
      </w:tr>
    </w:tbl>
    <w:p w14:paraId="105B4BA0" w14:textId="77777777" w:rsidR="00E034EC" w:rsidRDefault="00E034EC" w:rsidP="00E034EC">
      <w:pPr>
        <w:jc w:val="center"/>
        <w:rPr>
          <w:lang w:val="nl-BE"/>
        </w:rPr>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656F6100" w14:textId="77777777" w:rsidR="007432F6" w:rsidRPr="00A04AFA" w:rsidRDefault="004D7AC0" w:rsidP="007432F6">
      <w:pPr>
        <w:widowControl w:val="0"/>
        <w:numPr>
          <w:ilvl w:val="0"/>
          <w:numId w:val="36"/>
        </w:numPr>
        <w:overflowPunct w:val="0"/>
        <w:autoSpaceDE w:val="0"/>
        <w:autoSpaceDN w:val="0"/>
        <w:adjustRightInd w:val="0"/>
        <w:ind w:left="567" w:hanging="567"/>
        <w:textAlignment w:val="baseline"/>
        <w:rPr>
          <w:rStyle w:val="Hyperlink"/>
          <w:b/>
        </w:rPr>
      </w:pPr>
      <w:r>
        <w:br w:type="page"/>
      </w:r>
      <w:hyperlink r:id="rId26" w:history="1">
        <w:r w:rsidR="007432F6">
          <w:rPr>
            <w:rStyle w:val="Hyperlink"/>
            <w:b/>
            <w:i/>
            <w:sz w:val="28"/>
          </w:rPr>
          <w:t xml:space="preserve">Programmet </w:t>
        </w:r>
        <w:proofErr w:type="spellStart"/>
        <w:r w:rsidR="007432F6">
          <w:rPr>
            <w:rStyle w:val="Hyperlink"/>
            <w:b/>
            <w:i/>
            <w:sz w:val="28"/>
          </w:rPr>
          <w:t>AgoraEU</w:t>
        </w:r>
        <w:proofErr w:type="spellEnd"/>
        <w:r w:rsidR="007432F6">
          <w:rPr>
            <w:rStyle w:val="Hyperlink"/>
            <w:b/>
            <w:i/>
            <w:sz w:val="28"/>
          </w:rPr>
          <w:t xml:space="preserve"> och programmet för rättsliga frågor</w:t>
        </w:r>
      </w:hyperlink>
    </w:p>
    <w:p w14:paraId="269FC09C" w14:textId="7CE93ABA" w:rsidR="008D0052" w:rsidRPr="007432F6" w:rsidRDefault="008D0052" w:rsidP="008D0052">
      <w:pPr>
        <w:widowControl w:val="0"/>
        <w:numPr>
          <w:ilvl w:val="0"/>
          <w:numId w:val="6"/>
        </w:numPr>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Föredragande:</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proofErr w:type="spellStart"/>
            <w:r>
              <w:t>Ionuţ</w:t>
            </w:r>
            <w:proofErr w:type="spellEnd"/>
            <w:r>
              <w:t xml:space="preserve"> </w:t>
            </w:r>
            <w:proofErr w:type="spellStart"/>
            <w:r>
              <w:t>Sibian</w:t>
            </w:r>
            <w:proofErr w:type="spellEnd"/>
            <w:r>
              <w:t xml:space="preserve"> (Gruppen för civilsamhällesorganisationer–RO)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Referensdokument:</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COM(2025) 463 final</w:t>
            </w:r>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Huvudpunkter</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proofErr w:type="spellStart"/>
      <w:r>
        <w:rPr>
          <w:b/>
        </w:rPr>
        <w:t>EESK:s</w:t>
      </w:r>
      <w:proofErr w:type="spellEnd"/>
      <w:r>
        <w:rPr>
          <w:b/>
        </w:rPr>
        <w:t xml:space="preserve"> ståndpunkt:</w:t>
      </w:r>
    </w:p>
    <w:p w14:paraId="6CD2846B" w14:textId="77777777" w:rsidR="00F65006" w:rsidRPr="008D0052" w:rsidRDefault="00F65006" w:rsidP="008D0052">
      <w:pPr>
        <w:jc w:val="left"/>
        <w:rPr>
          <w:lang w:val="fr-BE" w:eastAsia="fr-BE"/>
        </w:rPr>
      </w:pPr>
    </w:p>
    <w:p w14:paraId="52AE2B38"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EESK välkomnar kommissionens förslag till förordningar om programmet </w:t>
      </w:r>
      <w:proofErr w:type="spellStart"/>
      <w:r>
        <w:rPr>
          <w:sz w:val="22"/>
        </w:rPr>
        <w:t>AgoraEU</w:t>
      </w:r>
      <w:proofErr w:type="spellEnd"/>
      <w:r>
        <w:rPr>
          <w:sz w:val="22"/>
        </w:rPr>
        <w:t xml:space="preserve"> och programmet för rättsliga frågor och uppmanar Europaparlamentet och rådet att godkänna dem, samtidigt som den föreslagna finansieringsramen måste förbli oförändrad.</w:t>
      </w:r>
    </w:p>
    <w:p w14:paraId="7EBCF143"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Vi uppmanar kommissionen att uttryckligen erkänna den roll som opinionsbildning spelar såsom en viktig del av civilsamhällesorganisationernas verksamhet för att stärka demokratin och </w:t>
      </w:r>
      <w:proofErr w:type="spellStart"/>
      <w:r>
        <w:rPr>
          <w:sz w:val="22"/>
        </w:rPr>
        <w:t>resiliensen</w:t>
      </w:r>
      <w:proofErr w:type="spellEnd"/>
      <w:r>
        <w:rPr>
          <w:sz w:val="22"/>
        </w:rPr>
        <w:t xml:space="preserve"> i samhället.</w:t>
      </w:r>
    </w:p>
    <w:p w14:paraId="31808317"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Kommittén rekommenderar att det införs driftsbidrag för alla programområden inom </w:t>
      </w:r>
      <w:proofErr w:type="spellStart"/>
      <w:r>
        <w:rPr>
          <w:sz w:val="22"/>
        </w:rPr>
        <w:t>AgoraEU</w:t>
      </w:r>
      <w:proofErr w:type="spellEnd"/>
      <w:r>
        <w:rPr>
          <w:sz w:val="22"/>
        </w:rPr>
        <w:t xml:space="preserve"> för att stärka det civila samhällets institutionella stabilitet. Driftsbidrag inom programmet för rättsliga frågor bör utvidgas till att omfatta ideella organisationer som arbetar för mål av allmänt europeiskt intresse.</w:t>
      </w:r>
    </w:p>
    <w:p w14:paraId="2A31C4A0"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Vi välkomnar beslutet att behålla kaskadfinansiering via intermediära organisationer för att nå ut till mindre organisationer och gräsrotsorganisationer. Kommittén anser det vara viktigt att se till att de intermediära organisationerna är oberoende och att deras styrning ligger i linje med EU:s stadga om de grundläggande rättigheterna. Detta bör vara viktiga urvalskriterier för stödberättigande. EESK efterlyser tydlighet med avseende på medfinansieringssatserna och föreslår att både intermediära organisationer och slutmottagare som effektivt genomför en delegerad verksamhet ska kunna beviljas EU-stöd upp till 100 %.</w:t>
      </w:r>
    </w:p>
    <w:p w14:paraId="5250FB9A"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Kommittén noterar att mandatet för och anslagen till de nuvarande kontaktkontoren för Kreativa Europa måste anpassas, så att de på ett effektivt sätt kan stödja det övergripande målet för </w:t>
      </w:r>
      <w:proofErr w:type="spellStart"/>
      <w:r>
        <w:rPr>
          <w:sz w:val="22"/>
        </w:rPr>
        <w:t>AgoraEU</w:t>
      </w:r>
      <w:proofErr w:type="spellEnd"/>
      <w:r>
        <w:rPr>
          <w:sz w:val="22"/>
        </w:rPr>
        <w:t xml:space="preserve"> inom medie-, kultur- och medborgarsfärerna.</w:t>
      </w:r>
    </w:p>
    <w:p w14:paraId="07D115BF"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EESK efterlyser skyddsåtgärder och flexibilitet (till exempel indexering och korrigerande mekanismer) vid användningen av klumpsummor och flerårigt stöd för att förhindra ekonomiska påfrestningar för stödmottagarna.</w:t>
      </w:r>
    </w:p>
    <w:p w14:paraId="7B3BE8D8"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Vi efterlyser förtydliganden om vilka samordningsvinster som förväntas mellan Europeiska konkurrenskraftsfonden och programområdet Media+ i </w:t>
      </w:r>
      <w:proofErr w:type="spellStart"/>
      <w:r>
        <w:rPr>
          <w:sz w:val="22"/>
        </w:rPr>
        <w:t>AgoraEU</w:t>
      </w:r>
      <w:proofErr w:type="spellEnd"/>
      <w:r>
        <w:rPr>
          <w:sz w:val="22"/>
        </w:rPr>
        <w:t>. Kommittén uppmanar kommissionen att se till att stödmottagare som arbetar med liknande frågor kopplas samman och att utarbeta en handlingsplan, så att bestämmelserna om kombinerad och kumulativ finansiering i båda förslagen till förordningar kan fungera rent praktiskt, även när det handlar om gemensamma ansökningsomgångar, samarbete mellan kommissionens generaldirektorat och resultatrapportering.</w:t>
      </w:r>
    </w:p>
    <w:p w14:paraId="4460A9F8"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Kommittén rekommenderar att programmet för rättsliga frågor uttryckligen inriktas mer på brottsoffers rättigheter och tillgång till rättslig prövning, till exempel finansiering av nätverk för stöd till brottsoffer, utbildning av rättstillämpare och gränsöverskridande tillgång till rättshjälp.</w:t>
      </w:r>
    </w:p>
    <w:p w14:paraId="4B65608A"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lastRenderedPageBreak/>
        <w:t>EESK uppmanar kommissionen att rätta till obalanserna avseende finansieringen inom EU, framför allt klyftan mellan öst och väst, i båda programmen.</w:t>
      </w:r>
    </w:p>
    <w:p w14:paraId="0B3578FC" w14:textId="77777777" w:rsidR="007432F6" w:rsidRPr="002010CB"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EESK beklagar att den formella arbetsgruppen för civil dialog inte tagits med i förslaget till förordning om </w:t>
      </w:r>
      <w:proofErr w:type="spellStart"/>
      <w:r>
        <w:rPr>
          <w:sz w:val="22"/>
        </w:rPr>
        <w:t>AgoraEU</w:t>
      </w:r>
      <w:proofErr w:type="spellEnd"/>
      <w:r>
        <w:rPr>
          <w:sz w:val="22"/>
        </w:rPr>
        <w:t xml:space="preserve"> och kräver att den återinrättas.</w:t>
      </w:r>
    </w:p>
    <w:p w14:paraId="1D6F0FC6" w14:textId="77777777" w:rsidR="007432F6" w:rsidRPr="00A534C7" w:rsidRDefault="007432F6" w:rsidP="007432F6">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Kommittén betonar att genomslaget för programmet är beroende av lämplig nationell infrastruktur och medfinansiering. Vi föreslår därför att tillgången till EU:s fonder med delad förvaltning kopplas till medlemsstaternas påvisade stöd för målen för programmet </w:t>
      </w:r>
      <w:proofErr w:type="spellStart"/>
      <w:r>
        <w:rPr>
          <w:sz w:val="22"/>
        </w:rPr>
        <w:t>AgoraEU</w:t>
      </w:r>
      <w:proofErr w:type="spellEnd"/>
      <w:r>
        <w:rPr>
          <w:sz w:val="22"/>
        </w:rPr>
        <w:t xml:space="preserve"> och programmet för rättsliga frågor.</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Kontaktperson:</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proofErr w:type="spellStart"/>
            <w:r>
              <w:rPr>
                <w:i/>
              </w:rPr>
              <w:t>Alessia</w:t>
            </w:r>
            <w:proofErr w:type="spellEnd"/>
            <w:r>
              <w:rPr>
                <w:i/>
              </w:rPr>
              <w:t xml:space="preserve"> </w:t>
            </w:r>
            <w:proofErr w:type="spellStart"/>
            <w:r>
              <w:rPr>
                <w:i/>
              </w:rPr>
              <w:t>Cova</w:t>
            </w:r>
            <w:proofErr w:type="spellEnd"/>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Tfn</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E-post:</w:t>
            </w:r>
          </w:p>
        </w:tc>
        <w:tc>
          <w:tcPr>
            <w:tcW w:w="4493" w:type="dxa"/>
          </w:tcPr>
          <w:p w14:paraId="4E6DFDFB" w14:textId="77777777" w:rsidR="008D0052" w:rsidRPr="008D0052" w:rsidRDefault="00D96ED9" w:rsidP="008D0052">
            <w:pPr>
              <w:overflowPunct w:val="0"/>
              <w:autoSpaceDE w:val="0"/>
              <w:autoSpaceDN w:val="0"/>
              <w:adjustRightInd w:val="0"/>
              <w:spacing w:line="240" w:lineRule="auto"/>
              <w:textAlignment w:val="baseline"/>
              <w:rPr>
                <w:i/>
                <w:iCs/>
              </w:rPr>
            </w:pPr>
            <w:hyperlink r:id="rId27" w:history="1">
              <w:r w:rsidR="001B4202">
                <w:rPr>
                  <w:i/>
                  <w:color w:val="0000FF"/>
                  <w:u w:val="single"/>
                </w:rPr>
                <w:t>Alessia.Cova@eesc.europa.eu</w:t>
              </w:r>
            </w:hyperlink>
          </w:p>
        </w:tc>
      </w:tr>
    </w:tbl>
    <w:p w14:paraId="4982DDC5" w14:textId="3845AAF1" w:rsidR="00427709" w:rsidRDefault="00427709" w:rsidP="004D7AC0">
      <w:pPr>
        <w:spacing w:after="160" w:line="259" w:lineRule="auto"/>
        <w:jc w:val="left"/>
      </w:pPr>
    </w:p>
    <w:p w14:paraId="63BBB066" w14:textId="77777777" w:rsidR="00427709" w:rsidRDefault="00427709">
      <w:pPr>
        <w:spacing w:after="160" w:line="259" w:lineRule="auto"/>
        <w:jc w:val="left"/>
      </w:pPr>
      <w:r>
        <w:br w:type="page"/>
      </w:r>
    </w:p>
    <w:p w14:paraId="4982DDC6" w14:textId="77777777" w:rsidR="004D7AC0" w:rsidRDefault="004D7AC0" w:rsidP="004D7AC0">
      <w:pPr>
        <w:pStyle w:val="Heading1"/>
        <w:rPr>
          <w:b/>
        </w:rPr>
      </w:pPr>
      <w:bookmarkStart w:id="7" w:name="_Toc24617160"/>
      <w:bookmarkStart w:id="8" w:name="_Toc75527082"/>
      <w:bookmarkStart w:id="9" w:name="_Toc217055366"/>
      <w:r>
        <w:rPr>
          <w:b/>
        </w:rPr>
        <w:lastRenderedPageBreak/>
        <w:t>TRANSPORTER, ENERGI, INFRASTRUKTUR OCH INFORMATIONSSAMHÄLLET</w:t>
      </w:r>
      <w:bookmarkEnd w:id="7"/>
      <w:bookmarkEnd w:id="8"/>
      <w:bookmarkEnd w:id="9"/>
    </w:p>
    <w:p w14:paraId="4982DDC7" w14:textId="77777777" w:rsidR="004D7AC0" w:rsidRDefault="004D7AC0" w:rsidP="004D7AC0"/>
    <w:p w14:paraId="55565CEF" w14:textId="77777777" w:rsidR="00312E18" w:rsidRPr="00AC7B06" w:rsidRDefault="00312E18" w:rsidP="00312E18">
      <w:pPr>
        <w:widowControl w:val="0"/>
        <w:jc w:val="center"/>
        <w:rPr>
          <w:bCs/>
          <w:iCs/>
        </w:rPr>
      </w:pPr>
    </w:p>
    <w:p w14:paraId="6D382040" w14:textId="77777777" w:rsidR="00312E18" w:rsidRPr="00327164" w:rsidRDefault="00312E18" w:rsidP="00312E18">
      <w:pPr>
        <w:widowControl w:val="0"/>
        <w:numPr>
          <w:ilvl w:val="0"/>
          <w:numId w:val="4"/>
        </w:numPr>
        <w:overflowPunct w:val="0"/>
        <w:autoSpaceDE w:val="0"/>
        <w:autoSpaceDN w:val="0"/>
        <w:adjustRightInd w:val="0"/>
        <w:ind w:hanging="567"/>
        <w:textAlignment w:val="baseline"/>
        <w:rPr>
          <w:rStyle w:val="Hyperlink"/>
          <w:sz w:val="20"/>
        </w:rPr>
      </w:pPr>
      <w:r>
        <w:rPr>
          <w:b/>
          <w:i/>
          <w:sz w:val="28"/>
        </w:rPr>
        <w:t xml:space="preserve">TEN/868 – </w:t>
      </w:r>
      <w:hyperlink r:id="rId28" w:history="1">
        <w:r>
          <w:rPr>
            <w:rStyle w:val="Hyperlink"/>
            <w:b/>
            <w:i/>
            <w:sz w:val="28"/>
          </w:rPr>
          <w:t>Koldioxidutsläppsklassen för tunga fordon med släpfordon</w:t>
        </w:r>
      </w:hyperlink>
    </w:p>
    <w:p w14:paraId="1D3A38E1" w14:textId="77777777" w:rsidR="00312E18" w:rsidRPr="00AC7B06" w:rsidRDefault="00312E18" w:rsidP="00312E18">
      <w:pPr>
        <w:widowControl w:val="0"/>
        <w:ind w:left="567"/>
        <w:rPr>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361"/>
      </w:tblGrid>
      <w:tr w:rsidR="00312E18" w:rsidRPr="00E454A2" w14:paraId="2375B880" w14:textId="77777777" w:rsidTr="00CD594D">
        <w:tc>
          <w:tcPr>
            <w:tcW w:w="1701" w:type="dxa"/>
          </w:tcPr>
          <w:p w14:paraId="5DA4CC81" w14:textId="77777777" w:rsidR="00312E18" w:rsidRPr="00AC7B06" w:rsidRDefault="00312E18" w:rsidP="00CD594D">
            <w:pPr>
              <w:tabs>
                <w:tab w:val="center" w:pos="284"/>
              </w:tabs>
              <w:ind w:left="596" w:hanging="709"/>
              <w:rPr>
                <w:b/>
              </w:rPr>
            </w:pPr>
            <w:r>
              <w:rPr>
                <w:b/>
              </w:rPr>
              <w:t>Föredragande:</w:t>
            </w:r>
          </w:p>
        </w:tc>
        <w:tc>
          <w:tcPr>
            <w:tcW w:w="7621" w:type="dxa"/>
          </w:tcPr>
          <w:p w14:paraId="1646569E" w14:textId="77777777" w:rsidR="00312E18" w:rsidRPr="00603EF6" w:rsidRDefault="00312E18" w:rsidP="00CD594D">
            <w:pPr>
              <w:tabs>
                <w:tab w:val="center" w:pos="284"/>
              </w:tabs>
              <w:ind w:left="720" w:hanging="720"/>
              <w:rPr>
                <w:bCs/>
              </w:rPr>
            </w:pPr>
            <w:r>
              <w:t>Kategori C-yttrande</w:t>
            </w:r>
          </w:p>
        </w:tc>
      </w:tr>
      <w:tr w:rsidR="00312E18" w:rsidRPr="00E454A2" w14:paraId="0D29BBA5" w14:textId="77777777" w:rsidTr="00CD594D">
        <w:tc>
          <w:tcPr>
            <w:tcW w:w="1701" w:type="dxa"/>
          </w:tcPr>
          <w:p w14:paraId="7633DCD0" w14:textId="77777777" w:rsidR="00312E18" w:rsidRPr="00AC7B06" w:rsidRDefault="00312E18" w:rsidP="00CD594D">
            <w:pPr>
              <w:tabs>
                <w:tab w:val="center" w:pos="284"/>
              </w:tabs>
              <w:ind w:left="596" w:hanging="709"/>
              <w:rPr>
                <w:b/>
              </w:rPr>
            </w:pPr>
            <w:r>
              <w:rPr>
                <w:b/>
              </w:rPr>
              <w:t>Referensdokument:</w:t>
            </w:r>
          </w:p>
        </w:tc>
        <w:tc>
          <w:tcPr>
            <w:tcW w:w="7621" w:type="dxa"/>
          </w:tcPr>
          <w:p w14:paraId="3EAB215B" w14:textId="77777777" w:rsidR="00312E18" w:rsidRPr="00E454A2" w:rsidRDefault="00312E18" w:rsidP="00CD594D">
            <w:pPr>
              <w:tabs>
                <w:tab w:val="center" w:pos="284"/>
              </w:tabs>
              <w:ind w:left="720" w:hanging="720"/>
              <w:rPr>
                <w:bCs/>
              </w:rPr>
            </w:pPr>
            <w:r>
              <w:t>COM(2023) 589 final – 2023/0134(COD)</w:t>
            </w:r>
          </w:p>
          <w:p w14:paraId="462B7B65" w14:textId="77777777" w:rsidR="00312E18" w:rsidRPr="00AC7B06" w:rsidRDefault="00312E18" w:rsidP="00CD594D">
            <w:pPr>
              <w:tabs>
                <w:tab w:val="center" w:pos="284"/>
              </w:tabs>
              <w:ind w:left="720" w:hanging="720"/>
            </w:pPr>
            <w:r>
              <w:t>EESC-2023-03779-00-AC.</w:t>
            </w:r>
          </w:p>
        </w:tc>
      </w:tr>
    </w:tbl>
    <w:p w14:paraId="15105647" w14:textId="77777777" w:rsidR="00312E18" w:rsidRDefault="00312E18" w:rsidP="00312E18">
      <w:pPr>
        <w:keepNext/>
        <w:keepLines/>
        <w:tabs>
          <w:tab w:val="center" w:pos="284"/>
        </w:tabs>
        <w:ind w:left="720" w:hanging="720"/>
        <w:rPr>
          <w:b/>
        </w:rPr>
      </w:pPr>
    </w:p>
    <w:p w14:paraId="2ECA9126" w14:textId="77777777" w:rsidR="00312E18" w:rsidRPr="00AC7B06" w:rsidRDefault="00312E18" w:rsidP="00312E18">
      <w:pPr>
        <w:keepNext/>
        <w:keepLines/>
        <w:tabs>
          <w:tab w:val="center" w:pos="284"/>
        </w:tabs>
        <w:ind w:left="720" w:hanging="720"/>
        <w:rPr>
          <w:b/>
        </w:rPr>
      </w:pPr>
      <w:r>
        <w:rPr>
          <w:b/>
        </w:rPr>
        <w:t>Huvudpunkter</w:t>
      </w:r>
    </w:p>
    <w:p w14:paraId="2C2F30DA" w14:textId="77777777" w:rsidR="00312E18" w:rsidRPr="00AC7B06" w:rsidRDefault="00312E18" w:rsidP="00312E18">
      <w:pPr>
        <w:keepNext/>
        <w:keepLines/>
        <w:tabs>
          <w:tab w:val="center" w:pos="284"/>
        </w:tabs>
        <w:ind w:left="720" w:hanging="720"/>
        <w:rPr>
          <w:b/>
        </w:rPr>
      </w:pPr>
    </w:p>
    <w:p w14:paraId="2971F111" w14:textId="77777777" w:rsidR="00312E18" w:rsidRPr="00603EF6" w:rsidRDefault="00312E18" w:rsidP="00312E18">
      <w:pPr>
        <w:widowControl w:val="0"/>
        <w:numPr>
          <w:ilvl w:val="0"/>
          <w:numId w:val="4"/>
        </w:numPr>
        <w:overflowPunct w:val="0"/>
        <w:autoSpaceDE w:val="0"/>
        <w:autoSpaceDN w:val="0"/>
        <w:adjustRightInd w:val="0"/>
        <w:ind w:hanging="567"/>
        <w:textAlignment w:val="baseline"/>
        <w:rPr>
          <w:bCs/>
          <w:iCs/>
        </w:rPr>
      </w:pPr>
      <w:r>
        <w:t>Eftersom kommittén redan uttalat sig om det aktuella förslagets innehåll i sitt yttrande TEN/815 ”Koldioxidutsläppsklassen för tunga fordon med släpfordon” (</w:t>
      </w:r>
      <w:hyperlink r:id="rId29" w:history="1">
        <w:r>
          <w:rPr>
            <w:rStyle w:val="Hyperlink"/>
          </w:rPr>
          <w:t>C/2023/874</w:t>
        </w:r>
      </w:hyperlink>
      <w:r>
        <w:t>) av den 20 september 2023, beslutade EESK att inte utarbeta något nytt yttrande i frågan, utan att hänvisa till sin ståndpunkt i ovannämnda dokument.</w:t>
      </w:r>
    </w:p>
    <w:p w14:paraId="1339D2CC" w14:textId="77777777" w:rsidR="00312E18" w:rsidRPr="00AC7B06" w:rsidRDefault="00312E18" w:rsidP="00312E18">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700"/>
      </w:tblGrid>
      <w:tr w:rsidR="00312E18" w:rsidRPr="00AC7B06" w14:paraId="6E47637C" w14:textId="77777777" w:rsidTr="00CD594D">
        <w:tc>
          <w:tcPr>
            <w:tcW w:w="1418" w:type="dxa"/>
          </w:tcPr>
          <w:p w14:paraId="2C58A9BD" w14:textId="77777777" w:rsidR="00312E18" w:rsidRPr="00AC7B06" w:rsidRDefault="00312E18" w:rsidP="00CD594D">
            <w:pPr>
              <w:ind w:left="720" w:hanging="720"/>
              <w:rPr>
                <w:i/>
              </w:rPr>
            </w:pPr>
            <w:r>
              <w:rPr>
                <w:b/>
                <w:i/>
              </w:rPr>
              <w:t>Kontaktperson:</w:t>
            </w:r>
          </w:p>
        </w:tc>
        <w:tc>
          <w:tcPr>
            <w:tcW w:w="7904" w:type="dxa"/>
          </w:tcPr>
          <w:p w14:paraId="60747207" w14:textId="77777777" w:rsidR="00312E18" w:rsidRPr="00AC7B06" w:rsidRDefault="00312E18" w:rsidP="00CD594D">
            <w:pPr>
              <w:ind w:left="720" w:hanging="720"/>
              <w:rPr>
                <w:i/>
              </w:rPr>
            </w:pPr>
            <w:r>
              <w:rPr>
                <w:i/>
              </w:rPr>
              <w:t>Maja RADMAN</w:t>
            </w:r>
          </w:p>
        </w:tc>
      </w:tr>
      <w:tr w:rsidR="00312E18" w:rsidRPr="00AC7B06" w14:paraId="562B2117" w14:textId="77777777" w:rsidTr="00CD594D">
        <w:tc>
          <w:tcPr>
            <w:tcW w:w="1418" w:type="dxa"/>
          </w:tcPr>
          <w:p w14:paraId="43C0904C" w14:textId="77777777" w:rsidR="00312E18" w:rsidRPr="00AC7B06" w:rsidRDefault="00312E18" w:rsidP="00CD594D">
            <w:pPr>
              <w:ind w:left="720" w:hanging="720"/>
              <w:rPr>
                <w:i/>
              </w:rPr>
            </w:pPr>
            <w:r>
              <w:rPr>
                <w:i/>
              </w:rPr>
              <w:t>Tfn</w:t>
            </w:r>
          </w:p>
        </w:tc>
        <w:tc>
          <w:tcPr>
            <w:tcW w:w="7904" w:type="dxa"/>
          </w:tcPr>
          <w:p w14:paraId="4D6C7E03" w14:textId="77777777" w:rsidR="00312E18" w:rsidRPr="00AC7B06" w:rsidRDefault="00312E18" w:rsidP="00CD594D">
            <w:pPr>
              <w:ind w:left="720" w:hanging="720"/>
              <w:rPr>
                <w:i/>
              </w:rPr>
            </w:pPr>
            <w:r>
              <w:rPr>
                <w:i/>
              </w:rPr>
              <w:t>+32 254690</w:t>
            </w:r>
            <w:r>
              <w:t>51</w:t>
            </w:r>
          </w:p>
        </w:tc>
      </w:tr>
      <w:tr w:rsidR="00312E18" w:rsidRPr="00A6689B" w14:paraId="5D4FC092" w14:textId="77777777" w:rsidTr="00CD594D">
        <w:tc>
          <w:tcPr>
            <w:tcW w:w="1418" w:type="dxa"/>
          </w:tcPr>
          <w:p w14:paraId="4FA14DB1" w14:textId="77777777" w:rsidR="00312E18" w:rsidRPr="00AC7B06" w:rsidRDefault="00312E18" w:rsidP="00CD594D">
            <w:pPr>
              <w:ind w:left="720" w:hanging="720"/>
              <w:rPr>
                <w:i/>
              </w:rPr>
            </w:pPr>
            <w:r>
              <w:rPr>
                <w:i/>
              </w:rPr>
              <w:t>E-post:</w:t>
            </w:r>
          </w:p>
        </w:tc>
        <w:tc>
          <w:tcPr>
            <w:tcW w:w="7904" w:type="dxa"/>
          </w:tcPr>
          <w:p w14:paraId="7A2E4D13" w14:textId="77777777" w:rsidR="00312E18" w:rsidRPr="00A6689B" w:rsidRDefault="00312E18" w:rsidP="00CD594D">
            <w:pPr>
              <w:ind w:left="720" w:hanging="720"/>
              <w:rPr>
                <w:i/>
              </w:rPr>
            </w:pPr>
            <w:hyperlink r:id="rId30" w:history="1">
              <w:r>
                <w:rPr>
                  <w:rStyle w:val="Hyperlink"/>
                  <w:i/>
                </w:rPr>
                <w:t>Maja.Radman@eesc.europa.eu</w:t>
              </w:r>
            </w:hyperlink>
          </w:p>
        </w:tc>
      </w:tr>
    </w:tbl>
    <w:p w14:paraId="4982DDF0" w14:textId="09A1E184" w:rsidR="0005334D" w:rsidRDefault="0005334D">
      <w:pPr>
        <w:spacing w:after="160" w:line="259" w:lineRule="auto"/>
        <w:jc w:val="left"/>
      </w:pPr>
      <w:r>
        <w:br w:type="page"/>
      </w:r>
    </w:p>
    <w:p w14:paraId="6E40B46D" w14:textId="3452BC65" w:rsidR="00C1457E" w:rsidRPr="003211C3" w:rsidRDefault="00C1457E" w:rsidP="00C1457E">
      <w:pPr>
        <w:widowControl w:val="0"/>
        <w:numPr>
          <w:ilvl w:val="0"/>
          <w:numId w:val="4"/>
        </w:numPr>
        <w:overflowPunct w:val="0"/>
        <w:autoSpaceDE w:val="0"/>
        <w:autoSpaceDN w:val="0"/>
        <w:adjustRightInd w:val="0"/>
        <w:ind w:hanging="567"/>
        <w:textAlignment w:val="baseline"/>
        <w:rPr>
          <w:rStyle w:val="Hyperlink"/>
          <w:sz w:val="24"/>
          <w:szCs w:val="24"/>
        </w:rPr>
      </w:pPr>
      <w:r>
        <w:rPr>
          <w:b/>
          <w:i/>
          <w:sz w:val="28"/>
        </w:rPr>
        <w:lastRenderedPageBreak/>
        <w:fldChar w:fldCharType="begin"/>
      </w:r>
      <w:r>
        <w:rPr>
          <w:b/>
          <w:i/>
          <w:sz w:val="28"/>
        </w:rPr>
        <w:instrText xml:space="preserve"> HYPERLINK "https://www.eesc.europa.eu/sv/our-work/opinions-information-reports/opinions/eu-space-act" </w:instrText>
      </w:r>
      <w:r>
        <w:rPr>
          <w:b/>
          <w:i/>
          <w:sz w:val="28"/>
        </w:rPr>
        <w:fldChar w:fldCharType="separate"/>
      </w:r>
      <w:r>
        <w:rPr>
          <w:rStyle w:val="Hyperlink"/>
          <w:b/>
          <w:i/>
          <w:sz w:val="28"/>
        </w:rPr>
        <w:t>EU:s rymdförordning</w:t>
      </w:r>
    </w:p>
    <w:p w14:paraId="4356A86B" w14:textId="77777777" w:rsidR="00C1457E" w:rsidRPr="000D0411" w:rsidRDefault="00C1457E" w:rsidP="00C1457E">
      <w:pPr>
        <w:tabs>
          <w:tab w:val="center" w:pos="284"/>
        </w:tabs>
        <w:ind w:left="266" w:hanging="266"/>
        <w:rPr>
          <w:b/>
          <w:sz w:val="14"/>
        </w:rPr>
      </w:pPr>
      <w:r>
        <w:rPr>
          <w:b/>
          <w:i/>
          <w:sz w:val="28"/>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5387"/>
      </w:tblGrid>
      <w:tr w:rsidR="00C1457E" w:rsidRPr="0083314C" w14:paraId="191BBF9B" w14:textId="77777777" w:rsidTr="00CD594D">
        <w:tc>
          <w:tcPr>
            <w:tcW w:w="1701" w:type="dxa"/>
          </w:tcPr>
          <w:p w14:paraId="6E87DD38" w14:textId="77777777" w:rsidR="00C1457E" w:rsidRPr="00A6689B" w:rsidRDefault="00C1457E" w:rsidP="00CD594D">
            <w:pPr>
              <w:tabs>
                <w:tab w:val="center" w:pos="284"/>
              </w:tabs>
              <w:ind w:left="266" w:hanging="266"/>
              <w:rPr>
                <w:b/>
              </w:rPr>
            </w:pPr>
            <w:r>
              <w:rPr>
                <w:b/>
              </w:rPr>
              <w:t>Föredragande:</w:t>
            </w:r>
          </w:p>
        </w:tc>
        <w:tc>
          <w:tcPr>
            <w:tcW w:w="5387" w:type="dxa"/>
          </w:tcPr>
          <w:p w14:paraId="6D3EB111" w14:textId="77777777" w:rsidR="00C1457E" w:rsidRPr="0083314C" w:rsidRDefault="00C1457E" w:rsidP="00CD594D">
            <w:pPr>
              <w:tabs>
                <w:tab w:val="center" w:pos="284"/>
              </w:tabs>
              <w:ind w:left="266" w:hanging="266"/>
            </w:pPr>
            <w:r>
              <w:t xml:space="preserve">Angelo </w:t>
            </w:r>
            <w:proofErr w:type="spellStart"/>
            <w:r>
              <w:t>Pagliara</w:t>
            </w:r>
            <w:proofErr w:type="spellEnd"/>
            <w:r>
              <w:t xml:space="preserve"> (Arbetstagargruppen – IT)</w:t>
            </w:r>
          </w:p>
        </w:tc>
      </w:tr>
      <w:tr w:rsidR="00C1457E" w:rsidRPr="00A6689B" w14:paraId="01F26C85" w14:textId="77777777" w:rsidTr="00CD594D">
        <w:tc>
          <w:tcPr>
            <w:tcW w:w="7088" w:type="dxa"/>
            <w:gridSpan w:val="2"/>
          </w:tcPr>
          <w:p w14:paraId="58925C79" w14:textId="77777777" w:rsidR="00C1457E" w:rsidRPr="0083314C" w:rsidRDefault="00C1457E" w:rsidP="00CD594D">
            <w:pPr>
              <w:tabs>
                <w:tab w:val="center" w:pos="284"/>
              </w:tabs>
              <w:spacing w:line="160" w:lineRule="exact"/>
              <w:ind w:left="266" w:hanging="266"/>
              <w:rPr>
                <w:lang w:val="en-US"/>
              </w:rPr>
            </w:pPr>
          </w:p>
        </w:tc>
      </w:tr>
      <w:tr w:rsidR="00C1457E" w:rsidRPr="00A6689B" w14:paraId="2DEC765D" w14:textId="77777777" w:rsidTr="00CD594D">
        <w:tc>
          <w:tcPr>
            <w:tcW w:w="1701" w:type="dxa"/>
            <w:vMerge w:val="restart"/>
          </w:tcPr>
          <w:p w14:paraId="4C39E6A2" w14:textId="77777777" w:rsidR="00C1457E" w:rsidRPr="00A6689B" w:rsidRDefault="00C1457E" w:rsidP="00CD594D">
            <w:pPr>
              <w:tabs>
                <w:tab w:val="center" w:pos="284"/>
              </w:tabs>
              <w:ind w:left="266" w:hanging="266"/>
              <w:rPr>
                <w:b/>
              </w:rPr>
            </w:pPr>
            <w:r>
              <w:rPr>
                <w:b/>
              </w:rPr>
              <w:t xml:space="preserve">Referensdokument: </w:t>
            </w:r>
          </w:p>
        </w:tc>
        <w:tc>
          <w:tcPr>
            <w:tcW w:w="5387" w:type="dxa"/>
          </w:tcPr>
          <w:p w14:paraId="6451B728" w14:textId="77777777" w:rsidR="00C1457E" w:rsidRPr="0083314C" w:rsidRDefault="00C1457E" w:rsidP="00CD594D">
            <w:pPr>
              <w:tabs>
                <w:tab w:val="center" w:pos="284"/>
              </w:tabs>
              <w:ind w:left="266" w:hanging="266"/>
            </w:pPr>
            <w:r>
              <w:t>COM(2025)335 final</w:t>
            </w:r>
          </w:p>
        </w:tc>
      </w:tr>
      <w:tr w:rsidR="00C1457E" w:rsidRPr="00A6689B" w14:paraId="0C706327" w14:textId="77777777" w:rsidTr="00CD594D">
        <w:tc>
          <w:tcPr>
            <w:tcW w:w="1701" w:type="dxa"/>
            <w:vMerge/>
          </w:tcPr>
          <w:p w14:paraId="638598C9" w14:textId="77777777" w:rsidR="00C1457E" w:rsidRPr="00A6689B" w:rsidRDefault="00C1457E" w:rsidP="00CD594D">
            <w:pPr>
              <w:tabs>
                <w:tab w:val="center" w:pos="284"/>
              </w:tabs>
              <w:ind w:left="266" w:hanging="266"/>
              <w:rPr>
                <w:b/>
                <w:lang w:val="en-US"/>
              </w:rPr>
            </w:pPr>
          </w:p>
        </w:tc>
        <w:tc>
          <w:tcPr>
            <w:tcW w:w="5387" w:type="dxa"/>
          </w:tcPr>
          <w:p w14:paraId="17435068" w14:textId="77777777" w:rsidR="00C1457E" w:rsidRPr="0083314C" w:rsidRDefault="00C1457E" w:rsidP="00CD594D">
            <w:pPr>
              <w:tabs>
                <w:tab w:val="center" w:pos="284"/>
              </w:tabs>
              <w:ind w:left="266" w:hanging="266"/>
            </w:pPr>
            <w:r>
              <w:t>EESC-2024-00225-00-00-AC</w:t>
            </w:r>
          </w:p>
        </w:tc>
      </w:tr>
    </w:tbl>
    <w:p w14:paraId="4E987994" w14:textId="77777777" w:rsidR="00C1457E" w:rsidRPr="000D0411" w:rsidRDefault="00C1457E" w:rsidP="00C1457E">
      <w:pPr>
        <w:tabs>
          <w:tab w:val="center" w:pos="284"/>
        </w:tabs>
        <w:ind w:left="266" w:hanging="266"/>
        <w:rPr>
          <w:sz w:val="14"/>
          <w:szCs w:val="14"/>
        </w:rPr>
      </w:pPr>
    </w:p>
    <w:p w14:paraId="4A7CF543" w14:textId="77777777" w:rsidR="00C1457E" w:rsidRPr="004F3EB7" w:rsidRDefault="00C1457E" w:rsidP="00C1457E">
      <w:pPr>
        <w:keepNext/>
        <w:keepLines/>
        <w:tabs>
          <w:tab w:val="center" w:pos="284"/>
        </w:tabs>
        <w:ind w:left="266" w:hanging="266"/>
        <w:rPr>
          <w:b/>
        </w:rPr>
      </w:pPr>
      <w:r>
        <w:rPr>
          <w:b/>
        </w:rPr>
        <w:t>Huvudpunkter</w:t>
      </w:r>
    </w:p>
    <w:p w14:paraId="36D9E4A8" w14:textId="77777777" w:rsidR="00C1457E" w:rsidRPr="004F3EB7" w:rsidRDefault="00C1457E" w:rsidP="00C1457E">
      <w:pPr>
        <w:keepNext/>
        <w:keepLines/>
        <w:tabs>
          <w:tab w:val="center" w:pos="284"/>
        </w:tabs>
        <w:ind w:left="266" w:hanging="266"/>
        <w:rPr>
          <w:b/>
        </w:rPr>
      </w:pPr>
    </w:p>
    <w:p w14:paraId="6025C849" w14:textId="77777777" w:rsidR="00C1457E" w:rsidRPr="004F3EB7" w:rsidRDefault="00C1457E" w:rsidP="00C1457E">
      <w:pPr>
        <w:rPr>
          <w:bCs/>
          <w:iCs/>
        </w:rPr>
      </w:pPr>
      <w:proofErr w:type="spellStart"/>
      <w:r>
        <w:t>EESK:s</w:t>
      </w:r>
      <w:proofErr w:type="spellEnd"/>
      <w:r>
        <w:t xml:space="preserve"> ståndpunkt:</w:t>
      </w:r>
    </w:p>
    <w:p w14:paraId="24818EC2" w14:textId="77777777" w:rsidR="00C1457E" w:rsidRPr="004F3EB7" w:rsidRDefault="00C1457E" w:rsidP="00C1457E">
      <w:pPr>
        <w:rPr>
          <w:bCs/>
          <w:iCs/>
        </w:rPr>
      </w:pPr>
    </w:p>
    <w:p w14:paraId="194E7415" w14:textId="77777777" w:rsidR="00C1457E" w:rsidRPr="004F3EB7" w:rsidRDefault="00C1457E" w:rsidP="00C1457E">
      <w:pPr>
        <w:numPr>
          <w:ilvl w:val="0"/>
          <w:numId w:val="4"/>
        </w:numPr>
        <w:ind w:hanging="567"/>
      </w:pPr>
      <w:r>
        <w:t xml:space="preserve">EESK rekommenderar att de </w:t>
      </w:r>
      <w:r>
        <w:rPr>
          <w:b/>
        </w:rPr>
        <w:t>europeiska offentliga investeringarna på rymdområdet</w:t>
      </w:r>
      <w:r>
        <w:t xml:space="preserve"> omedelbart </w:t>
      </w:r>
      <w:r>
        <w:rPr>
          <w:b/>
        </w:rPr>
        <w:t>stärks</w:t>
      </w:r>
      <w:r>
        <w:t xml:space="preserve"> strukturellt, och att dessa investeringar ökas</w:t>
      </w:r>
      <w:r>
        <w:rPr>
          <w:b/>
        </w:rPr>
        <w:t xml:space="preserve"> till minst 0,2 % av BNP senast 2030</w:t>
      </w:r>
      <w:r>
        <w:t>.</w:t>
      </w:r>
    </w:p>
    <w:p w14:paraId="71C807AB" w14:textId="77777777" w:rsidR="00C1457E" w:rsidRPr="004F3EB7" w:rsidRDefault="00C1457E" w:rsidP="00C1457E">
      <w:pPr>
        <w:numPr>
          <w:ilvl w:val="0"/>
          <w:numId w:val="4"/>
        </w:numPr>
        <w:ind w:hanging="567"/>
      </w:pPr>
      <w:r>
        <w:t xml:space="preserve">Kommittén rekommenderar att det </w:t>
      </w:r>
      <w:r>
        <w:rPr>
          <w:b/>
        </w:rPr>
        <w:t>klargörs hur artikel 114 i fördraget kan utgöra den rättsliga grunden för en inre marknad för rymdrelaterade produkter, tjänster och data</w:t>
      </w:r>
      <w:r>
        <w:t xml:space="preserve">, och föreslår att det fastställs att bestämmelserna i rymdförordningen måste tolkas mot bakgrund av de </w:t>
      </w:r>
      <w:r>
        <w:rPr>
          <w:b/>
        </w:rPr>
        <w:t>internationella skyldigheter som medlemsstaterna redan har åtagit sig</w:t>
      </w:r>
      <w:r>
        <w:t>.</w:t>
      </w:r>
    </w:p>
    <w:p w14:paraId="21DB143F" w14:textId="77777777" w:rsidR="00C1457E" w:rsidRPr="004F3EB7" w:rsidRDefault="00C1457E" w:rsidP="00C1457E">
      <w:pPr>
        <w:numPr>
          <w:ilvl w:val="0"/>
          <w:numId w:val="4"/>
        </w:numPr>
        <w:ind w:hanging="567"/>
      </w:pPr>
      <w:r>
        <w:t xml:space="preserve">EESK rekommenderar att det klargörs </w:t>
      </w:r>
      <w:r>
        <w:rPr>
          <w:b/>
        </w:rPr>
        <w:t>varför man i avdelning I endast hänvisar till kriteriet avseende aktörens etableringsmedlemsstat</w:t>
      </w:r>
      <w:r>
        <w:t xml:space="preserve"> eller en tredjelandsrymdaktörs etableringsland, utan att göra någon hänvisning till det land där dessa aktörer är medborgare, och rekommenderar att </w:t>
      </w:r>
      <w:r>
        <w:rPr>
          <w:b/>
        </w:rPr>
        <w:t>artikel 6.3 förtydligas för att garantera en bättre samordning med medlemsstaternas nationella rymdlagstiftningar</w:t>
      </w:r>
      <w:r>
        <w:t xml:space="preserve"> som identifierar aktörer som är skyldiga att erhålla tillstånd beroende på nationalitet eller det geografiska område från vilket rymdverksamheten bedrivs.</w:t>
      </w:r>
    </w:p>
    <w:p w14:paraId="6CA488BB" w14:textId="77777777" w:rsidR="00C1457E" w:rsidRPr="004F3EB7" w:rsidRDefault="00C1457E" w:rsidP="00C1457E">
      <w:pPr>
        <w:numPr>
          <w:ilvl w:val="0"/>
          <w:numId w:val="4"/>
        </w:numPr>
        <w:ind w:hanging="567"/>
      </w:pPr>
      <w:r>
        <w:t xml:space="preserve">Kommittén rekommenderar </w:t>
      </w:r>
      <w:r>
        <w:rPr>
          <w:b/>
        </w:rPr>
        <w:t>att man i avdelning II förtydligar hur undantagen och flexibiliteten i tillståndsförfarandet ska fungera</w:t>
      </w:r>
      <w:r>
        <w:t xml:space="preserve"> genom att specificera handläggningstider, tillämplighet på icke-kommersiella uppdrag, kommissionens inspektionsbefogenheter samt Europeiska rymdorganisationens och </w:t>
      </w:r>
      <w:proofErr w:type="spellStart"/>
      <w:r>
        <w:t>EUSPA:s</w:t>
      </w:r>
      <w:proofErr w:type="spellEnd"/>
      <w:r>
        <w:t xml:space="preserve"> operativa roll.</w:t>
      </w:r>
    </w:p>
    <w:p w14:paraId="7F1E5196" w14:textId="77777777" w:rsidR="00C1457E" w:rsidRPr="004F3EB7" w:rsidRDefault="00C1457E" w:rsidP="00C1457E">
      <w:pPr>
        <w:numPr>
          <w:ilvl w:val="0"/>
          <w:numId w:val="4"/>
        </w:numPr>
        <w:ind w:hanging="567"/>
      </w:pPr>
      <w:r>
        <w:t xml:space="preserve">Kommittén rekommenderar att man exakt fastställer de </w:t>
      </w:r>
      <w:r>
        <w:rPr>
          <w:b/>
        </w:rPr>
        <w:t>gränser inom vilka medlemsstaterna får införa strängare krav</w:t>
      </w:r>
      <w:r>
        <w:t xml:space="preserve"> med avseende på dels den fria rörligheten för rymdbaserade data och rymdtjänster i unionen.</w:t>
      </w:r>
    </w:p>
    <w:p w14:paraId="492CD7CF" w14:textId="77777777" w:rsidR="00C1457E" w:rsidRPr="004F3EB7" w:rsidRDefault="00C1457E" w:rsidP="00C1457E">
      <w:pPr>
        <w:numPr>
          <w:ilvl w:val="0"/>
          <w:numId w:val="4"/>
        </w:numPr>
        <w:ind w:hanging="567"/>
      </w:pPr>
      <w:r>
        <w:t xml:space="preserve">EESK betonar behovet av att </w:t>
      </w:r>
      <w:r>
        <w:rPr>
          <w:b/>
        </w:rPr>
        <w:t>stärka principen om ömsesidigt erkännande och gemensamma regler för att undvika fragmentering</w:t>
      </w:r>
      <w:r>
        <w:t xml:space="preserve"> och byråkratiska hinder.</w:t>
      </w:r>
    </w:p>
    <w:p w14:paraId="586004D4" w14:textId="77777777" w:rsidR="00C1457E" w:rsidRPr="004F3EB7" w:rsidRDefault="00C1457E" w:rsidP="00C1457E">
      <w:pPr>
        <w:numPr>
          <w:ilvl w:val="0"/>
          <w:numId w:val="4"/>
        </w:numPr>
        <w:ind w:hanging="567"/>
      </w:pPr>
      <w:r>
        <w:rPr>
          <w:b/>
        </w:rPr>
        <w:t>EU:s rymdstrategi bör kopplas till EU:s strategiska oberoende</w:t>
      </w:r>
      <w:r>
        <w:t xml:space="preserve"> och man bör främja </w:t>
      </w:r>
      <w:r>
        <w:rPr>
          <w:b/>
        </w:rPr>
        <w:t>kompletterande ekosystem och rymdekonomins multiplikatoreffekt</w:t>
      </w:r>
      <w:r>
        <w:t xml:space="preserve"> till stöd för specifika sektorer.</w:t>
      </w:r>
    </w:p>
    <w:p w14:paraId="76A610AE" w14:textId="77777777" w:rsidR="00C1457E" w:rsidRPr="004F3EB7" w:rsidRDefault="00C1457E" w:rsidP="00C1457E">
      <w:pPr>
        <w:numPr>
          <w:ilvl w:val="0"/>
          <w:numId w:val="4"/>
        </w:numPr>
        <w:ind w:hanging="567"/>
      </w:pPr>
      <w:r>
        <w:t xml:space="preserve">Kommittén rekommenderar att man utarbetar en </w:t>
      </w:r>
      <w:r>
        <w:rPr>
          <w:b/>
        </w:rPr>
        <w:t>integrerad strategi för rymdkompetens och arbetstillfällen</w:t>
      </w:r>
      <w:r>
        <w:t xml:space="preserve"> och antar en </w:t>
      </w:r>
      <w:r>
        <w:rPr>
          <w:b/>
        </w:rPr>
        <w:t>EU-agenda för rymdkompetens</w:t>
      </w:r>
      <w:r>
        <w:t>.</w:t>
      </w:r>
    </w:p>
    <w:p w14:paraId="5BDAD0FB" w14:textId="77777777" w:rsidR="00C1457E" w:rsidRPr="000D0411" w:rsidRDefault="00C1457E" w:rsidP="00C1457E">
      <w:pPr>
        <w:numPr>
          <w:ilvl w:val="0"/>
          <w:numId w:val="4"/>
        </w:numPr>
        <w:ind w:hanging="567"/>
      </w:pPr>
      <w:r>
        <w:t xml:space="preserve">EESK efterlyser tillräckliga resurser för att </w:t>
      </w:r>
      <w:r>
        <w:rPr>
          <w:b/>
        </w:rPr>
        <w:t>operativt förstärka EUSPA</w:t>
      </w:r>
      <w:r>
        <w:t xml:space="preserve"> i nästa fleråriga budgetram 2028–2034.</w:t>
      </w:r>
    </w:p>
    <w:p w14:paraId="74900B11" w14:textId="77777777" w:rsidR="00C1457E" w:rsidRPr="000D0411" w:rsidRDefault="00C1457E" w:rsidP="00C1457E">
      <w:pPr>
        <w:widowControl w:val="0"/>
        <w:ind w:left="709"/>
        <w:rPr>
          <w:sz w:val="14"/>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5670"/>
      </w:tblGrid>
      <w:tr w:rsidR="00C1457E" w:rsidRPr="004F3EB7" w14:paraId="6684F9AA" w14:textId="77777777" w:rsidTr="00CD594D">
        <w:tc>
          <w:tcPr>
            <w:tcW w:w="1418" w:type="dxa"/>
          </w:tcPr>
          <w:p w14:paraId="55057BDE" w14:textId="77777777" w:rsidR="00C1457E" w:rsidRPr="004F3EB7" w:rsidRDefault="00C1457E" w:rsidP="00CD594D">
            <w:pPr>
              <w:rPr>
                <w:i/>
              </w:rPr>
            </w:pPr>
            <w:r>
              <w:rPr>
                <w:b/>
                <w:i/>
              </w:rPr>
              <w:t>Kontaktperson:</w:t>
            </w:r>
          </w:p>
        </w:tc>
        <w:tc>
          <w:tcPr>
            <w:tcW w:w="5670" w:type="dxa"/>
          </w:tcPr>
          <w:p w14:paraId="4E6DD4AE" w14:textId="77777777" w:rsidR="00C1457E" w:rsidRPr="004F3EB7" w:rsidRDefault="00C1457E" w:rsidP="00CD594D">
            <w:pPr>
              <w:rPr>
                <w:i/>
              </w:rPr>
            </w:pPr>
            <w:proofErr w:type="spellStart"/>
            <w:r>
              <w:rPr>
                <w:i/>
              </w:rPr>
              <w:t>Giorgia</w:t>
            </w:r>
            <w:proofErr w:type="spellEnd"/>
            <w:r>
              <w:rPr>
                <w:i/>
              </w:rPr>
              <w:t xml:space="preserve"> </w:t>
            </w:r>
            <w:proofErr w:type="spellStart"/>
            <w:r>
              <w:rPr>
                <w:i/>
              </w:rPr>
              <w:t>Bordignon</w:t>
            </w:r>
            <w:proofErr w:type="spellEnd"/>
          </w:p>
        </w:tc>
      </w:tr>
      <w:tr w:rsidR="00C1457E" w:rsidRPr="004F3EB7" w14:paraId="7817202B" w14:textId="77777777" w:rsidTr="00CD594D">
        <w:tc>
          <w:tcPr>
            <w:tcW w:w="1418" w:type="dxa"/>
          </w:tcPr>
          <w:p w14:paraId="166AE286" w14:textId="77777777" w:rsidR="00C1457E" w:rsidRPr="004F3EB7" w:rsidRDefault="00C1457E" w:rsidP="00CD594D">
            <w:pPr>
              <w:rPr>
                <w:i/>
              </w:rPr>
            </w:pPr>
            <w:r>
              <w:rPr>
                <w:i/>
              </w:rPr>
              <w:t>Tfn</w:t>
            </w:r>
          </w:p>
        </w:tc>
        <w:tc>
          <w:tcPr>
            <w:tcW w:w="5670" w:type="dxa"/>
          </w:tcPr>
          <w:p w14:paraId="1D80FA82" w14:textId="77777777" w:rsidR="00C1457E" w:rsidRPr="004F3EB7" w:rsidRDefault="00C1457E" w:rsidP="00CD594D">
            <w:pPr>
              <w:rPr>
                <w:i/>
              </w:rPr>
            </w:pPr>
            <w:r>
              <w:rPr>
                <w:i/>
              </w:rPr>
              <w:t>+32 25468</w:t>
            </w:r>
            <w:r>
              <w:t>535</w:t>
            </w:r>
          </w:p>
        </w:tc>
      </w:tr>
      <w:tr w:rsidR="00C1457E" w:rsidRPr="004F3EB7" w14:paraId="14C23406" w14:textId="77777777" w:rsidTr="00CD594D">
        <w:tc>
          <w:tcPr>
            <w:tcW w:w="1418" w:type="dxa"/>
          </w:tcPr>
          <w:p w14:paraId="2A3A14BF" w14:textId="77777777" w:rsidR="00C1457E" w:rsidRPr="004F3EB7" w:rsidRDefault="00C1457E" w:rsidP="00CD594D">
            <w:pPr>
              <w:rPr>
                <w:i/>
              </w:rPr>
            </w:pPr>
            <w:r>
              <w:rPr>
                <w:i/>
              </w:rPr>
              <w:t>E-post:</w:t>
            </w:r>
          </w:p>
        </w:tc>
        <w:tc>
          <w:tcPr>
            <w:tcW w:w="5670" w:type="dxa"/>
          </w:tcPr>
          <w:p w14:paraId="113AB86F" w14:textId="77777777" w:rsidR="00C1457E" w:rsidRPr="004F3EB7" w:rsidRDefault="00C1457E" w:rsidP="00CD594D">
            <w:pPr>
              <w:rPr>
                <w:i/>
              </w:rPr>
            </w:pPr>
            <w:hyperlink r:id="rId31" w:history="1">
              <w:r>
                <w:rPr>
                  <w:rStyle w:val="Hyperlink"/>
                  <w:i/>
                </w:rPr>
                <w:t>GiorgiaAndrea.Bordignon@eesc.europa.eu</w:t>
              </w:r>
            </w:hyperlink>
            <w:r>
              <w:rPr>
                <w:i/>
              </w:rPr>
              <w:t xml:space="preserve"> </w:t>
            </w:r>
          </w:p>
        </w:tc>
      </w:tr>
    </w:tbl>
    <w:p w14:paraId="7416E75B" w14:textId="77777777" w:rsidR="00B8543B" w:rsidRDefault="00B8543B">
      <w:pPr>
        <w:spacing w:after="160" w:line="259" w:lineRule="auto"/>
        <w:jc w:val="left"/>
      </w:pPr>
      <w:r>
        <w:br w:type="page"/>
      </w:r>
    </w:p>
    <w:p w14:paraId="2B3EF430" w14:textId="77777777" w:rsidR="00C1457E" w:rsidRDefault="00C1457E" w:rsidP="00C1457E">
      <w:pPr>
        <w:widowControl w:val="0"/>
        <w:jc w:val="center"/>
        <w:rPr>
          <w:bCs/>
          <w:iCs/>
        </w:rPr>
      </w:pPr>
    </w:p>
    <w:p w14:paraId="292AB1AD" w14:textId="65124A2D" w:rsidR="00C1457E" w:rsidRPr="001424C7" w:rsidRDefault="00C1457E" w:rsidP="00C1457E">
      <w:pPr>
        <w:widowControl w:val="0"/>
        <w:numPr>
          <w:ilvl w:val="0"/>
          <w:numId w:val="4"/>
        </w:numPr>
        <w:overflowPunct w:val="0"/>
        <w:autoSpaceDE w:val="0"/>
        <w:autoSpaceDN w:val="0"/>
        <w:adjustRightInd w:val="0"/>
        <w:ind w:hanging="567"/>
        <w:textAlignment w:val="baseline"/>
        <w:rPr>
          <w:sz w:val="20"/>
        </w:rPr>
      </w:pPr>
      <w:hyperlink r:id="rId32" w:history="1">
        <w:r>
          <w:rPr>
            <w:rStyle w:val="Hyperlink"/>
            <w:b/>
            <w:i/>
            <w:sz w:val="28"/>
          </w:rPr>
          <w:t>Vägledande program om kärnenergi</w:t>
        </w:r>
      </w:hyperlink>
    </w:p>
    <w:p w14:paraId="65EF0453" w14:textId="77777777" w:rsidR="00C1457E" w:rsidRPr="00A6689B" w:rsidRDefault="00C1457E" w:rsidP="00C1457E">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7229"/>
      </w:tblGrid>
      <w:tr w:rsidR="00C1457E" w:rsidRPr="00A6689B" w14:paraId="712DE478" w14:textId="77777777" w:rsidTr="00CD594D">
        <w:tc>
          <w:tcPr>
            <w:tcW w:w="1951" w:type="dxa"/>
          </w:tcPr>
          <w:p w14:paraId="1D85D320" w14:textId="77777777" w:rsidR="00C1457E" w:rsidRPr="00A6689B" w:rsidRDefault="00C1457E" w:rsidP="00CD594D">
            <w:pPr>
              <w:tabs>
                <w:tab w:val="center" w:pos="284"/>
              </w:tabs>
              <w:ind w:left="266" w:hanging="266"/>
              <w:rPr>
                <w:b/>
              </w:rPr>
            </w:pPr>
            <w:r>
              <w:rPr>
                <w:b/>
              </w:rPr>
              <w:t>Föredragande:</w:t>
            </w:r>
          </w:p>
        </w:tc>
        <w:tc>
          <w:tcPr>
            <w:tcW w:w="7229" w:type="dxa"/>
          </w:tcPr>
          <w:p w14:paraId="3201267A" w14:textId="77777777" w:rsidR="00C1457E" w:rsidRPr="00A6689B" w:rsidRDefault="00C1457E" w:rsidP="00CD594D">
            <w:pPr>
              <w:tabs>
                <w:tab w:val="center" w:pos="284"/>
              </w:tabs>
              <w:ind w:left="266" w:hanging="266"/>
            </w:pPr>
            <w:proofErr w:type="spellStart"/>
            <w:r>
              <w:t>Dumitru</w:t>
            </w:r>
            <w:proofErr w:type="spellEnd"/>
            <w:r>
              <w:t xml:space="preserve"> </w:t>
            </w:r>
            <w:proofErr w:type="spellStart"/>
            <w:r>
              <w:t>Fornea</w:t>
            </w:r>
            <w:proofErr w:type="spellEnd"/>
            <w:r>
              <w:t xml:space="preserve"> (Arbetstagargruppen – RO)</w:t>
            </w:r>
          </w:p>
        </w:tc>
      </w:tr>
      <w:tr w:rsidR="00C1457E" w:rsidRPr="00A6689B" w14:paraId="4B02D483" w14:textId="77777777" w:rsidTr="00CD594D">
        <w:tc>
          <w:tcPr>
            <w:tcW w:w="1951" w:type="dxa"/>
          </w:tcPr>
          <w:p w14:paraId="08A2BABF" w14:textId="77777777" w:rsidR="00C1457E" w:rsidRPr="00A6689B" w:rsidRDefault="00C1457E" w:rsidP="00CD594D">
            <w:pPr>
              <w:tabs>
                <w:tab w:val="center" w:pos="284"/>
              </w:tabs>
              <w:ind w:left="266" w:hanging="266"/>
              <w:rPr>
                <w:b/>
              </w:rPr>
            </w:pPr>
            <w:r>
              <w:rPr>
                <w:b/>
              </w:rPr>
              <w:t>Medföredragande:</w:t>
            </w:r>
          </w:p>
        </w:tc>
        <w:tc>
          <w:tcPr>
            <w:tcW w:w="7229" w:type="dxa"/>
          </w:tcPr>
          <w:p w14:paraId="65E2DB45" w14:textId="77777777" w:rsidR="00C1457E" w:rsidRPr="00A6689B" w:rsidRDefault="00C1457E" w:rsidP="00CD594D">
            <w:pPr>
              <w:tabs>
                <w:tab w:val="center" w:pos="284"/>
              </w:tabs>
              <w:ind w:left="266" w:hanging="266"/>
            </w:pPr>
            <w:proofErr w:type="spellStart"/>
            <w:r>
              <w:t>Alena</w:t>
            </w:r>
            <w:proofErr w:type="spellEnd"/>
            <w:r>
              <w:t xml:space="preserve"> </w:t>
            </w:r>
            <w:proofErr w:type="spellStart"/>
            <w:r>
              <w:t>Mastantuono</w:t>
            </w:r>
            <w:proofErr w:type="spellEnd"/>
            <w:r>
              <w:t xml:space="preserve"> (Arbetsgivargruppen – CZ)</w:t>
            </w:r>
          </w:p>
        </w:tc>
      </w:tr>
      <w:tr w:rsidR="00C1457E" w:rsidRPr="00D25C71" w14:paraId="4890ADA7" w14:textId="77777777" w:rsidTr="00CD594D">
        <w:tc>
          <w:tcPr>
            <w:tcW w:w="1951" w:type="dxa"/>
          </w:tcPr>
          <w:p w14:paraId="469F7563" w14:textId="77777777" w:rsidR="00C1457E" w:rsidRPr="00A6689B" w:rsidRDefault="00C1457E" w:rsidP="00CD594D">
            <w:pPr>
              <w:tabs>
                <w:tab w:val="center" w:pos="284"/>
              </w:tabs>
              <w:ind w:left="266" w:hanging="266"/>
              <w:rPr>
                <w:b/>
              </w:rPr>
            </w:pPr>
            <w:r>
              <w:rPr>
                <w:b/>
              </w:rPr>
              <w:t>Referens:</w:t>
            </w:r>
          </w:p>
        </w:tc>
        <w:tc>
          <w:tcPr>
            <w:tcW w:w="7229" w:type="dxa"/>
          </w:tcPr>
          <w:p w14:paraId="6E6741F6" w14:textId="77777777" w:rsidR="00C1457E" w:rsidRPr="00947EE1" w:rsidRDefault="00C1457E" w:rsidP="00CD594D">
            <w:pPr>
              <w:tabs>
                <w:tab w:val="center" w:pos="284"/>
              </w:tabs>
              <w:ind w:left="266" w:hanging="266"/>
            </w:pPr>
            <w:r>
              <w:t>COM(2025) 315 final</w:t>
            </w:r>
          </w:p>
          <w:p w14:paraId="0A5A62E5" w14:textId="77777777" w:rsidR="00C1457E" w:rsidRPr="00947EE1" w:rsidRDefault="00C1457E" w:rsidP="00CD594D">
            <w:pPr>
              <w:tabs>
                <w:tab w:val="center" w:pos="284"/>
              </w:tabs>
              <w:ind w:left="266" w:hanging="266"/>
            </w:pPr>
            <w:r>
              <w:t>EESC-2025-02173-00-00-AC</w:t>
            </w:r>
          </w:p>
        </w:tc>
      </w:tr>
    </w:tbl>
    <w:p w14:paraId="7162BDED" w14:textId="77777777" w:rsidR="00C1457E" w:rsidRPr="00947EE1" w:rsidRDefault="00C1457E" w:rsidP="00C1457E">
      <w:pPr>
        <w:tabs>
          <w:tab w:val="center" w:pos="284"/>
        </w:tabs>
        <w:ind w:left="266" w:hanging="266"/>
        <w:rPr>
          <w:lang w:val="pt-PT"/>
        </w:rPr>
      </w:pPr>
    </w:p>
    <w:p w14:paraId="741D1A44" w14:textId="77777777" w:rsidR="00C1457E" w:rsidRPr="00A6689B" w:rsidRDefault="00C1457E" w:rsidP="00C1457E">
      <w:pPr>
        <w:keepNext/>
        <w:keepLines/>
        <w:tabs>
          <w:tab w:val="center" w:pos="284"/>
        </w:tabs>
        <w:ind w:left="266" w:hanging="266"/>
        <w:rPr>
          <w:b/>
        </w:rPr>
      </w:pPr>
      <w:r>
        <w:rPr>
          <w:b/>
        </w:rPr>
        <w:t>Huvudpunkter</w:t>
      </w:r>
    </w:p>
    <w:p w14:paraId="1B859592" w14:textId="77777777" w:rsidR="00C1457E" w:rsidRPr="00A6689B" w:rsidRDefault="00C1457E" w:rsidP="00C1457E">
      <w:pPr>
        <w:keepNext/>
        <w:keepLines/>
        <w:tabs>
          <w:tab w:val="center" w:pos="284"/>
        </w:tabs>
        <w:ind w:left="266" w:hanging="266"/>
        <w:rPr>
          <w:b/>
        </w:rPr>
      </w:pPr>
    </w:p>
    <w:p w14:paraId="6EC7C70C" w14:textId="77777777" w:rsidR="00C1457E" w:rsidRPr="00A6689B" w:rsidRDefault="00C1457E" w:rsidP="00C1457E">
      <w:pPr>
        <w:rPr>
          <w:bCs/>
          <w:iCs/>
        </w:rPr>
      </w:pPr>
      <w:r>
        <w:t>Europeiska ekonomiska och sociala kommitténs (EESK) ståndpunkt:</w:t>
      </w:r>
    </w:p>
    <w:p w14:paraId="012BFC5E" w14:textId="77777777" w:rsidR="00C1457E" w:rsidRPr="00947EE1" w:rsidRDefault="00C1457E" w:rsidP="00C1457E">
      <w:pPr>
        <w:widowControl w:val="0"/>
        <w:numPr>
          <w:ilvl w:val="0"/>
          <w:numId w:val="4"/>
        </w:numPr>
        <w:overflowPunct w:val="0"/>
        <w:autoSpaceDE w:val="0"/>
        <w:autoSpaceDN w:val="0"/>
        <w:adjustRightInd w:val="0"/>
        <w:ind w:hanging="567"/>
        <w:textAlignment w:val="baseline"/>
        <w:rPr>
          <w:bCs/>
          <w:iCs/>
        </w:rPr>
      </w:pPr>
      <w:r>
        <w:t>EESK anser att kärnenergins roll spelar och kommer att fortsätta att spela en avgörande roll för utfasningen av fossila bränslen i Europa och att EU måste befästa sitt strategiska oberoende på områdena energi och teknik.</w:t>
      </w:r>
    </w:p>
    <w:p w14:paraId="0F7D4FEF" w14:textId="77777777" w:rsidR="00C1457E" w:rsidRPr="00A6689B" w:rsidRDefault="00C1457E" w:rsidP="00C1457E">
      <w:pPr>
        <w:widowControl w:val="0"/>
        <w:numPr>
          <w:ilvl w:val="0"/>
          <w:numId w:val="4"/>
        </w:numPr>
        <w:overflowPunct w:val="0"/>
        <w:autoSpaceDE w:val="0"/>
        <w:autoSpaceDN w:val="0"/>
        <w:adjustRightInd w:val="0"/>
        <w:ind w:hanging="567"/>
        <w:textAlignment w:val="baseline"/>
        <w:rPr>
          <w:bCs/>
          <w:iCs/>
        </w:rPr>
      </w:pPr>
      <w:r>
        <w:t>Kommittén rekommenderar att samma villkor ska gälla för investeringar i kärnenergisektorn som för förnybara energikällor.</w:t>
      </w:r>
    </w:p>
    <w:p w14:paraId="557036A0" w14:textId="77777777" w:rsidR="00C1457E" w:rsidRPr="00A6689B" w:rsidRDefault="00C1457E" w:rsidP="00C1457E">
      <w:pPr>
        <w:widowControl w:val="0"/>
        <w:numPr>
          <w:ilvl w:val="0"/>
          <w:numId w:val="4"/>
        </w:numPr>
        <w:overflowPunct w:val="0"/>
        <w:autoSpaceDE w:val="0"/>
        <w:autoSpaceDN w:val="0"/>
        <w:adjustRightInd w:val="0"/>
        <w:ind w:hanging="567"/>
        <w:textAlignment w:val="baseline"/>
        <w:rPr>
          <w:bCs/>
          <w:iCs/>
        </w:rPr>
      </w:pPr>
      <w:r>
        <w:t>Investeringarna bör påskyndas genom särskilda finansiella och regleringsmässiga åtgärder, såsom en rationaliserad process för statligt stöd, tillgång till EU:s sammanhållningsfonder, hållbar finansiering, tillståndsförfaranden och snabbare beslut på EU-nivå och nationell nivå.</w:t>
      </w:r>
    </w:p>
    <w:p w14:paraId="4CEC834F" w14:textId="77777777" w:rsidR="00C1457E" w:rsidRDefault="00C1457E" w:rsidP="00C1457E">
      <w:pPr>
        <w:widowControl w:val="0"/>
        <w:numPr>
          <w:ilvl w:val="0"/>
          <w:numId w:val="4"/>
        </w:numPr>
        <w:overflowPunct w:val="0"/>
        <w:autoSpaceDE w:val="0"/>
        <w:autoSpaceDN w:val="0"/>
        <w:adjustRightInd w:val="0"/>
        <w:ind w:hanging="567"/>
        <w:textAlignment w:val="baseline"/>
        <w:rPr>
          <w:bCs/>
          <w:iCs/>
        </w:rPr>
      </w:pPr>
      <w:r>
        <w:t>EESK anser att dialogen med det civila samhället är avgörande för att bygga upp förtroende, egenansvar och acceptans i samhället.</w:t>
      </w:r>
    </w:p>
    <w:p w14:paraId="28765481" w14:textId="77777777" w:rsidR="00C1457E" w:rsidRPr="00A6689B" w:rsidRDefault="00C1457E" w:rsidP="00C1457E">
      <w:pPr>
        <w:widowControl w:val="0"/>
        <w:numPr>
          <w:ilvl w:val="0"/>
          <w:numId w:val="4"/>
        </w:numPr>
        <w:overflowPunct w:val="0"/>
        <w:autoSpaceDE w:val="0"/>
        <w:autoSpaceDN w:val="0"/>
        <w:adjustRightInd w:val="0"/>
        <w:ind w:hanging="567"/>
        <w:textAlignment w:val="baseline"/>
        <w:rPr>
          <w:bCs/>
          <w:iCs/>
        </w:rPr>
      </w:pPr>
      <w:r>
        <w:t xml:space="preserve">Vi efterlyser bättre </w:t>
      </w:r>
      <w:proofErr w:type="spellStart"/>
      <w:r>
        <w:t>regleringssamarbete</w:t>
      </w:r>
      <w:proofErr w:type="spellEnd"/>
      <w:r>
        <w:t xml:space="preserve"> mellan medlemsstaterna.</w:t>
      </w:r>
    </w:p>
    <w:p w14:paraId="5E94946E" w14:textId="77777777" w:rsidR="00C1457E" w:rsidRPr="0040261B" w:rsidRDefault="00C1457E" w:rsidP="00C1457E">
      <w:pPr>
        <w:widowControl w:val="0"/>
        <w:numPr>
          <w:ilvl w:val="0"/>
          <w:numId w:val="4"/>
        </w:numPr>
        <w:overflowPunct w:val="0"/>
        <w:autoSpaceDE w:val="0"/>
        <w:autoSpaceDN w:val="0"/>
        <w:adjustRightInd w:val="0"/>
        <w:ind w:hanging="567"/>
        <w:textAlignment w:val="baseline"/>
      </w:pPr>
      <w:r>
        <w:t>Kommittén rekommenderar att man tar hänsyn till den roll som kärnenergin spelar för att stabilisera nätet, och begär att en beräkning av de systemkostnader som undviks tack vare att kärnenergi läggs till i det vägledande programmet om kärnenergi.</w:t>
      </w:r>
    </w:p>
    <w:p w14:paraId="050F2950" w14:textId="77777777" w:rsidR="00C1457E" w:rsidRPr="000624A9" w:rsidRDefault="00C1457E" w:rsidP="00C1457E">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C1457E" w:rsidRPr="00A6689B" w14:paraId="464CBE94" w14:textId="77777777" w:rsidTr="00CD594D">
        <w:tc>
          <w:tcPr>
            <w:tcW w:w="1951" w:type="dxa"/>
          </w:tcPr>
          <w:p w14:paraId="31B0A460" w14:textId="77777777" w:rsidR="00C1457E" w:rsidRPr="00A6689B" w:rsidRDefault="00C1457E" w:rsidP="00CD594D">
            <w:pPr>
              <w:rPr>
                <w:i/>
              </w:rPr>
            </w:pPr>
            <w:r>
              <w:rPr>
                <w:b/>
                <w:i/>
              </w:rPr>
              <w:t>Kontaktperson</w:t>
            </w:r>
          </w:p>
        </w:tc>
        <w:tc>
          <w:tcPr>
            <w:tcW w:w="7229" w:type="dxa"/>
          </w:tcPr>
          <w:p w14:paraId="609EC732" w14:textId="77777777" w:rsidR="00C1457E" w:rsidRPr="00A6689B" w:rsidRDefault="00C1457E" w:rsidP="00CD594D">
            <w:pPr>
              <w:rPr>
                <w:i/>
              </w:rPr>
            </w:pPr>
            <w:r>
              <w:rPr>
                <w:i/>
              </w:rPr>
              <w:t xml:space="preserve">Albert </w:t>
            </w:r>
            <w:proofErr w:type="spellStart"/>
            <w:r>
              <w:rPr>
                <w:i/>
              </w:rPr>
              <w:t>Precup</w:t>
            </w:r>
            <w:proofErr w:type="spellEnd"/>
          </w:p>
        </w:tc>
      </w:tr>
      <w:tr w:rsidR="00C1457E" w:rsidRPr="00A6689B" w14:paraId="388B7D3D" w14:textId="77777777" w:rsidTr="00CD594D">
        <w:tc>
          <w:tcPr>
            <w:tcW w:w="1951" w:type="dxa"/>
          </w:tcPr>
          <w:p w14:paraId="0937FF72" w14:textId="77777777" w:rsidR="00C1457E" w:rsidRPr="00A6689B" w:rsidRDefault="00C1457E" w:rsidP="00CD594D">
            <w:pPr>
              <w:rPr>
                <w:i/>
              </w:rPr>
            </w:pPr>
            <w:r>
              <w:rPr>
                <w:i/>
              </w:rPr>
              <w:t>Tfn:</w:t>
            </w:r>
          </w:p>
        </w:tc>
        <w:tc>
          <w:tcPr>
            <w:tcW w:w="7229" w:type="dxa"/>
          </w:tcPr>
          <w:p w14:paraId="444F7D6C" w14:textId="77777777" w:rsidR="00C1457E" w:rsidRPr="00A6689B" w:rsidRDefault="00C1457E" w:rsidP="00CD594D">
            <w:pPr>
              <w:rPr>
                <w:i/>
              </w:rPr>
            </w:pPr>
            <w:r>
              <w:rPr>
                <w:i/>
              </w:rPr>
              <w:t>+32 25469326</w:t>
            </w:r>
          </w:p>
        </w:tc>
      </w:tr>
      <w:tr w:rsidR="00C1457E" w:rsidRPr="00A6689B" w14:paraId="3718FC2F" w14:textId="77777777" w:rsidTr="00CD594D">
        <w:tc>
          <w:tcPr>
            <w:tcW w:w="1951" w:type="dxa"/>
          </w:tcPr>
          <w:p w14:paraId="5A50614E" w14:textId="77777777" w:rsidR="00C1457E" w:rsidRPr="00A6689B" w:rsidRDefault="00C1457E" w:rsidP="00CD594D">
            <w:pPr>
              <w:rPr>
                <w:i/>
              </w:rPr>
            </w:pPr>
            <w:r>
              <w:rPr>
                <w:i/>
              </w:rPr>
              <w:t>E-post:</w:t>
            </w:r>
          </w:p>
        </w:tc>
        <w:tc>
          <w:tcPr>
            <w:tcW w:w="7229" w:type="dxa"/>
          </w:tcPr>
          <w:p w14:paraId="58B1C680" w14:textId="77777777" w:rsidR="00C1457E" w:rsidRPr="00A6689B" w:rsidRDefault="00C1457E" w:rsidP="00CD594D">
            <w:pPr>
              <w:rPr>
                <w:i/>
              </w:rPr>
            </w:pPr>
            <w:hyperlink r:id="rId33" w:history="1">
              <w:r>
                <w:rPr>
                  <w:rStyle w:val="Hyperlink"/>
                  <w:i/>
                </w:rPr>
                <w:t>Albert.Precup@eesc.europa.eu</w:t>
              </w:r>
            </w:hyperlink>
          </w:p>
        </w:tc>
      </w:tr>
    </w:tbl>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10" w:name="_Toc75527083"/>
      <w:bookmarkStart w:id="11" w:name="_Toc217055367"/>
      <w:r>
        <w:rPr>
          <w:b/>
        </w:rPr>
        <w:t>INRE MARKNADEN, PRODUKTION OCH KONSUMTION</w:t>
      </w:r>
      <w:bookmarkEnd w:id="10"/>
      <w:bookmarkEnd w:id="11"/>
    </w:p>
    <w:p w14:paraId="4982DDF4" w14:textId="77777777" w:rsidR="004D7AC0" w:rsidRDefault="004D7AC0" w:rsidP="004D7AC0"/>
    <w:p w14:paraId="59399619" w14:textId="77777777" w:rsidR="00F50A00" w:rsidRDefault="00F50A00" w:rsidP="00F50A00">
      <w:pPr>
        <w:widowControl w:val="0"/>
        <w:jc w:val="center"/>
        <w:rPr>
          <w:bCs/>
          <w:iCs/>
        </w:rPr>
      </w:pPr>
      <w:r>
        <w:rPr>
          <w:noProof/>
          <w:sz w:val="20"/>
        </w:rPr>
        <mc:AlternateContent>
          <mc:Choice Requires="wps">
            <w:drawing>
              <wp:anchor distT="0" distB="0" distL="114300" distR="114300" simplePos="0" relativeHeight="251656192" behindDoc="1" locked="0" layoutInCell="0" allowOverlap="1" wp14:anchorId="5918B4F0" wp14:editId="23E23840">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A88E" w14:textId="77777777" w:rsidR="00F50A00" w:rsidRPr="00260E65" w:rsidRDefault="00F50A00" w:rsidP="00F50A00">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B4F0" id="_x0000_s1027" type="#_x0000_t202"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qCjUP0AQAAzQMAAA4AAAAAAAAAAAAAAAAALgIAAGRy&#10;cy9lMm9Eb2MueG1sUEsBAi0AFAAGAAgAAAAhAOtUMVreAAAADwEAAA8AAAAAAAAAAAAAAAAATgQA&#10;AGRycy9kb3ducmV2LnhtbFBLBQYAAAAABAAEAPMAAABZBQAAAAA=&#10;" o:allowincell="f" filled="f" stroked="f">
                <v:textbox>
                  <w:txbxContent>
                    <w:p w14:paraId="30A7A88E" w14:textId="77777777" w:rsidR="00F50A00" w:rsidRPr="00260E65" w:rsidRDefault="00F50A00" w:rsidP="00F50A00">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11401CC5" w14:textId="09B4983D" w:rsidR="00F50A00" w:rsidRPr="0003586F" w:rsidRDefault="00F50A00" w:rsidP="00F50A00">
      <w:pPr>
        <w:widowControl w:val="0"/>
        <w:numPr>
          <w:ilvl w:val="0"/>
          <w:numId w:val="4"/>
        </w:numPr>
        <w:overflowPunct w:val="0"/>
        <w:autoSpaceDE w:val="0"/>
        <w:autoSpaceDN w:val="0"/>
        <w:adjustRightInd w:val="0"/>
        <w:ind w:hanging="567"/>
        <w:textAlignment w:val="baseline"/>
        <w:rPr>
          <w:sz w:val="20"/>
        </w:rPr>
      </w:pPr>
      <w:hyperlink r:id="rId34" w:history="1">
        <w:r>
          <w:rPr>
            <w:rStyle w:val="Hyperlink"/>
            <w:b/>
            <w:i/>
            <w:sz w:val="28"/>
          </w:rPr>
          <w:t>Strategi för den inre marknaden</w:t>
        </w:r>
      </w:hyperlink>
    </w:p>
    <w:p w14:paraId="639C6351" w14:textId="77777777" w:rsidR="00F50A00" w:rsidRPr="00A6689B" w:rsidRDefault="00F50A00" w:rsidP="00F50A0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6521"/>
      </w:tblGrid>
      <w:tr w:rsidR="00F50A00" w:rsidRPr="00A6689B" w14:paraId="77619826" w14:textId="77777777" w:rsidTr="00CD594D">
        <w:tc>
          <w:tcPr>
            <w:tcW w:w="1701" w:type="dxa"/>
          </w:tcPr>
          <w:p w14:paraId="019B0BA6" w14:textId="77777777" w:rsidR="00F50A00" w:rsidRPr="00A6689B" w:rsidRDefault="00F50A00" w:rsidP="00CD594D">
            <w:pPr>
              <w:tabs>
                <w:tab w:val="center" w:pos="284"/>
              </w:tabs>
              <w:ind w:left="266" w:hanging="266"/>
              <w:rPr>
                <w:b/>
              </w:rPr>
            </w:pPr>
            <w:r>
              <w:rPr>
                <w:b/>
              </w:rPr>
              <w:t>Föredragande:</w:t>
            </w:r>
          </w:p>
        </w:tc>
        <w:tc>
          <w:tcPr>
            <w:tcW w:w="6521" w:type="dxa"/>
          </w:tcPr>
          <w:p w14:paraId="341A7E07" w14:textId="77777777" w:rsidR="00F50A00" w:rsidRPr="00A6689B" w:rsidRDefault="00F50A00" w:rsidP="00CD594D">
            <w:pPr>
              <w:tabs>
                <w:tab w:val="center" w:pos="284"/>
              </w:tabs>
              <w:ind w:left="266" w:hanging="266"/>
            </w:pPr>
            <w:r>
              <w:t xml:space="preserve">Emilie </w:t>
            </w:r>
            <w:proofErr w:type="spellStart"/>
            <w:r>
              <w:t>Prouzet</w:t>
            </w:r>
            <w:proofErr w:type="spellEnd"/>
            <w:r>
              <w:t xml:space="preserve"> (Arbetsgivargruppen – FR)</w:t>
            </w:r>
          </w:p>
        </w:tc>
      </w:tr>
      <w:tr w:rsidR="00F50A00" w:rsidRPr="00A6689B" w14:paraId="44727F04" w14:textId="77777777" w:rsidTr="00CD594D">
        <w:tc>
          <w:tcPr>
            <w:tcW w:w="1701" w:type="dxa"/>
          </w:tcPr>
          <w:p w14:paraId="7616EBB1" w14:textId="77777777" w:rsidR="00F50A00" w:rsidRPr="00A6689B" w:rsidRDefault="00F50A00" w:rsidP="00CD594D">
            <w:pPr>
              <w:tabs>
                <w:tab w:val="center" w:pos="284"/>
              </w:tabs>
              <w:ind w:left="266" w:hanging="266"/>
              <w:rPr>
                <w:b/>
                <w:lang w:val="en-US"/>
              </w:rPr>
            </w:pPr>
          </w:p>
        </w:tc>
        <w:tc>
          <w:tcPr>
            <w:tcW w:w="6521" w:type="dxa"/>
          </w:tcPr>
          <w:p w14:paraId="685CCD86" w14:textId="77777777" w:rsidR="00F50A00" w:rsidRDefault="00F50A00" w:rsidP="00CD594D">
            <w:pPr>
              <w:tabs>
                <w:tab w:val="center" w:pos="284"/>
              </w:tabs>
              <w:ind w:left="266" w:hanging="266"/>
            </w:pPr>
            <w:r>
              <w:t xml:space="preserve">Angelo </w:t>
            </w:r>
            <w:proofErr w:type="spellStart"/>
            <w:r>
              <w:t>Pagliara</w:t>
            </w:r>
            <w:proofErr w:type="spellEnd"/>
            <w:r>
              <w:t xml:space="preserve"> (Arbetstagargruppen – IT)</w:t>
            </w:r>
          </w:p>
          <w:p w14:paraId="4B4580FE" w14:textId="77777777" w:rsidR="00F50A00" w:rsidRPr="000F7665" w:rsidRDefault="00F50A00" w:rsidP="00CD594D">
            <w:pPr>
              <w:tabs>
                <w:tab w:val="center" w:pos="284"/>
              </w:tabs>
              <w:ind w:left="266" w:hanging="266"/>
            </w:pPr>
            <w:r>
              <w:t xml:space="preserve">Giuseppe </w:t>
            </w:r>
            <w:proofErr w:type="spellStart"/>
            <w:r>
              <w:t>Guerini</w:t>
            </w:r>
            <w:proofErr w:type="spellEnd"/>
            <w:r>
              <w:t xml:space="preserve"> (Gruppen för civilsamhällesorganisationer – IT)</w:t>
            </w:r>
          </w:p>
        </w:tc>
      </w:tr>
      <w:tr w:rsidR="00F50A00" w:rsidRPr="00A6689B" w14:paraId="7761AE23" w14:textId="77777777" w:rsidTr="00CD594D">
        <w:tc>
          <w:tcPr>
            <w:tcW w:w="8222" w:type="dxa"/>
            <w:gridSpan w:val="2"/>
          </w:tcPr>
          <w:p w14:paraId="777FA81F" w14:textId="77777777" w:rsidR="00F50A00" w:rsidRPr="00A6689B" w:rsidRDefault="00F50A00" w:rsidP="00CD594D">
            <w:pPr>
              <w:tabs>
                <w:tab w:val="center" w:pos="284"/>
              </w:tabs>
              <w:spacing w:line="160" w:lineRule="exact"/>
              <w:ind w:left="266" w:hanging="266"/>
              <w:rPr>
                <w:lang w:val="en-US"/>
              </w:rPr>
            </w:pPr>
          </w:p>
        </w:tc>
      </w:tr>
      <w:tr w:rsidR="00F50A00" w:rsidRPr="00A6689B" w14:paraId="202EA9EF" w14:textId="77777777" w:rsidTr="00CD594D">
        <w:tc>
          <w:tcPr>
            <w:tcW w:w="1701" w:type="dxa"/>
            <w:vMerge w:val="restart"/>
          </w:tcPr>
          <w:p w14:paraId="79625EBC" w14:textId="77777777" w:rsidR="00F50A00" w:rsidRPr="00A6689B" w:rsidRDefault="00F50A00" w:rsidP="00CD594D">
            <w:pPr>
              <w:tabs>
                <w:tab w:val="center" w:pos="284"/>
              </w:tabs>
              <w:ind w:left="266" w:hanging="266"/>
              <w:rPr>
                <w:b/>
              </w:rPr>
            </w:pPr>
            <w:r>
              <w:rPr>
                <w:b/>
              </w:rPr>
              <w:t>Referensdokument:</w:t>
            </w:r>
          </w:p>
        </w:tc>
        <w:tc>
          <w:tcPr>
            <w:tcW w:w="6521" w:type="dxa"/>
          </w:tcPr>
          <w:p w14:paraId="4DD95366" w14:textId="77777777" w:rsidR="00F50A00" w:rsidRPr="0018587A" w:rsidRDefault="00F50A00" w:rsidP="00CD594D">
            <w:pPr>
              <w:tabs>
                <w:tab w:val="center" w:pos="284"/>
              </w:tabs>
              <w:ind w:left="266" w:hanging="266"/>
            </w:pPr>
            <w:r>
              <w:t>COM(2025) 500 final</w:t>
            </w:r>
          </w:p>
          <w:p w14:paraId="256148B2" w14:textId="77777777" w:rsidR="00F50A00" w:rsidRPr="00A6689B" w:rsidRDefault="00F50A00" w:rsidP="00CD594D">
            <w:pPr>
              <w:tabs>
                <w:tab w:val="center" w:pos="284"/>
              </w:tabs>
              <w:ind w:left="266" w:hanging="266"/>
            </w:pPr>
            <w:r>
              <w:t>EESC-2025-01859-00-00-AC</w:t>
            </w:r>
          </w:p>
        </w:tc>
      </w:tr>
      <w:tr w:rsidR="00F50A00" w:rsidRPr="00A6689B" w14:paraId="068F4FC1" w14:textId="77777777" w:rsidTr="00CD594D">
        <w:tc>
          <w:tcPr>
            <w:tcW w:w="1701" w:type="dxa"/>
            <w:vMerge/>
          </w:tcPr>
          <w:p w14:paraId="393A046D" w14:textId="77777777" w:rsidR="00F50A00" w:rsidRPr="00A6689B" w:rsidRDefault="00F50A00" w:rsidP="00CD594D">
            <w:pPr>
              <w:tabs>
                <w:tab w:val="center" w:pos="284"/>
              </w:tabs>
              <w:ind w:left="266" w:hanging="266"/>
              <w:rPr>
                <w:b/>
                <w:lang w:val="en-US"/>
              </w:rPr>
            </w:pPr>
          </w:p>
        </w:tc>
        <w:tc>
          <w:tcPr>
            <w:tcW w:w="6521" w:type="dxa"/>
          </w:tcPr>
          <w:p w14:paraId="01C891D5" w14:textId="77777777" w:rsidR="00F50A00" w:rsidRPr="00A6689B" w:rsidRDefault="00F50A00" w:rsidP="00CD594D">
            <w:pPr>
              <w:tabs>
                <w:tab w:val="center" w:pos="284"/>
              </w:tabs>
              <w:ind w:left="266" w:hanging="266"/>
              <w:rPr>
                <w:lang w:val="en-US"/>
              </w:rPr>
            </w:pPr>
          </w:p>
        </w:tc>
      </w:tr>
    </w:tbl>
    <w:p w14:paraId="42F35B82" w14:textId="77777777" w:rsidR="00F50A00" w:rsidRPr="00A6689B" w:rsidRDefault="00F50A00" w:rsidP="00F50A00">
      <w:pPr>
        <w:keepNext/>
        <w:keepLines/>
        <w:tabs>
          <w:tab w:val="center" w:pos="284"/>
        </w:tabs>
        <w:ind w:left="266" w:hanging="266"/>
        <w:rPr>
          <w:b/>
        </w:rPr>
      </w:pPr>
      <w:r>
        <w:rPr>
          <w:b/>
        </w:rPr>
        <w:t>Huvudpunkter</w:t>
      </w:r>
    </w:p>
    <w:p w14:paraId="0D0A6422" w14:textId="77777777" w:rsidR="00F50A00" w:rsidRPr="00A6689B" w:rsidRDefault="00F50A00" w:rsidP="00F50A00">
      <w:pPr>
        <w:keepNext/>
        <w:keepLines/>
        <w:tabs>
          <w:tab w:val="center" w:pos="284"/>
        </w:tabs>
        <w:ind w:left="266" w:hanging="266"/>
        <w:rPr>
          <w:b/>
        </w:rPr>
      </w:pPr>
    </w:p>
    <w:p w14:paraId="62B035B4" w14:textId="77777777" w:rsidR="00F50A00" w:rsidRDefault="00F50A00" w:rsidP="00F50A00">
      <w:pPr>
        <w:rPr>
          <w:bCs/>
          <w:iCs/>
        </w:rPr>
      </w:pPr>
      <w:proofErr w:type="spellStart"/>
      <w:r>
        <w:t>EESK:s</w:t>
      </w:r>
      <w:proofErr w:type="spellEnd"/>
      <w:r>
        <w:t xml:space="preserve"> ståndpunkt:</w:t>
      </w:r>
    </w:p>
    <w:p w14:paraId="1D0933ED" w14:textId="77777777" w:rsidR="00F50A00" w:rsidRPr="00A6689B" w:rsidRDefault="00F50A00" w:rsidP="00F50A00">
      <w:pPr>
        <w:rPr>
          <w:bCs/>
          <w:iCs/>
        </w:rPr>
      </w:pPr>
    </w:p>
    <w:p w14:paraId="0519D668"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EESK ställer sig helt och hållet bakom de prioriteringar som kommissionen fastställt och som syftar till att komma till rätta med de utmaningar som framhållits av berörda parter.</w:t>
      </w:r>
    </w:p>
    <w:p w14:paraId="4B42F5F3" w14:textId="77777777" w:rsidR="00F50A00" w:rsidRPr="00260B52" w:rsidRDefault="00F50A00" w:rsidP="00F50A00">
      <w:pPr>
        <w:widowControl w:val="0"/>
        <w:ind w:left="567"/>
        <w:rPr>
          <w:bCs/>
          <w:iCs/>
        </w:rPr>
      </w:pPr>
    </w:p>
    <w:p w14:paraId="62E23E85"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Kommittén framhåller på nytt att förenklingen måste genomföras med full respekt för sociala rättigheter och arbetstagares rättigheter. Det är därför viktigt att Europaparlamentet, de nationella parlamenten och arbetsmarknadens parter involveras strukturellt redan i ett tidigt skede av lagstiftningsprocessen.</w:t>
      </w:r>
    </w:p>
    <w:p w14:paraId="1C856CF4" w14:textId="77777777" w:rsidR="00F50A00" w:rsidRDefault="00F50A00" w:rsidP="00F50A00">
      <w:pPr>
        <w:widowControl w:val="0"/>
        <w:ind w:left="567"/>
        <w:rPr>
          <w:bCs/>
          <w:iCs/>
        </w:rPr>
      </w:pPr>
    </w:p>
    <w:p w14:paraId="45B1910D"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Kommittén har för avsikt att bidra mer aktivt till styrningen av den inre marknaden, bland annat genom att kommittén tar på sig en förstärkt roll inom ramen för arbetsgruppen för efterlevnad på den inre marknaden.</w:t>
      </w:r>
    </w:p>
    <w:p w14:paraId="48167358" w14:textId="77777777" w:rsidR="00F50A00" w:rsidRPr="00260B52" w:rsidRDefault="00F50A00" w:rsidP="00F50A00">
      <w:pPr>
        <w:widowControl w:val="0"/>
        <w:ind w:left="567"/>
        <w:rPr>
          <w:bCs/>
          <w:iCs/>
        </w:rPr>
      </w:pPr>
    </w:p>
    <w:p w14:paraId="2053C5B8"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Vi uppmanar kommissionen att lägga fram lagstiftningsförslag som syftar till att komma till rätta med territoriella försörjningsbegränsningar och harmonisera produktmärkningen.</w:t>
      </w:r>
    </w:p>
    <w:p w14:paraId="48D4FA03" w14:textId="77777777" w:rsidR="00F50A00" w:rsidRPr="00260B52" w:rsidRDefault="00F50A00" w:rsidP="00F50A00">
      <w:pPr>
        <w:widowControl w:val="0"/>
        <w:ind w:left="567"/>
        <w:rPr>
          <w:bCs/>
          <w:iCs/>
        </w:rPr>
      </w:pPr>
    </w:p>
    <w:p w14:paraId="2D881A96"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EESK välkomnar kommissionens tillkännagivande av ett förslag om en frivillig ”28:e rättslig ordning” för näringslivet, men understryker behovet av effektiva skyddsåtgärder mot potentiellt missbruk.</w:t>
      </w:r>
    </w:p>
    <w:p w14:paraId="5970A9A2" w14:textId="77777777" w:rsidR="00F50A00" w:rsidRPr="00260B52" w:rsidRDefault="00F50A00" w:rsidP="00F50A00">
      <w:pPr>
        <w:widowControl w:val="0"/>
        <w:ind w:left="567"/>
        <w:rPr>
          <w:bCs/>
          <w:iCs/>
        </w:rPr>
      </w:pPr>
    </w:p>
    <w:p w14:paraId="52288E15"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Kommittén anser att standardiseringen spelar en nyckelroll som drivkraft för integration och innovation, men betonar principerna om transparens, inkludering och strukturerat deltagande.</w:t>
      </w:r>
    </w:p>
    <w:p w14:paraId="78DF9A7C" w14:textId="77777777" w:rsidR="00F50A00" w:rsidRPr="00260B52" w:rsidRDefault="00F50A00" w:rsidP="00F50A00">
      <w:pPr>
        <w:widowControl w:val="0"/>
        <w:ind w:left="567"/>
        <w:rPr>
          <w:bCs/>
          <w:iCs/>
        </w:rPr>
      </w:pPr>
    </w:p>
    <w:p w14:paraId="3536859A"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EESK stöder åtgärder som syftar till att förenkla erkännandet av yrkeskvalifikationer, även för tredjelandsmedborgare, men betonar att kvalifikationerna måste vara tydligt definierade, kontrollerbara och av bevisad kvalitet.</w:t>
      </w:r>
    </w:p>
    <w:p w14:paraId="07B036D8" w14:textId="77777777" w:rsidR="00F50A00" w:rsidRPr="00260B52" w:rsidRDefault="00F50A00" w:rsidP="00F50A00">
      <w:pPr>
        <w:widowControl w:val="0"/>
        <w:ind w:left="567"/>
        <w:rPr>
          <w:bCs/>
          <w:iCs/>
        </w:rPr>
      </w:pPr>
    </w:p>
    <w:p w14:paraId="0E34C467"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t>Vi anser det vara positivt att Europeiska arbetsmyndigheten förstärks.</w:t>
      </w:r>
    </w:p>
    <w:p w14:paraId="195F6548" w14:textId="77777777" w:rsidR="00F50A00" w:rsidRPr="00260B52" w:rsidRDefault="00F50A00" w:rsidP="00F50A00">
      <w:pPr>
        <w:widowControl w:val="0"/>
        <w:ind w:left="567"/>
        <w:rPr>
          <w:bCs/>
          <w:iCs/>
        </w:rPr>
      </w:pPr>
    </w:p>
    <w:p w14:paraId="7BBD4808" w14:textId="77777777" w:rsidR="00F50A00" w:rsidRPr="00260B52" w:rsidRDefault="00F50A00" w:rsidP="00F50A00">
      <w:pPr>
        <w:widowControl w:val="0"/>
        <w:numPr>
          <w:ilvl w:val="0"/>
          <w:numId w:val="4"/>
        </w:numPr>
        <w:overflowPunct w:val="0"/>
        <w:autoSpaceDE w:val="0"/>
        <w:autoSpaceDN w:val="0"/>
        <w:adjustRightInd w:val="0"/>
        <w:ind w:hanging="567"/>
        <w:textAlignment w:val="baseline"/>
        <w:rPr>
          <w:bCs/>
          <w:iCs/>
        </w:rPr>
      </w:pPr>
      <w:r>
        <w:lastRenderedPageBreak/>
        <w:t xml:space="preserve">EESK anser att tillämpningsområdet för den inre marknaden bör utvidgas till att omfatta strategiska sektorer såsom energi och finans. Kommittén understryker behovet av en inkluderande styrningsmodell och efterlyser en översyn av regelverket för offentlig upphandling. Samtidigt bör man hitta lämpliga sätt att ta hänsyn till sociala, miljömässiga och innovationsrelaterade mål. </w:t>
      </w:r>
    </w:p>
    <w:p w14:paraId="278142AF" w14:textId="77777777" w:rsidR="00F50A00" w:rsidRDefault="00F50A00" w:rsidP="00F50A00">
      <w:pPr>
        <w:widowControl w:val="0"/>
        <w:ind w:left="709"/>
      </w:pPr>
    </w:p>
    <w:p w14:paraId="24E7FD15" w14:textId="77777777" w:rsidR="00F50A00" w:rsidRPr="000624A9" w:rsidRDefault="00F50A00" w:rsidP="00F50A00">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5670"/>
      </w:tblGrid>
      <w:tr w:rsidR="00F50A00" w:rsidRPr="00A6689B" w14:paraId="1092028C" w14:textId="77777777" w:rsidTr="00CD594D">
        <w:tc>
          <w:tcPr>
            <w:tcW w:w="1418" w:type="dxa"/>
          </w:tcPr>
          <w:p w14:paraId="72E4C95F" w14:textId="77777777" w:rsidR="00F50A00" w:rsidRPr="00A6689B" w:rsidRDefault="00F50A00" w:rsidP="00CD594D">
            <w:pPr>
              <w:spacing w:line="240" w:lineRule="auto"/>
              <w:rPr>
                <w:i/>
              </w:rPr>
            </w:pPr>
            <w:r>
              <w:rPr>
                <w:b/>
                <w:i/>
              </w:rPr>
              <w:t>Kontaktperson:</w:t>
            </w:r>
          </w:p>
        </w:tc>
        <w:tc>
          <w:tcPr>
            <w:tcW w:w="5670" w:type="dxa"/>
          </w:tcPr>
          <w:p w14:paraId="4E0E2AEF" w14:textId="77777777" w:rsidR="00F50A00" w:rsidRPr="00A6689B" w:rsidRDefault="00F50A00" w:rsidP="00CD594D">
            <w:pPr>
              <w:spacing w:line="240" w:lineRule="auto"/>
              <w:rPr>
                <w:i/>
              </w:rPr>
            </w:pPr>
            <w:r>
              <w:rPr>
                <w:i/>
              </w:rPr>
              <w:t xml:space="preserve">Annalisa </w:t>
            </w:r>
            <w:proofErr w:type="spellStart"/>
            <w:r>
              <w:rPr>
                <w:i/>
              </w:rPr>
              <w:t>Tessarolo</w:t>
            </w:r>
            <w:proofErr w:type="spellEnd"/>
          </w:p>
        </w:tc>
      </w:tr>
      <w:tr w:rsidR="00F50A00" w:rsidRPr="00A6689B" w14:paraId="75152620" w14:textId="77777777" w:rsidTr="00CD594D">
        <w:tc>
          <w:tcPr>
            <w:tcW w:w="1418" w:type="dxa"/>
          </w:tcPr>
          <w:p w14:paraId="4C7861AB" w14:textId="77777777" w:rsidR="00F50A00" w:rsidRPr="00A6689B" w:rsidRDefault="00F50A00" w:rsidP="00CD594D">
            <w:pPr>
              <w:spacing w:line="240" w:lineRule="auto"/>
              <w:rPr>
                <w:i/>
              </w:rPr>
            </w:pPr>
            <w:r>
              <w:rPr>
                <w:i/>
              </w:rPr>
              <w:t>Tfn</w:t>
            </w:r>
          </w:p>
        </w:tc>
        <w:tc>
          <w:tcPr>
            <w:tcW w:w="5670" w:type="dxa"/>
            <w:shd w:val="clear" w:color="auto" w:fill="auto"/>
          </w:tcPr>
          <w:p w14:paraId="4147A86D" w14:textId="77777777" w:rsidR="00F50A00" w:rsidRPr="00A6689B" w:rsidRDefault="00F50A00" w:rsidP="00CD594D">
            <w:pPr>
              <w:spacing w:line="240" w:lineRule="auto"/>
              <w:rPr>
                <w:i/>
              </w:rPr>
            </w:pPr>
            <w:r>
              <w:rPr>
                <w:i/>
              </w:rPr>
              <w:t>+ 32 25469732</w:t>
            </w:r>
          </w:p>
        </w:tc>
      </w:tr>
      <w:tr w:rsidR="00F50A00" w:rsidRPr="00A6689B" w14:paraId="2A5D51D2" w14:textId="77777777" w:rsidTr="00CD594D">
        <w:tc>
          <w:tcPr>
            <w:tcW w:w="1418" w:type="dxa"/>
          </w:tcPr>
          <w:p w14:paraId="4764933C" w14:textId="77777777" w:rsidR="00F50A00" w:rsidRPr="00A6689B" w:rsidRDefault="00F50A00" w:rsidP="00CD594D">
            <w:pPr>
              <w:spacing w:line="240" w:lineRule="auto"/>
              <w:rPr>
                <w:i/>
              </w:rPr>
            </w:pPr>
            <w:r>
              <w:rPr>
                <w:i/>
              </w:rPr>
              <w:t>E-post:</w:t>
            </w:r>
          </w:p>
        </w:tc>
        <w:tc>
          <w:tcPr>
            <w:tcW w:w="5670" w:type="dxa"/>
          </w:tcPr>
          <w:p w14:paraId="78713724" w14:textId="77777777" w:rsidR="00F50A00" w:rsidRPr="00A6689B" w:rsidRDefault="00F50A00" w:rsidP="00CD594D">
            <w:pPr>
              <w:spacing w:line="240" w:lineRule="auto"/>
              <w:rPr>
                <w:i/>
              </w:rPr>
            </w:pPr>
            <w:hyperlink r:id="rId35" w:history="1">
              <w:r>
                <w:rPr>
                  <w:rStyle w:val="Hyperlink"/>
                  <w:i/>
                </w:rPr>
                <w:t>Annalisa.Tessarolo@eesc.europa.eu</w:t>
              </w:r>
            </w:hyperlink>
          </w:p>
        </w:tc>
      </w:tr>
    </w:tbl>
    <w:p w14:paraId="744E499D" w14:textId="77777777" w:rsidR="00322274" w:rsidRDefault="00465162" w:rsidP="00322274">
      <w:pPr>
        <w:widowControl w:val="0"/>
        <w:jc w:val="center"/>
        <w:rPr>
          <w:bCs/>
          <w:iCs/>
        </w:rPr>
      </w:pPr>
      <w:r>
        <w:br w:type="page"/>
      </w:r>
      <w:r w:rsidR="00322274">
        <w:rPr>
          <w:noProof/>
          <w:sz w:val="20"/>
        </w:rPr>
        <mc:AlternateContent>
          <mc:Choice Requires="wps">
            <w:drawing>
              <wp:anchor distT="0" distB="0" distL="114300" distR="114300" simplePos="0" relativeHeight="251658240" behindDoc="1" locked="0" layoutInCell="0" allowOverlap="1" wp14:anchorId="06E9684C" wp14:editId="4352EBC0">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8079" w14:textId="77777777" w:rsidR="00322274" w:rsidRPr="00260E65" w:rsidRDefault="00322274" w:rsidP="00322274">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9684C" id="_x0000_s1028"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qejGbp9FlUJweO/Lhg8ZOxEspiSefwGH/6EMk&#10;A8UpJday+GDaNk2/tb85ODF6EvnId2Qehs2QZJq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r/h9QEAAM0DAAAOAAAAAAAAAAAAAAAAAC4CAABk&#10;cnMvZTJvRG9jLnhtbFBLAQItABQABgAIAAAAIQDrVDFa3gAAAA8BAAAPAAAAAAAAAAAAAAAAAE8E&#10;AABkcnMvZG93bnJldi54bWxQSwUGAAAAAAQABADzAAAAWgUAAAAA&#10;" o:allowincell="f" filled="f" stroked="f">
                <v:textbox>
                  <w:txbxContent>
                    <w:p w14:paraId="168E8079" w14:textId="77777777" w:rsidR="00322274" w:rsidRPr="00260E65" w:rsidRDefault="00322274" w:rsidP="00322274">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7A6AFA8D" w14:textId="7041013F" w:rsidR="00322274" w:rsidRPr="0003586F" w:rsidRDefault="00322274" w:rsidP="00322274">
      <w:pPr>
        <w:widowControl w:val="0"/>
        <w:numPr>
          <w:ilvl w:val="0"/>
          <w:numId w:val="4"/>
        </w:numPr>
        <w:overflowPunct w:val="0"/>
        <w:autoSpaceDE w:val="0"/>
        <w:autoSpaceDN w:val="0"/>
        <w:adjustRightInd w:val="0"/>
        <w:ind w:hanging="567"/>
        <w:textAlignment w:val="baseline"/>
        <w:rPr>
          <w:sz w:val="20"/>
        </w:rPr>
      </w:pPr>
      <w:hyperlink r:id="rId36" w:tgtFrame="_blank" w:history="1">
        <w:r>
          <w:rPr>
            <w:rStyle w:val="Hyperlink"/>
            <w:b/>
            <w:i/>
            <w:sz w:val="28"/>
          </w:rPr>
          <w:t xml:space="preserve">Rapport om EU:s </w:t>
        </w:r>
        <w:proofErr w:type="spellStart"/>
        <w:r>
          <w:rPr>
            <w:rStyle w:val="Hyperlink"/>
            <w:b/>
            <w:i/>
            <w:sz w:val="28"/>
          </w:rPr>
          <w:t>konkurrenspolitik</w:t>
        </w:r>
        <w:proofErr w:type="spellEnd"/>
        <w:r>
          <w:rPr>
            <w:rStyle w:val="Hyperlink"/>
            <w:b/>
            <w:i/>
            <w:sz w:val="28"/>
          </w:rPr>
          <w:t xml:space="preserve"> 2024</w:t>
        </w:r>
      </w:hyperlink>
    </w:p>
    <w:p w14:paraId="751AF06D" w14:textId="77777777" w:rsidR="00322274" w:rsidRPr="00A6689B" w:rsidRDefault="00322274" w:rsidP="00322274">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5387"/>
      </w:tblGrid>
      <w:tr w:rsidR="00322274" w:rsidRPr="00A6689B" w14:paraId="5714E661" w14:textId="77777777" w:rsidTr="00CD594D">
        <w:tc>
          <w:tcPr>
            <w:tcW w:w="2074" w:type="dxa"/>
          </w:tcPr>
          <w:p w14:paraId="25867385" w14:textId="77777777" w:rsidR="00322274" w:rsidRPr="00A6689B" w:rsidRDefault="00322274" w:rsidP="00CD594D">
            <w:pPr>
              <w:tabs>
                <w:tab w:val="center" w:pos="284"/>
              </w:tabs>
              <w:ind w:left="266" w:hanging="266"/>
              <w:rPr>
                <w:b/>
              </w:rPr>
            </w:pPr>
            <w:r>
              <w:rPr>
                <w:b/>
              </w:rPr>
              <w:t>Föredragande:</w:t>
            </w:r>
          </w:p>
        </w:tc>
        <w:tc>
          <w:tcPr>
            <w:tcW w:w="5387" w:type="dxa"/>
          </w:tcPr>
          <w:p w14:paraId="320A7AC7" w14:textId="77777777" w:rsidR="00322274" w:rsidRPr="00A6689B" w:rsidRDefault="00322274" w:rsidP="00CD594D">
            <w:pPr>
              <w:tabs>
                <w:tab w:val="center" w:pos="284"/>
              </w:tabs>
              <w:ind w:left="266" w:hanging="266"/>
            </w:pPr>
            <w:r>
              <w:t xml:space="preserve">Andrea </w:t>
            </w:r>
            <w:proofErr w:type="spellStart"/>
            <w:r>
              <w:t>Mone</w:t>
            </w:r>
            <w:proofErr w:type="spellEnd"/>
            <w:r>
              <w:t xml:space="preserve"> (Arbetstagargruppen – IT)</w:t>
            </w:r>
          </w:p>
        </w:tc>
      </w:tr>
      <w:tr w:rsidR="00322274" w:rsidRPr="00A6689B" w14:paraId="6D1C103A" w14:textId="77777777" w:rsidTr="00CD594D">
        <w:tc>
          <w:tcPr>
            <w:tcW w:w="7461" w:type="dxa"/>
            <w:gridSpan w:val="2"/>
          </w:tcPr>
          <w:p w14:paraId="57D6F905" w14:textId="77777777" w:rsidR="00322274" w:rsidRPr="00A6689B" w:rsidRDefault="00322274" w:rsidP="00CD594D">
            <w:pPr>
              <w:tabs>
                <w:tab w:val="center" w:pos="284"/>
              </w:tabs>
              <w:spacing w:line="160" w:lineRule="exact"/>
              <w:ind w:left="266" w:hanging="266"/>
              <w:rPr>
                <w:lang w:val="en-US"/>
              </w:rPr>
            </w:pPr>
          </w:p>
        </w:tc>
      </w:tr>
      <w:tr w:rsidR="00322274" w:rsidRPr="00A6689B" w14:paraId="6099F2A4" w14:textId="77777777" w:rsidTr="00CD594D">
        <w:tc>
          <w:tcPr>
            <w:tcW w:w="2074" w:type="dxa"/>
          </w:tcPr>
          <w:p w14:paraId="68A771FC" w14:textId="77777777" w:rsidR="00322274" w:rsidRPr="00A6689B" w:rsidRDefault="00322274" w:rsidP="00CD594D">
            <w:pPr>
              <w:tabs>
                <w:tab w:val="center" w:pos="284"/>
              </w:tabs>
              <w:ind w:left="266" w:hanging="266"/>
              <w:rPr>
                <w:b/>
              </w:rPr>
            </w:pPr>
            <w:r>
              <w:rPr>
                <w:b/>
              </w:rPr>
              <w:t>Referensdokument:</w:t>
            </w:r>
          </w:p>
        </w:tc>
        <w:tc>
          <w:tcPr>
            <w:tcW w:w="5387" w:type="dxa"/>
          </w:tcPr>
          <w:p w14:paraId="7ACCC68E" w14:textId="77777777" w:rsidR="00322274" w:rsidRPr="0018587A" w:rsidRDefault="00322274" w:rsidP="00CD594D">
            <w:pPr>
              <w:tabs>
                <w:tab w:val="center" w:pos="284"/>
              </w:tabs>
              <w:ind w:left="266" w:hanging="266"/>
            </w:pPr>
            <w:r>
              <w:t>COM(2025) 181 final</w:t>
            </w:r>
          </w:p>
          <w:p w14:paraId="1CEA3903" w14:textId="77777777" w:rsidR="00322274" w:rsidRPr="00A6689B" w:rsidRDefault="00322274" w:rsidP="00CD594D">
            <w:pPr>
              <w:tabs>
                <w:tab w:val="center" w:pos="284"/>
              </w:tabs>
              <w:ind w:left="266" w:hanging="266"/>
            </w:pPr>
            <w:r>
              <w:t>EESC-2025-02299-00-00-AC</w:t>
            </w:r>
          </w:p>
        </w:tc>
      </w:tr>
    </w:tbl>
    <w:p w14:paraId="0CFE7385" w14:textId="77777777" w:rsidR="00322274" w:rsidRPr="00A6689B" w:rsidRDefault="00322274" w:rsidP="00322274">
      <w:pPr>
        <w:tabs>
          <w:tab w:val="center" w:pos="284"/>
        </w:tabs>
        <w:ind w:left="266" w:hanging="266"/>
      </w:pPr>
    </w:p>
    <w:p w14:paraId="18A2650C" w14:textId="77777777" w:rsidR="00322274" w:rsidRPr="00A6689B" w:rsidRDefault="00322274" w:rsidP="00322274">
      <w:pPr>
        <w:keepNext/>
        <w:keepLines/>
        <w:tabs>
          <w:tab w:val="center" w:pos="284"/>
        </w:tabs>
        <w:ind w:left="266" w:hanging="266"/>
        <w:rPr>
          <w:b/>
        </w:rPr>
      </w:pPr>
      <w:r>
        <w:rPr>
          <w:b/>
        </w:rPr>
        <w:t>Huvudpunkter</w:t>
      </w:r>
    </w:p>
    <w:p w14:paraId="290B4BE3" w14:textId="77777777" w:rsidR="00322274" w:rsidRPr="00A6689B" w:rsidRDefault="00322274" w:rsidP="00322274">
      <w:pPr>
        <w:keepNext/>
        <w:keepLines/>
        <w:tabs>
          <w:tab w:val="center" w:pos="284"/>
        </w:tabs>
        <w:ind w:left="266" w:hanging="266"/>
        <w:rPr>
          <w:b/>
        </w:rPr>
      </w:pPr>
    </w:p>
    <w:p w14:paraId="316B04BB" w14:textId="77777777" w:rsidR="00322274" w:rsidRDefault="00322274" w:rsidP="00322274">
      <w:pPr>
        <w:rPr>
          <w:bCs/>
          <w:iCs/>
        </w:rPr>
      </w:pPr>
      <w:proofErr w:type="spellStart"/>
      <w:r>
        <w:t>EESK:s</w:t>
      </w:r>
      <w:proofErr w:type="spellEnd"/>
      <w:r>
        <w:t xml:space="preserve"> ståndpunkt:</w:t>
      </w:r>
    </w:p>
    <w:p w14:paraId="71A1356D" w14:textId="77777777" w:rsidR="00322274" w:rsidRPr="0065464E" w:rsidRDefault="00322274" w:rsidP="00322274">
      <w:pPr>
        <w:rPr>
          <w:bCs/>
          <w:iCs/>
        </w:rPr>
      </w:pPr>
    </w:p>
    <w:p w14:paraId="508B78FA" w14:textId="77777777" w:rsidR="00322274" w:rsidRDefault="00322274" w:rsidP="00322274">
      <w:pPr>
        <w:numPr>
          <w:ilvl w:val="0"/>
          <w:numId w:val="8"/>
        </w:numPr>
        <w:tabs>
          <w:tab w:val="clear" w:pos="720"/>
        </w:tabs>
        <w:ind w:left="567" w:hanging="567"/>
      </w:pPr>
      <w:r>
        <w:t xml:space="preserve">EESK välkomnar </w:t>
      </w:r>
      <w:r>
        <w:rPr>
          <w:b/>
        </w:rPr>
        <w:t>den strategi för tillämpning som kommissionen antog 2024</w:t>
      </w:r>
      <w:r>
        <w:t xml:space="preserve">, som anpassar konkurrenspolitiken till EU:s digitala, gröna och </w:t>
      </w:r>
      <w:proofErr w:type="spellStart"/>
      <w:r>
        <w:t>resiliensrelaterade</w:t>
      </w:r>
      <w:proofErr w:type="spellEnd"/>
      <w:r>
        <w:t xml:space="preserve"> mål och samtidigt skyddar en välfungerande och konkurrenskraftig inre marknad.</w:t>
      </w:r>
    </w:p>
    <w:p w14:paraId="11ACFBB2" w14:textId="77777777" w:rsidR="00322274" w:rsidRPr="00246D0A" w:rsidRDefault="00322274" w:rsidP="00322274">
      <w:pPr>
        <w:ind w:left="567"/>
        <w:rPr>
          <w:lang w:val="en-US" w:eastAsia="fr-BE"/>
        </w:rPr>
      </w:pPr>
    </w:p>
    <w:p w14:paraId="34408C38" w14:textId="77777777" w:rsidR="00322274" w:rsidRDefault="00322274" w:rsidP="00322274">
      <w:pPr>
        <w:numPr>
          <w:ilvl w:val="0"/>
          <w:numId w:val="8"/>
        </w:numPr>
        <w:tabs>
          <w:tab w:val="clear" w:pos="720"/>
        </w:tabs>
        <w:ind w:left="567" w:hanging="567"/>
      </w:pPr>
      <w:r>
        <w:t xml:space="preserve">Kommittén stöder kommissionens insatser för att öka </w:t>
      </w:r>
      <w:r>
        <w:rPr>
          <w:b/>
        </w:rPr>
        <w:t>konkurrensreglernas effektivitet och förutsägbarhet</w:t>
      </w:r>
      <w:r>
        <w:t>, inbegripet utarbetandet av nya riktlinjer om utestängande missbruk av dominerande ställning, det moderniserade tillkännagivandet om marknadsdefinition och förbättrade verktyg för att bedöma konsekvenserna för konsumenternas välfärd.</w:t>
      </w:r>
    </w:p>
    <w:p w14:paraId="2B500ECC" w14:textId="77777777" w:rsidR="00322274" w:rsidRPr="0065464E" w:rsidRDefault="00322274" w:rsidP="00322274">
      <w:pPr>
        <w:ind w:left="567"/>
        <w:rPr>
          <w:lang w:val="en-US" w:eastAsia="fr-BE"/>
        </w:rPr>
      </w:pPr>
    </w:p>
    <w:p w14:paraId="39546268" w14:textId="77777777" w:rsidR="00322274" w:rsidRDefault="00322274" w:rsidP="00322274">
      <w:pPr>
        <w:numPr>
          <w:ilvl w:val="0"/>
          <w:numId w:val="8"/>
        </w:numPr>
        <w:tabs>
          <w:tab w:val="clear" w:pos="720"/>
        </w:tabs>
        <w:ind w:left="567" w:hanging="567"/>
      </w:pPr>
      <w:r>
        <w:t xml:space="preserve">EESK betonar vikten av att ta itu med konkurrensutmaningar på </w:t>
      </w:r>
      <w:r>
        <w:rPr>
          <w:b/>
        </w:rPr>
        <w:t>digitala marknader</w:t>
      </w:r>
      <w:r>
        <w:t xml:space="preserve"> och uppmuntrar kommissionen att fortsätta att stärka efterlevnaden i enlighet med både traditionella konkurrensregler och förordningen om digitala marknader, med tanke på den strukturella dominansen och inträdeshindren i plattformsbaserade affärsmodeller.</w:t>
      </w:r>
    </w:p>
    <w:p w14:paraId="754FEF64" w14:textId="77777777" w:rsidR="00322274" w:rsidRPr="0065464E" w:rsidRDefault="00322274" w:rsidP="00322274">
      <w:pPr>
        <w:ind w:left="567"/>
        <w:rPr>
          <w:lang w:val="en-US" w:eastAsia="fr-BE"/>
        </w:rPr>
      </w:pPr>
    </w:p>
    <w:p w14:paraId="169FD7B3" w14:textId="77777777" w:rsidR="00322274" w:rsidRDefault="00322274" w:rsidP="00322274">
      <w:pPr>
        <w:numPr>
          <w:ilvl w:val="0"/>
          <w:numId w:val="8"/>
        </w:numPr>
        <w:tabs>
          <w:tab w:val="clear" w:pos="720"/>
        </w:tabs>
        <w:ind w:left="567" w:hanging="567"/>
      </w:pPr>
      <w:r>
        <w:t xml:space="preserve">Kommittén efterlyser en </w:t>
      </w:r>
      <w:r>
        <w:rPr>
          <w:b/>
        </w:rPr>
        <w:t>starkare koncentrationskontroll</w:t>
      </w:r>
      <w:r>
        <w:t xml:space="preserve">, inbegripet en ram för att granska förvärv under tröskelvärdet som kan skada konkurrensen (t.ex. konkurrensdödande uppköp), och efterlyser </w:t>
      </w:r>
      <w:r>
        <w:rPr>
          <w:b/>
          <w:bCs/>
        </w:rPr>
        <w:t xml:space="preserve">större hänsyn till effekterna på arbetsmarknadens och innovationens </w:t>
      </w:r>
      <w:r>
        <w:t>dynamik i bedömningen av koncentrationer.</w:t>
      </w:r>
    </w:p>
    <w:p w14:paraId="0D22B7FC" w14:textId="77777777" w:rsidR="00322274" w:rsidRPr="0065464E" w:rsidRDefault="00322274" w:rsidP="00322274">
      <w:pPr>
        <w:ind w:left="567"/>
        <w:rPr>
          <w:lang w:val="en-US" w:eastAsia="fr-BE"/>
        </w:rPr>
      </w:pPr>
    </w:p>
    <w:p w14:paraId="07F8FCBE" w14:textId="77777777" w:rsidR="00322274" w:rsidRPr="0065464E" w:rsidRDefault="00322274" w:rsidP="00322274">
      <w:pPr>
        <w:numPr>
          <w:ilvl w:val="0"/>
          <w:numId w:val="8"/>
        </w:numPr>
        <w:tabs>
          <w:tab w:val="clear" w:pos="720"/>
        </w:tabs>
        <w:ind w:left="567" w:hanging="567"/>
      </w:pPr>
      <w:r>
        <w:t xml:space="preserve">EESK betonar behovet av </w:t>
      </w:r>
      <w:r>
        <w:rPr>
          <w:b/>
        </w:rPr>
        <w:t>regler för statligt stöd</w:t>
      </w:r>
      <w:r>
        <w:t xml:space="preserve"> – särskilt processerna avseende </w:t>
      </w:r>
      <w:proofErr w:type="spellStart"/>
      <w:r>
        <w:t>Cisafs</w:t>
      </w:r>
      <w:proofErr w:type="spellEnd"/>
      <w:r>
        <w:t xml:space="preserve"> nya regelverk och viktiga projekt av gemensamt europeiskt intresse – för att främja </w:t>
      </w:r>
      <w:r>
        <w:rPr>
          <w:b/>
        </w:rPr>
        <w:t>gränsöverskridande deltagande, minska fragmenteringen och stödja strategiska investeringar</w:t>
      </w:r>
      <w:r>
        <w:t xml:space="preserve"> som är avgörande för given för en ren industri, samtidigt som sammanhållning och lika villkor säkerställs i alla medlemsstater.</w:t>
      </w:r>
    </w:p>
    <w:p w14:paraId="7604AF5B" w14:textId="77777777" w:rsidR="00322274" w:rsidRPr="000624A9" w:rsidRDefault="00322274" w:rsidP="00322274">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5670"/>
      </w:tblGrid>
      <w:tr w:rsidR="00322274" w:rsidRPr="00A6689B" w14:paraId="538A9D5D" w14:textId="77777777" w:rsidTr="00CD594D">
        <w:tc>
          <w:tcPr>
            <w:tcW w:w="1418" w:type="dxa"/>
          </w:tcPr>
          <w:p w14:paraId="2CC827F3" w14:textId="77777777" w:rsidR="00322274" w:rsidRPr="00A6689B" w:rsidRDefault="00322274" w:rsidP="00CD594D">
            <w:pPr>
              <w:spacing w:line="240" w:lineRule="auto"/>
              <w:rPr>
                <w:i/>
              </w:rPr>
            </w:pPr>
            <w:r>
              <w:rPr>
                <w:b/>
                <w:i/>
              </w:rPr>
              <w:t>Kontaktperson:</w:t>
            </w:r>
          </w:p>
        </w:tc>
        <w:tc>
          <w:tcPr>
            <w:tcW w:w="5670" w:type="dxa"/>
          </w:tcPr>
          <w:p w14:paraId="15B172B7" w14:textId="77777777" w:rsidR="00322274" w:rsidRPr="00A6689B" w:rsidRDefault="00322274" w:rsidP="00CD594D">
            <w:pPr>
              <w:spacing w:line="240" w:lineRule="auto"/>
              <w:rPr>
                <w:i/>
              </w:rPr>
            </w:pPr>
            <w:r>
              <w:rPr>
                <w:i/>
              </w:rPr>
              <w:t xml:space="preserve">Silvia </w:t>
            </w:r>
            <w:proofErr w:type="spellStart"/>
            <w:r>
              <w:rPr>
                <w:i/>
              </w:rPr>
              <w:t>Staffa</w:t>
            </w:r>
            <w:proofErr w:type="spellEnd"/>
          </w:p>
        </w:tc>
      </w:tr>
      <w:tr w:rsidR="00322274" w:rsidRPr="00A6689B" w14:paraId="3ACD79E7" w14:textId="77777777" w:rsidTr="00CD594D">
        <w:tc>
          <w:tcPr>
            <w:tcW w:w="1418" w:type="dxa"/>
          </w:tcPr>
          <w:p w14:paraId="07C3CC2F" w14:textId="77777777" w:rsidR="00322274" w:rsidRPr="00A6689B" w:rsidRDefault="00322274" w:rsidP="00CD594D">
            <w:pPr>
              <w:spacing w:line="240" w:lineRule="auto"/>
              <w:rPr>
                <w:i/>
              </w:rPr>
            </w:pPr>
            <w:r>
              <w:rPr>
                <w:i/>
              </w:rPr>
              <w:t>Tfn</w:t>
            </w:r>
          </w:p>
        </w:tc>
        <w:tc>
          <w:tcPr>
            <w:tcW w:w="5670" w:type="dxa"/>
            <w:shd w:val="clear" w:color="auto" w:fill="auto"/>
          </w:tcPr>
          <w:p w14:paraId="7D7CE0EA" w14:textId="77777777" w:rsidR="00322274" w:rsidRPr="00A6689B" w:rsidRDefault="00322274" w:rsidP="00CD594D">
            <w:pPr>
              <w:spacing w:line="240" w:lineRule="auto"/>
              <w:rPr>
                <w:i/>
              </w:rPr>
            </w:pPr>
            <w:r>
              <w:rPr>
                <w:i/>
              </w:rPr>
              <w:t>+ 32 25468378</w:t>
            </w:r>
          </w:p>
        </w:tc>
      </w:tr>
      <w:tr w:rsidR="00322274" w:rsidRPr="00A6689B" w14:paraId="40FF6337" w14:textId="77777777" w:rsidTr="00CD594D">
        <w:tc>
          <w:tcPr>
            <w:tcW w:w="1418" w:type="dxa"/>
          </w:tcPr>
          <w:p w14:paraId="77CA675C" w14:textId="77777777" w:rsidR="00322274" w:rsidRPr="00A6689B" w:rsidRDefault="00322274" w:rsidP="00CD594D">
            <w:pPr>
              <w:spacing w:line="240" w:lineRule="auto"/>
              <w:rPr>
                <w:i/>
              </w:rPr>
            </w:pPr>
            <w:r>
              <w:rPr>
                <w:i/>
              </w:rPr>
              <w:t>E-post:</w:t>
            </w:r>
          </w:p>
        </w:tc>
        <w:tc>
          <w:tcPr>
            <w:tcW w:w="5670" w:type="dxa"/>
          </w:tcPr>
          <w:p w14:paraId="2AEC2976" w14:textId="77777777" w:rsidR="00322274" w:rsidRPr="00A6689B" w:rsidRDefault="00322274" w:rsidP="00CD594D">
            <w:pPr>
              <w:spacing w:line="240" w:lineRule="auto"/>
              <w:rPr>
                <w:i/>
              </w:rPr>
            </w:pPr>
            <w:hyperlink r:id="rId37" w:history="1">
              <w:r>
                <w:rPr>
                  <w:rStyle w:val="Hyperlink"/>
                  <w:i/>
                </w:rPr>
                <w:t>Silvia.Staffa@eesc.europa.eu</w:t>
              </w:r>
            </w:hyperlink>
          </w:p>
        </w:tc>
      </w:tr>
    </w:tbl>
    <w:p w14:paraId="5059386D" w14:textId="77777777" w:rsidR="002942D9" w:rsidRDefault="004D7AC0" w:rsidP="002942D9">
      <w:pPr>
        <w:widowControl w:val="0"/>
        <w:jc w:val="center"/>
        <w:rPr>
          <w:bCs/>
          <w:iCs/>
        </w:rPr>
      </w:pPr>
      <w:r>
        <w:br w:type="page"/>
      </w:r>
    </w:p>
    <w:p w14:paraId="09D69B25" w14:textId="08D9CAB9" w:rsidR="002942D9" w:rsidRPr="0055472D" w:rsidRDefault="002942D9" w:rsidP="002942D9">
      <w:pPr>
        <w:widowControl w:val="0"/>
        <w:numPr>
          <w:ilvl w:val="0"/>
          <w:numId w:val="4"/>
        </w:numPr>
        <w:overflowPunct w:val="0"/>
        <w:autoSpaceDE w:val="0"/>
        <w:autoSpaceDN w:val="0"/>
        <w:adjustRightInd w:val="0"/>
        <w:ind w:hanging="567"/>
        <w:textAlignment w:val="baseline"/>
        <w:rPr>
          <w:i/>
          <w:iCs/>
          <w:sz w:val="28"/>
          <w:szCs w:val="28"/>
        </w:rPr>
      </w:pPr>
      <w:hyperlink r:id="rId38" w:history="1">
        <w:r>
          <w:rPr>
            <w:rStyle w:val="Hyperlink"/>
            <w:b/>
            <w:i/>
            <w:sz w:val="28"/>
          </w:rPr>
          <w:t>Konkurrenskraftsfonden</w:t>
        </w:r>
      </w:hyperlink>
    </w:p>
    <w:p w14:paraId="090AA35A" w14:textId="77777777" w:rsidR="002942D9" w:rsidRPr="006F46D1" w:rsidRDefault="002942D9" w:rsidP="002942D9">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105"/>
      </w:tblGrid>
      <w:tr w:rsidR="002942D9" w:rsidRPr="00A6689B" w14:paraId="6E343341" w14:textId="77777777" w:rsidTr="00CD594D">
        <w:trPr>
          <w:trHeight w:val="406"/>
        </w:trPr>
        <w:tc>
          <w:tcPr>
            <w:tcW w:w="1108" w:type="pct"/>
          </w:tcPr>
          <w:p w14:paraId="78295D0D" w14:textId="77777777" w:rsidR="002942D9" w:rsidRPr="00A6689B" w:rsidRDefault="002942D9" w:rsidP="00CD594D">
            <w:pPr>
              <w:tabs>
                <w:tab w:val="center" w:pos="284"/>
              </w:tabs>
              <w:ind w:left="266" w:hanging="266"/>
              <w:rPr>
                <w:b/>
              </w:rPr>
            </w:pPr>
            <w:r>
              <w:rPr>
                <w:b/>
              </w:rPr>
              <w:t>Föredragande:</w:t>
            </w:r>
          </w:p>
        </w:tc>
        <w:tc>
          <w:tcPr>
            <w:tcW w:w="3892" w:type="pct"/>
          </w:tcPr>
          <w:p w14:paraId="65E3C61D" w14:textId="77777777" w:rsidR="002942D9" w:rsidRPr="009E78F1" w:rsidRDefault="002942D9" w:rsidP="00CD594D">
            <w:pPr>
              <w:tabs>
                <w:tab w:val="center" w:pos="0"/>
              </w:tabs>
              <w:ind w:left="266" w:hanging="266"/>
            </w:pPr>
            <w:r>
              <w:t>Milena Angelova (Arbetsgivargruppen – BG)</w:t>
            </w:r>
          </w:p>
        </w:tc>
      </w:tr>
      <w:tr w:rsidR="002942D9" w:rsidRPr="0004565E" w14:paraId="30CA31FE" w14:textId="77777777" w:rsidTr="00CD594D">
        <w:tc>
          <w:tcPr>
            <w:tcW w:w="1108" w:type="pct"/>
          </w:tcPr>
          <w:p w14:paraId="639F33F4" w14:textId="77777777" w:rsidR="002942D9" w:rsidRPr="00CB5569" w:rsidRDefault="002942D9" w:rsidP="00CD594D">
            <w:pPr>
              <w:tabs>
                <w:tab w:val="center" w:pos="284"/>
              </w:tabs>
              <w:ind w:left="266" w:hanging="266"/>
              <w:rPr>
                <w:b/>
              </w:rPr>
            </w:pPr>
            <w:r>
              <w:rPr>
                <w:b/>
              </w:rPr>
              <w:t>Referensdokument:</w:t>
            </w:r>
          </w:p>
        </w:tc>
        <w:tc>
          <w:tcPr>
            <w:tcW w:w="3892" w:type="pct"/>
          </w:tcPr>
          <w:p w14:paraId="6D9914D8" w14:textId="77777777" w:rsidR="002942D9" w:rsidRPr="00AF47F8" w:rsidRDefault="002942D9" w:rsidP="00CD594D">
            <w:pPr>
              <w:tabs>
                <w:tab w:val="center" w:pos="284"/>
              </w:tabs>
              <w:ind w:left="266" w:hanging="266"/>
            </w:pPr>
            <w:r>
              <w:t>COM(2025) 555 final – 2025/0555 (COD)</w:t>
            </w:r>
          </w:p>
          <w:p w14:paraId="24C19051" w14:textId="77777777" w:rsidR="002942D9" w:rsidRPr="00AF47F8" w:rsidRDefault="002942D9" w:rsidP="00CD594D">
            <w:pPr>
              <w:tabs>
                <w:tab w:val="center" w:pos="284"/>
              </w:tabs>
              <w:ind w:left="266" w:hanging="266"/>
            </w:pPr>
            <w:r>
              <w:t>EESC-2025-02576-00-00-AC</w:t>
            </w:r>
          </w:p>
        </w:tc>
      </w:tr>
    </w:tbl>
    <w:p w14:paraId="57ECAA73" w14:textId="77777777" w:rsidR="002942D9" w:rsidRPr="00AF47F8" w:rsidRDefault="002942D9" w:rsidP="002942D9">
      <w:pPr>
        <w:keepNext/>
        <w:keepLines/>
        <w:tabs>
          <w:tab w:val="center" w:pos="284"/>
        </w:tabs>
        <w:ind w:left="266" w:hanging="266"/>
        <w:rPr>
          <w:b/>
          <w:lang w:val="pt-PT"/>
        </w:rPr>
      </w:pPr>
    </w:p>
    <w:p w14:paraId="2D53DB11" w14:textId="77777777" w:rsidR="002942D9" w:rsidRPr="00CB5569" w:rsidRDefault="002942D9" w:rsidP="002942D9">
      <w:pPr>
        <w:keepNext/>
        <w:keepLines/>
        <w:tabs>
          <w:tab w:val="center" w:pos="284"/>
        </w:tabs>
        <w:ind w:left="266" w:hanging="266"/>
        <w:rPr>
          <w:b/>
        </w:rPr>
      </w:pPr>
      <w:r>
        <w:rPr>
          <w:b/>
        </w:rPr>
        <w:t>Huvudpunkter</w:t>
      </w:r>
    </w:p>
    <w:p w14:paraId="0507D420" w14:textId="77777777" w:rsidR="002942D9" w:rsidRPr="00601171" w:rsidRDefault="002942D9" w:rsidP="002942D9">
      <w:pPr>
        <w:keepNext/>
        <w:keepLines/>
        <w:tabs>
          <w:tab w:val="center" w:pos="284"/>
        </w:tabs>
        <w:ind w:left="266" w:hanging="266"/>
        <w:rPr>
          <w:bCs/>
        </w:rPr>
      </w:pPr>
    </w:p>
    <w:p w14:paraId="186184E7" w14:textId="77777777" w:rsidR="002942D9" w:rsidRDefault="002942D9" w:rsidP="002942D9">
      <w:proofErr w:type="spellStart"/>
      <w:r>
        <w:t>EESK:s</w:t>
      </w:r>
      <w:proofErr w:type="spellEnd"/>
      <w:r>
        <w:t xml:space="preserve"> ståndpunkt:</w:t>
      </w:r>
    </w:p>
    <w:p w14:paraId="70344B03" w14:textId="77777777" w:rsidR="002942D9" w:rsidRPr="00601171" w:rsidRDefault="002942D9" w:rsidP="002942D9">
      <w:pPr>
        <w:rPr>
          <w:bCs/>
          <w:iCs/>
        </w:rPr>
      </w:pPr>
    </w:p>
    <w:p w14:paraId="212E9BAB" w14:textId="77777777" w:rsidR="002942D9" w:rsidRPr="00601171" w:rsidRDefault="002942D9" w:rsidP="002942D9">
      <w:pPr>
        <w:numPr>
          <w:ilvl w:val="0"/>
          <w:numId w:val="9"/>
        </w:numPr>
        <w:overflowPunct w:val="0"/>
        <w:autoSpaceDE w:val="0"/>
        <w:autoSpaceDN w:val="0"/>
        <w:adjustRightInd w:val="0"/>
        <w:ind w:left="567" w:hanging="567"/>
        <w:textAlignment w:val="baseline"/>
      </w:pPr>
      <w:r>
        <w:t>EESK stöder inrättandet av en europeisk konkurrenskraftsfond som en hörnsten i nästa EU</w:t>
      </w:r>
      <w:r w:rsidRPr="00BC40D7">
        <w:rPr>
          <w:spacing w:val="-2"/>
        </w:rPr>
        <w:noBreakHyphen/>
        <w:t xml:space="preserve">budget och en drivkraft för innovation, </w:t>
      </w:r>
      <w:proofErr w:type="spellStart"/>
      <w:r w:rsidRPr="00BC40D7">
        <w:rPr>
          <w:spacing w:val="-2"/>
        </w:rPr>
        <w:t>resiliens</w:t>
      </w:r>
      <w:proofErr w:type="spellEnd"/>
      <w:r w:rsidRPr="00BC40D7">
        <w:rPr>
          <w:spacing w:val="-2"/>
        </w:rPr>
        <w:t xml:space="preserve"> och säkerhet, och betonar att </w:t>
      </w:r>
      <w:r w:rsidRPr="00BC40D7">
        <w:rPr>
          <w:b/>
          <w:spacing w:val="-2"/>
        </w:rPr>
        <w:t>finansieringen</w:t>
      </w:r>
      <w:r>
        <w:rPr>
          <w:b/>
        </w:rPr>
        <w:t xml:space="preserve"> måste förbli strikt anpassad till hållbarhet</w:t>
      </w:r>
      <w:r>
        <w:t xml:space="preserve"> och </w:t>
      </w:r>
      <w:r>
        <w:rPr>
          <w:b/>
        </w:rPr>
        <w:t>EU:s sociala marknadsekonomi</w:t>
      </w:r>
      <w:r>
        <w:t>.</w:t>
      </w:r>
    </w:p>
    <w:p w14:paraId="1416A00D" w14:textId="77777777" w:rsidR="002942D9" w:rsidRPr="00601171" w:rsidRDefault="002942D9" w:rsidP="002942D9">
      <w:pPr>
        <w:numPr>
          <w:ilvl w:val="0"/>
          <w:numId w:val="9"/>
        </w:numPr>
        <w:overflowPunct w:val="0"/>
        <w:autoSpaceDE w:val="0"/>
        <w:autoSpaceDN w:val="0"/>
        <w:adjustRightInd w:val="0"/>
        <w:ind w:left="567" w:hanging="567"/>
        <w:textAlignment w:val="baseline"/>
      </w:pPr>
      <w:r>
        <w:t xml:space="preserve">Kommittén efterlyser </w:t>
      </w:r>
      <w:r>
        <w:rPr>
          <w:b/>
        </w:rPr>
        <w:t>ett EU-omfattande meritbaserat projekturval</w:t>
      </w:r>
      <w:r>
        <w:t xml:space="preserve">, med tydliga kriterier såsom spetskompetens, framtida inriktning och ekonomisk potential. För att </w:t>
      </w:r>
      <w:r>
        <w:rPr>
          <w:b/>
        </w:rPr>
        <w:t>undvika att medlemsstater agerar som grindvakter</w:t>
      </w:r>
      <w:r>
        <w:t xml:space="preserve"> efterlyser EESK förfaranden som tillåter insyn, lika tillgång för sökande i alla medlemsstater och ett aktivt deltagande av arbetsmarknadens parter och det civila samhället i styrningen.</w:t>
      </w:r>
    </w:p>
    <w:p w14:paraId="4306DDA7" w14:textId="77777777" w:rsidR="002942D9" w:rsidRPr="00601171" w:rsidRDefault="002942D9" w:rsidP="002942D9">
      <w:pPr>
        <w:numPr>
          <w:ilvl w:val="0"/>
          <w:numId w:val="9"/>
        </w:numPr>
        <w:overflowPunct w:val="0"/>
        <w:autoSpaceDE w:val="0"/>
        <w:autoSpaceDN w:val="0"/>
        <w:adjustRightInd w:val="0"/>
        <w:ind w:left="567" w:hanging="567"/>
        <w:textAlignment w:val="baseline"/>
      </w:pPr>
      <w:r>
        <w:t xml:space="preserve">EESK </w:t>
      </w:r>
      <w:r>
        <w:rPr>
          <w:b/>
        </w:rPr>
        <w:t>rekommenderar att man inför marknadsvalidering</w:t>
      </w:r>
      <w:r>
        <w:t>, vilket innebär att projekt som söker tilläggsbetalningar från EU – såsom viktiga projekt av gemensamt europeiskt intresse eller andra storskaliga investeringar – först måste mobilisera en viss andel privat kapital. Denna marknadstestmekanism skulle bidra till att validera projektkvaliteten, minska politiserade finansieringsbeslut och stärka kopplingen mellan offentligt stöd och reell konkurrenskraft.</w:t>
      </w:r>
    </w:p>
    <w:p w14:paraId="79721BB8" w14:textId="77777777" w:rsidR="002942D9" w:rsidRPr="00601171" w:rsidRDefault="002942D9" w:rsidP="002942D9">
      <w:pPr>
        <w:numPr>
          <w:ilvl w:val="0"/>
          <w:numId w:val="9"/>
        </w:numPr>
        <w:overflowPunct w:val="0"/>
        <w:autoSpaceDE w:val="0"/>
        <w:autoSpaceDN w:val="0"/>
        <w:adjustRightInd w:val="0"/>
        <w:ind w:left="567" w:hanging="567"/>
        <w:textAlignment w:val="baseline"/>
      </w:pPr>
      <w:r>
        <w:t xml:space="preserve">Det behövs </w:t>
      </w:r>
      <w:r>
        <w:rPr>
          <w:b/>
        </w:rPr>
        <w:t>kraftfulla verktyg för riskbedömning och förebyggande</w:t>
      </w:r>
      <w:r>
        <w:t xml:space="preserve"> som säkerställer att medel från Europeiska konkurrenskraftsfonden endast kanaliseras till projekt som konkret stärker Europas konkurrenskraft och undviker att upprepa tidigare brister i EU:s finansierings</w:t>
      </w:r>
      <w:r>
        <w:softHyphen/>
        <w:t>program.</w:t>
      </w:r>
    </w:p>
    <w:p w14:paraId="299E49B2" w14:textId="77777777" w:rsidR="002942D9" w:rsidRPr="00601171" w:rsidRDefault="002942D9" w:rsidP="002942D9">
      <w:pPr>
        <w:numPr>
          <w:ilvl w:val="0"/>
          <w:numId w:val="9"/>
        </w:numPr>
        <w:overflowPunct w:val="0"/>
        <w:autoSpaceDE w:val="0"/>
        <w:autoSpaceDN w:val="0"/>
        <w:adjustRightInd w:val="0"/>
        <w:ind w:left="567" w:hanging="567"/>
        <w:textAlignment w:val="baseline"/>
      </w:pPr>
      <w:r>
        <w:t xml:space="preserve">Det är viktigt att </w:t>
      </w:r>
      <w:r>
        <w:rPr>
          <w:b/>
        </w:rPr>
        <w:t>stödja små och medelstora företag, regionala och gränsöverskridande innovationsekosystem och investeringar i kompetens och anständigt arbete</w:t>
      </w:r>
      <w:r>
        <w:t>, samtidigt som man förenklar förfarandena och säkerställer en öppen, förutsägbar och inkluderande styrning.</w:t>
      </w:r>
    </w:p>
    <w:p w14:paraId="387E0236" w14:textId="77777777" w:rsidR="002942D9" w:rsidRPr="00601171" w:rsidRDefault="002942D9" w:rsidP="002942D9">
      <w:pPr>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667"/>
      </w:tblGrid>
      <w:tr w:rsidR="002942D9" w:rsidRPr="00A6689B" w14:paraId="57FC63FA" w14:textId="77777777" w:rsidTr="00CD594D">
        <w:tc>
          <w:tcPr>
            <w:tcW w:w="742" w:type="pct"/>
          </w:tcPr>
          <w:p w14:paraId="5527B592" w14:textId="77777777" w:rsidR="002942D9" w:rsidRPr="00A6689B" w:rsidRDefault="002942D9" w:rsidP="00CD594D">
            <w:pPr>
              <w:rPr>
                <w:i/>
              </w:rPr>
            </w:pPr>
            <w:r>
              <w:rPr>
                <w:b/>
                <w:i/>
              </w:rPr>
              <w:t>Kontaktperson:</w:t>
            </w:r>
          </w:p>
        </w:tc>
        <w:tc>
          <w:tcPr>
            <w:tcW w:w="4258" w:type="pct"/>
          </w:tcPr>
          <w:p w14:paraId="6F6D87B7" w14:textId="77777777" w:rsidR="002942D9" w:rsidRPr="00A6689B" w:rsidRDefault="002942D9" w:rsidP="00CD594D">
            <w:pPr>
              <w:rPr>
                <w:i/>
              </w:rPr>
            </w:pPr>
            <w:r>
              <w:rPr>
                <w:i/>
              </w:rPr>
              <w:t xml:space="preserve">Silvia </w:t>
            </w:r>
            <w:proofErr w:type="spellStart"/>
            <w:r>
              <w:rPr>
                <w:i/>
              </w:rPr>
              <w:t>Staffa</w:t>
            </w:r>
            <w:proofErr w:type="spellEnd"/>
          </w:p>
        </w:tc>
      </w:tr>
      <w:tr w:rsidR="002942D9" w:rsidRPr="00A6689B" w14:paraId="4172E4B1" w14:textId="77777777" w:rsidTr="00CD594D">
        <w:tc>
          <w:tcPr>
            <w:tcW w:w="742" w:type="pct"/>
          </w:tcPr>
          <w:p w14:paraId="08944843" w14:textId="77777777" w:rsidR="002942D9" w:rsidRPr="00A6689B" w:rsidRDefault="002942D9" w:rsidP="00CD594D">
            <w:pPr>
              <w:rPr>
                <w:i/>
              </w:rPr>
            </w:pPr>
            <w:r>
              <w:rPr>
                <w:i/>
              </w:rPr>
              <w:t>Tfn</w:t>
            </w:r>
          </w:p>
        </w:tc>
        <w:tc>
          <w:tcPr>
            <w:tcW w:w="4258" w:type="pct"/>
          </w:tcPr>
          <w:p w14:paraId="3BA4EF08" w14:textId="77777777" w:rsidR="002942D9" w:rsidRPr="00A6689B" w:rsidRDefault="002942D9" w:rsidP="00CD594D">
            <w:pPr>
              <w:rPr>
                <w:i/>
              </w:rPr>
            </w:pPr>
            <w:r>
              <w:rPr>
                <w:i/>
              </w:rPr>
              <w:t>+32 25468378</w:t>
            </w:r>
          </w:p>
        </w:tc>
      </w:tr>
      <w:tr w:rsidR="002942D9" w:rsidRPr="00A6689B" w14:paraId="14527FCB" w14:textId="77777777" w:rsidTr="00CD594D">
        <w:tc>
          <w:tcPr>
            <w:tcW w:w="742" w:type="pct"/>
          </w:tcPr>
          <w:p w14:paraId="6FBC2B85" w14:textId="77777777" w:rsidR="002942D9" w:rsidRPr="00A6689B" w:rsidRDefault="002942D9" w:rsidP="00CD594D">
            <w:pPr>
              <w:rPr>
                <w:i/>
              </w:rPr>
            </w:pPr>
            <w:r>
              <w:rPr>
                <w:i/>
              </w:rPr>
              <w:t>E-post_</w:t>
            </w:r>
          </w:p>
        </w:tc>
        <w:tc>
          <w:tcPr>
            <w:tcW w:w="4258" w:type="pct"/>
          </w:tcPr>
          <w:p w14:paraId="20DE89A0" w14:textId="77777777" w:rsidR="002942D9" w:rsidRPr="00CB5569" w:rsidRDefault="002942D9" w:rsidP="00CD594D">
            <w:pPr>
              <w:rPr>
                <w:i/>
                <w:iCs/>
                <w:sz w:val="20"/>
              </w:rPr>
            </w:pPr>
            <w:hyperlink r:id="rId39" w:history="1">
              <w:r>
                <w:rPr>
                  <w:rStyle w:val="Hyperlink"/>
                  <w:i/>
                  <w:sz w:val="20"/>
                </w:rPr>
                <w:t>Silvia.Staffa@eesc.europa.eu</w:t>
              </w:r>
            </w:hyperlink>
          </w:p>
        </w:tc>
      </w:tr>
    </w:tbl>
    <w:p w14:paraId="6B7D3F76" w14:textId="77777777" w:rsidR="00AE6366" w:rsidRDefault="00685A3A" w:rsidP="00AE6366">
      <w:pPr>
        <w:widowControl w:val="0"/>
        <w:rPr>
          <w:bCs/>
          <w:iCs/>
        </w:rPr>
      </w:pPr>
      <w:r>
        <w:br w:type="page"/>
      </w:r>
      <w:r w:rsidR="00AE6366">
        <w:rPr>
          <w:noProof/>
          <w:sz w:val="20"/>
        </w:rPr>
        <mc:AlternateContent>
          <mc:Choice Requires="wps">
            <w:drawing>
              <wp:anchor distT="0" distB="0" distL="114300" distR="114300" simplePos="0" relativeHeight="251660288" behindDoc="1" locked="0" layoutInCell="0" allowOverlap="1" wp14:anchorId="1428B32E" wp14:editId="786E9717">
                <wp:simplePos x="0" y="0"/>
                <wp:positionH relativeFrom="page">
                  <wp:posOffset>6769100</wp:posOffset>
                </wp:positionH>
                <wp:positionV relativeFrom="page">
                  <wp:posOffset>10081260</wp:posOffset>
                </wp:positionV>
                <wp:extent cx="647700" cy="396240"/>
                <wp:effectExtent l="0" t="3810" r="317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3380" w14:textId="77777777" w:rsidR="00AE6366" w:rsidRPr="00260E65" w:rsidRDefault="00AE6366" w:rsidP="00AE6366">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8B32E" id="_x0000_s1029"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wz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XIuhYWOR/Si&#10;hyDe4yCmyyhP73zBWc+O88LAfh5zatW7R1TfvLB414Dd6lsi7BsNFdObxpfZxdMRx0eQTf8JK64D&#10;u4AJaKipi9qxGoLReUyH82giF8XOxXy5zDmiOHR1vZjN0+gyKE6PHfnwQWMn4qWUxJNP4LB/9CGS&#10;geKUEmtZfDBtm6bf2t8cnBg9iXzkOzIPw2ZIMl2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Coqwz9QEAAM0DAAAOAAAAAAAAAAAAAAAAAC4CAABk&#10;cnMvZTJvRG9jLnhtbFBLAQItABQABgAIAAAAIQDrVDFa3gAAAA8BAAAPAAAAAAAAAAAAAAAAAE8E&#10;AABkcnMvZG93bnJldi54bWxQSwUGAAAAAAQABADzAAAAWgUAAAAA&#10;" o:allowincell="f" filled="f" stroked="f">
                <v:textbox>
                  <w:txbxContent>
                    <w:p w14:paraId="77A83380" w14:textId="77777777" w:rsidR="00AE6366" w:rsidRPr="00260E65" w:rsidRDefault="00AE6366" w:rsidP="00AE6366">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3EF8845C" w14:textId="2642C000" w:rsidR="00AE6366" w:rsidRPr="006F46D1" w:rsidRDefault="00AE6366" w:rsidP="00AE6366">
      <w:pPr>
        <w:widowControl w:val="0"/>
        <w:numPr>
          <w:ilvl w:val="0"/>
          <w:numId w:val="4"/>
        </w:numPr>
        <w:overflowPunct w:val="0"/>
        <w:autoSpaceDE w:val="0"/>
        <w:autoSpaceDN w:val="0"/>
        <w:adjustRightInd w:val="0"/>
        <w:ind w:hanging="567"/>
        <w:textAlignment w:val="baseline"/>
        <w:rPr>
          <w:sz w:val="20"/>
        </w:rPr>
      </w:pPr>
      <w:hyperlink r:id="rId40" w:history="1">
        <w:r>
          <w:rPr>
            <w:rStyle w:val="Hyperlink"/>
            <w:b/>
            <w:i/>
            <w:sz w:val="28"/>
          </w:rPr>
          <w:t>Översyn av den EU-rättsliga ramen för offentlig upphandling</w:t>
        </w:r>
      </w:hyperlink>
    </w:p>
    <w:p w14:paraId="5EFA85E0" w14:textId="77777777" w:rsidR="00AE6366" w:rsidRPr="006F46D1" w:rsidRDefault="00AE6366" w:rsidP="00AE6366">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105"/>
      </w:tblGrid>
      <w:tr w:rsidR="00AE6366" w:rsidRPr="00A6689B" w14:paraId="4A4ED8DE" w14:textId="77777777" w:rsidTr="00CD594D">
        <w:trPr>
          <w:trHeight w:val="406"/>
        </w:trPr>
        <w:tc>
          <w:tcPr>
            <w:tcW w:w="1108" w:type="pct"/>
          </w:tcPr>
          <w:p w14:paraId="4BEED504" w14:textId="77777777" w:rsidR="00AE6366" w:rsidRPr="00A6689B" w:rsidRDefault="00AE6366" w:rsidP="00CD594D">
            <w:pPr>
              <w:tabs>
                <w:tab w:val="center" w:pos="284"/>
              </w:tabs>
              <w:ind w:left="266" w:hanging="266"/>
              <w:rPr>
                <w:b/>
              </w:rPr>
            </w:pPr>
            <w:r>
              <w:rPr>
                <w:b/>
              </w:rPr>
              <w:t>Föredragande:</w:t>
            </w:r>
          </w:p>
        </w:tc>
        <w:tc>
          <w:tcPr>
            <w:tcW w:w="3892" w:type="pct"/>
          </w:tcPr>
          <w:p w14:paraId="246ED0D9" w14:textId="77777777" w:rsidR="00AE6366" w:rsidRPr="009E78F1" w:rsidRDefault="00AE6366" w:rsidP="00CD594D">
            <w:pPr>
              <w:tabs>
                <w:tab w:val="center" w:pos="0"/>
              </w:tabs>
              <w:ind w:left="266" w:hanging="266"/>
            </w:pPr>
            <w:r>
              <w:t xml:space="preserve">Philip von </w:t>
            </w:r>
            <w:proofErr w:type="spellStart"/>
            <w:r>
              <w:t>Brockdorff</w:t>
            </w:r>
            <w:proofErr w:type="spellEnd"/>
            <w:r>
              <w:t xml:space="preserve"> (Arbetstagargruppen – MT)</w:t>
            </w:r>
          </w:p>
        </w:tc>
      </w:tr>
      <w:tr w:rsidR="00AE6366" w:rsidRPr="00CB5569" w14:paraId="4F778CBE" w14:textId="77777777" w:rsidTr="00CD594D">
        <w:tc>
          <w:tcPr>
            <w:tcW w:w="1108" w:type="pct"/>
          </w:tcPr>
          <w:p w14:paraId="4DE293CA" w14:textId="77777777" w:rsidR="00AE6366" w:rsidRPr="00CB5569" w:rsidRDefault="00AE6366" w:rsidP="00CD594D">
            <w:pPr>
              <w:tabs>
                <w:tab w:val="center" w:pos="284"/>
              </w:tabs>
              <w:ind w:left="266" w:hanging="266"/>
              <w:rPr>
                <w:b/>
              </w:rPr>
            </w:pPr>
            <w:r>
              <w:rPr>
                <w:b/>
              </w:rPr>
              <w:t>Referensdokument:</w:t>
            </w:r>
          </w:p>
        </w:tc>
        <w:tc>
          <w:tcPr>
            <w:tcW w:w="3892" w:type="pct"/>
          </w:tcPr>
          <w:p w14:paraId="084C8FBE" w14:textId="77777777" w:rsidR="00AE6366" w:rsidRPr="00CB5569" w:rsidRDefault="00AE6366" w:rsidP="00CD594D">
            <w:pPr>
              <w:tabs>
                <w:tab w:val="center" w:pos="284"/>
              </w:tabs>
              <w:ind w:left="266" w:hanging="266"/>
            </w:pPr>
            <w:r>
              <w:t>Förberedande yttrande</w:t>
            </w:r>
          </w:p>
          <w:p w14:paraId="7C3319F3" w14:textId="77777777" w:rsidR="00AE6366" w:rsidRPr="00CB5569" w:rsidRDefault="00AE6366" w:rsidP="00CD594D">
            <w:pPr>
              <w:tabs>
                <w:tab w:val="center" w:pos="284"/>
              </w:tabs>
              <w:ind w:left="266" w:hanging="266"/>
            </w:pPr>
            <w:r>
              <w:t>EESC-2025-01402-00-00-AC</w:t>
            </w:r>
          </w:p>
        </w:tc>
      </w:tr>
    </w:tbl>
    <w:p w14:paraId="385F2C77" w14:textId="77777777" w:rsidR="00AE6366" w:rsidRDefault="00AE6366" w:rsidP="00AE6366">
      <w:pPr>
        <w:keepNext/>
        <w:keepLines/>
        <w:tabs>
          <w:tab w:val="center" w:pos="284"/>
        </w:tabs>
        <w:ind w:left="266" w:hanging="266"/>
        <w:rPr>
          <w:b/>
        </w:rPr>
      </w:pPr>
    </w:p>
    <w:p w14:paraId="3639AA19" w14:textId="77777777" w:rsidR="00AE6366" w:rsidRPr="00CB5569" w:rsidRDefault="00AE6366" w:rsidP="00AE6366">
      <w:pPr>
        <w:keepNext/>
        <w:keepLines/>
        <w:tabs>
          <w:tab w:val="center" w:pos="284"/>
        </w:tabs>
        <w:ind w:left="266" w:hanging="266"/>
        <w:rPr>
          <w:b/>
        </w:rPr>
      </w:pPr>
      <w:r>
        <w:rPr>
          <w:b/>
        </w:rPr>
        <w:t>Huvudpunkter</w:t>
      </w:r>
    </w:p>
    <w:p w14:paraId="5D3F44E4" w14:textId="77777777" w:rsidR="00AE6366" w:rsidRPr="00CB5569" w:rsidRDefault="00AE6366" w:rsidP="00AE6366">
      <w:pPr>
        <w:keepNext/>
        <w:keepLines/>
        <w:tabs>
          <w:tab w:val="center" w:pos="284"/>
        </w:tabs>
        <w:ind w:left="266" w:hanging="266"/>
        <w:rPr>
          <w:bCs/>
        </w:rPr>
      </w:pPr>
    </w:p>
    <w:p w14:paraId="5F42C76D" w14:textId="77777777" w:rsidR="00AE6366" w:rsidRDefault="00AE6366" w:rsidP="00AE6366">
      <w:r>
        <w:t>Europeiska ekonomiska och sociala kommitténs (EESK) ståndpunkt:</w:t>
      </w:r>
    </w:p>
    <w:p w14:paraId="1FE99051" w14:textId="77777777" w:rsidR="00AE6366" w:rsidRPr="009234A4" w:rsidRDefault="00AE6366" w:rsidP="00AE6366">
      <w:pPr>
        <w:pStyle w:val="ListParagraph"/>
        <w:numPr>
          <w:ilvl w:val="0"/>
          <w:numId w:val="10"/>
        </w:numPr>
        <w:spacing w:line="276" w:lineRule="auto"/>
        <w:ind w:left="567" w:hanging="567"/>
      </w:pPr>
      <w:r>
        <w:t>EESK håller med om att en översyn av befintlig EU-lagstiftning är nödvändig för att åstadkomma förenklingar, minska de administrativa kostnaderna och stödja ytterligare harmonisering på den inre marknaden</w:t>
      </w:r>
    </w:p>
    <w:p w14:paraId="5E524698" w14:textId="77777777" w:rsidR="00AE6366" w:rsidRPr="009234A4" w:rsidRDefault="00AE6366" w:rsidP="00AE6366">
      <w:pPr>
        <w:pStyle w:val="ListParagraph"/>
        <w:numPr>
          <w:ilvl w:val="0"/>
          <w:numId w:val="10"/>
        </w:numPr>
        <w:spacing w:line="276" w:lineRule="auto"/>
        <w:ind w:left="567" w:hanging="567"/>
      </w:pPr>
      <w:r>
        <w:t>Kommittén anser att man vid utformningen av en hållbar upphandlingspolitik på EU-nivå kan se bortom det snäva paradigm som endast är inriktat på marknadsmisslyckande. Detta för att möjliggöra strategisk och offentlig välfärdsorienterad upphandling och inbegripa social innovation och miljömässiga kriterier som likvärdiga mål samt säkerställa rättvis tillgång till upphandlingsförfaranden för privata aktörer.</w:t>
      </w:r>
    </w:p>
    <w:p w14:paraId="156B26E3" w14:textId="77777777" w:rsidR="00AE6366" w:rsidRPr="00FC1593" w:rsidRDefault="00AE6366" w:rsidP="00AE6366">
      <w:pPr>
        <w:pStyle w:val="ListParagraph"/>
        <w:numPr>
          <w:ilvl w:val="0"/>
          <w:numId w:val="11"/>
        </w:numPr>
        <w:spacing w:line="276" w:lineRule="auto"/>
        <w:ind w:left="567" w:hanging="567"/>
      </w:pPr>
      <w:r>
        <w:t xml:space="preserve">Vi anser att offentliga kontrakt måste tilldelas på grundval av vad som är ekonomiskt mest fördelaktigt, samtidigt som man tar hänsyn till icke-prisrelaterade faktorer, t.ex. kvalitet, innovation, miljö, hållbarhet och sociala hänsyn, särskilt arbetstagares rättigheter och kollektivavtal. </w:t>
      </w:r>
    </w:p>
    <w:p w14:paraId="4ABF9AFF" w14:textId="77777777" w:rsidR="00AE6366" w:rsidRPr="00FC1593" w:rsidRDefault="00AE6366" w:rsidP="00AE6366">
      <w:pPr>
        <w:pStyle w:val="ListParagraph"/>
        <w:numPr>
          <w:ilvl w:val="0"/>
          <w:numId w:val="11"/>
        </w:numPr>
        <w:spacing w:line="276" w:lineRule="auto"/>
        <w:ind w:left="567" w:hanging="567"/>
      </w:pPr>
      <w:r>
        <w:t>EESK efterlyser en helhetssyn på politiken för tjänster av allmänt intresse.</w:t>
      </w:r>
    </w:p>
    <w:p w14:paraId="33A9FBE2" w14:textId="77777777" w:rsidR="00AE6366" w:rsidRPr="00FC1593" w:rsidRDefault="00AE6366" w:rsidP="00AE6366">
      <w:pPr>
        <w:pStyle w:val="ListParagraph"/>
        <w:numPr>
          <w:ilvl w:val="0"/>
          <w:numId w:val="11"/>
        </w:numPr>
        <w:spacing w:line="276" w:lineRule="auto"/>
        <w:ind w:left="567" w:hanging="567"/>
      </w:pPr>
      <w:r>
        <w:t>Kommittén anser att offentliga kontrakt inte ska få tilldelas företag som systematiskt kränker arbetstagarnas grundläggande rättigheter eller som bryter mot de kollektivavtal som de är bundna till.</w:t>
      </w:r>
    </w:p>
    <w:p w14:paraId="1B30DF60" w14:textId="77777777" w:rsidR="00AE6366" w:rsidRPr="00FC1593" w:rsidRDefault="00AE6366" w:rsidP="00AE6366">
      <w:pPr>
        <w:pStyle w:val="ListParagraph"/>
        <w:numPr>
          <w:ilvl w:val="0"/>
          <w:numId w:val="11"/>
        </w:numPr>
        <w:spacing w:line="276" w:lineRule="auto"/>
        <w:ind w:left="567" w:hanging="567"/>
      </w:pPr>
      <w:r>
        <w:t>Under förutsättning att lämpliga rättsliga kriterier uppfylls samtidigt som minsta möjliga snedvridning av konkurrensen säkerställs, bör möjligheten att använda intern upphandling för majoritetskontrollerade juridiska enheter liksom direkt tilldelning bibehållas i samband med översynen av EU:s upphandlingsdirektiv.</w:t>
      </w:r>
    </w:p>
    <w:p w14:paraId="3CF62A49" w14:textId="77777777" w:rsidR="00AE6366" w:rsidRPr="00FC1593" w:rsidRDefault="00AE6366" w:rsidP="00AE6366">
      <w:pPr>
        <w:pStyle w:val="ListParagraph"/>
        <w:numPr>
          <w:ilvl w:val="0"/>
          <w:numId w:val="11"/>
        </w:numPr>
        <w:spacing w:line="276" w:lineRule="auto"/>
        <w:ind w:left="567" w:hanging="567"/>
      </w:pPr>
      <w:r>
        <w:t>EESK rekommenderar att det införs en rättslig skyldighet att utvärdera effekterna av de befintliga tröskelvärdena för offentliga tjänstekontrakt.</w:t>
      </w:r>
    </w:p>
    <w:p w14:paraId="4AC10624" w14:textId="77777777" w:rsidR="00AE6366" w:rsidRPr="00FC1593" w:rsidRDefault="00AE6366" w:rsidP="00AE6366">
      <w:pPr>
        <w:pStyle w:val="ListParagraph"/>
        <w:numPr>
          <w:ilvl w:val="0"/>
          <w:numId w:val="11"/>
        </w:numPr>
        <w:spacing w:line="276" w:lineRule="auto"/>
        <w:ind w:left="567" w:hanging="567"/>
      </w:pPr>
      <w:r>
        <w:t xml:space="preserve">Offentlig upphandling kan stödja ett socialt rättvist, ekologiskt hållbart och ekonomiskt </w:t>
      </w:r>
      <w:proofErr w:type="spellStart"/>
      <w:r>
        <w:t>resilient</w:t>
      </w:r>
      <w:proofErr w:type="spellEnd"/>
      <w:r>
        <w:t xml:space="preserve"> EU, till gagn för det allmänna bästa</w:t>
      </w:r>
    </w:p>
    <w:p w14:paraId="6A1561D3" w14:textId="77777777" w:rsidR="00AE6366" w:rsidRPr="009234A4" w:rsidRDefault="00AE6366" w:rsidP="00AE6366">
      <w:pPr>
        <w:pStyle w:val="ListParagraph"/>
        <w:numPr>
          <w:ilvl w:val="0"/>
          <w:numId w:val="11"/>
        </w:numPr>
        <w:spacing w:line="276" w:lineRule="auto"/>
        <w:ind w:left="567" w:hanging="567"/>
      </w:pPr>
      <w:r>
        <w:t>Kommittén anser att obligatoriska prisändringsklausuler bör ta hänsyn till lönerelaterade förändringar i kollektivavtal och/eller arbetsrätt eller inflation samt andra relevanta faktorer som påverkar fullgörandet av ett kontrakt, såsom energikostnader.</w:t>
      </w:r>
    </w:p>
    <w:p w14:paraId="0BB05892" w14:textId="77777777" w:rsidR="00AE6366" w:rsidRPr="00163218" w:rsidRDefault="00AE6366" w:rsidP="00AE6366">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667"/>
      </w:tblGrid>
      <w:tr w:rsidR="00AE6366" w:rsidRPr="00A6689B" w14:paraId="26C9B069" w14:textId="77777777" w:rsidTr="00CD594D">
        <w:tc>
          <w:tcPr>
            <w:tcW w:w="742" w:type="pct"/>
          </w:tcPr>
          <w:p w14:paraId="0742962F" w14:textId="77777777" w:rsidR="00AE6366" w:rsidRPr="00A6689B" w:rsidRDefault="00AE6366" w:rsidP="00CD594D">
            <w:pPr>
              <w:spacing w:line="240" w:lineRule="auto"/>
              <w:rPr>
                <w:i/>
              </w:rPr>
            </w:pPr>
            <w:r>
              <w:rPr>
                <w:b/>
                <w:i/>
              </w:rPr>
              <w:t>Kontaktperson:</w:t>
            </w:r>
          </w:p>
        </w:tc>
        <w:tc>
          <w:tcPr>
            <w:tcW w:w="4258" w:type="pct"/>
          </w:tcPr>
          <w:p w14:paraId="208844F2" w14:textId="77777777" w:rsidR="00AE6366" w:rsidRPr="00A6689B" w:rsidRDefault="00AE6366" w:rsidP="00CD594D">
            <w:pPr>
              <w:spacing w:line="240" w:lineRule="auto"/>
              <w:rPr>
                <w:i/>
              </w:rPr>
            </w:pPr>
            <w:r>
              <w:rPr>
                <w:i/>
              </w:rPr>
              <w:t xml:space="preserve">Annalisa </w:t>
            </w:r>
            <w:proofErr w:type="spellStart"/>
            <w:r>
              <w:rPr>
                <w:i/>
              </w:rPr>
              <w:t>Tessarolo</w:t>
            </w:r>
            <w:proofErr w:type="spellEnd"/>
          </w:p>
        </w:tc>
      </w:tr>
      <w:tr w:rsidR="00AE6366" w:rsidRPr="00A6689B" w14:paraId="7668B223" w14:textId="77777777" w:rsidTr="00CD594D">
        <w:tc>
          <w:tcPr>
            <w:tcW w:w="742" w:type="pct"/>
          </w:tcPr>
          <w:p w14:paraId="22818456" w14:textId="77777777" w:rsidR="00AE6366" w:rsidRPr="00A6689B" w:rsidRDefault="00AE6366" w:rsidP="00CD594D">
            <w:pPr>
              <w:spacing w:line="240" w:lineRule="auto"/>
              <w:rPr>
                <w:i/>
              </w:rPr>
            </w:pPr>
            <w:r>
              <w:rPr>
                <w:i/>
              </w:rPr>
              <w:t>Tfn</w:t>
            </w:r>
          </w:p>
        </w:tc>
        <w:tc>
          <w:tcPr>
            <w:tcW w:w="4258" w:type="pct"/>
          </w:tcPr>
          <w:p w14:paraId="5DBEA910" w14:textId="77777777" w:rsidR="00AE6366" w:rsidRPr="00A6689B" w:rsidRDefault="00AE6366" w:rsidP="00CD594D">
            <w:pPr>
              <w:spacing w:line="240" w:lineRule="auto"/>
              <w:rPr>
                <w:i/>
              </w:rPr>
            </w:pPr>
            <w:r>
              <w:rPr>
                <w:i/>
              </w:rPr>
              <w:t>+ 32 25469732</w:t>
            </w:r>
          </w:p>
        </w:tc>
      </w:tr>
      <w:tr w:rsidR="00AE6366" w:rsidRPr="00A6689B" w14:paraId="422E0F1A" w14:textId="77777777" w:rsidTr="00CD594D">
        <w:tc>
          <w:tcPr>
            <w:tcW w:w="742" w:type="pct"/>
          </w:tcPr>
          <w:p w14:paraId="2986D510" w14:textId="77777777" w:rsidR="00AE6366" w:rsidRPr="00A6689B" w:rsidRDefault="00AE6366" w:rsidP="00CD594D">
            <w:pPr>
              <w:spacing w:line="240" w:lineRule="auto"/>
              <w:rPr>
                <w:i/>
              </w:rPr>
            </w:pPr>
            <w:r>
              <w:rPr>
                <w:i/>
              </w:rPr>
              <w:t>E-post:</w:t>
            </w:r>
          </w:p>
        </w:tc>
        <w:tc>
          <w:tcPr>
            <w:tcW w:w="4258" w:type="pct"/>
          </w:tcPr>
          <w:p w14:paraId="34A89377" w14:textId="77777777" w:rsidR="00AE6366" w:rsidRPr="00CB5569" w:rsidRDefault="00AE6366" w:rsidP="00CD594D">
            <w:pPr>
              <w:spacing w:line="240" w:lineRule="auto"/>
              <w:rPr>
                <w:i/>
                <w:iCs/>
                <w:sz w:val="20"/>
              </w:rPr>
            </w:pPr>
            <w:hyperlink r:id="rId41" w:history="1">
              <w:r>
                <w:rPr>
                  <w:rStyle w:val="Hyperlink"/>
                  <w:i/>
                  <w:sz w:val="20"/>
                </w:rPr>
                <w:t>Annalisa.Tessarolo@eesc.europa.eu</w:t>
              </w:r>
            </w:hyperlink>
          </w:p>
        </w:tc>
      </w:tr>
    </w:tbl>
    <w:p w14:paraId="1E327181" w14:textId="7C062E3C" w:rsidR="00685A3A" w:rsidRDefault="00685A3A" w:rsidP="00AE6366">
      <w:pPr>
        <w:widowControl w:val="0"/>
        <w:numPr>
          <w:ilvl w:val="0"/>
          <w:numId w:val="4"/>
        </w:numPr>
        <w:overflowPunct w:val="0"/>
        <w:autoSpaceDE w:val="0"/>
        <w:autoSpaceDN w:val="0"/>
        <w:adjustRightInd w:val="0"/>
        <w:ind w:hanging="567"/>
        <w:textAlignment w:val="baseline"/>
      </w:pPr>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12" w:name="_Toc70322234"/>
      <w:bookmarkStart w:id="13" w:name="_Toc75527084"/>
      <w:bookmarkStart w:id="14" w:name="_Toc217055368"/>
      <w:r>
        <w:rPr>
          <w:b/>
        </w:rPr>
        <w:t>JORDBRUK, LANDSBYGDSUTVECKLING OCH MILJÖ</w:t>
      </w:r>
      <w:bookmarkEnd w:id="12"/>
      <w:bookmarkEnd w:id="13"/>
      <w:bookmarkEnd w:id="14"/>
    </w:p>
    <w:p w14:paraId="17ED48E0" w14:textId="77777777" w:rsidR="00511229" w:rsidRDefault="00511229" w:rsidP="00511229">
      <w:pPr>
        <w:widowControl w:val="0"/>
        <w:jc w:val="center"/>
        <w:rPr>
          <w:bCs/>
          <w:iCs/>
        </w:rPr>
      </w:pPr>
    </w:p>
    <w:p w14:paraId="0511867B" w14:textId="69CC7A97" w:rsidR="00511229" w:rsidRPr="00801D9D" w:rsidRDefault="00511229" w:rsidP="00511229">
      <w:pPr>
        <w:widowControl w:val="0"/>
        <w:numPr>
          <w:ilvl w:val="0"/>
          <w:numId w:val="4"/>
        </w:numPr>
        <w:overflowPunct w:val="0"/>
        <w:autoSpaceDE w:val="0"/>
        <w:autoSpaceDN w:val="0"/>
        <w:adjustRightInd w:val="0"/>
        <w:ind w:hanging="567"/>
        <w:textAlignment w:val="baseline"/>
        <w:rPr>
          <w:b/>
        </w:rPr>
      </w:pPr>
      <w:hyperlink r:id="rId42" w:history="1">
        <w:r>
          <w:rPr>
            <w:rStyle w:val="Hyperlink"/>
            <w:b/>
            <w:i/>
            <w:sz w:val="28"/>
          </w:rPr>
          <w:t>Ändring av avskogningsförordningen (EU) 2023/1115</w:t>
        </w:r>
      </w:hyperlink>
      <w:r>
        <w:rPr>
          <w:b/>
          <w:i/>
          <w:sz w:val="28"/>
        </w:rPr>
        <w:t xml:space="preserve"> </w:t>
      </w:r>
    </w:p>
    <w:p w14:paraId="0C60CCA4" w14:textId="77777777" w:rsidR="00511229" w:rsidRDefault="00511229" w:rsidP="00511229">
      <w:pPr>
        <w:widowControl w:val="0"/>
        <w:ind w:left="266"/>
        <w:rPr>
          <w:b/>
          <w:bCs/>
          <w:i/>
          <w:iCs/>
          <w:sz w:val="28"/>
          <w:szCs w:val="28"/>
        </w:rPr>
      </w:pPr>
    </w:p>
    <w:p w14:paraId="78976CA4" w14:textId="77777777" w:rsidR="00511229" w:rsidRPr="00801D9D" w:rsidRDefault="00511229" w:rsidP="00511229">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15"/>
      </w:tblGrid>
      <w:tr w:rsidR="00511229" w:rsidRPr="00A6689B" w14:paraId="693CF491" w14:textId="77777777" w:rsidTr="00CD594D">
        <w:tc>
          <w:tcPr>
            <w:tcW w:w="1077" w:type="pct"/>
            <w:vMerge w:val="restart"/>
          </w:tcPr>
          <w:p w14:paraId="642FD134" w14:textId="77777777" w:rsidR="00511229" w:rsidRPr="00A6689B" w:rsidRDefault="00511229" w:rsidP="00CD594D">
            <w:pPr>
              <w:tabs>
                <w:tab w:val="center" w:pos="284"/>
              </w:tabs>
              <w:ind w:left="266" w:hanging="266"/>
              <w:rPr>
                <w:b/>
              </w:rPr>
            </w:pPr>
            <w:r>
              <w:rPr>
                <w:b/>
              </w:rPr>
              <w:t>Referensdokument:</w:t>
            </w:r>
          </w:p>
        </w:tc>
        <w:tc>
          <w:tcPr>
            <w:tcW w:w="3923" w:type="pct"/>
          </w:tcPr>
          <w:p w14:paraId="19799B06" w14:textId="77777777" w:rsidR="00511229" w:rsidRPr="00A6689B" w:rsidRDefault="00511229" w:rsidP="00CD594D">
            <w:pPr>
              <w:tabs>
                <w:tab w:val="center" w:pos="284"/>
              </w:tabs>
              <w:ind w:left="266" w:right="-3091" w:hanging="266"/>
            </w:pPr>
            <w:r>
              <w:t>COM(2025) 652 final</w:t>
            </w:r>
          </w:p>
        </w:tc>
      </w:tr>
      <w:tr w:rsidR="00511229" w:rsidRPr="00A6689B" w14:paraId="28FED71F" w14:textId="77777777" w:rsidTr="00CD594D">
        <w:tc>
          <w:tcPr>
            <w:tcW w:w="1077" w:type="pct"/>
            <w:vMerge/>
          </w:tcPr>
          <w:p w14:paraId="627F5223" w14:textId="77777777" w:rsidR="00511229" w:rsidRPr="00A6689B" w:rsidRDefault="00511229" w:rsidP="00CD594D">
            <w:pPr>
              <w:tabs>
                <w:tab w:val="center" w:pos="284"/>
              </w:tabs>
              <w:ind w:left="266" w:hanging="266"/>
              <w:rPr>
                <w:b/>
                <w:lang w:val="en-US"/>
              </w:rPr>
            </w:pPr>
          </w:p>
        </w:tc>
        <w:tc>
          <w:tcPr>
            <w:tcW w:w="3923" w:type="pct"/>
          </w:tcPr>
          <w:p w14:paraId="497F0565" w14:textId="77777777" w:rsidR="00511229" w:rsidRPr="00A6689B" w:rsidRDefault="00511229" w:rsidP="00CD594D">
            <w:pPr>
              <w:tabs>
                <w:tab w:val="center" w:pos="284"/>
              </w:tabs>
              <w:ind w:left="266" w:right="-3091" w:hanging="266"/>
            </w:pPr>
            <w:r>
              <w:t>EESC-2025-03869-00-00-AC-TRA</w:t>
            </w:r>
          </w:p>
        </w:tc>
      </w:tr>
    </w:tbl>
    <w:p w14:paraId="538F9B86" w14:textId="77777777" w:rsidR="00511229" w:rsidRDefault="00511229" w:rsidP="00511229">
      <w:pPr>
        <w:tabs>
          <w:tab w:val="center" w:pos="284"/>
        </w:tabs>
        <w:ind w:left="266" w:hanging="266"/>
        <w:rPr>
          <w:b/>
        </w:rPr>
      </w:pPr>
    </w:p>
    <w:p w14:paraId="474E46A9" w14:textId="77777777" w:rsidR="00511229" w:rsidRPr="00A6689B" w:rsidRDefault="00511229" w:rsidP="00511229">
      <w:pPr>
        <w:keepNext/>
        <w:keepLines/>
        <w:tabs>
          <w:tab w:val="center" w:pos="284"/>
        </w:tabs>
        <w:ind w:left="266" w:hanging="266"/>
        <w:rPr>
          <w:b/>
        </w:rPr>
      </w:pPr>
      <w:r>
        <w:rPr>
          <w:b/>
        </w:rPr>
        <w:t>Huvudpunkter</w:t>
      </w:r>
    </w:p>
    <w:p w14:paraId="20F99936" w14:textId="77777777" w:rsidR="00511229" w:rsidRPr="00A6689B" w:rsidRDefault="00511229" w:rsidP="00511229">
      <w:pPr>
        <w:keepNext/>
        <w:keepLines/>
        <w:tabs>
          <w:tab w:val="center" w:pos="284"/>
        </w:tabs>
        <w:ind w:left="266" w:hanging="266"/>
        <w:rPr>
          <w:b/>
        </w:rPr>
      </w:pPr>
    </w:p>
    <w:p w14:paraId="227781F6" w14:textId="77777777" w:rsidR="00511229" w:rsidRDefault="00511229" w:rsidP="00511229">
      <w:pPr>
        <w:rPr>
          <w:bCs/>
          <w:iCs/>
        </w:rPr>
      </w:pPr>
      <w:proofErr w:type="spellStart"/>
      <w:r>
        <w:t>EESK:s</w:t>
      </w:r>
      <w:proofErr w:type="spellEnd"/>
      <w:r>
        <w:t xml:space="preserve"> ståndpunkt:</w:t>
      </w:r>
    </w:p>
    <w:p w14:paraId="5DC18FEF" w14:textId="77777777" w:rsidR="00511229" w:rsidRPr="00A6689B" w:rsidRDefault="00511229" w:rsidP="00511229">
      <w:pPr>
        <w:rPr>
          <w:bCs/>
          <w:iCs/>
        </w:rPr>
      </w:pPr>
    </w:p>
    <w:p w14:paraId="65BBAE4C" w14:textId="77777777" w:rsidR="00511229" w:rsidRPr="00A6689B" w:rsidRDefault="00511229" w:rsidP="00511229">
      <w:pPr>
        <w:widowControl w:val="0"/>
        <w:numPr>
          <w:ilvl w:val="0"/>
          <w:numId w:val="4"/>
        </w:numPr>
        <w:overflowPunct w:val="0"/>
        <w:autoSpaceDE w:val="0"/>
        <w:autoSpaceDN w:val="0"/>
        <w:adjustRightInd w:val="0"/>
        <w:ind w:hanging="567"/>
        <w:textAlignment w:val="baseline"/>
        <w:rPr>
          <w:bCs/>
          <w:iCs/>
        </w:rPr>
      </w:pPr>
      <w:r>
        <w:t>Eftersom kommittén redan uttalat sig om det aktuella förslagets innehåll i sina yttranden EESC-2024-01183-00-00-AC-TRA av den 19 september 2024</w:t>
      </w:r>
      <w:r w:rsidRPr="004B31EB">
        <w:rPr>
          <w:rStyle w:val="FootnoteReference"/>
          <w:sz w:val="18"/>
          <w:szCs w:val="14"/>
        </w:rPr>
        <w:footnoteReference w:id="5"/>
      </w:r>
      <w:r>
        <w:t xml:space="preserve"> och EESC-2021-05690-00-00-AC-TRA av den 23 februari 2022</w:t>
      </w:r>
      <w:r w:rsidRPr="004B31EB">
        <w:rPr>
          <w:rStyle w:val="FootnoteReference"/>
          <w:sz w:val="18"/>
          <w:szCs w:val="14"/>
        </w:rPr>
        <w:footnoteReference w:id="6"/>
      </w:r>
      <w:r>
        <w:t xml:space="preserve"> har EESK beslutat att inte utarbeta något nytt yttrande i frågan utan hänvisa till sin ståndpunkt i ovannämnda dokument.</w:t>
      </w:r>
    </w:p>
    <w:p w14:paraId="6C1A77B8" w14:textId="77777777" w:rsidR="00511229" w:rsidRPr="00EE75BE" w:rsidRDefault="00511229" w:rsidP="00511229">
      <w:pPr>
        <w:widowControl w:val="0"/>
        <w:ind w:left="567"/>
        <w:rPr>
          <w:rFonts w:asciiTheme="minorHAnsi" w:hAnsiTheme="minorHAnsi"/>
        </w:rPr>
      </w:pPr>
    </w:p>
    <w:p w14:paraId="4E6FAD14" w14:textId="77777777" w:rsidR="00511229" w:rsidRPr="000624A9" w:rsidRDefault="00511229" w:rsidP="00511229">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7622"/>
      </w:tblGrid>
      <w:tr w:rsidR="00511229" w:rsidRPr="00A6689B" w14:paraId="5E563282" w14:textId="77777777" w:rsidTr="00CD594D">
        <w:tc>
          <w:tcPr>
            <w:tcW w:w="898" w:type="pct"/>
          </w:tcPr>
          <w:p w14:paraId="2D4FAD03" w14:textId="77777777" w:rsidR="00511229" w:rsidRPr="00A6689B" w:rsidRDefault="00511229" w:rsidP="00CD594D">
            <w:pPr>
              <w:rPr>
                <w:i/>
              </w:rPr>
            </w:pPr>
            <w:r>
              <w:rPr>
                <w:b/>
                <w:i/>
              </w:rPr>
              <w:t>Kontaktperson:</w:t>
            </w:r>
          </w:p>
        </w:tc>
        <w:tc>
          <w:tcPr>
            <w:tcW w:w="4102" w:type="pct"/>
          </w:tcPr>
          <w:p w14:paraId="64AD1046" w14:textId="77777777" w:rsidR="00511229" w:rsidRPr="00A6689B" w:rsidRDefault="00511229" w:rsidP="00CD594D">
            <w:pPr>
              <w:rPr>
                <w:i/>
              </w:rPr>
            </w:pPr>
            <w:r>
              <w:rPr>
                <w:i/>
              </w:rPr>
              <w:t>Martine DELANOY</w:t>
            </w:r>
          </w:p>
        </w:tc>
      </w:tr>
      <w:tr w:rsidR="00511229" w:rsidRPr="00A6689B" w14:paraId="051FE65E" w14:textId="77777777" w:rsidTr="00CD594D">
        <w:tc>
          <w:tcPr>
            <w:tcW w:w="898" w:type="pct"/>
          </w:tcPr>
          <w:p w14:paraId="2BDC8057" w14:textId="77777777" w:rsidR="00511229" w:rsidRPr="00A6689B" w:rsidRDefault="00511229" w:rsidP="00CD594D">
            <w:pPr>
              <w:rPr>
                <w:i/>
              </w:rPr>
            </w:pPr>
            <w:r>
              <w:rPr>
                <w:i/>
              </w:rPr>
              <w:t>Tfn</w:t>
            </w:r>
          </w:p>
        </w:tc>
        <w:tc>
          <w:tcPr>
            <w:tcW w:w="4102" w:type="pct"/>
          </w:tcPr>
          <w:p w14:paraId="45345EA6" w14:textId="77777777" w:rsidR="00511229" w:rsidRPr="00A6689B" w:rsidRDefault="00511229" w:rsidP="00CD594D">
            <w:pPr>
              <w:rPr>
                <w:i/>
              </w:rPr>
            </w:pPr>
            <w:r>
              <w:rPr>
                <w:i/>
              </w:rPr>
              <w:t>+32 25469</w:t>
            </w:r>
            <w:r>
              <w:t>802</w:t>
            </w:r>
          </w:p>
        </w:tc>
      </w:tr>
      <w:tr w:rsidR="00511229" w:rsidRPr="00A6689B" w14:paraId="63268527" w14:textId="77777777" w:rsidTr="00CD594D">
        <w:tc>
          <w:tcPr>
            <w:tcW w:w="898" w:type="pct"/>
          </w:tcPr>
          <w:p w14:paraId="33D55261" w14:textId="77777777" w:rsidR="00511229" w:rsidRPr="00A6689B" w:rsidRDefault="00511229" w:rsidP="00CD594D">
            <w:pPr>
              <w:rPr>
                <w:i/>
              </w:rPr>
            </w:pPr>
            <w:r>
              <w:rPr>
                <w:i/>
              </w:rPr>
              <w:t>E-post:</w:t>
            </w:r>
          </w:p>
        </w:tc>
        <w:tc>
          <w:tcPr>
            <w:tcW w:w="4102" w:type="pct"/>
          </w:tcPr>
          <w:p w14:paraId="19C62FDA" w14:textId="77777777" w:rsidR="00511229" w:rsidRPr="00A6689B" w:rsidRDefault="00511229" w:rsidP="00CD594D">
            <w:pPr>
              <w:rPr>
                <w:i/>
              </w:rPr>
            </w:pPr>
            <w:hyperlink r:id="rId43" w:history="1">
              <w:r>
                <w:rPr>
                  <w:rStyle w:val="Hyperlink"/>
                  <w:i/>
                </w:rPr>
                <w:t>Martine.Delanoy@eesc.europa.eu</w:t>
              </w:r>
            </w:hyperlink>
          </w:p>
        </w:tc>
      </w:tr>
    </w:tbl>
    <w:p w14:paraId="57CF0388" w14:textId="77777777" w:rsidR="00511229" w:rsidRPr="00F5568E" w:rsidRDefault="00511229" w:rsidP="00511229">
      <w:pPr>
        <w:jc w:val="center"/>
        <w:rPr>
          <w:lang w:val="en-US"/>
        </w:rPr>
      </w:pPr>
    </w:p>
    <w:p w14:paraId="7B893721" w14:textId="77777777" w:rsidR="00673B8C" w:rsidRDefault="00673B8C">
      <w:pPr>
        <w:spacing w:after="160" w:line="259" w:lineRule="auto"/>
        <w:jc w:val="left"/>
      </w:pPr>
    </w:p>
    <w:p w14:paraId="5852ABDF" w14:textId="77777777" w:rsidR="00AE5810" w:rsidRDefault="007F5784" w:rsidP="00AE5810">
      <w:pPr>
        <w:widowControl w:val="0"/>
        <w:jc w:val="center"/>
        <w:rPr>
          <w:bCs/>
          <w:iCs/>
        </w:rPr>
      </w:pPr>
      <w:r>
        <w:br w:type="page"/>
      </w:r>
    </w:p>
    <w:p w14:paraId="76986891" w14:textId="6487F4B4" w:rsidR="00AE5810" w:rsidRPr="0003586F" w:rsidRDefault="00AE5810" w:rsidP="00AE5810">
      <w:pPr>
        <w:widowControl w:val="0"/>
        <w:numPr>
          <w:ilvl w:val="0"/>
          <w:numId w:val="17"/>
        </w:numPr>
        <w:overflowPunct w:val="0"/>
        <w:autoSpaceDE w:val="0"/>
        <w:autoSpaceDN w:val="0"/>
        <w:adjustRightInd w:val="0"/>
        <w:ind w:left="567" w:hanging="567"/>
        <w:textAlignment w:val="baseline"/>
        <w:rPr>
          <w:sz w:val="20"/>
        </w:rPr>
      </w:pPr>
      <w:hyperlink r:id="rId44">
        <w:r>
          <w:rPr>
            <w:rStyle w:val="Hyperlink"/>
            <w:b/>
            <w:i/>
            <w:sz w:val="28"/>
          </w:rPr>
          <w:t>Översyn av unionens civilskyddsmekanism</w:t>
        </w:r>
      </w:hyperlink>
    </w:p>
    <w:p w14:paraId="4FF08BB8" w14:textId="77777777" w:rsidR="00AE5810" w:rsidRPr="00A6689B" w:rsidRDefault="00AE5810" w:rsidP="00AE5810">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15"/>
      </w:tblGrid>
      <w:tr w:rsidR="00AE5810" w:rsidRPr="00A6689B" w14:paraId="2B05F3D0" w14:textId="77777777" w:rsidTr="00CD594D">
        <w:tc>
          <w:tcPr>
            <w:tcW w:w="1077" w:type="pct"/>
          </w:tcPr>
          <w:p w14:paraId="5A2CF439" w14:textId="77777777" w:rsidR="00AE5810" w:rsidRPr="00A6689B" w:rsidRDefault="00AE5810" w:rsidP="00CD594D">
            <w:pPr>
              <w:tabs>
                <w:tab w:val="center" w:pos="284"/>
              </w:tabs>
              <w:ind w:left="266" w:hanging="266"/>
              <w:rPr>
                <w:b/>
              </w:rPr>
            </w:pPr>
            <w:r>
              <w:rPr>
                <w:b/>
              </w:rPr>
              <w:t>Föredragande:</w:t>
            </w:r>
          </w:p>
        </w:tc>
        <w:tc>
          <w:tcPr>
            <w:tcW w:w="3923" w:type="pct"/>
          </w:tcPr>
          <w:p w14:paraId="09A21B82" w14:textId="77777777" w:rsidR="00AE5810" w:rsidRPr="00A6689B" w:rsidRDefault="00AE5810" w:rsidP="00CD594D">
            <w:pPr>
              <w:tabs>
                <w:tab w:val="center" w:pos="284"/>
              </w:tabs>
              <w:ind w:left="266" w:right="-3091" w:hanging="266"/>
            </w:pPr>
            <w:r>
              <w:t>Florian MARIN</w:t>
            </w:r>
          </w:p>
        </w:tc>
      </w:tr>
      <w:tr w:rsidR="00AE5810" w:rsidRPr="00A6689B" w14:paraId="3382755A" w14:textId="77777777" w:rsidTr="00CD594D">
        <w:tc>
          <w:tcPr>
            <w:tcW w:w="1077" w:type="pct"/>
          </w:tcPr>
          <w:p w14:paraId="1E674523" w14:textId="77777777" w:rsidR="00AE5810" w:rsidRPr="00A6689B" w:rsidRDefault="00AE5810" w:rsidP="00CD594D">
            <w:pPr>
              <w:tabs>
                <w:tab w:val="center" w:pos="284"/>
              </w:tabs>
              <w:ind w:left="266" w:hanging="266"/>
              <w:rPr>
                <w:b/>
              </w:rPr>
            </w:pPr>
            <w:r>
              <w:rPr>
                <w:b/>
              </w:rPr>
              <w:t>Referensdokument:</w:t>
            </w:r>
          </w:p>
        </w:tc>
        <w:tc>
          <w:tcPr>
            <w:tcW w:w="3923" w:type="pct"/>
          </w:tcPr>
          <w:p w14:paraId="7AD409A2" w14:textId="77777777" w:rsidR="00AE5810" w:rsidRPr="00A6689B" w:rsidRDefault="00AE5810" w:rsidP="00CD594D">
            <w:pPr>
              <w:tabs>
                <w:tab w:val="center" w:pos="284"/>
              </w:tabs>
              <w:ind w:left="266" w:right="-3091" w:hanging="266"/>
            </w:pPr>
            <w:r>
              <w:t>EESC-2025-03573-00-00-AC</w:t>
            </w:r>
          </w:p>
        </w:tc>
      </w:tr>
    </w:tbl>
    <w:p w14:paraId="2EDCCDF2" w14:textId="77777777" w:rsidR="00AE5810" w:rsidRPr="002A4CDD" w:rsidRDefault="00AE5810" w:rsidP="00AE5810">
      <w:pPr>
        <w:tabs>
          <w:tab w:val="center" w:pos="284"/>
        </w:tabs>
        <w:ind w:left="266" w:hanging="266"/>
        <w:rPr>
          <w:b/>
          <w:sz w:val="16"/>
          <w:szCs w:val="16"/>
        </w:rPr>
      </w:pPr>
    </w:p>
    <w:p w14:paraId="67D584FE" w14:textId="77777777" w:rsidR="00AE5810" w:rsidRPr="00A6689B" w:rsidRDefault="00AE5810" w:rsidP="00AE5810">
      <w:pPr>
        <w:keepNext/>
        <w:keepLines/>
        <w:tabs>
          <w:tab w:val="center" w:pos="284"/>
        </w:tabs>
        <w:ind w:left="266" w:hanging="266"/>
        <w:rPr>
          <w:b/>
        </w:rPr>
      </w:pPr>
      <w:r>
        <w:rPr>
          <w:b/>
        </w:rPr>
        <w:t>Huvudpunkter</w:t>
      </w:r>
    </w:p>
    <w:p w14:paraId="055BFA70" w14:textId="77777777" w:rsidR="00AE5810" w:rsidRPr="002A4CDD" w:rsidRDefault="00AE5810" w:rsidP="00AE5810">
      <w:pPr>
        <w:keepNext/>
        <w:keepLines/>
        <w:tabs>
          <w:tab w:val="center" w:pos="284"/>
        </w:tabs>
        <w:ind w:left="266" w:hanging="266"/>
        <w:rPr>
          <w:b/>
          <w:sz w:val="16"/>
          <w:szCs w:val="16"/>
        </w:rPr>
      </w:pPr>
    </w:p>
    <w:p w14:paraId="34A35F53" w14:textId="77777777" w:rsidR="00AE5810" w:rsidRPr="00A6689B" w:rsidRDefault="00AE5810" w:rsidP="00AE5810">
      <w:proofErr w:type="spellStart"/>
      <w:r>
        <w:t>EESK:s</w:t>
      </w:r>
      <w:proofErr w:type="spellEnd"/>
      <w:r>
        <w:t xml:space="preserve"> rekommendationer:</w:t>
      </w:r>
    </w:p>
    <w:p w14:paraId="7A8CB550"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I stället för att främst inrikta sig på insatskapaciteten bör man </w:t>
      </w:r>
      <w:r>
        <w:rPr>
          <w:b/>
        </w:rPr>
        <w:t>höja ambitionsnivån</w:t>
      </w:r>
      <w:r>
        <w:t xml:space="preserve"> i fråga om åtgärder för att minska och förebygga katastrofrisker. Inrättandet av en effektiv och integrerad civilskyddsmekanism för unionen måste inbegripa en övergripande</w:t>
      </w:r>
      <w:r>
        <w:rPr>
          <w:b/>
        </w:rPr>
        <w:t xml:space="preserve"> ram för riskreduceringsstrategier</w:t>
      </w:r>
      <w:r>
        <w:t xml:space="preserve"> i hela EU, samt ett ökat fokus på </w:t>
      </w:r>
      <w:r>
        <w:rPr>
          <w:b/>
        </w:rPr>
        <w:t>sektorsövergripande och gränsöverskridande</w:t>
      </w:r>
      <w:r>
        <w:t xml:space="preserve"> katastrofförebyggande åtgärder. Allt detta bör genomföras inom ramen för ett helhetsorienterat riskhanteringssystem.</w:t>
      </w:r>
    </w:p>
    <w:p w14:paraId="0314A6D1"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Man bör </w:t>
      </w:r>
      <w:r>
        <w:rPr>
          <w:b/>
        </w:rPr>
        <w:t>minska de administrativa bördorna</w:t>
      </w:r>
      <w:r>
        <w:t xml:space="preserve">, undanröja överlappningar, uppgradera otillräckliga data- och stödsystem, öka antalet utbildade personer som arbetar inom detta område och investera i driftskompatibel kapacitet som bygger på gemensamma standarder och utbildningsvägar, och samtidigt garantera </w:t>
      </w:r>
      <w:r>
        <w:rPr>
          <w:b/>
        </w:rPr>
        <w:t>högkvalitativa arbetsvillkor</w:t>
      </w:r>
      <w:r>
        <w:t xml:space="preserve"> som en förutsättning för en förstärkning av samhällets </w:t>
      </w:r>
      <w:proofErr w:type="spellStart"/>
      <w:r>
        <w:t>resiliens</w:t>
      </w:r>
      <w:proofErr w:type="spellEnd"/>
      <w:r>
        <w:t xml:space="preserve"> inom ramen för en krisstrategi som omfattar hela samhället.</w:t>
      </w:r>
    </w:p>
    <w:p w14:paraId="4A505101"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Förmågan att </w:t>
      </w:r>
      <w:r>
        <w:rPr>
          <w:b/>
        </w:rPr>
        <w:t>förutse och förstå</w:t>
      </w:r>
      <w:r>
        <w:t xml:space="preserve"> katastrofer och kriser behöver bli </w:t>
      </w:r>
      <w:r>
        <w:rPr>
          <w:b/>
        </w:rPr>
        <w:t>bättre</w:t>
      </w:r>
      <w:r>
        <w:t>, samtidigt som det måste finnas en medvetenhet om den roll som propaganda och desinformation spelar för att öka nivån av stress i samhället.</w:t>
      </w:r>
    </w:p>
    <w:p w14:paraId="06406C3C"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Unionens civilskyddsmekanism bör stärkas genom </w:t>
      </w:r>
      <w:r>
        <w:rPr>
          <w:b/>
        </w:rPr>
        <w:t>kompletterande finansiering</w:t>
      </w:r>
      <w:r>
        <w:t>, särskilt när det gäller utsatta grupper och regioner, inbegripet de yttersta randområdena och regioner som ligger nära krigsområden.</w:t>
      </w:r>
    </w:p>
    <w:p w14:paraId="7084EE3E"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rPr>
          <w:b/>
        </w:rPr>
        <w:t>Samstämmighet med de nationella och regionala partnerskapsplaner</w:t>
      </w:r>
      <w:r>
        <w:t xml:space="preserve"> som föreslås för programperioden 2028–2034 bör säkerställas.</w:t>
      </w:r>
    </w:p>
    <w:p w14:paraId="36B4C66C"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rPr>
          <w:b/>
        </w:rPr>
        <w:t xml:space="preserve">Större </w:t>
      </w:r>
      <w:proofErr w:type="spellStart"/>
      <w:r>
        <w:rPr>
          <w:b/>
        </w:rPr>
        <w:t>komplementaritet</w:t>
      </w:r>
      <w:proofErr w:type="spellEnd"/>
      <w:r>
        <w:t xml:space="preserve"> mellan befintliga instrument (såsom </w:t>
      </w:r>
      <w:proofErr w:type="spellStart"/>
      <w:r>
        <w:t>Safe</w:t>
      </w:r>
      <w:proofErr w:type="spellEnd"/>
      <w:r>
        <w:t>-instrumentet, Europeiska solidaritetskåren och unionens civilskyddsmekanism) bör främjas.</w:t>
      </w:r>
    </w:p>
    <w:p w14:paraId="502CE77D"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Det behöver finnas tillräcklig och stabil </w:t>
      </w:r>
      <w:r>
        <w:rPr>
          <w:b/>
        </w:rPr>
        <w:t>finansiering för yrkesbrandmän och hälso- och sjukvårdspersonal</w:t>
      </w:r>
      <w:r>
        <w:t xml:space="preserve"> för att upprätthålla effektiviteten och möjliggöra snabba insatser inom ramen för unionens civilskyddsmekanism, men frivilliga bör också ges en starkare roll.</w:t>
      </w:r>
    </w:p>
    <w:p w14:paraId="65B98079"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rPr>
          <w:b/>
        </w:rPr>
        <w:t>Unionens civilskyddsmekanism bör bygga på flexibilitet</w:t>
      </w:r>
      <w:r>
        <w:t xml:space="preserve">, för att respektera de nationella katastrofhanteringssystemens mångfald. Samtidigt måste </w:t>
      </w:r>
      <w:r>
        <w:rPr>
          <w:b/>
        </w:rPr>
        <w:t>gränsöverskridande samarbete</w:t>
      </w:r>
      <w:r>
        <w:t xml:space="preserve"> och samordning </w:t>
      </w:r>
      <w:r>
        <w:rPr>
          <w:b/>
        </w:rPr>
        <w:t>garanteras</w:t>
      </w:r>
      <w:r>
        <w:t xml:space="preserve"> för att möjliggöra snabba och effektiva insatser vid katastrofer som sträcker sig över gränserna, med fullt deltagande av det organiserade civila samhället.</w:t>
      </w:r>
    </w:p>
    <w:p w14:paraId="18828889"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Upphandlingsregler bör anpassas för att </w:t>
      </w:r>
      <w:r>
        <w:rPr>
          <w:b/>
        </w:rPr>
        <w:t>garantera ett snabbt och effektivt tillhandahållande av kritiska varor</w:t>
      </w:r>
      <w:r>
        <w:t xml:space="preserve"> och tjänster i samband med kriser.</w:t>
      </w:r>
    </w:p>
    <w:p w14:paraId="62BCBCCB" w14:textId="77777777" w:rsidR="00AE5810" w:rsidRDefault="00AE5810" w:rsidP="00AE5810">
      <w:pPr>
        <w:widowControl w:val="0"/>
        <w:numPr>
          <w:ilvl w:val="0"/>
          <w:numId w:val="17"/>
        </w:numPr>
        <w:overflowPunct w:val="0"/>
        <w:autoSpaceDE w:val="0"/>
        <w:autoSpaceDN w:val="0"/>
        <w:adjustRightInd w:val="0"/>
        <w:ind w:left="567" w:hanging="567"/>
        <w:textAlignment w:val="baseline"/>
      </w:pPr>
      <w:r>
        <w:t xml:space="preserve">Ett </w:t>
      </w:r>
      <w:r>
        <w:rPr>
          <w:b/>
        </w:rPr>
        <w:t>standardiserat formulär för rapportering av katastrofer</w:t>
      </w:r>
      <w:r>
        <w:t xml:space="preserve"> bör tas fram, och ska användas av alla medlemsstater.</w:t>
      </w:r>
    </w:p>
    <w:p w14:paraId="7DA3AD74" w14:textId="77777777" w:rsidR="00AE5810" w:rsidRPr="002A4CDD" w:rsidRDefault="00AE5810" w:rsidP="00AE5810">
      <w:pPr>
        <w:widowControl w:val="0"/>
        <w:ind w:left="709"/>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E5810" w:rsidRPr="00A6689B" w14:paraId="65A88EB3" w14:textId="77777777" w:rsidTr="00CD594D">
        <w:tc>
          <w:tcPr>
            <w:tcW w:w="1077" w:type="pct"/>
          </w:tcPr>
          <w:p w14:paraId="0B42490F" w14:textId="77777777" w:rsidR="00AE5810" w:rsidRPr="00A6689B" w:rsidRDefault="00AE5810" w:rsidP="00CD594D">
            <w:pPr>
              <w:rPr>
                <w:i/>
                <w:iCs/>
              </w:rPr>
            </w:pPr>
            <w:r>
              <w:rPr>
                <w:b/>
                <w:i/>
              </w:rPr>
              <w:t>Kontaktperson:</w:t>
            </w:r>
          </w:p>
        </w:tc>
        <w:tc>
          <w:tcPr>
            <w:tcW w:w="3923" w:type="pct"/>
          </w:tcPr>
          <w:p w14:paraId="08F97921" w14:textId="77777777" w:rsidR="00AE5810" w:rsidRPr="00A6689B" w:rsidRDefault="00AE5810" w:rsidP="00CD594D">
            <w:pPr>
              <w:rPr>
                <w:i/>
                <w:iCs/>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AE5810" w:rsidRPr="00A6689B" w14:paraId="696D0816" w14:textId="77777777" w:rsidTr="00CD594D">
        <w:tc>
          <w:tcPr>
            <w:tcW w:w="1077" w:type="pct"/>
          </w:tcPr>
          <w:p w14:paraId="0E774D36" w14:textId="77777777" w:rsidR="00AE5810" w:rsidRPr="00A6689B" w:rsidRDefault="00AE5810" w:rsidP="00CD594D">
            <w:pPr>
              <w:rPr>
                <w:i/>
              </w:rPr>
            </w:pPr>
            <w:r>
              <w:rPr>
                <w:i/>
              </w:rPr>
              <w:t>Tfn</w:t>
            </w:r>
          </w:p>
        </w:tc>
        <w:tc>
          <w:tcPr>
            <w:tcW w:w="3923" w:type="pct"/>
          </w:tcPr>
          <w:p w14:paraId="11D9BE7A" w14:textId="77777777" w:rsidR="00AE5810" w:rsidRPr="00A6689B" w:rsidRDefault="00AE5810" w:rsidP="00CD594D">
            <w:pPr>
              <w:rPr>
                <w:i/>
              </w:rPr>
            </w:pPr>
            <w:r>
              <w:rPr>
                <w:i/>
              </w:rPr>
              <w:t>+32 25468768</w:t>
            </w:r>
          </w:p>
        </w:tc>
      </w:tr>
      <w:tr w:rsidR="00AE5810" w:rsidRPr="00A6689B" w14:paraId="2EE3F59E" w14:textId="77777777" w:rsidTr="00CD594D">
        <w:tc>
          <w:tcPr>
            <w:tcW w:w="1077" w:type="pct"/>
          </w:tcPr>
          <w:p w14:paraId="16DC35EC" w14:textId="77777777" w:rsidR="00AE5810" w:rsidRPr="00A6689B" w:rsidRDefault="00AE5810" w:rsidP="00CD594D">
            <w:pPr>
              <w:rPr>
                <w:i/>
              </w:rPr>
            </w:pPr>
            <w:r>
              <w:rPr>
                <w:i/>
              </w:rPr>
              <w:t>E-post:</w:t>
            </w:r>
          </w:p>
        </w:tc>
        <w:tc>
          <w:tcPr>
            <w:tcW w:w="3923" w:type="pct"/>
          </w:tcPr>
          <w:p w14:paraId="190D50DD" w14:textId="77777777" w:rsidR="00AE5810" w:rsidRPr="00A6689B" w:rsidRDefault="00AE5810" w:rsidP="00CD594D">
            <w:pPr>
              <w:rPr>
                <w:i/>
              </w:rPr>
            </w:pPr>
            <w:hyperlink r:id="rId45" w:history="1">
              <w:r>
                <w:rPr>
                  <w:rStyle w:val="Hyperlink"/>
                  <w:i/>
                </w:rPr>
                <w:t>Arturo.Iniguez@eesc.europa.eu</w:t>
              </w:r>
            </w:hyperlink>
          </w:p>
        </w:tc>
      </w:tr>
    </w:tbl>
    <w:p w14:paraId="73A0193B" w14:textId="7A52853D" w:rsidR="00395794" w:rsidRDefault="00395794" w:rsidP="00AE5810">
      <w:pPr>
        <w:widowControl w:val="0"/>
        <w:numPr>
          <w:ilvl w:val="0"/>
          <w:numId w:val="12"/>
        </w:numPr>
        <w:overflowPunct w:val="0"/>
        <w:autoSpaceDE w:val="0"/>
        <w:autoSpaceDN w:val="0"/>
        <w:adjustRightInd w:val="0"/>
        <w:ind w:left="567" w:hanging="567"/>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15" w:name="_Toc217055369"/>
      <w:r>
        <w:rPr>
          <w:b/>
        </w:rPr>
        <w:t>YTTRE FÖRBINDELSER</w:t>
      </w:r>
      <w:bookmarkEnd w:id="15"/>
    </w:p>
    <w:p w14:paraId="3BBB3E68" w14:textId="77777777" w:rsidR="007F5784" w:rsidRDefault="007F5784" w:rsidP="007F5784"/>
    <w:p w14:paraId="76852E47" w14:textId="20A7A959" w:rsidR="00416BC5" w:rsidRPr="00C733BA" w:rsidRDefault="00416BC5" w:rsidP="00416BC5">
      <w:pPr>
        <w:pStyle w:val="ListParagraph"/>
        <w:widowControl w:val="0"/>
        <w:numPr>
          <w:ilvl w:val="0"/>
          <w:numId w:val="15"/>
        </w:numPr>
        <w:spacing w:line="276" w:lineRule="auto"/>
        <w:ind w:left="567" w:hanging="567"/>
        <w:jc w:val="left"/>
        <w:rPr>
          <w:sz w:val="28"/>
          <w:szCs w:val="28"/>
        </w:rPr>
      </w:pPr>
      <w:r w:rsidRPr="00C733BA">
        <w:rPr>
          <w:b/>
          <w:i/>
          <w:sz w:val="28"/>
          <w:lang w:eastAsia="zh-CN"/>
        </w:rPr>
        <w:fldChar w:fldCharType="begin"/>
      </w:r>
      <w:r w:rsidRPr="00C733BA">
        <w:rPr>
          <w:b/>
          <w:i/>
          <w:sz w:val="28"/>
        </w:rPr>
        <w:instrText>HYPERLINK "https://www.eesc.europa.eu/sv/our-work/opinions-information-reports/opinions/european-unions-strategic-approach-black-sea-region"</w:instrText>
      </w:r>
      <w:r w:rsidRPr="00C733BA">
        <w:rPr>
          <w:b/>
          <w:i/>
          <w:sz w:val="28"/>
          <w:lang w:eastAsia="zh-CN"/>
        </w:rPr>
        <w:fldChar w:fldCharType="separate"/>
      </w:r>
      <w:r>
        <w:rPr>
          <w:rStyle w:val="Hyperlink"/>
          <w:b/>
          <w:i/>
          <w:sz w:val="28"/>
        </w:rPr>
        <w:t>Europeiska unionens strategi för Svartahavsregionen</w:t>
      </w:r>
    </w:p>
    <w:p w14:paraId="6E4D5E6A" w14:textId="77777777" w:rsidR="00416BC5" w:rsidRPr="00A6689B" w:rsidRDefault="00416BC5" w:rsidP="00416BC5">
      <w:pPr>
        <w:tabs>
          <w:tab w:val="center" w:pos="284"/>
        </w:tabs>
        <w:ind w:left="266" w:hanging="266"/>
        <w:rPr>
          <w:b/>
        </w:rPr>
      </w:pPr>
      <w:r w:rsidRPr="00C733BA">
        <w:rPr>
          <w:b/>
          <w:i/>
          <w:sz w:val="28"/>
        </w:rPr>
        <w:fldChar w:fldCharType="end"/>
      </w: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070"/>
      </w:tblGrid>
      <w:tr w:rsidR="00416BC5" w:rsidRPr="00A6689B" w14:paraId="2C526533" w14:textId="77777777" w:rsidTr="00CD594D">
        <w:trPr>
          <w:trHeight w:val="445"/>
        </w:trPr>
        <w:tc>
          <w:tcPr>
            <w:tcW w:w="1111" w:type="pct"/>
          </w:tcPr>
          <w:p w14:paraId="292BF5D4" w14:textId="77777777" w:rsidR="00416BC5" w:rsidRPr="00A6689B" w:rsidRDefault="00416BC5" w:rsidP="00CD594D">
            <w:pPr>
              <w:tabs>
                <w:tab w:val="center" w:pos="284"/>
              </w:tabs>
              <w:ind w:left="266" w:hanging="266"/>
              <w:rPr>
                <w:b/>
              </w:rPr>
            </w:pPr>
            <w:r>
              <w:rPr>
                <w:b/>
              </w:rPr>
              <w:t>Föredragande:</w:t>
            </w:r>
          </w:p>
        </w:tc>
        <w:tc>
          <w:tcPr>
            <w:tcW w:w="3889" w:type="pct"/>
          </w:tcPr>
          <w:p w14:paraId="1682A075" w14:textId="77777777" w:rsidR="00416BC5" w:rsidRPr="00C733BA" w:rsidRDefault="00416BC5" w:rsidP="00CD594D">
            <w:pPr>
              <w:tabs>
                <w:tab w:val="center" w:pos="284"/>
              </w:tabs>
              <w:ind w:left="266" w:hanging="266"/>
            </w:pPr>
            <w:r>
              <w:t>Milena Angelova (Arbetsgivargruppen – BG)</w:t>
            </w:r>
          </w:p>
        </w:tc>
      </w:tr>
      <w:tr w:rsidR="00416BC5" w:rsidRPr="00A6689B" w14:paraId="3530A872" w14:textId="77777777" w:rsidTr="00CD594D">
        <w:tc>
          <w:tcPr>
            <w:tcW w:w="1111" w:type="pct"/>
          </w:tcPr>
          <w:p w14:paraId="70010DF2" w14:textId="77777777" w:rsidR="00416BC5" w:rsidRPr="00A6689B" w:rsidRDefault="00416BC5" w:rsidP="00CD594D">
            <w:pPr>
              <w:tabs>
                <w:tab w:val="center" w:pos="284"/>
              </w:tabs>
              <w:ind w:left="266" w:hanging="266"/>
              <w:rPr>
                <w:b/>
              </w:rPr>
            </w:pPr>
            <w:r>
              <w:rPr>
                <w:b/>
              </w:rPr>
              <w:t>Referensdokument:</w:t>
            </w:r>
          </w:p>
        </w:tc>
        <w:tc>
          <w:tcPr>
            <w:tcW w:w="3889" w:type="pct"/>
          </w:tcPr>
          <w:p w14:paraId="7380F47F" w14:textId="77777777" w:rsidR="00416BC5" w:rsidRPr="00A6689B" w:rsidRDefault="00416BC5" w:rsidP="00CD594D">
            <w:pPr>
              <w:tabs>
                <w:tab w:val="center" w:pos="284"/>
              </w:tabs>
              <w:ind w:left="266" w:hanging="266"/>
            </w:pPr>
            <w:r>
              <w:t>EESC-2025-02608-00-00-AC</w:t>
            </w:r>
          </w:p>
        </w:tc>
      </w:tr>
    </w:tbl>
    <w:p w14:paraId="26BADE14" w14:textId="77777777" w:rsidR="00416BC5" w:rsidRDefault="00416BC5" w:rsidP="00416BC5">
      <w:pPr>
        <w:keepNext/>
        <w:keepLines/>
        <w:tabs>
          <w:tab w:val="center" w:pos="284"/>
        </w:tabs>
        <w:ind w:left="266" w:hanging="266"/>
        <w:rPr>
          <w:b/>
        </w:rPr>
      </w:pPr>
    </w:p>
    <w:p w14:paraId="69E675BD" w14:textId="77777777" w:rsidR="00416BC5" w:rsidRPr="00A6689B" w:rsidRDefault="00416BC5" w:rsidP="00416BC5">
      <w:pPr>
        <w:keepNext/>
        <w:keepLines/>
        <w:tabs>
          <w:tab w:val="center" w:pos="284"/>
        </w:tabs>
        <w:ind w:left="266" w:hanging="266"/>
        <w:rPr>
          <w:b/>
        </w:rPr>
      </w:pPr>
      <w:r>
        <w:rPr>
          <w:b/>
        </w:rPr>
        <w:t>Huvudpunkter</w:t>
      </w:r>
    </w:p>
    <w:p w14:paraId="493FB0A5" w14:textId="77777777" w:rsidR="00416BC5" w:rsidRPr="00A6689B" w:rsidRDefault="00416BC5" w:rsidP="00416BC5">
      <w:pPr>
        <w:keepNext/>
        <w:keepLines/>
        <w:tabs>
          <w:tab w:val="center" w:pos="284"/>
        </w:tabs>
        <w:ind w:left="266" w:hanging="266"/>
        <w:rPr>
          <w:b/>
        </w:rPr>
      </w:pPr>
    </w:p>
    <w:p w14:paraId="2B6893BE" w14:textId="77777777" w:rsidR="00416BC5" w:rsidRPr="00FC4BF3" w:rsidRDefault="00416BC5" w:rsidP="00416BC5">
      <w:pPr>
        <w:rPr>
          <w:bCs/>
          <w:iCs/>
        </w:rPr>
      </w:pPr>
      <w:r>
        <w:t>Europeiska ekonomiska och sociala kommitténs (EESK) ståndpunkt:</w:t>
      </w:r>
    </w:p>
    <w:p w14:paraId="65F8A5C8" w14:textId="77777777" w:rsidR="00416BC5" w:rsidRPr="00E24C2F" w:rsidRDefault="00416BC5" w:rsidP="00416BC5">
      <w:pPr>
        <w:pStyle w:val="ListParagraph"/>
        <w:numPr>
          <w:ilvl w:val="0"/>
          <w:numId w:val="14"/>
        </w:numPr>
        <w:ind w:left="567" w:hanging="567"/>
        <w:rPr>
          <w:bCs/>
          <w:iCs/>
        </w:rPr>
      </w:pPr>
      <w:r>
        <w:t xml:space="preserve">EESK välkomnar det </w:t>
      </w:r>
      <w:r>
        <w:rPr>
          <w:b/>
          <w:bCs/>
        </w:rPr>
        <w:t>sedan länge emotsedda initiativet</w:t>
      </w:r>
      <w:r>
        <w:t xml:space="preserve"> om att ägna </w:t>
      </w:r>
      <w:r>
        <w:rPr>
          <w:b/>
          <w:bCs/>
        </w:rPr>
        <w:t>särskild uppmärksamhet åt Svartahavsregionen</w:t>
      </w:r>
      <w:r>
        <w:t xml:space="preserve"> och föreslå en EU-strategi för regionen, men noterar att initiativet blivit</w:t>
      </w:r>
      <w:r>
        <w:rPr>
          <w:b/>
          <w:bCs/>
        </w:rPr>
        <w:t xml:space="preserve"> något försenat</w:t>
      </w:r>
      <w:r>
        <w:t xml:space="preserve"> och efterlyser därför </w:t>
      </w:r>
      <w:r>
        <w:rPr>
          <w:b/>
          <w:bCs/>
        </w:rPr>
        <w:t>snabba och beslutsamma åtgärder både för att genomföra det</w:t>
      </w:r>
      <w:r>
        <w:t xml:space="preserve"> och </w:t>
      </w:r>
      <w:r>
        <w:rPr>
          <w:b/>
          <w:bCs/>
        </w:rPr>
        <w:t>säkerställa att det tillförs tillräckliga resurser</w:t>
      </w:r>
      <w:r>
        <w:t>.</w:t>
      </w:r>
    </w:p>
    <w:p w14:paraId="0EFCC79F" w14:textId="77777777" w:rsidR="00416BC5" w:rsidRPr="00E24C2F" w:rsidRDefault="00416BC5" w:rsidP="00416BC5">
      <w:pPr>
        <w:pStyle w:val="ListParagraph"/>
        <w:numPr>
          <w:ilvl w:val="0"/>
          <w:numId w:val="14"/>
        </w:numPr>
        <w:ind w:left="567" w:hanging="567"/>
        <w:rPr>
          <w:bCs/>
          <w:iCs/>
        </w:rPr>
      </w:pPr>
      <w:r>
        <w:t xml:space="preserve">Kommittén understryker att </w:t>
      </w:r>
      <w:r>
        <w:rPr>
          <w:b/>
          <w:bCs/>
        </w:rPr>
        <w:t>alla länder i regionen</w:t>
      </w:r>
      <w:r>
        <w:t xml:space="preserve"> drabbas av </w:t>
      </w:r>
      <w:r>
        <w:rPr>
          <w:b/>
          <w:bCs/>
        </w:rPr>
        <w:t>negativa konsekvenser till följd av militära konflikter, men att alla länder inte fått riktat socialt och ekonomiskt stöd i proportion till sina insatser och uppoffringar</w:t>
      </w:r>
      <w:r>
        <w:t>.</w:t>
      </w:r>
    </w:p>
    <w:p w14:paraId="1282C9B3" w14:textId="77777777" w:rsidR="00416BC5" w:rsidRPr="00E24C2F" w:rsidRDefault="00416BC5" w:rsidP="00416BC5">
      <w:pPr>
        <w:pStyle w:val="ListParagraph"/>
        <w:numPr>
          <w:ilvl w:val="0"/>
          <w:numId w:val="14"/>
        </w:numPr>
        <w:ind w:left="567" w:hanging="567"/>
        <w:rPr>
          <w:bCs/>
          <w:iCs/>
        </w:rPr>
      </w:pPr>
      <w:r>
        <w:t xml:space="preserve">Vi uppmanar kommissionen att i samråd med EU:s medlemsstater, länderna i Svartahavsregionen och alla berörda parter </w:t>
      </w:r>
      <w:r>
        <w:rPr>
          <w:b/>
          <w:bCs/>
        </w:rPr>
        <w:t>snabbt</w:t>
      </w:r>
      <w:r>
        <w:t xml:space="preserve"> – helst före utgången av 2025 – </w:t>
      </w:r>
      <w:r>
        <w:rPr>
          <w:b/>
          <w:bCs/>
        </w:rPr>
        <w:t>utarbeta en pragmatisk och ordentligt finansierad strategi för regionens utveckling.</w:t>
      </w:r>
    </w:p>
    <w:p w14:paraId="3E808E93" w14:textId="77777777" w:rsidR="00416BC5" w:rsidRPr="00E24C2F" w:rsidRDefault="00416BC5" w:rsidP="00416BC5">
      <w:pPr>
        <w:pStyle w:val="ListParagraph"/>
        <w:numPr>
          <w:ilvl w:val="0"/>
          <w:numId w:val="14"/>
        </w:numPr>
        <w:ind w:left="567" w:hanging="567"/>
        <w:rPr>
          <w:bCs/>
          <w:iCs/>
        </w:rPr>
      </w:pPr>
      <w:r>
        <w:t xml:space="preserve">EESK beklagar att den </w:t>
      </w:r>
      <w:r>
        <w:rPr>
          <w:b/>
          <w:bCs/>
        </w:rPr>
        <w:t>tidigare ramen för EU:s politik</w:t>
      </w:r>
      <w:r>
        <w:t xml:space="preserve"> för regionen (Svartahavssynergin från 2007) inte omfattade </w:t>
      </w:r>
      <w:r>
        <w:rPr>
          <w:b/>
          <w:bCs/>
        </w:rPr>
        <w:t>säkerhetsdimensionen</w:t>
      </w:r>
      <w:r>
        <w:t xml:space="preserve">, och understryker </w:t>
      </w:r>
      <w:r>
        <w:rPr>
          <w:b/>
          <w:bCs/>
        </w:rPr>
        <w:t>vikten av att EU:s säkerhetsinitiativ i Svartahavsregionen ger konkreta resultat</w:t>
      </w:r>
      <w:r>
        <w:t>.</w:t>
      </w:r>
    </w:p>
    <w:p w14:paraId="64EA803B" w14:textId="77777777" w:rsidR="00416BC5" w:rsidRPr="00E24C2F" w:rsidRDefault="00416BC5" w:rsidP="00416BC5">
      <w:pPr>
        <w:pStyle w:val="ListParagraph"/>
        <w:numPr>
          <w:ilvl w:val="0"/>
          <w:numId w:val="14"/>
        </w:numPr>
        <w:ind w:left="567" w:hanging="567"/>
        <w:rPr>
          <w:bCs/>
          <w:iCs/>
        </w:rPr>
      </w:pPr>
      <w:r>
        <w:t xml:space="preserve">Kommittén betonar att en </w:t>
      </w:r>
      <w:r>
        <w:rPr>
          <w:b/>
          <w:bCs/>
        </w:rPr>
        <w:t>varaktig fred</w:t>
      </w:r>
      <w:r>
        <w:t xml:space="preserve"> är en </w:t>
      </w:r>
      <w:r>
        <w:rPr>
          <w:b/>
          <w:bCs/>
        </w:rPr>
        <w:t>nödvändig och grundläggande förutsättning för hållbar ekonomisk utveckling</w:t>
      </w:r>
      <w:r>
        <w:t>, och beklagar att detta inte har tagits med som ett mål i dokumentet.</w:t>
      </w:r>
    </w:p>
    <w:p w14:paraId="134647AE" w14:textId="77777777" w:rsidR="00416BC5" w:rsidRPr="00E24C2F" w:rsidRDefault="00416BC5" w:rsidP="00416BC5">
      <w:pPr>
        <w:pStyle w:val="ListParagraph"/>
        <w:numPr>
          <w:ilvl w:val="0"/>
          <w:numId w:val="14"/>
        </w:numPr>
        <w:ind w:left="567" w:hanging="567"/>
        <w:rPr>
          <w:bCs/>
          <w:iCs/>
        </w:rPr>
      </w:pPr>
      <w:r>
        <w:t xml:space="preserve">Vi anser att den </w:t>
      </w:r>
      <w:r>
        <w:rPr>
          <w:b/>
          <w:bCs/>
        </w:rPr>
        <w:t>största begränsningen med strategin</w:t>
      </w:r>
      <w:r>
        <w:t xml:space="preserve"> är att den helt och hållet bygger på </w:t>
      </w:r>
      <w:r>
        <w:rPr>
          <w:b/>
          <w:bCs/>
        </w:rPr>
        <w:t>befintliga finansiella instrument</w:t>
      </w:r>
      <w:r>
        <w:t xml:space="preserve"> och </w:t>
      </w:r>
      <w:r>
        <w:rPr>
          <w:b/>
          <w:bCs/>
        </w:rPr>
        <w:t xml:space="preserve">budgetresurser inom den fleråriga budgetramen 2021–2027. </w:t>
      </w:r>
      <w:r>
        <w:t xml:space="preserve">Vi begär därför att </w:t>
      </w:r>
      <w:r>
        <w:rPr>
          <w:b/>
          <w:bCs/>
        </w:rPr>
        <w:t>instrumenten förenklas, konsolideras och prioriteras</w:t>
      </w:r>
      <w:r>
        <w:t xml:space="preserve"> för att ge en omedelbar och synlig effekt.</w:t>
      </w:r>
    </w:p>
    <w:p w14:paraId="0A389570" w14:textId="77777777" w:rsidR="00416BC5" w:rsidRPr="00E24C2F" w:rsidRDefault="00416BC5" w:rsidP="00416BC5">
      <w:pPr>
        <w:pStyle w:val="ListParagraph"/>
        <w:numPr>
          <w:ilvl w:val="0"/>
          <w:numId w:val="14"/>
        </w:numPr>
        <w:ind w:left="567" w:hanging="567"/>
        <w:rPr>
          <w:bCs/>
          <w:iCs/>
        </w:rPr>
      </w:pPr>
      <w:r>
        <w:t xml:space="preserve">EESK rekommenderar att en </w:t>
      </w:r>
      <w:r>
        <w:rPr>
          <w:b/>
          <w:bCs/>
        </w:rPr>
        <w:t>grundlig konsekvensanalys görs av alla befintliga instrument</w:t>
      </w:r>
      <w:r>
        <w:t xml:space="preserve"> hittills, och att man på denna grund formulerar </w:t>
      </w:r>
      <w:r>
        <w:rPr>
          <w:b/>
          <w:bCs/>
        </w:rPr>
        <w:t>mer specifika</w:t>
      </w:r>
      <w:r>
        <w:t xml:space="preserve"> och </w:t>
      </w:r>
      <w:r>
        <w:rPr>
          <w:b/>
          <w:bCs/>
        </w:rPr>
        <w:t>tydliga åtaganden</w:t>
      </w:r>
      <w:r>
        <w:t xml:space="preserve"> för deras framtida användning.</w:t>
      </w:r>
    </w:p>
    <w:p w14:paraId="37C99825" w14:textId="77777777" w:rsidR="00416BC5" w:rsidRPr="00E24C2F" w:rsidRDefault="00416BC5" w:rsidP="00416BC5">
      <w:pPr>
        <w:pStyle w:val="ListParagraph"/>
        <w:widowControl w:val="0"/>
        <w:numPr>
          <w:ilvl w:val="0"/>
          <w:numId w:val="13"/>
        </w:numPr>
        <w:ind w:left="567" w:hanging="567"/>
      </w:pPr>
      <w:r>
        <w:t xml:space="preserve">Kommittén anser att större uppmärksamhet bör ägnas åt att </w:t>
      </w:r>
      <w:r>
        <w:rPr>
          <w:b/>
          <w:bCs/>
        </w:rPr>
        <w:t>hantera hybridhot</w:t>
      </w:r>
      <w:r>
        <w:t xml:space="preserve"> och </w:t>
      </w:r>
      <w:r>
        <w:rPr>
          <w:b/>
          <w:bCs/>
        </w:rPr>
        <w:t>avhjälpa styrningsrelaterade brister</w:t>
      </w:r>
      <w:r>
        <w:t>, som hotar att undergräva den regionala stabiliteten.</w:t>
      </w:r>
    </w:p>
    <w:p w14:paraId="4BDE8E98" w14:textId="77777777" w:rsidR="00416BC5" w:rsidRPr="00FC4BF3" w:rsidRDefault="00416BC5" w:rsidP="00416BC5">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416BC5" w:rsidRPr="00A6689B" w14:paraId="38512644" w14:textId="77777777" w:rsidTr="00CD594D">
        <w:tc>
          <w:tcPr>
            <w:tcW w:w="1090" w:type="pct"/>
          </w:tcPr>
          <w:p w14:paraId="34113E2D" w14:textId="77777777" w:rsidR="00416BC5" w:rsidRPr="00A6689B" w:rsidRDefault="00416BC5" w:rsidP="00CD594D">
            <w:pPr>
              <w:rPr>
                <w:i/>
              </w:rPr>
            </w:pPr>
            <w:r>
              <w:rPr>
                <w:b/>
                <w:i/>
              </w:rPr>
              <w:t>Kontaktperson:</w:t>
            </w:r>
          </w:p>
        </w:tc>
        <w:tc>
          <w:tcPr>
            <w:tcW w:w="3910" w:type="pct"/>
          </w:tcPr>
          <w:p w14:paraId="148B1FD7" w14:textId="77777777" w:rsidR="00416BC5" w:rsidRPr="00A6689B" w:rsidRDefault="00416BC5" w:rsidP="00CD594D">
            <w:pPr>
              <w:rPr>
                <w:i/>
                <w:iCs/>
              </w:rPr>
            </w:pPr>
            <w:r>
              <w:t xml:space="preserve">Marie-Laurence </w:t>
            </w:r>
            <w:proofErr w:type="spellStart"/>
            <w:r>
              <w:t>Drillon</w:t>
            </w:r>
            <w:proofErr w:type="spellEnd"/>
          </w:p>
        </w:tc>
      </w:tr>
      <w:tr w:rsidR="00416BC5" w:rsidRPr="00A6689B" w14:paraId="4EDFC601" w14:textId="77777777" w:rsidTr="00CD594D">
        <w:tc>
          <w:tcPr>
            <w:tcW w:w="1090" w:type="pct"/>
          </w:tcPr>
          <w:p w14:paraId="1C35CA29" w14:textId="77777777" w:rsidR="00416BC5" w:rsidRPr="00A6689B" w:rsidRDefault="00416BC5" w:rsidP="00CD594D">
            <w:pPr>
              <w:rPr>
                <w:i/>
              </w:rPr>
            </w:pPr>
            <w:r>
              <w:rPr>
                <w:i/>
              </w:rPr>
              <w:t>Tfn:</w:t>
            </w:r>
          </w:p>
        </w:tc>
        <w:tc>
          <w:tcPr>
            <w:tcW w:w="3910" w:type="pct"/>
          </w:tcPr>
          <w:p w14:paraId="569936FF" w14:textId="77777777" w:rsidR="00416BC5" w:rsidRPr="00A6689B" w:rsidRDefault="00416BC5" w:rsidP="00CD594D">
            <w:pPr>
              <w:rPr>
                <w:i/>
              </w:rPr>
            </w:pPr>
            <w:r>
              <w:rPr>
                <w:i/>
              </w:rPr>
              <w:t>+32 2 546 8320</w:t>
            </w:r>
          </w:p>
        </w:tc>
      </w:tr>
      <w:tr w:rsidR="00416BC5" w:rsidRPr="00A6689B" w14:paraId="330353BA" w14:textId="77777777" w:rsidTr="00CD594D">
        <w:tc>
          <w:tcPr>
            <w:tcW w:w="1090" w:type="pct"/>
          </w:tcPr>
          <w:p w14:paraId="79BBE761" w14:textId="77777777" w:rsidR="00416BC5" w:rsidRPr="00A6689B" w:rsidRDefault="00416BC5" w:rsidP="00CD594D">
            <w:pPr>
              <w:rPr>
                <w:i/>
              </w:rPr>
            </w:pPr>
            <w:r>
              <w:rPr>
                <w:i/>
              </w:rPr>
              <w:t>E-post:</w:t>
            </w:r>
          </w:p>
        </w:tc>
        <w:tc>
          <w:tcPr>
            <w:tcW w:w="3910" w:type="pct"/>
          </w:tcPr>
          <w:p w14:paraId="38A87E55" w14:textId="77777777" w:rsidR="00416BC5" w:rsidRPr="00A6689B" w:rsidRDefault="00416BC5" w:rsidP="00CD594D">
            <w:pPr>
              <w:rPr>
                <w:i/>
              </w:rPr>
            </w:pPr>
            <w:hyperlink r:id="rId46" w:history="1">
              <w:r>
                <w:rPr>
                  <w:rStyle w:val="Hyperlink"/>
                  <w:i/>
                </w:rPr>
                <w:t>Marie-Laurence.Drillon@eesc.europa.eu</w:t>
              </w:r>
            </w:hyperlink>
          </w:p>
        </w:tc>
      </w:tr>
    </w:tbl>
    <w:p w14:paraId="74D4B137" w14:textId="77777777" w:rsidR="007F5784" w:rsidRDefault="007F5784" w:rsidP="007F5784">
      <w:pPr>
        <w:spacing w:after="160" w:line="259" w:lineRule="auto"/>
        <w:jc w:val="left"/>
      </w:pPr>
    </w:p>
    <w:p w14:paraId="71C9ACFB" w14:textId="77777777" w:rsidR="00E25E6B" w:rsidRDefault="006D2C8A" w:rsidP="00E25E6B">
      <w:pPr>
        <w:widowControl w:val="0"/>
        <w:jc w:val="center"/>
        <w:rPr>
          <w:bCs/>
          <w:iCs/>
        </w:rPr>
      </w:pPr>
      <w:r>
        <w:br w:type="page"/>
      </w:r>
    </w:p>
    <w:p w14:paraId="60FE10EB" w14:textId="4305B610" w:rsidR="00E25E6B" w:rsidRDefault="00E25E6B" w:rsidP="00E25E6B">
      <w:pPr>
        <w:widowControl w:val="0"/>
        <w:numPr>
          <w:ilvl w:val="0"/>
          <w:numId w:val="4"/>
        </w:numPr>
        <w:overflowPunct w:val="0"/>
        <w:autoSpaceDE w:val="0"/>
        <w:autoSpaceDN w:val="0"/>
        <w:adjustRightInd w:val="0"/>
        <w:ind w:hanging="567"/>
        <w:rPr>
          <w:sz w:val="20"/>
          <w:szCs w:val="20"/>
        </w:rPr>
      </w:pPr>
      <w:hyperlink r:id="rId47" w:history="1">
        <w:r>
          <w:rPr>
            <w:rStyle w:val="Hyperlink"/>
            <w:b/>
            <w:i/>
            <w:sz w:val="28"/>
          </w:rPr>
          <w:t>Europa i världen (förslag till flerårig budgetram)</w:t>
        </w:r>
      </w:hyperlink>
    </w:p>
    <w:p w14:paraId="0DDBEB67" w14:textId="77777777" w:rsidR="00E25E6B" w:rsidRDefault="00E25E6B" w:rsidP="00E25E6B">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15"/>
      </w:tblGrid>
      <w:tr w:rsidR="00E25E6B" w14:paraId="4B776D3B" w14:textId="77777777" w:rsidTr="00E25E6B">
        <w:tc>
          <w:tcPr>
            <w:tcW w:w="1077" w:type="pct"/>
            <w:hideMark/>
          </w:tcPr>
          <w:p w14:paraId="48E294B3" w14:textId="77777777" w:rsidR="00E25E6B" w:rsidRDefault="00E25E6B">
            <w:pPr>
              <w:tabs>
                <w:tab w:val="center" w:pos="284"/>
              </w:tabs>
              <w:ind w:left="266" w:hanging="266"/>
              <w:rPr>
                <w:b/>
              </w:rPr>
            </w:pPr>
            <w:r>
              <w:rPr>
                <w:b/>
              </w:rPr>
              <w:t>Föredragande:</w:t>
            </w:r>
          </w:p>
        </w:tc>
        <w:tc>
          <w:tcPr>
            <w:tcW w:w="3923" w:type="pct"/>
            <w:hideMark/>
          </w:tcPr>
          <w:p w14:paraId="376F7F67" w14:textId="77777777" w:rsidR="00E25E6B" w:rsidRDefault="00E25E6B">
            <w:pPr>
              <w:tabs>
                <w:tab w:val="center" w:pos="284"/>
              </w:tabs>
              <w:ind w:left="266" w:right="-3091" w:hanging="266"/>
            </w:pPr>
            <w:proofErr w:type="spellStart"/>
            <w:r>
              <w:t>Mateusz</w:t>
            </w:r>
            <w:proofErr w:type="spellEnd"/>
            <w:r>
              <w:t xml:space="preserve"> </w:t>
            </w:r>
            <w:proofErr w:type="spellStart"/>
            <w:r>
              <w:t>Szymański</w:t>
            </w:r>
            <w:proofErr w:type="spellEnd"/>
            <w:r>
              <w:t xml:space="preserve"> (Arbetstagargruppen – PL)</w:t>
            </w:r>
          </w:p>
        </w:tc>
      </w:tr>
      <w:tr w:rsidR="00E25E6B" w14:paraId="195BFB87" w14:textId="77777777" w:rsidTr="00E25E6B">
        <w:tc>
          <w:tcPr>
            <w:tcW w:w="1077" w:type="pct"/>
            <w:hideMark/>
          </w:tcPr>
          <w:p w14:paraId="3FA64FF8" w14:textId="77777777" w:rsidR="00E25E6B" w:rsidRDefault="00E25E6B">
            <w:pPr>
              <w:tabs>
                <w:tab w:val="center" w:pos="284"/>
              </w:tabs>
              <w:ind w:left="266" w:hanging="266"/>
              <w:rPr>
                <w:b/>
              </w:rPr>
            </w:pPr>
            <w:r>
              <w:rPr>
                <w:b/>
              </w:rPr>
              <w:t>Medföredragande:</w:t>
            </w:r>
          </w:p>
        </w:tc>
        <w:tc>
          <w:tcPr>
            <w:tcW w:w="3923" w:type="pct"/>
            <w:hideMark/>
          </w:tcPr>
          <w:p w14:paraId="6A56A745" w14:textId="77777777" w:rsidR="00E25E6B" w:rsidRDefault="00E25E6B">
            <w:pPr>
              <w:tabs>
                <w:tab w:val="center" w:pos="284"/>
              </w:tabs>
              <w:ind w:left="266" w:right="-3091" w:hanging="266"/>
            </w:pPr>
            <w:r>
              <w:t xml:space="preserve">Luca </w:t>
            </w:r>
            <w:proofErr w:type="spellStart"/>
            <w:r>
              <w:t>Jahier</w:t>
            </w:r>
            <w:proofErr w:type="spellEnd"/>
            <w:r>
              <w:t xml:space="preserve"> (Gruppen för civilsamhällesorganisationer – IT)</w:t>
            </w:r>
          </w:p>
        </w:tc>
      </w:tr>
      <w:tr w:rsidR="00E25E6B" w14:paraId="28C9FCC7" w14:textId="77777777" w:rsidTr="00E25E6B">
        <w:tc>
          <w:tcPr>
            <w:tcW w:w="1077" w:type="pct"/>
            <w:hideMark/>
          </w:tcPr>
          <w:p w14:paraId="78CD2E60" w14:textId="77777777" w:rsidR="00E25E6B" w:rsidRDefault="00E25E6B">
            <w:pPr>
              <w:tabs>
                <w:tab w:val="center" w:pos="284"/>
              </w:tabs>
              <w:ind w:left="266" w:hanging="266"/>
              <w:rPr>
                <w:b/>
              </w:rPr>
            </w:pPr>
            <w:r>
              <w:rPr>
                <w:b/>
              </w:rPr>
              <w:t>Referensdokument:</w:t>
            </w:r>
          </w:p>
        </w:tc>
        <w:tc>
          <w:tcPr>
            <w:tcW w:w="3923" w:type="pct"/>
            <w:hideMark/>
          </w:tcPr>
          <w:p w14:paraId="72790BE3" w14:textId="77777777" w:rsidR="00E25E6B" w:rsidRDefault="00E25E6B">
            <w:pPr>
              <w:tabs>
                <w:tab w:val="center" w:pos="284"/>
              </w:tabs>
              <w:ind w:left="266" w:right="-3091" w:hanging="266"/>
            </w:pPr>
            <w:r>
              <w:t>EESC-2025-02605-00-00-AC-TRA</w:t>
            </w:r>
          </w:p>
        </w:tc>
      </w:tr>
    </w:tbl>
    <w:p w14:paraId="67F314C4" w14:textId="77777777" w:rsidR="00E25E6B" w:rsidRDefault="00E25E6B" w:rsidP="00E25E6B">
      <w:pPr>
        <w:tabs>
          <w:tab w:val="center" w:pos="284"/>
        </w:tabs>
        <w:ind w:left="266" w:hanging="266"/>
        <w:rPr>
          <w:b/>
        </w:rPr>
      </w:pPr>
    </w:p>
    <w:p w14:paraId="73707F10" w14:textId="77777777" w:rsidR="00E25E6B" w:rsidRDefault="00E25E6B" w:rsidP="00E25E6B">
      <w:pPr>
        <w:keepNext/>
        <w:keepLines/>
        <w:tabs>
          <w:tab w:val="center" w:pos="284"/>
        </w:tabs>
        <w:ind w:left="266" w:hanging="266"/>
        <w:rPr>
          <w:b/>
        </w:rPr>
      </w:pPr>
      <w:r>
        <w:rPr>
          <w:b/>
        </w:rPr>
        <w:t>Huvudpunkter</w:t>
      </w:r>
    </w:p>
    <w:p w14:paraId="3DC77D2D" w14:textId="77777777" w:rsidR="00E25E6B" w:rsidRDefault="00E25E6B" w:rsidP="00E25E6B">
      <w:pPr>
        <w:keepNext/>
        <w:keepLines/>
        <w:tabs>
          <w:tab w:val="center" w:pos="284"/>
        </w:tabs>
        <w:ind w:left="266" w:hanging="266"/>
        <w:rPr>
          <w:b/>
        </w:rPr>
      </w:pPr>
    </w:p>
    <w:p w14:paraId="291A04A3" w14:textId="77777777" w:rsidR="00E25E6B" w:rsidRDefault="00E25E6B" w:rsidP="00E25E6B">
      <w:pPr>
        <w:rPr>
          <w:bCs/>
          <w:iCs/>
        </w:rPr>
      </w:pPr>
      <w:proofErr w:type="spellStart"/>
      <w:r>
        <w:t>EESK:s</w:t>
      </w:r>
      <w:proofErr w:type="spellEnd"/>
      <w:r>
        <w:t xml:space="preserve"> ståndpunkt:</w:t>
      </w:r>
    </w:p>
    <w:p w14:paraId="66309A29" w14:textId="77777777" w:rsidR="00E25E6B" w:rsidRDefault="00E25E6B" w:rsidP="00E25E6B">
      <w:pPr>
        <w:widowControl w:val="0"/>
        <w:numPr>
          <w:ilvl w:val="0"/>
          <w:numId w:val="4"/>
        </w:numPr>
        <w:overflowPunct w:val="0"/>
        <w:autoSpaceDE w:val="0"/>
        <w:autoSpaceDN w:val="0"/>
        <w:adjustRightInd w:val="0"/>
        <w:ind w:hanging="567"/>
        <w:rPr>
          <w:bCs/>
          <w:iCs/>
        </w:rPr>
      </w:pPr>
      <w:r>
        <w:t>EESK välkomnar kommissionens förslag om att öka utgifterna för EU:s yttre politik i den kommande fleråriga budgetramen, med ett Europa i världen-instrument som inbegriper en reserv för Ukraina, och anser att denna ökning är avgörande för att EU ska kunna bekräfta sin roll som global aktör och sina värden samt bygga upp strategiskt oberoende.</w:t>
      </w:r>
    </w:p>
    <w:p w14:paraId="7196F287" w14:textId="77777777" w:rsidR="00E25E6B" w:rsidRDefault="00E25E6B" w:rsidP="00E25E6B">
      <w:pPr>
        <w:widowControl w:val="0"/>
        <w:numPr>
          <w:ilvl w:val="0"/>
          <w:numId w:val="4"/>
        </w:numPr>
        <w:overflowPunct w:val="0"/>
        <w:autoSpaceDE w:val="0"/>
        <w:autoSpaceDN w:val="0"/>
        <w:adjustRightInd w:val="0"/>
        <w:ind w:hanging="567"/>
        <w:rPr>
          <w:bCs/>
          <w:iCs/>
        </w:rPr>
      </w:pPr>
      <w:r>
        <w:t xml:space="preserve">Kommittén anser att EU bör spela en ledande roll i utvecklingsinsatser och humanitära insatser och för att blåsa nytt liv i FN-systemet, där Global </w:t>
      </w:r>
      <w:proofErr w:type="spellStart"/>
      <w:r>
        <w:t>Gateway</w:t>
      </w:r>
      <w:proofErr w:type="spellEnd"/>
      <w:r>
        <w:t xml:space="preserve"> blir dess viktigaste instrument. </w:t>
      </w:r>
    </w:p>
    <w:p w14:paraId="46E32ADD" w14:textId="77777777" w:rsidR="00E25E6B" w:rsidRDefault="00E25E6B" w:rsidP="00E25E6B">
      <w:pPr>
        <w:widowControl w:val="0"/>
        <w:numPr>
          <w:ilvl w:val="0"/>
          <w:numId w:val="4"/>
        </w:numPr>
        <w:overflowPunct w:val="0"/>
        <w:autoSpaceDE w:val="0"/>
        <w:autoSpaceDN w:val="0"/>
        <w:adjustRightInd w:val="0"/>
        <w:ind w:hanging="567"/>
        <w:rPr>
          <w:bCs/>
          <w:iCs/>
        </w:rPr>
      </w:pPr>
      <w:r>
        <w:t xml:space="preserve">Kommittén påpekar att den rådgivande plattformen för det civila samhället och lokala myndigheter inom Global </w:t>
      </w:r>
      <w:proofErr w:type="spellStart"/>
      <w:r>
        <w:t>Gateway</w:t>
      </w:r>
      <w:proofErr w:type="spellEnd"/>
      <w:r>
        <w:t xml:space="preserve"> har saknat koppling till beslutsfattandet och lett till en splittrad dialog. EESK uppmanar till att säkerställa ett meningsfullt deltagande, inbegripet av EESK och </w:t>
      </w:r>
      <w:proofErr w:type="spellStart"/>
      <w:r>
        <w:t>ReK</w:t>
      </w:r>
      <w:proofErr w:type="spellEnd"/>
      <w:r>
        <w:t>.</w:t>
      </w:r>
    </w:p>
    <w:p w14:paraId="13F04A03" w14:textId="77777777" w:rsidR="00E25E6B" w:rsidRDefault="00E25E6B" w:rsidP="00E25E6B">
      <w:pPr>
        <w:widowControl w:val="0"/>
        <w:numPr>
          <w:ilvl w:val="0"/>
          <w:numId w:val="4"/>
        </w:numPr>
        <w:overflowPunct w:val="0"/>
        <w:autoSpaceDE w:val="0"/>
        <w:autoSpaceDN w:val="0"/>
        <w:adjustRightInd w:val="0"/>
        <w:ind w:hanging="567"/>
        <w:rPr>
          <w:bCs/>
          <w:iCs/>
        </w:rPr>
      </w:pPr>
      <w:r>
        <w:t xml:space="preserve">Kommittén betonar behovet av att skapa konsekvens mellan utrikespolitik, utveckling, handel och den europeiska konkurrenskraftsfonden för att uppnå hållbar utveckling och ekonomisk </w:t>
      </w:r>
      <w:proofErr w:type="spellStart"/>
      <w:r>
        <w:t>resiliens</w:t>
      </w:r>
      <w:proofErr w:type="spellEnd"/>
      <w:r>
        <w:t>.</w:t>
      </w:r>
    </w:p>
    <w:p w14:paraId="045413E2" w14:textId="77777777" w:rsidR="00E25E6B" w:rsidRDefault="00E25E6B" w:rsidP="00E25E6B">
      <w:pPr>
        <w:widowControl w:val="0"/>
        <w:numPr>
          <w:ilvl w:val="0"/>
          <w:numId w:val="4"/>
        </w:numPr>
        <w:overflowPunct w:val="0"/>
        <w:autoSpaceDE w:val="0"/>
        <w:autoSpaceDN w:val="0"/>
        <w:adjustRightInd w:val="0"/>
        <w:ind w:hanging="567"/>
        <w:rPr>
          <w:bCs/>
          <w:iCs/>
        </w:rPr>
      </w:pPr>
      <w:r>
        <w:t>Trots den positiva bedömningen av den föreslagna flexibiliteten i yttre åtgärder förväntar vi oss full öppenhet och ansvarsskyldighet när medlen används.</w:t>
      </w:r>
    </w:p>
    <w:p w14:paraId="288B80D2" w14:textId="77777777" w:rsidR="00E25E6B" w:rsidRDefault="00E25E6B" w:rsidP="00E25E6B">
      <w:pPr>
        <w:widowControl w:val="0"/>
        <w:numPr>
          <w:ilvl w:val="0"/>
          <w:numId w:val="4"/>
        </w:numPr>
        <w:overflowPunct w:val="0"/>
        <w:autoSpaceDE w:val="0"/>
        <w:autoSpaceDN w:val="0"/>
        <w:adjustRightInd w:val="0"/>
        <w:ind w:hanging="567"/>
        <w:rPr>
          <w:bCs/>
          <w:iCs/>
        </w:rPr>
      </w:pPr>
      <w:r>
        <w:t xml:space="preserve">EESK efterlyser en utvidgning av kommissionens ojämlikhetsmarkör till Global </w:t>
      </w:r>
      <w:proofErr w:type="spellStart"/>
      <w:r>
        <w:t>Gateway</w:t>
      </w:r>
      <w:proofErr w:type="spellEnd"/>
      <w:r>
        <w:t xml:space="preserve">-projekt. </w:t>
      </w:r>
    </w:p>
    <w:p w14:paraId="0AD9C937" w14:textId="77777777" w:rsidR="00E25E6B" w:rsidRDefault="00E25E6B" w:rsidP="00E25E6B">
      <w:pPr>
        <w:widowControl w:val="0"/>
        <w:numPr>
          <w:ilvl w:val="0"/>
          <w:numId w:val="4"/>
        </w:numPr>
        <w:overflowPunct w:val="0"/>
        <w:autoSpaceDE w:val="0"/>
        <w:autoSpaceDN w:val="0"/>
        <w:adjustRightInd w:val="0"/>
        <w:ind w:hanging="567"/>
        <w:rPr>
          <w:bCs/>
          <w:iCs/>
        </w:rPr>
      </w:pPr>
      <w:r>
        <w:t xml:space="preserve">Kommittén förväntar sig att befintliga organ, såsom plattformar för det civila samhället, involveras i större utsträckning för att upprätthålla förbindelserna med organisationer i partnerländerna. </w:t>
      </w:r>
    </w:p>
    <w:p w14:paraId="6008FD0C" w14:textId="77777777" w:rsidR="00E25E6B" w:rsidRDefault="00E25E6B" w:rsidP="00E25E6B">
      <w:pPr>
        <w:widowControl w:val="0"/>
        <w:numPr>
          <w:ilvl w:val="0"/>
          <w:numId w:val="4"/>
        </w:numPr>
        <w:overflowPunct w:val="0"/>
        <w:autoSpaceDE w:val="0"/>
        <w:autoSpaceDN w:val="0"/>
        <w:adjustRightInd w:val="0"/>
        <w:ind w:hanging="567"/>
        <w:rPr>
          <w:bCs/>
          <w:iCs/>
        </w:rPr>
      </w:pPr>
      <w:r>
        <w:t>Kommittén stöder alla insatser för att öka välståndet och säkerheten i vårt grannskap och därmed inom EU, och stöder en ytterligare utvidgning av unionen.</w:t>
      </w:r>
    </w:p>
    <w:p w14:paraId="53E0ACCB" w14:textId="77777777" w:rsidR="00E25E6B" w:rsidRDefault="00E25E6B" w:rsidP="00E25E6B">
      <w:pPr>
        <w:widowControl w:val="0"/>
        <w:numPr>
          <w:ilvl w:val="0"/>
          <w:numId w:val="4"/>
        </w:numPr>
        <w:overflowPunct w:val="0"/>
        <w:autoSpaceDE w:val="0"/>
        <w:autoSpaceDN w:val="0"/>
        <w:adjustRightInd w:val="0"/>
        <w:ind w:hanging="567"/>
        <w:rPr>
          <w:bCs/>
          <w:iCs/>
        </w:rPr>
      </w:pPr>
      <w:r>
        <w:t>EESK betonar behovet av förutsägbar och stabil finansiering för det civila samhällets organisationer, särskilt för att stärka demokratin, civilsamhällets demokratiska utrymme och jämställdheten.</w:t>
      </w:r>
    </w:p>
    <w:p w14:paraId="6D51D61D" w14:textId="77777777" w:rsidR="00E25E6B" w:rsidRDefault="00E25E6B" w:rsidP="00E25E6B">
      <w:pPr>
        <w:widowControl w:val="0"/>
        <w:numPr>
          <w:ilvl w:val="0"/>
          <w:numId w:val="4"/>
        </w:numPr>
        <w:overflowPunct w:val="0"/>
        <w:autoSpaceDE w:val="0"/>
        <w:autoSpaceDN w:val="0"/>
        <w:adjustRightInd w:val="0"/>
        <w:ind w:hanging="567"/>
        <w:rPr>
          <w:bCs/>
          <w:iCs/>
        </w:rPr>
      </w:pPr>
      <w:r>
        <w:t>EESK förväntar sig att de mål som rör ekonomiskt samarbete och entreprenörskap kommer att åtföljas av ambitiösa sociala, människorättsrelaterade och miljömässiga skyddsåtgärder.</w:t>
      </w:r>
    </w:p>
    <w:p w14:paraId="779005BA" w14:textId="77777777" w:rsidR="00E25E6B" w:rsidRDefault="00E25E6B" w:rsidP="00E25E6B">
      <w:pPr>
        <w:widowControl w:val="0"/>
        <w:numPr>
          <w:ilvl w:val="0"/>
          <w:numId w:val="4"/>
        </w:numPr>
        <w:overflowPunct w:val="0"/>
        <w:autoSpaceDE w:val="0"/>
        <w:autoSpaceDN w:val="0"/>
        <w:adjustRightInd w:val="0"/>
        <w:ind w:hanging="567"/>
        <w:rPr>
          <w:bCs/>
          <w:iCs/>
        </w:rPr>
      </w:pPr>
      <w:r>
        <w:t>Kommittén motsätter sig strategin att ställa in betalningar inom ramen för migrationspolitiken och betonar behovet av positiva incitament för att uppnå de fastställda målen.</w:t>
      </w:r>
    </w:p>
    <w:p w14:paraId="6B389FB0" w14:textId="77777777" w:rsidR="00E25E6B" w:rsidRDefault="00E25E6B" w:rsidP="00E25E6B">
      <w:pPr>
        <w:widowControl w:val="0"/>
        <w:ind w:left="709"/>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25E6B" w14:paraId="31E73B13" w14:textId="77777777" w:rsidTr="00E25E6B">
        <w:tc>
          <w:tcPr>
            <w:tcW w:w="1077" w:type="pct"/>
            <w:hideMark/>
          </w:tcPr>
          <w:p w14:paraId="76530B29" w14:textId="77777777" w:rsidR="00E25E6B" w:rsidRDefault="00E25E6B">
            <w:pPr>
              <w:rPr>
                <w:i/>
              </w:rPr>
            </w:pPr>
            <w:r>
              <w:rPr>
                <w:b/>
                <w:i/>
              </w:rPr>
              <w:t>Kontaktperson:</w:t>
            </w:r>
          </w:p>
        </w:tc>
        <w:tc>
          <w:tcPr>
            <w:tcW w:w="3923" w:type="pct"/>
            <w:hideMark/>
          </w:tcPr>
          <w:p w14:paraId="6AE01735" w14:textId="77777777" w:rsidR="00E25E6B" w:rsidRDefault="00E25E6B">
            <w:pPr>
              <w:rPr>
                <w:i/>
              </w:rPr>
            </w:pPr>
            <w:r>
              <w:rPr>
                <w:i/>
              </w:rPr>
              <w:t xml:space="preserve">Daniele </w:t>
            </w:r>
            <w:proofErr w:type="spellStart"/>
            <w:r>
              <w:rPr>
                <w:i/>
              </w:rPr>
              <w:t>Vitali</w:t>
            </w:r>
            <w:proofErr w:type="spellEnd"/>
            <w:r>
              <w:rPr>
                <w:i/>
              </w:rPr>
              <w:t xml:space="preserve"> </w:t>
            </w:r>
          </w:p>
        </w:tc>
      </w:tr>
      <w:tr w:rsidR="00E25E6B" w14:paraId="74F9DCBB" w14:textId="77777777" w:rsidTr="00E25E6B">
        <w:tc>
          <w:tcPr>
            <w:tcW w:w="1077" w:type="pct"/>
            <w:hideMark/>
          </w:tcPr>
          <w:p w14:paraId="0ED21442" w14:textId="77777777" w:rsidR="00E25E6B" w:rsidRDefault="00E25E6B">
            <w:pPr>
              <w:rPr>
                <w:i/>
              </w:rPr>
            </w:pPr>
            <w:r>
              <w:rPr>
                <w:i/>
              </w:rPr>
              <w:t>Tfn</w:t>
            </w:r>
          </w:p>
        </w:tc>
        <w:tc>
          <w:tcPr>
            <w:tcW w:w="3923" w:type="pct"/>
            <w:hideMark/>
          </w:tcPr>
          <w:p w14:paraId="2C5FDEFA" w14:textId="77777777" w:rsidR="00E25E6B" w:rsidRDefault="00E25E6B">
            <w:pPr>
              <w:rPr>
                <w:i/>
              </w:rPr>
            </w:pPr>
            <w:r>
              <w:rPr>
                <w:i/>
              </w:rPr>
              <w:t>+32 25468817</w:t>
            </w:r>
          </w:p>
        </w:tc>
      </w:tr>
      <w:tr w:rsidR="00E25E6B" w14:paraId="2BE9AEBF" w14:textId="77777777" w:rsidTr="00E25E6B">
        <w:tc>
          <w:tcPr>
            <w:tcW w:w="1077" w:type="pct"/>
            <w:hideMark/>
          </w:tcPr>
          <w:p w14:paraId="3095EFD0" w14:textId="77777777" w:rsidR="00E25E6B" w:rsidRDefault="00E25E6B">
            <w:pPr>
              <w:rPr>
                <w:i/>
              </w:rPr>
            </w:pPr>
            <w:r>
              <w:rPr>
                <w:i/>
              </w:rPr>
              <w:t>E-post:</w:t>
            </w:r>
          </w:p>
        </w:tc>
        <w:tc>
          <w:tcPr>
            <w:tcW w:w="3923" w:type="pct"/>
            <w:hideMark/>
          </w:tcPr>
          <w:p w14:paraId="031DDE66" w14:textId="77777777" w:rsidR="00E25E6B" w:rsidRDefault="00E25E6B">
            <w:pPr>
              <w:rPr>
                <w:i/>
              </w:rPr>
            </w:pPr>
            <w:hyperlink r:id="rId48" w:history="1">
              <w:r>
                <w:rPr>
                  <w:rStyle w:val="Hyperlink"/>
                  <w:i/>
                </w:rPr>
                <w:t>Daniele.Vitali@eesc.europa.eu</w:t>
              </w:r>
            </w:hyperlink>
          </w:p>
        </w:tc>
      </w:tr>
    </w:tbl>
    <w:p w14:paraId="471D40E0" w14:textId="77777777" w:rsidR="00E25E6B" w:rsidRDefault="00C913CA" w:rsidP="00E25E6B">
      <w:pPr>
        <w:widowControl w:val="0"/>
        <w:jc w:val="center"/>
        <w:rPr>
          <w:bCs/>
          <w:iCs/>
        </w:rPr>
      </w:pPr>
      <w:r>
        <w:br w:type="page"/>
      </w:r>
    </w:p>
    <w:p w14:paraId="484EAA04" w14:textId="53EBDDB1" w:rsidR="00E25E6B" w:rsidRPr="001D72B0" w:rsidRDefault="00E25E6B" w:rsidP="00E25E6B">
      <w:pPr>
        <w:widowControl w:val="0"/>
        <w:numPr>
          <w:ilvl w:val="0"/>
          <w:numId w:val="4"/>
        </w:numPr>
        <w:overflowPunct w:val="0"/>
        <w:autoSpaceDE w:val="0"/>
        <w:autoSpaceDN w:val="0"/>
        <w:adjustRightInd w:val="0"/>
        <w:ind w:hanging="567"/>
        <w:textAlignment w:val="baseline"/>
        <w:rPr>
          <w:sz w:val="20"/>
        </w:rPr>
      </w:pPr>
      <w:hyperlink r:id="rId49" w:history="1">
        <w:r>
          <w:rPr>
            <w:rStyle w:val="Hyperlink"/>
            <w:b/>
            <w:i/>
            <w:sz w:val="28"/>
          </w:rPr>
          <w:t>En förutsägbar och gemensam väg framåt för ukrainare i EU</w:t>
        </w:r>
      </w:hyperlink>
    </w:p>
    <w:p w14:paraId="0CDD30BA" w14:textId="77777777" w:rsidR="00E25E6B" w:rsidRPr="001D72B0" w:rsidRDefault="00E25E6B" w:rsidP="00E25E6B">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15"/>
      </w:tblGrid>
      <w:tr w:rsidR="00E25E6B" w:rsidRPr="00A6689B" w14:paraId="0FC3C1B3" w14:textId="77777777" w:rsidTr="00CD594D">
        <w:tc>
          <w:tcPr>
            <w:tcW w:w="1077" w:type="pct"/>
          </w:tcPr>
          <w:p w14:paraId="1CA2F7CF" w14:textId="77777777" w:rsidR="00E25E6B" w:rsidRPr="00A6689B" w:rsidRDefault="00E25E6B" w:rsidP="00CD594D">
            <w:pPr>
              <w:tabs>
                <w:tab w:val="center" w:pos="284"/>
              </w:tabs>
              <w:ind w:left="266" w:hanging="266"/>
              <w:rPr>
                <w:b/>
              </w:rPr>
            </w:pPr>
            <w:r>
              <w:rPr>
                <w:b/>
              </w:rPr>
              <w:t xml:space="preserve">Föredragande: </w:t>
            </w:r>
          </w:p>
        </w:tc>
        <w:tc>
          <w:tcPr>
            <w:tcW w:w="3923" w:type="pct"/>
          </w:tcPr>
          <w:p w14:paraId="3309886E" w14:textId="77777777" w:rsidR="00E25E6B" w:rsidRPr="00A6689B" w:rsidRDefault="00E25E6B" w:rsidP="00CD594D">
            <w:pPr>
              <w:tabs>
                <w:tab w:val="center" w:pos="284"/>
              </w:tabs>
              <w:ind w:left="266" w:right="-3091" w:hanging="266"/>
            </w:pPr>
            <w:proofErr w:type="spellStart"/>
            <w:r>
              <w:t>Mateusz</w:t>
            </w:r>
            <w:proofErr w:type="spellEnd"/>
            <w:r>
              <w:t xml:space="preserve"> </w:t>
            </w:r>
            <w:proofErr w:type="spellStart"/>
            <w:r>
              <w:t>Szymański</w:t>
            </w:r>
            <w:proofErr w:type="spellEnd"/>
            <w:r>
              <w:t xml:space="preserve"> (Arbetstagargruppen – PL)</w:t>
            </w:r>
          </w:p>
        </w:tc>
      </w:tr>
      <w:tr w:rsidR="00E25E6B" w:rsidRPr="00A6689B" w14:paraId="48BF6326" w14:textId="77777777" w:rsidTr="00CD594D">
        <w:tc>
          <w:tcPr>
            <w:tcW w:w="1077" w:type="pct"/>
          </w:tcPr>
          <w:p w14:paraId="63EAAC6B" w14:textId="77777777" w:rsidR="00E25E6B" w:rsidRPr="00A6689B" w:rsidRDefault="00E25E6B" w:rsidP="00CD594D">
            <w:pPr>
              <w:tabs>
                <w:tab w:val="center" w:pos="284"/>
              </w:tabs>
              <w:ind w:left="266" w:hanging="266"/>
              <w:rPr>
                <w:b/>
              </w:rPr>
            </w:pPr>
            <w:r>
              <w:rPr>
                <w:b/>
              </w:rPr>
              <w:t>Medföredragande:</w:t>
            </w:r>
          </w:p>
        </w:tc>
        <w:tc>
          <w:tcPr>
            <w:tcW w:w="3923" w:type="pct"/>
          </w:tcPr>
          <w:p w14:paraId="3CE56E25" w14:textId="77777777" w:rsidR="00E25E6B" w:rsidRPr="00A6689B" w:rsidRDefault="00E25E6B" w:rsidP="00CD594D">
            <w:pPr>
              <w:tabs>
                <w:tab w:val="center" w:pos="284"/>
              </w:tabs>
              <w:ind w:left="266" w:right="-3091" w:hanging="266"/>
            </w:pPr>
            <w:r>
              <w:t xml:space="preserve">Krzysztof </w:t>
            </w:r>
            <w:proofErr w:type="spellStart"/>
            <w:r>
              <w:t>Balon</w:t>
            </w:r>
            <w:proofErr w:type="spellEnd"/>
            <w:r>
              <w:t xml:space="preserve"> (Gruppen för civilsamhällesorganisationer – PL)</w:t>
            </w:r>
          </w:p>
        </w:tc>
      </w:tr>
      <w:tr w:rsidR="00E25E6B" w:rsidRPr="00A6689B" w14:paraId="37DF2973" w14:textId="77777777" w:rsidTr="00CD594D">
        <w:tc>
          <w:tcPr>
            <w:tcW w:w="1077" w:type="pct"/>
          </w:tcPr>
          <w:p w14:paraId="714B7D3F" w14:textId="77777777" w:rsidR="00E25E6B" w:rsidRPr="00156DC6" w:rsidRDefault="00E25E6B" w:rsidP="00CD594D">
            <w:pPr>
              <w:tabs>
                <w:tab w:val="center" w:pos="284"/>
              </w:tabs>
              <w:ind w:left="266" w:hanging="266"/>
              <w:rPr>
                <w:b/>
              </w:rPr>
            </w:pPr>
            <w:r>
              <w:rPr>
                <w:b/>
              </w:rPr>
              <w:t>Referensdokument:</w:t>
            </w:r>
          </w:p>
        </w:tc>
        <w:tc>
          <w:tcPr>
            <w:tcW w:w="3923" w:type="pct"/>
          </w:tcPr>
          <w:p w14:paraId="7810CEEC" w14:textId="77777777" w:rsidR="00E25E6B" w:rsidRPr="00156DC6" w:rsidRDefault="00E25E6B" w:rsidP="00CD594D">
            <w:pPr>
              <w:tabs>
                <w:tab w:val="center" w:pos="284"/>
              </w:tabs>
              <w:ind w:left="266" w:right="-3091" w:hanging="266"/>
            </w:pPr>
            <w:r>
              <w:t>EESC-2025-02613-00-00-AC</w:t>
            </w:r>
          </w:p>
        </w:tc>
      </w:tr>
    </w:tbl>
    <w:p w14:paraId="0745E20B" w14:textId="77777777" w:rsidR="00E25E6B" w:rsidRDefault="00E25E6B" w:rsidP="00E25E6B">
      <w:pPr>
        <w:tabs>
          <w:tab w:val="center" w:pos="284"/>
        </w:tabs>
        <w:ind w:left="266" w:hanging="266"/>
        <w:rPr>
          <w:b/>
        </w:rPr>
      </w:pPr>
    </w:p>
    <w:p w14:paraId="1EFD7B7E" w14:textId="77777777" w:rsidR="00E25E6B" w:rsidRPr="00A6689B" w:rsidRDefault="00E25E6B" w:rsidP="00E25E6B">
      <w:pPr>
        <w:keepNext/>
        <w:keepLines/>
        <w:tabs>
          <w:tab w:val="center" w:pos="284"/>
        </w:tabs>
        <w:ind w:left="266" w:hanging="266"/>
        <w:rPr>
          <w:b/>
        </w:rPr>
      </w:pPr>
      <w:r>
        <w:rPr>
          <w:b/>
        </w:rPr>
        <w:t>Huvudpunkter</w:t>
      </w:r>
    </w:p>
    <w:p w14:paraId="7D774CCA" w14:textId="77777777" w:rsidR="00E25E6B" w:rsidRPr="00A6689B" w:rsidRDefault="00E25E6B" w:rsidP="00E25E6B">
      <w:pPr>
        <w:keepNext/>
        <w:keepLines/>
        <w:tabs>
          <w:tab w:val="center" w:pos="284"/>
        </w:tabs>
        <w:ind w:left="266" w:hanging="266"/>
        <w:rPr>
          <w:b/>
        </w:rPr>
      </w:pPr>
    </w:p>
    <w:p w14:paraId="64C9CE2D" w14:textId="77777777" w:rsidR="00E25E6B" w:rsidRDefault="00E25E6B" w:rsidP="00E25E6B">
      <w:proofErr w:type="spellStart"/>
      <w:r>
        <w:t>EESK:s</w:t>
      </w:r>
      <w:proofErr w:type="spellEnd"/>
      <w:r>
        <w:t xml:space="preserve"> ståndpunkt:</w:t>
      </w:r>
    </w:p>
    <w:p w14:paraId="2CF78AA9" w14:textId="77777777" w:rsidR="00E25E6B" w:rsidRPr="00A6689B" w:rsidRDefault="00E25E6B" w:rsidP="00E25E6B">
      <w:pPr>
        <w:rPr>
          <w:bCs/>
          <w:iCs/>
        </w:rPr>
      </w:pPr>
    </w:p>
    <w:p w14:paraId="2F8F47F8" w14:textId="77777777" w:rsidR="00E25E6B" w:rsidRDefault="00E25E6B" w:rsidP="00E25E6B">
      <w:pPr>
        <w:widowControl w:val="0"/>
        <w:numPr>
          <w:ilvl w:val="0"/>
          <w:numId w:val="4"/>
        </w:numPr>
        <w:overflowPunct w:val="0"/>
        <w:autoSpaceDE w:val="0"/>
        <w:autoSpaceDN w:val="0"/>
        <w:adjustRightInd w:val="0"/>
        <w:ind w:hanging="567"/>
        <w:textAlignment w:val="baseline"/>
        <w:rPr>
          <w:bCs/>
          <w:iCs/>
        </w:rPr>
      </w:pPr>
      <w:r>
        <w:t>EESK upprepar sin solidaritet med det ukrainska folket och påpekar att Rysslands anfallskrig mot Ukraina har lett till att miljontals ukrainare flytt undan faran. Vi lyfter fram den roll som det civila samhällets organisationer spelade när tillströmningen av fördrivna personer från Ukraina var som störst.</w:t>
      </w:r>
    </w:p>
    <w:p w14:paraId="26C8AF04" w14:textId="77777777" w:rsidR="00E25E6B" w:rsidRPr="00B348D7" w:rsidRDefault="00E25E6B" w:rsidP="00E25E6B">
      <w:pPr>
        <w:widowControl w:val="0"/>
        <w:numPr>
          <w:ilvl w:val="0"/>
          <w:numId w:val="4"/>
        </w:numPr>
        <w:overflowPunct w:val="0"/>
        <w:autoSpaceDE w:val="0"/>
        <w:autoSpaceDN w:val="0"/>
        <w:adjustRightInd w:val="0"/>
        <w:ind w:hanging="567"/>
        <w:textAlignment w:val="baseline"/>
        <w:rPr>
          <w:bCs/>
          <w:iCs/>
        </w:rPr>
      </w:pPr>
      <w:r>
        <w:t>EESK noterar att det tillfälliga skyddet har visat sig vara en fördelaktig lösning för fördrivna personer från Ukraina, samtidigt som förhållandena är sådana att det ännu inte är möjligt att återvända till Ukraina på grund av det pågående anfallskriget. Vi välkomnar beslutet att förlänga det tillfälliga skyddet för ännu en period.</w:t>
      </w:r>
    </w:p>
    <w:p w14:paraId="7BEEEF96" w14:textId="77777777" w:rsidR="00E25E6B" w:rsidRPr="00A6689B" w:rsidRDefault="00E25E6B" w:rsidP="00E25E6B">
      <w:pPr>
        <w:widowControl w:val="0"/>
        <w:numPr>
          <w:ilvl w:val="0"/>
          <w:numId w:val="4"/>
        </w:numPr>
        <w:overflowPunct w:val="0"/>
        <w:autoSpaceDE w:val="0"/>
        <w:autoSpaceDN w:val="0"/>
        <w:adjustRightInd w:val="0"/>
        <w:ind w:hanging="567"/>
        <w:textAlignment w:val="baseline"/>
        <w:rPr>
          <w:bCs/>
          <w:iCs/>
        </w:rPr>
      </w:pPr>
      <w:r>
        <w:t>EESK understryker behovet av ett långsiktigt perspektiv för personer som åtnjuter tillfälligt skydd och uppmanar kommissionen och medlemsstaterna att vidta åtgärder för att underlätta en smidig övergång till mer permanenta grunder för vistelse och ett gradvis avskaffande av det tillfälliga skyddet.</w:t>
      </w:r>
    </w:p>
    <w:p w14:paraId="186A441B" w14:textId="77777777" w:rsidR="00E25E6B" w:rsidRPr="00A6689B" w:rsidRDefault="00E25E6B" w:rsidP="00E25E6B">
      <w:pPr>
        <w:widowControl w:val="0"/>
        <w:numPr>
          <w:ilvl w:val="0"/>
          <w:numId w:val="4"/>
        </w:numPr>
        <w:overflowPunct w:val="0"/>
        <w:autoSpaceDE w:val="0"/>
        <w:autoSpaceDN w:val="0"/>
        <w:adjustRightInd w:val="0"/>
        <w:ind w:hanging="567"/>
        <w:textAlignment w:val="baseline"/>
        <w:rPr>
          <w:bCs/>
          <w:iCs/>
        </w:rPr>
      </w:pPr>
      <w:r>
        <w:t>EESK påpekar att situationen i samband med ukrainarnas ankomst till EU ökat trycket på medlemsstaternas system för allmännyttiga tjänster. Vi understryker behovet av att öka investeringarna i tjänster av allmänt intresse av hög kvalitet, inklusive bostäder, som ska vara tillgängliga på lika villkor för alla som vistas lagligt i EU.</w:t>
      </w:r>
    </w:p>
    <w:p w14:paraId="3FC387F7" w14:textId="77777777" w:rsidR="00E25E6B" w:rsidRPr="00A6689B" w:rsidRDefault="00E25E6B" w:rsidP="00E25E6B">
      <w:pPr>
        <w:widowControl w:val="0"/>
        <w:numPr>
          <w:ilvl w:val="0"/>
          <w:numId w:val="4"/>
        </w:numPr>
        <w:overflowPunct w:val="0"/>
        <w:autoSpaceDE w:val="0"/>
        <w:autoSpaceDN w:val="0"/>
        <w:adjustRightInd w:val="0"/>
        <w:ind w:hanging="567"/>
        <w:textAlignment w:val="baseline"/>
      </w:pPr>
      <w:r>
        <w:t>EESK noterar att insatser bör ske för att se till att ukrainarna integreras framgångsrikt i EU genom språkkurser, stöd till initiativ i lokalsamhället, skolgång för ukrainska barn i medlems</w:t>
      </w:r>
      <w:r>
        <w:softHyphen/>
        <w:t>staterna samt motarbetande av desinformation och rysk underrättelseverksamhet, samt genom att involvera dem i organisationer som är verksamma i deras lokalsamhällen.</w:t>
      </w:r>
    </w:p>
    <w:p w14:paraId="4B43E57F" w14:textId="77777777" w:rsidR="00E25E6B" w:rsidRPr="00B348D7" w:rsidRDefault="00E25E6B" w:rsidP="00E25E6B">
      <w:pPr>
        <w:widowControl w:val="0"/>
        <w:numPr>
          <w:ilvl w:val="0"/>
          <w:numId w:val="4"/>
        </w:numPr>
        <w:overflowPunct w:val="0"/>
        <w:autoSpaceDE w:val="0"/>
        <w:autoSpaceDN w:val="0"/>
        <w:adjustRightInd w:val="0"/>
        <w:ind w:hanging="567"/>
        <w:textAlignment w:val="baseline"/>
      </w:pPr>
      <w:r>
        <w:t>EESK betonar vikten av att skapa rättvisa arbetsvillkor för ukrainare, både inom EU och i Ukraina. Medlemsstaterna förväntas bekämpa exploatering och ojämlik behandling av ukrainare i arbetslivet, medan den ukrainska regeringen via dialog med arbetsmarknadens parter förväntas återgå till lösningar som är gynnsamma för arbetstagare och fackföreningsverksamhet.</w:t>
      </w:r>
    </w:p>
    <w:p w14:paraId="06C82004" w14:textId="77777777" w:rsidR="00E25E6B" w:rsidRPr="000624A9" w:rsidRDefault="00E25E6B" w:rsidP="00E25E6B">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E25E6B" w:rsidRPr="00A6689B" w14:paraId="60D56DC3" w14:textId="77777777" w:rsidTr="00CD594D">
        <w:tc>
          <w:tcPr>
            <w:tcW w:w="898" w:type="pct"/>
          </w:tcPr>
          <w:p w14:paraId="4680FBFD" w14:textId="77777777" w:rsidR="00E25E6B" w:rsidRPr="00A6689B" w:rsidRDefault="00E25E6B" w:rsidP="00CD594D">
            <w:pPr>
              <w:rPr>
                <w:i/>
              </w:rPr>
            </w:pPr>
            <w:r>
              <w:rPr>
                <w:b/>
                <w:i/>
              </w:rPr>
              <w:t>Kontaktperson:</w:t>
            </w:r>
          </w:p>
        </w:tc>
        <w:tc>
          <w:tcPr>
            <w:tcW w:w="4102" w:type="pct"/>
          </w:tcPr>
          <w:p w14:paraId="5D4FFE23" w14:textId="77777777" w:rsidR="00E25E6B" w:rsidRPr="00A6689B" w:rsidRDefault="00E25E6B" w:rsidP="00CD594D">
            <w:pPr>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00E25E6B" w:rsidRPr="00A6689B" w14:paraId="20C49D8A" w14:textId="77777777" w:rsidTr="00CD594D">
        <w:tc>
          <w:tcPr>
            <w:tcW w:w="898" w:type="pct"/>
          </w:tcPr>
          <w:p w14:paraId="76E0C500" w14:textId="77777777" w:rsidR="00E25E6B" w:rsidRPr="00A6689B" w:rsidRDefault="00E25E6B" w:rsidP="00CD594D">
            <w:pPr>
              <w:rPr>
                <w:i/>
              </w:rPr>
            </w:pPr>
            <w:r>
              <w:rPr>
                <w:i/>
              </w:rPr>
              <w:t>Tfn</w:t>
            </w:r>
          </w:p>
        </w:tc>
        <w:tc>
          <w:tcPr>
            <w:tcW w:w="4102" w:type="pct"/>
          </w:tcPr>
          <w:p w14:paraId="27F2982C" w14:textId="77777777" w:rsidR="00E25E6B" w:rsidRPr="00A6689B" w:rsidRDefault="00E25E6B" w:rsidP="00CD594D">
            <w:pPr>
              <w:rPr>
                <w:i/>
              </w:rPr>
            </w:pPr>
            <w:r>
              <w:rPr>
                <w:i/>
              </w:rPr>
              <w:t>+32 25469460</w:t>
            </w:r>
          </w:p>
        </w:tc>
      </w:tr>
      <w:tr w:rsidR="00E25E6B" w:rsidRPr="00A6689B" w14:paraId="5EB70377" w14:textId="77777777" w:rsidTr="00CD594D">
        <w:tc>
          <w:tcPr>
            <w:tcW w:w="898" w:type="pct"/>
          </w:tcPr>
          <w:p w14:paraId="31DC6A89" w14:textId="77777777" w:rsidR="00E25E6B" w:rsidRPr="00A6689B" w:rsidRDefault="00E25E6B" w:rsidP="00CD594D">
            <w:pPr>
              <w:rPr>
                <w:i/>
              </w:rPr>
            </w:pPr>
            <w:r>
              <w:rPr>
                <w:i/>
              </w:rPr>
              <w:t>E-post:</w:t>
            </w:r>
          </w:p>
        </w:tc>
        <w:tc>
          <w:tcPr>
            <w:tcW w:w="4102" w:type="pct"/>
          </w:tcPr>
          <w:p w14:paraId="6FEFD478" w14:textId="77777777" w:rsidR="00E25E6B" w:rsidRPr="00A6689B" w:rsidRDefault="00E25E6B" w:rsidP="00CD594D">
            <w:pPr>
              <w:rPr>
                <w:i/>
              </w:rPr>
            </w:pPr>
            <w:hyperlink r:id="rId50" w:history="1">
              <w:r>
                <w:rPr>
                  <w:rStyle w:val="Hyperlink"/>
                  <w:i/>
                </w:rPr>
                <w:t>Katarina.Albrechtova@eesc.europa.eu</w:t>
              </w:r>
            </w:hyperlink>
            <w:r>
              <w:rPr>
                <w:i/>
              </w:rPr>
              <w:t xml:space="preserve"> </w:t>
            </w:r>
          </w:p>
        </w:tc>
      </w:tr>
    </w:tbl>
    <w:p w14:paraId="28C69286" w14:textId="2E0CE072" w:rsidR="004503DC" w:rsidRDefault="004503DC" w:rsidP="00E25E6B">
      <w:pPr>
        <w:widowControl w:val="0"/>
        <w:numPr>
          <w:ilvl w:val="0"/>
          <w:numId w:val="4"/>
        </w:numPr>
        <w:overflowPunct w:val="0"/>
        <w:autoSpaceDE w:val="0"/>
        <w:autoSpaceDN w:val="0"/>
        <w:adjustRightInd w:val="0"/>
        <w:ind w:hanging="567"/>
        <w:textAlignment w:val="baseline"/>
      </w:pPr>
      <w:r>
        <w:br w:type="page"/>
      </w:r>
    </w:p>
    <w:p w14:paraId="528C73AA" w14:textId="46DE726B" w:rsidR="006D2C8A" w:rsidRPr="006D2C8A" w:rsidRDefault="006D2C8A" w:rsidP="006D2C8A">
      <w:pPr>
        <w:pStyle w:val="Heading1"/>
        <w:rPr>
          <w:b/>
        </w:rPr>
      </w:pPr>
      <w:bookmarkStart w:id="16" w:name="_Toc217055370"/>
      <w:r>
        <w:rPr>
          <w:b/>
          <w:color w:val="222A35" w:themeColor="text2" w:themeShade="80"/>
        </w:rPr>
        <w:lastRenderedPageBreak/>
        <w:t>RÅDGIVANDE UTSKOTTET FÖR INDUSTRIELL OMVANDLING</w:t>
      </w:r>
      <w:bookmarkEnd w:id="16"/>
    </w:p>
    <w:p w14:paraId="713E272F" w14:textId="77777777" w:rsidR="006D2C8A" w:rsidRDefault="006D2C8A" w:rsidP="006D2C8A"/>
    <w:p w14:paraId="1C21BC04" w14:textId="77777777" w:rsidR="00B33713" w:rsidRDefault="00B33713" w:rsidP="00B33713">
      <w:pPr>
        <w:widowControl w:val="0"/>
        <w:numPr>
          <w:ilvl w:val="0"/>
          <w:numId w:val="4"/>
        </w:numPr>
        <w:overflowPunct w:val="0"/>
        <w:autoSpaceDE w:val="0"/>
        <w:autoSpaceDN w:val="0"/>
        <w:adjustRightInd w:val="0"/>
        <w:ind w:hanging="567"/>
        <w:textAlignment w:val="baseline"/>
        <w:rPr>
          <w:sz w:val="20"/>
        </w:rPr>
      </w:pPr>
      <w:hyperlink r:id="rId51" w:history="1">
        <w:r>
          <w:rPr>
            <w:rStyle w:val="Hyperlink"/>
            <w:b/>
            <w:i/>
            <w:sz w:val="28"/>
          </w:rPr>
          <w:t>Åtgärder för att enklare ta tillvara potentialen hos permanenta material i EU:s cirkulära ekonomi</w:t>
        </w:r>
      </w:hyperlink>
    </w:p>
    <w:p w14:paraId="5536B759" w14:textId="77777777" w:rsidR="00B33713" w:rsidRPr="00DD6DE5" w:rsidRDefault="00B33713" w:rsidP="00B33713">
      <w:pPr>
        <w:widowControl w:val="0"/>
        <w:ind w:left="567"/>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15"/>
      </w:tblGrid>
      <w:tr w:rsidR="00B33713" w:rsidRPr="008630AF" w14:paraId="16E95A93" w14:textId="77777777" w:rsidTr="00CD594D">
        <w:tc>
          <w:tcPr>
            <w:tcW w:w="1077" w:type="pct"/>
          </w:tcPr>
          <w:p w14:paraId="2F24BFA1" w14:textId="77777777" w:rsidR="00B33713" w:rsidRPr="00A6689B" w:rsidRDefault="00B33713" w:rsidP="00CD594D">
            <w:pPr>
              <w:tabs>
                <w:tab w:val="center" w:pos="284"/>
              </w:tabs>
              <w:ind w:left="266" w:hanging="266"/>
              <w:rPr>
                <w:b/>
              </w:rPr>
            </w:pPr>
            <w:r>
              <w:rPr>
                <w:b/>
              </w:rPr>
              <w:t>Föredragande:</w:t>
            </w:r>
          </w:p>
        </w:tc>
        <w:tc>
          <w:tcPr>
            <w:tcW w:w="3923" w:type="pct"/>
          </w:tcPr>
          <w:p w14:paraId="2FD8455A" w14:textId="77777777" w:rsidR="00B33713" w:rsidRPr="00C86E1C" w:rsidRDefault="00B33713" w:rsidP="00CD594D">
            <w:pPr>
              <w:tabs>
                <w:tab w:val="center" w:pos="284"/>
              </w:tabs>
              <w:ind w:left="266" w:right="-3091" w:hanging="266"/>
            </w:pPr>
            <w:r>
              <w:t xml:space="preserve">Andrea </w:t>
            </w:r>
            <w:proofErr w:type="spellStart"/>
            <w:r>
              <w:t>Mone</w:t>
            </w:r>
            <w:proofErr w:type="spellEnd"/>
            <w:r>
              <w:t xml:space="preserve"> (Arbetstagargruppen – IT)</w:t>
            </w:r>
          </w:p>
        </w:tc>
      </w:tr>
      <w:tr w:rsidR="00B33713" w:rsidRPr="00A6689B" w14:paraId="28F81633" w14:textId="77777777" w:rsidTr="00CD594D">
        <w:tc>
          <w:tcPr>
            <w:tcW w:w="1077" w:type="pct"/>
          </w:tcPr>
          <w:p w14:paraId="11447AD1" w14:textId="77777777" w:rsidR="00B33713" w:rsidRPr="00A6689B" w:rsidRDefault="00B33713" w:rsidP="00CD594D">
            <w:pPr>
              <w:tabs>
                <w:tab w:val="center" w:pos="284"/>
              </w:tabs>
              <w:ind w:left="266" w:hanging="266"/>
              <w:rPr>
                <w:b/>
              </w:rPr>
            </w:pPr>
            <w:r>
              <w:rPr>
                <w:b/>
              </w:rPr>
              <w:t>Medföredragande:</w:t>
            </w:r>
          </w:p>
        </w:tc>
        <w:tc>
          <w:tcPr>
            <w:tcW w:w="3923" w:type="pct"/>
          </w:tcPr>
          <w:p w14:paraId="0B286D5C" w14:textId="77777777" w:rsidR="00B33713" w:rsidRPr="00D97375" w:rsidRDefault="00B33713" w:rsidP="00CD594D">
            <w:pPr>
              <w:tabs>
                <w:tab w:val="center" w:pos="284"/>
              </w:tabs>
              <w:ind w:left="266" w:right="-3091" w:hanging="266"/>
            </w:pPr>
            <w:r>
              <w:t xml:space="preserve">Michal </w:t>
            </w:r>
            <w:proofErr w:type="spellStart"/>
            <w:r>
              <w:t>Pintér</w:t>
            </w:r>
            <w:proofErr w:type="spellEnd"/>
            <w:r>
              <w:t xml:space="preserve"> (Arbetsgivargruppen – SK)</w:t>
            </w:r>
          </w:p>
        </w:tc>
      </w:tr>
      <w:tr w:rsidR="00B33713" w:rsidRPr="00A6689B" w14:paraId="55E499E7" w14:textId="77777777" w:rsidTr="00CD594D">
        <w:tc>
          <w:tcPr>
            <w:tcW w:w="1077" w:type="pct"/>
          </w:tcPr>
          <w:p w14:paraId="507869B5" w14:textId="77777777" w:rsidR="00B33713" w:rsidRPr="00A6689B" w:rsidRDefault="00B33713" w:rsidP="00CD594D">
            <w:pPr>
              <w:tabs>
                <w:tab w:val="center" w:pos="284"/>
              </w:tabs>
              <w:ind w:left="266" w:hanging="266"/>
              <w:rPr>
                <w:b/>
              </w:rPr>
            </w:pPr>
            <w:r>
              <w:rPr>
                <w:b/>
              </w:rPr>
              <w:t>Referensdokument:</w:t>
            </w:r>
          </w:p>
        </w:tc>
        <w:tc>
          <w:tcPr>
            <w:tcW w:w="3923" w:type="pct"/>
          </w:tcPr>
          <w:p w14:paraId="367C3406" w14:textId="77777777" w:rsidR="00B33713" w:rsidRPr="00A6689B" w:rsidRDefault="00B33713" w:rsidP="00CD594D">
            <w:pPr>
              <w:tabs>
                <w:tab w:val="center" w:pos="284"/>
              </w:tabs>
              <w:ind w:left="266" w:right="-3091" w:hanging="266"/>
            </w:pPr>
            <w:r>
              <w:t>EESC-2025-02364-00-00-AC</w:t>
            </w:r>
          </w:p>
        </w:tc>
      </w:tr>
    </w:tbl>
    <w:p w14:paraId="3DF116F3" w14:textId="77777777" w:rsidR="00B33713" w:rsidRPr="00B33713" w:rsidRDefault="00B33713" w:rsidP="00B33713">
      <w:pPr>
        <w:tabs>
          <w:tab w:val="center" w:pos="284"/>
        </w:tabs>
        <w:ind w:left="266" w:hanging="266"/>
        <w:rPr>
          <w:b/>
          <w:sz w:val="16"/>
          <w:szCs w:val="16"/>
        </w:rPr>
      </w:pPr>
    </w:p>
    <w:p w14:paraId="650A2E8F" w14:textId="77777777" w:rsidR="00B33713" w:rsidRPr="00A6689B" w:rsidRDefault="00B33713" w:rsidP="00B33713">
      <w:pPr>
        <w:keepNext/>
        <w:keepLines/>
        <w:tabs>
          <w:tab w:val="center" w:pos="284"/>
        </w:tabs>
        <w:ind w:left="266" w:hanging="266"/>
        <w:rPr>
          <w:b/>
        </w:rPr>
      </w:pPr>
      <w:r>
        <w:rPr>
          <w:b/>
        </w:rPr>
        <w:t>Huvudpunkter</w:t>
      </w:r>
    </w:p>
    <w:p w14:paraId="52A90C53" w14:textId="77777777" w:rsidR="00B33713" w:rsidRPr="00B33713" w:rsidRDefault="00B33713" w:rsidP="00B33713">
      <w:pPr>
        <w:keepNext/>
        <w:keepLines/>
        <w:tabs>
          <w:tab w:val="center" w:pos="284"/>
        </w:tabs>
        <w:ind w:left="266" w:hanging="266"/>
        <w:rPr>
          <w:b/>
          <w:sz w:val="16"/>
          <w:szCs w:val="16"/>
        </w:rPr>
      </w:pPr>
    </w:p>
    <w:p w14:paraId="3A4AA6F7" w14:textId="77777777" w:rsidR="00B33713" w:rsidRPr="00A6689B" w:rsidRDefault="00B33713" w:rsidP="00B33713">
      <w:pPr>
        <w:rPr>
          <w:bCs/>
          <w:iCs/>
        </w:rPr>
      </w:pPr>
      <w:proofErr w:type="spellStart"/>
      <w:r>
        <w:t>EESK:s</w:t>
      </w:r>
      <w:proofErr w:type="spellEnd"/>
      <w:r>
        <w:t xml:space="preserve"> ståndpunkt:</w:t>
      </w:r>
    </w:p>
    <w:p w14:paraId="5CF43143"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b/>
          <w:sz w:val="22"/>
        </w:rPr>
        <w:t xml:space="preserve">Permanenta material spelar en avgörande roll </w:t>
      </w:r>
      <w:r>
        <w:rPr>
          <w:sz w:val="22"/>
        </w:rPr>
        <w:t xml:space="preserve">för att möjliggöra en verklig cirkulär ekonomi, särskilt när det gäller förpackningar, och efterlyser ett </w:t>
      </w:r>
      <w:r>
        <w:rPr>
          <w:b/>
          <w:sz w:val="22"/>
        </w:rPr>
        <w:t>uttryckligt erkännande av dem i EU-lagstiftningen</w:t>
      </w:r>
      <w:r>
        <w:rPr>
          <w:sz w:val="22"/>
        </w:rPr>
        <w:t>.</w:t>
      </w:r>
    </w:p>
    <w:p w14:paraId="1F12C7E2"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sz w:val="22"/>
        </w:rPr>
        <w:t xml:space="preserve">Vi </w:t>
      </w:r>
      <w:r>
        <w:rPr>
          <w:b/>
          <w:sz w:val="22"/>
        </w:rPr>
        <w:t>stöder EU:s ambition att uppnå målet om 90 % separat insamling för förpackningsavfall senast 2030</w:t>
      </w:r>
      <w:r>
        <w:rPr>
          <w:sz w:val="22"/>
        </w:rPr>
        <w:t>, och betonar att avancerade och välfinansierade system för insamling, sortering och materialåtervinning av hög kvalitet är avgörande för att maximera bevarandet av material och möjliggöra sluten materialåtervinning av permanenta material.</w:t>
      </w:r>
    </w:p>
    <w:p w14:paraId="2E8AFC33"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b/>
          <w:sz w:val="22"/>
        </w:rPr>
        <w:t>Det behövs en förstärkning och harmonisering av systemen för utökat producentansvar</w:t>
      </w:r>
      <w:r>
        <w:rPr>
          <w:sz w:val="22"/>
        </w:rPr>
        <w:t xml:space="preserve"> i medlemsstaterna. Detta inbegriper att införa </w:t>
      </w:r>
      <w:r>
        <w:rPr>
          <w:b/>
          <w:sz w:val="22"/>
        </w:rPr>
        <w:t>miljöanpassade avgifter på grundval av transparenta och konsekventa kriterier</w:t>
      </w:r>
      <w:r>
        <w:rPr>
          <w:sz w:val="22"/>
        </w:rPr>
        <w:t xml:space="preserve">, proportionella avgiftsstrukturer och </w:t>
      </w:r>
      <w:r>
        <w:rPr>
          <w:b/>
          <w:sz w:val="22"/>
        </w:rPr>
        <w:t>öronmärkning av intäkter från utökat producentansvar</w:t>
      </w:r>
      <w:r>
        <w:rPr>
          <w:sz w:val="22"/>
        </w:rPr>
        <w:t xml:space="preserve"> för återinvesteringar i samma materialflöde.</w:t>
      </w:r>
    </w:p>
    <w:p w14:paraId="24F9F4DD"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sz w:val="22"/>
        </w:rPr>
        <w:t xml:space="preserve">Vi </w:t>
      </w:r>
      <w:r>
        <w:rPr>
          <w:b/>
          <w:sz w:val="22"/>
        </w:rPr>
        <w:t>noterar behovet av att prioritera investeringar</w:t>
      </w:r>
      <w:r>
        <w:rPr>
          <w:sz w:val="22"/>
        </w:rPr>
        <w:t xml:space="preserve"> i modern infrastruktur för separat insamling, sortering och materialåtervinning av förpackningsavfall. Kommittén betonar att </w:t>
      </w:r>
      <w:r>
        <w:rPr>
          <w:b/>
          <w:sz w:val="22"/>
        </w:rPr>
        <w:t>ytterligare stöd bör inriktas på regioner med sämre resultat eller regioner med begränsad investeringskapacitet</w:t>
      </w:r>
      <w:r>
        <w:rPr>
          <w:sz w:val="22"/>
        </w:rPr>
        <w:t>, för att säkerställa att alla medlemsstater kan uppfylla målen för den cirkulära ekonomin.</w:t>
      </w:r>
    </w:p>
    <w:p w14:paraId="24338EF0"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b/>
          <w:sz w:val="22"/>
        </w:rPr>
        <w:t>EESK rekommenderar en övergripande EU-omfattande bedömning av medborgarnas återvinningsbeteende</w:t>
      </w:r>
      <w:r>
        <w:rPr>
          <w:sz w:val="22"/>
        </w:rPr>
        <w:t xml:space="preserve"> för att identifiera brister, hinder och bästa praxis. På grundval av denna bedömning efterlyser EESK åtgärder för att stärka konsumenternas deltagande i separat insamling av förpackningsavfall, med tanke på att hushållens sortering är det viktigaste första steget mot effektiv materialåtervinning.</w:t>
      </w:r>
    </w:p>
    <w:p w14:paraId="68FF600E"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b/>
          <w:sz w:val="22"/>
        </w:rPr>
        <w:t>Kommittén betonar vikten av en socialt hållbar övergång</w:t>
      </w:r>
      <w:r>
        <w:rPr>
          <w:sz w:val="22"/>
        </w:rPr>
        <w:t xml:space="preserve"> till en cirkulär ekonomi och uppmanar till att tidigt förutse effekterna på arbetsmarknaden. Kommittén efterlyser garanterad tillgång till</w:t>
      </w:r>
      <w:r>
        <w:rPr>
          <w:b/>
          <w:sz w:val="22"/>
        </w:rPr>
        <w:t xml:space="preserve"> möjligheter för kompetenshöjning och omskolning</w:t>
      </w:r>
      <w:r>
        <w:rPr>
          <w:sz w:val="22"/>
        </w:rPr>
        <w:t xml:space="preserve"> i syfte att stödja smidiga övergångar mellan arbeten så att arbetstagare fullt ut kan delta i och dra nytta av den framväxande cirkulära ekonomin.</w:t>
      </w:r>
    </w:p>
    <w:p w14:paraId="2814F53E" w14:textId="77777777" w:rsidR="00B33713" w:rsidRPr="001D3475" w:rsidRDefault="00B33713" w:rsidP="00B33713">
      <w:pPr>
        <w:pStyle w:val="NormalWeb"/>
        <w:numPr>
          <w:ilvl w:val="0"/>
          <w:numId w:val="4"/>
        </w:numPr>
        <w:spacing w:before="0" w:beforeAutospacing="0" w:after="0" w:afterAutospacing="0" w:line="288" w:lineRule="auto"/>
        <w:ind w:hanging="567"/>
        <w:jc w:val="both"/>
        <w:rPr>
          <w:sz w:val="22"/>
          <w:szCs w:val="22"/>
        </w:rPr>
      </w:pPr>
      <w:r>
        <w:rPr>
          <w:b/>
          <w:sz w:val="22"/>
        </w:rPr>
        <w:t>EESK förespråkar en starkare social dialog och kollektivförhandlingar på alla nivåer</w:t>
      </w:r>
      <w:r>
        <w:rPr>
          <w:sz w:val="22"/>
        </w:rPr>
        <w:t>, även inom företag, för att säkerställa att arbetstagarna informeras, rådfrågas och involveras i övergången till cirkulära affärsmodeller.</w:t>
      </w:r>
    </w:p>
    <w:p w14:paraId="4711248A" w14:textId="77777777" w:rsidR="00B33713" w:rsidRPr="00B33713" w:rsidRDefault="00B33713" w:rsidP="00B33713">
      <w:pPr>
        <w:pStyle w:val="NormalWeb"/>
        <w:spacing w:before="0" w:beforeAutospacing="0" w:after="0" w:afterAutospacing="0" w:line="288" w:lineRule="auto"/>
        <w:ind w:left="567"/>
        <w:jc w:val="both"/>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B33713" w:rsidRPr="00A6689B" w14:paraId="22132C57" w14:textId="77777777" w:rsidTr="00CD594D">
        <w:tc>
          <w:tcPr>
            <w:tcW w:w="1077" w:type="pct"/>
          </w:tcPr>
          <w:p w14:paraId="77B393E0" w14:textId="77777777" w:rsidR="00B33713" w:rsidRPr="00A6689B" w:rsidRDefault="00B33713" w:rsidP="00CD594D">
            <w:pPr>
              <w:rPr>
                <w:i/>
              </w:rPr>
            </w:pPr>
            <w:r>
              <w:rPr>
                <w:b/>
                <w:i/>
              </w:rPr>
              <w:t>Kontaktperson:</w:t>
            </w:r>
          </w:p>
        </w:tc>
        <w:tc>
          <w:tcPr>
            <w:tcW w:w="3923" w:type="pct"/>
          </w:tcPr>
          <w:p w14:paraId="3F3CFF19" w14:textId="77777777" w:rsidR="00B33713" w:rsidRPr="00A6689B" w:rsidRDefault="00B33713" w:rsidP="00CD594D">
            <w:pPr>
              <w:rPr>
                <w:i/>
              </w:rPr>
            </w:pPr>
            <w:r>
              <w:rPr>
                <w:i/>
              </w:rPr>
              <w:t>Adam DORYWALSKI</w:t>
            </w:r>
          </w:p>
        </w:tc>
      </w:tr>
      <w:tr w:rsidR="00B33713" w:rsidRPr="00A6689B" w14:paraId="4CE09D09" w14:textId="77777777" w:rsidTr="00CD594D">
        <w:tc>
          <w:tcPr>
            <w:tcW w:w="1077" w:type="pct"/>
          </w:tcPr>
          <w:p w14:paraId="5498B94E" w14:textId="77777777" w:rsidR="00B33713" w:rsidRPr="00A6689B" w:rsidRDefault="00B33713" w:rsidP="00CD594D">
            <w:pPr>
              <w:rPr>
                <w:i/>
              </w:rPr>
            </w:pPr>
            <w:r>
              <w:rPr>
                <w:i/>
              </w:rPr>
              <w:t>Tfn</w:t>
            </w:r>
          </w:p>
        </w:tc>
        <w:tc>
          <w:tcPr>
            <w:tcW w:w="3923" w:type="pct"/>
          </w:tcPr>
          <w:p w14:paraId="0209CBEB" w14:textId="77777777" w:rsidR="00B33713" w:rsidRPr="00A6689B" w:rsidRDefault="00B33713" w:rsidP="00CD594D">
            <w:pPr>
              <w:rPr>
                <w:i/>
              </w:rPr>
            </w:pPr>
            <w:r>
              <w:rPr>
                <w:i/>
              </w:rPr>
              <w:t>+32 2 546 9397</w:t>
            </w:r>
          </w:p>
        </w:tc>
      </w:tr>
      <w:tr w:rsidR="00B33713" w:rsidRPr="00A6689B" w14:paraId="5495FA76" w14:textId="77777777" w:rsidTr="00CD594D">
        <w:tc>
          <w:tcPr>
            <w:tcW w:w="1077" w:type="pct"/>
          </w:tcPr>
          <w:p w14:paraId="5FF5319F" w14:textId="77777777" w:rsidR="00B33713" w:rsidRPr="00A6689B" w:rsidRDefault="00B33713" w:rsidP="00CD594D">
            <w:pPr>
              <w:rPr>
                <w:i/>
              </w:rPr>
            </w:pPr>
            <w:r>
              <w:rPr>
                <w:i/>
              </w:rPr>
              <w:t>E-post:</w:t>
            </w:r>
          </w:p>
        </w:tc>
        <w:tc>
          <w:tcPr>
            <w:tcW w:w="3923" w:type="pct"/>
          </w:tcPr>
          <w:p w14:paraId="5C7D78F3" w14:textId="77777777" w:rsidR="00B33713" w:rsidRPr="00A6689B" w:rsidRDefault="00B33713" w:rsidP="00CD594D">
            <w:pPr>
              <w:rPr>
                <w:i/>
              </w:rPr>
            </w:pPr>
            <w:hyperlink r:id="rId52" w:history="1">
              <w:r>
                <w:rPr>
                  <w:rStyle w:val="Hyperlink"/>
                  <w:i/>
                </w:rPr>
                <w:t>Adam.Dorywalski@eesc.europa.eu</w:t>
              </w:r>
            </w:hyperlink>
          </w:p>
        </w:tc>
      </w:tr>
    </w:tbl>
    <w:p w14:paraId="1D4DBE8E" w14:textId="77777777" w:rsidR="00ED76AC" w:rsidRDefault="00ED76AC">
      <w:pPr>
        <w:spacing w:after="160" w:line="259" w:lineRule="auto"/>
        <w:jc w:val="left"/>
      </w:pPr>
      <w:r>
        <w:br w:type="page"/>
      </w:r>
    </w:p>
    <w:p w14:paraId="4D279EF2" w14:textId="0B4F9D0F" w:rsidR="00B33713" w:rsidRPr="0003586F" w:rsidRDefault="00B33713" w:rsidP="00B33713">
      <w:pPr>
        <w:widowControl w:val="0"/>
        <w:numPr>
          <w:ilvl w:val="0"/>
          <w:numId w:val="4"/>
        </w:numPr>
        <w:overflowPunct w:val="0"/>
        <w:autoSpaceDE w:val="0"/>
        <w:autoSpaceDN w:val="0"/>
        <w:adjustRightInd w:val="0"/>
        <w:ind w:hanging="567"/>
        <w:textAlignment w:val="baseline"/>
        <w:rPr>
          <w:sz w:val="20"/>
        </w:rPr>
      </w:pPr>
      <w:hyperlink r:id="rId53" w:history="1">
        <w:r>
          <w:rPr>
            <w:rStyle w:val="Hyperlink"/>
            <w:b/>
            <w:i/>
            <w:sz w:val="28"/>
          </w:rPr>
          <w:t>Industrikooperativ</w:t>
        </w:r>
      </w:hyperlink>
      <w:r>
        <w:rPr>
          <w:b/>
          <w:i/>
          <w:sz w:val="28"/>
        </w:rPr>
        <w:t xml:space="preserve"> </w:t>
      </w:r>
    </w:p>
    <w:p w14:paraId="0409858E" w14:textId="77777777" w:rsidR="00B33713" w:rsidRPr="00A6689B" w:rsidRDefault="00B33713" w:rsidP="00B33713">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B33713" w:rsidRPr="008630AF" w14:paraId="4C861B50" w14:textId="77777777" w:rsidTr="00CD594D">
        <w:tc>
          <w:tcPr>
            <w:tcW w:w="1077" w:type="pct"/>
          </w:tcPr>
          <w:p w14:paraId="7C5551AE" w14:textId="77777777" w:rsidR="00B33713" w:rsidRPr="00A6689B" w:rsidRDefault="00B33713" w:rsidP="00CD594D">
            <w:pPr>
              <w:tabs>
                <w:tab w:val="center" w:pos="284"/>
              </w:tabs>
              <w:ind w:left="266" w:hanging="266"/>
              <w:rPr>
                <w:b/>
              </w:rPr>
            </w:pPr>
            <w:r>
              <w:rPr>
                <w:b/>
              </w:rPr>
              <w:t>Föredragande</w:t>
            </w:r>
          </w:p>
        </w:tc>
        <w:tc>
          <w:tcPr>
            <w:tcW w:w="3923" w:type="pct"/>
          </w:tcPr>
          <w:p w14:paraId="702B69C8" w14:textId="77777777" w:rsidR="00B33713" w:rsidRPr="0027488D" w:rsidRDefault="00B33713" w:rsidP="00CD594D">
            <w:pPr>
              <w:tabs>
                <w:tab w:val="center" w:pos="284"/>
              </w:tabs>
              <w:ind w:left="266" w:right="-3091" w:hanging="266"/>
            </w:pPr>
            <w:r>
              <w:t xml:space="preserve">Giuseppe </w:t>
            </w:r>
            <w:proofErr w:type="spellStart"/>
            <w:r>
              <w:t>Guerini</w:t>
            </w:r>
            <w:proofErr w:type="spellEnd"/>
            <w:r>
              <w:t xml:space="preserve"> (Gruppen för civilsamhällesorganisationer – IT)</w:t>
            </w:r>
          </w:p>
        </w:tc>
      </w:tr>
      <w:tr w:rsidR="00B33713" w:rsidRPr="00A6689B" w14:paraId="069773E6" w14:textId="77777777" w:rsidTr="00CD594D">
        <w:tc>
          <w:tcPr>
            <w:tcW w:w="1077" w:type="pct"/>
          </w:tcPr>
          <w:p w14:paraId="4FD29711" w14:textId="77777777" w:rsidR="00B33713" w:rsidRPr="00A6689B" w:rsidRDefault="00B33713" w:rsidP="00CD594D">
            <w:pPr>
              <w:tabs>
                <w:tab w:val="center" w:pos="284"/>
              </w:tabs>
              <w:ind w:left="266" w:hanging="266"/>
              <w:rPr>
                <w:b/>
              </w:rPr>
            </w:pPr>
            <w:r>
              <w:rPr>
                <w:b/>
              </w:rPr>
              <w:t>Medföredragande</w:t>
            </w:r>
          </w:p>
        </w:tc>
        <w:tc>
          <w:tcPr>
            <w:tcW w:w="3923" w:type="pct"/>
          </w:tcPr>
          <w:p w14:paraId="5CFA3A32" w14:textId="77777777" w:rsidR="00B33713" w:rsidRPr="00D97375" w:rsidRDefault="00B33713" w:rsidP="00CD594D">
            <w:pPr>
              <w:tabs>
                <w:tab w:val="center" w:pos="284"/>
              </w:tabs>
              <w:ind w:left="266" w:right="-3091" w:hanging="266"/>
            </w:pPr>
            <w:r>
              <w:t xml:space="preserve">Michal </w:t>
            </w:r>
            <w:proofErr w:type="spellStart"/>
            <w:r>
              <w:t>Pintér</w:t>
            </w:r>
            <w:proofErr w:type="spellEnd"/>
            <w:r>
              <w:t xml:space="preserve"> (Arbetsgivargruppen – SK)</w:t>
            </w:r>
          </w:p>
        </w:tc>
      </w:tr>
      <w:tr w:rsidR="00B33713" w:rsidRPr="00A6689B" w14:paraId="601F7075" w14:textId="77777777" w:rsidTr="00CD594D">
        <w:tc>
          <w:tcPr>
            <w:tcW w:w="1077" w:type="pct"/>
          </w:tcPr>
          <w:p w14:paraId="7B45E8F6" w14:textId="77777777" w:rsidR="00B33713" w:rsidRPr="00A6689B" w:rsidRDefault="00B33713" w:rsidP="00CD594D">
            <w:pPr>
              <w:tabs>
                <w:tab w:val="center" w:pos="284"/>
              </w:tabs>
              <w:ind w:left="266" w:hanging="266"/>
              <w:rPr>
                <w:b/>
              </w:rPr>
            </w:pPr>
            <w:r>
              <w:rPr>
                <w:b/>
              </w:rPr>
              <w:t>Referensdokument</w:t>
            </w:r>
          </w:p>
        </w:tc>
        <w:tc>
          <w:tcPr>
            <w:tcW w:w="3923" w:type="pct"/>
          </w:tcPr>
          <w:p w14:paraId="44071E3A" w14:textId="77777777" w:rsidR="00B33713" w:rsidRPr="00A6689B" w:rsidRDefault="00B33713" w:rsidP="00CD594D">
            <w:pPr>
              <w:tabs>
                <w:tab w:val="center" w:pos="284"/>
              </w:tabs>
              <w:ind w:left="266" w:right="-3091" w:hanging="266"/>
            </w:pPr>
            <w:r>
              <w:t>EESC-2025-01083-00-00-AC</w:t>
            </w:r>
          </w:p>
        </w:tc>
      </w:tr>
    </w:tbl>
    <w:p w14:paraId="312A2D18" w14:textId="77777777" w:rsidR="00B33713" w:rsidRDefault="00B33713" w:rsidP="00B33713">
      <w:pPr>
        <w:tabs>
          <w:tab w:val="center" w:pos="284"/>
        </w:tabs>
        <w:ind w:left="266" w:hanging="266"/>
        <w:rPr>
          <w:b/>
        </w:rPr>
      </w:pPr>
    </w:p>
    <w:p w14:paraId="3A10BD79" w14:textId="77777777" w:rsidR="00B33713" w:rsidRPr="00A6689B" w:rsidRDefault="00B33713" w:rsidP="00B33713">
      <w:pPr>
        <w:keepNext/>
        <w:keepLines/>
        <w:tabs>
          <w:tab w:val="center" w:pos="284"/>
        </w:tabs>
        <w:ind w:left="266" w:hanging="266"/>
        <w:rPr>
          <w:b/>
        </w:rPr>
      </w:pPr>
      <w:r>
        <w:rPr>
          <w:b/>
        </w:rPr>
        <w:t>Huvudpunkter</w:t>
      </w:r>
    </w:p>
    <w:p w14:paraId="2F4196F0" w14:textId="77777777" w:rsidR="00B33713" w:rsidRPr="00A6689B" w:rsidRDefault="00B33713" w:rsidP="00B33713">
      <w:pPr>
        <w:keepNext/>
        <w:keepLines/>
        <w:tabs>
          <w:tab w:val="center" w:pos="284"/>
        </w:tabs>
        <w:ind w:left="266" w:hanging="266"/>
        <w:rPr>
          <w:b/>
        </w:rPr>
      </w:pPr>
    </w:p>
    <w:p w14:paraId="02482FB6" w14:textId="77777777" w:rsidR="00B33713" w:rsidRPr="00A6689B" w:rsidRDefault="00B33713" w:rsidP="00B33713">
      <w:pPr>
        <w:rPr>
          <w:bCs/>
          <w:iCs/>
        </w:rPr>
      </w:pPr>
      <w:r>
        <w:t>Europeiska ekonomiska och sociala kommitténs (EESK) ståndpunkt:</w:t>
      </w:r>
    </w:p>
    <w:p w14:paraId="265B0746" w14:textId="77777777" w:rsidR="00B33713" w:rsidRDefault="00B33713" w:rsidP="00B33713">
      <w:pPr>
        <w:widowControl w:val="0"/>
        <w:numPr>
          <w:ilvl w:val="0"/>
          <w:numId w:val="4"/>
        </w:numPr>
        <w:overflowPunct w:val="0"/>
        <w:autoSpaceDE w:val="0"/>
        <w:autoSpaceDN w:val="0"/>
        <w:adjustRightInd w:val="0"/>
        <w:ind w:hanging="567"/>
        <w:textAlignment w:val="baseline"/>
        <w:rPr>
          <w:bCs/>
          <w:iCs/>
        </w:rPr>
      </w:pPr>
      <w:r>
        <w:t>FN har utropat 2025 till det internationella året för kooperativ på temat ”Kooperativ bygger en bättre värld”, vilket återspeglar ett växande internationellt erkännande av den kooperativa modellen inom olika sektorer.</w:t>
      </w:r>
    </w:p>
    <w:p w14:paraId="0D32DE14" w14:textId="77777777" w:rsidR="00B33713" w:rsidRDefault="00B33713" w:rsidP="00B33713">
      <w:pPr>
        <w:widowControl w:val="0"/>
        <w:numPr>
          <w:ilvl w:val="0"/>
          <w:numId w:val="4"/>
        </w:numPr>
        <w:overflowPunct w:val="0"/>
        <w:autoSpaceDE w:val="0"/>
        <w:autoSpaceDN w:val="0"/>
        <w:adjustRightInd w:val="0"/>
        <w:ind w:hanging="567"/>
        <w:textAlignment w:val="baseline"/>
        <w:rPr>
          <w:bCs/>
          <w:iCs/>
        </w:rPr>
      </w:pPr>
      <w:r>
        <w:t>Utbildning i kooperativt företagande bör integreras i den allmänna entreprenörs- och yrkesutbildningen, inbegripet medvetandehöjande åtgärder med avseende på finansinstitut och möjligheter inom Erasmus+.</w:t>
      </w:r>
    </w:p>
    <w:p w14:paraId="737E60FB" w14:textId="77777777" w:rsidR="00B33713" w:rsidRPr="00277EB3" w:rsidRDefault="00B33713" w:rsidP="00B33713">
      <w:pPr>
        <w:widowControl w:val="0"/>
        <w:numPr>
          <w:ilvl w:val="0"/>
          <w:numId w:val="4"/>
        </w:numPr>
        <w:overflowPunct w:val="0"/>
        <w:autoSpaceDE w:val="0"/>
        <w:autoSpaceDN w:val="0"/>
        <w:adjustRightInd w:val="0"/>
        <w:ind w:hanging="567"/>
        <w:textAlignment w:val="baseline"/>
        <w:rPr>
          <w:bCs/>
          <w:iCs/>
        </w:rPr>
      </w:pPr>
      <w:r>
        <w:t>Den kooperativa modellen bör aktivt främjas bland nystartade företag och unga företagare.</w:t>
      </w:r>
    </w:p>
    <w:p w14:paraId="525B7478" w14:textId="77777777" w:rsidR="00B33713" w:rsidRPr="00277EB3" w:rsidRDefault="00B33713" w:rsidP="00B33713">
      <w:pPr>
        <w:widowControl w:val="0"/>
        <w:numPr>
          <w:ilvl w:val="0"/>
          <w:numId w:val="4"/>
        </w:numPr>
        <w:overflowPunct w:val="0"/>
        <w:autoSpaceDE w:val="0"/>
        <w:autoSpaceDN w:val="0"/>
        <w:adjustRightInd w:val="0"/>
        <w:ind w:hanging="567"/>
        <w:textAlignment w:val="baseline"/>
        <w:rPr>
          <w:bCs/>
          <w:iCs/>
        </w:rPr>
      </w:pPr>
      <w:r>
        <w:t xml:space="preserve">Det behövs ett erkännande av industrikooperativ som viktiga ekonomiska aktörer samt riktade ekonomiska incitament på EU-nivå, nationell nivå och regional nivå (skattelättnader, bidrag, finansiering till låg ränta) för att stödja industriell symbios och </w:t>
      </w:r>
      <w:proofErr w:type="spellStart"/>
      <w:r>
        <w:t>cirkularitet</w:t>
      </w:r>
      <w:proofErr w:type="spellEnd"/>
      <w:r>
        <w:t>.</w:t>
      </w:r>
    </w:p>
    <w:p w14:paraId="19900007" w14:textId="77777777" w:rsidR="00B33713" w:rsidRPr="00277EB3" w:rsidRDefault="00B33713" w:rsidP="00B33713">
      <w:pPr>
        <w:widowControl w:val="0"/>
        <w:numPr>
          <w:ilvl w:val="0"/>
          <w:numId w:val="4"/>
        </w:numPr>
        <w:overflowPunct w:val="0"/>
        <w:autoSpaceDE w:val="0"/>
        <w:autoSpaceDN w:val="0"/>
        <w:adjustRightInd w:val="0"/>
        <w:textAlignment w:val="baseline"/>
        <w:rPr>
          <w:bCs/>
          <w:iCs/>
        </w:rPr>
      </w:pPr>
      <w:r>
        <w:t>Investeringar i gemensamma industriparker, ekoindustriella zoner och samarbetsplattformar för kunskapsutbyte bör uppmuntras med målet att stärka samarbetsinriktad lokalisering och hållbar produktion.</w:t>
      </w:r>
    </w:p>
    <w:p w14:paraId="445DDD9E" w14:textId="77777777" w:rsidR="00B33713" w:rsidRPr="00277EB3" w:rsidRDefault="00B33713" w:rsidP="00B33713">
      <w:pPr>
        <w:widowControl w:val="0"/>
        <w:numPr>
          <w:ilvl w:val="0"/>
          <w:numId w:val="4"/>
        </w:numPr>
        <w:overflowPunct w:val="0"/>
        <w:autoSpaceDE w:val="0"/>
        <w:autoSpaceDN w:val="0"/>
        <w:adjustRightInd w:val="0"/>
        <w:ind w:hanging="567"/>
        <w:textAlignment w:val="baseline"/>
        <w:rPr>
          <w:bCs/>
          <w:iCs/>
        </w:rPr>
      </w:pPr>
      <w:r>
        <w:t xml:space="preserve">Politiska åtgärder som specifikt riktas till kooperativ måste inkluderas i EU:s sammanhållningsprogram och regionala utvecklingsstrategier, med prioritering av kooperativledda initiativ för att främja regional </w:t>
      </w:r>
      <w:proofErr w:type="spellStart"/>
      <w:r>
        <w:t>resiliens</w:t>
      </w:r>
      <w:proofErr w:type="spellEnd"/>
      <w:r>
        <w:t xml:space="preserve"> och hållbarhet.</w:t>
      </w:r>
    </w:p>
    <w:p w14:paraId="600BBE67" w14:textId="77777777" w:rsidR="00B33713" w:rsidRPr="00277EB3" w:rsidRDefault="00B33713" w:rsidP="00B33713">
      <w:pPr>
        <w:widowControl w:val="0"/>
        <w:numPr>
          <w:ilvl w:val="0"/>
          <w:numId w:val="4"/>
        </w:numPr>
        <w:overflowPunct w:val="0"/>
        <w:autoSpaceDE w:val="0"/>
        <w:autoSpaceDN w:val="0"/>
        <w:adjustRightInd w:val="0"/>
        <w:ind w:hanging="567"/>
        <w:textAlignment w:val="baseline"/>
        <w:rPr>
          <w:bCs/>
          <w:iCs/>
        </w:rPr>
      </w:pPr>
      <w:r>
        <w:t>Datadrivna kooperativ får en allt större strategisk betydelse, och EU och nationella myndigheter uppmanas att stödja kollektiva initiativ för hantering och delning av industridata.</w:t>
      </w:r>
    </w:p>
    <w:p w14:paraId="3D94649D" w14:textId="77777777" w:rsidR="00B33713" w:rsidRPr="00A6689B" w:rsidRDefault="00B33713" w:rsidP="00B33713">
      <w:pPr>
        <w:widowControl w:val="0"/>
        <w:numPr>
          <w:ilvl w:val="0"/>
          <w:numId w:val="4"/>
        </w:numPr>
        <w:overflowPunct w:val="0"/>
        <w:autoSpaceDE w:val="0"/>
        <w:autoSpaceDN w:val="0"/>
        <w:adjustRightInd w:val="0"/>
        <w:ind w:hanging="567"/>
        <w:textAlignment w:val="baseline"/>
        <w:rPr>
          <w:bCs/>
          <w:iCs/>
        </w:rPr>
      </w:pPr>
      <w:r>
        <w:t>Den kooperativa modellen tillför ett unikt mervärde i form av demokratisk styrning, rättvis förmögenhetsfördelning, samhällsengagemang och god anpassningsförmåga, vilket stärker EU:s strategiska oberoende.</w:t>
      </w:r>
    </w:p>
    <w:p w14:paraId="00E4A3CB" w14:textId="77777777" w:rsidR="00B33713" w:rsidRPr="00277EB3" w:rsidRDefault="00B33713" w:rsidP="00B33713">
      <w:pPr>
        <w:widowControl w:val="0"/>
        <w:ind w:left="567"/>
        <w:rPr>
          <w:bCs/>
          <w:iCs/>
        </w:rPr>
      </w:pPr>
    </w:p>
    <w:p w14:paraId="5E6C6488" w14:textId="77777777" w:rsidR="00B33713" w:rsidRPr="000624A9" w:rsidRDefault="00B33713" w:rsidP="00B33713">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B33713" w:rsidRPr="00A6689B" w14:paraId="064A15BC" w14:textId="77777777" w:rsidTr="00CD594D">
        <w:tc>
          <w:tcPr>
            <w:tcW w:w="1077" w:type="pct"/>
          </w:tcPr>
          <w:p w14:paraId="7F59A1AD" w14:textId="77777777" w:rsidR="00B33713" w:rsidRPr="00A6689B" w:rsidRDefault="00B33713" w:rsidP="00CD594D">
            <w:pPr>
              <w:rPr>
                <w:i/>
              </w:rPr>
            </w:pPr>
            <w:r>
              <w:rPr>
                <w:b/>
                <w:i/>
              </w:rPr>
              <w:t>Kontaktperson</w:t>
            </w:r>
          </w:p>
        </w:tc>
        <w:tc>
          <w:tcPr>
            <w:tcW w:w="3923" w:type="pct"/>
          </w:tcPr>
          <w:p w14:paraId="2C9C6136" w14:textId="77777777" w:rsidR="00B33713" w:rsidRPr="00A6689B" w:rsidRDefault="00B33713" w:rsidP="00CD594D">
            <w:pPr>
              <w:rPr>
                <w:i/>
              </w:rPr>
            </w:pPr>
            <w:r>
              <w:rPr>
                <w:i/>
              </w:rPr>
              <w:t>Adam DORYWALSKI</w:t>
            </w:r>
          </w:p>
        </w:tc>
      </w:tr>
      <w:tr w:rsidR="00B33713" w:rsidRPr="00A6689B" w14:paraId="6FFB28F8" w14:textId="77777777" w:rsidTr="00CD594D">
        <w:tc>
          <w:tcPr>
            <w:tcW w:w="1077" w:type="pct"/>
          </w:tcPr>
          <w:p w14:paraId="63307ADA" w14:textId="77777777" w:rsidR="00B33713" w:rsidRPr="00A6689B" w:rsidRDefault="00B33713" w:rsidP="00CD594D">
            <w:pPr>
              <w:rPr>
                <w:i/>
              </w:rPr>
            </w:pPr>
            <w:r>
              <w:rPr>
                <w:i/>
              </w:rPr>
              <w:t>Tfn</w:t>
            </w:r>
          </w:p>
        </w:tc>
        <w:tc>
          <w:tcPr>
            <w:tcW w:w="3923" w:type="pct"/>
          </w:tcPr>
          <w:p w14:paraId="55E5E7D1" w14:textId="77777777" w:rsidR="00B33713" w:rsidRPr="00A6689B" w:rsidRDefault="00B33713" w:rsidP="00CD594D">
            <w:pPr>
              <w:rPr>
                <w:i/>
              </w:rPr>
            </w:pPr>
            <w:r>
              <w:rPr>
                <w:i/>
              </w:rPr>
              <w:t>+32 25469397</w:t>
            </w:r>
          </w:p>
        </w:tc>
      </w:tr>
      <w:tr w:rsidR="00B33713" w:rsidRPr="00A6689B" w14:paraId="44DCCE92" w14:textId="77777777" w:rsidTr="00CD594D">
        <w:tc>
          <w:tcPr>
            <w:tcW w:w="1077" w:type="pct"/>
          </w:tcPr>
          <w:p w14:paraId="115FAF74" w14:textId="77777777" w:rsidR="00B33713" w:rsidRPr="00A6689B" w:rsidRDefault="00B33713" w:rsidP="00CD594D">
            <w:pPr>
              <w:rPr>
                <w:i/>
              </w:rPr>
            </w:pPr>
            <w:r>
              <w:rPr>
                <w:i/>
              </w:rPr>
              <w:t>E-post</w:t>
            </w:r>
          </w:p>
        </w:tc>
        <w:tc>
          <w:tcPr>
            <w:tcW w:w="3923" w:type="pct"/>
          </w:tcPr>
          <w:p w14:paraId="1EDAA446" w14:textId="77777777" w:rsidR="00B33713" w:rsidRPr="00A6689B" w:rsidRDefault="00B33713" w:rsidP="00CD594D">
            <w:pPr>
              <w:rPr>
                <w:i/>
              </w:rPr>
            </w:pPr>
            <w:hyperlink r:id="rId54" w:history="1">
              <w:r>
                <w:rPr>
                  <w:rStyle w:val="Hyperlink"/>
                  <w:i/>
                </w:rPr>
                <w:t>Adam.Dorywalski@eesc.europa.eu</w:t>
              </w:r>
            </w:hyperlink>
          </w:p>
        </w:tc>
      </w:tr>
    </w:tbl>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D96ED9">
      <w:fldChar w:fldCharType="begin"/>
    </w:r>
    <w:r w:rsidR="00D96ED9">
      <w:instrText xml:space="preserve"> NUMPAGES </w:instrText>
    </w:r>
    <w:r w:rsidR="00D96ED9">
      <w:fldChar w:fldCharType="separate"/>
    </w:r>
    <w:r w:rsidR="008541DE">
      <w:t>1</w:t>
    </w:r>
    <w:r w:rsidR="00D96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D96ED9">
      <w:fldChar w:fldCharType="begin"/>
    </w:r>
    <w:r w:rsidR="00D96ED9">
      <w:instrText xml:space="preserve"> NUMPAGES </w:instrText>
    </w:r>
    <w:r w:rsidR="00D96ED9">
      <w:fldChar w:fldCharType="separate"/>
    </w:r>
    <w:r w:rsidR="008541DE">
      <w:t>16</w:t>
    </w:r>
    <w:r w:rsidR="00D96ED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1970FB37" w14:textId="77777777" w:rsidR="00E034EC" w:rsidRDefault="00E034EC" w:rsidP="00E034EC">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https://eur-lex.europa.eu/legal-content/SV/TXT/?uri=legissum:4623532</w:t>
        </w:r>
      </w:hyperlink>
      <w:r>
        <w:t>.</w:t>
      </w:r>
    </w:p>
  </w:footnote>
  <w:footnote w:id="2">
    <w:p w14:paraId="1E622867" w14:textId="77777777" w:rsidR="00E034EC" w:rsidRPr="00ED3E39" w:rsidRDefault="00E034EC" w:rsidP="00E034EC">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https://eur-lex.europa.eu/legal-content/SV/TXT/?uri=CELEX%3A52022XC0930%2802%29</w:t>
        </w:r>
      </w:hyperlink>
      <w:r>
        <w:t>.</w:t>
      </w:r>
    </w:p>
  </w:footnote>
  <w:footnote w:id="3">
    <w:p w14:paraId="36B4AC78" w14:textId="77777777" w:rsidR="00E034EC" w:rsidRPr="0023267D" w:rsidRDefault="00E034EC" w:rsidP="00E034EC">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https://digital-strategy.ec.europa.eu/en/library/recommendation-protection-safety-and-empowerment-journalists</w:t>
        </w:r>
      </w:hyperlink>
      <w:r>
        <w:rPr>
          <w:sz w:val="16"/>
        </w:rPr>
        <w:t>.</w:t>
      </w:r>
    </w:p>
  </w:footnote>
  <w:footnote w:id="4">
    <w:p w14:paraId="4C494226" w14:textId="77777777" w:rsidR="00E034EC" w:rsidRPr="00C510E4" w:rsidRDefault="00E034EC" w:rsidP="00E034EC">
      <w:pPr>
        <w:keepLines/>
        <w:spacing w:after="60" w:line="240" w:lineRule="auto"/>
        <w:ind w:left="567" w:hanging="567"/>
      </w:pPr>
      <w:r>
        <w:rPr>
          <w:rStyle w:val="FootnoteReference"/>
        </w:rPr>
        <w:footnoteRef/>
      </w:r>
      <w:r>
        <w:rPr>
          <w:sz w:val="16"/>
        </w:rPr>
        <w:tab/>
        <w:t>EUT, C/2025/114, 10.1.2025, ELI:</w:t>
      </w:r>
      <w:r>
        <w:t xml:space="preserve"> </w:t>
      </w:r>
      <w:hyperlink r:id="rId4" w:history="1">
        <w:r>
          <w:rPr>
            <w:rStyle w:val="Hyperlink"/>
            <w:sz w:val="16"/>
          </w:rPr>
          <w:t>https://data.europa.eu/eli/C/2025/114/oj</w:t>
        </w:r>
      </w:hyperlink>
      <w:r>
        <w:t>.</w:t>
      </w:r>
    </w:p>
  </w:footnote>
  <w:footnote w:id="5">
    <w:p w14:paraId="3BC7547E" w14:textId="77777777" w:rsidR="00511229" w:rsidRPr="00360DD3" w:rsidRDefault="00511229" w:rsidP="00511229">
      <w:pPr>
        <w:pStyle w:val="FootnoteText"/>
      </w:pPr>
      <w:r>
        <w:rPr>
          <w:rStyle w:val="FootnoteReference"/>
        </w:rPr>
        <w:footnoteRef/>
      </w:r>
      <w:r>
        <w:tab/>
      </w:r>
      <w:proofErr w:type="spellStart"/>
      <w:r>
        <w:t>EESK:s</w:t>
      </w:r>
      <w:proofErr w:type="spellEnd"/>
      <w:r>
        <w:t xml:space="preserve"> yttrande på eget initiativ: </w:t>
      </w:r>
      <w:hyperlink w:anchor=":~:text=The%20only%20reliable%20way%20to%20preserve%20the%20rainforests%20is%20through" w:history="1">
        <w:r>
          <w:rPr>
            <w:rStyle w:val="Hyperlink"/>
            <w:i/>
          </w:rPr>
          <w:t>Avskogning av regnskogen i Amazonas – inverkan på klimatförändringarna och den globala miljön samt konsekvenser för företag, arbetstagare och befolkning</w:t>
        </w:r>
      </w:hyperlink>
      <w:r>
        <w:t xml:space="preserve">, </w:t>
      </w:r>
      <w:hyperlink r:id="rId5" w:history="1">
        <w:r>
          <w:rPr>
            <w:rStyle w:val="Hyperlink"/>
          </w:rPr>
          <w:t>OJ C/2024/6882, 28.11.2024</w:t>
        </w:r>
      </w:hyperlink>
      <w:r>
        <w:t>.</w:t>
      </w:r>
    </w:p>
  </w:footnote>
  <w:footnote w:id="6">
    <w:p w14:paraId="690148AD" w14:textId="77777777" w:rsidR="00511229" w:rsidRPr="00360DD3" w:rsidRDefault="00511229" w:rsidP="00511229">
      <w:pPr>
        <w:pStyle w:val="FootnoteText"/>
      </w:pPr>
      <w:r>
        <w:rPr>
          <w:rStyle w:val="FootnoteReference"/>
        </w:rPr>
        <w:footnoteRef/>
      </w:r>
      <w:r>
        <w:tab/>
      </w:r>
      <w:proofErr w:type="spellStart"/>
      <w:r>
        <w:t>EESK:s</w:t>
      </w:r>
      <w:proofErr w:type="spellEnd"/>
      <w:r>
        <w:t xml:space="preserve"> yttrande: </w:t>
      </w:r>
      <w:hyperlink r:id="rId6" w:history="1">
        <w:r>
          <w:rPr>
            <w:rStyle w:val="Hyperlink"/>
            <w:i/>
          </w:rPr>
          <w:t>Minimering av risken för avskogning och skogsförstörelse som har samband med produkter som släpps ut på EU:s marknad</w:t>
        </w:r>
      </w:hyperlink>
      <w:r>
        <w:t xml:space="preserve">, </w:t>
      </w:r>
      <w:hyperlink r:id="rId7" w:history="1">
        <w:r>
          <w:rPr>
            <w:rStyle w:val="Hyperlink"/>
          </w:rPr>
          <w:t>EUT C 275,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0E131C61"/>
    <w:multiLevelType w:val="multilevel"/>
    <w:tmpl w:val="E3F0ED5E"/>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D02599"/>
    <w:multiLevelType w:val="multilevel"/>
    <w:tmpl w:val="E3F0ED5E"/>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F02D0A"/>
    <w:multiLevelType w:val="multilevel"/>
    <w:tmpl w:val="E3F0ED5E"/>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8"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4" w15:restartNumberingAfterBreak="0">
    <w:nsid w:val="58336CB7"/>
    <w:multiLevelType w:val="multilevel"/>
    <w:tmpl w:val="DB50357C"/>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5"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9"/>
  </w:num>
  <w:num w:numId="3">
    <w:abstractNumId w:val="34"/>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0"/>
  </w:num>
  <w:num w:numId="6">
    <w:abstractNumId w:val="1"/>
    <w:lvlOverride w:ilvl="0">
      <w:lvl w:ilvl="0">
        <w:start w:val="1"/>
        <w:numFmt w:val="bullet"/>
        <w:lvlText w:val=""/>
        <w:lvlJc w:val="left"/>
        <w:pPr>
          <w:ind w:left="3479" w:hanging="360"/>
        </w:pPr>
        <w:rPr>
          <w:rFonts w:ascii="Symbol" w:hAnsi="Symbol" w:hint="default"/>
          <w:color w:val="auto"/>
        </w:rPr>
      </w:lvl>
    </w:lvlOverride>
  </w:num>
  <w:num w:numId="7">
    <w:abstractNumId w:val="11"/>
  </w:num>
  <w:num w:numId="8">
    <w:abstractNumId w:val="7"/>
  </w:num>
  <w:num w:numId="9">
    <w:abstractNumId w:val="32"/>
  </w:num>
  <w:num w:numId="10">
    <w:abstractNumId w:val="16"/>
  </w:num>
  <w:num w:numId="11">
    <w:abstractNumId w:val="1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num>
  <w:num w:numId="15">
    <w:abstractNumId w:val="28"/>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7"/>
  </w:num>
  <w:num w:numId="18">
    <w:abstractNumId w:val="9"/>
  </w:num>
  <w:num w:numId="19">
    <w:abstractNumId w:val="5"/>
  </w:num>
  <w:num w:numId="20">
    <w:abstractNumId w:val="19"/>
  </w:num>
  <w:num w:numId="21">
    <w:abstractNumId w:val="33"/>
  </w:num>
  <w:num w:numId="22">
    <w:abstractNumId w:val="15"/>
  </w:num>
  <w:num w:numId="23">
    <w:abstractNumId w:val="35"/>
  </w:num>
  <w:num w:numId="24">
    <w:abstractNumId w:val="31"/>
  </w:num>
  <w:num w:numId="25">
    <w:abstractNumId w:val="2"/>
  </w:num>
  <w:num w:numId="26">
    <w:abstractNumId w:val="20"/>
  </w:num>
  <w:num w:numId="27">
    <w:abstractNumId w:val="21"/>
  </w:num>
  <w:num w:numId="28">
    <w:abstractNumId w:val="22"/>
  </w:num>
  <w:num w:numId="29">
    <w:abstractNumId w:val="3"/>
  </w:num>
  <w:num w:numId="30">
    <w:abstractNumId w:val="13"/>
  </w:num>
  <w:num w:numId="31">
    <w:abstractNumId w:val="25"/>
  </w:num>
  <w:num w:numId="32">
    <w:abstractNumId w:val="12"/>
  </w:num>
  <w:num w:numId="33">
    <w:abstractNumId w:val="8"/>
  </w:num>
  <w:num w:numId="34">
    <w:abstractNumId w:val="26"/>
  </w:num>
  <w:num w:numId="35">
    <w:abstractNumId w:val="14"/>
  </w:num>
  <w:num w:numId="36">
    <w:abstractNumId w:val="1"/>
    <w:lvlOverride w:ilvl="0">
      <w:lvl w:ilvl="0">
        <w:start w:val="1"/>
        <w:numFmt w:val="bullet"/>
        <w:lvlText w:val=""/>
        <w:lvlJc w:val="left"/>
        <w:pPr>
          <w:ind w:left="720" w:hanging="360"/>
        </w:pPr>
        <w:rPr>
          <w:rFonts w:ascii="Symbol" w:hAnsi="Symbol" w:hint="default"/>
          <w:color w:val="auto"/>
        </w:rPr>
      </w:lvl>
    </w:lvlOverride>
  </w:num>
  <w:num w:numId="37">
    <w:abstractNumId w:val="24"/>
  </w:num>
  <w:num w:numId="38">
    <w:abstractNumId w:val="4"/>
  </w:num>
  <w:num w:numId="39">
    <w:abstractNumId w:val="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B4202"/>
    <w:rsid w:val="001E391D"/>
    <w:rsid w:val="00237C67"/>
    <w:rsid w:val="002942D9"/>
    <w:rsid w:val="002A4CDD"/>
    <w:rsid w:val="002A5636"/>
    <w:rsid w:val="002B0636"/>
    <w:rsid w:val="002B5AEF"/>
    <w:rsid w:val="002B7981"/>
    <w:rsid w:val="002D3663"/>
    <w:rsid w:val="003066BE"/>
    <w:rsid w:val="00312E18"/>
    <w:rsid w:val="00322274"/>
    <w:rsid w:val="003227CC"/>
    <w:rsid w:val="00326313"/>
    <w:rsid w:val="00340927"/>
    <w:rsid w:val="00366C6A"/>
    <w:rsid w:val="00381A92"/>
    <w:rsid w:val="00384191"/>
    <w:rsid w:val="00395794"/>
    <w:rsid w:val="003A795B"/>
    <w:rsid w:val="003C16C3"/>
    <w:rsid w:val="003D4EDF"/>
    <w:rsid w:val="003F190C"/>
    <w:rsid w:val="003F326D"/>
    <w:rsid w:val="003F79EF"/>
    <w:rsid w:val="0040402B"/>
    <w:rsid w:val="00416BC5"/>
    <w:rsid w:val="00427709"/>
    <w:rsid w:val="0043191A"/>
    <w:rsid w:val="00446882"/>
    <w:rsid w:val="004503DC"/>
    <w:rsid w:val="00463600"/>
    <w:rsid w:val="00465162"/>
    <w:rsid w:val="004A5CD7"/>
    <w:rsid w:val="004A6CE5"/>
    <w:rsid w:val="004D7AC0"/>
    <w:rsid w:val="004E64BE"/>
    <w:rsid w:val="00505C80"/>
    <w:rsid w:val="00511229"/>
    <w:rsid w:val="00515DDF"/>
    <w:rsid w:val="00532089"/>
    <w:rsid w:val="00537F29"/>
    <w:rsid w:val="005650A9"/>
    <w:rsid w:val="005808CC"/>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432F6"/>
    <w:rsid w:val="00754027"/>
    <w:rsid w:val="00766B1A"/>
    <w:rsid w:val="0076787A"/>
    <w:rsid w:val="007B245D"/>
    <w:rsid w:val="007B326F"/>
    <w:rsid w:val="007D364E"/>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AE5810"/>
    <w:rsid w:val="00AE6366"/>
    <w:rsid w:val="00B203DA"/>
    <w:rsid w:val="00B3176C"/>
    <w:rsid w:val="00B33713"/>
    <w:rsid w:val="00B518C9"/>
    <w:rsid w:val="00B730AD"/>
    <w:rsid w:val="00B8543B"/>
    <w:rsid w:val="00B94F6D"/>
    <w:rsid w:val="00BA2A2C"/>
    <w:rsid w:val="00BC676C"/>
    <w:rsid w:val="00BE54B3"/>
    <w:rsid w:val="00BF235F"/>
    <w:rsid w:val="00BF3D6B"/>
    <w:rsid w:val="00C008B4"/>
    <w:rsid w:val="00C1207D"/>
    <w:rsid w:val="00C1457E"/>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96ED9"/>
    <w:rsid w:val="00DB1B79"/>
    <w:rsid w:val="00DE176A"/>
    <w:rsid w:val="00DF03F8"/>
    <w:rsid w:val="00E00A6B"/>
    <w:rsid w:val="00E034EC"/>
    <w:rsid w:val="00E13363"/>
    <w:rsid w:val="00E22D43"/>
    <w:rsid w:val="00E25E6B"/>
    <w:rsid w:val="00E77899"/>
    <w:rsid w:val="00E82D3E"/>
    <w:rsid w:val="00E95CBE"/>
    <w:rsid w:val="00E972B2"/>
    <w:rsid w:val="00EA023B"/>
    <w:rsid w:val="00EB462E"/>
    <w:rsid w:val="00ED76AC"/>
    <w:rsid w:val="00EE6F0B"/>
    <w:rsid w:val="00EF2BEB"/>
    <w:rsid w:val="00F104CA"/>
    <w:rsid w:val="00F2608E"/>
    <w:rsid w:val="00F26C84"/>
    <w:rsid w:val="00F41BE1"/>
    <w:rsid w:val="00F50A00"/>
    <w:rsid w:val="00F56EA5"/>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NormalWeb">
    <w:name w:val="Normal (Web)"/>
    <w:basedOn w:val="Normal"/>
    <w:uiPriority w:val="99"/>
    <w:unhideWhenUsed/>
    <w:rsid w:val="007432F6"/>
    <w:pPr>
      <w:spacing w:before="100" w:beforeAutospacing="1" w:after="100" w:afterAutospacing="1" w:line="240" w:lineRule="auto"/>
      <w:jc w:val="left"/>
    </w:pPr>
    <w:rPr>
      <w:sz w:val="24"/>
      <w:szCs w:val="24"/>
      <w:lang w:eastAsia="fr-BE"/>
    </w:rPr>
  </w:style>
  <w:style w:type="character" w:customStyle="1" w:styleId="ListParagraphChar">
    <w:name w:val="List Paragraph Char"/>
    <w:link w:val="ListParagraph"/>
    <w:uiPriority w:val="34"/>
    <w:locked/>
    <w:rsid w:val="00AE6366"/>
    <w:rPr>
      <w:rFonts w:ascii="Times New Roman" w:eastAsia="Times New Roman" w:hAnsi="Times New Roman" w:cs="Times New Roman"/>
    </w:rPr>
  </w:style>
  <w:style w:type="paragraph" w:styleId="TOC2">
    <w:name w:val="toc 2"/>
    <w:basedOn w:val="Normal"/>
    <w:next w:val="Normal"/>
    <w:autoRedefine/>
    <w:uiPriority w:val="39"/>
    <w:unhideWhenUsed/>
    <w:rsid w:val="004277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03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sv/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sv/our-work/opinions-information-reports/opinions/single-market-strategy" TargetMode="External"/><Relationship Id="rId42" Type="http://schemas.openxmlformats.org/officeDocument/2006/relationships/hyperlink" Target="https://www.eesc.europa.eu/sv/our-work/opinions-information-reports/opinions/amendment-deforestation-regulation-eu-20231115" TargetMode="External"/><Relationship Id="rId47" Type="http://schemas.openxmlformats.org/officeDocument/2006/relationships/hyperlink" Target="https://www.eesc.europa.eu/sv/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sv/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sv/our-work/opinions-information-reports/opinions/labour-rights-journalists-and-media-professionals-safeguard-independence-and-truthful-information" TargetMode="External"/><Relationship Id="rId32" Type="http://schemas.openxmlformats.org/officeDocument/2006/relationships/hyperlink" Target="https://www.eesc.europa.eu/sv/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sv/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sv/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sv/our-work/opinions-information-reports/opinions/co2-emission-class-heavy-duty-vehicles-trailers-0" TargetMode="External"/><Relationship Id="rId36" Type="http://schemas.openxmlformats.org/officeDocument/2006/relationships/hyperlink" Target="https://www.eesc.europa.eu/sv/our-work/opinions-information-reports/opinions/report-competition-policy-2024" TargetMode="External"/><Relationship Id="rId49" Type="http://schemas.openxmlformats.org/officeDocument/2006/relationships/hyperlink" Target="https://www.eesc.europa.eu/en/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sv/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sv/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sv/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s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sv/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library/recommendation-protection-safety-and-empowerment-journalists" TargetMode="External"/><Relationship Id="rId7" Type="http://schemas.openxmlformats.org/officeDocument/2006/relationships/hyperlink" Target="https://eur-lex.europa.eu/legal-content/SV/TXT/?uri=uriserv%3AOJ.C_.2022.275.01.0088.01.ENG&amp;toc=OJ%3AC%3A2022%3A275%3ATOC" TargetMode="External"/><Relationship Id="rId2" Type="http://schemas.openxmlformats.org/officeDocument/2006/relationships/hyperlink" Target="https://eur-lex.europa.eu/legal-content/SV/TXT/?uri=CELEX%3A52022XC0930%2802%29" TargetMode="External"/><Relationship Id="rId1" Type="http://schemas.openxmlformats.org/officeDocument/2006/relationships/hyperlink" Target="https://eur-lex.europa.eu/legal-content/SV/TXT/?uri=legissum:4623532" TargetMode="External"/><Relationship Id="rId6" Type="http://schemas.openxmlformats.org/officeDocument/2006/relationships/hyperlink" Target="https://www.eesc.europa.eu/sv/our-work/opinions-information-reports/opinions/minimising-risk-deforestation-and-forest-degradation-associated-products-placed-eu-market" TargetMode="External"/><Relationship Id="rId5" Type="http://schemas.openxmlformats.org/officeDocument/2006/relationships/hyperlink" Target="https://eur-lex.europa.eu/legal-content/SV/TXT/?uri=OJ:C_202406882"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A6WAAD5KZT2Q-284857674-6409</_dlc_DocId>
    <_dlc_DocIdUrl xmlns="1a33af13-4045-4f88-9d7b-618e30f79918">
      <Url>http://dm/eesc/2025/_layouts/15/DocIdRedir.aspx?ID=A6WAAD5KZT2Q-284857674-6409</Url>
      <Description>A6WAAD5KZT2Q-284857674-6409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Eklund Lisa</DisplayName>
        <AccountId>1570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42E68354-5B86-4490-A702-74077EF33B60}"/>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7071</Words>
  <Characters>40308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- 601:a plenarsessionen - december 2025 </dc:title>
  <dc:subject>ADMIN</dc:subject>
  <dc:creator/>
  <cp:keywords>COR-EESC-2022-02583-00-00-ADMIN-TRA-EN</cp:keywords>
  <dc:description>Rapporteur:  - Original language: EN - Date of document: 20/05/2022 - Date of meeting:  - External documents:  - Administrator:  SUCIU Serban</dc:description>
  <cp:lastModifiedBy/>
  <cp:revision>26</cp:revision>
  <dcterms:created xsi:type="dcterms:W3CDTF">2025-12-15T10:39:00Z</dcterms:created>
  <dcterms:modified xsi:type="dcterms:W3CDTF">2025-12-19T15:54:00Z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b2f69397-7362-4d09-b402-2e9feabc6b6d</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34;#IT|0774613c-01ed-4e5d-a25d-11d2388de825;#13;#TRA|150d2a88-1431-44e6-a8ca-0bb753ab8672;#30;#LT|a7ff5ce7-6123-4f68-865a-a57c31810414;#67;#SPL-CES|32d8cb1f-c9ec-4365-95c7-8385a18618ac;#19;#TCD|cd9d6eb6-3f4f-424a-b2d1-57c9d450eaaf;#16;#ES|e7a6b05b-ae16-40c8-add9-68b64b03aeba;#15;#Unrestricted|826e22d7-d029-4ec0-a450-0c28ff673572;#50;#HR|2f555653-ed1a-4fe6-8362-9082d95989e5;#12;#FR|d2afafd3-4c81-4f60-8f52-ee33f2f54ff3;#8;#Final|ea5e6674-7b27-4bac-b091-73adbb394efe;#5;#EN|f2175f21-25d7-44a3-96da-d6a61b075e1b;#40;#DA|5d49c027-8956-412b-aa16-e85a0f96ad0e;#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28;#SV|c2ed69e7-a339-43d7-8f22-d93680a92aa0</vt:lpwstr>
  </property>
  <property fmtid="{D5CDD505-2E9C-101B-9397-08002B2CF9AE}" pid="33" name="AvailableTranslations_0">
    <vt:lpwstr>LT|a7ff5ce7-6123-4f68-865a-a57c31810414;EN|f2175f21-25d7-44a3-96da-d6a61b075e1b;DA|5d49c027-8956-412b-aa16-e85a0f96ad0e;IT|0774613c-01ed-4e5d-a25d-11d2388de825;FR|d2afafd3-4c81-4f60-8f52-ee33f2f54ff3;HR|2f555653-ed1a-4fe6-8362-9082d95989e5;ES|e7a6b05b-ae16-40c8-add9-68b64b03aeba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