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80858" w14:textId="77777777" w:rsidR="00731B50" w:rsidRPr="00EE1689" w:rsidRDefault="00914FC5" w:rsidP="00AC1FA9">
      <w:pPr>
        <w:jc w:val="center"/>
        <w:rPr>
          <w:szCs w:val="22"/>
          <w:lang w:val="sl-SI"/>
        </w:rPr>
      </w:pPr>
      <w:r w:rsidRPr="00EE1689">
        <w:rPr>
          <w:noProof/>
          <w:szCs w:val="22"/>
          <w:lang w:val="sl-SI" w:eastAsia="en-GB"/>
        </w:rPr>
        <w:drawing>
          <wp:inline distT="0" distB="0" distL="0" distR="0" wp14:anchorId="2A56629F" wp14:editId="4F1238EA">
            <wp:extent cx="1792800" cy="1242000"/>
            <wp:effectExtent l="0" t="0" r="0" b="0"/>
            <wp:docPr id="1" name="Picture 1"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8">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1B7143" w:rsidRPr="00EE1689">
        <w:rPr>
          <w:noProof/>
          <w:szCs w:val="22"/>
          <w:lang w:val="sl-SI" w:eastAsia="en-GB"/>
        </w:rPr>
        <mc:AlternateContent>
          <mc:Choice Requires="wps">
            <w:drawing>
              <wp:anchor distT="0" distB="0" distL="114300" distR="114300" simplePos="0" relativeHeight="251659776" behindDoc="1" locked="0" layoutInCell="0" allowOverlap="1" wp14:anchorId="091E49F8" wp14:editId="6A086437">
                <wp:simplePos x="0" y="0"/>
                <wp:positionH relativeFrom="page">
                  <wp:posOffset>6769100</wp:posOffset>
                </wp:positionH>
                <wp:positionV relativeFrom="page">
                  <wp:posOffset>10081260</wp:posOffset>
                </wp:positionV>
                <wp:extent cx="647700" cy="3962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69935" w14:textId="77777777" w:rsidR="00731B50" w:rsidRDefault="00731B50">
                            <w:pPr>
                              <w:jc w:val="center"/>
                              <w:rPr>
                                <w:rFonts w:ascii="Arial" w:hAnsi="Arial" w:cs="Arial"/>
                                <w:b/>
                                <w:bCs/>
                                <w:sz w:val="48"/>
                                <w:lang w:val="sl-SI"/>
                              </w:rPr>
                            </w:pPr>
                            <w:r>
                              <w:rPr>
                                <w:rFonts w:ascii="Arial" w:hAnsi="Arial" w:cs="Arial"/>
                                <w:b/>
                                <w:bCs/>
                                <w:sz w:val="48"/>
                                <w:lang w:val="sl-SI"/>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E49F8"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UV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WFFBY6HtGT&#10;HoL4iIOYRX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4HeUV8gEAAMUDAAAOAAAAAAAAAAAAAAAAAC4CAABkcnMv&#10;ZTJvRG9jLnhtbFBLAQItABQABgAIAAAAIQDrVDFa3gAAAA8BAAAPAAAAAAAAAAAAAAAAAEwEAABk&#10;cnMvZG93bnJldi54bWxQSwUGAAAAAAQABADzAAAAVwUAAAAA&#10;" o:allowincell="f" filled="f" stroked="f">
                <v:textbox>
                  <w:txbxContent>
                    <w:p w14:paraId="0FE69935" w14:textId="77777777" w:rsidR="00731B50" w:rsidRDefault="00731B50">
                      <w:pPr>
                        <w:jc w:val="center"/>
                        <w:rPr>
                          <w:rFonts w:ascii="Arial" w:hAnsi="Arial" w:cs="Arial"/>
                          <w:b/>
                          <w:bCs/>
                          <w:sz w:val="48"/>
                          <w:lang w:val="sl-SI"/>
                        </w:rPr>
                      </w:pPr>
                      <w:r>
                        <w:rPr>
                          <w:rFonts w:ascii="Arial" w:hAnsi="Arial" w:cs="Arial"/>
                          <w:b/>
                          <w:bCs/>
                          <w:sz w:val="48"/>
                          <w:lang w:val="sl-SI"/>
                        </w:rPr>
                        <w:t>SL</w:t>
                      </w:r>
                    </w:p>
                  </w:txbxContent>
                </v:textbox>
                <w10:wrap anchorx="page" anchory="page"/>
              </v:shape>
            </w:pict>
          </mc:Fallback>
        </mc:AlternateContent>
      </w:r>
    </w:p>
    <w:p w14:paraId="3C14D99B" w14:textId="77777777" w:rsidR="00731B50" w:rsidRPr="00EE1689" w:rsidRDefault="00731B50" w:rsidP="00AC1FA9">
      <w:pPr>
        <w:rPr>
          <w:szCs w:val="22"/>
          <w:lang w:val="sl-SI"/>
        </w:rPr>
      </w:pPr>
    </w:p>
    <w:p w14:paraId="06ECEDA6" w14:textId="77777777" w:rsidR="00437105" w:rsidRPr="00EE1689" w:rsidRDefault="00437105" w:rsidP="00AC1FA9">
      <w:pPr>
        <w:rPr>
          <w:szCs w:val="22"/>
          <w:lang w:val="sl-SI"/>
        </w:rPr>
      </w:pPr>
    </w:p>
    <w:p w14:paraId="4A65A0B7" w14:textId="423156A6" w:rsidR="00437105" w:rsidRPr="00EE1689" w:rsidRDefault="00437105" w:rsidP="00AC1FA9">
      <w:pPr>
        <w:jc w:val="right"/>
        <w:rPr>
          <w:szCs w:val="22"/>
          <w:lang w:val="sl-SI"/>
        </w:rPr>
      </w:pPr>
      <w:r w:rsidRPr="00EE1689">
        <w:rPr>
          <w:szCs w:val="22"/>
          <w:lang w:val="sl-SI"/>
        </w:rPr>
        <w:t xml:space="preserve">Bruselj, </w:t>
      </w:r>
      <w:r w:rsidR="007C6480" w:rsidRPr="00EE1689">
        <w:rPr>
          <w:szCs w:val="22"/>
          <w:lang w:val="sl-SI"/>
        </w:rPr>
        <w:t>17. december 2025</w:t>
      </w:r>
    </w:p>
    <w:p w14:paraId="37D37B26" w14:textId="77777777" w:rsidR="00437105" w:rsidRPr="00EE1689" w:rsidRDefault="00437105" w:rsidP="00AC1FA9">
      <w:pPr>
        <w:rPr>
          <w:szCs w:val="22"/>
          <w:lang w:val="sl-SI"/>
        </w:rPr>
      </w:pPr>
    </w:p>
    <w:p w14:paraId="47284582" w14:textId="1F01DEC0" w:rsidR="00437105" w:rsidRPr="00EE1689" w:rsidRDefault="00437105" w:rsidP="00AC1FA9">
      <w:pPr>
        <w:rPr>
          <w:szCs w:val="22"/>
          <w:lang w:val="sl-SI"/>
        </w:rPr>
      </w:pPr>
    </w:p>
    <w:p w14:paraId="6EFF6ADC" w14:textId="77777777" w:rsidR="00437105" w:rsidRPr="00EE1689" w:rsidRDefault="00437105" w:rsidP="00AC1FA9">
      <w:pPr>
        <w:rPr>
          <w:szCs w:val="22"/>
          <w:lang w:val="sl-SI"/>
        </w:rPr>
      </w:pPr>
    </w:p>
    <w:p w14:paraId="57B36392" w14:textId="77777777" w:rsidR="00437105" w:rsidRPr="00EE1689" w:rsidRDefault="00437105" w:rsidP="00AC1FA9">
      <w:pPr>
        <w:rPr>
          <w:lang w:val="sl-SI"/>
        </w:rPr>
      </w:pPr>
    </w:p>
    <w:tbl>
      <w:tblPr>
        <w:tblW w:w="5000" w:type="pct"/>
        <w:tblLook w:val="0000" w:firstRow="0" w:lastRow="0" w:firstColumn="0" w:lastColumn="0" w:noHBand="0" w:noVBand="0"/>
      </w:tblPr>
      <w:tblGrid>
        <w:gridCol w:w="9287"/>
      </w:tblGrid>
      <w:tr w:rsidR="00437105" w:rsidRPr="00EE1689" w14:paraId="48044EA7" w14:textId="77777777" w:rsidTr="00437105">
        <w:tc>
          <w:tcPr>
            <w:tcW w:w="5000" w:type="pct"/>
            <w:tcBorders>
              <w:bottom w:val="double" w:sz="4" w:space="0" w:color="auto"/>
            </w:tcBorders>
          </w:tcPr>
          <w:p w14:paraId="17FFB660" w14:textId="7CB61042" w:rsidR="00437105" w:rsidRPr="00EE1689" w:rsidRDefault="007C6480" w:rsidP="00AC1FA9">
            <w:pPr>
              <w:jc w:val="center"/>
              <w:rPr>
                <w:lang w:val="sl-SI"/>
              </w:rPr>
            </w:pPr>
            <w:r w:rsidRPr="00EE1689">
              <w:rPr>
                <w:b/>
                <w:sz w:val="32"/>
                <w:lang w:val="sl-SI"/>
              </w:rPr>
              <w:t>601.</w:t>
            </w:r>
            <w:r w:rsidR="00437105" w:rsidRPr="00EE1689">
              <w:rPr>
                <w:b/>
                <w:sz w:val="32"/>
                <w:lang w:val="sl-SI"/>
              </w:rPr>
              <w:t> PLENARNO ZASEDANJE</w:t>
            </w:r>
            <w:r w:rsidR="00437105" w:rsidRPr="00EE1689">
              <w:rPr>
                <w:b/>
                <w:sz w:val="32"/>
                <w:lang w:val="sl-SI"/>
              </w:rPr>
              <w:br/>
            </w:r>
            <w:r w:rsidR="00437105" w:rsidRPr="00EE1689">
              <w:rPr>
                <w:b/>
                <w:sz w:val="32"/>
                <w:lang w:val="sl-SI"/>
              </w:rPr>
              <w:br/>
            </w:r>
            <w:r w:rsidRPr="00EE1689">
              <w:rPr>
                <w:b/>
                <w:sz w:val="32"/>
                <w:lang w:val="sl-SI"/>
              </w:rPr>
              <w:t>3. IN 4. DECEMBER 2025</w:t>
            </w:r>
            <w:r w:rsidR="00437105" w:rsidRPr="00EE1689">
              <w:rPr>
                <w:b/>
                <w:sz w:val="32"/>
                <w:lang w:val="sl-SI"/>
              </w:rPr>
              <w:br/>
            </w:r>
            <w:r w:rsidR="00437105" w:rsidRPr="00EE1689">
              <w:rPr>
                <w:b/>
                <w:sz w:val="32"/>
                <w:lang w:val="sl-SI"/>
              </w:rPr>
              <w:br/>
              <w:t>POVZETEK SPREJETIH MNENJ</w:t>
            </w:r>
            <w:r w:rsidR="00302C4A" w:rsidRPr="00EE1689">
              <w:rPr>
                <w:b/>
                <w:sz w:val="32"/>
                <w:lang w:val="sl-SI"/>
              </w:rPr>
              <w:t>, RESOLUCIJ IN INFORMATIVNIH POROČIL TER POROČIL O OCENI</w:t>
            </w:r>
            <w:r w:rsidR="00437105" w:rsidRPr="00EE1689">
              <w:rPr>
                <w:b/>
                <w:sz w:val="32"/>
                <w:lang w:val="sl-SI"/>
              </w:rPr>
              <w:br/>
            </w:r>
            <w:r w:rsidR="00437105" w:rsidRPr="00EE1689">
              <w:rPr>
                <w:b/>
                <w:sz w:val="32"/>
                <w:lang w:val="sl-SI"/>
              </w:rPr>
              <w:br/>
            </w:r>
          </w:p>
        </w:tc>
      </w:tr>
      <w:tr w:rsidR="00437105" w:rsidRPr="00EE1689" w14:paraId="018110E5" w14:textId="77777777" w:rsidTr="00437105">
        <w:tc>
          <w:tcPr>
            <w:tcW w:w="5000" w:type="pct"/>
            <w:tcBorders>
              <w:top w:val="double" w:sz="4" w:space="0" w:color="auto"/>
              <w:left w:val="double" w:sz="4" w:space="0" w:color="auto"/>
              <w:bottom w:val="double" w:sz="4" w:space="0" w:color="auto"/>
              <w:right w:val="double" w:sz="4" w:space="0" w:color="auto"/>
            </w:tcBorders>
          </w:tcPr>
          <w:p w14:paraId="684A24F9" w14:textId="77777777" w:rsidR="00437105" w:rsidRPr="00EE1689" w:rsidRDefault="00437105" w:rsidP="00AC1FA9">
            <w:pPr>
              <w:jc w:val="center"/>
              <w:rPr>
                <w:lang w:val="sl-SI"/>
              </w:rPr>
            </w:pPr>
          </w:p>
          <w:p w14:paraId="7F794928" w14:textId="77777777" w:rsidR="00437105" w:rsidRPr="00EE1689" w:rsidRDefault="00437105" w:rsidP="00AC1FA9">
            <w:pPr>
              <w:jc w:val="center"/>
              <w:rPr>
                <w:spacing w:val="-2"/>
                <w:lang w:val="sl-SI"/>
              </w:rPr>
            </w:pPr>
            <w:r w:rsidRPr="00EE1689">
              <w:rPr>
                <w:lang w:val="sl-SI"/>
              </w:rPr>
              <w:t xml:space="preserve">Dokument je v </w:t>
            </w:r>
            <w:r w:rsidR="00EA31FC" w:rsidRPr="00EE1689">
              <w:rPr>
                <w:lang w:val="sl-SI"/>
              </w:rPr>
              <w:t xml:space="preserve">vseh </w:t>
            </w:r>
            <w:r w:rsidRPr="00EE1689">
              <w:rPr>
                <w:lang w:val="sl-SI"/>
              </w:rPr>
              <w:t>uradnih jezikih Evropske unije na voljo na spletni strani EESO:</w:t>
            </w:r>
            <w:r w:rsidRPr="00EE1689">
              <w:rPr>
                <w:lang w:val="sl-SI"/>
              </w:rPr>
              <w:br/>
            </w:r>
            <w:r w:rsidRPr="00EE1689">
              <w:rPr>
                <w:lang w:val="sl-SI"/>
              </w:rPr>
              <w:br/>
            </w:r>
            <w:hyperlink r:id="rId9" w:history="1">
              <w:r w:rsidRPr="00EE1689">
                <w:rPr>
                  <w:rStyle w:val="Hyperlink"/>
                  <w:rFonts w:eastAsiaTheme="majorEastAsia"/>
                  <w:spacing w:val="-2"/>
                  <w:lang w:val="sl-SI"/>
                </w:rPr>
                <w:t>https://www.eesc.europa.eu/sl/our-work/opinions-information-reports/plenary-session-summaries</w:t>
              </w:r>
            </w:hyperlink>
          </w:p>
          <w:p w14:paraId="6AF88887" w14:textId="77777777" w:rsidR="00437105" w:rsidRPr="00EE1689" w:rsidRDefault="00437105" w:rsidP="00AC1FA9">
            <w:pPr>
              <w:jc w:val="center"/>
              <w:rPr>
                <w:lang w:val="sl-SI"/>
              </w:rPr>
            </w:pPr>
          </w:p>
          <w:p w14:paraId="5B9A8CC4" w14:textId="77777777" w:rsidR="00437105" w:rsidRPr="00EE1689" w:rsidRDefault="00437105" w:rsidP="00AC1FA9">
            <w:pPr>
              <w:jc w:val="center"/>
              <w:rPr>
                <w:lang w:val="sl-SI"/>
              </w:rPr>
            </w:pPr>
          </w:p>
          <w:p w14:paraId="5317206E" w14:textId="70B22630" w:rsidR="00437105" w:rsidRPr="00EE1689" w:rsidRDefault="00437105" w:rsidP="00AC1FA9">
            <w:pPr>
              <w:jc w:val="center"/>
              <w:rPr>
                <w:lang w:val="sl-SI"/>
              </w:rPr>
            </w:pPr>
            <w:r w:rsidRPr="00EE1689">
              <w:rPr>
                <w:lang w:val="sl-SI"/>
              </w:rPr>
              <w:t xml:space="preserve">Navedena mnenja so na spletu dostopna prek iskalnika </w:t>
            </w:r>
            <w:r w:rsidR="00082A32" w:rsidRPr="00EE1689">
              <w:rPr>
                <w:lang w:val="sl-SI"/>
              </w:rPr>
              <w:t>Odbora</w:t>
            </w:r>
            <w:r w:rsidRPr="00EE1689">
              <w:rPr>
                <w:lang w:val="sl-SI"/>
              </w:rPr>
              <w:t>:</w:t>
            </w:r>
            <w:r w:rsidRPr="00EE1689">
              <w:rPr>
                <w:lang w:val="sl-SI"/>
              </w:rPr>
              <w:br/>
            </w:r>
            <w:r w:rsidRPr="00EE1689">
              <w:rPr>
                <w:lang w:val="sl-SI"/>
              </w:rPr>
              <w:br/>
            </w:r>
            <w:hyperlink r:id="rId10" w:history="1">
              <w:r w:rsidRPr="00EE1689">
                <w:rPr>
                  <w:rStyle w:val="Hyperlink"/>
                  <w:rFonts w:eastAsiaTheme="majorEastAsia"/>
                  <w:lang w:val="sl-SI"/>
                </w:rPr>
                <w:t>https://dmsearch.eesc.europa.eu/search/opinion</w:t>
              </w:r>
            </w:hyperlink>
          </w:p>
          <w:p w14:paraId="39440503" w14:textId="77777777" w:rsidR="00437105" w:rsidRPr="00EE1689" w:rsidRDefault="00437105" w:rsidP="00AC1FA9">
            <w:pPr>
              <w:jc w:val="center"/>
              <w:rPr>
                <w:lang w:val="sl-SI"/>
              </w:rPr>
            </w:pPr>
          </w:p>
        </w:tc>
      </w:tr>
    </w:tbl>
    <w:p w14:paraId="4F71DBA3" w14:textId="77777777" w:rsidR="00437105" w:rsidRPr="00EE1689" w:rsidRDefault="00437105" w:rsidP="00AC1FA9">
      <w:pPr>
        <w:rPr>
          <w:lang w:val="sl-SI"/>
        </w:rPr>
      </w:pPr>
    </w:p>
    <w:p w14:paraId="5E03C9C4" w14:textId="77777777" w:rsidR="00437105" w:rsidRPr="00EE1689" w:rsidRDefault="00437105" w:rsidP="00AC1FA9">
      <w:pPr>
        <w:rPr>
          <w:szCs w:val="22"/>
          <w:lang w:val="sl-SI"/>
        </w:rPr>
      </w:pPr>
    </w:p>
    <w:p w14:paraId="5260496E" w14:textId="77777777" w:rsidR="00437105" w:rsidRPr="00EE1689" w:rsidRDefault="00437105" w:rsidP="00AC1FA9">
      <w:pPr>
        <w:rPr>
          <w:szCs w:val="22"/>
          <w:lang w:val="sl-SI"/>
        </w:rPr>
        <w:sectPr w:rsidR="00437105" w:rsidRPr="00EE1689" w:rsidSect="001B12BE">
          <w:footerReference w:type="default" r:id="rId11"/>
          <w:pgSz w:w="11907" w:h="16839" w:code="9"/>
          <w:pgMar w:top="1418" w:right="1418" w:bottom="1418" w:left="1418" w:header="709" w:footer="709" w:gutter="0"/>
          <w:pgNumType w:start="1"/>
          <w:cols w:space="720"/>
          <w:docGrid w:linePitch="299"/>
        </w:sectPr>
      </w:pPr>
    </w:p>
    <w:p w14:paraId="52EDEA02" w14:textId="77777777" w:rsidR="00437105" w:rsidRPr="00EE1689" w:rsidRDefault="00AC1FA9" w:rsidP="00AC1FA9">
      <w:pPr>
        <w:rPr>
          <w:szCs w:val="22"/>
          <w:lang w:val="sl-SI"/>
        </w:rPr>
      </w:pPr>
      <w:r w:rsidRPr="00EE1689">
        <w:rPr>
          <w:b/>
          <w:szCs w:val="22"/>
          <w:lang w:val="sl-SI"/>
        </w:rPr>
        <w:lastRenderedPageBreak/>
        <w:t>Vsebina</w:t>
      </w:r>
    </w:p>
    <w:p w14:paraId="0C3741E5" w14:textId="77777777" w:rsidR="00437105" w:rsidRPr="00EE1689" w:rsidRDefault="00437105" w:rsidP="00AC1FA9">
      <w:pPr>
        <w:rPr>
          <w:szCs w:val="22"/>
          <w:lang w:val="sl-SI"/>
        </w:rPr>
      </w:pPr>
    </w:p>
    <w:p w14:paraId="3EE7A8A3" w14:textId="77777777" w:rsidR="00AC7C4F" w:rsidRPr="00EE1689" w:rsidRDefault="00AC7C4F" w:rsidP="00AC1FA9">
      <w:pPr>
        <w:rPr>
          <w:szCs w:val="22"/>
          <w:lang w:val="sl-SI"/>
        </w:rPr>
      </w:pPr>
    </w:p>
    <w:p w14:paraId="583D42C4" w14:textId="0569A10D" w:rsidR="00AC7C4F" w:rsidRPr="00EE1689" w:rsidRDefault="00AC7C4F" w:rsidP="008B7E4C">
      <w:pPr>
        <w:pStyle w:val="TOC1"/>
        <w:tabs>
          <w:tab w:val="left" w:pos="567"/>
          <w:tab w:val="right" w:leader="dot" w:pos="9061"/>
        </w:tabs>
        <w:spacing w:after="0" w:line="360" w:lineRule="auto"/>
        <w:ind w:left="567" w:hanging="567"/>
        <w:jc w:val="both"/>
        <w:rPr>
          <w:lang w:val="sl-SI" w:eastAsia="en-GB"/>
        </w:rPr>
      </w:pPr>
      <w:r w:rsidRPr="00EE1689">
        <w:rPr>
          <w:lang w:val="sl-SI"/>
        </w:rPr>
        <w:fldChar w:fldCharType="begin"/>
      </w:r>
      <w:r w:rsidRPr="00EE1689">
        <w:rPr>
          <w:lang w:val="sl-SI"/>
        </w:rPr>
        <w:instrText xml:space="preserve"> TOC \o "1-1" \h \z \u </w:instrText>
      </w:r>
      <w:r w:rsidRPr="00EE1689">
        <w:rPr>
          <w:lang w:val="sl-SI"/>
        </w:rPr>
        <w:fldChar w:fldCharType="separate"/>
      </w:r>
      <w:hyperlink w:anchor="_Toc105440135" w:history="1">
        <w:r w:rsidRPr="00EE1689">
          <w:rPr>
            <w:rStyle w:val="Hyperlink"/>
            <w:lang w:val="sl-SI"/>
          </w:rPr>
          <w:t>1.</w:t>
        </w:r>
        <w:r w:rsidRPr="00EE1689">
          <w:rPr>
            <w:lang w:val="sl-SI" w:eastAsia="en-GB"/>
          </w:rPr>
          <w:tab/>
        </w:r>
        <w:r w:rsidRPr="00EE1689">
          <w:rPr>
            <w:rStyle w:val="Hyperlink"/>
            <w:b/>
            <w:lang w:val="sl-SI"/>
          </w:rPr>
          <w:t>EKONOMSKA IN MONETARNA UNIJA TER EKONOMSKA IN SOCIALNA KOHEZIJA</w:t>
        </w:r>
        <w:r w:rsidRPr="00EE1689">
          <w:rPr>
            <w:webHidden/>
            <w:lang w:val="sl-SI"/>
          </w:rPr>
          <w:tab/>
        </w:r>
        <w:r w:rsidRPr="00EE1689">
          <w:rPr>
            <w:webHidden/>
            <w:lang w:val="sl-SI"/>
          </w:rPr>
          <w:fldChar w:fldCharType="begin"/>
        </w:r>
        <w:r w:rsidRPr="00EE1689">
          <w:rPr>
            <w:webHidden/>
            <w:lang w:val="sl-SI"/>
          </w:rPr>
          <w:instrText xml:space="preserve"> PAGEREF _Toc105440135 \h </w:instrText>
        </w:r>
        <w:r w:rsidRPr="00EE1689">
          <w:rPr>
            <w:webHidden/>
            <w:lang w:val="sl-SI"/>
          </w:rPr>
        </w:r>
        <w:r w:rsidRPr="00EE1689">
          <w:rPr>
            <w:webHidden/>
            <w:lang w:val="sl-SI"/>
          </w:rPr>
          <w:fldChar w:fldCharType="separate"/>
        </w:r>
        <w:r w:rsidR="00FA3430">
          <w:rPr>
            <w:noProof/>
            <w:webHidden/>
            <w:lang w:val="sl-SI"/>
          </w:rPr>
          <w:t>3</w:t>
        </w:r>
        <w:r w:rsidRPr="00EE1689">
          <w:rPr>
            <w:webHidden/>
            <w:lang w:val="sl-SI"/>
          </w:rPr>
          <w:fldChar w:fldCharType="end"/>
        </w:r>
      </w:hyperlink>
    </w:p>
    <w:p w14:paraId="413732F8" w14:textId="0652AF56" w:rsidR="00AC7C4F" w:rsidRPr="00EE1689" w:rsidRDefault="00FA3430" w:rsidP="008B7E4C">
      <w:pPr>
        <w:pStyle w:val="TOC1"/>
        <w:tabs>
          <w:tab w:val="left" w:pos="567"/>
          <w:tab w:val="right" w:leader="dot" w:pos="9061"/>
        </w:tabs>
        <w:spacing w:after="0" w:line="360" w:lineRule="auto"/>
        <w:ind w:left="567" w:hanging="567"/>
        <w:jc w:val="both"/>
        <w:rPr>
          <w:lang w:val="sl-SI" w:eastAsia="en-GB"/>
        </w:rPr>
      </w:pPr>
      <w:hyperlink w:anchor="_Toc105440136" w:history="1">
        <w:r w:rsidR="00AC7C4F" w:rsidRPr="00EE1689">
          <w:rPr>
            <w:rStyle w:val="Hyperlink"/>
            <w:lang w:val="sl-SI"/>
          </w:rPr>
          <w:t>2.</w:t>
        </w:r>
        <w:r w:rsidR="00AC7C4F" w:rsidRPr="00EE1689">
          <w:rPr>
            <w:lang w:val="sl-SI" w:eastAsia="en-GB"/>
          </w:rPr>
          <w:tab/>
        </w:r>
        <w:r w:rsidR="00AC7C4F" w:rsidRPr="00EE1689">
          <w:rPr>
            <w:rStyle w:val="Hyperlink"/>
            <w:b/>
            <w:lang w:val="sl-SI"/>
          </w:rPr>
          <w:t>ZAPOSLOVANJE, SOCIALNE ZADEVE IN DRŽAVLJANSTVO</w:t>
        </w:r>
        <w:r w:rsidR="00AC7C4F" w:rsidRPr="00EE1689">
          <w:rPr>
            <w:webHidden/>
            <w:lang w:val="sl-SI"/>
          </w:rPr>
          <w:tab/>
        </w:r>
        <w:r w:rsidR="00AC7C4F" w:rsidRPr="00EE1689">
          <w:rPr>
            <w:webHidden/>
            <w:lang w:val="sl-SI"/>
          </w:rPr>
          <w:fldChar w:fldCharType="begin"/>
        </w:r>
        <w:r w:rsidR="00AC7C4F" w:rsidRPr="00EE1689">
          <w:rPr>
            <w:webHidden/>
            <w:lang w:val="sl-SI"/>
          </w:rPr>
          <w:instrText xml:space="preserve"> PAGEREF _Toc105440136 \h </w:instrText>
        </w:r>
        <w:r w:rsidR="00AC7C4F" w:rsidRPr="00EE1689">
          <w:rPr>
            <w:webHidden/>
            <w:lang w:val="sl-SI"/>
          </w:rPr>
        </w:r>
        <w:r w:rsidR="00AC7C4F" w:rsidRPr="00EE1689">
          <w:rPr>
            <w:webHidden/>
            <w:lang w:val="sl-SI"/>
          </w:rPr>
          <w:fldChar w:fldCharType="separate"/>
        </w:r>
        <w:r>
          <w:rPr>
            <w:noProof/>
            <w:webHidden/>
            <w:lang w:val="sl-SI"/>
          </w:rPr>
          <w:t>5</w:t>
        </w:r>
        <w:r w:rsidR="00AC7C4F" w:rsidRPr="00EE1689">
          <w:rPr>
            <w:webHidden/>
            <w:lang w:val="sl-SI"/>
          </w:rPr>
          <w:fldChar w:fldCharType="end"/>
        </w:r>
      </w:hyperlink>
    </w:p>
    <w:p w14:paraId="7DAB1ECB" w14:textId="5185F8A5" w:rsidR="00AC7C4F" w:rsidRPr="00EE1689" w:rsidRDefault="00FA3430" w:rsidP="008B7E4C">
      <w:pPr>
        <w:pStyle w:val="TOC1"/>
        <w:tabs>
          <w:tab w:val="left" w:pos="567"/>
          <w:tab w:val="right" w:leader="dot" w:pos="9061"/>
        </w:tabs>
        <w:spacing w:after="0" w:line="360" w:lineRule="auto"/>
        <w:ind w:left="567" w:hanging="567"/>
        <w:jc w:val="both"/>
        <w:rPr>
          <w:lang w:val="sl-SI" w:eastAsia="en-GB"/>
        </w:rPr>
      </w:pPr>
      <w:hyperlink w:anchor="_Toc105440137" w:history="1">
        <w:r w:rsidR="00AC7C4F" w:rsidRPr="00EE1689">
          <w:rPr>
            <w:rStyle w:val="Hyperlink"/>
            <w:lang w:val="sl-SI"/>
          </w:rPr>
          <w:t>3.</w:t>
        </w:r>
        <w:r w:rsidR="00AC7C4F" w:rsidRPr="00EE1689">
          <w:rPr>
            <w:lang w:val="sl-SI" w:eastAsia="en-GB"/>
          </w:rPr>
          <w:tab/>
        </w:r>
        <w:r w:rsidR="00AC7C4F" w:rsidRPr="00EE1689">
          <w:rPr>
            <w:rStyle w:val="Hyperlink"/>
            <w:b/>
            <w:lang w:val="sl-SI"/>
          </w:rPr>
          <w:t>PROMET, ENERGIJA, INFRASTRUKTURA IN INFORMACIJSKA DRUŽBA</w:t>
        </w:r>
        <w:r w:rsidR="00AC7C4F" w:rsidRPr="00EE1689">
          <w:rPr>
            <w:webHidden/>
            <w:lang w:val="sl-SI"/>
          </w:rPr>
          <w:tab/>
        </w:r>
        <w:r w:rsidR="00AC7C4F" w:rsidRPr="00EE1689">
          <w:rPr>
            <w:webHidden/>
            <w:lang w:val="sl-SI"/>
          </w:rPr>
          <w:fldChar w:fldCharType="begin"/>
        </w:r>
        <w:r w:rsidR="00AC7C4F" w:rsidRPr="00EE1689">
          <w:rPr>
            <w:webHidden/>
            <w:lang w:val="sl-SI"/>
          </w:rPr>
          <w:instrText xml:space="preserve"> PAGEREF _Toc105440137 \h </w:instrText>
        </w:r>
        <w:r w:rsidR="00AC7C4F" w:rsidRPr="00EE1689">
          <w:rPr>
            <w:webHidden/>
            <w:lang w:val="sl-SI"/>
          </w:rPr>
        </w:r>
        <w:r w:rsidR="00AC7C4F" w:rsidRPr="00EE1689">
          <w:rPr>
            <w:webHidden/>
            <w:lang w:val="sl-SI"/>
          </w:rPr>
          <w:fldChar w:fldCharType="separate"/>
        </w:r>
        <w:r>
          <w:rPr>
            <w:noProof/>
            <w:webHidden/>
            <w:lang w:val="sl-SI"/>
          </w:rPr>
          <w:t>7</w:t>
        </w:r>
        <w:r w:rsidR="00AC7C4F" w:rsidRPr="00EE1689">
          <w:rPr>
            <w:webHidden/>
            <w:lang w:val="sl-SI"/>
          </w:rPr>
          <w:fldChar w:fldCharType="end"/>
        </w:r>
      </w:hyperlink>
    </w:p>
    <w:p w14:paraId="28C9559F" w14:textId="011E2479" w:rsidR="00AC7C4F" w:rsidRPr="00EE1689" w:rsidRDefault="00FA3430" w:rsidP="008B7E4C">
      <w:pPr>
        <w:pStyle w:val="TOC1"/>
        <w:tabs>
          <w:tab w:val="left" w:pos="567"/>
          <w:tab w:val="right" w:leader="dot" w:pos="9061"/>
        </w:tabs>
        <w:spacing w:after="0" w:line="360" w:lineRule="auto"/>
        <w:ind w:left="567" w:hanging="567"/>
        <w:jc w:val="both"/>
        <w:rPr>
          <w:lang w:val="sl-SI" w:eastAsia="en-GB"/>
        </w:rPr>
      </w:pPr>
      <w:hyperlink w:anchor="_Toc105440138" w:history="1">
        <w:r w:rsidR="00AC7C4F" w:rsidRPr="00EE1689">
          <w:rPr>
            <w:rStyle w:val="Hyperlink"/>
            <w:lang w:val="sl-SI"/>
          </w:rPr>
          <w:t>4.</w:t>
        </w:r>
        <w:r w:rsidR="00AC7C4F" w:rsidRPr="00EE1689">
          <w:rPr>
            <w:lang w:val="sl-SI" w:eastAsia="en-GB"/>
          </w:rPr>
          <w:tab/>
        </w:r>
        <w:r w:rsidR="00AC7C4F" w:rsidRPr="00EE1689">
          <w:rPr>
            <w:rStyle w:val="Hyperlink"/>
            <w:b/>
            <w:lang w:val="sl-SI"/>
          </w:rPr>
          <w:t>ENOTNI TRG, PROIZVODNJA IN POTROŠNJA</w:t>
        </w:r>
        <w:r w:rsidR="00AC7C4F" w:rsidRPr="00EE1689">
          <w:rPr>
            <w:webHidden/>
            <w:lang w:val="sl-SI"/>
          </w:rPr>
          <w:tab/>
        </w:r>
        <w:r w:rsidR="00AC7C4F" w:rsidRPr="00EE1689">
          <w:rPr>
            <w:webHidden/>
            <w:lang w:val="sl-SI"/>
          </w:rPr>
          <w:fldChar w:fldCharType="begin"/>
        </w:r>
        <w:r w:rsidR="00AC7C4F" w:rsidRPr="00EE1689">
          <w:rPr>
            <w:webHidden/>
            <w:lang w:val="sl-SI"/>
          </w:rPr>
          <w:instrText xml:space="preserve"> PAGEREF _Toc105440138 \h </w:instrText>
        </w:r>
        <w:r w:rsidR="00AC7C4F" w:rsidRPr="00EE1689">
          <w:rPr>
            <w:webHidden/>
            <w:lang w:val="sl-SI"/>
          </w:rPr>
        </w:r>
        <w:r w:rsidR="00AC7C4F" w:rsidRPr="00EE1689">
          <w:rPr>
            <w:webHidden/>
            <w:lang w:val="sl-SI"/>
          </w:rPr>
          <w:fldChar w:fldCharType="separate"/>
        </w:r>
        <w:r>
          <w:rPr>
            <w:noProof/>
            <w:webHidden/>
            <w:lang w:val="sl-SI"/>
          </w:rPr>
          <w:t>10</w:t>
        </w:r>
        <w:r w:rsidR="00AC7C4F" w:rsidRPr="00EE1689">
          <w:rPr>
            <w:webHidden/>
            <w:lang w:val="sl-SI"/>
          </w:rPr>
          <w:fldChar w:fldCharType="end"/>
        </w:r>
      </w:hyperlink>
    </w:p>
    <w:p w14:paraId="4EE6829D" w14:textId="0852204D" w:rsidR="00AC7C4F" w:rsidRPr="00EE1689" w:rsidRDefault="00FA3430" w:rsidP="008B7E4C">
      <w:pPr>
        <w:pStyle w:val="TOC1"/>
        <w:tabs>
          <w:tab w:val="left" w:pos="567"/>
          <w:tab w:val="right" w:leader="dot" w:pos="9061"/>
        </w:tabs>
        <w:spacing w:after="0" w:line="360" w:lineRule="auto"/>
        <w:ind w:left="567" w:hanging="567"/>
        <w:jc w:val="both"/>
        <w:rPr>
          <w:lang w:val="sl-SI" w:eastAsia="en-GB"/>
        </w:rPr>
      </w:pPr>
      <w:hyperlink w:anchor="_Toc105440139" w:history="1">
        <w:r w:rsidR="00AC7C4F" w:rsidRPr="00EE1689">
          <w:rPr>
            <w:rStyle w:val="Hyperlink"/>
            <w:lang w:val="sl-SI"/>
          </w:rPr>
          <w:t>5.</w:t>
        </w:r>
        <w:r w:rsidR="00AC7C4F" w:rsidRPr="00EE1689">
          <w:rPr>
            <w:lang w:val="sl-SI" w:eastAsia="en-GB"/>
          </w:rPr>
          <w:tab/>
        </w:r>
        <w:r w:rsidR="00AC7C4F" w:rsidRPr="00EE1689">
          <w:rPr>
            <w:rStyle w:val="Hyperlink"/>
            <w:b/>
            <w:lang w:val="sl-SI"/>
          </w:rPr>
          <w:t>KMETIJSTVO, RAZVOJ PODEŽELJA IN OKOLJE</w:t>
        </w:r>
        <w:r w:rsidR="00AC7C4F" w:rsidRPr="00EE1689">
          <w:rPr>
            <w:webHidden/>
            <w:lang w:val="sl-SI"/>
          </w:rPr>
          <w:tab/>
        </w:r>
        <w:r w:rsidR="00AC7C4F" w:rsidRPr="00EE1689">
          <w:rPr>
            <w:webHidden/>
            <w:lang w:val="sl-SI"/>
          </w:rPr>
          <w:fldChar w:fldCharType="begin"/>
        </w:r>
        <w:r w:rsidR="00AC7C4F" w:rsidRPr="00EE1689">
          <w:rPr>
            <w:webHidden/>
            <w:lang w:val="sl-SI"/>
          </w:rPr>
          <w:instrText xml:space="preserve"> PAGEREF _Toc105440139 \h </w:instrText>
        </w:r>
        <w:r w:rsidR="00AC7C4F" w:rsidRPr="00EE1689">
          <w:rPr>
            <w:webHidden/>
            <w:lang w:val="sl-SI"/>
          </w:rPr>
        </w:r>
        <w:r w:rsidR="00AC7C4F" w:rsidRPr="00EE1689">
          <w:rPr>
            <w:webHidden/>
            <w:lang w:val="sl-SI"/>
          </w:rPr>
          <w:fldChar w:fldCharType="separate"/>
        </w:r>
        <w:r>
          <w:rPr>
            <w:noProof/>
            <w:webHidden/>
            <w:lang w:val="sl-SI"/>
          </w:rPr>
          <w:t>14</w:t>
        </w:r>
        <w:r w:rsidR="00AC7C4F" w:rsidRPr="00EE1689">
          <w:rPr>
            <w:webHidden/>
            <w:lang w:val="sl-SI"/>
          </w:rPr>
          <w:fldChar w:fldCharType="end"/>
        </w:r>
      </w:hyperlink>
    </w:p>
    <w:p w14:paraId="7C2D904E" w14:textId="14C7E574" w:rsidR="00AC7C4F" w:rsidRPr="00EE1689" w:rsidRDefault="00FA3430" w:rsidP="008B7E4C">
      <w:pPr>
        <w:pStyle w:val="TOC1"/>
        <w:tabs>
          <w:tab w:val="left" w:pos="567"/>
          <w:tab w:val="right" w:leader="dot" w:pos="9061"/>
        </w:tabs>
        <w:spacing w:after="0" w:line="360" w:lineRule="auto"/>
        <w:ind w:left="567" w:hanging="567"/>
        <w:jc w:val="both"/>
        <w:rPr>
          <w:lang w:val="sl-SI" w:eastAsia="en-GB"/>
        </w:rPr>
      </w:pPr>
      <w:hyperlink w:anchor="_Toc105440140" w:history="1">
        <w:r w:rsidR="00AC7C4F" w:rsidRPr="00EE1689">
          <w:rPr>
            <w:rStyle w:val="Hyperlink"/>
            <w:lang w:val="sl-SI"/>
          </w:rPr>
          <w:t>6.</w:t>
        </w:r>
        <w:r w:rsidR="00AC7C4F" w:rsidRPr="00EE1689">
          <w:rPr>
            <w:lang w:val="sl-SI" w:eastAsia="en-GB"/>
          </w:rPr>
          <w:tab/>
        </w:r>
        <w:r w:rsidR="00AC7C4F" w:rsidRPr="00EE1689">
          <w:rPr>
            <w:rStyle w:val="Hyperlink"/>
            <w:b/>
            <w:lang w:val="sl-SI"/>
          </w:rPr>
          <w:t>ZUNANJI ODNOSI</w:t>
        </w:r>
        <w:r w:rsidR="00AC7C4F" w:rsidRPr="00EE1689">
          <w:rPr>
            <w:webHidden/>
            <w:lang w:val="sl-SI"/>
          </w:rPr>
          <w:tab/>
        </w:r>
        <w:r w:rsidR="00AC7C4F" w:rsidRPr="00EE1689">
          <w:rPr>
            <w:webHidden/>
            <w:lang w:val="sl-SI"/>
          </w:rPr>
          <w:fldChar w:fldCharType="begin"/>
        </w:r>
        <w:r w:rsidR="00AC7C4F" w:rsidRPr="00EE1689">
          <w:rPr>
            <w:webHidden/>
            <w:lang w:val="sl-SI"/>
          </w:rPr>
          <w:instrText xml:space="preserve"> PAGEREF _Toc105440140 \h </w:instrText>
        </w:r>
        <w:r w:rsidR="00AC7C4F" w:rsidRPr="00EE1689">
          <w:rPr>
            <w:webHidden/>
            <w:lang w:val="sl-SI"/>
          </w:rPr>
        </w:r>
        <w:r w:rsidR="00AC7C4F" w:rsidRPr="00EE1689">
          <w:rPr>
            <w:webHidden/>
            <w:lang w:val="sl-SI"/>
          </w:rPr>
          <w:fldChar w:fldCharType="separate"/>
        </w:r>
        <w:r>
          <w:rPr>
            <w:noProof/>
            <w:webHidden/>
            <w:lang w:val="sl-SI"/>
          </w:rPr>
          <w:t>16</w:t>
        </w:r>
        <w:r w:rsidR="00AC7C4F" w:rsidRPr="00EE1689">
          <w:rPr>
            <w:webHidden/>
            <w:lang w:val="sl-SI"/>
          </w:rPr>
          <w:fldChar w:fldCharType="end"/>
        </w:r>
      </w:hyperlink>
    </w:p>
    <w:p w14:paraId="7B060747" w14:textId="2EC90F54" w:rsidR="00AC7C4F" w:rsidRPr="00EE1689" w:rsidRDefault="00FA3430" w:rsidP="008B7E4C">
      <w:pPr>
        <w:pStyle w:val="TOC1"/>
        <w:tabs>
          <w:tab w:val="left" w:pos="567"/>
          <w:tab w:val="right" w:leader="dot" w:pos="9061"/>
        </w:tabs>
        <w:spacing w:after="0" w:line="360" w:lineRule="auto"/>
        <w:ind w:left="567" w:hanging="567"/>
        <w:jc w:val="both"/>
        <w:rPr>
          <w:lang w:val="sl-SI" w:eastAsia="en-GB"/>
        </w:rPr>
      </w:pPr>
      <w:hyperlink w:anchor="_Toc105440141" w:history="1">
        <w:r w:rsidR="00AC7C4F" w:rsidRPr="00EE1689">
          <w:rPr>
            <w:rStyle w:val="Hyperlink"/>
            <w:lang w:val="sl-SI"/>
          </w:rPr>
          <w:t>7.</w:t>
        </w:r>
        <w:r w:rsidR="00AC7C4F" w:rsidRPr="00EE1689">
          <w:rPr>
            <w:lang w:val="sl-SI" w:eastAsia="en-GB"/>
          </w:rPr>
          <w:tab/>
        </w:r>
        <w:r w:rsidR="00AC7C4F" w:rsidRPr="00EE1689">
          <w:rPr>
            <w:rStyle w:val="Hyperlink"/>
            <w:b/>
            <w:lang w:val="sl-SI"/>
          </w:rPr>
          <w:t>POSVETOVALNA KOMISIJA ZA SPREMEMBE V INDUSTRIJI</w:t>
        </w:r>
        <w:r w:rsidR="00AC7C4F" w:rsidRPr="00EE1689">
          <w:rPr>
            <w:webHidden/>
            <w:lang w:val="sl-SI"/>
          </w:rPr>
          <w:tab/>
        </w:r>
        <w:r w:rsidR="00AC7C4F" w:rsidRPr="00EE1689">
          <w:rPr>
            <w:webHidden/>
            <w:lang w:val="sl-SI"/>
          </w:rPr>
          <w:fldChar w:fldCharType="begin"/>
        </w:r>
        <w:r w:rsidR="00AC7C4F" w:rsidRPr="00EE1689">
          <w:rPr>
            <w:webHidden/>
            <w:lang w:val="sl-SI"/>
          </w:rPr>
          <w:instrText xml:space="preserve"> PAGEREF _Toc105440141 \h </w:instrText>
        </w:r>
        <w:r w:rsidR="00AC7C4F" w:rsidRPr="00EE1689">
          <w:rPr>
            <w:webHidden/>
            <w:lang w:val="sl-SI"/>
          </w:rPr>
        </w:r>
        <w:r w:rsidR="00AC7C4F" w:rsidRPr="00EE1689">
          <w:rPr>
            <w:webHidden/>
            <w:lang w:val="sl-SI"/>
          </w:rPr>
          <w:fldChar w:fldCharType="separate"/>
        </w:r>
        <w:r>
          <w:rPr>
            <w:noProof/>
            <w:webHidden/>
            <w:lang w:val="sl-SI"/>
          </w:rPr>
          <w:t>19</w:t>
        </w:r>
        <w:r w:rsidR="00AC7C4F" w:rsidRPr="00EE1689">
          <w:rPr>
            <w:webHidden/>
            <w:lang w:val="sl-SI"/>
          </w:rPr>
          <w:fldChar w:fldCharType="end"/>
        </w:r>
      </w:hyperlink>
    </w:p>
    <w:p w14:paraId="3152343E" w14:textId="77777777" w:rsidR="00437105" w:rsidRPr="00EE1689" w:rsidRDefault="00AC7C4F" w:rsidP="00AC1FA9">
      <w:pPr>
        <w:rPr>
          <w:szCs w:val="22"/>
          <w:lang w:val="sl-SI"/>
        </w:rPr>
      </w:pPr>
      <w:r w:rsidRPr="00EE1689">
        <w:rPr>
          <w:szCs w:val="22"/>
          <w:lang w:val="sl-SI"/>
        </w:rPr>
        <w:fldChar w:fldCharType="end"/>
      </w:r>
    </w:p>
    <w:p w14:paraId="39AAF555" w14:textId="77777777" w:rsidR="00437105" w:rsidRPr="00EE1689" w:rsidRDefault="00437105" w:rsidP="000619F4">
      <w:pPr>
        <w:pStyle w:val="Heading1"/>
        <w:pageBreakBefore/>
        <w:overflowPunct/>
        <w:autoSpaceDE/>
        <w:autoSpaceDN/>
        <w:adjustRightInd/>
        <w:spacing w:line="240" w:lineRule="auto"/>
        <w:ind w:left="567" w:hanging="567"/>
        <w:textAlignment w:val="auto"/>
        <w:rPr>
          <w:lang w:val="sl-SI"/>
        </w:rPr>
      </w:pPr>
      <w:bookmarkStart w:id="0" w:name="_Toc76390233"/>
      <w:bookmarkStart w:id="1" w:name="_Toc103071391"/>
      <w:bookmarkStart w:id="2" w:name="_Toc105440135"/>
      <w:r w:rsidRPr="00EE1689">
        <w:rPr>
          <w:b/>
          <w:lang w:val="sl-SI"/>
        </w:rPr>
        <w:lastRenderedPageBreak/>
        <w:t>EKONOMSKA IN MONETARNA UNIJA TER EKONOMSKA IN SOCIALNA KOHEZIJA</w:t>
      </w:r>
      <w:bookmarkEnd w:id="0"/>
      <w:bookmarkEnd w:id="1"/>
      <w:bookmarkEnd w:id="2"/>
    </w:p>
    <w:p w14:paraId="6E928A4E" w14:textId="77777777" w:rsidR="00437105" w:rsidRPr="00EE1689" w:rsidRDefault="00437105" w:rsidP="000619F4">
      <w:pPr>
        <w:spacing w:line="240" w:lineRule="auto"/>
        <w:rPr>
          <w:lang w:val="sl-SI"/>
        </w:rPr>
      </w:pPr>
    </w:p>
    <w:p w14:paraId="06D0B6AB" w14:textId="57240FA3" w:rsidR="00BB1A0B" w:rsidRPr="00EE1689" w:rsidRDefault="00FA3430" w:rsidP="000619F4">
      <w:pPr>
        <w:numPr>
          <w:ilvl w:val="0"/>
          <w:numId w:val="7"/>
        </w:numPr>
        <w:tabs>
          <w:tab w:val="clear" w:pos="0"/>
        </w:tabs>
        <w:spacing w:line="240" w:lineRule="auto"/>
        <w:ind w:left="567" w:hanging="567"/>
        <w:rPr>
          <w:sz w:val="28"/>
          <w:szCs w:val="22"/>
          <w:lang w:val="sl-SI"/>
        </w:rPr>
      </w:pPr>
      <w:hyperlink r:id="rId12" w:history="1">
        <w:r w:rsidR="00021DAA" w:rsidRPr="00EE1689">
          <w:rPr>
            <w:rStyle w:val="Hyperlink"/>
            <w:b/>
            <w:i/>
            <w:sz w:val="28"/>
            <w:szCs w:val="22"/>
            <w:lang w:val="sl-SI"/>
          </w:rPr>
          <w:t>Izvajanje makroregionalnih strategij EU – peto poročilo</w:t>
        </w:r>
      </w:hyperlink>
    </w:p>
    <w:p w14:paraId="0FFC79FE" w14:textId="77777777" w:rsidR="00BB1A0B" w:rsidRPr="00EE1689" w:rsidRDefault="00BB1A0B" w:rsidP="000619F4">
      <w:pPr>
        <w:spacing w:line="240" w:lineRule="auto"/>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BB1A0B" w:rsidRPr="00EE1689" w14:paraId="1D59124D" w14:textId="77777777" w:rsidTr="00F50D00">
        <w:tc>
          <w:tcPr>
            <w:tcW w:w="974" w:type="pct"/>
          </w:tcPr>
          <w:p w14:paraId="63E0BDC4" w14:textId="77777777" w:rsidR="00BB1A0B" w:rsidRPr="00EE1689" w:rsidRDefault="00BB1A0B" w:rsidP="000619F4">
            <w:pPr>
              <w:spacing w:line="240" w:lineRule="auto"/>
              <w:rPr>
                <w:b/>
                <w:szCs w:val="22"/>
                <w:lang w:val="sl-SI"/>
              </w:rPr>
            </w:pPr>
            <w:r w:rsidRPr="00EE1689">
              <w:rPr>
                <w:b/>
                <w:szCs w:val="22"/>
                <w:lang w:val="sl-SI"/>
              </w:rPr>
              <w:t>Poročevalec</w:t>
            </w:r>
          </w:p>
        </w:tc>
        <w:tc>
          <w:tcPr>
            <w:tcW w:w="4026" w:type="pct"/>
          </w:tcPr>
          <w:p w14:paraId="3FDD06C2" w14:textId="651BC803" w:rsidR="00BB1A0B" w:rsidRPr="00EE1689" w:rsidRDefault="00021DAA" w:rsidP="000619F4">
            <w:pPr>
              <w:spacing w:line="240" w:lineRule="auto"/>
              <w:rPr>
                <w:szCs w:val="22"/>
                <w:lang w:val="sl-SI"/>
              </w:rPr>
            </w:pPr>
            <w:r w:rsidRPr="00EE1689">
              <w:rPr>
                <w:szCs w:val="22"/>
                <w:lang w:val="sl-SI"/>
              </w:rPr>
              <w:t>Stefano PALMIERI (skupina delojemalcev – IT)</w:t>
            </w:r>
          </w:p>
        </w:tc>
      </w:tr>
      <w:tr w:rsidR="00BB1A0B" w:rsidRPr="00EE1689" w14:paraId="0609AACA" w14:textId="77777777" w:rsidTr="00F50D00">
        <w:tc>
          <w:tcPr>
            <w:tcW w:w="5000" w:type="pct"/>
            <w:gridSpan w:val="2"/>
          </w:tcPr>
          <w:p w14:paraId="35151D16" w14:textId="77777777" w:rsidR="00BB1A0B" w:rsidRPr="00EE1689" w:rsidRDefault="00BB1A0B" w:rsidP="000619F4">
            <w:pPr>
              <w:spacing w:line="240" w:lineRule="auto"/>
              <w:rPr>
                <w:sz w:val="16"/>
                <w:szCs w:val="22"/>
                <w:lang w:val="sl-SI"/>
              </w:rPr>
            </w:pPr>
          </w:p>
        </w:tc>
      </w:tr>
      <w:tr w:rsidR="00BB1A0B" w:rsidRPr="00EE1689" w14:paraId="686A22CF" w14:textId="77777777" w:rsidTr="00F50D00">
        <w:tc>
          <w:tcPr>
            <w:tcW w:w="974" w:type="pct"/>
            <w:vMerge w:val="restart"/>
          </w:tcPr>
          <w:p w14:paraId="3BE9BA09" w14:textId="0644B877" w:rsidR="00BB1A0B" w:rsidRPr="00EE1689" w:rsidRDefault="00BB1A0B" w:rsidP="000619F4">
            <w:pPr>
              <w:spacing w:line="240" w:lineRule="auto"/>
              <w:rPr>
                <w:b/>
                <w:szCs w:val="22"/>
                <w:lang w:val="sl-SI"/>
              </w:rPr>
            </w:pPr>
            <w:r w:rsidRPr="00EE1689">
              <w:rPr>
                <w:b/>
                <w:szCs w:val="22"/>
                <w:lang w:val="sl-SI"/>
              </w:rPr>
              <w:t>Referenčn</w:t>
            </w:r>
            <w:r w:rsidR="00021DAA" w:rsidRPr="00EE1689">
              <w:rPr>
                <w:b/>
                <w:szCs w:val="22"/>
                <w:lang w:val="sl-SI"/>
              </w:rPr>
              <w:t>i</w:t>
            </w:r>
            <w:r w:rsidRPr="00EE1689">
              <w:rPr>
                <w:b/>
                <w:szCs w:val="22"/>
                <w:lang w:val="sl-SI"/>
              </w:rPr>
              <w:t xml:space="preserve"> </w:t>
            </w:r>
            <w:r w:rsidR="0011267C" w:rsidRPr="00EE1689">
              <w:rPr>
                <w:b/>
                <w:szCs w:val="22"/>
                <w:lang w:val="sl-SI"/>
              </w:rPr>
              <w:t>dok</w:t>
            </w:r>
            <w:r w:rsidRPr="00EE1689">
              <w:rPr>
                <w:b/>
                <w:szCs w:val="22"/>
                <w:lang w:val="sl-SI"/>
              </w:rPr>
              <w:t>ument</w:t>
            </w:r>
            <w:r w:rsidR="00021DAA" w:rsidRPr="00EE1689">
              <w:rPr>
                <w:b/>
                <w:szCs w:val="22"/>
                <w:lang w:val="sl-SI"/>
              </w:rPr>
              <w:t>i</w:t>
            </w:r>
          </w:p>
        </w:tc>
        <w:tc>
          <w:tcPr>
            <w:tcW w:w="4026" w:type="pct"/>
          </w:tcPr>
          <w:p w14:paraId="2A54EBAA" w14:textId="77777777" w:rsidR="00286904" w:rsidRPr="00EE1689" w:rsidRDefault="00021DAA" w:rsidP="000619F4">
            <w:pPr>
              <w:spacing w:line="240" w:lineRule="auto"/>
              <w:rPr>
                <w:szCs w:val="22"/>
                <w:lang w:val="sl-SI"/>
              </w:rPr>
            </w:pPr>
            <w:r w:rsidRPr="00EE1689">
              <w:rPr>
                <w:szCs w:val="22"/>
                <w:lang w:val="sl-SI"/>
              </w:rPr>
              <w:t>COM(2025) 191 final</w:t>
            </w:r>
          </w:p>
          <w:p w14:paraId="1092BD05" w14:textId="6AE690FB" w:rsidR="00BB1A0B" w:rsidRPr="00EE1689" w:rsidRDefault="00021DAA" w:rsidP="000619F4">
            <w:pPr>
              <w:spacing w:line="240" w:lineRule="auto"/>
              <w:rPr>
                <w:szCs w:val="22"/>
                <w:lang w:val="sl-SI"/>
              </w:rPr>
            </w:pPr>
            <w:r w:rsidRPr="00EE1689">
              <w:rPr>
                <w:szCs w:val="22"/>
                <w:lang w:val="sl-SI"/>
              </w:rPr>
              <w:t>COM(2025) 196 final</w:t>
            </w:r>
          </w:p>
        </w:tc>
      </w:tr>
      <w:tr w:rsidR="00BB1A0B" w:rsidRPr="00EE1689" w14:paraId="3B1AA2B5" w14:textId="77777777" w:rsidTr="00F50D00">
        <w:tc>
          <w:tcPr>
            <w:tcW w:w="974" w:type="pct"/>
            <w:vMerge/>
          </w:tcPr>
          <w:p w14:paraId="4AC64FAB" w14:textId="77777777" w:rsidR="00BB1A0B" w:rsidRPr="00EE1689" w:rsidRDefault="00BB1A0B" w:rsidP="000619F4">
            <w:pPr>
              <w:tabs>
                <w:tab w:val="center" w:pos="284"/>
              </w:tabs>
              <w:spacing w:line="240" w:lineRule="auto"/>
              <w:ind w:left="266" w:hanging="266"/>
              <w:rPr>
                <w:b/>
                <w:szCs w:val="22"/>
                <w:lang w:val="sl-SI"/>
              </w:rPr>
            </w:pPr>
          </w:p>
        </w:tc>
        <w:tc>
          <w:tcPr>
            <w:tcW w:w="4026" w:type="pct"/>
          </w:tcPr>
          <w:p w14:paraId="34EB1F40" w14:textId="39CA8E4C" w:rsidR="00BB1A0B" w:rsidRPr="00EE1689" w:rsidRDefault="00021DAA" w:rsidP="000619F4">
            <w:pPr>
              <w:spacing w:line="240" w:lineRule="auto"/>
              <w:rPr>
                <w:szCs w:val="22"/>
                <w:lang w:val="sl-SI"/>
              </w:rPr>
            </w:pPr>
            <w:r w:rsidRPr="00EE1689">
              <w:rPr>
                <w:szCs w:val="22"/>
                <w:lang w:val="sl-SI"/>
              </w:rPr>
              <w:t>EESC-2025-02216-00-00-AC</w:t>
            </w:r>
          </w:p>
        </w:tc>
      </w:tr>
    </w:tbl>
    <w:p w14:paraId="07E0C609" w14:textId="77777777" w:rsidR="00BB1A0B" w:rsidRPr="00EE1689" w:rsidRDefault="00BB1A0B" w:rsidP="000619F4">
      <w:pPr>
        <w:spacing w:line="240" w:lineRule="auto"/>
        <w:rPr>
          <w:szCs w:val="22"/>
          <w:lang w:val="sl-SI"/>
        </w:rPr>
      </w:pPr>
    </w:p>
    <w:p w14:paraId="5519F74C" w14:textId="77777777" w:rsidR="00BB1A0B" w:rsidRPr="00EE1689" w:rsidRDefault="00BB1A0B" w:rsidP="000619F4">
      <w:pPr>
        <w:spacing w:line="240" w:lineRule="auto"/>
        <w:rPr>
          <w:lang w:val="sl-SI"/>
        </w:rPr>
      </w:pPr>
      <w:r w:rsidRPr="00EE1689">
        <w:rPr>
          <w:b/>
          <w:lang w:val="sl-SI"/>
        </w:rPr>
        <w:t>Glavne točke</w:t>
      </w:r>
    </w:p>
    <w:p w14:paraId="60310902" w14:textId="77777777" w:rsidR="00BB1A0B" w:rsidRPr="00EE1689" w:rsidRDefault="00BB1A0B" w:rsidP="000619F4">
      <w:pPr>
        <w:spacing w:line="240" w:lineRule="auto"/>
        <w:rPr>
          <w:szCs w:val="22"/>
          <w:lang w:val="sl-SI"/>
        </w:rPr>
      </w:pPr>
    </w:p>
    <w:p w14:paraId="543368DE" w14:textId="77777777" w:rsidR="00BB1A0B" w:rsidRPr="00EE1689" w:rsidRDefault="00BB1A0B" w:rsidP="000619F4">
      <w:pPr>
        <w:spacing w:line="240" w:lineRule="auto"/>
        <w:rPr>
          <w:bCs/>
          <w:iCs/>
          <w:szCs w:val="22"/>
          <w:lang w:val="sl-SI"/>
        </w:rPr>
      </w:pPr>
      <w:r w:rsidRPr="00EE1689">
        <w:rPr>
          <w:bCs/>
          <w:iCs/>
          <w:szCs w:val="22"/>
          <w:lang w:val="sl-SI"/>
        </w:rPr>
        <w:t>EESO:</w:t>
      </w:r>
    </w:p>
    <w:p w14:paraId="534AF001" w14:textId="77777777" w:rsidR="00BB1A0B" w:rsidRPr="00EE1689" w:rsidRDefault="00BB1A0B" w:rsidP="000619F4">
      <w:pPr>
        <w:spacing w:line="240" w:lineRule="auto"/>
        <w:rPr>
          <w:szCs w:val="22"/>
          <w:lang w:val="sl-SI"/>
        </w:rPr>
      </w:pPr>
    </w:p>
    <w:p w14:paraId="5501442E" w14:textId="5038BB45" w:rsidR="00021DAA" w:rsidRPr="00EE1689" w:rsidRDefault="00021DAA" w:rsidP="000619F4">
      <w:pPr>
        <w:widowControl w:val="0"/>
        <w:numPr>
          <w:ilvl w:val="0"/>
          <w:numId w:val="9"/>
        </w:numPr>
        <w:tabs>
          <w:tab w:val="clear" w:pos="0"/>
        </w:tabs>
        <w:spacing w:line="240" w:lineRule="auto"/>
        <w:ind w:left="567" w:hanging="567"/>
        <w:rPr>
          <w:szCs w:val="22"/>
          <w:lang w:val="sl-SI"/>
        </w:rPr>
      </w:pPr>
      <w:r w:rsidRPr="00EE1689">
        <w:rPr>
          <w:szCs w:val="22"/>
          <w:lang w:val="sl-SI"/>
        </w:rPr>
        <w:t>priznava, da imajo makroregionalne strategije (MRS) vlogo pri ustvarjanju sinergij na več ravneh med politikami, programi in akterji. S temi strategijami se je podprl zeleni in digitalni prehod ter razvila pomembna odpornost in solidarnost med pandemijo in sedanjimi krizami;</w:t>
      </w:r>
    </w:p>
    <w:p w14:paraId="2CA1867B" w14:textId="5F07AD80" w:rsidR="00021DAA" w:rsidRPr="00EE1689" w:rsidRDefault="00021DAA" w:rsidP="000619F4">
      <w:pPr>
        <w:widowControl w:val="0"/>
        <w:numPr>
          <w:ilvl w:val="0"/>
          <w:numId w:val="9"/>
        </w:numPr>
        <w:tabs>
          <w:tab w:val="clear" w:pos="0"/>
        </w:tabs>
        <w:spacing w:line="240" w:lineRule="auto"/>
        <w:ind w:left="567" w:hanging="567"/>
        <w:rPr>
          <w:szCs w:val="22"/>
          <w:lang w:val="sl-SI"/>
        </w:rPr>
      </w:pPr>
      <w:r w:rsidRPr="00EE1689">
        <w:rPr>
          <w:szCs w:val="22"/>
          <w:lang w:val="sl-SI"/>
        </w:rPr>
        <w:t>poziva k okrepitvi vertikalnega in horizontalnega upravljanja na več ravneh ter vključevanja lokalnih struktur;</w:t>
      </w:r>
    </w:p>
    <w:p w14:paraId="4BB0FA7E" w14:textId="71357049" w:rsidR="00021DAA" w:rsidRPr="000619F4" w:rsidRDefault="00021DAA" w:rsidP="000619F4">
      <w:pPr>
        <w:widowControl w:val="0"/>
        <w:numPr>
          <w:ilvl w:val="0"/>
          <w:numId w:val="9"/>
        </w:numPr>
        <w:tabs>
          <w:tab w:val="clear" w:pos="0"/>
        </w:tabs>
        <w:spacing w:line="240" w:lineRule="auto"/>
        <w:ind w:left="567" w:hanging="567"/>
        <w:rPr>
          <w:spacing w:val="-2"/>
          <w:szCs w:val="22"/>
          <w:lang w:val="sl-SI"/>
        </w:rPr>
      </w:pPr>
      <w:r w:rsidRPr="000619F4">
        <w:rPr>
          <w:spacing w:val="-2"/>
          <w:szCs w:val="22"/>
          <w:lang w:val="sl-SI"/>
        </w:rPr>
        <w:t>pozdravlja postopke revizije in poziva, naj se okrepijo socialna razsežnost, državljanska udeležba (vključno z mladino) in medregionalno sodelovanje. MRS morajo delovati kot laboratoriji za socialno vključevanje in socialne inovacije ter podpirati zeleno obdavčevanje in človeški kapital;</w:t>
      </w:r>
    </w:p>
    <w:p w14:paraId="5F869D7F" w14:textId="63F4F1F6" w:rsidR="00021DAA" w:rsidRPr="000619F4" w:rsidRDefault="00021DAA" w:rsidP="000619F4">
      <w:pPr>
        <w:widowControl w:val="0"/>
        <w:numPr>
          <w:ilvl w:val="0"/>
          <w:numId w:val="9"/>
        </w:numPr>
        <w:tabs>
          <w:tab w:val="clear" w:pos="0"/>
        </w:tabs>
        <w:spacing w:line="240" w:lineRule="auto"/>
        <w:ind w:left="567" w:hanging="567"/>
        <w:rPr>
          <w:spacing w:val="-8"/>
          <w:szCs w:val="22"/>
          <w:lang w:val="sl-SI"/>
        </w:rPr>
      </w:pPr>
      <w:r w:rsidRPr="000619F4">
        <w:rPr>
          <w:spacing w:val="-8"/>
          <w:szCs w:val="22"/>
          <w:lang w:val="sl-SI"/>
        </w:rPr>
        <w:t>je seznanjen z rezultati MRS EU za regijo Baltskega morja, s katero so se spodbudile trajnostnost in povezave v tej regiji. Pri reviziji iz leta 2021 sta se s strateško točko za Baltsko morje okrepila sodelovanje in upravljanje. Kljub prekinitvi odnosov z Rusijo in Belorusijo strategija ostaja v veljavi;</w:t>
      </w:r>
    </w:p>
    <w:p w14:paraId="4A54F64A" w14:textId="2B51058F" w:rsidR="00021DAA" w:rsidRPr="00EE1689" w:rsidRDefault="00021DAA" w:rsidP="000619F4">
      <w:pPr>
        <w:widowControl w:val="0"/>
        <w:numPr>
          <w:ilvl w:val="0"/>
          <w:numId w:val="9"/>
        </w:numPr>
        <w:tabs>
          <w:tab w:val="clear" w:pos="0"/>
        </w:tabs>
        <w:spacing w:line="240" w:lineRule="auto"/>
        <w:ind w:left="567" w:hanging="567"/>
        <w:rPr>
          <w:szCs w:val="22"/>
          <w:lang w:val="sl-SI"/>
        </w:rPr>
      </w:pPr>
      <w:r w:rsidRPr="00EE1689">
        <w:rPr>
          <w:szCs w:val="22"/>
          <w:lang w:val="sl-SI"/>
        </w:rPr>
        <w:t>poudarja napredek MRS za Podonavje. Z revizijo iz leta 2020 sta se izboljšali skladnost s prednostnimi nalogami EU in udeležba mladih, čeprav ne povsod enako, ker tudi politična prizadevanja niso enotna. Predsedstva so ponovno spodbudila inovacije in upravljanje;</w:t>
      </w:r>
    </w:p>
    <w:p w14:paraId="387956F7" w14:textId="38064D02" w:rsidR="00021DAA" w:rsidRPr="00EE1689" w:rsidRDefault="00021DAA" w:rsidP="000619F4">
      <w:pPr>
        <w:widowControl w:val="0"/>
        <w:numPr>
          <w:ilvl w:val="0"/>
          <w:numId w:val="9"/>
        </w:numPr>
        <w:tabs>
          <w:tab w:val="clear" w:pos="0"/>
        </w:tabs>
        <w:spacing w:line="240" w:lineRule="auto"/>
        <w:ind w:left="567" w:hanging="567"/>
        <w:rPr>
          <w:szCs w:val="22"/>
          <w:lang w:val="sl-SI"/>
        </w:rPr>
      </w:pPr>
      <w:r w:rsidRPr="00EE1689">
        <w:rPr>
          <w:szCs w:val="22"/>
          <w:lang w:val="sl-SI"/>
        </w:rPr>
        <w:t>poudarja rezultate MRS EU za jadransko-jonsko regijo (EUSAIR), katere akcijski načrt je bil nedavno posodobljen z uvedbo petega socialnega stebra. Strategija vključuje širitev, krožno gospodarstvo in digitalizacijo ter krepi partnerstva in odpornost;</w:t>
      </w:r>
    </w:p>
    <w:p w14:paraId="220A12A8" w14:textId="4F9F4B24" w:rsidR="00021DAA" w:rsidRPr="00EE1689" w:rsidRDefault="00021DAA" w:rsidP="000619F4">
      <w:pPr>
        <w:widowControl w:val="0"/>
        <w:numPr>
          <w:ilvl w:val="0"/>
          <w:numId w:val="9"/>
        </w:numPr>
        <w:tabs>
          <w:tab w:val="clear" w:pos="0"/>
        </w:tabs>
        <w:spacing w:line="240" w:lineRule="auto"/>
        <w:ind w:left="567" w:hanging="567"/>
        <w:rPr>
          <w:szCs w:val="22"/>
          <w:lang w:val="sl-SI"/>
        </w:rPr>
      </w:pPr>
      <w:r w:rsidRPr="00EE1689">
        <w:rPr>
          <w:szCs w:val="22"/>
          <w:lang w:val="sl-SI"/>
        </w:rPr>
        <w:t>pozitivno ocenjuje MRS EU za alpsko regijo (EUSALP), s katero sta se utrdila sodelovanje in stabilno upravljanje, odprta pa je tudi za tretje države. Revizija vključuje prednostne naloge na področju digitalizacije, energije, vodnih virov in krožnega gospodarstva;</w:t>
      </w:r>
    </w:p>
    <w:p w14:paraId="777A7119" w14:textId="2DDF168D" w:rsidR="00021DAA" w:rsidRPr="00EE1689" w:rsidRDefault="00021DAA" w:rsidP="000619F4">
      <w:pPr>
        <w:widowControl w:val="0"/>
        <w:numPr>
          <w:ilvl w:val="0"/>
          <w:numId w:val="9"/>
        </w:numPr>
        <w:tabs>
          <w:tab w:val="clear" w:pos="0"/>
        </w:tabs>
        <w:spacing w:line="240" w:lineRule="auto"/>
        <w:ind w:left="567" w:hanging="567"/>
        <w:rPr>
          <w:szCs w:val="22"/>
          <w:lang w:val="sl-SI"/>
        </w:rPr>
      </w:pPr>
      <w:r w:rsidRPr="00EE1689">
        <w:rPr>
          <w:szCs w:val="22"/>
          <w:lang w:val="sl-SI"/>
        </w:rPr>
        <w:t>se zaveda, da je širitev na Zahodni Balkan, Ukrajino in Moldavijo strateška prednostna naloga in da je mogoče z MRS okrepiti sodelovanje in institucionalne zmogljivosti;</w:t>
      </w:r>
    </w:p>
    <w:p w14:paraId="2F51C385" w14:textId="7C1862D1" w:rsidR="00021DAA" w:rsidRPr="00EE1689" w:rsidRDefault="00021DAA" w:rsidP="000619F4">
      <w:pPr>
        <w:widowControl w:val="0"/>
        <w:numPr>
          <w:ilvl w:val="0"/>
          <w:numId w:val="9"/>
        </w:numPr>
        <w:tabs>
          <w:tab w:val="clear" w:pos="0"/>
        </w:tabs>
        <w:spacing w:line="240" w:lineRule="auto"/>
        <w:ind w:left="567" w:hanging="567"/>
        <w:rPr>
          <w:szCs w:val="22"/>
          <w:lang w:val="sl-SI"/>
        </w:rPr>
      </w:pPr>
      <w:r w:rsidRPr="00EE1689">
        <w:rPr>
          <w:szCs w:val="22"/>
          <w:lang w:val="sl-SI"/>
        </w:rPr>
        <w:t>ugotavlja, da se je z vojaško agresijo Rusije proti Ukrajini potrdila vloga MRS kot instrumentov solidarnosti in odpornosti;</w:t>
      </w:r>
    </w:p>
    <w:p w14:paraId="6EC68D78" w14:textId="69C59ED1" w:rsidR="00021DAA" w:rsidRPr="000619F4" w:rsidRDefault="00021DAA" w:rsidP="000619F4">
      <w:pPr>
        <w:widowControl w:val="0"/>
        <w:numPr>
          <w:ilvl w:val="0"/>
          <w:numId w:val="9"/>
        </w:numPr>
        <w:tabs>
          <w:tab w:val="clear" w:pos="0"/>
        </w:tabs>
        <w:spacing w:line="240" w:lineRule="auto"/>
        <w:ind w:left="567" w:hanging="567"/>
        <w:rPr>
          <w:spacing w:val="-6"/>
          <w:szCs w:val="22"/>
          <w:lang w:val="sl-SI"/>
        </w:rPr>
      </w:pPr>
      <w:r w:rsidRPr="000619F4">
        <w:rPr>
          <w:spacing w:val="-6"/>
          <w:szCs w:val="22"/>
          <w:lang w:val="sl-SI"/>
        </w:rPr>
        <w:t>meni, da je ključen lokalni pristop MRS, na podlagi katerega se evropske prednostne naloge prilagajajo teritorialnim posebnostim ter s katerim se podpirajo kohezija z instrumenti, kot so lokalni razvoj, ki ga vodi skupnost, in inovativne pobude, ki spodbujajo državljansko udeležbo in udeležbo mladih;</w:t>
      </w:r>
    </w:p>
    <w:p w14:paraId="522E31B9" w14:textId="6627E3FE" w:rsidR="00021DAA" w:rsidRPr="000619F4" w:rsidRDefault="00021DAA" w:rsidP="000619F4">
      <w:pPr>
        <w:widowControl w:val="0"/>
        <w:numPr>
          <w:ilvl w:val="0"/>
          <w:numId w:val="9"/>
        </w:numPr>
        <w:tabs>
          <w:tab w:val="clear" w:pos="0"/>
        </w:tabs>
        <w:spacing w:line="240" w:lineRule="auto"/>
        <w:ind w:left="567" w:hanging="567"/>
        <w:rPr>
          <w:spacing w:val="-8"/>
          <w:szCs w:val="22"/>
          <w:lang w:val="sl-SI"/>
        </w:rPr>
      </w:pPr>
      <w:r w:rsidRPr="000619F4">
        <w:rPr>
          <w:spacing w:val="-8"/>
          <w:szCs w:val="22"/>
          <w:lang w:val="sl-SI"/>
        </w:rPr>
        <w:t>poziva k okrepitvi upravljanja in financiranja ter vključitvi prednostnih nalog MRS v glavne programe EU. Okrepiti je treba lokalne spretnosti, utrditi partnerstva in aktivno vključiti civilno družbo in mlade;</w:t>
      </w:r>
    </w:p>
    <w:p w14:paraId="51366D3C" w14:textId="209A8219" w:rsidR="00021DAA" w:rsidRPr="00EE1689" w:rsidRDefault="00021DAA" w:rsidP="000619F4">
      <w:pPr>
        <w:widowControl w:val="0"/>
        <w:numPr>
          <w:ilvl w:val="0"/>
          <w:numId w:val="9"/>
        </w:numPr>
        <w:tabs>
          <w:tab w:val="clear" w:pos="0"/>
        </w:tabs>
        <w:spacing w:line="240" w:lineRule="auto"/>
        <w:ind w:left="567" w:hanging="567"/>
        <w:rPr>
          <w:szCs w:val="22"/>
          <w:lang w:val="sl-SI"/>
        </w:rPr>
      </w:pPr>
      <w:r w:rsidRPr="00EE1689">
        <w:rPr>
          <w:szCs w:val="22"/>
          <w:lang w:val="sl-SI"/>
        </w:rPr>
        <w:t>meni, da novi večletni finančni okvir (za obdobje 2028–2034) vsebuje tveganja za ustrezno delovanje MRS. Zato je bistveno, da se jih vključi v načrte za partnerstva;</w:t>
      </w:r>
    </w:p>
    <w:p w14:paraId="30096745" w14:textId="2B65B3A1" w:rsidR="00021DAA" w:rsidRPr="000619F4" w:rsidRDefault="00021DAA" w:rsidP="000619F4">
      <w:pPr>
        <w:widowControl w:val="0"/>
        <w:numPr>
          <w:ilvl w:val="0"/>
          <w:numId w:val="9"/>
        </w:numPr>
        <w:tabs>
          <w:tab w:val="clear" w:pos="0"/>
        </w:tabs>
        <w:spacing w:line="240" w:lineRule="auto"/>
        <w:ind w:left="567" w:hanging="567"/>
        <w:rPr>
          <w:spacing w:val="-12"/>
          <w:szCs w:val="22"/>
          <w:lang w:val="sl-SI"/>
        </w:rPr>
      </w:pPr>
      <w:r w:rsidRPr="000619F4">
        <w:rPr>
          <w:spacing w:val="-12"/>
          <w:szCs w:val="22"/>
          <w:lang w:val="sl-SI"/>
        </w:rPr>
        <w:t>poudarja, da je v institucijah, vključenih v MRS, potrebno pregledno in odgovorno upravljanje brez korupcije;</w:t>
      </w:r>
    </w:p>
    <w:p w14:paraId="53219D9C" w14:textId="21B6A0A8" w:rsidR="00BB1A0B" w:rsidRPr="00EE1689" w:rsidRDefault="00021DAA" w:rsidP="000619F4">
      <w:pPr>
        <w:widowControl w:val="0"/>
        <w:numPr>
          <w:ilvl w:val="0"/>
          <w:numId w:val="9"/>
        </w:numPr>
        <w:tabs>
          <w:tab w:val="clear" w:pos="0"/>
        </w:tabs>
        <w:spacing w:line="240" w:lineRule="auto"/>
        <w:ind w:left="567" w:hanging="567"/>
        <w:rPr>
          <w:lang w:val="sl-SI"/>
        </w:rPr>
      </w:pPr>
      <w:r w:rsidRPr="00EE1689">
        <w:rPr>
          <w:szCs w:val="22"/>
          <w:lang w:val="sl-SI"/>
        </w:rPr>
        <w:t>poziva k ustanovitvi nove makroregije na območju Sredozemlja za reševanje skupnih izzivov, kot so podnebne spremembe</w:t>
      </w:r>
      <w:r w:rsidRPr="00EE1689">
        <w:rPr>
          <w:lang w:val="sl-SI"/>
        </w:rPr>
        <w:t>, migracijski tokovi, energetski prehod in modra trajnostnost.</w:t>
      </w:r>
    </w:p>
    <w:p w14:paraId="50936428" w14:textId="77777777" w:rsidR="00021DAA" w:rsidRPr="00EE1689" w:rsidRDefault="00021DAA" w:rsidP="000619F4">
      <w:pPr>
        <w:spacing w:line="240" w:lineRule="auto"/>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50D00" w:rsidRPr="00EE1689" w14:paraId="290945AD" w14:textId="77777777" w:rsidTr="00F50D00">
        <w:tc>
          <w:tcPr>
            <w:tcW w:w="974" w:type="pct"/>
          </w:tcPr>
          <w:p w14:paraId="4BA853FF" w14:textId="77777777" w:rsidR="00F50D00" w:rsidRPr="00EE1689" w:rsidRDefault="00F50D00" w:rsidP="000619F4">
            <w:pPr>
              <w:spacing w:line="240" w:lineRule="auto"/>
              <w:rPr>
                <w:lang w:val="sl-SI"/>
              </w:rPr>
            </w:pPr>
            <w:r w:rsidRPr="00EE1689">
              <w:rPr>
                <w:b/>
                <w:i/>
                <w:szCs w:val="22"/>
                <w:lang w:val="sl-SI"/>
              </w:rPr>
              <w:t>Kontaktna oseba</w:t>
            </w:r>
          </w:p>
        </w:tc>
        <w:tc>
          <w:tcPr>
            <w:tcW w:w="4026" w:type="pct"/>
          </w:tcPr>
          <w:p w14:paraId="13AB2DD0" w14:textId="46EA87EB" w:rsidR="00F50D00" w:rsidRPr="00EE1689" w:rsidRDefault="00021DAA" w:rsidP="000619F4">
            <w:pPr>
              <w:spacing w:line="240" w:lineRule="auto"/>
              <w:rPr>
                <w:i/>
                <w:lang w:val="sl-SI"/>
              </w:rPr>
            </w:pPr>
            <w:r w:rsidRPr="00EE1689">
              <w:rPr>
                <w:i/>
                <w:lang w:val="sl-SI"/>
              </w:rPr>
              <w:t>Georgios Meleas</w:t>
            </w:r>
          </w:p>
        </w:tc>
      </w:tr>
      <w:tr w:rsidR="00F50D00" w:rsidRPr="00EE1689" w14:paraId="57A228B3" w14:textId="77777777" w:rsidTr="00F50D00">
        <w:tc>
          <w:tcPr>
            <w:tcW w:w="974" w:type="pct"/>
          </w:tcPr>
          <w:p w14:paraId="63C2D1C4" w14:textId="77777777" w:rsidR="00F50D00" w:rsidRPr="00EE1689" w:rsidRDefault="006926AD" w:rsidP="000619F4">
            <w:pPr>
              <w:spacing w:line="240" w:lineRule="auto"/>
              <w:rPr>
                <w:lang w:val="sl-SI"/>
              </w:rPr>
            </w:pPr>
            <w:r w:rsidRPr="00EE1689">
              <w:rPr>
                <w:i/>
                <w:szCs w:val="22"/>
                <w:lang w:val="sl-SI"/>
              </w:rPr>
              <w:t>Telefon</w:t>
            </w:r>
          </w:p>
        </w:tc>
        <w:tc>
          <w:tcPr>
            <w:tcW w:w="4026" w:type="pct"/>
          </w:tcPr>
          <w:p w14:paraId="43F636D3" w14:textId="79CE01BB" w:rsidR="00F50D00" w:rsidRPr="00EE1689" w:rsidRDefault="000D558D" w:rsidP="000619F4">
            <w:pPr>
              <w:spacing w:line="240" w:lineRule="auto"/>
              <w:rPr>
                <w:lang w:val="sl-SI"/>
              </w:rPr>
            </w:pPr>
            <w:r w:rsidRPr="00EE1689">
              <w:rPr>
                <w:i/>
                <w:szCs w:val="22"/>
                <w:lang w:val="sl-SI"/>
              </w:rPr>
              <w:t>+</w:t>
            </w:r>
            <w:r w:rsidR="00F50D00" w:rsidRPr="00EE1689">
              <w:rPr>
                <w:i/>
                <w:szCs w:val="22"/>
                <w:lang w:val="sl-SI"/>
              </w:rPr>
              <w:t>32 2 </w:t>
            </w:r>
            <w:r w:rsidR="00021DAA" w:rsidRPr="00EE1689">
              <w:rPr>
                <w:i/>
                <w:szCs w:val="22"/>
                <w:lang w:val="sl-SI"/>
              </w:rPr>
              <w:t>546 9795</w:t>
            </w:r>
          </w:p>
        </w:tc>
      </w:tr>
      <w:tr w:rsidR="00F50D00" w:rsidRPr="00EE1689" w14:paraId="41343D56" w14:textId="77777777" w:rsidTr="00F50D00">
        <w:tc>
          <w:tcPr>
            <w:tcW w:w="974" w:type="pct"/>
          </w:tcPr>
          <w:p w14:paraId="03003206" w14:textId="77777777" w:rsidR="00F50D00" w:rsidRPr="00EE1689" w:rsidRDefault="00F50D00" w:rsidP="000619F4">
            <w:pPr>
              <w:spacing w:line="240" w:lineRule="auto"/>
              <w:rPr>
                <w:lang w:val="sl-SI"/>
              </w:rPr>
            </w:pPr>
            <w:r w:rsidRPr="00EE1689">
              <w:rPr>
                <w:i/>
                <w:szCs w:val="22"/>
                <w:lang w:val="sl-SI"/>
              </w:rPr>
              <w:t>E-naslov</w:t>
            </w:r>
          </w:p>
        </w:tc>
        <w:tc>
          <w:tcPr>
            <w:tcW w:w="4026" w:type="pct"/>
          </w:tcPr>
          <w:p w14:paraId="398BBF3C" w14:textId="1335627E" w:rsidR="00F50D00" w:rsidRPr="00EE1689" w:rsidRDefault="00FA3430" w:rsidP="000619F4">
            <w:pPr>
              <w:spacing w:line="240" w:lineRule="auto"/>
              <w:rPr>
                <w:i/>
                <w:lang w:val="sl-SI"/>
              </w:rPr>
            </w:pPr>
            <w:hyperlink r:id="rId13" w:history="1">
              <w:r w:rsidR="00021DAA" w:rsidRPr="00EE1689">
                <w:rPr>
                  <w:rStyle w:val="Hyperlink"/>
                  <w:i/>
                  <w:lang w:val="sl-SI"/>
                </w:rPr>
                <w:t>Georgios.Meleas@eesc.europa.eu</w:t>
              </w:r>
            </w:hyperlink>
          </w:p>
        </w:tc>
      </w:tr>
    </w:tbl>
    <w:p w14:paraId="0C21E33D" w14:textId="77777777" w:rsidR="00F50D00" w:rsidRPr="00EE1689" w:rsidRDefault="00F50D00" w:rsidP="000619F4">
      <w:pPr>
        <w:spacing w:line="240" w:lineRule="auto"/>
        <w:rPr>
          <w:lang w:val="sl-SI"/>
        </w:rPr>
      </w:pPr>
    </w:p>
    <w:p w14:paraId="0A966B33" w14:textId="1D51408F" w:rsidR="007C6480" w:rsidRPr="00EE1689" w:rsidRDefault="00FA3430" w:rsidP="000619F4">
      <w:pPr>
        <w:keepNext/>
        <w:keepLines/>
        <w:numPr>
          <w:ilvl w:val="0"/>
          <w:numId w:val="7"/>
        </w:numPr>
        <w:tabs>
          <w:tab w:val="clear" w:pos="0"/>
        </w:tabs>
        <w:spacing w:line="269" w:lineRule="auto"/>
        <w:ind w:left="567" w:hanging="567"/>
        <w:rPr>
          <w:sz w:val="28"/>
          <w:szCs w:val="22"/>
          <w:lang w:val="sl-SI"/>
        </w:rPr>
      </w:pPr>
      <w:hyperlink r:id="rId14" w:history="1">
        <w:r w:rsidR="00D55FDB">
          <w:rPr>
            <w:rStyle w:val="Hyperlink"/>
            <w:b/>
            <w:i/>
            <w:sz w:val="28"/>
            <w:szCs w:val="22"/>
            <w:lang w:val="sl-SI"/>
          </w:rPr>
          <w:t>Vzpostavitev Evropskega sklada za regionalni razvoj, vključno z evropskim teritorialnim sodelovanjem (Interreg), in Kohezijskega sklada</w:t>
        </w:r>
      </w:hyperlink>
    </w:p>
    <w:p w14:paraId="479B3A99" w14:textId="77777777" w:rsidR="007C6480" w:rsidRPr="00EE1689" w:rsidRDefault="007C6480" w:rsidP="000619F4">
      <w:pPr>
        <w:keepNext/>
        <w:keepLines/>
        <w:spacing w:line="269" w:lineRule="auto"/>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7F502059" w14:textId="77777777" w:rsidTr="00827140">
        <w:tc>
          <w:tcPr>
            <w:tcW w:w="974" w:type="pct"/>
          </w:tcPr>
          <w:p w14:paraId="2923ECD4" w14:textId="77777777" w:rsidR="007C6480" w:rsidRPr="00EE1689" w:rsidRDefault="007C6480" w:rsidP="000619F4">
            <w:pPr>
              <w:keepNext/>
              <w:keepLines/>
              <w:spacing w:line="269" w:lineRule="auto"/>
              <w:rPr>
                <w:b/>
                <w:szCs w:val="22"/>
                <w:lang w:val="sl-SI"/>
              </w:rPr>
            </w:pPr>
            <w:r w:rsidRPr="00EE1689">
              <w:rPr>
                <w:b/>
                <w:szCs w:val="22"/>
                <w:lang w:val="sl-SI"/>
              </w:rPr>
              <w:t>Poročevalec</w:t>
            </w:r>
          </w:p>
        </w:tc>
        <w:tc>
          <w:tcPr>
            <w:tcW w:w="4026" w:type="pct"/>
          </w:tcPr>
          <w:p w14:paraId="62415469" w14:textId="43DC800E" w:rsidR="007C6480" w:rsidRPr="00EE1689" w:rsidRDefault="00021DAA" w:rsidP="000619F4">
            <w:pPr>
              <w:keepNext/>
              <w:keepLines/>
              <w:spacing w:line="269" w:lineRule="auto"/>
              <w:rPr>
                <w:szCs w:val="22"/>
                <w:lang w:val="sl-SI"/>
              </w:rPr>
            </w:pPr>
            <w:r w:rsidRPr="00EE1689">
              <w:rPr>
                <w:szCs w:val="22"/>
                <w:lang w:val="sl-SI"/>
              </w:rPr>
              <w:t>David SVENTEK (skupina delodajalcev – CZ)</w:t>
            </w:r>
          </w:p>
        </w:tc>
      </w:tr>
      <w:tr w:rsidR="007C6480" w:rsidRPr="00EE1689" w14:paraId="40219A8D" w14:textId="77777777" w:rsidTr="00827140">
        <w:tc>
          <w:tcPr>
            <w:tcW w:w="5000" w:type="pct"/>
            <w:gridSpan w:val="2"/>
          </w:tcPr>
          <w:p w14:paraId="4A5BD5B0" w14:textId="77777777" w:rsidR="007C6480" w:rsidRPr="00EE1689" w:rsidRDefault="007C6480" w:rsidP="000619F4">
            <w:pPr>
              <w:keepNext/>
              <w:keepLines/>
              <w:spacing w:line="269" w:lineRule="auto"/>
              <w:rPr>
                <w:sz w:val="16"/>
                <w:szCs w:val="22"/>
                <w:lang w:val="sl-SI"/>
              </w:rPr>
            </w:pPr>
          </w:p>
        </w:tc>
      </w:tr>
      <w:tr w:rsidR="007C6480" w:rsidRPr="00EE1689" w14:paraId="33E0C8E1" w14:textId="77777777" w:rsidTr="00827140">
        <w:tc>
          <w:tcPr>
            <w:tcW w:w="974" w:type="pct"/>
            <w:vMerge w:val="restart"/>
          </w:tcPr>
          <w:p w14:paraId="6432F65A" w14:textId="6E030193" w:rsidR="007C6480" w:rsidRPr="00EE1689" w:rsidRDefault="007C6480" w:rsidP="000619F4">
            <w:pPr>
              <w:spacing w:line="269" w:lineRule="auto"/>
              <w:rPr>
                <w:b/>
                <w:szCs w:val="22"/>
                <w:lang w:val="sl-SI"/>
              </w:rPr>
            </w:pPr>
            <w:r w:rsidRPr="00EE1689">
              <w:rPr>
                <w:b/>
                <w:szCs w:val="22"/>
                <w:lang w:val="sl-SI"/>
              </w:rPr>
              <w:t>Referenčn</w:t>
            </w:r>
            <w:r w:rsidR="00021DAA" w:rsidRPr="00EE1689">
              <w:rPr>
                <w:b/>
                <w:szCs w:val="22"/>
                <w:lang w:val="sl-SI"/>
              </w:rPr>
              <w:t>a</w:t>
            </w:r>
            <w:r w:rsidRPr="00EE1689">
              <w:rPr>
                <w:b/>
                <w:szCs w:val="22"/>
                <w:lang w:val="sl-SI"/>
              </w:rPr>
              <w:t xml:space="preserve"> dokument</w:t>
            </w:r>
            <w:r w:rsidR="00021DAA" w:rsidRPr="00EE1689">
              <w:rPr>
                <w:b/>
                <w:szCs w:val="22"/>
                <w:lang w:val="sl-SI"/>
              </w:rPr>
              <w:t>a</w:t>
            </w:r>
          </w:p>
        </w:tc>
        <w:tc>
          <w:tcPr>
            <w:tcW w:w="4026" w:type="pct"/>
          </w:tcPr>
          <w:p w14:paraId="1221C073" w14:textId="56BAEE6C" w:rsidR="007C6480" w:rsidRPr="00EE1689" w:rsidRDefault="00021DAA" w:rsidP="000619F4">
            <w:pPr>
              <w:spacing w:line="269" w:lineRule="auto"/>
              <w:rPr>
                <w:szCs w:val="22"/>
                <w:lang w:val="sl-SI"/>
              </w:rPr>
            </w:pPr>
            <w:r w:rsidRPr="00EE1689">
              <w:rPr>
                <w:szCs w:val="22"/>
                <w:lang w:val="sl-SI"/>
              </w:rPr>
              <w:t>COM(2025) 552 final</w:t>
            </w:r>
          </w:p>
        </w:tc>
      </w:tr>
      <w:tr w:rsidR="007C6480" w:rsidRPr="00EE1689" w14:paraId="49019537" w14:textId="77777777" w:rsidTr="00827140">
        <w:tc>
          <w:tcPr>
            <w:tcW w:w="974" w:type="pct"/>
            <w:vMerge/>
          </w:tcPr>
          <w:p w14:paraId="5187360E" w14:textId="77777777" w:rsidR="007C6480" w:rsidRPr="00EE1689" w:rsidRDefault="007C6480" w:rsidP="000619F4">
            <w:pPr>
              <w:tabs>
                <w:tab w:val="center" w:pos="284"/>
              </w:tabs>
              <w:spacing w:line="269" w:lineRule="auto"/>
              <w:ind w:left="266" w:hanging="266"/>
              <w:rPr>
                <w:b/>
                <w:szCs w:val="22"/>
                <w:lang w:val="sl-SI"/>
              </w:rPr>
            </w:pPr>
          </w:p>
        </w:tc>
        <w:tc>
          <w:tcPr>
            <w:tcW w:w="4026" w:type="pct"/>
          </w:tcPr>
          <w:p w14:paraId="4B319A84" w14:textId="3E2CA8E5" w:rsidR="007C6480" w:rsidRPr="00EE1689" w:rsidRDefault="00021DAA" w:rsidP="000619F4">
            <w:pPr>
              <w:spacing w:line="269" w:lineRule="auto"/>
              <w:rPr>
                <w:szCs w:val="22"/>
                <w:lang w:val="sl-SI"/>
              </w:rPr>
            </w:pPr>
            <w:r w:rsidRPr="00EE1689">
              <w:rPr>
                <w:szCs w:val="22"/>
                <w:lang w:val="sl-SI"/>
              </w:rPr>
              <w:t>EESC-2025-03305-00-00-AC</w:t>
            </w:r>
          </w:p>
        </w:tc>
      </w:tr>
    </w:tbl>
    <w:p w14:paraId="5CC641F6" w14:textId="77777777" w:rsidR="007C6480" w:rsidRPr="00EE1689" w:rsidRDefault="007C6480" w:rsidP="000619F4">
      <w:pPr>
        <w:spacing w:line="269" w:lineRule="auto"/>
        <w:rPr>
          <w:szCs w:val="22"/>
          <w:lang w:val="sl-SI"/>
        </w:rPr>
      </w:pPr>
    </w:p>
    <w:p w14:paraId="3CDD522F" w14:textId="77777777" w:rsidR="007C6480" w:rsidRPr="00EE1689" w:rsidRDefault="007C6480" w:rsidP="000619F4">
      <w:pPr>
        <w:spacing w:line="269" w:lineRule="auto"/>
        <w:rPr>
          <w:lang w:val="sl-SI"/>
        </w:rPr>
      </w:pPr>
      <w:r w:rsidRPr="00EE1689">
        <w:rPr>
          <w:b/>
          <w:lang w:val="sl-SI"/>
        </w:rPr>
        <w:t>Glavne točke</w:t>
      </w:r>
    </w:p>
    <w:p w14:paraId="11A6AA6C" w14:textId="77777777" w:rsidR="007C6480" w:rsidRPr="00EE1689" w:rsidRDefault="007C6480" w:rsidP="000619F4">
      <w:pPr>
        <w:spacing w:line="269" w:lineRule="auto"/>
        <w:rPr>
          <w:szCs w:val="22"/>
          <w:lang w:val="sl-SI"/>
        </w:rPr>
      </w:pPr>
    </w:p>
    <w:p w14:paraId="41E4A070" w14:textId="77777777" w:rsidR="007C6480" w:rsidRPr="00EE1689" w:rsidRDefault="007C6480" w:rsidP="000619F4">
      <w:pPr>
        <w:spacing w:line="269" w:lineRule="auto"/>
        <w:rPr>
          <w:bCs/>
          <w:iCs/>
          <w:szCs w:val="22"/>
          <w:lang w:val="sl-SI"/>
        </w:rPr>
      </w:pPr>
      <w:r w:rsidRPr="00EE1689">
        <w:rPr>
          <w:bCs/>
          <w:iCs/>
          <w:szCs w:val="22"/>
          <w:lang w:val="sl-SI"/>
        </w:rPr>
        <w:t>EESO:</w:t>
      </w:r>
    </w:p>
    <w:p w14:paraId="7AEBD328" w14:textId="77777777" w:rsidR="007C6480" w:rsidRPr="00EE1689" w:rsidRDefault="007C6480" w:rsidP="000619F4">
      <w:pPr>
        <w:spacing w:line="269" w:lineRule="auto"/>
        <w:rPr>
          <w:szCs w:val="22"/>
          <w:lang w:val="sl-SI"/>
        </w:rPr>
      </w:pPr>
    </w:p>
    <w:p w14:paraId="4EFB1A26" w14:textId="788C013D" w:rsidR="00021DAA" w:rsidRPr="00EE1689" w:rsidRDefault="00021DAA" w:rsidP="000619F4">
      <w:pPr>
        <w:widowControl w:val="0"/>
        <w:numPr>
          <w:ilvl w:val="0"/>
          <w:numId w:val="9"/>
        </w:numPr>
        <w:tabs>
          <w:tab w:val="clear" w:pos="0"/>
        </w:tabs>
        <w:spacing w:line="269" w:lineRule="auto"/>
        <w:ind w:left="567" w:hanging="567"/>
        <w:rPr>
          <w:szCs w:val="22"/>
          <w:lang w:val="sl-SI"/>
        </w:rPr>
      </w:pPr>
      <w:r w:rsidRPr="00EE1689">
        <w:rPr>
          <w:szCs w:val="22"/>
          <w:lang w:val="sl-SI"/>
        </w:rPr>
        <w:t>poudarja, da je zmanjšanje regionalnih in teritorialnih razlik še vedno ena glavnih prednostnih nalog pri povezovanju EU in da je uporaba tradicionalnih, preverjenih in učinkovitih instrumentov kohezijske politike pravi način za podporo trajnostne blaginje v vseh regijah EU;</w:t>
      </w:r>
    </w:p>
    <w:p w14:paraId="12270823" w14:textId="2399F3C5" w:rsidR="00021DAA" w:rsidRPr="00EE1689" w:rsidRDefault="00021DAA" w:rsidP="000619F4">
      <w:pPr>
        <w:widowControl w:val="0"/>
        <w:numPr>
          <w:ilvl w:val="0"/>
          <w:numId w:val="9"/>
        </w:numPr>
        <w:tabs>
          <w:tab w:val="clear" w:pos="0"/>
        </w:tabs>
        <w:spacing w:line="269" w:lineRule="auto"/>
        <w:ind w:left="567" w:hanging="567"/>
        <w:rPr>
          <w:szCs w:val="22"/>
          <w:lang w:val="sl-SI"/>
        </w:rPr>
      </w:pPr>
      <w:r w:rsidRPr="00EE1689">
        <w:rPr>
          <w:szCs w:val="22"/>
          <w:lang w:val="sl-SI"/>
        </w:rPr>
        <w:t>priporoča, naj se pojasni, kakšen je pomen Evropskega sklada za regionalni razvoj (ESRR) in Kohezijskega sklada v okviru Sklada za nacionalna in regionalna partnerstva, in sicer ne le v obliki splošnih in specifičnih ciljev, temveč tudi s posebno opredelitvijo v uredbi. Po mnenju EESO bi bilo dobrodošlo, če bi se predlog uredbe, ki ga obravnava to mnenje, izpopolnil in dopolnil vsaj s prilogo, ki bi vsebovala smernice za učinkovito vključitev ESRR in Kohezijskega sklada v ta novi sklad;</w:t>
      </w:r>
    </w:p>
    <w:p w14:paraId="7E6FE281" w14:textId="69C8886C" w:rsidR="00021DAA" w:rsidRPr="000619F4" w:rsidRDefault="00021DAA" w:rsidP="000619F4">
      <w:pPr>
        <w:widowControl w:val="0"/>
        <w:numPr>
          <w:ilvl w:val="0"/>
          <w:numId w:val="9"/>
        </w:numPr>
        <w:tabs>
          <w:tab w:val="clear" w:pos="0"/>
        </w:tabs>
        <w:spacing w:line="269" w:lineRule="auto"/>
        <w:ind w:left="567" w:hanging="567"/>
        <w:rPr>
          <w:spacing w:val="-8"/>
          <w:szCs w:val="22"/>
          <w:lang w:val="sl-SI"/>
        </w:rPr>
      </w:pPr>
      <w:r w:rsidRPr="000619F4">
        <w:rPr>
          <w:spacing w:val="-8"/>
          <w:szCs w:val="22"/>
          <w:lang w:val="sl-SI"/>
        </w:rPr>
        <w:t>poudarja, da nove ureditve ne bi smele privesti do zmanjšanja pomena in misije ESRR ter Kohezijskega sklada, zlasti v zvezi s podpiranjem razvoja regij, ki zaostajajo, in preobrazbe industrijskih območij. Opozarja tudi na pomen načela partnerstva pri oblikovanju prihodnjih programov;</w:t>
      </w:r>
    </w:p>
    <w:p w14:paraId="25516D1F" w14:textId="26379049" w:rsidR="00021DAA" w:rsidRPr="00EE1689" w:rsidRDefault="00021DAA" w:rsidP="000619F4">
      <w:pPr>
        <w:widowControl w:val="0"/>
        <w:numPr>
          <w:ilvl w:val="0"/>
          <w:numId w:val="9"/>
        </w:numPr>
        <w:tabs>
          <w:tab w:val="clear" w:pos="0"/>
        </w:tabs>
        <w:spacing w:line="269" w:lineRule="auto"/>
        <w:ind w:left="567" w:hanging="567"/>
        <w:rPr>
          <w:lang w:val="sl-SI"/>
        </w:rPr>
      </w:pPr>
      <w:r w:rsidRPr="00EE1689">
        <w:rPr>
          <w:szCs w:val="22"/>
          <w:lang w:val="sl-SI"/>
        </w:rPr>
        <w:t>se strinja z vsebino in tematsko osredotočenostjo prihodnjega programa Interreg ter njegovimi sinergijami s prog</w:t>
      </w:r>
      <w:r w:rsidRPr="00EE1689">
        <w:rPr>
          <w:lang w:val="sl-SI"/>
        </w:rPr>
        <w:t>ramom Globalna Evropa v predlaganih konkretnih primerih;</w:t>
      </w:r>
    </w:p>
    <w:p w14:paraId="3FD3F449" w14:textId="333C057C" w:rsidR="00021DAA" w:rsidRPr="00EE1689" w:rsidRDefault="00021DAA" w:rsidP="000619F4">
      <w:pPr>
        <w:widowControl w:val="0"/>
        <w:numPr>
          <w:ilvl w:val="0"/>
          <w:numId w:val="9"/>
        </w:numPr>
        <w:tabs>
          <w:tab w:val="clear" w:pos="0"/>
        </w:tabs>
        <w:spacing w:line="269" w:lineRule="auto"/>
        <w:ind w:left="567" w:hanging="567"/>
        <w:rPr>
          <w:lang w:val="sl-SI"/>
        </w:rPr>
      </w:pPr>
      <w:r w:rsidRPr="00EE1689">
        <w:rPr>
          <w:lang w:val="sl-SI"/>
        </w:rPr>
        <w:t xml:space="preserve">se na splošno strinja tudi z inovativnim pristopom k prihodnosti sedanjega programa Interreg, ki je </w:t>
      </w:r>
      <w:r w:rsidRPr="00EE1689">
        <w:rPr>
          <w:szCs w:val="22"/>
          <w:lang w:val="sl-SI"/>
        </w:rPr>
        <w:t>uporabljen</w:t>
      </w:r>
      <w:r w:rsidRPr="00EE1689">
        <w:rPr>
          <w:lang w:val="sl-SI"/>
        </w:rPr>
        <w:t xml:space="preserve"> v predlogu, zlasti glede sprejemanja strukture izvajanja na ravni posameznih poglavij načrta Interreg;</w:t>
      </w:r>
    </w:p>
    <w:p w14:paraId="414F6CEF" w14:textId="4C696167" w:rsidR="00021DAA" w:rsidRPr="00EE1689" w:rsidRDefault="00021DAA" w:rsidP="000619F4">
      <w:pPr>
        <w:widowControl w:val="0"/>
        <w:numPr>
          <w:ilvl w:val="0"/>
          <w:numId w:val="9"/>
        </w:numPr>
        <w:tabs>
          <w:tab w:val="clear" w:pos="0"/>
        </w:tabs>
        <w:spacing w:line="269" w:lineRule="auto"/>
        <w:ind w:left="567" w:hanging="567"/>
        <w:rPr>
          <w:szCs w:val="22"/>
          <w:lang w:val="sl-SI"/>
        </w:rPr>
      </w:pPr>
      <w:r w:rsidRPr="00EE1689">
        <w:rPr>
          <w:szCs w:val="22"/>
          <w:lang w:val="sl-SI"/>
        </w:rPr>
        <w:t>opozarja na tveganje, da zadevni akterji na čezmejni regionalni ravni ne bodo mogli doseči soglasja, saj predlog uredbe ni zelo podroben. Priporoča, naj se takoj po sprejetju uredbe sprejme še izvedbeni akt;</w:t>
      </w:r>
    </w:p>
    <w:p w14:paraId="1F12F38E" w14:textId="3136B510" w:rsidR="00021DAA" w:rsidRPr="00EE1689" w:rsidRDefault="00021DAA" w:rsidP="000619F4">
      <w:pPr>
        <w:widowControl w:val="0"/>
        <w:numPr>
          <w:ilvl w:val="0"/>
          <w:numId w:val="9"/>
        </w:numPr>
        <w:tabs>
          <w:tab w:val="clear" w:pos="0"/>
        </w:tabs>
        <w:spacing w:line="269" w:lineRule="auto"/>
        <w:ind w:left="567" w:hanging="567"/>
        <w:rPr>
          <w:szCs w:val="22"/>
          <w:lang w:val="sl-SI"/>
        </w:rPr>
      </w:pPr>
      <w:r w:rsidRPr="00EE1689">
        <w:rPr>
          <w:szCs w:val="22"/>
          <w:lang w:val="sl-SI"/>
        </w:rPr>
        <w:t>priporoča, naj se poskrbi za primerljivo tolmačenje in izvajanje skladov na ravni držav članic ter prepreči, da bi bile med državami članicami večje razlike;</w:t>
      </w:r>
    </w:p>
    <w:p w14:paraId="35164330" w14:textId="3EB9DCB8" w:rsidR="00021DAA" w:rsidRPr="00EE1689" w:rsidRDefault="00021DAA" w:rsidP="000619F4">
      <w:pPr>
        <w:widowControl w:val="0"/>
        <w:numPr>
          <w:ilvl w:val="0"/>
          <w:numId w:val="9"/>
        </w:numPr>
        <w:tabs>
          <w:tab w:val="clear" w:pos="0"/>
        </w:tabs>
        <w:spacing w:line="269" w:lineRule="auto"/>
        <w:ind w:left="567" w:hanging="567"/>
        <w:rPr>
          <w:szCs w:val="22"/>
          <w:lang w:val="sl-SI"/>
        </w:rPr>
      </w:pPr>
      <w:r w:rsidRPr="00EE1689">
        <w:rPr>
          <w:szCs w:val="22"/>
          <w:lang w:val="sl-SI"/>
        </w:rPr>
        <w:t>podpira poenostavitev postopkov izvajanja in upravnih postopkov za učinkovitejšo uporabo sredstev;</w:t>
      </w:r>
    </w:p>
    <w:p w14:paraId="51ED33D4" w14:textId="0898D046" w:rsidR="007C6480" w:rsidRPr="00EE1689" w:rsidRDefault="00021DAA" w:rsidP="000619F4">
      <w:pPr>
        <w:widowControl w:val="0"/>
        <w:numPr>
          <w:ilvl w:val="0"/>
          <w:numId w:val="9"/>
        </w:numPr>
        <w:tabs>
          <w:tab w:val="clear" w:pos="0"/>
        </w:tabs>
        <w:spacing w:line="269" w:lineRule="auto"/>
        <w:ind w:left="567" w:hanging="567"/>
        <w:rPr>
          <w:lang w:val="sl-SI"/>
        </w:rPr>
      </w:pPr>
      <w:r w:rsidRPr="00EE1689">
        <w:rPr>
          <w:szCs w:val="22"/>
          <w:lang w:val="sl-SI"/>
        </w:rPr>
        <w:t>ceni, da predlog uredbe o ESRR in Kohezijskem skladu predvideva tudi možnost podpore trajnostnega</w:t>
      </w:r>
      <w:r w:rsidRPr="00EE1689">
        <w:rPr>
          <w:lang w:val="sl-SI"/>
        </w:rPr>
        <w:t xml:space="preserve"> razvoja mest in v tem okviru celostnih strategij za urbani in teritorialni razvoj, ki se osredotočajo na trajnostni razvoj in obravnavajo okoljske, energetske in podnebne izzive, pravičen prehod na čisto, podnebno nevtralno in odporno gospodarstvo, pri čemer je posebna pozornost namenjena cenovno dostopnim stanovanjem, revščini, kulturni dediščini, izkoriščanju potenciala digitalnih tehnologij za inovacije in energijsko učinkovitost.</w:t>
      </w:r>
    </w:p>
    <w:p w14:paraId="6C344422" w14:textId="77777777" w:rsidR="00021DAA" w:rsidRPr="00EE1689" w:rsidRDefault="00021DAA" w:rsidP="000619F4">
      <w:pPr>
        <w:spacing w:line="269" w:lineRule="auto"/>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18AD2A4D" w14:textId="77777777" w:rsidTr="00827140">
        <w:tc>
          <w:tcPr>
            <w:tcW w:w="974" w:type="pct"/>
          </w:tcPr>
          <w:p w14:paraId="13EA354B" w14:textId="77777777" w:rsidR="007C6480" w:rsidRPr="00EE1689" w:rsidRDefault="007C6480" w:rsidP="000619F4">
            <w:pPr>
              <w:spacing w:line="269" w:lineRule="auto"/>
              <w:rPr>
                <w:lang w:val="sl-SI"/>
              </w:rPr>
            </w:pPr>
            <w:r w:rsidRPr="00EE1689">
              <w:rPr>
                <w:b/>
                <w:i/>
                <w:szCs w:val="22"/>
                <w:lang w:val="sl-SI"/>
              </w:rPr>
              <w:t>Kontaktna oseba</w:t>
            </w:r>
          </w:p>
        </w:tc>
        <w:tc>
          <w:tcPr>
            <w:tcW w:w="4026" w:type="pct"/>
          </w:tcPr>
          <w:p w14:paraId="1B0B3998" w14:textId="2B7CF280" w:rsidR="007C6480" w:rsidRPr="00EE1689" w:rsidRDefault="00021DAA" w:rsidP="000619F4">
            <w:pPr>
              <w:spacing w:line="269" w:lineRule="auto"/>
              <w:rPr>
                <w:i/>
                <w:lang w:val="sl-SI"/>
              </w:rPr>
            </w:pPr>
            <w:r w:rsidRPr="00EE1689">
              <w:rPr>
                <w:i/>
                <w:lang w:val="sl-SI"/>
              </w:rPr>
              <w:t>Georgios Meleas</w:t>
            </w:r>
          </w:p>
        </w:tc>
      </w:tr>
      <w:tr w:rsidR="007C6480" w:rsidRPr="00EE1689" w14:paraId="5911AB7A" w14:textId="77777777" w:rsidTr="00827140">
        <w:tc>
          <w:tcPr>
            <w:tcW w:w="974" w:type="pct"/>
          </w:tcPr>
          <w:p w14:paraId="463C9AA6" w14:textId="77777777" w:rsidR="007C6480" w:rsidRPr="00EE1689" w:rsidRDefault="007C6480" w:rsidP="000619F4">
            <w:pPr>
              <w:spacing w:line="269" w:lineRule="auto"/>
              <w:rPr>
                <w:lang w:val="sl-SI"/>
              </w:rPr>
            </w:pPr>
            <w:r w:rsidRPr="00EE1689">
              <w:rPr>
                <w:i/>
                <w:szCs w:val="22"/>
                <w:lang w:val="sl-SI"/>
              </w:rPr>
              <w:t>Telefon</w:t>
            </w:r>
          </w:p>
        </w:tc>
        <w:tc>
          <w:tcPr>
            <w:tcW w:w="4026" w:type="pct"/>
          </w:tcPr>
          <w:p w14:paraId="1E05A182" w14:textId="60676409" w:rsidR="007C6480" w:rsidRPr="00EE1689" w:rsidRDefault="007C6480" w:rsidP="000619F4">
            <w:pPr>
              <w:spacing w:line="269" w:lineRule="auto"/>
              <w:rPr>
                <w:lang w:val="sl-SI"/>
              </w:rPr>
            </w:pPr>
            <w:r w:rsidRPr="00EE1689">
              <w:rPr>
                <w:i/>
                <w:szCs w:val="22"/>
                <w:lang w:val="sl-SI"/>
              </w:rPr>
              <w:t>+32 2 </w:t>
            </w:r>
            <w:r w:rsidR="00021DAA" w:rsidRPr="00EE1689">
              <w:rPr>
                <w:i/>
                <w:szCs w:val="22"/>
                <w:lang w:val="sl-SI"/>
              </w:rPr>
              <w:t>546 9795</w:t>
            </w:r>
          </w:p>
        </w:tc>
      </w:tr>
      <w:tr w:rsidR="007C6480" w:rsidRPr="00EE1689" w14:paraId="4D214582" w14:textId="77777777" w:rsidTr="00827140">
        <w:tc>
          <w:tcPr>
            <w:tcW w:w="974" w:type="pct"/>
          </w:tcPr>
          <w:p w14:paraId="15EC4A74" w14:textId="77777777" w:rsidR="007C6480" w:rsidRPr="00EE1689" w:rsidRDefault="007C6480" w:rsidP="000619F4">
            <w:pPr>
              <w:spacing w:line="269" w:lineRule="auto"/>
              <w:rPr>
                <w:lang w:val="sl-SI"/>
              </w:rPr>
            </w:pPr>
            <w:r w:rsidRPr="00EE1689">
              <w:rPr>
                <w:i/>
                <w:szCs w:val="22"/>
                <w:lang w:val="sl-SI"/>
              </w:rPr>
              <w:t>E-naslov</w:t>
            </w:r>
          </w:p>
        </w:tc>
        <w:tc>
          <w:tcPr>
            <w:tcW w:w="4026" w:type="pct"/>
          </w:tcPr>
          <w:p w14:paraId="24F10388" w14:textId="35BE4CED" w:rsidR="007C6480" w:rsidRPr="00EE1689" w:rsidRDefault="00FA3430" w:rsidP="000619F4">
            <w:pPr>
              <w:spacing w:line="269" w:lineRule="auto"/>
              <w:rPr>
                <w:i/>
                <w:lang w:val="sl-SI"/>
              </w:rPr>
            </w:pPr>
            <w:hyperlink r:id="rId15" w:history="1">
              <w:r w:rsidR="00021DAA" w:rsidRPr="00EE1689">
                <w:rPr>
                  <w:rStyle w:val="Hyperlink"/>
                  <w:i/>
                  <w:lang w:val="sl-SI"/>
                </w:rPr>
                <w:t>Georgios.Meleas@eesc.europa.eu</w:t>
              </w:r>
            </w:hyperlink>
          </w:p>
        </w:tc>
      </w:tr>
    </w:tbl>
    <w:p w14:paraId="1074628C" w14:textId="77777777" w:rsidR="007C6480" w:rsidRPr="00EE1689" w:rsidRDefault="007C6480" w:rsidP="000619F4">
      <w:pPr>
        <w:spacing w:line="269" w:lineRule="auto"/>
        <w:rPr>
          <w:lang w:val="sl-SI"/>
        </w:rPr>
      </w:pPr>
    </w:p>
    <w:p w14:paraId="0B174A38" w14:textId="77777777" w:rsidR="00437105" w:rsidRPr="00EE1689" w:rsidRDefault="00437105" w:rsidP="000619F4">
      <w:pPr>
        <w:spacing w:line="269" w:lineRule="auto"/>
        <w:rPr>
          <w:lang w:val="sl-SI"/>
        </w:rPr>
      </w:pPr>
    </w:p>
    <w:p w14:paraId="1786FC85" w14:textId="77777777" w:rsidR="00437105" w:rsidRPr="00EE1689" w:rsidRDefault="00437105" w:rsidP="000619F4">
      <w:pPr>
        <w:pStyle w:val="Heading1"/>
        <w:pageBreakBefore/>
        <w:overflowPunct/>
        <w:autoSpaceDE/>
        <w:autoSpaceDN/>
        <w:adjustRightInd/>
        <w:spacing w:line="259" w:lineRule="auto"/>
        <w:ind w:left="567" w:hanging="567"/>
        <w:textAlignment w:val="auto"/>
        <w:rPr>
          <w:lang w:val="sl-SI"/>
        </w:rPr>
      </w:pPr>
      <w:bookmarkStart w:id="3" w:name="_Toc103071392"/>
      <w:bookmarkStart w:id="4" w:name="_Toc105440136"/>
      <w:r w:rsidRPr="00EE1689">
        <w:rPr>
          <w:b/>
          <w:lang w:val="sl-SI"/>
        </w:rPr>
        <w:lastRenderedPageBreak/>
        <w:t>ZAPOSLOVANJE, SOCIALNE ZADEVE IN DRŽAVLJANSTVO</w:t>
      </w:r>
      <w:bookmarkEnd w:id="3"/>
      <w:bookmarkEnd w:id="4"/>
    </w:p>
    <w:p w14:paraId="30923A4E" w14:textId="77777777" w:rsidR="00437105" w:rsidRPr="00EE1689" w:rsidRDefault="00437105" w:rsidP="000619F4">
      <w:pPr>
        <w:spacing w:line="259" w:lineRule="auto"/>
        <w:rPr>
          <w:lang w:val="sl-SI"/>
        </w:rPr>
      </w:pPr>
    </w:p>
    <w:p w14:paraId="74D3A0D1" w14:textId="797E49D1" w:rsidR="00EA31FC" w:rsidRPr="00EE1689" w:rsidRDefault="00FA3430" w:rsidP="000619F4">
      <w:pPr>
        <w:numPr>
          <w:ilvl w:val="0"/>
          <w:numId w:val="7"/>
        </w:numPr>
        <w:tabs>
          <w:tab w:val="clear" w:pos="0"/>
        </w:tabs>
        <w:spacing w:line="259" w:lineRule="auto"/>
        <w:ind w:left="567" w:hanging="567"/>
        <w:rPr>
          <w:sz w:val="28"/>
          <w:szCs w:val="22"/>
          <w:lang w:val="sl-SI"/>
        </w:rPr>
      </w:pPr>
      <w:hyperlink r:id="rId16" w:history="1">
        <w:r w:rsidR="00286904" w:rsidRPr="00EE1689">
          <w:rPr>
            <w:rStyle w:val="Hyperlink"/>
            <w:b/>
            <w:i/>
            <w:sz w:val="28"/>
            <w:szCs w:val="22"/>
            <w:lang w:val="sl-SI"/>
          </w:rPr>
          <w:t>Delavske pravice novinarjev in medijskih strokovnjakov kot jamstvo za neodvisnost in zanesljivost informacij</w:t>
        </w:r>
      </w:hyperlink>
    </w:p>
    <w:p w14:paraId="75CD7400" w14:textId="77777777" w:rsidR="00EA31FC" w:rsidRPr="00EE1689" w:rsidRDefault="00EA31FC" w:rsidP="000619F4">
      <w:pPr>
        <w:spacing w:line="259" w:lineRule="auto"/>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437105" w:rsidRPr="00EE1689" w14:paraId="1403F330" w14:textId="77777777" w:rsidTr="00993CB4">
        <w:tc>
          <w:tcPr>
            <w:tcW w:w="974" w:type="pct"/>
          </w:tcPr>
          <w:p w14:paraId="65E80A6D" w14:textId="77777777" w:rsidR="00437105" w:rsidRPr="00EE1689" w:rsidRDefault="00437105" w:rsidP="000619F4">
            <w:pPr>
              <w:spacing w:line="259" w:lineRule="auto"/>
              <w:rPr>
                <w:b/>
                <w:szCs w:val="22"/>
                <w:lang w:val="sl-SI"/>
              </w:rPr>
            </w:pPr>
            <w:r w:rsidRPr="00EE1689">
              <w:rPr>
                <w:b/>
                <w:szCs w:val="22"/>
                <w:lang w:val="sl-SI"/>
              </w:rPr>
              <w:t>Poročevalec</w:t>
            </w:r>
          </w:p>
        </w:tc>
        <w:tc>
          <w:tcPr>
            <w:tcW w:w="4026" w:type="pct"/>
          </w:tcPr>
          <w:p w14:paraId="11E4DD21" w14:textId="05B5CF34" w:rsidR="00437105" w:rsidRPr="00EE1689" w:rsidRDefault="00021DAA" w:rsidP="000619F4">
            <w:pPr>
              <w:spacing w:line="259" w:lineRule="auto"/>
              <w:rPr>
                <w:szCs w:val="22"/>
                <w:lang w:val="sl-SI"/>
              </w:rPr>
            </w:pPr>
            <w:r w:rsidRPr="00EE1689">
              <w:rPr>
                <w:szCs w:val="22"/>
                <w:lang w:val="sl-SI"/>
              </w:rPr>
              <w:t>José Antonio MORENO DÍAZ (skupina delojemalcev – ES)</w:t>
            </w:r>
          </w:p>
        </w:tc>
      </w:tr>
      <w:tr w:rsidR="00437105" w:rsidRPr="00EE1689" w14:paraId="3C6A98B3" w14:textId="77777777" w:rsidTr="00993CB4">
        <w:tc>
          <w:tcPr>
            <w:tcW w:w="974" w:type="pct"/>
          </w:tcPr>
          <w:p w14:paraId="769534C0" w14:textId="77777777" w:rsidR="00437105" w:rsidRPr="00EE1689" w:rsidRDefault="00437105" w:rsidP="000619F4">
            <w:pPr>
              <w:spacing w:line="259" w:lineRule="auto"/>
              <w:rPr>
                <w:b/>
                <w:szCs w:val="22"/>
                <w:lang w:val="sl-SI"/>
              </w:rPr>
            </w:pPr>
            <w:r w:rsidRPr="00EE1689">
              <w:rPr>
                <w:b/>
                <w:szCs w:val="22"/>
                <w:lang w:val="sl-SI"/>
              </w:rPr>
              <w:t>Soporočevalec</w:t>
            </w:r>
          </w:p>
        </w:tc>
        <w:tc>
          <w:tcPr>
            <w:tcW w:w="4026" w:type="pct"/>
          </w:tcPr>
          <w:p w14:paraId="5515B26B" w14:textId="6AA8F47A" w:rsidR="00437105" w:rsidRPr="00EE1689" w:rsidRDefault="00021DAA" w:rsidP="000619F4">
            <w:pPr>
              <w:spacing w:line="259" w:lineRule="auto"/>
              <w:rPr>
                <w:szCs w:val="22"/>
                <w:lang w:val="sl-SI"/>
              </w:rPr>
            </w:pPr>
            <w:r w:rsidRPr="00EE1689">
              <w:rPr>
                <w:szCs w:val="22"/>
                <w:lang w:val="sl-SI"/>
              </w:rPr>
              <w:t>Christian MOOS (skupina organizacij civilne družbe – DE)</w:t>
            </w:r>
          </w:p>
        </w:tc>
      </w:tr>
      <w:tr w:rsidR="00437105" w:rsidRPr="00EE1689" w14:paraId="652B9447" w14:textId="77777777" w:rsidTr="00993CB4">
        <w:tc>
          <w:tcPr>
            <w:tcW w:w="5000" w:type="pct"/>
            <w:gridSpan w:val="2"/>
          </w:tcPr>
          <w:p w14:paraId="6070DF18" w14:textId="77777777" w:rsidR="00437105" w:rsidRPr="00EE1689" w:rsidRDefault="00437105" w:rsidP="000619F4">
            <w:pPr>
              <w:spacing w:line="259" w:lineRule="auto"/>
              <w:rPr>
                <w:sz w:val="16"/>
                <w:szCs w:val="22"/>
                <w:lang w:val="sl-SI"/>
              </w:rPr>
            </w:pPr>
          </w:p>
        </w:tc>
      </w:tr>
      <w:tr w:rsidR="00437105" w:rsidRPr="00EE1689" w14:paraId="24F3B288" w14:textId="77777777" w:rsidTr="00993CB4">
        <w:tc>
          <w:tcPr>
            <w:tcW w:w="974" w:type="pct"/>
            <w:vMerge w:val="restart"/>
          </w:tcPr>
          <w:p w14:paraId="53E44B99" w14:textId="77777777" w:rsidR="00437105" w:rsidRPr="00EE1689" w:rsidRDefault="00437105" w:rsidP="000619F4">
            <w:pPr>
              <w:spacing w:line="259" w:lineRule="auto"/>
              <w:rPr>
                <w:b/>
                <w:szCs w:val="22"/>
                <w:lang w:val="sl-SI"/>
              </w:rPr>
            </w:pPr>
            <w:r w:rsidRPr="00EE1689">
              <w:rPr>
                <w:b/>
                <w:szCs w:val="22"/>
                <w:lang w:val="sl-SI"/>
              </w:rPr>
              <w:t>Referenčni dokument</w:t>
            </w:r>
          </w:p>
        </w:tc>
        <w:tc>
          <w:tcPr>
            <w:tcW w:w="4026" w:type="pct"/>
          </w:tcPr>
          <w:p w14:paraId="78350452" w14:textId="58620659" w:rsidR="00437105" w:rsidRPr="00EE1689" w:rsidRDefault="00286904" w:rsidP="000619F4">
            <w:pPr>
              <w:spacing w:line="259" w:lineRule="auto"/>
              <w:rPr>
                <w:szCs w:val="22"/>
                <w:lang w:val="sl-SI"/>
              </w:rPr>
            </w:pPr>
            <w:r w:rsidRPr="00EE1689">
              <w:rPr>
                <w:szCs w:val="22"/>
                <w:lang w:val="sl-SI"/>
              </w:rPr>
              <w:t>mnenje na lastno pobudo</w:t>
            </w:r>
          </w:p>
        </w:tc>
      </w:tr>
      <w:tr w:rsidR="00437105" w:rsidRPr="00EE1689" w14:paraId="5FA94651" w14:textId="77777777" w:rsidTr="00993CB4">
        <w:tc>
          <w:tcPr>
            <w:tcW w:w="974" w:type="pct"/>
            <w:vMerge/>
          </w:tcPr>
          <w:p w14:paraId="3414BEE2" w14:textId="77777777" w:rsidR="00437105" w:rsidRPr="00EE1689" w:rsidRDefault="00437105" w:rsidP="000619F4">
            <w:pPr>
              <w:tabs>
                <w:tab w:val="center" w:pos="284"/>
              </w:tabs>
              <w:spacing w:line="259" w:lineRule="auto"/>
              <w:ind w:left="266" w:hanging="266"/>
              <w:rPr>
                <w:b/>
                <w:szCs w:val="22"/>
                <w:lang w:val="sl-SI"/>
              </w:rPr>
            </w:pPr>
          </w:p>
        </w:tc>
        <w:tc>
          <w:tcPr>
            <w:tcW w:w="4026" w:type="pct"/>
          </w:tcPr>
          <w:p w14:paraId="1AEBB5C7" w14:textId="5FC9C629" w:rsidR="00437105" w:rsidRPr="00EE1689" w:rsidRDefault="00286904" w:rsidP="000619F4">
            <w:pPr>
              <w:spacing w:line="259" w:lineRule="auto"/>
              <w:rPr>
                <w:szCs w:val="22"/>
                <w:lang w:val="sl-SI"/>
              </w:rPr>
            </w:pPr>
            <w:r w:rsidRPr="00EE1689">
              <w:rPr>
                <w:szCs w:val="22"/>
                <w:lang w:val="sl-SI"/>
              </w:rPr>
              <w:t>EESC-2025-01400-00-00-AC</w:t>
            </w:r>
          </w:p>
        </w:tc>
      </w:tr>
    </w:tbl>
    <w:p w14:paraId="7BFB8603" w14:textId="77777777" w:rsidR="00437105" w:rsidRPr="00EE1689" w:rsidRDefault="00437105" w:rsidP="000619F4">
      <w:pPr>
        <w:spacing w:line="259" w:lineRule="auto"/>
        <w:rPr>
          <w:szCs w:val="22"/>
          <w:lang w:val="sl-SI"/>
        </w:rPr>
      </w:pPr>
    </w:p>
    <w:p w14:paraId="7B511334" w14:textId="77777777" w:rsidR="00437105" w:rsidRPr="00EE1689" w:rsidRDefault="00437105" w:rsidP="000619F4">
      <w:pPr>
        <w:spacing w:line="259" w:lineRule="auto"/>
        <w:rPr>
          <w:lang w:val="sl-SI"/>
        </w:rPr>
      </w:pPr>
      <w:r w:rsidRPr="00EE1689">
        <w:rPr>
          <w:b/>
          <w:lang w:val="sl-SI"/>
        </w:rPr>
        <w:t>Glavne točke</w:t>
      </w:r>
    </w:p>
    <w:p w14:paraId="705AA44E" w14:textId="77777777" w:rsidR="00437105" w:rsidRPr="00EE1689" w:rsidRDefault="00437105" w:rsidP="000619F4">
      <w:pPr>
        <w:spacing w:line="259" w:lineRule="auto"/>
        <w:rPr>
          <w:szCs w:val="22"/>
          <w:lang w:val="sl-SI"/>
        </w:rPr>
      </w:pPr>
    </w:p>
    <w:p w14:paraId="605E2C43" w14:textId="77777777" w:rsidR="00437105" w:rsidRPr="00EE1689" w:rsidRDefault="00437105" w:rsidP="000619F4">
      <w:pPr>
        <w:spacing w:line="259" w:lineRule="auto"/>
        <w:rPr>
          <w:bCs/>
          <w:iCs/>
          <w:szCs w:val="22"/>
          <w:lang w:val="sl-SI"/>
        </w:rPr>
      </w:pPr>
      <w:r w:rsidRPr="00EE1689">
        <w:rPr>
          <w:bCs/>
          <w:iCs/>
          <w:szCs w:val="22"/>
          <w:lang w:val="sl-SI"/>
        </w:rPr>
        <w:t>EESO:</w:t>
      </w:r>
    </w:p>
    <w:p w14:paraId="17D4DDC9" w14:textId="77777777" w:rsidR="00437105" w:rsidRPr="00EE1689" w:rsidRDefault="00437105" w:rsidP="000619F4">
      <w:pPr>
        <w:spacing w:line="259" w:lineRule="auto"/>
        <w:rPr>
          <w:szCs w:val="22"/>
          <w:lang w:val="sl-SI"/>
        </w:rPr>
      </w:pPr>
    </w:p>
    <w:p w14:paraId="4BD777B3" w14:textId="2FD21A4F" w:rsidR="00021DAA" w:rsidRPr="000619F4" w:rsidRDefault="00021DAA" w:rsidP="000619F4">
      <w:pPr>
        <w:widowControl w:val="0"/>
        <w:numPr>
          <w:ilvl w:val="0"/>
          <w:numId w:val="9"/>
        </w:numPr>
        <w:tabs>
          <w:tab w:val="clear" w:pos="0"/>
        </w:tabs>
        <w:spacing w:line="259" w:lineRule="auto"/>
        <w:ind w:left="567" w:hanging="567"/>
        <w:rPr>
          <w:spacing w:val="-4"/>
          <w:szCs w:val="22"/>
          <w:lang w:val="sl-SI"/>
        </w:rPr>
      </w:pPr>
      <w:r w:rsidRPr="000619F4">
        <w:rPr>
          <w:spacing w:val="-4"/>
          <w:szCs w:val="22"/>
          <w:lang w:val="sl-SI"/>
        </w:rPr>
        <w:t>poziva oblasti, naj sprejmejo nujne zaščitne ukrepe za soočanje z naraščajočo negotovostjo novinarjev, ter se zavzema za dosledno uporabo evropskega akta o svobodi medijev; da bi bil evropski medijski sektor vzdržen, poziva tudi k neodvisni podpori medijskim hišam poleg sedanjih subvencij ter k bistvenemu povečanju sredstev za zaščito trdnega informacijskega ekosistema;</w:t>
      </w:r>
    </w:p>
    <w:p w14:paraId="2417D8CF" w14:textId="67B64123" w:rsidR="00021DAA" w:rsidRPr="00EE1689" w:rsidRDefault="00021DAA" w:rsidP="000619F4">
      <w:pPr>
        <w:widowControl w:val="0"/>
        <w:numPr>
          <w:ilvl w:val="0"/>
          <w:numId w:val="9"/>
        </w:numPr>
        <w:tabs>
          <w:tab w:val="clear" w:pos="0"/>
        </w:tabs>
        <w:spacing w:line="259" w:lineRule="auto"/>
        <w:ind w:left="567" w:hanging="567"/>
        <w:rPr>
          <w:szCs w:val="22"/>
          <w:lang w:val="sl-SI"/>
        </w:rPr>
      </w:pPr>
      <w:r w:rsidRPr="00EE1689">
        <w:rPr>
          <w:szCs w:val="22"/>
          <w:lang w:val="sl-SI"/>
        </w:rPr>
        <w:t>poziva Evropsko komisijo, naj predloži ambiciozen sveženj ukrepov politike in naložb za podporo kakovostnih delovnih mest v medijskem sektorju, vlade pa poziva, naj spodbujajo socialni dialog in kolektivna pogajanja za vse novinarje, tudi samostojne, s prenosom direktive o ustreznih minimalnih plačah,</w:t>
      </w:r>
      <w:r w:rsidRPr="00EE1689">
        <w:rPr>
          <w:rStyle w:val="FootnoteReference"/>
          <w:szCs w:val="22"/>
          <w:lang w:val="sl-SI"/>
        </w:rPr>
        <w:footnoteReference w:id="1"/>
      </w:r>
      <w:r w:rsidRPr="00EE1689">
        <w:rPr>
          <w:szCs w:val="22"/>
          <w:lang w:val="sl-SI"/>
        </w:rPr>
        <w:t xml:space="preserve"> kjer je to ustrezno, ter smernicami o uporabi konkurenčnega prava Unije za kolektivne pogodbe samozaposlenih oseb brez zaposlenih;</w:t>
      </w:r>
      <w:r w:rsidRPr="00EE1689">
        <w:rPr>
          <w:rStyle w:val="FootnoteReference"/>
          <w:szCs w:val="22"/>
          <w:lang w:val="sl-SI"/>
        </w:rPr>
        <w:footnoteReference w:id="2"/>
      </w:r>
      <w:r w:rsidRPr="00EE1689">
        <w:rPr>
          <w:szCs w:val="22"/>
          <w:lang w:val="sl-SI"/>
        </w:rPr>
        <w:t xml:space="preserve"> Komisijo in države članice tudi poziva, naj se borijo proti navideznim samozaposlitvam;</w:t>
      </w:r>
    </w:p>
    <w:p w14:paraId="41E53B51" w14:textId="565AC433" w:rsidR="00021DAA" w:rsidRPr="00EE1689" w:rsidRDefault="00021DAA" w:rsidP="000619F4">
      <w:pPr>
        <w:widowControl w:val="0"/>
        <w:numPr>
          <w:ilvl w:val="0"/>
          <w:numId w:val="9"/>
        </w:numPr>
        <w:tabs>
          <w:tab w:val="clear" w:pos="0"/>
        </w:tabs>
        <w:spacing w:line="259" w:lineRule="auto"/>
        <w:ind w:left="567" w:hanging="567"/>
        <w:rPr>
          <w:szCs w:val="22"/>
          <w:lang w:val="sl-SI"/>
        </w:rPr>
      </w:pPr>
      <w:r w:rsidRPr="00EE1689">
        <w:rPr>
          <w:szCs w:val="22"/>
          <w:lang w:val="sl-SI"/>
        </w:rPr>
        <w:t>poziva Evropsko komisijo, naj ukrepa na podlagi Priporočila o zaščiti, varnosti in opolnomočenju novinarjev,</w:t>
      </w:r>
      <w:r w:rsidRPr="00EE1689">
        <w:rPr>
          <w:rStyle w:val="FootnoteReference"/>
          <w:szCs w:val="22"/>
          <w:lang w:val="sl-SI"/>
        </w:rPr>
        <w:footnoteReference w:id="3"/>
      </w:r>
      <w:r w:rsidRPr="00EE1689">
        <w:rPr>
          <w:szCs w:val="22"/>
          <w:lang w:val="sl-SI"/>
        </w:rPr>
        <w:t xml:space="preserve"> in poudarja, da je potrebno tesnejše sodelovanje z združenji novinarjev, da bi zgradili strukture za varnost novinarjev. Novinarji so pri svojem delu močno izpostavljeni stresu, izgorelosti, spletnemu nadlegovanju in digitalni preobremenitvi. Koristno bi bilo, če bi Komisija razmislila o ukrepanju na podlagi resolucije Evropskega parlamenta z dne 10. marca 2022, v kateri je ta pozval k sprejetju direktive o psihosocialnih tveganjih, EESO pa je pripravljen sprejeti mnenje o tej temi;</w:t>
      </w:r>
      <w:r w:rsidRPr="00EE1689">
        <w:rPr>
          <w:rStyle w:val="FootnoteReference"/>
          <w:szCs w:val="22"/>
          <w:lang w:val="sl-SI"/>
        </w:rPr>
        <w:footnoteReference w:id="4"/>
      </w:r>
    </w:p>
    <w:p w14:paraId="53F6EA72" w14:textId="3E4701A7" w:rsidR="00437105" w:rsidRPr="00EE1689" w:rsidRDefault="00021DAA" w:rsidP="000619F4">
      <w:pPr>
        <w:widowControl w:val="0"/>
        <w:numPr>
          <w:ilvl w:val="0"/>
          <w:numId w:val="9"/>
        </w:numPr>
        <w:tabs>
          <w:tab w:val="clear" w:pos="0"/>
        </w:tabs>
        <w:spacing w:line="259" w:lineRule="auto"/>
        <w:ind w:left="567" w:hanging="567"/>
        <w:rPr>
          <w:lang w:val="sl-SI"/>
        </w:rPr>
      </w:pPr>
      <w:r w:rsidRPr="00EE1689">
        <w:rPr>
          <w:szCs w:val="22"/>
          <w:lang w:val="sl-SI"/>
        </w:rPr>
        <w:t>poziva Evropsko komisijo, naj nadzoruje uporabo zakonodajnega okvira EU o umetni inteligenci (UI), da bi zaščitila novinarje, in spodbuja sindikate novinarjev ter medijske organizacije, naj v okviru socialnega dialoga obravnavajo uporabo UI v novinarskih uredništvih; poziva tudi k financiranju projektov</w:t>
      </w:r>
      <w:r w:rsidRPr="00EE1689">
        <w:rPr>
          <w:lang w:val="sl-SI"/>
        </w:rPr>
        <w:t xml:space="preserve"> za izboljšanje pismenosti novinarjev na področju UI ter k razmisleku o možnostih sofinanciranja evropskih akademij za novinarstvo in usposabljanja ter o morebitnih subvencijah za plače mladih novinarjev iz medijskih podjetij, ki izpolnjujejo visoke standarde kakovostnega novinarstva in delovnih pogojev.</w:t>
      </w:r>
    </w:p>
    <w:p w14:paraId="4BE62C4F" w14:textId="77777777" w:rsidR="00021DAA" w:rsidRPr="00EE1689" w:rsidRDefault="00021DAA" w:rsidP="000619F4">
      <w:pPr>
        <w:spacing w:line="259" w:lineRule="auto"/>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437105" w:rsidRPr="00EE1689" w14:paraId="129F25A5" w14:textId="77777777" w:rsidTr="00993CB4">
        <w:tc>
          <w:tcPr>
            <w:tcW w:w="974" w:type="pct"/>
          </w:tcPr>
          <w:p w14:paraId="428CEA96" w14:textId="77777777" w:rsidR="00437105" w:rsidRPr="00EE1689" w:rsidRDefault="00437105" w:rsidP="000619F4">
            <w:pPr>
              <w:spacing w:line="259" w:lineRule="auto"/>
              <w:rPr>
                <w:lang w:val="sl-SI"/>
              </w:rPr>
            </w:pPr>
            <w:r w:rsidRPr="00EE1689">
              <w:rPr>
                <w:b/>
                <w:i/>
                <w:szCs w:val="22"/>
                <w:lang w:val="sl-SI"/>
              </w:rPr>
              <w:t>Kontaktna oseba</w:t>
            </w:r>
          </w:p>
        </w:tc>
        <w:tc>
          <w:tcPr>
            <w:tcW w:w="4026" w:type="pct"/>
          </w:tcPr>
          <w:p w14:paraId="331047CC" w14:textId="27AD57A2" w:rsidR="00437105" w:rsidRPr="00EE1689" w:rsidRDefault="00021DAA" w:rsidP="000619F4">
            <w:pPr>
              <w:spacing w:line="259" w:lineRule="auto"/>
              <w:rPr>
                <w:i/>
                <w:lang w:val="sl-SI"/>
              </w:rPr>
            </w:pPr>
            <w:r w:rsidRPr="00EE1689">
              <w:rPr>
                <w:i/>
                <w:lang w:val="sl-SI"/>
              </w:rPr>
              <w:t>June Bedaton</w:t>
            </w:r>
          </w:p>
        </w:tc>
      </w:tr>
      <w:tr w:rsidR="00437105" w:rsidRPr="00EE1689" w14:paraId="4AA3C7A8" w14:textId="77777777" w:rsidTr="00993CB4">
        <w:tc>
          <w:tcPr>
            <w:tcW w:w="974" w:type="pct"/>
          </w:tcPr>
          <w:p w14:paraId="7E73D7D2" w14:textId="77777777" w:rsidR="00437105" w:rsidRPr="00EE1689" w:rsidRDefault="006926AD" w:rsidP="000619F4">
            <w:pPr>
              <w:spacing w:line="259" w:lineRule="auto"/>
              <w:rPr>
                <w:lang w:val="sl-SI"/>
              </w:rPr>
            </w:pPr>
            <w:r w:rsidRPr="00EE1689">
              <w:rPr>
                <w:i/>
                <w:szCs w:val="22"/>
                <w:lang w:val="sl-SI"/>
              </w:rPr>
              <w:t>Telefon</w:t>
            </w:r>
          </w:p>
        </w:tc>
        <w:tc>
          <w:tcPr>
            <w:tcW w:w="4026" w:type="pct"/>
          </w:tcPr>
          <w:p w14:paraId="3D2B8BED" w14:textId="6BD2AC43" w:rsidR="00437105" w:rsidRPr="00EE1689" w:rsidRDefault="000D558D" w:rsidP="000619F4">
            <w:pPr>
              <w:spacing w:line="259" w:lineRule="auto"/>
              <w:rPr>
                <w:lang w:val="sl-SI"/>
              </w:rPr>
            </w:pPr>
            <w:r w:rsidRPr="00EE1689">
              <w:rPr>
                <w:i/>
                <w:szCs w:val="22"/>
                <w:lang w:val="sl-SI"/>
              </w:rPr>
              <w:t>+</w:t>
            </w:r>
            <w:r w:rsidR="00437105" w:rsidRPr="00EE1689">
              <w:rPr>
                <w:i/>
                <w:szCs w:val="22"/>
                <w:lang w:val="sl-SI"/>
              </w:rPr>
              <w:t>32 2 </w:t>
            </w:r>
            <w:r w:rsidR="00021DAA" w:rsidRPr="00EE1689">
              <w:rPr>
                <w:i/>
                <w:szCs w:val="22"/>
                <w:lang w:val="sl-SI"/>
              </w:rPr>
              <w:t>546 8134</w:t>
            </w:r>
          </w:p>
        </w:tc>
      </w:tr>
      <w:tr w:rsidR="00437105" w:rsidRPr="00EE1689" w14:paraId="012312B5" w14:textId="77777777" w:rsidTr="00993CB4">
        <w:tc>
          <w:tcPr>
            <w:tcW w:w="974" w:type="pct"/>
          </w:tcPr>
          <w:p w14:paraId="082F5997" w14:textId="77777777" w:rsidR="00437105" w:rsidRPr="00EE1689" w:rsidRDefault="00437105" w:rsidP="000619F4">
            <w:pPr>
              <w:spacing w:line="259" w:lineRule="auto"/>
              <w:rPr>
                <w:lang w:val="sl-SI"/>
              </w:rPr>
            </w:pPr>
            <w:r w:rsidRPr="00EE1689">
              <w:rPr>
                <w:i/>
                <w:szCs w:val="22"/>
                <w:lang w:val="sl-SI"/>
              </w:rPr>
              <w:t>E-naslov</w:t>
            </w:r>
          </w:p>
        </w:tc>
        <w:tc>
          <w:tcPr>
            <w:tcW w:w="4026" w:type="pct"/>
          </w:tcPr>
          <w:p w14:paraId="1B8CBC5E" w14:textId="60A86A3B" w:rsidR="00437105" w:rsidRPr="00EE1689" w:rsidRDefault="00FA3430" w:rsidP="000619F4">
            <w:pPr>
              <w:spacing w:line="259" w:lineRule="auto"/>
              <w:rPr>
                <w:i/>
                <w:lang w:val="sl-SI"/>
              </w:rPr>
            </w:pPr>
            <w:hyperlink r:id="rId17" w:history="1">
              <w:r w:rsidR="00021DAA" w:rsidRPr="00EE1689">
                <w:rPr>
                  <w:rStyle w:val="Hyperlink"/>
                  <w:i/>
                  <w:lang w:val="sl-SI"/>
                </w:rPr>
                <w:t>june.bedaton@eesc.europa.eu</w:t>
              </w:r>
            </w:hyperlink>
          </w:p>
        </w:tc>
      </w:tr>
    </w:tbl>
    <w:p w14:paraId="399151D7" w14:textId="77777777" w:rsidR="00437105" w:rsidRPr="00EE1689" w:rsidRDefault="00437105" w:rsidP="000619F4">
      <w:pPr>
        <w:spacing w:line="259" w:lineRule="auto"/>
        <w:rPr>
          <w:lang w:val="sl-SI"/>
        </w:rPr>
      </w:pPr>
    </w:p>
    <w:p w14:paraId="51515B0D" w14:textId="58360A10" w:rsidR="007C6480" w:rsidRPr="00EE1689" w:rsidRDefault="00FA3430" w:rsidP="000619F4">
      <w:pPr>
        <w:keepNext/>
        <w:keepLines/>
        <w:numPr>
          <w:ilvl w:val="0"/>
          <w:numId w:val="7"/>
        </w:numPr>
        <w:tabs>
          <w:tab w:val="clear" w:pos="0"/>
        </w:tabs>
        <w:spacing w:line="254" w:lineRule="auto"/>
        <w:ind w:left="567" w:hanging="567"/>
        <w:rPr>
          <w:sz w:val="28"/>
          <w:szCs w:val="22"/>
          <w:lang w:val="sl-SI"/>
        </w:rPr>
      </w:pPr>
      <w:hyperlink r:id="rId18" w:history="1">
        <w:r w:rsidR="00286904" w:rsidRPr="00EE1689">
          <w:rPr>
            <w:rStyle w:val="Hyperlink"/>
            <w:b/>
            <w:i/>
            <w:sz w:val="28"/>
            <w:szCs w:val="22"/>
            <w:lang w:val="sl-SI"/>
          </w:rPr>
          <w:t>Program AgoraEU in program za pravosodje</w:t>
        </w:r>
      </w:hyperlink>
    </w:p>
    <w:p w14:paraId="391ED4E5" w14:textId="77777777" w:rsidR="007C6480" w:rsidRPr="00EE1689" w:rsidRDefault="007C6480" w:rsidP="000619F4">
      <w:pPr>
        <w:keepNext/>
        <w:keepLines/>
        <w:spacing w:line="254" w:lineRule="auto"/>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2178235E" w14:textId="77777777" w:rsidTr="00827140">
        <w:tc>
          <w:tcPr>
            <w:tcW w:w="974" w:type="pct"/>
          </w:tcPr>
          <w:p w14:paraId="6EDA207E" w14:textId="77777777" w:rsidR="007C6480" w:rsidRPr="00EE1689" w:rsidRDefault="007C6480" w:rsidP="000619F4">
            <w:pPr>
              <w:keepNext/>
              <w:keepLines/>
              <w:spacing w:line="254" w:lineRule="auto"/>
              <w:rPr>
                <w:b/>
                <w:szCs w:val="22"/>
                <w:lang w:val="sl-SI"/>
              </w:rPr>
            </w:pPr>
            <w:r w:rsidRPr="00EE1689">
              <w:rPr>
                <w:b/>
                <w:szCs w:val="22"/>
                <w:lang w:val="sl-SI"/>
              </w:rPr>
              <w:t>Poročevalec</w:t>
            </w:r>
          </w:p>
        </w:tc>
        <w:tc>
          <w:tcPr>
            <w:tcW w:w="4026" w:type="pct"/>
          </w:tcPr>
          <w:p w14:paraId="411D70AB" w14:textId="3EF02B83" w:rsidR="007C6480" w:rsidRPr="00EE1689" w:rsidRDefault="00286904" w:rsidP="000619F4">
            <w:pPr>
              <w:keepNext/>
              <w:keepLines/>
              <w:spacing w:line="254" w:lineRule="auto"/>
              <w:rPr>
                <w:szCs w:val="22"/>
                <w:lang w:val="sl-SI"/>
              </w:rPr>
            </w:pPr>
            <w:r w:rsidRPr="00EE1689">
              <w:rPr>
                <w:szCs w:val="22"/>
                <w:lang w:val="sl-SI"/>
              </w:rPr>
              <w:t>Ionuţ SIBIAN (skupina organizacij civilne družbe – RO)</w:t>
            </w:r>
          </w:p>
        </w:tc>
      </w:tr>
      <w:tr w:rsidR="007C6480" w:rsidRPr="00EE1689" w14:paraId="307875FB" w14:textId="77777777" w:rsidTr="00827140">
        <w:tc>
          <w:tcPr>
            <w:tcW w:w="5000" w:type="pct"/>
            <w:gridSpan w:val="2"/>
          </w:tcPr>
          <w:p w14:paraId="4EC68210" w14:textId="77777777" w:rsidR="007C6480" w:rsidRPr="00EE1689" w:rsidRDefault="007C6480" w:rsidP="000619F4">
            <w:pPr>
              <w:keepNext/>
              <w:keepLines/>
              <w:spacing w:line="254" w:lineRule="auto"/>
              <w:rPr>
                <w:sz w:val="16"/>
                <w:szCs w:val="22"/>
                <w:lang w:val="sl-SI"/>
              </w:rPr>
            </w:pPr>
          </w:p>
        </w:tc>
      </w:tr>
      <w:tr w:rsidR="007C6480" w:rsidRPr="00EE1689" w14:paraId="5E9BB9ED" w14:textId="77777777" w:rsidTr="00827140">
        <w:tc>
          <w:tcPr>
            <w:tcW w:w="974" w:type="pct"/>
            <w:vMerge w:val="restart"/>
          </w:tcPr>
          <w:p w14:paraId="1852F3AE" w14:textId="0ACC65D8" w:rsidR="007C6480" w:rsidRPr="00EE1689" w:rsidRDefault="007C6480" w:rsidP="000619F4">
            <w:pPr>
              <w:spacing w:line="254" w:lineRule="auto"/>
              <w:rPr>
                <w:b/>
                <w:szCs w:val="22"/>
                <w:lang w:val="sl-SI"/>
              </w:rPr>
            </w:pPr>
            <w:r w:rsidRPr="00EE1689">
              <w:rPr>
                <w:b/>
                <w:szCs w:val="22"/>
                <w:lang w:val="sl-SI"/>
              </w:rPr>
              <w:t>Referenčni dokument</w:t>
            </w:r>
            <w:r w:rsidR="00C02F68">
              <w:rPr>
                <w:b/>
                <w:szCs w:val="22"/>
                <w:lang w:val="sl-SI"/>
              </w:rPr>
              <w:t>i</w:t>
            </w:r>
          </w:p>
        </w:tc>
        <w:tc>
          <w:tcPr>
            <w:tcW w:w="4026" w:type="pct"/>
          </w:tcPr>
          <w:p w14:paraId="5554B2F8" w14:textId="77777777" w:rsidR="00286904" w:rsidRPr="00EE1689" w:rsidRDefault="00286904" w:rsidP="000619F4">
            <w:pPr>
              <w:spacing w:line="254" w:lineRule="auto"/>
              <w:rPr>
                <w:szCs w:val="22"/>
                <w:lang w:val="sl-SI"/>
              </w:rPr>
            </w:pPr>
            <w:r w:rsidRPr="00EE1689">
              <w:rPr>
                <w:szCs w:val="22"/>
                <w:lang w:val="sl-SI"/>
              </w:rPr>
              <w:t>COM(2025) 463 final</w:t>
            </w:r>
          </w:p>
          <w:p w14:paraId="415B175A" w14:textId="21C673C9" w:rsidR="007C6480" w:rsidRPr="00EE1689" w:rsidRDefault="00286904" w:rsidP="000619F4">
            <w:pPr>
              <w:spacing w:line="254" w:lineRule="auto"/>
              <w:rPr>
                <w:szCs w:val="22"/>
                <w:lang w:val="sl-SI"/>
              </w:rPr>
            </w:pPr>
            <w:r w:rsidRPr="00EE1689">
              <w:rPr>
                <w:szCs w:val="22"/>
                <w:lang w:val="sl-SI"/>
              </w:rPr>
              <w:t>COM(2025) 550 final</w:t>
            </w:r>
          </w:p>
        </w:tc>
      </w:tr>
      <w:tr w:rsidR="007C6480" w:rsidRPr="00EE1689" w14:paraId="0338D1FD" w14:textId="77777777" w:rsidTr="00827140">
        <w:tc>
          <w:tcPr>
            <w:tcW w:w="974" w:type="pct"/>
            <w:vMerge/>
          </w:tcPr>
          <w:p w14:paraId="173897F6" w14:textId="77777777" w:rsidR="007C6480" w:rsidRPr="00EE1689" w:rsidRDefault="007C6480" w:rsidP="000619F4">
            <w:pPr>
              <w:tabs>
                <w:tab w:val="center" w:pos="284"/>
              </w:tabs>
              <w:spacing w:line="254" w:lineRule="auto"/>
              <w:ind w:left="266" w:hanging="266"/>
              <w:rPr>
                <w:b/>
                <w:szCs w:val="22"/>
                <w:lang w:val="sl-SI"/>
              </w:rPr>
            </w:pPr>
          </w:p>
        </w:tc>
        <w:tc>
          <w:tcPr>
            <w:tcW w:w="4026" w:type="pct"/>
          </w:tcPr>
          <w:p w14:paraId="712A6A31" w14:textId="230C04E4" w:rsidR="007C6480" w:rsidRPr="00EE1689" w:rsidRDefault="00286904" w:rsidP="000619F4">
            <w:pPr>
              <w:spacing w:line="254" w:lineRule="auto"/>
              <w:rPr>
                <w:szCs w:val="22"/>
                <w:lang w:val="sl-SI"/>
              </w:rPr>
            </w:pPr>
            <w:r w:rsidRPr="00EE1689">
              <w:rPr>
                <w:szCs w:val="22"/>
                <w:lang w:val="sl-SI"/>
              </w:rPr>
              <w:t>EESC-2025-02823-00-00-AC</w:t>
            </w:r>
          </w:p>
        </w:tc>
      </w:tr>
    </w:tbl>
    <w:p w14:paraId="35DC97E0" w14:textId="77777777" w:rsidR="007C6480" w:rsidRPr="00EE1689" w:rsidRDefault="007C6480" w:rsidP="000619F4">
      <w:pPr>
        <w:spacing w:line="254" w:lineRule="auto"/>
        <w:rPr>
          <w:szCs w:val="22"/>
          <w:lang w:val="sl-SI"/>
        </w:rPr>
      </w:pPr>
    </w:p>
    <w:p w14:paraId="6ABB325C" w14:textId="77777777" w:rsidR="007C6480" w:rsidRPr="00EE1689" w:rsidRDefault="007C6480" w:rsidP="000619F4">
      <w:pPr>
        <w:spacing w:line="254" w:lineRule="auto"/>
        <w:rPr>
          <w:lang w:val="sl-SI"/>
        </w:rPr>
      </w:pPr>
      <w:r w:rsidRPr="00EE1689">
        <w:rPr>
          <w:b/>
          <w:lang w:val="sl-SI"/>
        </w:rPr>
        <w:t>Glavne točke</w:t>
      </w:r>
    </w:p>
    <w:p w14:paraId="2A87D6EE" w14:textId="77777777" w:rsidR="007C6480" w:rsidRPr="00EE1689" w:rsidRDefault="007C6480" w:rsidP="000619F4">
      <w:pPr>
        <w:spacing w:line="254" w:lineRule="auto"/>
        <w:rPr>
          <w:szCs w:val="22"/>
          <w:lang w:val="sl-SI"/>
        </w:rPr>
      </w:pPr>
    </w:p>
    <w:p w14:paraId="384D2454" w14:textId="77777777" w:rsidR="007C6480" w:rsidRPr="00EE1689" w:rsidRDefault="007C6480" w:rsidP="000619F4">
      <w:pPr>
        <w:spacing w:line="254" w:lineRule="auto"/>
        <w:rPr>
          <w:bCs/>
          <w:iCs/>
          <w:szCs w:val="22"/>
          <w:lang w:val="sl-SI"/>
        </w:rPr>
      </w:pPr>
      <w:r w:rsidRPr="00EE1689">
        <w:rPr>
          <w:bCs/>
          <w:iCs/>
          <w:szCs w:val="22"/>
          <w:lang w:val="sl-SI"/>
        </w:rPr>
        <w:t>EESO:</w:t>
      </w:r>
    </w:p>
    <w:p w14:paraId="02778961" w14:textId="77777777" w:rsidR="007C6480" w:rsidRPr="00EE1689" w:rsidRDefault="007C6480" w:rsidP="000619F4">
      <w:pPr>
        <w:spacing w:line="254" w:lineRule="auto"/>
        <w:rPr>
          <w:szCs w:val="22"/>
          <w:lang w:val="sl-SI"/>
        </w:rPr>
      </w:pPr>
    </w:p>
    <w:p w14:paraId="1666E6E1" w14:textId="05563F91" w:rsidR="00286904" w:rsidRPr="00EE1689" w:rsidRDefault="00286904" w:rsidP="000619F4">
      <w:pPr>
        <w:widowControl w:val="0"/>
        <w:numPr>
          <w:ilvl w:val="0"/>
          <w:numId w:val="9"/>
        </w:numPr>
        <w:tabs>
          <w:tab w:val="clear" w:pos="0"/>
        </w:tabs>
        <w:spacing w:line="254" w:lineRule="auto"/>
        <w:ind w:left="567" w:hanging="567"/>
        <w:rPr>
          <w:szCs w:val="22"/>
          <w:lang w:val="sl-SI"/>
        </w:rPr>
      </w:pPr>
      <w:r w:rsidRPr="00EE1689">
        <w:rPr>
          <w:szCs w:val="22"/>
          <w:lang w:val="sl-SI"/>
        </w:rPr>
        <w:t>pozdravlja predloga Komisije za program AgoraEU in program za pravosodje ter poziva Evropski parlament in Svet, naj ju podpreta brez zmanjšanja predlaganih finančnih sredstev;</w:t>
      </w:r>
    </w:p>
    <w:p w14:paraId="04B40608" w14:textId="0C4F5022" w:rsidR="00286904" w:rsidRPr="00EE1689" w:rsidRDefault="00286904" w:rsidP="000619F4">
      <w:pPr>
        <w:widowControl w:val="0"/>
        <w:numPr>
          <w:ilvl w:val="0"/>
          <w:numId w:val="9"/>
        </w:numPr>
        <w:tabs>
          <w:tab w:val="clear" w:pos="0"/>
        </w:tabs>
        <w:spacing w:line="254" w:lineRule="auto"/>
        <w:ind w:left="567" w:hanging="567"/>
        <w:rPr>
          <w:szCs w:val="22"/>
          <w:lang w:val="sl-SI"/>
        </w:rPr>
      </w:pPr>
      <w:r w:rsidRPr="00EE1689">
        <w:rPr>
          <w:szCs w:val="22"/>
          <w:lang w:val="sl-SI"/>
        </w:rPr>
        <w:t>se zavzema za izrecno priznanje vloge zagovorništva kot ključne plati dela organizacij civilne družbe ter njihove vloge pri oblikovanju politik, da bi okrepili demokracijo in odpornost;</w:t>
      </w:r>
    </w:p>
    <w:p w14:paraId="09580E8B" w14:textId="0E1BDE1C" w:rsidR="00286904" w:rsidRPr="00EE1689" w:rsidRDefault="00286904" w:rsidP="000619F4">
      <w:pPr>
        <w:widowControl w:val="0"/>
        <w:numPr>
          <w:ilvl w:val="0"/>
          <w:numId w:val="9"/>
        </w:numPr>
        <w:tabs>
          <w:tab w:val="clear" w:pos="0"/>
        </w:tabs>
        <w:spacing w:line="254" w:lineRule="auto"/>
        <w:ind w:left="567" w:hanging="567"/>
        <w:rPr>
          <w:szCs w:val="22"/>
          <w:lang w:val="sl-SI"/>
        </w:rPr>
      </w:pPr>
      <w:r w:rsidRPr="00EE1689">
        <w:rPr>
          <w:szCs w:val="22"/>
          <w:lang w:val="sl-SI"/>
        </w:rPr>
        <w:t>priporoča uvedbo nepovratnih sredstev za poslovanje v vseh sklopih programa AgoraEU, da bi okrepili institucionalno odpornost organizacij civilne družbe, ter poziva, naj se nepovratna sredstva za poslovanje v okviru programa za pravosodje namenijo tudi neprofitnim organizacijam, ki delujejo s ciljem splošnega evropskega interesa;</w:t>
      </w:r>
    </w:p>
    <w:p w14:paraId="12328F5D" w14:textId="0A46B38B" w:rsidR="00286904" w:rsidRPr="00EE1689" w:rsidRDefault="00286904" w:rsidP="000619F4">
      <w:pPr>
        <w:widowControl w:val="0"/>
        <w:numPr>
          <w:ilvl w:val="0"/>
          <w:numId w:val="9"/>
        </w:numPr>
        <w:tabs>
          <w:tab w:val="clear" w:pos="0"/>
        </w:tabs>
        <w:spacing w:line="254" w:lineRule="auto"/>
        <w:ind w:left="567" w:hanging="567"/>
        <w:rPr>
          <w:szCs w:val="22"/>
          <w:lang w:val="sl-SI"/>
        </w:rPr>
      </w:pPr>
      <w:r w:rsidRPr="00EE1689">
        <w:rPr>
          <w:szCs w:val="22"/>
          <w:lang w:val="sl-SI"/>
        </w:rPr>
        <w:t>podpira ohranitev finančne podpore tretjim osebam prek posredniških organizacij, da bi dosegli manjše in lokalne organizacije, ter poudarja, da bi moralo biti zagotavljanje neodvisnosti posrednikov ter skladnosti njihovega upravljanja z Listino EU o temeljnih pravicah ključno merilo za njihovo izbiro. Zavzema se tudi za jasnost glede stopenj sofinanciranja in priporoča, da se omogoči do 100-odstotno financiranje EU za posrednike in končne upravičence, ki izvajajo dejavnosti na podlagi prenosa;</w:t>
      </w:r>
    </w:p>
    <w:p w14:paraId="38B2A459" w14:textId="46562233" w:rsidR="00286904" w:rsidRPr="00EE1689" w:rsidRDefault="00286904" w:rsidP="000619F4">
      <w:pPr>
        <w:widowControl w:val="0"/>
        <w:numPr>
          <w:ilvl w:val="0"/>
          <w:numId w:val="9"/>
        </w:numPr>
        <w:tabs>
          <w:tab w:val="clear" w:pos="0"/>
        </w:tabs>
        <w:spacing w:line="254" w:lineRule="auto"/>
        <w:ind w:left="567" w:hanging="567"/>
        <w:rPr>
          <w:szCs w:val="22"/>
          <w:lang w:val="sl-SI"/>
        </w:rPr>
      </w:pPr>
      <w:r w:rsidRPr="00EE1689">
        <w:rPr>
          <w:szCs w:val="22"/>
          <w:lang w:val="sl-SI"/>
        </w:rPr>
        <w:t>se zaveda potrebe po prilagoditvi mandata in virov centrov Ustvarjalne Evrope, da bodo lahko učinkovito podpirali širši obseg delovanja programa AgoraEU na kulturnem, medijskem in državljanskem področju;</w:t>
      </w:r>
    </w:p>
    <w:p w14:paraId="3857C1B3" w14:textId="0709D8DD" w:rsidR="00286904" w:rsidRPr="000619F4" w:rsidRDefault="00286904" w:rsidP="000619F4">
      <w:pPr>
        <w:widowControl w:val="0"/>
        <w:numPr>
          <w:ilvl w:val="0"/>
          <w:numId w:val="9"/>
        </w:numPr>
        <w:tabs>
          <w:tab w:val="clear" w:pos="0"/>
        </w:tabs>
        <w:spacing w:line="254" w:lineRule="auto"/>
        <w:ind w:left="567" w:hanging="567"/>
        <w:rPr>
          <w:spacing w:val="-8"/>
          <w:szCs w:val="22"/>
          <w:lang w:val="sl-SI"/>
        </w:rPr>
      </w:pPr>
      <w:r w:rsidRPr="000619F4">
        <w:rPr>
          <w:spacing w:val="-8"/>
          <w:szCs w:val="22"/>
          <w:lang w:val="sl-SI"/>
        </w:rPr>
        <w:t>poziva k uvedbi prožnosti in zaščitnih ukrepov pri uporabi pavšalnih zneskov in večletnih nepovratnih sredstev (npr. indeksacija, popravni mehanizmi), da se prepreči finančni pritisk na upravičence;</w:t>
      </w:r>
    </w:p>
    <w:p w14:paraId="19AEC1ED" w14:textId="0F210A9E" w:rsidR="00286904" w:rsidRPr="00EE1689" w:rsidRDefault="00286904" w:rsidP="000619F4">
      <w:pPr>
        <w:widowControl w:val="0"/>
        <w:numPr>
          <w:ilvl w:val="0"/>
          <w:numId w:val="9"/>
        </w:numPr>
        <w:tabs>
          <w:tab w:val="clear" w:pos="0"/>
        </w:tabs>
        <w:spacing w:line="254" w:lineRule="auto"/>
        <w:ind w:left="567" w:hanging="567"/>
        <w:rPr>
          <w:lang w:val="sl-SI"/>
        </w:rPr>
      </w:pPr>
      <w:r w:rsidRPr="00EE1689">
        <w:rPr>
          <w:szCs w:val="22"/>
          <w:lang w:val="sl-SI"/>
        </w:rPr>
        <w:t>se zavzema za večjo jasnost glede sinergij med Evropskim skladom za konkurenčnost (ECF) in sklopom MEDIA+ v okviru programa AgoraEU; poziva Komisijo, naj prejemnike nepovratnih sredstev pov</w:t>
      </w:r>
      <w:r w:rsidRPr="00EE1689">
        <w:rPr>
          <w:lang w:val="sl-SI"/>
        </w:rPr>
        <w:t>eže in pripravi akcijski načrt za operacionalizacijo kombiniranega in kumulativnega financiranja v obeh uredbah, tudi za skupne razpise, sodelovanje med generalnimi direktorati in redno spremljanje smotrnosti;</w:t>
      </w:r>
    </w:p>
    <w:p w14:paraId="60526907" w14:textId="07197DF6" w:rsidR="00286904" w:rsidRPr="00EE1689" w:rsidRDefault="00286904" w:rsidP="000619F4">
      <w:pPr>
        <w:widowControl w:val="0"/>
        <w:numPr>
          <w:ilvl w:val="0"/>
          <w:numId w:val="9"/>
        </w:numPr>
        <w:tabs>
          <w:tab w:val="clear" w:pos="0"/>
        </w:tabs>
        <w:spacing w:line="254" w:lineRule="auto"/>
        <w:ind w:left="567" w:hanging="567"/>
        <w:rPr>
          <w:szCs w:val="22"/>
          <w:lang w:val="sl-SI"/>
        </w:rPr>
      </w:pPr>
      <w:r w:rsidRPr="00EE1689">
        <w:rPr>
          <w:szCs w:val="22"/>
          <w:lang w:val="sl-SI"/>
        </w:rPr>
        <w:t>priporoča, naj se program za pravosodje bolj osredotoči na pravice žrtev in dostop do pravnega varstva, vključno s financiranjem mrež za podporo žrtvam, izobraževanjem pravosodnih delavcev ter čezmejnim dostopom do pravnega varstva in pravne pomoči;</w:t>
      </w:r>
    </w:p>
    <w:p w14:paraId="549419C4" w14:textId="39D0A800" w:rsidR="00286904" w:rsidRPr="00EE1689" w:rsidRDefault="00286904" w:rsidP="000619F4">
      <w:pPr>
        <w:widowControl w:val="0"/>
        <w:numPr>
          <w:ilvl w:val="0"/>
          <w:numId w:val="9"/>
        </w:numPr>
        <w:tabs>
          <w:tab w:val="clear" w:pos="0"/>
        </w:tabs>
        <w:spacing w:line="254" w:lineRule="auto"/>
        <w:ind w:left="567" w:hanging="567"/>
        <w:rPr>
          <w:szCs w:val="22"/>
          <w:lang w:val="sl-SI"/>
        </w:rPr>
      </w:pPr>
      <w:r w:rsidRPr="00EE1689">
        <w:rPr>
          <w:szCs w:val="22"/>
          <w:lang w:val="sl-SI"/>
        </w:rPr>
        <w:t>poziva, naj se obravnavajo neravnovesja pri financiranju znotraj EU, zlasti razkorak med vzhodom in zahodom pri obeh programih;</w:t>
      </w:r>
    </w:p>
    <w:p w14:paraId="50AD6771" w14:textId="44906724" w:rsidR="00286904" w:rsidRPr="000619F4" w:rsidRDefault="00286904" w:rsidP="000619F4">
      <w:pPr>
        <w:widowControl w:val="0"/>
        <w:numPr>
          <w:ilvl w:val="0"/>
          <w:numId w:val="9"/>
        </w:numPr>
        <w:tabs>
          <w:tab w:val="clear" w:pos="0"/>
        </w:tabs>
        <w:spacing w:line="254" w:lineRule="auto"/>
        <w:ind w:left="567" w:hanging="567"/>
        <w:rPr>
          <w:spacing w:val="-12"/>
          <w:szCs w:val="22"/>
          <w:lang w:val="sl-SI"/>
        </w:rPr>
      </w:pPr>
      <w:r w:rsidRPr="000619F4">
        <w:rPr>
          <w:spacing w:val="-12"/>
          <w:szCs w:val="22"/>
          <w:lang w:val="sl-SI"/>
        </w:rPr>
        <w:t>obžaluje, da v uredbi o programu AgoraEU ni več delovne skupine za civilni dialog, in poziva, naj se jo doda;</w:t>
      </w:r>
    </w:p>
    <w:p w14:paraId="3A92D003" w14:textId="3324C4B7" w:rsidR="007C6480" w:rsidRPr="00EE1689" w:rsidRDefault="00286904" w:rsidP="000619F4">
      <w:pPr>
        <w:widowControl w:val="0"/>
        <w:numPr>
          <w:ilvl w:val="0"/>
          <w:numId w:val="9"/>
        </w:numPr>
        <w:tabs>
          <w:tab w:val="clear" w:pos="0"/>
        </w:tabs>
        <w:spacing w:line="254" w:lineRule="auto"/>
        <w:ind w:left="567" w:hanging="567"/>
        <w:rPr>
          <w:lang w:val="sl-SI"/>
        </w:rPr>
      </w:pPr>
      <w:r w:rsidRPr="00EE1689">
        <w:rPr>
          <w:szCs w:val="22"/>
          <w:lang w:val="sl-SI"/>
        </w:rPr>
        <w:t>poudarja, da je učinek programa odvisen od ustrezne nacionalne infrastrukture in sofinanciranja, in predlaga,</w:t>
      </w:r>
      <w:r w:rsidRPr="00EE1689">
        <w:rPr>
          <w:lang w:val="sl-SI"/>
        </w:rPr>
        <w:t xml:space="preserve"> da se dostop do skladov EU z deljenim upravljanjem poveže z dokazano zavezanostjo držav članic ciljem programa AgoraEU in programa za pravosodje.</w:t>
      </w:r>
    </w:p>
    <w:p w14:paraId="00B63412" w14:textId="77777777" w:rsidR="00286904" w:rsidRPr="00EE1689" w:rsidRDefault="00286904" w:rsidP="000619F4">
      <w:pPr>
        <w:spacing w:line="254" w:lineRule="auto"/>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36590FE4" w14:textId="77777777" w:rsidTr="00827140">
        <w:tc>
          <w:tcPr>
            <w:tcW w:w="974" w:type="pct"/>
          </w:tcPr>
          <w:p w14:paraId="2D42D07E" w14:textId="77777777" w:rsidR="007C6480" w:rsidRPr="00EE1689" w:rsidRDefault="007C6480" w:rsidP="000619F4">
            <w:pPr>
              <w:spacing w:line="254" w:lineRule="auto"/>
              <w:rPr>
                <w:lang w:val="sl-SI"/>
              </w:rPr>
            </w:pPr>
            <w:r w:rsidRPr="00EE1689">
              <w:rPr>
                <w:b/>
                <w:i/>
                <w:szCs w:val="22"/>
                <w:lang w:val="sl-SI"/>
              </w:rPr>
              <w:t>Kontaktna oseba</w:t>
            </w:r>
          </w:p>
        </w:tc>
        <w:tc>
          <w:tcPr>
            <w:tcW w:w="4026" w:type="pct"/>
          </w:tcPr>
          <w:p w14:paraId="77453D99" w14:textId="40E6C2E7" w:rsidR="007C6480" w:rsidRPr="00EE1689" w:rsidRDefault="00286904" w:rsidP="000619F4">
            <w:pPr>
              <w:spacing w:line="254" w:lineRule="auto"/>
              <w:rPr>
                <w:i/>
                <w:lang w:val="sl-SI"/>
              </w:rPr>
            </w:pPr>
            <w:r w:rsidRPr="00EE1689">
              <w:rPr>
                <w:i/>
                <w:lang w:val="sl-SI"/>
              </w:rPr>
              <w:t>Alessia Cova</w:t>
            </w:r>
          </w:p>
        </w:tc>
      </w:tr>
      <w:tr w:rsidR="007C6480" w:rsidRPr="00EE1689" w14:paraId="723C4CC2" w14:textId="77777777" w:rsidTr="00827140">
        <w:tc>
          <w:tcPr>
            <w:tcW w:w="974" w:type="pct"/>
          </w:tcPr>
          <w:p w14:paraId="11C37AAB" w14:textId="77777777" w:rsidR="007C6480" w:rsidRPr="00EE1689" w:rsidRDefault="007C6480" w:rsidP="000619F4">
            <w:pPr>
              <w:spacing w:line="254" w:lineRule="auto"/>
              <w:rPr>
                <w:lang w:val="sl-SI"/>
              </w:rPr>
            </w:pPr>
            <w:r w:rsidRPr="00EE1689">
              <w:rPr>
                <w:i/>
                <w:szCs w:val="22"/>
                <w:lang w:val="sl-SI"/>
              </w:rPr>
              <w:t>Telefon</w:t>
            </w:r>
          </w:p>
        </w:tc>
        <w:tc>
          <w:tcPr>
            <w:tcW w:w="4026" w:type="pct"/>
          </w:tcPr>
          <w:p w14:paraId="1345A79F" w14:textId="40210445" w:rsidR="007C6480" w:rsidRPr="00EE1689" w:rsidRDefault="007C6480" w:rsidP="000619F4">
            <w:pPr>
              <w:spacing w:line="254" w:lineRule="auto"/>
              <w:rPr>
                <w:lang w:val="sl-SI"/>
              </w:rPr>
            </w:pPr>
            <w:r w:rsidRPr="00EE1689">
              <w:rPr>
                <w:i/>
                <w:szCs w:val="22"/>
                <w:lang w:val="sl-SI"/>
              </w:rPr>
              <w:t>+32 2 </w:t>
            </w:r>
            <w:r w:rsidR="00286904" w:rsidRPr="00EE1689">
              <w:rPr>
                <w:i/>
                <w:szCs w:val="22"/>
                <w:lang w:val="sl-SI"/>
              </w:rPr>
              <w:t>546 9426</w:t>
            </w:r>
          </w:p>
        </w:tc>
      </w:tr>
      <w:tr w:rsidR="007C6480" w:rsidRPr="00EE1689" w14:paraId="6C67C692" w14:textId="77777777" w:rsidTr="00827140">
        <w:tc>
          <w:tcPr>
            <w:tcW w:w="974" w:type="pct"/>
          </w:tcPr>
          <w:p w14:paraId="0E59B20E" w14:textId="77777777" w:rsidR="007C6480" w:rsidRPr="00EE1689" w:rsidRDefault="007C6480" w:rsidP="000619F4">
            <w:pPr>
              <w:spacing w:line="254" w:lineRule="auto"/>
              <w:rPr>
                <w:lang w:val="sl-SI"/>
              </w:rPr>
            </w:pPr>
            <w:r w:rsidRPr="00EE1689">
              <w:rPr>
                <w:i/>
                <w:szCs w:val="22"/>
                <w:lang w:val="sl-SI"/>
              </w:rPr>
              <w:t>E-naslov</w:t>
            </w:r>
          </w:p>
        </w:tc>
        <w:tc>
          <w:tcPr>
            <w:tcW w:w="4026" w:type="pct"/>
          </w:tcPr>
          <w:p w14:paraId="22107511" w14:textId="640DA3EA" w:rsidR="007C6480" w:rsidRPr="00EE1689" w:rsidRDefault="00FA3430" w:rsidP="000619F4">
            <w:pPr>
              <w:spacing w:line="254" w:lineRule="auto"/>
              <w:rPr>
                <w:i/>
                <w:lang w:val="sl-SI"/>
              </w:rPr>
            </w:pPr>
            <w:hyperlink r:id="rId19" w:history="1">
              <w:r w:rsidR="00286904" w:rsidRPr="00EE1689">
                <w:rPr>
                  <w:rStyle w:val="Hyperlink"/>
                  <w:i/>
                  <w:lang w:val="sl-SI"/>
                </w:rPr>
                <w:t>Alessia.Cova@eesc.europa.eu</w:t>
              </w:r>
            </w:hyperlink>
          </w:p>
        </w:tc>
      </w:tr>
    </w:tbl>
    <w:p w14:paraId="6439AE1F" w14:textId="77777777" w:rsidR="007C6480" w:rsidRPr="00EE1689" w:rsidRDefault="007C6480" w:rsidP="000619F4">
      <w:pPr>
        <w:spacing w:line="254" w:lineRule="auto"/>
        <w:rPr>
          <w:lang w:val="sl-SI"/>
        </w:rPr>
      </w:pPr>
    </w:p>
    <w:p w14:paraId="16FD85C4" w14:textId="77777777" w:rsidR="00437105" w:rsidRPr="00EE1689" w:rsidRDefault="00437105" w:rsidP="000619F4">
      <w:pPr>
        <w:spacing w:line="254" w:lineRule="auto"/>
        <w:rPr>
          <w:lang w:val="sl-SI"/>
        </w:rPr>
      </w:pPr>
    </w:p>
    <w:p w14:paraId="17017B49" w14:textId="77777777" w:rsidR="00437105" w:rsidRPr="00EE1689" w:rsidRDefault="00437105" w:rsidP="00EE1689">
      <w:pPr>
        <w:pStyle w:val="Heading1"/>
        <w:pageBreakBefore/>
        <w:overflowPunct/>
        <w:autoSpaceDE/>
        <w:autoSpaceDN/>
        <w:adjustRightInd/>
        <w:ind w:left="567" w:hanging="567"/>
        <w:textAlignment w:val="auto"/>
        <w:rPr>
          <w:lang w:val="sl-SI"/>
        </w:rPr>
      </w:pPr>
      <w:bookmarkStart w:id="5" w:name="_Toc103071393"/>
      <w:bookmarkStart w:id="6" w:name="_Toc105440137"/>
      <w:r w:rsidRPr="00EE1689">
        <w:rPr>
          <w:b/>
          <w:lang w:val="sl-SI"/>
        </w:rPr>
        <w:lastRenderedPageBreak/>
        <w:t>PROMET, ENERGIJA, INFRASTRUKTURA IN INFORMACIJSKA DRUŽBA</w:t>
      </w:r>
      <w:bookmarkEnd w:id="5"/>
      <w:bookmarkEnd w:id="6"/>
    </w:p>
    <w:p w14:paraId="2EE35326" w14:textId="77777777" w:rsidR="00437105" w:rsidRPr="00EE1689" w:rsidRDefault="00437105" w:rsidP="00EE1689">
      <w:pPr>
        <w:rPr>
          <w:lang w:val="sl-SI"/>
        </w:rPr>
      </w:pPr>
    </w:p>
    <w:p w14:paraId="61F9920C" w14:textId="628B2853" w:rsidR="00EA31FC" w:rsidRPr="00EE1689" w:rsidRDefault="00FA3430" w:rsidP="00EE1689">
      <w:pPr>
        <w:numPr>
          <w:ilvl w:val="0"/>
          <w:numId w:val="7"/>
        </w:numPr>
        <w:tabs>
          <w:tab w:val="clear" w:pos="0"/>
        </w:tabs>
        <w:ind w:left="567" w:hanging="567"/>
        <w:rPr>
          <w:sz w:val="28"/>
          <w:szCs w:val="22"/>
          <w:lang w:val="sl-SI"/>
        </w:rPr>
      </w:pPr>
      <w:hyperlink r:id="rId20" w:history="1">
        <w:r w:rsidR="00611B56" w:rsidRPr="00EE1689">
          <w:rPr>
            <w:rStyle w:val="Hyperlink"/>
            <w:b/>
            <w:i/>
            <w:sz w:val="28"/>
            <w:szCs w:val="22"/>
            <w:lang w:val="sl-SI"/>
          </w:rPr>
          <w:t>Emisijski razred CO</w:t>
        </w:r>
        <w:r w:rsidR="00611B56" w:rsidRPr="00EE1689">
          <w:rPr>
            <w:rStyle w:val="Hyperlink"/>
            <w:b/>
            <w:i/>
            <w:sz w:val="28"/>
            <w:szCs w:val="22"/>
            <w:vertAlign w:val="subscript"/>
            <w:lang w:val="sl-SI"/>
          </w:rPr>
          <w:t>2</w:t>
        </w:r>
        <w:r w:rsidR="00611B56" w:rsidRPr="00EE1689">
          <w:rPr>
            <w:rStyle w:val="Hyperlink"/>
            <w:b/>
            <w:i/>
            <w:sz w:val="28"/>
            <w:szCs w:val="22"/>
            <w:lang w:val="sl-SI"/>
          </w:rPr>
          <w:t xml:space="preserve"> za težka vozila s priklopniki</w:t>
        </w:r>
      </w:hyperlink>
    </w:p>
    <w:p w14:paraId="3E64CDDF" w14:textId="77777777" w:rsidR="00EA31FC" w:rsidRPr="00EE1689" w:rsidRDefault="00EA31FC" w:rsidP="00EE1689">
      <w:pPr>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437105" w:rsidRPr="00EE1689" w14:paraId="29606DAB" w14:textId="77777777" w:rsidTr="00993CB4">
        <w:tc>
          <w:tcPr>
            <w:tcW w:w="974" w:type="pct"/>
            <w:vMerge w:val="restart"/>
          </w:tcPr>
          <w:p w14:paraId="7FF8C935" w14:textId="007AEFDC" w:rsidR="00437105" w:rsidRPr="00EE1689" w:rsidRDefault="00437105" w:rsidP="00EE1689">
            <w:pPr>
              <w:rPr>
                <w:b/>
                <w:szCs w:val="22"/>
                <w:lang w:val="sl-SI"/>
              </w:rPr>
            </w:pPr>
            <w:r w:rsidRPr="00EE1689">
              <w:rPr>
                <w:b/>
                <w:szCs w:val="22"/>
                <w:lang w:val="sl-SI"/>
              </w:rPr>
              <w:t>Referenčn</w:t>
            </w:r>
            <w:r w:rsidR="00611B56" w:rsidRPr="00EE1689">
              <w:rPr>
                <w:b/>
                <w:szCs w:val="22"/>
                <w:lang w:val="sl-SI"/>
              </w:rPr>
              <w:t>a</w:t>
            </w:r>
            <w:r w:rsidRPr="00EE1689">
              <w:rPr>
                <w:b/>
                <w:szCs w:val="22"/>
                <w:lang w:val="sl-SI"/>
              </w:rPr>
              <w:t xml:space="preserve"> dokument</w:t>
            </w:r>
            <w:r w:rsidR="00611B56" w:rsidRPr="00EE1689">
              <w:rPr>
                <w:b/>
                <w:szCs w:val="22"/>
                <w:lang w:val="sl-SI"/>
              </w:rPr>
              <w:t>a</w:t>
            </w:r>
          </w:p>
        </w:tc>
        <w:tc>
          <w:tcPr>
            <w:tcW w:w="4026" w:type="pct"/>
          </w:tcPr>
          <w:p w14:paraId="064BEA19" w14:textId="443543B9" w:rsidR="00437105" w:rsidRPr="00EE1689" w:rsidRDefault="00611B56" w:rsidP="00EE1689">
            <w:pPr>
              <w:rPr>
                <w:szCs w:val="22"/>
                <w:lang w:val="sl-SI"/>
              </w:rPr>
            </w:pPr>
            <w:r w:rsidRPr="00EE1689">
              <w:rPr>
                <w:szCs w:val="22"/>
                <w:lang w:val="sl-SI"/>
              </w:rPr>
              <w:t>mnenje kategorije C</w:t>
            </w:r>
          </w:p>
        </w:tc>
      </w:tr>
      <w:tr w:rsidR="00437105" w:rsidRPr="00EE1689" w14:paraId="168F67D1" w14:textId="77777777" w:rsidTr="00993CB4">
        <w:tc>
          <w:tcPr>
            <w:tcW w:w="974" w:type="pct"/>
            <w:vMerge/>
          </w:tcPr>
          <w:p w14:paraId="735BEF84" w14:textId="77777777" w:rsidR="00437105" w:rsidRPr="00EE1689" w:rsidRDefault="00437105" w:rsidP="00EE1689">
            <w:pPr>
              <w:tabs>
                <w:tab w:val="center" w:pos="284"/>
              </w:tabs>
              <w:ind w:left="266" w:hanging="266"/>
              <w:rPr>
                <w:b/>
                <w:szCs w:val="22"/>
                <w:lang w:val="sl-SI"/>
              </w:rPr>
            </w:pPr>
          </w:p>
        </w:tc>
        <w:tc>
          <w:tcPr>
            <w:tcW w:w="4026" w:type="pct"/>
          </w:tcPr>
          <w:p w14:paraId="56AE9A21" w14:textId="3997F19F" w:rsidR="00611B56" w:rsidRPr="00EE1689" w:rsidRDefault="00611B56" w:rsidP="00EE1689">
            <w:pPr>
              <w:rPr>
                <w:szCs w:val="22"/>
                <w:lang w:val="sl-SI"/>
              </w:rPr>
            </w:pPr>
            <w:r w:rsidRPr="00EE1689">
              <w:rPr>
                <w:szCs w:val="22"/>
                <w:lang w:val="sl-SI"/>
              </w:rPr>
              <w:t>COM(2025) 589 final</w:t>
            </w:r>
          </w:p>
          <w:p w14:paraId="29009636" w14:textId="035BD12A" w:rsidR="00437105" w:rsidRPr="00EE1689" w:rsidRDefault="00611B56" w:rsidP="00EE1689">
            <w:pPr>
              <w:rPr>
                <w:szCs w:val="22"/>
                <w:lang w:val="sl-SI"/>
              </w:rPr>
            </w:pPr>
            <w:r w:rsidRPr="00EE1689">
              <w:rPr>
                <w:szCs w:val="22"/>
                <w:lang w:val="sl-SI"/>
              </w:rPr>
              <w:t>EESC-2023-03779-00-AC</w:t>
            </w:r>
          </w:p>
        </w:tc>
      </w:tr>
    </w:tbl>
    <w:p w14:paraId="168E7A5F" w14:textId="77777777" w:rsidR="00437105" w:rsidRPr="00EE1689" w:rsidRDefault="00437105" w:rsidP="00EE1689">
      <w:pPr>
        <w:rPr>
          <w:szCs w:val="22"/>
          <w:lang w:val="sl-SI"/>
        </w:rPr>
      </w:pPr>
    </w:p>
    <w:p w14:paraId="72F93FE3" w14:textId="77777777" w:rsidR="00437105" w:rsidRPr="00EE1689" w:rsidRDefault="00437105" w:rsidP="00EE1689">
      <w:pPr>
        <w:rPr>
          <w:lang w:val="sl-SI"/>
        </w:rPr>
      </w:pPr>
      <w:r w:rsidRPr="00EE1689">
        <w:rPr>
          <w:b/>
          <w:lang w:val="sl-SI"/>
        </w:rPr>
        <w:t>Glavne točke</w:t>
      </w:r>
    </w:p>
    <w:p w14:paraId="5F14DC34" w14:textId="77777777" w:rsidR="00437105" w:rsidRPr="00EE1689" w:rsidRDefault="00437105" w:rsidP="00EE1689">
      <w:pPr>
        <w:rPr>
          <w:szCs w:val="22"/>
          <w:lang w:val="sl-SI"/>
        </w:rPr>
      </w:pPr>
    </w:p>
    <w:p w14:paraId="12554621" w14:textId="17C8C080" w:rsidR="00437105" w:rsidRPr="00EE1689" w:rsidRDefault="00BE297A" w:rsidP="00EE1689">
      <w:pPr>
        <w:widowControl w:val="0"/>
        <w:numPr>
          <w:ilvl w:val="0"/>
          <w:numId w:val="9"/>
        </w:numPr>
        <w:tabs>
          <w:tab w:val="clear" w:pos="0"/>
        </w:tabs>
        <w:ind w:left="567" w:hanging="567"/>
        <w:rPr>
          <w:bCs/>
          <w:iCs/>
          <w:szCs w:val="22"/>
          <w:lang w:val="sl-SI"/>
        </w:rPr>
      </w:pPr>
      <w:r w:rsidRPr="00EE1689">
        <w:rPr>
          <w:lang w:val="sl-SI"/>
        </w:rPr>
        <w:t>Odbor je v mnenju TEN/815 o emisijskem razredu CO</w:t>
      </w:r>
      <w:r w:rsidRPr="00A81C7C">
        <w:rPr>
          <w:vertAlign w:val="subscript"/>
          <w:lang w:val="sl-SI"/>
        </w:rPr>
        <w:t>2</w:t>
      </w:r>
      <w:r w:rsidRPr="00EE1689">
        <w:rPr>
          <w:lang w:val="sl-SI"/>
        </w:rPr>
        <w:t xml:space="preserve"> za težka vozila s priklopniki [</w:t>
      </w:r>
      <w:hyperlink r:id="rId21" w:history="1">
        <w:r w:rsidRPr="00EE1689">
          <w:rPr>
            <w:rStyle w:val="Hyperlink"/>
            <w:lang w:val="sl-SI"/>
          </w:rPr>
          <w:t>C/2023/874</w:t>
        </w:r>
      </w:hyperlink>
      <w:r w:rsidRPr="00EE1689">
        <w:rPr>
          <w:lang w:val="sl-SI"/>
        </w:rPr>
        <w:t>], sprejetem 20.</w:t>
      </w:r>
      <w:r w:rsidR="00A81C7C">
        <w:rPr>
          <w:lang w:val="sl-SI"/>
        </w:rPr>
        <w:t> </w:t>
      </w:r>
      <w:r w:rsidRPr="00EE1689">
        <w:rPr>
          <w:lang w:val="sl-SI"/>
        </w:rPr>
        <w:t>septembra</w:t>
      </w:r>
      <w:r w:rsidR="00A81C7C">
        <w:rPr>
          <w:lang w:val="sl-SI"/>
        </w:rPr>
        <w:t> </w:t>
      </w:r>
      <w:r w:rsidRPr="00EE1689">
        <w:rPr>
          <w:lang w:val="sl-SI"/>
        </w:rPr>
        <w:t>2023, že podal stališče o vsebini obravnavanega predloga, zato je sklenil, da o tem ne bo pripravil novega mnenja, saj zagovarja enako stališče kot v navedenem mnenju.</w:t>
      </w:r>
    </w:p>
    <w:p w14:paraId="46D163CC" w14:textId="77777777" w:rsidR="00BE297A" w:rsidRPr="00EE1689" w:rsidRDefault="00BE297A"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437105" w:rsidRPr="00EE1689" w14:paraId="0ED69208" w14:textId="77777777" w:rsidTr="00993CB4">
        <w:tc>
          <w:tcPr>
            <w:tcW w:w="974" w:type="pct"/>
          </w:tcPr>
          <w:p w14:paraId="6C701A81" w14:textId="77777777" w:rsidR="00437105" w:rsidRPr="00EE1689" w:rsidRDefault="00437105" w:rsidP="00EE1689">
            <w:pPr>
              <w:rPr>
                <w:lang w:val="sl-SI"/>
              </w:rPr>
            </w:pPr>
            <w:r w:rsidRPr="00EE1689">
              <w:rPr>
                <w:b/>
                <w:i/>
                <w:szCs w:val="22"/>
                <w:lang w:val="sl-SI"/>
              </w:rPr>
              <w:t>Kontaktna oseba</w:t>
            </w:r>
          </w:p>
        </w:tc>
        <w:tc>
          <w:tcPr>
            <w:tcW w:w="4026" w:type="pct"/>
          </w:tcPr>
          <w:p w14:paraId="23B5C1BF" w14:textId="1511F317" w:rsidR="00437105" w:rsidRPr="00EE1689" w:rsidRDefault="00BE297A" w:rsidP="00EE1689">
            <w:pPr>
              <w:rPr>
                <w:i/>
                <w:lang w:val="sl-SI"/>
              </w:rPr>
            </w:pPr>
            <w:r w:rsidRPr="00EE1689">
              <w:rPr>
                <w:i/>
                <w:lang w:val="sl-SI"/>
              </w:rPr>
              <w:t>Maja Radman</w:t>
            </w:r>
          </w:p>
        </w:tc>
      </w:tr>
      <w:tr w:rsidR="00437105" w:rsidRPr="00EE1689" w14:paraId="16D7EF62" w14:textId="77777777" w:rsidTr="00993CB4">
        <w:tc>
          <w:tcPr>
            <w:tcW w:w="974" w:type="pct"/>
          </w:tcPr>
          <w:p w14:paraId="58AD07FC" w14:textId="77777777" w:rsidR="00437105" w:rsidRPr="00EE1689" w:rsidRDefault="006926AD" w:rsidP="00EE1689">
            <w:pPr>
              <w:rPr>
                <w:lang w:val="sl-SI"/>
              </w:rPr>
            </w:pPr>
            <w:r w:rsidRPr="00EE1689">
              <w:rPr>
                <w:i/>
                <w:szCs w:val="22"/>
                <w:lang w:val="sl-SI"/>
              </w:rPr>
              <w:t>Telefon</w:t>
            </w:r>
          </w:p>
        </w:tc>
        <w:tc>
          <w:tcPr>
            <w:tcW w:w="4026" w:type="pct"/>
          </w:tcPr>
          <w:p w14:paraId="0118288A" w14:textId="13155026" w:rsidR="00437105" w:rsidRPr="00EE1689" w:rsidRDefault="000D558D" w:rsidP="00EE1689">
            <w:pPr>
              <w:rPr>
                <w:lang w:val="sl-SI"/>
              </w:rPr>
            </w:pPr>
            <w:r w:rsidRPr="00EE1689">
              <w:rPr>
                <w:i/>
                <w:szCs w:val="22"/>
                <w:lang w:val="sl-SI"/>
              </w:rPr>
              <w:t>+</w:t>
            </w:r>
            <w:r w:rsidR="00437105" w:rsidRPr="00EE1689">
              <w:rPr>
                <w:i/>
                <w:szCs w:val="22"/>
                <w:lang w:val="sl-SI"/>
              </w:rPr>
              <w:t>32 2 </w:t>
            </w:r>
            <w:r w:rsidR="00BE297A" w:rsidRPr="00EE1689">
              <w:rPr>
                <w:i/>
                <w:szCs w:val="22"/>
                <w:lang w:val="sl-SI"/>
              </w:rPr>
              <w:t>546 9051</w:t>
            </w:r>
          </w:p>
        </w:tc>
      </w:tr>
      <w:tr w:rsidR="00437105" w:rsidRPr="00EE1689" w14:paraId="52280772" w14:textId="77777777" w:rsidTr="00993CB4">
        <w:tc>
          <w:tcPr>
            <w:tcW w:w="974" w:type="pct"/>
          </w:tcPr>
          <w:p w14:paraId="75072D62" w14:textId="77777777" w:rsidR="00437105" w:rsidRPr="00EE1689" w:rsidRDefault="00437105" w:rsidP="00EE1689">
            <w:pPr>
              <w:rPr>
                <w:lang w:val="sl-SI"/>
              </w:rPr>
            </w:pPr>
            <w:r w:rsidRPr="00EE1689">
              <w:rPr>
                <w:i/>
                <w:szCs w:val="22"/>
                <w:lang w:val="sl-SI"/>
              </w:rPr>
              <w:t>E-naslov</w:t>
            </w:r>
          </w:p>
        </w:tc>
        <w:tc>
          <w:tcPr>
            <w:tcW w:w="4026" w:type="pct"/>
          </w:tcPr>
          <w:p w14:paraId="2F650971" w14:textId="7522772E" w:rsidR="00437105" w:rsidRPr="00EE1689" w:rsidRDefault="00FA3430" w:rsidP="00EE1689">
            <w:pPr>
              <w:rPr>
                <w:i/>
                <w:lang w:val="sl-SI"/>
              </w:rPr>
            </w:pPr>
            <w:hyperlink r:id="rId22" w:history="1">
              <w:r w:rsidR="00BE297A" w:rsidRPr="00EE1689">
                <w:rPr>
                  <w:rStyle w:val="Hyperlink"/>
                  <w:i/>
                  <w:lang w:val="sl-SI"/>
                </w:rPr>
                <w:t>Maja.Radman@eesc.europa.eu</w:t>
              </w:r>
            </w:hyperlink>
          </w:p>
        </w:tc>
      </w:tr>
    </w:tbl>
    <w:p w14:paraId="64B2809F" w14:textId="77777777" w:rsidR="00437105" w:rsidRPr="00EE1689" w:rsidRDefault="00437105" w:rsidP="00EE1689">
      <w:pPr>
        <w:rPr>
          <w:lang w:val="sl-SI"/>
        </w:rPr>
      </w:pPr>
    </w:p>
    <w:p w14:paraId="7DF2E092" w14:textId="2F5762A9" w:rsidR="007C6480" w:rsidRPr="00EE1689" w:rsidRDefault="00FA3430" w:rsidP="000619F4">
      <w:pPr>
        <w:keepNext/>
        <w:keepLines/>
        <w:numPr>
          <w:ilvl w:val="0"/>
          <w:numId w:val="7"/>
        </w:numPr>
        <w:tabs>
          <w:tab w:val="clear" w:pos="0"/>
        </w:tabs>
        <w:ind w:left="567" w:hanging="567"/>
        <w:rPr>
          <w:sz w:val="28"/>
          <w:szCs w:val="22"/>
          <w:lang w:val="sl-SI"/>
        </w:rPr>
      </w:pPr>
      <w:hyperlink r:id="rId23" w:history="1">
        <w:r w:rsidR="00E101A4" w:rsidRPr="00EE1689">
          <w:rPr>
            <w:rStyle w:val="Hyperlink"/>
            <w:b/>
            <w:i/>
            <w:sz w:val="28"/>
            <w:szCs w:val="22"/>
            <w:lang w:val="sl-SI"/>
          </w:rPr>
          <w:t>Akt EU o vesolju</w:t>
        </w:r>
      </w:hyperlink>
    </w:p>
    <w:p w14:paraId="699E3F37" w14:textId="77777777" w:rsidR="007C6480" w:rsidRPr="00EE1689" w:rsidRDefault="007C6480" w:rsidP="000619F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5E4A7C7C" w14:textId="77777777" w:rsidTr="00827140">
        <w:tc>
          <w:tcPr>
            <w:tcW w:w="974" w:type="pct"/>
          </w:tcPr>
          <w:p w14:paraId="76EC1CAF" w14:textId="77777777" w:rsidR="007C6480" w:rsidRPr="00EE1689" w:rsidRDefault="007C6480" w:rsidP="000619F4">
            <w:pPr>
              <w:keepNext/>
              <w:keepLines/>
              <w:rPr>
                <w:b/>
                <w:szCs w:val="22"/>
                <w:lang w:val="sl-SI"/>
              </w:rPr>
            </w:pPr>
            <w:r w:rsidRPr="00EE1689">
              <w:rPr>
                <w:b/>
                <w:szCs w:val="22"/>
                <w:lang w:val="sl-SI"/>
              </w:rPr>
              <w:t>Poročevalec</w:t>
            </w:r>
          </w:p>
        </w:tc>
        <w:tc>
          <w:tcPr>
            <w:tcW w:w="4026" w:type="pct"/>
          </w:tcPr>
          <w:p w14:paraId="5B156181" w14:textId="7BD44562" w:rsidR="007C6480" w:rsidRPr="00EE1689" w:rsidRDefault="00E101A4" w:rsidP="000619F4">
            <w:pPr>
              <w:keepNext/>
              <w:keepLines/>
              <w:rPr>
                <w:szCs w:val="22"/>
                <w:lang w:val="sl-SI"/>
              </w:rPr>
            </w:pPr>
            <w:r w:rsidRPr="00EE1689">
              <w:rPr>
                <w:szCs w:val="22"/>
                <w:lang w:val="sl-SI"/>
              </w:rPr>
              <w:t>Angelo PAGLIARA (skupina delojemalcev – IT)</w:t>
            </w:r>
          </w:p>
        </w:tc>
      </w:tr>
      <w:tr w:rsidR="007C6480" w:rsidRPr="00EE1689" w14:paraId="112C65B1" w14:textId="77777777" w:rsidTr="00827140">
        <w:tc>
          <w:tcPr>
            <w:tcW w:w="5000" w:type="pct"/>
            <w:gridSpan w:val="2"/>
          </w:tcPr>
          <w:p w14:paraId="09A81B4F" w14:textId="77777777" w:rsidR="007C6480" w:rsidRPr="00EE1689" w:rsidRDefault="007C6480" w:rsidP="000619F4">
            <w:pPr>
              <w:keepNext/>
              <w:keepLines/>
              <w:rPr>
                <w:sz w:val="16"/>
                <w:szCs w:val="22"/>
                <w:lang w:val="sl-SI"/>
              </w:rPr>
            </w:pPr>
          </w:p>
        </w:tc>
      </w:tr>
      <w:tr w:rsidR="007C6480" w:rsidRPr="00EE1689" w14:paraId="14957358" w14:textId="77777777" w:rsidTr="00827140">
        <w:tc>
          <w:tcPr>
            <w:tcW w:w="974" w:type="pct"/>
            <w:vMerge w:val="restart"/>
          </w:tcPr>
          <w:p w14:paraId="6F45EF6B" w14:textId="0A418A20" w:rsidR="007C6480" w:rsidRPr="00EE1689" w:rsidRDefault="007C6480" w:rsidP="000619F4">
            <w:pPr>
              <w:keepNext/>
              <w:keepLines/>
              <w:rPr>
                <w:b/>
                <w:szCs w:val="22"/>
                <w:lang w:val="sl-SI"/>
              </w:rPr>
            </w:pPr>
            <w:r w:rsidRPr="00EE1689">
              <w:rPr>
                <w:b/>
                <w:szCs w:val="22"/>
                <w:lang w:val="sl-SI"/>
              </w:rPr>
              <w:t>Referenčn</w:t>
            </w:r>
            <w:r w:rsidR="00E101A4" w:rsidRPr="00EE1689">
              <w:rPr>
                <w:b/>
                <w:szCs w:val="22"/>
                <w:lang w:val="sl-SI"/>
              </w:rPr>
              <w:t>a</w:t>
            </w:r>
            <w:r w:rsidRPr="00EE1689">
              <w:rPr>
                <w:b/>
                <w:szCs w:val="22"/>
                <w:lang w:val="sl-SI"/>
              </w:rPr>
              <w:t xml:space="preserve"> dokument</w:t>
            </w:r>
            <w:r w:rsidR="00E101A4" w:rsidRPr="00EE1689">
              <w:rPr>
                <w:b/>
                <w:szCs w:val="22"/>
                <w:lang w:val="sl-SI"/>
              </w:rPr>
              <w:t>a</w:t>
            </w:r>
          </w:p>
        </w:tc>
        <w:tc>
          <w:tcPr>
            <w:tcW w:w="4026" w:type="pct"/>
          </w:tcPr>
          <w:p w14:paraId="68FEDDF2" w14:textId="3B073E49" w:rsidR="007C6480" w:rsidRPr="00EE1689" w:rsidRDefault="00E101A4" w:rsidP="000619F4">
            <w:pPr>
              <w:keepNext/>
              <w:keepLines/>
              <w:rPr>
                <w:szCs w:val="22"/>
                <w:lang w:val="sl-SI"/>
              </w:rPr>
            </w:pPr>
            <w:r w:rsidRPr="00EE1689">
              <w:rPr>
                <w:szCs w:val="22"/>
                <w:lang w:val="sl-SI"/>
              </w:rPr>
              <w:t>COM(2025) 335 final</w:t>
            </w:r>
          </w:p>
        </w:tc>
      </w:tr>
      <w:tr w:rsidR="007C6480" w:rsidRPr="00EE1689" w14:paraId="5C86A76F" w14:textId="77777777" w:rsidTr="00827140">
        <w:tc>
          <w:tcPr>
            <w:tcW w:w="974" w:type="pct"/>
            <w:vMerge/>
          </w:tcPr>
          <w:p w14:paraId="4476B60F" w14:textId="77777777" w:rsidR="007C6480" w:rsidRPr="00EE1689" w:rsidRDefault="007C6480" w:rsidP="000619F4">
            <w:pPr>
              <w:keepNext/>
              <w:keepLines/>
              <w:tabs>
                <w:tab w:val="center" w:pos="284"/>
              </w:tabs>
              <w:ind w:left="266" w:hanging="266"/>
              <w:rPr>
                <w:b/>
                <w:szCs w:val="22"/>
                <w:lang w:val="sl-SI"/>
              </w:rPr>
            </w:pPr>
          </w:p>
        </w:tc>
        <w:tc>
          <w:tcPr>
            <w:tcW w:w="4026" w:type="pct"/>
          </w:tcPr>
          <w:p w14:paraId="1933350B" w14:textId="1750AF76" w:rsidR="007C6480" w:rsidRPr="00EE1689" w:rsidRDefault="00E101A4" w:rsidP="000619F4">
            <w:pPr>
              <w:keepNext/>
              <w:keepLines/>
              <w:rPr>
                <w:szCs w:val="22"/>
                <w:lang w:val="sl-SI"/>
              </w:rPr>
            </w:pPr>
            <w:r w:rsidRPr="00EE1689">
              <w:rPr>
                <w:szCs w:val="22"/>
                <w:lang w:val="sl-SI"/>
              </w:rPr>
              <w:t>EESC-2024-00225-00-00-AC</w:t>
            </w:r>
          </w:p>
        </w:tc>
      </w:tr>
    </w:tbl>
    <w:p w14:paraId="34D22F42" w14:textId="77777777" w:rsidR="007C6480" w:rsidRPr="00EE1689" w:rsidRDefault="007C6480" w:rsidP="000619F4">
      <w:pPr>
        <w:keepNext/>
        <w:keepLines/>
        <w:rPr>
          <w:szCs w:val="22"/>
          <w:lang w:val="sl-SI"/>
        </w:rPr>
      </w:pPr>
    </w:p>
    <w:p w14:paraId="7E6BB9F5" w14:textId="77777777" w:rsidR="007C6480" w:rsidRPr="00EE1689" w:rsidRDefault="007C6480" w:rsidP="000619F4">
      <w:pPr>
        <w:keepNext/>
        <w:keepLines/>
        <w:rPr>
          <w:lang w:val="sl-SI"/>
        </w:rPr>
      </w:pPr>
      <w:r w:rsidRPr="00EE1689">
        <w:rPr>
          <w:b/>
          <w:lang w:val="sl-SI"/>
        </w:rPr>
        <w:t>Glavne točke</w:t>
      </w:r>
    </w:p>
    <w:p w14:paraId="05C9FB0C" w14:textId="77777777" w:rsidR="007C6480" w:rsidRPr="00EE1689" w:rsidRDefault="007C6480" w:rsidP="000619F4">
      <w:pPr>
        <w:keepNext/>
        <w:keepLines/>
        <w:rPr>
          <w:szCs w:val="22"/>
          <w:lang w:val="sl-SI"/>
        </w:rPr>
      </w:pPr>
    </w:p>
    <w:p w14:paraId="30B0A565" w14:textId="77777777" w:rsidR="007C6480" w:rsidRPr="00EE1689" w:rsidRDefault="007C6480" w:rsidP="000619F4">
      <w:pPr>
        <w:keepNext/>
        <w:keepLines/>
        <w:rPr>
          <w:bCs/>
          <w:iCs/>
          <w:szCs w:val="22"/>
          <w:lang w:val="sl-SI"/>
        </w:rPr>
      </w:pPr>
      <w:r w:rsidRPr="00EE1689">
        <w:rPr>
          <w:bCs/>
          <w:iCs/>
          <w:szCs w:val="22"/>
          <w:lang w:val="sl-SI"/>
        </w:rPr>
        <w:t>EESO:</w:t>
      </w:r>
    </w:p>
    <w:p w14:paraId="03C5E9B7" w14:textId="77777777" w:rsidR="007C6480" w:rsidRPr="00EE1689" w:rsidRDefault="007C6480" w:rsidP="000619F4">
      <w:pPr>
        <w:keepNext/>
        <w:keepLines/>
        <w:rPr>
          <w:szCs w:val="22"/>
          <w:lang w:val="sl-SI"/>
        </w:rPr>
      </w:pPr>
    </w:p>
    <w:p w14:paraId="5AA3B2AC" w14:textId="782129A3" w:rsidR="007C6480" w:rsidRPr="00EE1689" w:rsidRDefault="00E101A4" w:rsidP="000619F4">
      <w:pPr>
        <w:keepNext/>
        <w:keepLines/>
        <w:widowControl w:val="0"/>
        <w:numPr>
          <w:ilvl w:val="0"/>
          <w:numId w:val="9"/>
        </w:numPr>
        <w:tabs>
          <w:tab w:val="clear" w:pos="0"/>
        </w:tabs>
        <w:ind w:left="567" w:hanging="567"/>
        <w:rPr>
          <w:bCs/>
          <w:iCs/>
          <w:szCs w:val="22"/>
          <w:lang w:val="sl-SI"/>
        </w:rPr>
      </w:pPr>
      <w:r w:rsidRPr="00EE1689">
        <w:rPr>
          <w:lang w:val="sl-SI"/>
        </w:rPr>
        <w:t xml:space="preserve">priporoča, </w:t>
      </w:r>
      <w:r w:rsidRPr="00EE1689">
        <w:rPr>
          <w:b/>
          <w:bCs/>
          <w:lang w:val="sl-SI"/>
        </w:rPr>
        <w:t>naj se evropske javne naložbe v vesolje</w:t>
      </w:r>
      <w:r w:rsidRPr="00EE1689">
        <w:rPr>
          <w:lang w:val="sl-SI"/>
        </w:rPr>
        <w:t xml:space="preserve"> strukturno in nemudoma </w:t>
      </w:r>
      <w:r w:rsidRPr="00EE1689">
        <w:rPr>
          <w:b/>
          <w:lang w:val="sl-SI"/>
        </w:rPr>
        <w:t>okrepijo</w:t>
      </w:r>
      <w:r w:rsidRPr="00EE1689">
        <w:rPr>
          <w:lang w:val="sl-SI"/>
        </w:rPr>
        <w:t xml:space="preserve"> ter naj se naložbe v vesolje </w:t>
      </w:r>
      <w:r w:rsidRPr="00EE1689">
        <w:rPr>
          <w:b/>
          <w:lang w:val="sl-SI"/>
        </w:rPr>
        <w:t>do leta 2030 povečajo na vsaj 0,2 % BDP</w:t>
      </w:r>
      <w:r w:rsidRPr="00EE1689">
        <w:rPr>
          <w:lang w:val="sl-SI"/>
        </w:rPr>
        <w:t>;</w:t>
      </w:r>
    </w:p>
    <w:p w14:paraId="550A5C3B" w14:textId="72EB0F2C" w:rsidR="007C6480" w:rsidRPr="00EE1689" w:rsidRDefault="00E101A4" w:rsidP="000619F4">
      <w:pPr>
        <w:keepNext/>
        <w:keepLines/>
        <w:widowControl w:val="0"/>
        <w:numPr>
          <w:ilvl w:val="0"/>
          <w:numId w:val="9"/>
        </w:numPr>
        <w:tabs>
          <w:tab w:val="clear" w:pos="0"/>
        </w:tabs>
        <w:ind w:left="567" w:hanging="567"/>
        <w:rPr>
          <w:bCs/>
          <w:iCs/>
          <w:szCs w:val="22"/>
          <w:lang w:val="sl-SI"/>
        </w:rPr>
      </w:pPr>
      <w:r w:rsidRPr="00EE1689">
        <w:rPr>
          <w:lang w:val="sl-SI"/>
        </w:rPr>
        <w:t xml:space="preserve">priporoča, naj se </w:t>
      </w:r>
      <w:r w:rsidRPr="00EE1689">
        <w:rPr>
          <w:b/>
          <w:lang w:val="sl-SI"/>
        </w:rPr>
        <w:t>pojasni uporaba člena 114 Pogodbe kot pravne podlage za notranji trg za proizvode, storitve in podatke, povezane z vesoljem</w:t>
      </w:r>
      <w:r w:rsidRPr="00EE1689">
        <w:rPr>
          <w:lang w:val="sl-SI"/>
        </w:rPr>
        <w:t xml:space="preserve">, ter predlaga uvedbo klavzule, da je treba določbe akta o vesolju razlagati ob upoštevanju </w:t>
      </w:r>
      <w:r w:rsidRPr="00EE1689">
        <w:rPr>
          <w:b/>
          <w:lang w:val="sl-SI"/>
        </w:rPr>
        <w:t>mednarodnih obveznosti, ki so jih države članice že sprejele</w:t>
      </w:r>
      <w:r w:rsidRPr="00EE1689">
        <w:rPr>
          <w:lang w:val="sl-SI"/>
        </w:rPr>
        <w:t>;</w:t>
      </w:r>
    </w:p>
    <w:p w14:paraId="098124EB" w14:textId="73210FC4" w:rsidR="007C6480" w:rsidRPr="00EE1689" w:rsidRDefault="00E101A4" w:rsidP="000619F4">
      <w:pPr>
        <w:keepNext/>
        <w:keepLines/>
        <w:widowControl w:val="0"/>
        <w:numPr>
          <w:ilvl w:val="0"/>
          <w:numId w:val="9"/>
        </w:numPr>
        <w:tabs>
          <w:tab w:val="clear" w:pos="0"/>
        </w:tabs>
        <w:ind w:left="567" w:hanging="567"/>
        <w:rPr>
          <w:bCs/>
          <w:iCs/>
          <w:szCs w:val="22"/>
          <w:lang w:val="sl-SI"/>
        </w:rPr>
      </w:pPr>
      <w:r w:rsidRPr="00EE1689">
        <w:rPr>
          <w:lang w:val="sl-SI"/>
        </w:rPr>
        <w:t xml:space="preserve">priporoča, naj se pojasni, </w:t>
      </w:r>
      <w:r w:rsidRPr="00EE1689">
        <w:rPr>
          <w:b/>
          <w:lang w:val="sl-SI"/>
        </w:rPr>
        <w:t>zakaj se naslov I nanaša le na merilo države sedeža upravljavca ali vesoljskega upravljavca</w:t>
      </w:r>
      <w:r w:rsidRPr="00EE1689">
        <w:rPr>
          <w:lang w:val="sl-SI"/>
        </w:rPr>
        <w:t xml:space="preserve"> iz tretje države, brez navedbe njihove države državljanstva, in priporoča tudi </w:t>
      </w:r>
      <w:r w:rsidRPr="00EE1689">
        <w:rPr>
          <w:b/>
          <w:lang w:val="sl-SI"/>
        </w:rPr>
        <w:t>pojasnitev člena 6(3) zaradi boljšega usklajevanja z vesoljskimi zakonodajami</w:t>
      </w:r>
      <w:r w:rsidRPr="00EE1689">
        <w:rPr>
          <w:lang w:val="sl-SI"/>
        </w:rPr>
        <w:t xml:space="preserve"> držav članic v zvezi z opredelitvijo upravljavcev, ki morajo pridobiti dovoljenje za vesoljske dejavnosti na podlagi državljanstva ali ozemlja, s katerega se vesoljska dejavnost izvaja;</w:t>
      </w:r>
    </w:p>
    <w:p w14:paraId="5666B6FB" w14:textId="7BD6D033" w:rsidR="00E101A4" w:rsidRPr="00EE1689" w:rsidRDefault="00E101A4" w:rsidP="000619F4">
      <w:pPr>
        <w:keepNext/>
        <w:keepLines/>
        <w:widowControl w:val="0"/>
        <w:numPr>
          <w:ilvl w:val="0"/>
          <w:numId w:val="9"/>
        </w:numPr>
        <w:tabs>
          <w:tab w:val="clear" w:pos="0"/>
        </w:tabs>
        <w:ind w:left="567" w:hanging="567"/>
        <w:rPr>
          <w:bCs/>
          <w:iCs/>
          <w:szCs w:val="22"/>
          <w:lang w:val="sl-SI"/>
        </w:rPr>
      </w:pPr>
      <w:r w:rsidRPr="00EE1689">
        <w:rPr>
          <w:lang w:val="sl-SI"/>
        </w:rPr>
        <w:t xml:space="preserve">priporoča, </w:t>
      </w:r>
      <w:r w:rsidRPr="00EE1689">
        <w:rPr>
          <w:b/>
          <w:lang w:val="sl-SI"/>
        </w:rPr>
        <w:t>da se v naslovu II pojasni delovanje odstopanj in prožnosti v postopku odobritve</w:t>
      </w:r>
      <w:r w:rsidRPr="00EE1689">
        <w:rPr>
          <w:lang w:val="sl-SI"/>
        </w:rPr>
        <w:t>, tako da se določijo časovni okviri postopkov, uporaba za nekomercialne misije, pooblastila Komisije za inšpekcijske preglede ter operativna vloga Evropske vesoljske agencije in EUSPA;</w:t>
      </w:r>
    </w:p>
    <w:p w14:paraId="7AFE1D0D" w14:textId="42B23707" w:rsidR="00E101A4" w:rsidRPr="00EE1689" w:rsidRDefault="00E101A4" w:rsidP="000619F4">
      <w:pPr>
        <w:keepNext/>
        <w:keepLines/>
        <w:widowControl w:val="0"/>
        <w:numPr>
          <w:ilvl w:val="0"/>
          <w:numId w:val="9"/>
        </w:numPr>
        <w:tabs>
          <w:tab w:val="clear" w:pos="0"/>
        </w:tabs>
        <w:ind w:left="567" w:hanging="567"/>
        <w:rPr>
          <w:bCs/>
          <w:iCs/>
          <w:szCs w:val="22"/>
          <w:lang w:val="sl-SI"/>
        </w:rPr>
      </w:pPr>
      <w:r w:rsidRPr="00EE1689">
        <w:rPr>
          <w:lang w:val="sl-SI"/>
        </w:rPr>
        <w:t xml:space="preserve">priporoča natančno opredelitev </w:t>
      </w:r>
      <w:r w:rsidRPr="00EE1689">
        <w:rPr>
          <w:b/>
          <w:lang w:val="sl-SI"/>
        </w:rPr>
        <w:t>omejitev, v okviru katerih lahko države članice uvedejo strožje zahteve</w:t>
      </w:r>
      <w:r w:rsidRPr="00EE1689">
        <w:rPr>
          <w:lang w:val="sl-SI"/>
        </w:rPr>
        <w:t xml:space="preserve"> glede prostega pretoka vesoljskih podatkov in vesoljskih storitev v Uniji;</w:t>
      </w:r>
    </w:p>
    <w:p w14:paraId="49F5CF40" w14:textId="78D2BE65" w:rsidR="00E101A4" w:rsidRPr="00EE1689" w:rsidRDefault="00E101A4" w:rsidP="000619F4">
      <w:pPr>
        <w:keepNext/>
        <w:keepLines/>
        <w:widowControl w:val="0"/>
        <w:numPr>
          <w:ilvl w:val="0"/>
          <w:numId w:val="9"/>
        </w:numPr>
        <w:tabs>
          <w:tab w:val="clear" w:pos="0"/>
        </w:tabs>
        <w:ind w:left="567" w:hanging="567"/>
        <w:rPr>
          <w:bCs/>
          <w:iCs/>
          <w:szCs w:val="22"/>
          <w:lang w:val="sl-SI"/>
        </w:rPr>
      </w:pPr>
      <w:r w:rsidRPr="00EE1689">
        <w:rPr>
          <w:lang w:val="sl-SI"/>
        </w:rPr>
        <w:t xml:space="preserve">poudarja, da je treba </w:t>
      </w:r>
      <w:r w:rsidRPr="00EE1689">
        <w:rPr>
          <w:b/>
          <w:lang w:val="sl-SI"/>
        </w:rPr>
        <w:t>okrepiti načelo vzajemnega priznavanja in skupna pravila, da bi se izognili razdrobljenosti</w:t>
      </w:r>
      <w:r w:rsidRPr="00EE1689">
        <w:rPr>
          <w:lang w:val="sl-SI"/>
        </w:rPr>
        <w:t xml:space="preserve"> in birokratskim oviram;</w:t>
      </w:r>
    </w:p>
    <w:p w14:paraId="47DF2DFD" w14:textId="754F842C" w:rsidR="00E101A4" w:rsidRPr="00EE1689" w:rsidRDefault="00E101A4" w:rsidP="000619F4">
      <w:pPr>
        <w:keepNext/>
        <w:keepLines/>
        <w:widowControl w:val="0"/>
        <w:numPr>
          <w:ilvl w:val="0"/>
          <w:numId w:val="9"/>
        </w:numPr>
        <w:tabs>
          <w:tab w:val="clear" w:pos="0"/>
        </w:tabs>
        <w:ind w:left="567" w:hanging="567"/>
        <w:rPr>
          <w:bCs/>
          <w:iCs/>
          <w:szCs w:val="22"/>
          <w:lang w:val="sl-SI"/>
        </w:rPr>
      </w:pPr>
      <w:r w:rsidRPr="00EE1689">
        <w:rPr>
          <w:lang w:val="sl-SI"/>
        </w:rPr>
        <w:t>priporoča, naj se evropska vesoljska strategija</w:t>
      </w:r>
      <w:r w:rsidRPr="00EE1689">
        <w:rPr>
          <w:b/>
          <w:lang w:val="sl-SI"/>
        </w:rPr>
        <w:t xml:space="preserve"> poveže z evropsko strateško avtonomijo</w:t>
      </w:r>
      <w:r w:rsidRPr="00EE1689">
        <w:rPr>
          <w:lang w:val="sl-SI"/>
        </w:rPr>
        <w:t xml:space="preserve"> ter naj se spodbujajo </w:t>
      </w:r>
      <w:r w:rsidRPr="00EE1689">
        <w:rPr>
          <w:b/>
          <w:lang w:val="sl-SI"/>
        </w:rPr>
        <w:t>dopolnilni ekosistemi ter multiplikacijski učinek vesoljskega gospodarstva</w:t>
      </w:r>
      <w:r w:rsidRPr="00EE1689">
        <w:rPr>
          <w:lang w:val="sl-SI"/>
        </w:rPr>
        <w:t xml:space="preserve"> v podporo točno določenim sektorjem;</w:t>
      </w:r>
    </w:p>
    <w:p w14:paraId="068E903D" w14:textId="173AC6E3" w:rsidR="00E101A4" w:rsidRPr="00EE1689" w:rsidRDefault="00E101A4" w:rsidP="000619F4">
      <w:pPr>
        <w:keepNext/>
        <w:keepLines/>
        <w:widowControl w:val="0"/>
        <w:numPr>
          <w:ilvl w:val="0"/>
          <w:numId w:val="9"/>
        </w:numPr>
        <w:tabs>
          <w:tab w:val="clear" w:pos="0"/>
        </w:tabs>
        <w:ind w:left="567" w:hanging="567"/>
        <w:rPr>
          <w:bCs/>
          <w:iCs/>
          <w:szCs w:val="22"/>
          <w:lang w:val="sl-SI"/>
        </w:rPr>
      </w:pPr>
      <w:r w:rsidRPr="00EE1689">
        <w:rPr>
          <w:lang w:val="sl-SI"/>
        </w:rPr>
        <w:t xml:space="preserve">priporoča razvoj </w:t>
      </w:r>
      <w:r w:rsidRPr="00EE1689">
        <w:rPr>
          <w:b/>
          <w:lang w:val="sl-SI"/>
        </w:rPr>
        <w:t>celostne strategije za vesoljske spretnosti in delovna mesta</w:t>
      </w:r>
      <w:r w:rsidRPr="00EE1689">
        <w:rPr>
          <w:lang w:val="sl-SI"/>
        </w:rPr>
        <w:t xml:space="preserve"> ter sprejetje </w:t>
      </w:r>
      <w:r w:rsidRPr="00EE1689">
        <w:rPr>
          <w:b/>
          <w:lang w:val="sl-SI"/>
        </w:rPr>
        <w:t>evropskega programa vesoljskih znanj in spretnosti</w:t>
      </w:r>
      <w:r w:rsidRPr="00EE1689">
        <w:rPr>
          <w:bCs/>
          <w:lang w:val="sl-SI"/>
        </w:rPr>
        <w:t>;</w:t>
      </w:r>
    </w:p>
    <w:p w14:paraId="44ECAAF6" w14:textId="7AEE6DE9" w:rsidR="00E101A4" w:rsidRPr="00EE1689" w:rsidRDefault="00E101A4" w:rsidP="00EE1689">
      <w:pPr>
        <w:widowControl w:val="0"/>
        <w:numPr>
          <w:ilvl w:val="0"/>
          <w:numId w:val="9"/>
        </w:numPr>
        <w:tabs>
          <w:tab w:val="clear" w:pos="0"/>
        </w:tabs>
        <w:ind w:left="567" w:hanging="567"/>
        <w:rPr>
          <w:bCs/>
          <w:iCs/>
          <w:szCs w:val="22"/>
          <w:lang w:val="sl-SI"/>
        </w:rPr>
      </w:pPr>
      <w:r w:rsidRPr="00EE1689">
        <w:rPr>
          <w:lang w:val="sl-SI"/>
        </w:rPr>
        <w:t xml:space="preserve">poziva, naj se v naslednjem večletnem finančnem okviru 2028–2034 dodelijo ustrezna sredstva za </w:t>
      </w:r>
      <w:r w:rsidRPr="00EE1689">
        <w:rPr>
          <w:b/>
          <w:lang w:val="sl-SI"/>
        </w:rPr>
        <w:t>operativno okrepitev EUSPA</w:t>
      </w:r>
      <w:r w:rsidRPr="00EE1689">
        <w:rPr>
          <w:lang w:val="sl-SI"/>
        </w:rPr>
        <w:t>.</w:t>
      </w:r>
    </w:p>
    <w:p w14:paraId="3A720AE9" w14:textId="77777777" w:rsidR="007C6480" w:rsidRPr="00EE1689" w:rsidRDefault="007C6480"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555A2E7C" w14:textId="77777777" w:rsidTr="00827140">
        <w:tc>
          <w:tcPr>
            <w:tcW w:w="974" w:type="pct"/>
          </w:tcPr>
          <w:p w14:paraId="441967AF" w14:textId="77777777" w:rsidR="007C6480" w:rsidRPr="00EE1689" w:rsidRDefault="007C6480" w:rsidP="00EE1689">
            <w:pPr>
              <w:rPr>
                <w:lang w:val="sl-SI"/>
              </w:rPr>
            </w:pPr>
            <w:r w:rsidRPr="00EE1689">
              <w:rPr>
                <w:b/>
                <w:i/>
                <w:szCs w:val="22"/>
                <w:lang w:val="sl-SI"/>
              </w:rPr>
              <w:t>Kontaktna oseba</w:t>
            </w:r>
          </w:p>
        </w:tc>
        <w:tc>
          <w:tcPr>
            <w:tcW w:w="4026" w:type="pct"/>
          </w:tcPr>
          <w:p w14:paraId="1DAB72A7" w14:textId="36116AA9" w:rsidR="007C6480" w:rsidRPr="00EE1689" w:rsidRDefault="00E101A4" w:rsidP="00EE1689">
            <w:pPr>
              <w:rPr>
                <w:i/>
                <w:lang w:val="sl-SI"/>
              </w:rPr>
            </w:pPr>
            <w:r w:rsidRPr="00EE1689">
              <w:rPr>
                <w:i/>
                <w:lang w:val="sl-SI"/>
              </w:rPr>
              <w:t>Giorgia Bordignon</w:t>
            </w:r>
          </w:p>
        </w:tc>
      </w:tr>
      <w:tr w:rsidR="007C6480" w:rsidRPr="00EE1689" w14:paraId="3ACF1461" w14:textId="77777777" w:rsidTr="00827140">
        <w:tc>
          <w:tcPr>
            <w:tcW w:w="974" w:type="pct"/>
          </w:tcPr>
          <w:p w14:paraId="7FB61F43" w14:textId="77777777" w:rsidR="007C6480" w:rsidRPr="00EE1689" w:rsidRDefault="007C6480" w:rsidP="00EE1689">
            <w:pPr>
              <w:rPr>
                <w:lang w:val="sl-SI"/>
              </w:rPr>
            </w:pPr>
            <w:r w:rsidRPr="00EE1689">
              <w:rPr>
                <w:i/>
                <w:szCs w:val="22"/>
                <w:lang w:val="sl-SI"/>
              </w:rPr>
              <w:t>Telefon</w:t>
            </w:r>
          </w:p>
        </w:tc>
        <w:tc>
          <w:tcPr>
            <w:tcW w:w="4026" w:type="pct"/>
          </w:tcPr>
          <w:p w14:paraId="08DA53D7" w14:textId="72FB80F5" w:rsidR="007C6480" w:rsidRPr="00EE1689" w:rsidRDefault="007C6480" w:rsidP="00EE1689">
            <w:pPr>
              <w:rPr>
                <w:lang w:val="sl-SI"/>
              </w:rPr>
            </w:pPr>
            <w:r w:rsidRPr="00EE1689">
              <w:rPr>
                <w:i/>
                <w:szCs w:val="22"/>
                <w:lang w:val="sl-SI"/>
              </w:rPr>
              <w:t>+32 2 </w:t>
            </w:r>
            <w:r w:rsidR="00E101A4" w:rsidRPr="00EE1689">
              <w:rPr>
                <w:i/>
                <w:szCs w:val="22"/>
                <w:lang w:val="sl-SI"/>
              </w:rPr>
              <w:t>546 8535</w:t>
            </w:r>
          </w:p>
        </w:tc>
      </w:tr>
      <w:tr w:rsidR="007C6480" w:rsidRPr="00EE1689" w14:paraId="5EB38560" w14:textId="77777777" w:rsidTr="00827140">
        <w:tc>
          <w:tcPr>
            <w:tcW w:w="974" w:type="pct"/>
          </w:tcPr>
          <w:p w14:paraId="354DACB3" w14:textId="77777777" w:rsidR="007C6480" w:rsidRPr="00EE1689" w:rsidRDefault="007C6480" w:rsidP="00EE1689">
            <w:pPr>
              <w:rPr>
                <w:lang w:val="sl-SI"/>
              </w:rPr>
            </w:pPr>
            <w:r w:rsidRPr="00EE1689">
              <w:rPr>
                <w:i/>
                <w:szCs w:val="22"/>
                <w:lang w:val="sl-SI"/>
              </w:rPr>
              <w:t>E-naslov</w:t>
            </w:r>
          </w:p>
        </w:tc>
        <w:tc>
          <w:tcPr>
            <w:tcW w:w="4026" w:type="pct"/>
          </w:tcPr>
          <w:p w14:paraId="7FE7123C" w14:textId="7CA0CDBA" w:rsidR="007C6480" w:rsidRPr="00EE1689" w:rsidRDefault="00FA3430" w:rsidP="00EE1689">
            <w:pPr>
              <w:rPr>
                <w:i/>
                <w:lang w:val="sl-SI"/>
              </w:rPr>
            </w:pPr>
            <w:hyperlink r:id="rId24" w:history="1">
              <w:r w:rsidR="00E101A4" w:rsidRPr="00EE1689">
                <w:rPr>
                  <w:rStyle w:val="Hyperlink"/>
                  <w:i/>
                  <w:lang w:val="sl-SI"/>
                </w:rPr>
                <w:t>GiorgiaAndrea.Bordignon@eesc.europa.eu</w:t>
              </w:r>
            </w:hyperlink>
          </w:p>
        </w:tc>
      </w:tr>
    </w:tbl>
    <w:p w14:paraId="28109E33" w14:textId="77777777" w:rsidR="007C6480" w:rsidRPr="00EE1689" w:rsidRDefault="007C6480" w:rsidP="00EE1689">
      <w:pPr>
        <w:rPr>
          <w:lang w:val="sl-SI"/>
        </w:rPr>
      </w:pPr>
    </w:p>
    <w:p w14:paraId="0EC10CFF" w14:textId="23C97127" w:rsidR="007C6480" w:rsidRPr="00EE1689" w:rsidRDefault="00FA3430" w:rsidP="000619F4">
      <w:pPr>
        <w:keepNext/>
        <w:keepLines/>
        <w:numPr>
          <w:ilvl w:val="0"/>
          <w:numId w:val="7"/>
        </w:numPr>
        <w:tabs>
          <w:tab w:val="clear" w:pos="0"/>
        </w:tabs>
        <w:ind w:left="567" w:hanging="567"/>
        <w:rPr>
          <w:sz w:val="28"/>
          <w:szCs w:val="22"/>
          <w:lang w:val="sl-SI"/>
        </w:rPr>
      </w:pPr>
      <w:hyperlink r:id="rId25" w:history="1">
        <w:r w:rsidR="000262B5" w:rsidRPr="00EE1689">
          <w:rPr>
            <w:rStyle w:val="Hyperlink"/>
            <w:b/>
            <w:i/>
            <w:sz w:val="28"/>
            <w:szCs w:val="22"/>
            <w:lang w:val="sl-SI"/>
          </w:rPr>
          <w:t>Usmeritveni jedrski program</w:t>
        </w:r>
      </w:hyperlink>
    </w:p>
    <w:p w14:paraId="1F1C5999" w14:textId="77777777" w:rsidR="007C6480" w:rsidRPr="00EE1689" w:rsidRDefault="007C6480" w:rsidP="000619F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07E9B6E4" w14:textId="77777777" w:rsidTr="00827140">
        <w:tc>
          <w:tcPr>
            <w:tcW w:w="974" w:type="pct"/>
          </w:tcPr>
          <w:p w14:paraId="1DA5F696" w14:textId="77777777" w:rsidR="007C6480" w:rsidRPr="00EE1689" w:rsidRDefault="007C6480" w:rsidP="000619F4">
            <w:pPr>
              <w:keepNext/>
              <w:keepLines/>
              <w:rPr>
                <w:b/>
                <w:szCs w:val="22"/>
                <w:lang w:val="sl-SI"/>
              </w:rPr>
            </w:pPr>
            <w:r w:rsidRPr="00EE1689">
              <w:rPr>
                <w:b/>
                <w:szCs w:val="22"/>
                <w:lang w:val="sl-SI"/>
              </w:rPr>
              <w:t>Poročevalec</w:t>
            </w:r>
          </w:p>
        </w:tc>
        <w:tc>
          <w:tcPr>
            <w:tcW w:w="4026" w:type="pct"/>
          </w:tcPr>
          <w:p w14:paraId="02F18E38" w14:textId="50D3C2B3" w:rsidR="007C6480" w:rsidRPr="00EE1689" w:rsidRDefault="000262B5" w:rsidP="000619F4">
            <w:pPr>
              <w:keepNext/>
              <w:keepLines/>
              <w:rPr>
                <w:szCs w:val="22"/>
                <w:lang w:val="sl-SI"/>
              </w:rPr>
            </w:pPr>
            <w:r w:rsidRPr="00EE1689">
              <w:rPr>
                <w:szCs w:val="22"/>
                <w:lang w:val="sl-SI"/>
              </w:rPr>
              <w:t>Dumitru FORNEA (skupina delojemalcev – RO)</w:t>
            </w:r>
          </w:p>
        </w:tc>
      </w:tr>
      <w:tr w:rsidR="007C6480" w:rsidRPr="00EE1689" w14:paraId="3C23B58F" w14:textId="77777777" w:rsidTr="00827140">
        <w:tc>
          <w:tcPr>
            <w:tcW w:w="974" w:type="pct"/>
          </w:tcPr>
          <w:p w14:paraId="2C19F351" w14:textId="1FCBB5BA" w:rsidR="007C6480" w:rsidRPr="00EE1689" w:rsidRDefault="007C6480" w:rsidP="000619F4">
            <w:pPr>
              <w:keepNext/>
              <w:keepLines/>
              <w:rPr>
                <w:b/>
                <w:szCs w:val="22"/>
                <w:lang w:val="sl-SI"/>
              </w:rPr>
            </w:pPr>
            <w:r w:rsidRPr="00EE1689">
              <w:rPr>
                <w:b/>
                <w:szCs w:val="22"/>
                <w:lang w:val="sl-SI"/>
              </w:rPr>
              <w:t>Soporočeval</w:t>
            </w:r>
            <w:r w:rsidR="000262B5" w:rsidRPr="00EE1689">
              <w:rPr>
                <w:b/>
                <w:szCs w:val="22"/>
                <w:lang w:val="sl-SI"/>
              </w:rPr>
              <w:t>ka</w:t>
            </w:r>
          </w:p>
        </w:tc>
        <w:tc>
          <w:tcPr>
            <w:tcW w:w="4026" w:type="pct"/>
          </w:tcPr>
          <w:p w14:paraId="7A983484" w14:textId="67DA2C01" w:rsidR="007C6480" w:rsidRPr="00EE1689" w:rsidRDefault="000262B5" w:rsidP="000619F4">
            <w:pPr>
              <w:keepNext/>
              <w:keepLines/>
              <w:rPr>
                <w:szCs w:val="22"/>
                <w:lang w:val="sl-SI"/>
              </w:rPr>
            </w:pPr>
            <w:r w:rsidRPr="00EE1689">
              <w:rPr>
                <w:szCs w:val="22"/>
                <w:lang w:val="sl-SI"/>
              </w:rPr>
              <w:t>Alena MASTANTUONO (skupina delodajalcev – CZ)</w:t>
            </w:r>
          </w:p>
        </w:tc>
      </w:tr>
      <w:tr w:rsidR="007C6480" w:rsidRPr="00EE1689" w14:paraId="2D51795E" w14:textId="77777777" w:rsidTr="00827140">
        <w:tc>
          <w:tcPr>
            <w:tcW w:w="5000" w:type="pct"/>
            <w:gridSpan w:val="2"/>
          </w:tcPr>
          <w:p w14:paraId="40F90C16" w14:textId="77777777" w:rsidR="007C6480" w:rsidRPr="00EE1689" w:rsidRDefault="007C6480" w:rsidP="00EE1689">
            <w:pPr>
              <w:rPr>
                <w:sz w:val="16"/>
                <w:szCs w:val="22"/>
                <w:lang w:val="sl-SI"/>
              </w:rPr>
            </w:pPr>
          </w:p>
        </w:tc>
      </w:tr>
      <w:tr w:rsidR="007C6480" w:rsidRPr="00EE1689" w14:paraId="7012C5D8" w14:textId="77777777" w:rsidTr="00827140">
        <w:tc>
          <w:tcPr>
            <w:tcW w:w="974" w:type="pct"/>
            <w:vMerge w:val="restart"/>
          </w:tcPr>
          <w:p w14:paraId="29A9C8AB" w14:textId="30351D99" w:rsidR="007C6480" w:rsidRPr="00EE1689" w:rsidRDefault="007C6480" w:rsidP="00EE1689">
            <w:pPr>
              <w:rPr>
                <w:b/>
                <w:szCs w:val="22"/>
                <w:lang w:val="sl-SI"/>
              </w:rPr>
            </w:pPr>
            <w:r w:rsidRPr="00EE1689">
              <w:rPr>
                <w:b/>
                <w:szCs w:val="22"/>
                <w:lang w:val="sl-SI"/>
              </w:rPr>
              <w:t>Referenčn</w:t>
            </w:r>
            <w:r w:rsidR="000262B5" w:rsidRPr="00EE1689">
              <w:rPr>
                <w:b/>
                <w:szCs w:val="22"/>
                <w:lang w:val="sl-SI"/>
              </w:rPr>
              <w:t>a</w:t>
            </w:r>
            <w:r w:rsidRPr="00EE1689">
              <w:rPr>
                <w:b/>
                <w:szCs w:val="22"/>
                <w:lang w:val="sl-SI"/>
              </w:rPr>
              <w:t xml:space="preserve"> dokument</w:t>
            </w:r>
            <w:r w:rsidR="000262B5" w:rsidRPr="00EE1689">
              <w:rPr>
                <w:b/>
                <w:szCs w:val="22"/>
                <w:lang w:val="sl-SI"/>
              </w:rPr>
              <w:t>a</w:t>
            </w:r>
          </w:p>
        </w:tc>
        <w:tc>
          <w:tcPr>
            <w:tcW w:w="4026" w:type="pct"/>
          </w:tcPr>
          <w:p w14:paraId="71840077" w14:textId="174FB705" w:rsidR="007C6480" w:rsidRPr="00EE1689" w:rsidRDefault="000262B5" w:rsidP="00EE1689">
            <w:pPr>
              <w:rPr>
                <w:szCs w:val="22"/>
                <w:lang w:val="sl-SI"/>
              </w:rPr>
            </w:pPr>
            <w:r w:rsidRPr="00EE1689">
              <w:rPr>
                <w:szCs w:val="22"/>
                <w:lang w:val="sl-SI"/>
              </w:rPr>
              <w:t>COM(2025) 315 final</w:t>
            </w:r>
          </w:p>
        </w:tc>
      </w:tr>
      <w:tr w:rsidR="007C6480" w:rsidRPr="00EE1689" w14:paraId="1C0F3E5B" w14:textId="77777777" w:rsidTr="00827140">
        <w:tc>
          <w:tcPr>
            <w:tcW w:w="974" w:type="pct"/>
            <w:vMerge/>
          </w:tcPr>
          <w:p w14:paraId="1B3CEFF9" w14:textId="77777777" w:rsidR="007C6480" w:rsidRPr="00EE1689" w:rsidRDefault="007C6480" w:rsidP="00EE1689">
            <w:pPr>
              <w:tabs>
                <w:tab w:val="center" w:pos="284"/>
              </w:tabs>
              <w:ind w:left="266" w:hanging="266"/>
              <w:rPr>
                <w:b/>
                <w:szCs w:val="22"/>
                <w:lang w:val="sl-SI"/>
              </w:rPr>
            </w:pPr>
          </w:p>
        </w:tc>
        <w:tc>
          <w:tcPr>
            <w:tcW w:w="4026" w:type="pct"/>
          </w:tcPr>
          <w:p w14:paraId="0BCEEAB8" w14:textId="7C18C3C3" w:rsidR="007C6480" w:rsidRPr="00EE1689" w:rsidRDefault="000262B5" w:rsidP="00EE1689">
            <w:pPr>
              <w:rPr>
                <w:szCs w:val="22"/>
                <w:lang w:val="sl-SI"/>
              </w:rPr>
            </w:pPr>
            <w:r w:rsidRPr="00EE1689">
              <w:rPr>
                <w:szCs w:val="22"/>
                <w:lang w:val="sl-SI"/>
              </w:rPr>
              <w:t>EESC-2025-02173-00-00-AC</w:t>
            </w:r>
          </w:p>
        </w:tc>
      </w:tr>
    </w:tbl>
    <w:p w14:paraId="0FD7F4AA" w14:textId="77777777" w:rsidR="007C6480" w:rsidRPr="00EE1689" w:rsidRDefault="007C6480" w:rsidP="00EE1689">
      <w:pPr>
        <w:rPr>
          <w:szCs w:val="22"/>
          <w:lang w:val="sl-SI"/>
        </w:rPr>
      </w:pPr>
    </w:p>
    <w:p w14:paraId="6AD1DBCC" w14:textId="77777777" w:rsidR="007C6480" w:rsidRPr="00EE1689" w:rsidRDefault="007C6480" w:rsidP="00EE1689">
      <w:pPr>
        <w:rPr>
          <w:lang w:val="sl-SI"/>
        </w:rPr>
      </w:pPr>
      <w:r w:rsidRPr="00EE1689">
        <w:rPr>
          <w:b/>
          <w:lang w:val="sl-SI"/>
        </w:rPr>
        <w:t>Glavne točke</w:t>
      </w:r>
    </w:p>
    <w:p w14:paraId="0FEA0A3D" w14:textId="77777777" w:rsidR="007C6480" w:rsidRPr="00EE1689" w:rsidRDefault="007C6480" w:rsidP="00EE1689">
      <w:pPr>
        <w:rPr>
          <w:szCs w:val="22"/>
          <w:lang w:val="sl-SI"/>
        </w:rPr>
      </w:pPr>
    </w:p>
    <w:p w14:paraId="209773A5" w14:textId="77777777" w:rsidR="007C6480" w:rsidRPr="00EE1689" w:rsidRDefault="007C6480" w:rsidP="00EE1689">
      <w:pPr>
        <w:rPr>
          <w:bCs/>
          <w:iCs/>
          <w:szCs w:val="22"/>
          <w:lang w:val="sl-SI"/>
        </w:rPr>
      </w:pPr>
      <w:r w:rsidRPr="00EE1689">
        <w:rPr>
          <w:bCs/>
          <w:iCs/>
          <w:szCs w:val="22"/>
          <w:lang w:val="sl-SI"/>
        </w:rPr>
        <w:t>EESO:</w:t>
      </w:r>
    </w:p>
    <w:p w14:paraId="6D3C3E3B" w14:textId="77777777" w:rsidR="007C6480" w:rsidRPr="00EE1689" w:rsidRDefault="007C6480" w:rsidP="00EE1689">
      <w:pPr>
        <w:rPr>
          <w:szCs w:val="22"/>
          <w:lang w:val="sl-SI"/>
        </w:rPr>
      </w:pPr>
    </w:p>
    <w:p w14:paraId="52442813" w14:textId="645482A7" w:rsidR="000262B5" w:rsidRPr="00EE1689" w:rsidRDefault="000262B5" w:rsidP="00EE1689">
      <w:pPr>
        <w:widowControl w:val="0"/>
        <w:numPr>
          <w:ilvl w:val="0"/>
          <w:numId w:val="9"/>
        </w:numPr>
        <w:tabs>
          <w:tab w:val="clear" w:pos="0"/>
        </w:tabs>
        <w:ind w:left="567" w:hanging="567"/>
        <w:rPr>
          <w:szCs w:val="22"/>
          <w:lang w:val="sl-SI"/>
        </w:rPr>
      </w:pPr>
      <w:r w:rsidRPr="00EE1689">
        <w:rPr>
          <w:szCs w:val="22"/>
          <w:lang w:val="sl-SI"/>
        </w:rPr>
        <w:t>meni, da jedrska energija ima in bo še naprej imela ključno vlogo pri razogljičenju evropske celine in krepitvi njene strateške avtonomije na področju energije in tehnologije;</w:t>
      </w:r>
    </w:p>
    <w:p w14:paraId="1BC233DA" w14:textId="07D65F10" w:rsidR="000262B5" w:rsidRPr="00EE1689" w:rsidRDefault="000262B5" w:rsidP="00EE1689">
      <w:pPr>
        <w:widowControl w:val="0"/>
        <w:numPr>
          <w:ilvl w:val="0"/>
          <w:numId w:val="9"/>
        </w:numPr>
        <w:tabs>
          <w:tab w:val="clear" w:pos="0"/>
        </w:tabs>
        <w:ind w:left="567" w:hanging="567"/>
        <w:rPr>
          <w:szCs w:val="22"/>
          <w:lang w:val="sl-SI"/>
        </w:rPr>
      </w:pPr>
      <w:r w:rsidRPr="00EE1689">
        <w:rPr>
          <w:szCs w:val="22"/>
          <w:lang w:val="sl-SI"/>
        </w:rPr>
        <w:t>priporoča, naj se za naložbe v sektor jedrske energije uporabljajo enaki pogoji kot v primeru obnovljivih virov energije;</w:t>
      </w:r>
    </w:p>
    <w:p w14:paraId="044BE899" w14:textId="0DE83530" w:rsidR="000262B5" w:rsidRPr="00EE1689" w:rsidRDefault="000262B5" w:rsidP="00EE1689">
      <w:pPr>
        <w:widowControl w:val="0"/>
        <w:numPr>
          <w:ilvl w:val="0"/>
          <w:numId w:val="9"/>
        </w:numPr>
        <w:tabs>
          <w:tab w:val="clear" w:pos="0"/>
        </w:tabs>
        <w:ind w:left="567" w:hanging="567"/>
        <w:rPr>
          <w:szCs w:val="22"/>
          <w:lang w:val="sl-SI"/>
        </w:rPr>
      </w:pPr>
      <w:r w:rsidRPr="00EE1689">
        <w:rPr>
          <w:szCs w:val="22"/>
          <w:lang w:val="sl-SI"/>
        </w:rPr>
        <w:t>priporoča, naj se naložbe pospešijo s konkretnimi finančnimi in regulativnimi ukrepi, na primer s poenostavitvijo postopka državne pomoči, dostopom do kohezijskih sredstev EU, trajnostnim financiranjem, postopki izdajanja dovoljenj ter hitrejšim sprejemanjem odločitev na ravni EU in nacionalni ravni;</w:t>
      </w:r>
    </w:p>
    <w:p w14:paraId="6F26E41C" w14:textId="325D284E" w:rsidR="000262B5" w:rsidRPr="00EE1689" w:rsidRDefault="000262B5" w:rsidP="00EE1689">
      <w:pPr>
        <w:widowControl w:val="0"/>
        <w:numPr>
          <w:ilvl w:val="0"/>
          <w:numId w:val="9"/>
        </w:numPr>
        <w:tabs>
          <w:tab w:val="clear" w:pos="0"/>
        </w:tabs>
        <w:ind w:left="567" w:hanging="567"/>
        <w:rPr>
          <w:szCs w:val="22"/>
          <w:lang w:val="sl-SI"/>
        </w:rPr>
      </w:pPr>
      <w:r w:rsidRPr="00EE1689">
        <w:rPr>
          <w:szCs w:val="22"/>
          <w:lang w:val="sl-SI"/>
        </w:rPr>
        <w:t>meni, da je dialog s civilno družbo ključnega pomena za krepitev zaupanja, odgovornosti in družbene sprejemljivosti;</w:t>
      </w:r>
    </w:p>
    <w:p w14:paraId="4209FEA8" w14:textId="4684081F" w:rsidR="000262B5" w:rsidRPr="00EE1689" w:rsidRDefault="000262B5" w:rsidP="00EE1689">
      <w:pPr>
        <w:widowControl w:val="0"/>
        <w:numPr>
          <w:ilvl w:val="0"/>
          <w:numId w:val="9"/>
        </w:numPr>
        <w:tabs>
          <w:tab w:val="clear" w:pos="0"/>
        </w:tabs>
        <w:ind w:left="567" w:hanging="567"/>
        <w:rPr>
          <w:lang w:val="sl-SI"/>
        </w:rPr>
      </w:pPr>
      <w:r w:rsidRPr="00EE1689">
        <w:rPr>
          <w:szCs w:val="22"/>
          <w:lang w:val="sl-SI"/>
        </w:rPr>
        <w:t>poziva k</w:t>
      </w:r>
      <w:r w:rsidRPr="00EE1689">
        <w:rPr>
          <w:lang w:val="sl-SI"/>
        </w:rPr>
        <w:t xml:space="preserve"> okrepitvi regulativnega sodelovanja med državami članicami;</w:t>
      </w:r>
    </w:p>
    <w:p w14:paraId="2506C649" w14:textId="427B044B" w:rsidR="007C6480" w:rsidRPr="00EE1689" w:rsidRDefault="000262B5" w:rsidP="00EE1689">
      <w:pPr>
        <w:widowControl w:val="0"/>
        <w:numPr>
          <w:ilvl w:val="0"/>
          <w:numId w:val="9"/>
        </w:numPr>
        <w:tabs>
          <w:tab w:val="clear" w:pos="0"/>
        </w:tabs>
        <w:ind w:left="567" w:hanging="567"/>
        <w:rPr>
          <w:lang w:val="sl-SI"/>
        </w:rPr>
      </w:pPr>
      <w:r w:rsidRPr="00EE1689">
        <w:rPr>
          <w:lang w:val="sl-SI"/>
        </w:rPr>
        <w:t>priporoča, naj se upošteva pomen jedrske energije za stabilizacijo omrežja, in poziva, naj se v usmeritveni jedrski program vključi tudi izračun prihranjenih sistemskih stroškov zaradi jedrske energije.</w:t>
      </w:r>
    </w:p>
    <w:p w14:paraId="4C251BE9" w14:textId="77777777" w:rsidR="000262B5" w:rsidRPr="00EE1689" w:rsidRDefault="000262B5"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6DF93F04" w14:textId="77777777" w:rsidTr="00827140">
        <w:tc>
          <w:tcPr>
            <w:tcW w:w="974" w:type="pct"/>
          </w:tcPr>
          <w:p w14:paraId="0FF19D03" w14:textId="77777777" w:rsidR="007C6480" w:rsidRPr="00EE1689" w:rsidRDefault="007C6480" w:rsidP="00EE1689">
            <w:pPr>
              <w:rPr>
                <w:lang w:val="sl-SI"/>
              </w:rPr>
            </w:pPr>
            <w:r w:rsidRPr="00EE1689">
              <w:rPr>
                <w:b/>
                <w:i/>
                <w:szCs w:val="22"/>
                <w:lang w:val="sl-SI"/>
              </w:rPr>
              <w:t>Kontaktna oseba</w:t>
            </w:r>
          </w:p>
        </w:tc>
        <w:tc>
          <w:tcPr>
            <w:tcW w:w="4026" w:type="pct"/>
          </w:tcPr>
          <w:p w14:paraId="4321424C" w14:textId="1D199CCA" w:rsidR="007C6480" w:rsidRPr="00EE1689" w:rsidRDefault="000262B5" w:rsidP="00EE1689">
            <w:pPr>
              <w:rPr>
                <w:i/>
                <w:lang w:val="sl-SI"/>
              </w:rPr>
            </w:pPr>
            <w:r w:rsidRPr="00EE1689">
              <w:rPr>
                <w:i/>
                <w:lang w:val="sl-SI"/>
              </w:rPr>
              <w:t>Albert Precup</w:t>
            </w:r>
          </w:p>
        </w:tc>
      </w:tr>
      <w:tr w:rsidR="007C6480" w:rsidRPr="00EE1689" w14:paraId="1444AD33" w14:textId="77777777" w:rsidTr="00827140">
        <w:tc>
          <w:tcPr>
            <w:tcW w:w="974" w:type="pct"/>
          </w:tcPr>
          <w:p w14:paraId="0DF35B64" w14:textId="77777777" w:rsidR="007C6480" w:rsidRPr="00EE1689" w:rsidRDefault="007C6480" w:rsidP="00EE1689">
            <w:pPr>
              <w:rPr>
                <w:lang w:val="sl-SI"/>
              </w:rPr>
            </w:pPr>
            <w:r w:rsidRPr="00EE1689">
              <w:rPr>
                <w:i/>
                <w:szCs w:val="22"/>
                <w:lang w:val="sl-SI"/>
              </w:rPr>
              <w:t>Telefon</w:t>
            </w:r>
          </w:p>
        </w:tc>
        <w:tc>
          <w:tcPr>
            <w:tcW w:w="4026" w:type="pct"/>
          </w:tcPr>
          <w:p w14:paraId="4C05C433" w14:textId="573D74E0" w:rsidR="007C6480" w:rsidRPr="00EE1689" w:rsidRDefault="007C6480" w:rsidP="00EE1689">
            <w:pPr>
              <w:rPr>
                <w:lang w:val="sl-SI"/>
              </w:rPr>
            </w:pPr>
            <w:r w:rsidRPr="00EE1689">
              <w:rPr>
                <w:i/>
                <w:szCs w:val="22"/>
                <w:lang w:val="sl-SI"/>
              </w:rPr>
              <w:t>+32 2 </w:t>
            </w:r>
            <w:r w:rsidR="000262B5" w:rsidRPr="00EE1689">
              <w:rPr>
                <w:i/>
                <w:szCs w:val="22"/>
                <w:lang w:val="sl-SI"/>
              </w:rPr>
              <w:t>546 9326</w:t>
            </w:r>
          </w:p>
        </w:tc>
      </w:tr>
      <w:tr w:rsidR="007C6480" w:rsidRPr="00EE1689" w14:paraId="6EC68971" w14:textId="77777777" w:rsidTr="00827140">
        <w:tc>
          <w:tcPr>
            <w:tcW w:w="974" w:type="pct"/>
          </w:tcPr>
          <w:p w14:paraId="29B53ABF" w14:textId="77777777" w:rsidR="007C6480" w:rsidRPr="00EE1689" w:rsidRDefault="007C6480" w:rsidP="00EE1689">
            <w:pPr>
              <w:rPr>
                <w:lang w:val="sl-SI"/>
              </w:rPr>
            </w:pPr>
            <w:r w:rsidRPr="00EE1689">
              <w:rPr>
                <w:i/>
                <w:szCs w:val="22"/>
                <w:lang w:val="sl-SI"/>
              </w:rPr>
              <w:t>E-naslov</w:t>
            </w:r>
          </w:p>
        </w:tc>
        <w:tc>
          <w:tcPr>
            <w:tcW w:w="4026" w:type="pct"/>
          </w:tcPr>
          <w:p w14:paraId="289B7439" w14:textId="42353683" w:rsidR="007C6480" w:rsidRPr="00EE1689" w:rsidRDefault="00FA3430" w:rsidP="00EE1689">
            <w:pPr>
              <w:rPr>
                <w:i/>
                <w:lang w:val="sl-SI"/>
              </w:rPr>
            </w:pPr>
            <w:hyperlink r:id="rId26" w:history="1">
              <w:r w:rsidR="000262B5" w:rsidRPr="00EE1689">
                <w:rPr>
                  <w:rStyle w:val="Hyperlink"/>
                  <w:i/>
                  <w:lang w:val="sl-SI"/>
                </w:rPr>
                <w:t>Albert.Precup@eesc.europa.eu</w:t>
              </w:r>
            </w:hyperlink>
          </w:p>
        </w:tc>
      </w:tr>
    </w:tbl>
    <w:p w14:paraId="5193B2FB" w14:textId="77777777" w:rsidR="007C6480" w:rsidRPr="00EE1689" w:rsidRDefault="007C6480" w:rsidP="00EE1689">
      <w:pPr>
        <w:rPr>
          <w:lang w:val="sl-SI"/>
        </w:rPr>
      </w:pPr>
    </w:p>
    <w:p w14:paraId="2EFD364B" w14:textId="77777777" w:rsidR="00437105" w:rsidRPr="00EE1689" w:rsidRDefault="00437105" w:rsidP="00EE1689">
      <w:pPr>
        <w:rPr>
          <w:lang w:val="sl-SI"/>
        </w:rPr>
      </w:pPr>
    </w:p>
    <w:p w14:paraId="4318AF9E" w14:textId="77777777" w:rsidR="00437105" w:rsidRPr="00EE1689" w:rsidRDefault="00437105" w:rsidP="00EE1689">
      <w:pPr>
        <w:pStyle w:val="Heading1"/>
        <w:pageBreakBefore/>
        <w:overflowPunct/>
        <w:autoSpaceDE/>
        <w:autoSpaceDN/>
        <w:adjustRightInd/>
        <w:ind w:left="567" w:hanging="567"/>
        <w:textAlignment w:val="auto"/>
        <w:rPr>
          <w:lang w:val="sl-SI"/>
        </w:rPr>
      </w:pPr>
      <w:bookmarkStart w:id="7" w:name="_Toc103071394"/>
      <w:bookmarkStart w:id="8" w:name="_Toc105440138"/>
      <w:r w:rsidRPr="00EE1689">
        <w:rPr>
          <w:b/>
          <w:lang w:val="sl-SI"/>
        </w:rPr>
        <w:lastRenderedPageBreak/>
        <w:t>ENOTNI TRG, PROIZVODNJA IN POTROŠNJA</w:t>
      </w:r>
      <w:bookmarkEnd w:id="7"/>
      <w:bookmarkEnd w:id="8"/>
    </w:p>
    <w:p w14:paraId="2516081B" w14:textId="77777777" w:rsidR="00437105" w:rsidRPr="00EE1689" w:rsidRDefault="00437105" w:rsidP="00EE1689">
      <w:pPr>
        <w:rPr>
          <w:lang w:val="sl-SI"/>
        </w:rPr>
      </w:pPr>
    </w:p>
    <w:p w14:paraId="5941C721" w14:textId="611CF87D" w:rsidR="00EA31FC" w:rsidRPr="00EE1689" w:rsidRDefault="00FA3430" w:rsidP="00EE1689">
      <w:pPr>
        <w:numPr>
          <w:ilvl w:val="0"/>
          <w:numId w:val="7"/>
        </w:numPr>
        <w:tabs>
          <w:tab w:val="clear" w:pos="0"/>
        </w:tabs>
        <w:ind w:left="567" w:hanging="567"/>
        <w:rPr>
          <w:sz w:val="28"/>
          <w:szCs w:val="22"/>
          <w:lang w:val="sl-SI"/>
        </w:rPr>
      </w:pPr>
      <w:hyperlink r:id="rId27" w:history="1">
        <w:r w:rsidR="00252955" w:rsidRPr="00EE1689">
          <w:rPr>
            <w:rStyle w:val="Hyperlink"/>
            <w:b/>
            <w:i/>
            <w:sz w:val="28"/>
            <w:szCs w:val="22"/>
            <w:lang w:val="sl-SI"/>
          </w:rPr>
          <w:t>Strategija za enotni trg</w:t>
        </w:r>
      </w:hyperlink>
    </w:p>
    <w:p w14:paraId="4B81163A" w14:textId="77777777" w:rsidR="00EA31FC" w:rsidRPr="00EE1689" w:rsidRDefault="00EA31FC" w:rsidP="00EE1689">
      <w:pPr>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437105" w:rsidRPr="00EE1689" w14:paraId="4FE1CC1E" w14:textId="77777777" w:rsidTr="00993CB4">
        <w:tc>
          <w:tcPr>
            <w:tcW w:w="974" w:type="pct"/>
          </w:tcPr>
          <w:p w14:paraId="323E95B9" w14:textId="193F3B85" w:rsidR="00437105" w:rsidRPr="00EE1689" w:rsidRDefault="00437105" w:rsidP="00EE1689">
            <w:pPr>
              <w:rPr>
                <w:b/>
                <w:szCs w:val="22"/>
                <w:lang w:val="sl-SI"/>
              </w:rPr>
            </w:pPr>
            <w:r w:rsidRPr="00EE1689">
              <w:rPr>
                <w:b/>
                <w:szCs w:val="22"/>
                <w:lang w:val="sl-SI"/>
              </w:rPr>
              <w:t>Poročeval</w:t>
            </w:r>
            <w:r w:rsidR="00252955" w:rsidRPr="00EE1689">
              <w:rPr>
                <w:b/>
                <w:szCs w:val="22"/>
                <w:lang w:val="sl-SI"/>
              </w:rPr>
              <w:t>ci</w:t>
            </w:r>
          </w:p>
        </w:tc>
        <w:tc>
          <w:tcPr>
            <w:tcW w:w="4026" w:type="pct"/>
          </w:tcPr>
          <w:p w14:paraId="7BFCE616" w14:textId="77777777" w:rsidR="00252955" w:rsidRPr="00EE1689" w:rsidRDefault="00252955" w:rsidP="00EE1689">
            <w:pPr>
              <w:rPr>
                <w:szCs w:val="22"/>
                <w:lang w:val="sl-SI"/>
              </w:rPr>
            </w:pPr>
            <w:r w:rsidRPr="00EE1689">
              <w:rPr>
                <w:szCs w:val="22"/>
                <w:lang w:val="sl-SI"/>
              </w:rPr>
              <w:t>Emilie PROUZET (skupina delodajalcev – FR)</w:t>
            </w:r>
          </w:p>
          <w:p w14:paraId="3013C631" w14:textId="77777777" w:rsidR="00252955" w:rsidRPr="00EE1689" w:rsidRDefault="00252955" w:rsidP="00EE1689">
            <w:pPr>
              <w:rPr>
                <w:szCs w:val="22"/>
                <w:lang w:val="sl-SI"/>
              </w:rPr>
            </w:pPr>
            <w:r w:rsidRPr="00EE1689">
              <w:rPr>
                <w:szCs w:val="22"/>
                <w:lang w:val="sl-SI"/>
              </w:rPr>
              <w:t>Angelo PAGLIARA (skupina delojemalcev – IT)</w:t>
            </w:r>
          </w:p>
          <w:p w14:paraId="2602AE34" w14:textId="01A7045F" w:rsidR="00437105" w:rsidRPr="00EE1689" w:rsidRDefault="00252955" w:rsidP="00EE1689">
            <w:pPr>
              <w:rPr>
                <w:szCs w:val="22"/>
                <w:lang w:val="sl-SI"/>
              </w:rPr>
            </w:pPr>
            <w:r w:rsidRPr="00EE1689">
              <w:rPr>
                <w:szCs w:val="22"/>
                <w:lang w:val="sl-SI"/>
              </w:rPr>
              <w:t>Giuseppe GUERINI (skupina organizacij civilne družbe – IT)</w:t>
            </w:r>
          </w:p>
        </w:tc>
      </w:tr>
      <w:tr w:rsidR="00437105" w:rsidRPr="00EE1689" w14:paraId="2E49D15F" w14:textId="77777777" w:rsidTr="00993CB4">
        <w:tc>
          <w:tcPr>
            <w:tcW w:w="5000" w:type="pct"/>
            <w:gridSpan w:val="2"/>
          </w:tcPr>
          <w:p w14:paraId="67151169" w14:textId="77777777" w:rsidR="00437105" w:rsidRPr="00EE1689" w:rsidRDefault="00437105" w:rsidP="00EE1689">
            <w:pPr>
              <w:rPr>
                <w:sz w:val="16"/>
                <w:szCs w:val="22"/>
                <w:lang w:val="sl-SI"/>
              </w:rPr>
            </w:pPr>
          </w:p>
        </w:tc>
      </w:tr>
      <w:tr w:rsidR="00437105" w:rsidRPr="00EE1689" w14:paraId="5CE31174" w14:textId="77777777" w:rsidTr="00993CB4">
        <w:tc>
          <w:tcPr>
            <w:tcW w:w="974" w:type="pct"/>
            <w:vMerge w:val="restart"/>
          </w:tcPr>
          <w:p w14:paraId="60F1F663" w14:textId="6B25874A" w:rsidR="00437105" w:rsidRPr="00EE1689" w:rsidRDefault="00437105" w:rsidP="00EE1689">
            <w:pPr>
              <w:rPr>
                <w:b/>
                <w:szCs w:val="22"/>
                <w:lang w:val="sl-SI"/>
              </w:rPr>
            </w:pPr>
            <w:r w:rsidRPr="00EE1689">
              <w:rPr>
                <w:b/>
                <w:szCs w:val="22"/>
                <w:lang w:val="sl-SI"/>
              </w:rPr>
              <w:t>Referenčn</w:t>
            </w:r>
            <w:r w:rsidR="00252955" w:rsidRPr="00EE1689">
              <w:rPr>
                <w:b/>
                <w:szCs w:val="22"/>
                <w:lang w:val="sl-SI"/>
              </w:rPr>
              <w:t>a</w:t>
            </w:r>
            <w:r w:rsidRPr="00EE1689">
              <w:rPr>
                <w:b/>
                <w:szCs w:val="22"/>
                <w:lang w:val="sl-SI"/>
              </w:rPr>
              <w:t xml:space="preserve"> dokument</w:t>
            </w:r>
            <w:r w:rsidR="00252955" w:rsidRPr="00EE1689">
              <w:rPr>
                <w:b/>
                <w:szCs w:val="22"/>
                <w:lang w:val="sl-SI"/>
              </w:rPr>
              <w:t>a</w:t>
            </w:r>
          </w:p>
        </w:tc>
        <w:tc>
          <w:tcPr>
            <w:tcW w:w="4026" w:type="pct"/>
          </w:tcPr>
          <w:p w14:paraId="3D861BBE" w14:textId="7E312B45" w:rsidR="00437105" w:rsidRPr="00EE1689" w:rsidRDefault="00252955" w:rsidP="00EE1689">
            <w:pPr>
              <w:rPr>
                <w:szCs w:val="22"/>
                <w:lang w:val="sl-SI"/>
              </w:rPr>
            </w:pPr>
            <w:r w:rsidRPr="00EE1689">
              <w:rPr>
                <w:szCs w:val="22"/>
                <w:lang w:val="sl-SI"/>
              </w:rPr>
              <w:t>COM(2025) 500 final</w:t>
            </w:r>
          </w:p>
        </w:tc>
      </w:tr>
      <w:tr w:rsidR="00437105" w:rsidRPr="00EE1689" w14:paraId="0BEFF084" w14:textId="77777777" w:rsidTr="00993CB4">
        <w:tc>
          <w:tcPr>
            <w:tcW w:w="974" w:type="pct"/>
            <w:vMerge/>
          </w:tcPr>
          <w:p w14:paraId="0E216948" w14:textId="77777777" w:rsidR="00437105" w:rsidRPr="00EE1689" w:rsidRDefault="00437105" w:rsidP="00EE1689">
            <w:pPr>
              <w:tabs>
                <w:tab w:val="center" w:pos="284"/>
              </w:tabs>
              <w:ind w:left="266" w:hanging="266"/>
              <w:rPr>
                <w:b/>
                <w:szCs w:val="22"/>
                <w:lang w:val="sl-SI"/>
              </w:rPr>
            </w:pPr>
          </w:p>
        </w:tc>
        <w:tc>
          <w:tcPr>
            <w:tcW w:w="4026" w:type="pct"/>
          </w:tcPr>
          <w:p w14:paraId="32D0B657" w14:textId="7BFE2D1F" w:rsidR="00437105" w:rsidRPr="00EE1689" w:rsidRDefault="00252955" w:rsidP="00EE1689">
            <w:pPr>
              <w:rPr>
                <w:szCs w:val="22"/>
                <w:lang w:val="sl-SI"/>
              </w:rPr>
            </w:pPr>
            <w:r w:rsidRPr="00EE1689">
              <w:rPr>
                <w:szCs w:val="22"/>
                <w:lang w:val="sl-SI"/>
              </w:rPr>
              <w:t>EESC-2025-01859-00-00-AC</w:t>
            </w:r>
          </w:p>
        </w:tc>
      </w:tr>
    </w:tbl>
    <w:p w14:paraId="0EEAA151" w14:textId="77777777" w:rsidR="00437105" w:rsidRPr="00EE1689" w:rsidRDefault="00437105" w:rsidP="00EE1689">
      <w:pPr>
        <w:rPr>
          <w:szCs w:val="22"/>
          <w:lang w:val="sl-SI"/>
        </w:rPr>
      </w:pPr>
    </w:p>
    <w:p w14:paraId="5A3B5E17" w14:textId="77777777" w:rsidR="00437105" w:rsidRPr="00EE1689" w:rsidRDefault="00437105" w:rsidP="00EE1689">
      <w:pPr>
        <w:rPr>
          <w:lang w:val="sl-SI"/>
        </w:rPr>
      </w:pPr>
      <w:r w:rsidRPr="00EE1689">
        <w:rPr>
          <w:b/>
          <w:lang w:val="sl-SI"/>
        </w:rPr>
        <w:t>Glavne točke</w:t>
      </w:r>
    </w:p>
    <w:p w14:paraId="32958501" w14:textId="77777777" w:rsidR="00437105" w:rsidRPr="00EE1689" w:rsidRDefault="00437105" w:rsidP="00EE1689">
      <w:pPr>
        <w:rPr>
          <w:szCs w:val="22"/>
          <w:lang w:val="sl-SI"/>
        </w:rPr>
      </w:pPr>
    </w:p>
    <w:p w14:paraId="2D1C3960" w14:textId="77777777" w:rsidR="00437105" w:rsidRPr="00EE1689" w:rsidRDefault="00437105" w:rsidP="00EE1689">
      <w:pPr>
        <w:rPr>
          <w:bCs/>
          <w:iCs/>
          <w:szCs w:val="22"/>
          <w:lang w:val="sl-SI"/>
        </w:rPr>
      </w:pPr>
      <w:r w:rsidRPr="00EE1689">
        <w:rPr>
          <w:bCs/>
          <w:iCs/>
          <w:szCs w:val="22"/>
          <w:lang w:val="sl-SI"/>
        </w:rPr>
        <w:t>EESO:</w:t>
      </w:r>
    </w:p>
    <w:p w14:paraId="2ED1F2B1" w14:textId="77777777" w:rsidR="00437105" w:rsidRPr="00EE1689" w:rsidRDefault="00437105" w:rsidP="00EE1689">
      <w:pPr>
        <w:rPr>
          <w:szCs w:val="22"/>
          <w:lang w:val="sl-SI"/>
        </w:rPr>
      </w:pPr>
    </w:p>
    <w:p w14:paraId="75DCE4C0" w14:textId="661A36E6" w:rsidR="00252955" w:rsidRPr="00EE1689" w:rsidRDefault="00252955" w:rsidP="00EE1689">
      <w:pPr>
        <w:widowControl w:val="0"/>
        <w:numPr>
          <w:ilvl w:val="0"/>
          <w:numId w:val="9"/>
        </w:numPr>
        <w:tabs>
          <w:tab w:val="clear" w:pos="0"/>
        </w:tabs>
        <w:ind w:left="567" w:hanging="567"/>
        <w:rPr>
          <w:szCs w:val="22"/>
          <w:lang w:val="sl-SI"/>
        </w:rPr>
      </w:pPr>
      <w:r w:rsidRPr="00EE1689">
        <w:rPr>
          <w:szCs w:val="22"/>
          <w:lang w:val="sl-SI"/>
        </w:rPr>
        <w:t>v celoti podpira prednostne naloge, ki jih je opredelila Komisija v odgovor na izzive, na katere so opozorili deležniki;</w:t>
      </w:r>
    </w:p>
    <w:p w14:paraId="36409109" w14:textId="6A5DF012" w:rsidR="00252955" w:rsidRPr="00EE1689" w:rsidRDefault="00252955" w:rsidP="00EE1689">
      <w:pPr>
        <w:widowControl w:val="0"/>
        <w:numPr>
          <w:ilvl w:val="0"/>
          <w:numId w:val="9"/>
        </w:numPr>
        <w:tabs>
          <w:tab w:val="clear" w:pos="0"/>
        </w:tabs>
        <w:ind w:left="567" w:hanging="567"/>
        <w:rPr>
          <w:szCs w:val="22"/>
          <w:lang w:val="sl-SI"/>
        </w:rPr>
      </w:pPr>
      <w:r w:rsidRPr="00EE1689">
        <w:rPr>
          <w:szCs w:val="22"/>
          <w:lang w:val="sl-SI"/>
        </w:rPr>
        <w:t>poudarja, da je pri poenostavitvi predpisov treba dosledno spoštovati socialne pravice in pravice delavcev. Zato je bistveno, da so evropski in nacionalni parlamenti ter socialni partnerji strukturno vključeni v zakonodajni postopek vse od zgodnje faze;</w:t>
      </w:r>
    </w:p>
    <w:p w14:paraId="6608E6B3" w14:textId="7380D833" w:rsidR="00252955" w:rsidRPr="00EE1689" w:rsidRDefault="00252955" w:rsidP="00EE1689">
      <w:pPr>
        <w:widowControl w:val="0"/>
        <w:numPr>
          <w:ilvl w:val="0"/>
          <w:numId w:val="9"/>
        </w:numPr>
        <w:tabs>
          <w:tab w:val="clear" w:pos="0"/>
        </w:tabs>
        <w:ind w:left="567" w:hanging="567"/>
        <w:rPr>
          <w:szCs w:val="22"/>
          <w:lang w:val="sl-SI"/>
        </w:rPr>
      </w:pPr>
      <w:r w:rsidRPr="00EE1689">
        <w:rPr>
          <w:szCs w:val="22"/>
          <w:lang w:val="sl-SI"/>
        </w:rPr>
        <w:t>namerava dejavneje prispevati k upravljanju enotnega trga, med drugim z okrepljeno vlogo v okviru projektne skupine za uveljavljanje pravil enotnega trga;</w:t>
      </w:r>
    </w:p>
    <w:p w14:paraId="7E875876" w14:textId="60FDD624" w:rsidR="00252955" w:rsidRPr="00EE1689" w:rsidRDefault="00252955" w:rsidP="00EE1689">
      <w:pPr>
        <w:widowControl w:val="0"/>
        <w:numPr>
          <w:ilvl w:val="0"/>
          <w:numId w:val="9"/>
        </w:numPr>
        <w:tabs>
          <w:tab w:val="clear" w:pos="0"/>
        </w:tabs>
        <w:ind w:left="567" w:hanging="567"/>
        <w:rPr>
          <w:szCs w:val="22"/>
          <w:lang w:val="sl-SI"/>
        </w:rPr>
      </w:pPr>
      <w:r w:rsidRPr="00EE1689">
        <w:rPr>
          <w:szCs w:val="22"/>
          <w:lang w:val="sl-SI"/>
        </w:rPr>
        <w:t>poziva Komisijo, naj pripravi zakonodajne predloge za obravnavo ozemeljskih omejitev dobave in harmonizacijo označevanja proizvodov;</w:t>
      </w:r>
    </w:p>
    <w:p w14:paraId="2959953D" w14:textId="191E8EF3" w:rsidR="00252955" w:rsidRPr="00EE1689" w:rsidRDefault="00252955" w:rsidP="00EE1689">
      <w:pPr>
        <w:widowControl w:val="0"/>
        <w:numPr>
          <w:ilvl w:val="0"/>
          <w:numId w:val="9"/>
        </w:numPr>
        <w:tabs>
          <w:tab w:val="clear" w:pos="0"/>
        </w:tabs>
        <w:ind w:left="567" w:hanging="567"/>
        <w:rPr>
          <w:szCs w:val="22"/>
          <w:lang w:val="sl-SI"/>
        </w:rPr>
      </w:pPr>
      <w:r w:rsidRPr="00EE1689">
        <w:rPr>
          <w:szCs w:val="22"/>
          <w:lang w:val="sl-SI"/>
        </w:rPr>
        <w:t>pozdravlja namero Komisije, da pripravi predlog o neobvezni 28. pravni ureditvi za podjetja, vendar poudarja, da je treba sprejeti učinkovite zaščitne ukrepe za preprečevanje morebitnih zlorab;</w:t>
      </w:r>
    </w:p>
    <w:p w14:paraId="6CBF0E10" w14:textId="15B9C356" w:rsidR="00252955" w:rsidRPr="00EE1689" w:rsidRDefault="00252955" w:rsidP="00EE1689">
      <w:pPr>
        <w:widowControl w:val="0"/>
        <w:numPr>
          <w:ilvl w:val="0"/>
          <w:numId w:val="9"/>
        </w:numPr>
        <w:tabs>
          <w:tab w:val="clear" w:pos="0"/>
        </w:tabs>
        <w:ind w:left="567" w:hanging="567"/>
        <w:rPr>
          <w:szCs w:val="22"/>
          <w:lang w:val="sl-SI"/>
        </w:rPr>
      </w:pPr>
      <w:r w:rsidRPr="00EE1689">
        <w:rPr>
          <w:szCs w:val="22"/>
          <w:lang w:val="sl-SI"/>
        </w:rPr>
        <w:t>priznava ključno vlogo standardizacije kot gonila povezovanja in inovacij, pri čemer poudarja pomen načel preglednosti, vključevalnosti in strukturiranega sodelovanja;</w:t>
      </w:r>
    </w:p>
    <w:p w14:paraId="788B71E5" w14:textId="2E0051ED" w:rsidR="00252955" w:rsidRPr="00EE1689" w:rsidRDefault="00252955" w:rsidP="00EE1689">
      <w:pPr>
        <w:widowControl w:val="0"/>
        <w:numPr>
          <w:ilvl w:val="0"/>
          <w:numId w:val="9"/>
        </w:numPr>
        <w:tabs>
          <w:tab w:val="clear" w:pos="0"/>
        </w:tabs>
        <w:ind w:left="567" w:hanging="567"/>
        <w:rPr>
          <w:szCs w:val="22"/>
          <w:lang w:val="sl-SI"/>
        </w:rPr>
      </w:pPr>
      <w:r w:rsidRPr="00EE1689">
        <w:rPr>
          <w:szCs w:val="22"/>
          <w:lang w:val="sl-SI"/>
        </w:rPr>
        <w:t>podpira poenostavitev priznavanja poklicnih kvalifikacij, med drugim za državljane tretjih držav, pri čemer morajo biti kvalifikacije jasno opredeljene, preverljive in dokazano kakovostne;</w:t>
      </w:r>
    </w:p>
    <w:p w14:paraId="189D6896" w14:textId="1954F105" w:rsidR="00252955" w:rsidRPr="00EE1689" w:rsidRDefault="00252955" w:rsidP="00EE1689">
      <w:pPr>
        <w:widowControl w:val="0"/>
        <w:numPr>
          <w:ilvl w:val="0"/>
          <w:numId w:val="9"/>
        </w:numPr>
        <w:tabs>
          <w:tab w:val="clear" w:pos="0"/>
        </w:tabs>
        <w:ind w:left="567" w:hanging="567"/>
        <w:rPr>
          <w:szCs w:val="22"/>
          <w:lang w:val="sl-SI"/>
        </w:rPr>
      </w:pPr>
      <w:r w:rsidRPr="00EE1689">
        <w:rPr>
          <w:szCs w:val="22"/>
          <w:lang w:val="sl-SI"/>
        </w:rPr>
        <w:t>podpira okrepitev Evropskega organa za delo (ELA);</w:t>
      </w:r>
    </w:p>
    <w:p w14:paraId="628635E5" w14:textId="1052A6A4" w:rsidR="00437105" w:rsidRPr="00EE1689" w:rsidRDefault="00252955" w:rsidP="00EE1689">
      <w:pPr>
        <w:widowControl w:val="0"/>
        <w:numPr>
          <w:ilvl w:val="0"/>
          <w:numId w:val="9"/>
        </w:numPr>
        <w:tabs>
          <w:tab w:val="clear" w:pos="0"/>
        </w:tabs>
        <w:ind w:left="567" w:hanging="567"/>
        <w:rPr>
          <w:lang w:val="sl-SI"/>
        </w:rPr>
      </w:pPr>
      <w:r w:rsidRPr="00EE1689">
        <w:rPr>
          <w:szCs w:val="22"/>
          <w:lang w:val="sl-SI"/>
        </w:rPr>
        <w:t xml:space="preserve">poziva, naj se enotni trg razširi na strateške sektorje, kot sta energija in finančne storitve. Poudarja, da </w:t>
      </w:r>
      <w:r w:rsidRPr="00EE1689">
        <w:rPr>
          <w:lang w:val="sl-SI"/>
        </w:rPr>
        <w:t>je potreben vključujoč model upravljanja, in poziva, naj se izvede revizija zakonodaje o javnem naročanju. Hkrati bi bilo treba poiskati ustrezne načine za upoštevanje socialnih, okoljskih in inovacijskih ciljev.</w:t>
      </w:r>
    </w:p>
    <w:p w14:paraId="1B999A20" w14:textId="77777777" w:rsidR="00252955" w:rsidRPr="00EE1689" w:rsidRDefault="00252955"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437105" w:rsidRPr="00EE1689" w14:paraId="750C426A" w14:textId="77777777" w:rsidTr="00993CB4">
        <w:tc>
          <w:tcPr>
            <w:tcW w:w="974" w:type="pct"/>
          </w:tcPr>
          <w:p w14:paraId="51CE8535" w14:textId="77777777" w:rsidR="00437105" w:rsidRPr="00EE1689" w:rsidRDefault="00437105" w:rsidP="00EE1689">
            <w:pPr>
              <w:rPr>
                <w:lang w:val="sl-SI"/>
              </w:rPr>
            </w:pPr>
            <w:r w:rsidRPr="00EE1689">
              <w:rPr>
                <w:b/>
                <w:i/>
                <w:szCs w:val="22"/>
                <w:lang w:val="sl-SI"/>
              </w:rPr>
              <w:t>Kontaktna oseba</w:t>
            </w:r>
          </w:p>
        </w:tc>
        <w:tc>
          <w:tcPr>
            <w:tcW w:w="4026" w:type="pct"/>
          </w:tcPr>
          <w:p w14:paraId="7AD9151F" w14:textId="00B41BC5" w:rsidR="00437105" w:rsidRPr="00EE1689" w:rsidRDefault="00252955" w:rsidP="00EE1689">
            <w:pPr>
              <w:rPr>
                <w:i/>
                <w:lang w:val="sl-SI"/>
              </w:rPr>
            </w:pPr>
            <w:r w:rsidRPr="00EE1689">
              <w:rPr>
                <w:i/>
                <w:lang w:val="sl-SI"/>
              </w:rPr>
              <w:t>Annalisa Tessarolo</w:t>
            </w:r>
          </w:p>
        </w:tc>
      </w:tr>
      <w:tr w:rsidR="00437105" w:rsidRPr="00EE1689" w14:paraId="1ABCF2D0" w14:textId="77777777" w:rsidTr="00993CB4">
        <w:tc>
          <w:tcPr>
            <w:tcW w:w="974" w:type="pct"/>
          </w:tcPr>
          <w:p w14:paraId="725CDBF5" w14:textId="77777777" w:rsidR="00437105" w:rsidRPr="00EE1689" w:rsidRDefault="006926AD" w:rsidP="00EE1689">
            <w:pPr>
              <w:rPr>
                <w:lang w:val="sl-SI"/>
              </w:rPr>
            </w:pPr>
            <w:r w:rsidRPr="00EE1689">
              <w:rPr>
                <w:i/>
                <w:szCs w:val="22"/>
                <w:lang w:val="sl-SI"/>
              </w:rPr>
              <w:t>Telefon</w:t>
            </w:r>
          </w:p>
        </w:tc>
        <w:tc>
          <w:tcPr>
            <w:tcW w:w="4026" w:type="pct"/>
          </w:tcPr>
          <w:p w14:paraId="6F6F4528" w14:textId="3ADE1B4E" w:rsidR="00437105" w:rsidRPr="00EE1689" w:rsidRDefault="000D558D" w:rsidP="00EE1689">
            <w:pPr>
              <w:rPr>
                <w:lang w:val="sl-SI"/>
              </w:rPr>
            </w:pPr>
            <w:r w:rsidRPr="00EE1689">
              <w:rPr>
                <w:i/>
                <w:szCs w:val="22"/>
                <w:lang w:val="sl-SI"/>
              </w:rPr>
              <w:t>+</w:t>
            </w:r>
            <w:r w:rsidR="00437105" w:rsidRPr="00EE1689">
              <w:rPr>
                <w:i/>
                <w:szCs w:val="22"/>
                <w:lang w:val="sl-SI"/>
              </w:rPr>
              <w:t>32 2 </w:t>
            </w:r>
            <w:r w:rsidR="00252955" w:rsidRPr="00EE1689">
              <w:rPr>
                <w:i/>
                <w:szCs w:val="22"/>
                <w:lang w:val="sl-SI"/>
              </w:rPr>
              <w:t>546 9732</w:t>
            </w:r>
          </w:p>
        </w:tc>
      </w:tr>
      <w:tr w:rsidR="00437105" w:rsidRPr="00EE1689" w14:paraId="4D52E5E5" w14:textId="77777777" w:rsidTr="00993CB4">
        <w:tc>
          <w:tcPr>
            <w:tcW w:w="974" w:type="pct"/>
          </w:tcPr>
          <w:p w14:paraId="5DBBE2F6" w14:textId="77777777" w:rsidR="00437105" w:rsidRPr="00EE1689" w:rsidRDefault="00437105" w:rsidP="00EE1689">
            <w:pPr>
              <w:rPr>
                <w:lang w:val="sl-SI"/>
              </w:rPr>
            </w:pPr>
            <w:r w:rsidRPr="00EE1689">
              <w:rPr>
                <w:i/>
                <w:szCs w:val="22"/>
                <w:lang w:val="sl-SI"/>
              </w:rPr>
              <w:t>E-naslov</w:t>
            </w:r>
          </w:p>
        </w:tc>
        <w:tc>
          <w:tcPr>
            <w:tcW w:w="4026" w:type="pct"/>
          </w:tcPr>
          <w:p w14:paraId="0BFEE990" w14:textId="1318A425" w:rsidR="00437105" w:rsidRPr="00EE1689" w:rsidRDefault="00FA3430" w:rsidP="00EE1689">
            <w:pPr>
              <w:rPr>
                <w:i/>
                <w:lang w:val="sl-SI"/>
              </w:rPr>
            </w:pPr>
            <w:hyperlink r:id="rId28" w:history="1">
              <w:r w:rsidR="00252955" w:rsidRPr="00EE1689">
                <w:rPr>
                  <w:rStyle w:val="Hyperlink"/>
                  <w:i/>
                  <w:lang w:val="sl-SI"/>
                </w:rPr>
                <w:t>Annalisa.Tessarolo@eesc.europa.eu</w:t>
              </w:r>
            </w:hyperlink>
          </w:p>
        </w:tc>
      </w:tr>
    </w:tbl>
    <w:p w14:paraId="004A5EF5" w14:textId="77777777" w:rsidR="00437105" w:rsidRPr="00EE1689" w:rsidRDefault="00437105" w:rsidP="00EE1689">
      <w:pPr>
        <w:rPr>
          <w:lang w:val="sl-SI"/>
        </w:rPr>
      </w:pPr>
    </w:p>
    <w:p w14:paraId="35DFB93C" w14:textId="73AAB041" w:rsidR="007C6480" w:rsidRPr="00EE1689" w:rsidRDefault="00FA3430" w:rsidP="000619F4">
      <w:pPr>
        <w:keepNext/>
        <w:keepLines/>
        <w:numPr>
          <w:ilvl w:val="0"/>
          <w:numId w:val="7"/>
        </w:numPr>
        <w:tabs>
          <w:tab w:val="clear" w:pos="0"/>
        </w:tabs>
        <w:ind w:left="567" w:hanging="567"/>
        <w:rPr>
          <w:sz w:val="28"/>
          <w:szCs w:val="22"/>
          <w:lang w:val="sl-SI"/>
        </w:rPr>
      </w:pPr>
      <w:hyperlink r:id="rId29" w:history="1">
        <w:r w:rsidR="00EA79CE" w:rsidRPr="00EE1689">
          <w:rPr>
            <w:rStyle w:val="Hyperlink"/>
            <w:b/>
            <w:i/>
            <w:sz w:val="28"/>
            <w:szCs w:val="22"/>
            <w:lang w:val="sl-SI"/>
          </w:rPr>
          <w:t>Poročilo o politiki varstva konkurence za leto 2024</w:t>
        </w:r>
      </w:hyperlink>
    </w:p>
    <w:p w14:paraId="62D1F8DB" w14:textId="77777777" w:rsidR="007C6480" w:rsidRPr="00EE1689" w:rsidRDefault="007C6480" w:rsidP="000619F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443E19B0" w14:textId="77777777" w:rsidTr="00827140">
        <w:tc>
          <w:tcPr>
            <w:tcW w:w="974" w:type="pct"/>
          </w:tcPr>
          <w:p w14:paraId="2C44D409" w14:textId="77777777" w:rsidR="007C6480" w:rsidRPr="00EE1689" w:rsidRDefault="007C6480" w:rsidP="000619F4">
            <w:pPr>
              <w:keepNext/>
              <w:keepLines/>
              <w:rPr>
                <w:b/>
                <w:szCs w:val="22"/>
                <w:lang w:val="sl-SI"/>
              </w:rPr>
            </w:pPr>
            <w:r w:rsidRPr="00EE1689">
              <w:rPr>
                <w:b/>
                <w:szCs w:val="22"/>
                <w:lang w:val="sl-SI"/>
              </w:rPr>
              <w:t>Poročevalec</w:t>
            </w:r>
          </w:p>
        </w:tc>
        <w:tc>
          <w:tcPr>
            <w:tcW w:w="4026" w:type="pct"/>
          </w:tcPr>
          <w:p w14:paraId="67871504" w14:textId="1BA57FBB" w:rsidR="007C6480" w:rsidRPr="00EE1689" w:rsidRDefault="00EA79CE" w:rsidP="000619F4">
            <w:pPr>
              <w:keepNext/>
              <w:keepLines/>
              <w:rPr>
                <w:szCs w:val="22"/>
                <w:lang w:val="sl-SI"/>
              </w:rPr>
            </w:pPr>
            <w:r w:rsidRPr="00EE1689">
              <w:rPr>
                <w:szCs w:val="22"/>
                <w:lang w:val="sl-SI"/>
              </w:rPr>
              <w:t>Andrea MONE (skupina delojemalcev – IT)</w:t>
            </w:r>
          </w:p>
        </w:tc>
      </w:tr>
      <w:tr w:rsidR="007C6480" w:rsidRPr="00EE1689" w14:paraId="5478A3B3" w14:textId="77777777" w:rsidTr="00827140">
        <w:tc>
          <w:tcPr>
            <w:tcW w:w="5000" w:type="pct"/>
            <w:gridSpan w:val="2"/>
          </w:tcPr>
          <w:p w14:paraId="65499F7E" w14:textId="77777777" w:rsidR="007C6480" w:rsidRPr="00EE1689" w:rsidRDefault="007C6480" w:rsidP="000619F4">
            <w:pPr>
              <w:keepNext/>
              <w:keepLines/>
              <w:rPr>
                <w:sz w:val="16"/>
                <w:szCs w:val="22"/>
                <w:lang w:val="sl-SI"/>
              </w:rPr>
            </w:pPr>
          </w:p>
        </w:tc>
      </w:tr>
      <w:tr w:rsidR="007C6480" w:rsidRPr="00EE1689" w14:paraId="37687109" w14:textId="77777777" w:rsidTr="00827140">
        <w:tc>
          <w:tcPr>
            <w:tcW w:w="974" w:type="pct"/>
            <w:vMerge w:val="restart"/>
          </w:tcPr>
          <w:p w14:paraId="332CFEB1" w14:textId="711F7E41" w:rsidR="007C6480" w:rsidRPr="00EE1689" w:rsidRDefault="007C6480" w:rsidP="000619F4">
            <w:pPr>
              <w:keepNext/>
              <w:keepLines/>
              <w:rPr>
                <w:b/>
                <w:szCs w:val="22"/>
                <w:lang w:val="sl-SI"/>
              </w:rPr>
            </w:pPr>
            <w:r w:rsidRPr="00EE1689">
              <w:rPr>
                <w:b/>
                <w:szCs w:val="22"/>
                <w:lang w:val="sl-SI"/>
              </w:rPr>
              <w:t>Referenčn</w:t>
            </w:r>
            <w:r w:rsidR="00EA79CE" w:rsidRPr="00EE1689">
              <w:rPr>
                <w:b/>
                <w:szCs w:val="22"/>
                <w:lang w:val="sl-SI"/>
              </w:rPr>
              <w:t>a</w:t>
            </w:r>
            <w:r w:rsidRPr="00EE1689">
              <w:rPr>
                <w:b/>
                <w:szCs w:val="22"/>
                <w:lang w:val="sl-SI"/>
              </w:rPr>
              <w:t xml:space="preserve"> dokument</w:t>
            </w:r>
            <w:r w:rsidR="00EA79CE" w:rsidRPr="00EE1689">
              <w:rPr>
                <w:b/>
                <w:szCs w:val="22"/>
                <w:lang w:val="sl-SI"/>
              </w:rPr>
              <w:t>a</w:t>
            </w:r>
          </w:p>
        </w:tc>
        <w:tc>
          <w:tcPr>
            <w:tcW w:w="4026" w:type="pct"/>
          </w:tcPr>
          <w:p w14:paraId="60339F05" w14:textId="0427F77F" w:rsidR="007C6480" w:rsidRPr="00EE1689" w:rsidRDefault="00EA79CE" w:rsidP="000619F4">
            <w:pPr>
              <w:keepNext/>
              <w:keepLines/>
              <w:rPr>
                <w:szCs w:val="22"/>
                <w:lang w:val="sl-SI"/>
              </w:rPr>
            </w:pPr>
            <w:r w:rsidRPr="00EE1689">
              <w:rPr>
                <w:szCs w:val="22"/>
                <w:lang w:val="sl-SI"/>
              </w:rPr>
              <w:t>COM(2025) 181 final</w:t>
            </w:r>
          </w:p>
        </w:tc>
      </w:tr>
      <w:tr w:rsidR="007C6480" w:rsidRPr="00EE1689" w14:paraId="33278209" w14:textId="77777777" w:rsidTr="00827140">
        <w:tc>
          <w:tcPr>
            <w:tcW w:w="974" w:type="pct"/>
            <w:vMerge/>
          </w:tcPr>
          <w:p w14:paraId="3CC54787" w14:textId="77777777" w:rsidR="007C6480" w:rsidRPr="00EE1689" w:rsidRDefault="007C6480" w:rsidP="000619F4">
            <w:pPr>
              <w:keepNext/>
              <w:keepLines/>
              <w:tabs>
                <w:tab w:val="center" w:pos="284"/>
              </w:tabs>
              <w:ind w:left="266" w:hanging="266"/>
              <w:rPr>
                <w:b/>
                <w:szCs w:val="22"/>
                <w:lang w:val="sl-SI"/>
              </w:rPr>
            </w:pPr>
          </w:p>
        </w:tc>
        <w:tc>
          <w:tcPr>
            <w:tcW w:w="4026" w:type="pct"/>
          </w:tcPr>
          <w:p w14:paraId="7755D70A" w14:textId="1519A6F1" w:rsidR="007C6480" w:rsidRPr="00EE1689" w:rsidRDefault="00EA79CE" w:rsidP="000619F4">
            <w:pPr>
              <w:keepNext/>
              <w:keepLines/>
              <w:rPr>
                <w:szCs w:val="22"/>
                <w:lang w:val="sl-SI"/>
              </w:rPr>
            </w:pPr>
            <w:r w:rsidRPr="00EE1689">
              <w:rPr>
                <w:szCs w:val="22"/>
                <w:lang w:val="sl-SI"/>
              </w:rPr>
              <w:t>EESC-2025-02299-00-00-AC</w:t>
            </w:r>
          </w:p>
        </w:tc>
      </w:tr>
    </w:tbl>
    <w:p w14:paraId="0DB46039" w14:textId="77777777" w:rsidR="007C6480" w:rsidRPr="00EE1689" w:rsidRDefault="007C6480" w:rsidP="000619F4">
      <w:pPr>
        <w:keepNext/>
        <w:keepLines/>
        <w:rPr>
          <w:szCs w:val="22"/>
          <w:lang w:val="sl-SI"/>
        </w:rPr>
      </w:pPr>
    </w:p>
    <w:p w14:paraId="5BDC3316" w14:textId="77777777" w:rsidR="007C6480" w:rsidRPr="00EE1689" w:rsidRDefault="007C6480" w:rsidP="000619F4">
      <w:pPr>
        <w:keepNext/>
        <w:keepLines/>
        <w:rPr>
          <w:lang w:val="sl-SI"/>
        </w:rPr>
      </w:pPr>
      <w:r w:rsidRPr="00EE1689">
        <w:rPr>
          <w:b/>
          <w:lang w:val="sl-SI"/>
        </w:rPr>
        <w:t>Glavne točke</w:t>
      </w:r>
    </w:p>
    <w:p w14:paraId="29A0BEAA" w14:textId="77777777" w:rsidR="007C6480" w:rsidRPr="00EE1689" w:rsidRDefault="007C6480" w:rsidP="00EE1689">
      <w:pPr>
        <w:rPr>
          <w:szCs w:val="22"/>
          <w:lang w:val="sl-SI"/>
        </w:rPr>
      </w:pPr>
    </w:p>
    <w:p w14:paraId="16BF5A46" w14:textId="77777777" w:rsidR="007C6480" w:rsidRPr="00EE1689" w:rsidRDefault="007C6480" w:rsidP="00EE1689">
      <w:pPr>
        <w:rPr>
          <w:bCs/>
          <w:iCs/>
          <w:szCs w:val="22"/>
          <w:lang w:val="sl-SI"/>
        </w:rPr>
      </w:pPr>
      <w:r w:rsidRPr="00EE1689">
        <w:rPr>
          <w:bCs/>
          <w:iCs/>
          <w:szCs w:val="22"/>
          <w:lang w:val="sl-SI"/>
        </w:rPr>
        <w:t>EESO:</w:t>
      </w:r>
    </w:p>
    <w:p w14:paraId="45F6F317" w14:textId="77777777" w:rsidR="007C6480" w:rsidRPr="00EE1689" w:rsidRDefault="007C6480" w:rsidP="00EE1689">
      <w:pPr>
        <w:rPr>
          <w:szCs w:val="22"/>
          <w:lang w:val="sl-SI"/>
        </w:rPr>
      </w:pPr>
    </w:p>
    <w:p w14:paraId="2DD89405" w14:textId="60034083" w:rsidR="007C6480" w:rsidRPr="00EE1689" w:rsidRDefault="00EA79CE" w:rsidP="00EE1689">
      <w:pPr>
        <w:widowControl w:val="0"/>
        <w:numPr>
          <w:ilvl w:val="0"/>
          <w:numId w:val="9"/>
        </w:numPr>
        <w:tabs>
          <w:tab w:val="clear" w:pos="0"/>
        </w:tabs>
        <w:ind w:left="567" w:hanging="567"/>
        <w:rPr>
          <w:bCs/>
          <w:iCs/>
          <w:szCs w:val="22"/>
          <w:lang w:val="sl-SI"/>
        </w:rPr>
      </w:pPr>
      <w:r w:rsidRPr="00EE1689">
        <w:rPr>
          <w:lang w:val="sl-SI"/>
        </w:rPr>
        <w:t xml:space="preserve">pozdravlja </w:t>
      </w:r>
      <w:r w:rsidRPr="00EE1689">
        <w:rPr>
          <w:b/>
          <w:lang w:val="sl-SI"/>
        </w:rPr>
        <w:t>pristop k izvrševanju</w:t>
      </w:r>
      <w:r w:rsidRPr="00EE1689">
        <w:rPr>
          <w:lang w:val="sl-SI"/>
        </w:rPr>
        <w:t>, ki ga je</w:t>
      </w:r>
      <w:r w:rsidRPr="00EE1689">
        <w:rPr>
          <w:b/>
          <w:lang w:val="sl-SI"/>
        </w:rPr>
        <w:t xml:space="preserve"> Komisija </w:t>
      </w:r>
      <w:r w:rsidRPr="00EE1689">
        <w:rPr>
          <w:lang w:val="sl-SI"/>
        </w:rPr>
        <w:t>sprejela</w:t>
      </w:r>
      <w:r w:rsidRPr="00EE1689">
        <w:rPr>
          <w:b/>
          <w:lang w:val="sl-SI"/>
        </w:rPr>
        <w:t xml:space="preserve"> leta 2024</w:t>
      </w:r>
      <w:r w:rsidRPr="00EE1689">
        <w:rPr>
          <w:lang w:val="sl-SI"/>
        </w:rPr>
        <w:t xml:space="preserve"> in ki politiko varstva konkurence povezuje s cilji oblikovanja digitalne, zelene in odporne EU, hkrati pa ohranja dobro delujoč in konkurenčen notranji trg;</w:t>
      </w:r>
    </w:p>
    <w:p w14:paraId="68B35569" w14:textId="41D7A13B" w:rsidR="007C6480" w:rsidRPr="00EE1689" w:rsidRDefault="00EA79CE" w:rsidP="00EE1689">
      <w:pPr>
        <w:widowControl w:val="0"/>
        <w:numPr>
          <w:ilvl w:val="0"/>
          <w:numId w:val="9"/>
        </w:numPr>
        <w:tabs>
          <w:tab w:val="clear" w:pos="0"/>
        </w:tabs>
        <w:ind w:left="567" w:hanging="567"/>
        <w:rPr>
          <w:bCs/>
          <w:iCs/>
          <w:szCs w:val="22"/>
          <w:lang w:val="sl-SI"/>
        </w:rPr>
      </w:pPr>
      <w:r w:rsidRPr="00EE1689">
        <w:rPr>
          <w:lang w:val="sl-SI"/>
        </w:rPr>
        <w:t>podpira prizadevanja Komisije za večjo</w:t>
      </w:r>
      <w:r w:rsidRPr="00EE1689">
        <w:rPr>
          <w:b/>
          <w:lang w:val="sl-SI"/>
        </w:rPr>
        <w:t xml:space="preserve"> učinkovitost in predvidljivost pravil o varstvu konkurence</w:t>
      </w:r>
      <w:r w:rsidRPr="00EE1689">
        <w:rPr>
          <w:lang w:val="sl-SI"/>
        </w:rPr>
        <w:t>, vključno z novimi smernicami o izključevalnih zlorabah prevladujočega položaja, posodobljenim obvestilom o opredelitvi upoštevnega trga ter izboljšanimi orodji za ocenjevanje učinkov na blaginjo potrošnikov;</w:t>
      </w:r>
    </w:p>
    <w:p w14:paraId="42E095EE" w14:textId="6C60E69E" w:rsidR="007C6480" w:rsidRPr="00EE1689" w:rsidRDefault="00EA79CE" w:rsidP="00EE1689">
      <w:pPr>
        <w:widowControl w:val="0"/>
        <w:numPr>
          <w:ilvl w:val="0"/>
          <w:numId w:val="9"/>
        </w:numPr>
        <w:tabs>
          <w:tab w:val="clear" w:pos="0"/>
        </w:tabs>
        <w:ind w:left="567" w:hanging="567"/>
        <w:rPr>
          <w:bCs/>
          <w:iCs/>
          <w:szCs w:val="22"/>
          <w:lang w:val="sl-SI"/>
        </w:rPr>
      </w:pPr>
      <w:r w:rsidRPr="00EE1689">
        <w:rPr>
          <w:lang w:val="sl-SI"/>
        </w:rPr>
        <w:t xml:space="preserve">poudarja, da je treba obravnavati izzive v zvezi s konkurenco na </w:t>
      </w:r>
      <w:r w:rsidRPr="00EE1689">
        <w:rPr>
          <w:b/>
          <w:lang w:val="sl-SI"/>
        </w:rPr>
        <w:t>digitalnih trgih</w:t>
      </w:r>
      <w:r w:rsidRPr="00EE1689">
        <w:rPr>
          <w:lang w:val="sl-SI"/>
        </w:rPr>
        <w:t>, ter spodbuja Komisijo, naj glede na strukturno prevlado in ovire za vstop, ki so značilne za poslovne modele platform, še naprej krepi izvrševanje tako na podlagi tradicionalnih pravil o varstvu konkurence kot v okviru akta o digitalnih trgih;</w:t>
      </w:r>
    </w:p>
    <w:p w14:paraId="5C7C1C6E" w14:textId="373CAC42" w:rsidR="00EA79CE" w:rsidRPr="00EE1689" w:rsidRDefault="00EA79CE" w:rsidP="00EE1689">
      <w:pPr>
        <w:widowControl w:val="0"/>
        <w:numPr>
          <w:ilvl w:val="0"/>
          <w:numId w:val="9"/>
        </w:numPr>
        <w:tabs>
          <w:tab w:val="clear" w:pos="0"/>
        </w:tabs>
        <w:ind w:left="567" w:hanging="567"/>
        <w:rPr>
          <w:bCs/>
          <w:iCs/>
          <w:szCs w:val="22"/>
          <w:lang w:val="sl-SI"/>
        </w:rPr>
      </w:pPr>
      <w:r w:rsidRPr="00EE1689">
        <w:rPr>
          <w:lang w:val="sl-SI"/>
        </w:rPr>
        <w:t xml:space="preserve">poziva k </w:t>
      </w:r>
      <w:r w:rsidRPr="00EE1689">
        <w:rPr>
          <w:b/>
          <w:lang w:val="sl-SI"/>
        </w:rPr>
        <w:t>strožjemu nadzoru nad združitvami</w:t>
      </w:r>
      <w:r w:rsidRPr="00EE1689">
        <w:rPr>
          <w:lang w:val="sl-SI"/>
        </w:rPr>
        <w:t>, vključno z okvirom za natančno pregledovanje prevzemov pod ceno, ki lahko škodijo konkurenci (t. i. plenilski prevzemi), in poziva, naj se pri ocenjevanju združitev bolj upoštevajo</w:t>
      </w:r>
      <w:r w:rsidRPr="00EE1689">
        <w:rPr>
          <w:b/>
          <w:lang w:val="sl-SI"/>
        </w:rPr>
        <w:t xml:space="preserve"> učinki na trg dela in </w:t>
      </w:r>
      <w:r w:rsidRPr="00EE1689">
        <w:rPr>
          <w:lang w:val="sl-SI"/>
        </w:rPr>
        <w:t xml:space="preserve">dinamika </w:t>
      </w:r>
      <w:r w:rsidRPr="00EE1689">
        <w:rPr>
          <w:b/>
          <w:lang w:val="sl-SI"/>
        </w:rPr>
        <w:t>inovacij</w:t>
      </w:r>
      <w:r w:rsidRPr="00EE1689">
        <w:rPr>
          <w:lang w:val="sl-SI"/>
        </w:rPr>
        <w:t>;</w:t>
      </w:r>
    </w:p>
    <w:p w14:paraId="2DA92FB4" w14:textId="1A7E44A2" w:rsidR="00EA79CE" w:rsidRPr="00EE1689" w:rsidRDefault="00EA79CE" w:rsidP="00EE1689">
      <w:pPr>
        <w:widowControl w:val="0"/>
        <w:numPr>
          <w:ilvl w:val="0"/>
          <w:numId w:val="9"/>
        </w:numPr>
        <w:tabs>
          <w:tab w:val="clear" w:pos="0"/>
        </w:tabs>
        <w:ind w:left="567" w:hanging="567"/>
        <w:rPr>
          <w:bCs/>
          <w:iCs/>
          <w:szCs w:val="22"/>
          <w:lang w:val="sl-SI"/>
        </w:rPr>
      </w:pPr>
      <w:r w:rsidRPr="00EE1689">
        <w:rPr>
          <w:lang w:val="sl-SI"/>
        </w:rPr>
        <w:t xml:space="preserve">poudarja, da je treba s </w:t>
      </w:r>
      <w:r w:rsidRPr="00EE1689">
        <w:rPr>
          <w:b/>
          <w:lang w:val="sl-SI"/>
        </w:rPr>
        <w:t>pravili o državni pomoči</w:t>
      </w:r>
      <w:r w:rsidRPr="00EE1689">
        <w:rPr>
          <w:lang w:val="sl-SI"/>
        </w:rPr>
        <w:t xml:space="preserve">, zlasti novim okvirom za državno pomoč v okviru dogovora o čisti industriji (CISAF) in pomembnimi projekti skupnega evropskega interesa, spodbujati </w:t>
      </w:r>
      <w:r w:rsidRPr="00EE1689">
        <w:rPr>
          <w:b/>
          <w:lang w:val="sl-SI"/>
        </w:rPr>
        <w:t>čezmejno udeležbo</w:t>
      </w:r>
      <w:r w:rsidRPr="00EE1689">
        <w:rPr>
          <w:lang w:val="sl-SI"/>
        </w:rPr>
        <w:t xml:space="preserve">, </w:t>
      </w:r>
      <w:r w:rsidRPr="00EE1689">
        <w:rPr>
          <w:b/>
          <w:lang w:val="sl-SI"/>
        </w:rPr>
        <w:t>zmanjšati razdrobljenost</w:t>
      </w:r>
      <w:r w:rsidRPr="00EE1689">
        <w:rPr>
          <w:lang w:val="sl-SI"/>
        </w:rPr>
        <w:t xml:space="preserve"> in </w:t>
      </w:r>
      <w:r w:rsidRPr="00EE1689">
        <w:rPr>
          <w:b/>
          <w:lang w:val="sl-SI"/>
        </w:rPr>
        <w:t>podpreti strateške naložbe</w:t>
      </w:r>
      <w:r w:rsidRPr="00EE1689">
        <w:rPr>
          <w:lang w:val="sl-SI"/>
        </w:rPr>
        <w:t>, ki so bistvene za uresničitev dogovora o čisti industriji, hkrati pa omogočati kohezijo in enake konkurenčne pogoje med državami članicami.</w:t>
      </w:r>
    </w:p>
    <w:p w14:paraId="3CE49DCF" w14:textId="77777777" w:rsidR="007C6480" w:rsidRPr="00EE1689" w:rsidRDefault="007C6480"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387049D4" w14:textId="77777777" w:rsidTr="00827140">
        <w:tc>
          <w:tcPr>
            <w:tcW w:w="974" w:type="pct"/>
          </w:tcPr>
          <w:p w14:paraId="2986D994" w14:textId="77777777" w:rsidR="007C6480" w:rsidRPr="00EE1689" w:rsidRDefault="007C6480" w:rsidP="00EE1689">
            <w:pPr>
              <w:rPr>
                <w:lang w:val="sl-SI"/>
              </w:rPr>
            </w:pPr>
            <w:r w:rsidRPr="00EE1689">
              <w:rPr>
                <w:b/>
                <w:i/>
                <w:szCs w:val="22"/>
                <w:lang w:val="sl-SI"/>
              </w:rPr>
              <w:t>Kontaktna oseba</w:t>
            </w:r>
          </w:p>
        </w:tc>
        <w:tc>
          <w:tcPr>
            <w:tcW w:w="4026" w:type="pct"/>
          </w:tcPr>
          <w:p w14:paraId="3555D244" w14:textId="6FBEDDC8" w:rsidR="007C6480" w:rsidRPr="00EE1689" w:rsidRDefault="00EA79CE" w:rsidP="00EE1689">
            <w:pPr>
              <w:rPr>
                <w:i/>
                <w:lang w:val="sl-SI"/>
              </w:rPr>
            </w:pPr>
            <w:r w:rsidRPr="00EE1689">
              <w:rPr>
                <w:i/>
                <w:lang w:val="sl-SI"/>
              </w:rPr>
              <w:t>Silvia Staffa</w:t>
            </w:r>
          </w:p>
        </w:tc>
      </w:tr>
      <w:tr w:rsidR="007C6480" w:rsidRPr="00EE1689" w14:paraId="0D5BAD53" w14:textId="77777777" w:rsidTr="00827140">
        <w:tc>
          <w:tcPr>
            <w:tcW w:w="974" w:type="pct"/>
          </w:tcPr>
          <w:p w14:paraId="46CD1CA9" w14:textId="77777777" w:rsidR="007C6480" w:rsidRPr="00EE1689" w:rsidRDefault="007C6480" w:rsidP="00EE1689">
            <w:pPr>
              <w:rPr>
                <w:lang w:val="sl-SI"/>
              </w:rPr>
            </w:pPr>
            <w:r w:rsidRPr="00EE1689">
              <w:rPr>
                <w:i/>
                <w:szCs w:val="22"/>
                <w:lang w:val="sl-SI"/>
              </w:rPr>
              <w:t>Telefon</w:t>
            </w:r>
          </w:p>
        </w:tc>
        <w:tc>
          <w:tcPr>
            <w:tcW w:w="4026" w:type="pct"/>
          </w:tcPr>
          <w:p w14:paraId="45D166A5" w14:textId="520F9D95" w:rsidR="007C6480" w:rsidRPr="00EE1689" w:rsidRDefault="007C6480" w:rsidP="00EE1689">
            <w:pPr>
              <w:rPr>
                <w:lang w:val="sl-SI"/>
              </w:rPr>
            </w:pPr>
            <w:r w:rsidRPr="00EE1689">
              <w:rPr>
                <w:i/>
                <w:szCs w:val="22"/>
                <w:lang w:val="sl-SI"/>
              </w:rPr>
              <w:t>+32 2 </w:t>
            </w:r>
            <w:r w:rsidR="00EA79CE" w:rsidRPr="00EE1689">
              <w:rPr>
                <w:i/>
                <w:szCs w:val="22"/>
                <w:lang w:val="sl-SI"/>
              </w:rPr>
              <w:t>546 8378</w:t>
            </w:r>
          </w:p>
        </w:tc>
      </w:tr>
      <w:tr w:rsidR="007C6480" w:rsidRPr="00EE1689" w14:paraId="631BE3BB" w14:textId="77777777" w:rsidTr="00827140">
        <w:tc>
          <w:tcPr>
            <w:tcW w:w="974" w:type="pct"/>
          </w:tcPr>
          <w:p w14:paraId="1114F36A" w14:textId="77777777" w:rsidR="007C6480" w:rsidRPr="00EE1689" w:rsidRDefault="007C6480" w:rsidP="00EE1689">
            <w:pPr>
              <w:rPr>
                <w:lang w:val="sl-SI"/>
              </w:rPr>
            </w:pPr>
            <w:r w:rsidRPr="00EE1689">
              <w:rPr>
                <w:i/>
                <w:szCs w:val="22"/>
                <w:lang w:val="sl-SI"/>
              </w:rPr>
              <w:t>E-naslov</w:t>
            </w:r>
          </w:p>
        </w:tc>
        <w:tc>
          <w:tcPr>
            <w:tcW w:w="4026" w:type="pct"/>
          </w:tcPr>
          <w:p w14:paraId="6BCAEE11" w14:textId="264F09C2" w:rsidR="007C6480" w:rsidRPr="00EE1689" w:rsidRDefault="00FA3430" w:rsidP="00EE1689">
            <w:pPr>
              <w:rPr>
                <w:i/>
                <w:lang w:val="sl-SI"/>
              </w:rPr>
            </w:pPr>
            <w:hyperlink r:id="rId30" w:history="1">
              <w:r w:rsidR="00EA79CE" w:rsidRPr="00EE1689">
                <w:rPr>
                  <w:rStyle w:val="Hyperlink"/>
                  <w:i/>
                  <w:lang w:val="sl-SI"/>
                </w:rPr>
                <w:t>Silvia.Staffa@eesc.europa.eu</w:t>
              </w:r>
            </w:hyperlink>
          </w:p>
        </w:tc>
      </w:tr>
    </w:tbl>
    <w:p w14:paraId="3FFC69F4" w14:textId="77777777" w:rsidR="007C6480" w:rsidRPr="00EE1689" w:rsidRDefault="007C6480" w:rsidP="00EE1689">
      <w:pPr>
        <w:rPr>
          <w:lang w:val="sl-SI"/>
        </w:rPr>
      </w:pPr>
    </w:p>
    <w:p w14:paraId="743DFA35" w14:textId="47029564" w:rsidR="007C6480" w:rsidRPr="00EE1689" w:rsidRDefault="00FA3430" w:rsidP="000619F4">
      <w:pPr>
        <w:keepNext/>
        <w:keepLines/>
        <w:numPr>
          <w:ilvl w:val="0"/>
          <w:numId w:val="7"/>
        </w:numPr>
        <w:tabs>
          <w:tab w:val="clear" w:pos="0"/>
        </w:tabs>
        <w:ind w:left="567" w:hanging="567"/>
        <w:rPr>
          <w:sz w:val="28"/>
          <w:szCs w:val="22"/>
          <w:lang w:val="sl-SI"/>
        </w:rPr>
      </w:pPr>
      <w:hyperlink r:id="rId31" w:history="1">
        <w:r w:rsidR="001F7358" w:rsidRPr="00EE1689">
          <w:rPr>
            <w:rStyle w:val="Hyperlink"/>
            <w:b/>
            <w:i/>
            <w:sz w:val="28"/>
            <w:szCs w:val="22"/>
            <w:lang w:val="sl-SI"/>
          </w:rPr>
          <w:t>Sklad za konkurenčnost</w:t>
        </w:r>
      </w:hyperlink>
    </w:p>
    <w:p w14:paraId="08B4AB09" w14:textId="77777777" w:rsidR="007C6480" w:rsidRPr="00EE1689" w:rsidRDefault="007C6480" w:rsidP="000619F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0AEFBCAD" w14:textId="77777777" w:rsidTr="00827140">
        <w:tc>
          <w:tcPr>
            <w:tcW w:w="974" w:type="pct"/>
          </w:tcPr>
          <w:p w14:paraId="16121B6A" w14:textId="513DADAA" w:rsidR="007C6480" w:rsidRPr="00EE1689" w:rsidRDefault="007C6480" w:rsidP="000619F4">
            <w:pPr>
              <w:keepNext/>
              <w:keepLines/>
              <w:rPr>
                <w:b/>
                <w:szCs w:val="22"/>
                <w:lang w:val="sl-SI"/>
              </w:rPr>
            </w:pPr>
            <w:r w:rsidRPr="00EE1689">
              <w:rPr>
                <w:b/>
                <w:szCs w:val="22"/>
                <w:lang w:val="sl-SI"/>
              </w:rPr>
              <w:t>Poročeval</w:t>
            </w:r>
            <w:r w:rsidR="001F7358" w:rsidRPr="00EE1689">
              <w:rPr>
                <w:b/>
                <w:szCs w:val="22"/>
                <w:lang w:val="sl-SI"/>
              </w:rPr>
              <w:t>ka</w:t>
            </w:r>
          </w:p>
        </w:tc>
        <w:tc>
          <w:tcPr>
            <w:tcW w:w="4026" w:type="pct"/>
          </w:tcPr>
          <w:p w14:paraId="4FB26C40" w14:textId="37256C11" w:rsidR="007C6480" w:rsidRPr="00EE1689" w:rsidRDefault="001F7358" w:rsidP="000619F4">
            <w:pPr>
              <w:keepNext/>
              <w:keepLines/>
              <w:rPr>
                <w:szCs w:val="22"/>
                <w:lang w:val="sl-SI"/>
              </w:rPr>
            </w:pPr>
            <w:r w:rsidRPr="00EE1689">
              <w:rPr>
                <w:szCs w:val="22"/>
                <w:lang w:val="sl-SI"/>
              </w:rPr>
              <w:t>Milena ANGELOVA (skupina delodajalcev – BG)</w:t>
            </w:r>
          </w:p>
        </w:tc>
      </w:tr>
      <w:tr w:rsidR="007C6480" w:rsidRPr="00EE1689" w14:paraId="501473D6" w14:textId="77777777" w:rsidTr="00827140">
        <w:tc>
          <w:tcPr>
            <w:tcW w:w="5000" w:type="pct"/>
            <w:gridSpan w:val="2"/>
          </w:tcPr>
          <w:p w14:paraId="35B3DC3A" w14:textId="77777777" w:rsidR="007C6480" w:rsidRPr="00EE1689" w:rsidRDefault="007C6480" w:rsidP="000619F4">
            <w:pPr>
              <w:keepNext/>
              <w:keepLines/>
              <w:rPr>
                <w:sz w:val="16"/>
                <w:szCs w:val="22"/>
                <w:lang w:val="sl-SI"/>
              </w:rPr>
            </w:pPr>
          </w:p>
        </w:tc>
      </w:tr>
      <w:tr w:rsidR="007C6480" w:rsidRPr="00EE1689" w14:paraId="4A4BBDD6" w14:textId="77777777" w:rsidTr="00827140">
        <w:tc>
          <w:tcPr>
            <w:tcW w:w="974" w:type="pct"/>
            <w:vMerge w:val="restart"/>
          </w:tcPr>
          <w:p w14:paraId="3BACBF9F" w14:textId="3FF60D74" w:rsidR="007C6480" w:rsidRPr="00EE1689" w:rsidRDefault="007C6480" w:rsidP="000619F4">
            <w:pPr>
              <w:keepNext/>
              <w:keepLines/>
              <w:rPr>
                <w:b/>
                <w:szCs w:val="22"/>
                <w:lang w:val="sl-SI"/>
              </w:rPr>
            </w:pPr>
            <w:r w:rsidRPr="00EE1689">
              <w:rPr>
                <w:b/>
                <w:szCs w:val="22"/>
                <w:lang w:val="sl-SI"/>
              </w:rPr>
              <w:t>Referenčn</w:t>
            </w:r>
            <w:r w:rsidR="001F7358" w:rsidRPr="00EE1689">
              <w:rPr>
                <w:b/>
                <w:szCs w:val="22"/>
                <w:lang w:val="sl-SI"/>
              </w:rPr>
              <w:t>a</w:t>
            </w:r>
            <w:r w:rsidRPr="00EE1689">
              <w:rPr>
                <w:b/>
                <w:szCs w:val="22"/>
                <w:lang w:val="sl-SI"/>
              </w:rPr>
              <w:t xml:space="preserve"> dokument</w:t>
            </w:r>
            <w:r w:rsidR="001F7358" w:rsidRPr="00EE1689">
              <w:rPr>
                <w:b/>
                <w:szCs w:val="22"/>
                <w:lang w:val="sl-SI"/>
              </w:rPr>
              <w:t>a</w:t>
            </w:r>
          </w:p>
        </w:tc>
        <w:tc>
          <w:tcPr>
            <w:tcW w:w="4026" w:type="pct"/>
          </w:tcPr>
          <w:p w14:paraId="6D3FF94C" w14:textId="01E271EE" w:rsidR="007C6480" w:rsidRPr="00EE1689" w:rsidRDefault="001F7358" w:rsidP="000619F4">
            <w:pPr>
              <w:keepNext/>
              <w:keepLines/>
              <w:rPr>
                <w:szCs w:val="22"/>
                <w:lang w:val="sl-SI"/>
              </w:rPr>
            </w:pPr>
            <w:r w:rsidRPr="00EE1689">
              <w:rPr>
                <w:szCs w:val="22"/>
                <w:lang w:val="sl-SI"/>
              </w:rPr>
              <w:t>COM(2025) 555 final</w:t>
            </w:r>
          </w:p>
        </w:tc>
      </w:tr>
      <w:tr w:rsidR="007C6480" w:rsidRPr="00EE1689" w14:paraId="4970988F" w14:textId="77777777" w:rsidTr="00827140">
        <w:tc>
          <w:tcPr>
            <w:tcW w:w="974" w:type="pct"/>
            <w:vMerge/>
          </w:tcPr>
          <w:p w14:paraId="56BEA3DE" w14:textId="77777777" w:rsidR="007C6480" w:rsidRPr="00EE1689" w:rsidRDefault="007C6480" w:rsidP="000619F4">
            <w:pPr>
              <w:keepNext/>
              <w:keepLines/>
              <w:tabs>
                <w:tab w:val="center" w:pos="284"/>
              </w:tabs>
              <w:ind w:left="266" w:hanging="266"/>
              <w:rPr>
                <w:b/>
                <w:szCs w:val="22"/>
                <w:lang w:val="sl-SI"/>
              </w:rPr>
            </w:pPr>
          </w:p>
        </w:tc>
        <w:tc>
          <w:tcPr>
            <w:tcW w:w="4026" w:type="pct"/>
          </w:tcPr>
          <w:p w14:paraId="6AA14F6A" w14:textId="6F810D47" w:rsidR="007C6480" w:rsidRPr="00EE1689" w:rsidRDefault="001F7358" w:rsidP="000619F4">
            <w:pPr>
              <w:keepNext/>
              <w:keepLines/>
              <w:rPr>
                <w:szCs w:val="22"/>
                <w:lang w:val="sl-SI"/>
              </w:rPr>
            </w:pPr>
            <w:r w:rsidRPr="00EE1689">
              <w:rPr>
                <w:szCs w:val="22"/>
                <w:lang w:val="sl-SI"/>
              </w:rPr>
              <w:t>EESC-2025-02576-00-00-AC</w:t>
            </w:r>
          </w:p>
        </w:tc>
      </w:tr>
    </w:tbl>
    <w:p w14:paraId="7F9973DF" w14:textId="77777777" w:rsidR="007C6480" w:rsidRPr="00EE1689" w:rsidRDefault="007C6480" w:rsidP="000619F4">
      <w:pPr>
        <w:keepNext/>
        <w:keepLines/>
        <w:rPr>
          <w:szCs w:val="22"/>
          <w:lang w:val="sl-SI"/>
        </w:rPr>
      </w:pPr>
    </w:p>
    <w:p w14:paraId="3CFF2E9E" w14:textId="77777777" w:rsidR="007C6480" w:rsidRPr="00EE1689" w:rsidRDefault="007C6480" w:rsidP="000619F4">
      <w:pPr>
        <w:keepNext/>
        <w:keepLines/>
        <w:rPr>
          <w:lang w:val="sl-SI"/>
        </w:rPr>
      </w:pPr>
      <w:r w:rsidRPr="00EE1689">
        <w:rPr>
          <w:b/>
          <w:lang w:val="sl-SI"/>
        </w:rPr>
        <w:t>Glavne točke</w:t>
      </w:r>
    </w:p>
    <w:p w14:paraId="24AC3FF0" w14:textId="77777777" w:rsidR="007C6480" w:rsidRPr="00EE1689" w:rsidRDefault="007C6480" w:rsidP="000619F4">
      <w:pPr>
        <w:keepNext/>
        <w:keepLines/>
        <w:rPr>
          <w:szCs w:val="22"/>
          <w:lang w:val="sl-SI"/>
        </w:rPr>
      </w:pPr>
    </w:p>
    <w:p w14:paraId="7F1D9A2C" w14:textId="77777777" w:rsidR="007C6480" w:rsidRPr="00EE1689" w:rsidRDefault="007C6480" w:rsidP="000619F4">
      <w:pPr>
        <w:keepNext/>
        <w:keepLines/>
        <w:rPr>
          <w:bCs/>
          <w:iCs/>
          <w:szCs w:val="22"/>
          <w:lang w:val="sl-SI"/>
        </w:rPr>
      </w:pPr>
      <w:r w:rsidRPr="00EE1689">
        <w:rPr>
          <w:bCs/>
          <w:iCs/>
          <w:szCs w:val="22"/>
          <w:lang w:val="sl-SI"/>
        </w:rPr>
        <w:t>EESO:</w:t>
      </w:r>
    </w:p>
    <w:p w14:paraId="2DB08ED5" w14:textId="77777777" w:rsidR="007C6480" w:rsidRPr="00EE1689" w:rsidRDefault="007C6480" w:rsidP="000619F4">
      <w:pPr>
        <w:keepNext/>
        <w:keepLines/>
        <w:rPr>
          <w:szCs w:val="22"/>
          <w:lang w:val="sl-SI"/>
        </w:rPr>
      </w:pPr>
    </w:p>
    <w:p w14:paraId="69645D2A" w14:textId="2A30B524" w:rsidR="007C6480" w:rsidRPr="00EE1689" w:rsidRDefault="001F7358" w:rsidP="000619F4">
      <w:pPr>
        <w:keepNext/>
        <w:keepLines/>
        <w:widowControl w:val="0"/>
        <w:numPr>
          <w:ilvl w:val="0"/>
          <w:numId w:val="9"/>
        </w:numPr>
        <w:tabs>
          <w:tab w:val="clear" w:pos="0"/>
        </w:tabs>
        <w:ind w:left="567" w:hanging="567"/>
        <w:rPr>
          <w:bCs/>
          <w:iCs/>
          <w:szCs w:val="22"/>
          <w:lang w:val="sl-SI"/>
        </w:rPr>
      </w:pPr>
      <w:r w:rsidRPr="00EE1689">
        <w:rPr>
          <w:lang w:val="sl-SI"/>
        </w:rPr>
        <w:t xml:space="preserve">podpira oblikovanje Evropskega sklada za konkurenčnost (ESK) kot temelja naslednjega proračuna EU in gonilne sile inovacij, odpornosti in varnosti, pri čemer poudarja, da mora </w:t>
      </w:r>
      <w:r w:rsidRPr="00EE1689">
        <w:rPr>
          <w:b/>
          <w:lang w:val="sl-SI"/>
        </w:rPr>
        <w:t>financiranje ostati skladno z načeli trajnostnosti in socialnega tržnega gospodarstva EU</w:t>
      </w:r>
      <w:r w:rsidRPr="00EE1689">
        <w:rPr>
          <w:lang w:val="sl-SI"/>
        </w:rPr>
        <w:t>;</w:t>
      </w:r>
    </w:p>
    <w:p w14:paraId="4A5701A7" w14:textId="4706FE06" w:rsidR="007C6480" w:rsidRPr="00EE1689" w:rsidRDefault="001F7358" w:rsidP="000619F4">
      <w:pPr>
        <w:keepNext/>
        <w:keepLines/>
        <w:widowControl w:val="0"/>
        <w:numPr>
          <w:ilvl w:val="0"/>
          <w:numId w:val="9"/>
        </w:numPr>
        <w:tabs>
          <w:tab w:val="clear" w:pos="0"/>
        </w:tabs>
        <w:ind w:left="567" w:hanging="567"/>
        <w:rPr>
          <w:bCs/>
          <w:iCs/>
          <w:szCs w:val="22"/>
          <w:lang w:val="sl-SI"/>
        </w:rPr>
      </w:pPr>
      <w:r w:rsidRPr="00EE1689">
        <w:rPr>
          <w:lang w:val="sl-SI"/>
        </w:rPr>
        <w:t xml:space="preserve">poziva k </w:t>
      </w:r>
      <w:r w:rsidRPr="00EE1689">
        <w:rPr>
          <w:b/>
          <w:lang w:val="sl-SI"/>
        </w:rPr>
        <w:t>izboru projektov na ravni EU in na podlagi dosežkov</w:t>
      </w:r>
      <w:r w:rsidRPr="00EE1689">
        <w:rPr>
          <w:lang w:val="sl-SI"/>
        </w:rPr>
        <w:t xml:space="preserve"> ter jasnih meril, kot so odličnost, usmerjenost v prihodnost in gospodarski potencial; za </w:t>
      </w:r>
      <w:r w:rsidRPr="00EE1689">
        <w:rPr>
          <w:b/>
          <w:lang w:val="sl-SI"/>
        </w:rPr>
        <w:t>preprečitev nacionalnih omejitev</w:t>
      </w:r>
      <w:r w:rsidRPr="00EE1689">
        <w:rPr>
          <w:lang w:val="sl-SI"/>
        </w:rPr>
        <w:t xml:space="preserve"> poziva k preglednim postopkom, enakemu dostopu vlagateljev v vseh državah članicah ter aktivnemu vključevanju socialnih partnerjev in civilne družbe v upravljanje;</w:t>
      </w:r>
    </w:p>
    <w:p w14:paraId="06E74501" w14:textId="74C2943D" w:rsidR="007C6480" w:rsidRPr="00EE1689" w:rsidRDefault="001F7358" w:rsidP="00EE1689">
      <w:pPr>
        <w:widowControl w:val="0"/>
        <w:numPr>
          <w:ilvl w:val="0"/>
          <w:numId w:val="9"/>
        </w:numPr>
        <w:tabs>
          <w:tab w:val="clear" w:pos="0"/>
        </w:tabs>
        <w:ind w:left="567" w:hanging="567"/>
        <w:rPr>
          <w:bCs/>
          <w:iCs/>
          <w:szCs w:val="22"/>
          <w:lang w:val="sl-SI"/>
        </w:rPr>
      </w:pPr>
      <w:r w:rsidRPr="00EE1689">
        <w:rPr>
          <w:b/>
          <w:lang w:val="sl-SI"/>
        </w:rPr>
        <w:t xml:space="preserve">priporoča uvedbo </w:t>
      </w:r>
      <w:r w:rsidRPr="00EE1689">
        <w:rPr>
          <w:b/>
          <w:bCs/>
          <w:lang w:val="sl-SI"/>
        </w:rPr>
        <w:t>„tržnega referenduma“</w:t>
      </w:r>
      <w:r w:rsidRPr="00EE1689">
        <w:rPr>
          <w:lang w:val="sl-SI"/>
        </w:rPr>
        <w:t>, tj. obveznosti vlagatelja, da za projekte, za katere želi prejeti obsežnejša sredstva EU, kot so pomembni projekti skupnega evropskega interesa ali druge večje naložbe, najprej mobilizira del zasebnega kapitala. Takšen tržni mehanizem bi pomagal potrjevati kakovost projektov, zmanjšati politične odločitve o financiranju in okrepiti povezavo med javno podporo ter resnično konkurenčnostjo;</w:t>
      </w:r>
    </w:p>
    <w:p w14:paraId="67BDE464" w14:textId="709068ED" w:rsidR="001F7358" w:rsidRPr="00EE1689" w:rsidRDefault="001F7358" w:rsidP="00EE1689">
      <w:pPr>
        <w:widowControl w:val="0"/>
        <w:numPr>
          <w:ilvl w:val="0"/>
          <w:numId w:val="9"/>
        </w:numPr>
        <w:tabs>
          <w:tab w:val="clear" w:pos="0"/>
        </w:tabs>
        <w:ind w:left="567" w:hanging="567"/>
        <w:rPr>
          <w:bCs/>
          <w:iCs/>
          <w:szCs w:val="22"/>
          <w:lang w:val="sl-SI"/>
        </w:rPr>
      </w:pPr>
      <w:r w:rsidRPr="00EE1689">
        <w:rPr>
          <w:b/>
          <w:lang w:val="sl-SI"/>
        </w:rPr>
        <w:t>poudarja, da so potrebna trdna orodja za ocenjevanje in preprečevanje tveganja</w:t>
      </w:r>
      <w:r w:rsidRPr="00EE1689">
        <w:rPr>
          <w:lang w:val="sl-SI"/>
        </w:rPr>
        <w:t>, s katerimi bi poskrbeli, da bodo viri ESK namenjeni zgolj projektom, ki resnično povečujejo konkurenčnost Evrope, ter se izognili ponavljanju preteklih pomanjkljivosti v programih financiranja EU;</w:t>
      </w:r>
    </w:p>
    <w:p w14:paraId="6F16499A" w14:textId="7859057E" w:rsidR="001F7358" w:rsidRPr="00EE1689" w:rsidRDefault="001F7358" w:rsidP="00EE1689">
      <w:pPr>
        <w:widowControl w:val="0"/>
        <w:numPr>
          <w:ilvl w:val="0"/>
          <w:numId w:val="9"/>
        </w:numPr>
        <w:tabs>
          <w:tab w:val="clear" w:pos="0"/>
        </w:tabs>
        <w:ind w:left="567" w:hanging="567"/>
        <w:rPr>
          <w:bCs/>
          <w:iCs/>
          <w:szCs w:val="22"/>
          <w:lang w:val="sl-SI"/>
        </w:rPr>
      </w:pPr>
      <w:r w:rsidRPr="00EE1689">
        <w:rPr>
          <w:lang w:val="sl-SI"/>
        </w:rPr>
        <w:t xml:space="preserve">poudarja, da je pomembno </w:t>
      </w:r>
      <w:r w:rsidRPr="00EE1689">
        <w:rPr>
          <w:b/>
          <w:lang w:val="sl-SI"/>
        </w:rPr>
        <w:t>podpirati MSP, regionalne in čezmejne inovacijske ekosisteme, naložbe v spretnosti in dostojno delo</w:t>
      </w:r>
      <w:r w:rsidRPr="00EE1689">
        <w:rPr>
          <w:lang w:val="sl-SI"/>
        </w:rPr>
        <w:t>, hkrati pa poenostaviti postopke in zagotoviti pregledno, predvidljivo in vključujoče upravljanje.</w:t>
      </w:r>
    </w:p>
    <w:p w14:paraId="714EE8F7" w14:textId="77777777" w:rsidR="007C6480" w:rsidRPr="00EE1689" w:rsidRDefault="007C6480"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04F3D4AE" w14:textId="77777777" w:rsidTr="00827140">
        <w:tc>
          <w:tcPr>
            <w:tcW w:w="974" w:type="pct"/>
          </w:tcPr>
          <w:p w14:paraId="7B4C2F02" w14:textId="77777777" w:rsidR="007C6480" w:rsidRPr="00EE1689" w:rsidRDefault="007C6480" w:rsidP="00EE1689">
            <w:pPr>
              <w:rPr>
                <w:lang w:val="sl-SI"/>
              </w:rPr>
            </w:pPr>
            <w:r w:rsidRPr="00EE1689">
              <w:rPr>
                <w:b/>
                <w:i/>
                <w:szCs w:val="22"/>
                <w:lang w:val="sl-SI"/>
              </w:rPr>
              <w:t>Kontaktna oseba</w:t>
            </w:r>
          </w:p>
        </w:tc>
        <w:tc>
          <w:tcPr>
            <w:tcW w:w="4026" w:type="pct"/>
          </w:tcPr>
          <w:p w14:paraId="34B4537E" w14:textId="2DB8B357" w:rsidR="007C6480" w:rsidRPr="00EE1689" w:rsidRDefault="001F7358" w:rsidP="00EE1689">
            <w:pPr>
              <w:rPr>
                <w:i/>
                <w:lang w:val="sl-SI"/>
              </w:rPr>
            </w:pPr>
            <w:r w:rsidRPr="00EE1689">
              <w:rPr>
                <w:i/>
                <w:lang w:val="sl-SI"/>
              </w:rPr>
              <w:t>Silvia Staffa</w:t>
            </w:r>
          </w:p>
        </w:tc>
      </w:tr>
      <w:tr w:rsidR="007C6480" w:rsidRPr="00EE1689" w14:paraId="35F00AF4" w14:textId="77777777" w:rsidTr="00827140">
        <w:tc>
          <w:tcPr>
            <w:tcW w:w="974" w:type="pct"/>
          </w:tcPr>
          <w:p w14:paraId="1932CAC4" w14:textId="77777777" w:rsidR="007C6480" w:rsidRPr="00EE1689" w:rsidRDefault="007C6480" w:rsidP="00EE1689">
            <w:pPr>
              <w:rPr>
                <w:lang w:val="sl-SI"/>
              </w:rPr>
            </w:pPr>
            <w:r w:rsidRPr="00EE1689">
              <w:rPr>
                <w:i/>
                <w:szCs w:val="22"/>
                <w:lang w:val="sl-SI"/>
              </w:rPr>
              <w:t>Telefon</w:t>
            </w:r>
          </w:p>
        </w:tc>
        <w:tc>
          <w:tcPr>
            <w:tcW w:w="4026" w:type="pct"/>
          </w:tcPr>
          <w:p w14:paraId="4C99737B" w14:textId="3A270F51" w:rsidR="007C6480" w:rsidRPr="00EE1689" w:rsidRDefault="007C6480" w:rsidP="00EE1689">
            <w:pPr>
              <w:rPr>
                <w:lang w:val="sl-SI"/>
              </w:rPr>
            </w:pPr>
            <w:r w:rsidRPr="00EE1689">
              <w:rPr>
                <w:i/>
                <w:szCs w:val="22"/>
                <w:lang w:val="sl-SI"/>
              </w:rPr>
              <w:t>+32 2 </w:t>
            </w:r>
            <w:r w:rsidR="001F7358" w:rsidRPr="00EE1689">
              <w:rPr>
                <w:i/>
                <w:szCs w:val="22"/>
                <w:lang w:val="sl-SI"/>
              </w:rPr>
              <w:t>546 8378</w:t>
            </w:r>
          </w:p>
        </w:tc>
      </w:tr>
      <w:tr w:rsidR="007C6480" w:rsidRPr="00EE1689" w14:paraId="3A411CD9" w14:textId="77777777" w:rsidTr="00827140">
        <w:tc>
          <w:tcPr>
            <w:tcW w:w="974" w:type="pct"/>
          </w:tcPr>
          <w:p w14:paraId="54E1013D" w14:textId="77777777" w:rsidR="007C6480" w:rsidRPr="00EE1689" w:rsidRDefault="007C6480" w:rsidP="00EE1689">
            <w:pPr>
              <w:rPr>
                <w:lang w:val="sl-SI"/>
              </w:rPr>
            </w:pPr>
            <w:r w:rsidRPr="00EE1689">
              <w:rPr>
                <w:i/>
                <w:szCs w:val="22"/>
                <w:lang w:val="sl-SI"/>
              </w:rPr>
              <w:t>E-naslov</w:t>
            </w:r>
          </w:p>
        </w:tc>
        <w:tc>
          <w:tcPr>
            <w:tcW w:w="4026" w:type="pct"/>
          </w:tcPr>
          <w:p w14:paraId="56F96FC1" w14:textId="686F480B" w:rsidR="007C6480" w:rsidRPr="00EE1689" w:rsidRDefault="00FA3430" w:rsidP="00EE1689">
            <w:pPr>
              <w:rPr>
                <w:i/>
                <w:lang w:val="sl-SI"/>
              </w:rPr>
            </w:pPr>
            <w:hyperlink r:id="rId32" w:history="1">
              <w:r w:rsidR="001F7358" w:rsidRPr="00EE1689">
                <w:rPr>
                  <w:rStyle w:val="Hyperlink"/>
                  <w:i/>
                  <w:lang w:val="sl-SI"/>
                </w:rPr>
                <w:t>Silvia.Staffa@eesc.europa.eu</w:t>
              </w:r>
            </w:hyperlink>
          </w:p>
        </w:tc>
      </w:tr>
    </w:tbl>
    <w:p w14:paraId="6EFC9396" w14:textId="77777777" w:rsidR="007C6480" w:rsidRPr="00EE1689" w:rsidRDefault="007C6480" w:rsidP="00EE1689">
      <w:pPr>
        <w:rPr>
          <w:lang w:val="sl-SI"/>
        </w:rPr>
      </w:pPr>
    </w:p>
    <w:p w14:paraId="0930F247" w14:textId="3262DC5E" w:rsidR="007C6480" w:rsidRPr="00EE1689" w:rsidRDefault="00FA3430" w:rsidP="000619F4">
      <w:pPr>
        <w:keepNext/>
        <w:keepLines/>
        <w:numPr>
          <w:ilvl w:val="0"/>
          <w:numId w:val="7"/>
        </w:numPr>
        <w:tabs>
          <w:tab w:val="clear" w:pos="0"/>
        </w:tabs>
        <w:ind w:left="567" w:hanging="567"/>
        <w:rPr>
          <w:sz w:val="28"/>
          <w:szCs w:val="22"/>
          <w:lang w:val="sl-SI"/>
        </w:rPr>
      </w:pPr>
      <w:hyperlink r:id="rId33" w:history="1">
        <w:r w:rsidR="000D5A81" w:rsidRPr="00EE1689">
          <w:rPr>
            <w:rStyle w:val="Hyperlink"/>
            <w:b/>
            <w:i/>
            <w:sz w:val="28"/>
            <w:szCs w:val="22"/>
            <w:lang w:val="sl-SI"/>
          </w:rPr>
          <w:t>Pregled evropskega pravnega okvira za javno naročanje</w:t>
        </w:r>
      </w:hyperlink>
    </w:p>
    <w:p w14:paraId="35CB53A1" w14:textId="77777777" w:rsidR="007C6480" w:rsidRPr="00EE1689" w:rsidRDefault="007C6480" w:rsidP="000619F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5E0B2BA0" w14:textId="77777777" w:rsidTr="00827140">
        <w:tc>
          <w:tcPr>
            <w:tcW w:w="974" w:type="pct"/>
          </w:tcPr>
          <w:p w14:paraId="5454060D" w14:textId="77777777" w:rsidR="007C6480" w:rsidRPr="00EE1689" w:rsidRDefault="007C6480" w:rsidP="000619F4">
            <w:pPr>
              <w:keepNext/>
              <w:keepLines/>
              <w:rPr>
                <w:b/>
                <w:szCs w:val="22"/>
                <w:lang w:val="sl-SI"/>
              </w:rPr>
            </w:pPr>
            <w:r w:rsidRPr="00EE1689">
              <w:rPr>
                <w:b/>
                <w:szCs w:val="22"/>
                <w:lang w:val="sl-SI"/>
              </w:rPr>
              <w:t>Poročevalec</w:t>
            </w:r>
          </w:p>
        </w:tc>
        <w:tc>
          <w:tcPr>
            <w:tcW w:w="4026" w:type="pct"/>
          </w:tcPr>
          <w:p w14:paraId="36791443" w14:textId="26ACA2AB" w:rsidR="007C6480" w:rsidRPr="00EE1689" w:rsidRDefault="000D5A81" w:rsidP="000619F4">
            <w:pPr>
              <w:keepNext/>
              <w:keepLines/>
              <w:rPr>
                <w:szCs w:val="22"/>
                <w:lang w:val="sl-SI"/>
              </w:rPr>
            </w:pPr>
            <w:r w:rsidRPr="00EE1689">
              <w:rPr>
                <w:szCs w:val="22"/>
                <w:lang w:val="sl-SI"/>
              </w:rPr>
              <w:t>Philip VON BROCKDORFF (skupina delojemalcev – MT)</w:t>
            </w:r>
          </w:p>
        </w:tc>
      </w:tr>
      <w:tr w:rsidR="007C6480" w:rsidRPr="00EE1689" w14:paraId="0D1C5F2E" w14:textId="77777777" w:rsidTr="00827140">
        <w:tc>
          <w:tcPr>
            <w:tcW w:w="5000" w:type="pct"/>
            <w:gridSpan w:val="2"/>
          </w:tcPr>
          <w:p w14:paraId="0244311A" w14:textId="77777777" w:rsidR="007C6480" w:rsidRPr="00EE1689" w:rsidRDefault="007C6480" w:rsidP="000619F4">
            <w:pPr>
              <w:keepNext/>
              <w:keepLines/>
              <w:rPr>
                <w:sz w:val="16"/>
                <w:szCs w:val="22"/>
                <w:lang w:val="sl-SI"/>
              </w:rPr>
            </w:pPr>
          </w:p>
        </w:tc>
      </w:tr>
      <w:tr w:rsidR="007C6480" w:rsidRPr="00EE1689" w14:paraId="337D8349" w14:textId="77777777" w:rsidTr="00827140">
        <w:tc>
          <w:tcPr>
            <w:tcW w:w="974" w:type="pct"/>
            <w:vMerge w:val="restart"/>
          </w:tcPr>
          <w:p w14:paraId="147C2C0D" w14:textId="77777777" w:rsidR="007C6480" w:rsidRPr="00EE1689" w:rsidRDefault="007C6480" w:rsidP="000619F4">
            <w:pPr>
              <w:keepNext/>
              <w:keepLines/>
              <w:rPr>
                <w:b/>
                <w:szCs w:val="22"/>
                <w:lang w:val="sl-SI"/>
              </w:rPr>
            </w:pPr>
            <w:r w:rsidRPr="00EE1689">
              <w:rPr>
                <w:b/>
                <w:szCs w:val="22"/>
                <w:lang w:val="sl-SI"/>
              </w:rPr>
              <w:t>Referenčni dokument</w:t>
            </w:r>
          </w:p>
        </w:tc>
        <w:tc>
          <w:tcPr>
            <w:tcW w:w="4026" w:type="pct"/>
          </w:tcPr>
          <w:p w14:paraId="7AB2AC00" w14:textId="59115163" w:rsidR="007C6480" w:rsidRPr="00EE1689" w:rsidRDefault="000D5A81" w:rsidP="000619F4">
            <w:pPr>
              <w:keepNext/>
              <w:keepLines/>
              <w:rPr>
                <w:szCs w:val="22"/>
                <w:lang w:val="sl-SI"/>
              </w:rPr>
            </w:pPr>
            <w:r w:rsidRPr="00EE1689">
              <w:rPr>
                <w:szCs w:val="22"/>
                <w:lang w:val="sl-SI"/>
              </w:rPr>
              <w:t xml:space="preserve">raziskovalno mnenje na zaprosilo </w:t>
            </w:r>
            <w:r w:rsidR="00202FC6" w:rsidRPr="00EE1689">
              <w:rPr>
                <w:szCs w:val="22"/>
                <w:lang w:val="sl-SI"/>
              </w:rPr>
              <w:t xml:space="preserve">Evropske </w:t>
            </w:r>
            <w:r w:rsidRPr="00EE1689">
              <w:rPr>
                <w:szCs w:val="22"/>
                <w:lang w:val="sl-SI"/>
              </w:rPr>
              <w:t>komisije</w:t>
            </w:r>
          </w:p>
        </w:tc>
      </w:tr>
      <w:tr w:rsidR="007C6480" w:rsidRPr="00EE1689" w14:paraId="5E5418DF" w14:textId="77777777" w:rsidTr="00827140">
        <w:tc>
          <w:tcPr>
            <w:tcW w:w="974" w:type="pct"/>
            <w:vMerge/>
          </w:tcPr>
          <w:p w14:paraId="71224C60" w14:textId="77777777" w:rsidR="007C6480" w:rsidRPr="00EE1689" w:rsidRDefault="007C6480" w:rsidP="000619F4">
            <w:pPr>
              <w:keepNext/>
              <w:keepLines/>
              <w:tabs>
                <w:tab w:val="center" w:pos="284"/>
              </w:tabs>
              <w:ind w:left="266" w:hanging="266"/>
              <w:rPr>
                <w:b/>
                <w:szCs w:val="22"/>
                <w:lang w:val="sl-SI"/>
              </w:rPr>
            </w:pPr>
          </w:p>
        </w:tc>
        <w:tc>
          <w:tcPr>
            <w:tcW w:w="4026" w:type="pct"/>
          </w:tcPr>
          <w:p w14:paraId="4BD8FC4E" w14:textId="3DD812A1" w:rsidR="007C6480" w:rsidRPr="00EE1689" w:rsidRDefault="000D5A81" w:rsidP="000619F4">
            <w:pPr>
              <w:keepNext/>
              <w:keepLines/>
              <w:rPr>
                <w:szCs w:val="22"/>
                <w:lang w:val="sl-SI"/>
              </w:rPr>
            </w:pPr>
            <w:r w:rsidRPr="00EE1689">
              <w:rPr>
                <w:szCs w:val="22"/>
                <w:lang w:val="sl-SI"/>
              </w:rPr>
              <w:t>EESC-2025-01402-00-00-AC</w:t>
            </w:r>
          </w:p>
        </w:tc>
      </w:tr>
    </w:tbl>
    <w:p w14:paraId="5B4B095D" w14:textId="77777777" w:rsidR="007C6480" w:rsidRPr="00EE1689" w:rsidRDefault="007C6480" w:rsidP="000619F4">
      <w:pPr>
        <w:keepNext/>
        <w:keepLines/>
        <w:rPr>
          <w:szCs w:val="22"/>
          <w:lang w:val="sl-SI"/>
        </w:rPr>
      </w:pPr>
    </w:p>
    <w:p w14:paraId="68B31344" w14:textId="77777777" w:rsidR="007C6480" w:rsidRPr="00EE1689" w:rsidRDefault="007C6480" w:rsidP="000619F4">
      <w:pPr>
        <w:keepNext/>
        <w:keepLines/>
        <w:rPr>
          <w:lang w:val="sl-SI"/>
        </w:rPr>
      </w:pPr>
      <w:r w:rsidRPr="00EE1689">
        <w:rPr>
          <w:b/>
          <w:lang w:val="sl-SI"/>
        </w:rPr>
        <w:t>Glavne točke</w:t>
      </w:r>
    </w:p>
    <w:p w14:paraId="38F719C8" w14:textId="77777777" w:rsidR="007C6480" w:rsidRPr="00EE1689" w:rsidRDefault="007C6480" w:rsidP="000619F4">
      <w:pPr>
        <w:keepNext/>
        <w:keepLines/>
        <w:rPr>
          <w:szCs w:val="22"/>
          <w:lang w:val="sl-SI"/>
        </w:rPr>
      </w:pPr>
    </w:p>
    <w:p w14:paraId="7AA4CDB7" w14:textId="77777777" w:rsidR="007C6480" w:rsidRPr="00EE1689" w:rsidRDefault="007C6480" w:rsidP="000619F4">
      <w:pPr>
        <w:keepNext/>
        <w:keepLines/>
        <w:rPr>
          <w:bCs/>
          <w:iCs/>
          <w:szCs w:val="22"/>
          <w:lang w:val="sl-SI"/>
        </w:rPr>
      </w:pPr>
      <w:r w:rsidRPr="00EE1689">
        <w:rPr>
          <w:bCs/>
          <w:iCs/>
          <w:szCs w:val="22"/>
          <w:lang w:val="sl-SI"/>
        </w:rPr>
        <w:t>EESO:</w:t>
      </w:r>
    </w:p>
    <w:p w14:paraId="1F74F14D" w14:textId="77777777" w:rsidR="007C6480" w:rsidRPr="00EE1689" w:rsidRDefault="007C6480" w:rsidP="000619F4">
      <w:pPr>
        <w:keepNext/>
        <w:keepLines/>
        <w:rPr>
          <w:szCs w:val="22"/>
          <w:lang w:val="sl-SI"/>
        </w:rPr>
      </w:pPr>
    </w:p>
    <w:p w14:paraId="05CD2ABF" w14:textId="3A2F992C" w:rsidR="000D5A81" w:rsidRPr="00EE1689" w:rsidRDefault="000D5A81" w:rsidP="000619F4">
      <w:pPr>
        <w:keepNext/>
        <w:keepLines/>
        <w:widowControl w:val="0"/>
        <w:numPr>
          <w:ilvl w:val="0"/>
          <w:numId w:val="9"/>
        </w:numPr>
        <w:tabs>
          <w:tab w:val="clear" w:pos="0"/>
        </w:tabs>
        <w:ind w:left="567" w:hanging="567"/>
        <w:rPr>
          <w:szCs w:val="22"/>
          <w:lang w:val="sl-SI"/>
        </w:rPr>
      </w:pPr>
      <w:r w:rsidRPr="00EE1689">
        <w:rPr>
          <w:szCs w:val="22"/>
          <w:lang w:val="sl-SI"/>
        </w:rPr>
        <w:t>se strinja, da je potreben pregled veljavne zakonodaje EU, da bi poskrbeli za večjo poenostavitev, zmanjšali upravne stroške ter podprli nadaljnjo harmonizacijo enotnega trga;</w:t>
      </w:r>
    </w:p>
    <w:p w14:paraId="2AED8E92" w14:textId="40AE1F9E" w:rsidR="000D5A81" w:rsidRPr="00EE1689" w:rsidRDefault="000D5A81" w:rsidP="000619F4">
      <w:pPr>
        <w:keepNext/>
        <w:keepLines/>
        <w:widowControl w:val="0"/>
        <w:numPr>
          <w:ilvl w:val="0"/>
          <w:numId w:val="9"/>
        </w:numPr>
        <w:tabs>
          <w:tab w:val="clear" w:pos="0"/>
        </w:tabs>
        <w:ind w:left="567" w:hanging="567"/>
        <w:rPr>
          <w:szCs w:val="22"/>
          <w:lang w:val="sl-SI"/>
        </w:rPr>
      </w:pPr>
      <w:r w:rsidRPr="00EE1689">
        <w:rPr>
          <w:szCs w:val="22"/>
          <w:lang w:val="sl-SI"/>
        </w:rPr>
        <w:t>meni, da trajnostna politika EU na področju javnega naročanja lahko preseže ozek vidik nedelovanja trga, pri tem pa mora omogočati strateška javna naročila, usmerjena v javno blaginjo, kot enako pomembne cilje upoštevati socialna, inovacijska in okoljska merila ter zasebnim subjektom zagotoviti pravičen dostop do javnih naročil;</w:t>
      </w:r>
    </w:p>
    <w:p w14:paraId="76833ED1" w14:textId="431D356D" w:rsidR="000D5A81" w:rsidRPr="00EE1689" w:rsidRDefault="000D5A81" w:rsidP="000619F4">
      <w:pPr>
        <w:keepNext/>
        <w:keepLines/>
        <w:widowControl w:val="0"/>
        <w:numPr>
          <w:ilvl w:val="0"/>
          <w:numId w:val="9"/>
        </w:numPr>
        <w:tabs>
          <w:tab w:val="clear" w:pos="0"/>
        </w:tabs>
        <w:ind w:left="567" w:hanging="567"/>
        <w:rPr>
          <w:szCs w:val="22"/>
          <w:lang w:val="sl-SI"/>
        </w:rPr>
      </w:pPr>
      <w:r w:rsidRPr="00EE1689">
        <w:rPr>
          <w:szCs w:val="22"/>
          <w:lang w:val="sl-SI"/>
        </w:rPr>
        <w:t>meni, da je treba javna naročila oddati na podlagi ekonomsko najugodnejše ponudbe, pri čemer je treba poudariti pomen necenovnih meril, npr. kakovosti, inovacij ter okoljskih, trajnostnih in socialnih vidikov, zlasti pravic delavcev in kolektivnih pogodb;</w:t>
      </w:r>
    </w:p>
    <w:p w14:paraId="240DD894" w14:textId="1D3B314F" w:rsidR="000D5A81" w:rsidRPr="00EE1689" w:rsidRDefault="000D5A81" w:rsidP="00EE1689">
      <w:pPr>
        <w:widowControl w:val="0"/>
        <w:numPr>
          <w:ilvl w:val="0"/>
          <w:numId w:val="9"/>
        </w:numPr>
        <w:tabs>
          <w:tab w:val="clear" w:pos="0"/>
        </w:tabs>
        <w:ind w:left="567" w:hanging="567"/>
        <w:rPr>
          <w:szCs w:val="22"/>
          <w:lang w:val="sl-SI"/>
        </w:rPr>
      </w:pPr>
      <w:r w:rsidRPr="00EE1689">
        <w:rPr>
          <w:szCs w:val="22"/>
          <w:lang w:val="sl-SI"/>
        </w:rPr>
        <w:t>poziva, naj se pri politikah glede storitev splošnega pomena uporabi celosten pristop;</w:t>
      </w:r>
    </w:p>
    <w:p w14:paraId="423A7AF6" w14:textId="5E55E3B6" w:rsidR="000D5A81" w:rsidRPr="00EE1689" w:rsidRDefault="000D5A81" w:rsidP="00EE1689">
      <w:pPr>
        <w:widowControl w:val="0"/>
        <w:numPr>
          <w:ilvl w:val="0"/>
          <w:numId w:val="9"/>
        </w:numPr>
        <w:tabs>
          <w:tab w:val="clear" w:pos="0"/>
        </w:tabs>
        <w:ind w:left="567" w:hanging="567"/>
        <w:rPr>
          <w:szCs w:val="22"/>
          <w:lang w:val="sl-SI"/>
        </w:rPr>
      </w:pPr>
      <w:r w:rsidRPr="00EE1689">
        <w:rPr>
          <w:szCs w:val="22"/>
          <w:lang w:val="sl-SI"/>
        </w:rPr>
        <w:t>meni, da javnih naročil ne bi smeli oddajati podjetjem, ki sistematično kršijo osnovne pravice delavcev ali zavezujoče kolektivne pogodbe;</w:t>
      </w:r>
    </w:p>
    <w:p w14:paraId="588BF6FF" w14:textId="273B130A" w:rsidR="000D5A81" w:rsidRPr="00EE1689" w:rsidRDefault="000D5A81" w:rsidP="00EE1689">
      <w:pPr>
        <w:widowControl w:val="0"/>
        <w:numPr>
          <w:ilvl w:val="0"/>
          <w:numId w:val="9"/>
        </w:numPr>
        <w:tabs>
          <w:tab w:val="clear" w:pos="0"/>
        </w:tabs>
        <w:ind w:left="567" w:hanging="567"/>
        <w:rPr>
          <w:szCs w:val="22"/>
          <w:lang w:val="sl-SI"/>
        </w:rPr>
      </w:pPr>
      <w:r w:rsidRPr="00EE1689">
        <w:rPr>
          <w:szCs w:val="22"/>
          <w:lang w:val="sl-SI"/>
        </w:rPr>
        <w:t>meni, da bi morali v okviru revizije direktiv EU o javnem naročanju ohraniti možnost izvajanja notranjih javnih naročil za pravne osebe, ki jih večinsko obvladuje javni naročnik, in možnost neposredne oddaje naročil, pri čemer je treba uporabiti ustrezna pravna merila in čim bolj preprečiti izkrivljanje konkurence;</w:t>
      </w:r>
    </w:p>
    <w:p w14:paraId="0C8F875B" w14:textId="2495381F" w:rsidR="000D5A81" w:rsidRPr="00EE1689" w:rsidRDefault="000D5A81" w:rsidP="00EE1689">
      <w:pPr>
        <w:widowControl w:val="0"/>
        <w:numPr>
          <w:ilvl w:val="0"/>
          <w:numId w:val="9"/>
        </w:numPr>
        <w:tabs>
          <w:tab w:val="clear" w:pos="0"/>
        </w:tabs>
        <w:ind w:left="567" w:hanging="567"/>
        <w:rPr>
          <w:szCs w:val="22"/>
          <w:lang w:val="sl-SI"/>
        </w:rPr>
      </w:pPr>
      <w:r w:rsidRPr="00EE1689">
        <w:rPr>
          <w:szCs w:val="22"/>
          <w:lang w:val="sl-SI"/>
        </w:rPr>
        <w:t>priporoča uvedbo pravne obveznosti za oceno učinkov obstoječih pragov pri javnem naročilu storitev;</w:t>
      </w:r>
    </w:p>
    <w:p w14:paraId="7948650E" w14:textId="1293ACAE" w:rsidR="000D5A81" w:rsidRPr="00EE1689" w:rsidRDefault="000D5A81" w:rsidP="00EE1689">
      <w:pPr>
        <w:widowControl w:val="0"/>
        <w:numPr>
          <w:ilvl w:val="0"/>
          <w:numId w:val="9"/>
        </w:numPr>
        <w:tabs>
          <w:tab w:val="clear" w:pos="0"/>
        </w:tabs>
        <w:ind w:left="567" w:hanging="567"/>
        <w:rPr>
          <w:szCs w:val="22"/>
          <w:lang w:val="sl-SI"/>
        </w:rPr>
      </w:pPr>
      <w:r w:rsidRPr="00EE1689">
        <w:rPr>
          <w:szCs w:val="22"/>
          <w:lang w:val="sl-SI"/>
        </w:rPr>
        <w:t>meni, da lahko z javnimi naročili podpremo socialno pravično, okoljsko trajnostno in gospodarsko odporno Evropo ter prispevamo k skupnemu dobremu;</w:t>
      </w:r>
    </w:p>
    <w:p w14:paraId="5688422B" w14:textId="75EC0B05" w:rsidR="007C6480" w:rsidRPr="00EE1689" w:rsidRDefault="000D5A81" w:rsidP="00EE1689">
      <w:pPr>
        <w:widowControl w:val="0"/>
        <w:numPr>
          <w:ilvl w:val="0"/>
          <w:numId w:val="9"/>
        </w:numPr>
        <w:tabs>
          <w:tab w:val="clear" w:pos="0"/>
        </w:tabs>
        <w:ind w:left="567" w:hanging="567"/>
        <w:rPr>
          <w:lang w:val="sl-SI"/>
        </w:rPr>
      </w:pPr>
      <w:r w:rsidRPr="00EE1689">
        <w:rPr>
          <w:szCs w:val="22"/>
          <w:lang w:val="sl-SI"/>
        </w:rPr>
        <w:t>poziva k uvedbi obveznih določb o reviziji cen, da se upoštevajo s plačami povezane spremembe kolektivnih pogodb in/ali delovnega prava, inflacija ter drugi pomembni dejavniki, ki vplivajo na izvajanje</w:t>
      </w:r>
      <w:r w:rsidRPr="00EE1689">
        <w:rPr>
          <w:lang w:val="sl-SI"/>
        </w:rPr>
        <w:t xml:space="preserve"> pogodbe, kot npr. stroški energije.</w:t>
      </w:r>
    </w:p>
    <w:p w14:paraId="26E8EC16" w14:textId="77777777" w:rsidR="000D5A81" w:rsidRPr="00EE1689" w:rsidRDefault="000D5A81"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488F3927" w14:textId="77777777" w:rsidTr="00827140">
        <w:tc>
          <w:tcPr>
            <w:tcW w:w="974" w:type="pct"/>
          </w:tcPr>
          <w:p w14:paraId="445F4D41" w14:textId="77777777" w:rsidR="007C6480" w:rsidRPr="00EE1689" w:rsidRDefault="007C6480" w:rsidP="00EE1689">
            <w:pPr>
              <w:rPr>
                <w:lang w:val="sl-SI"/>
              </w:rPr>
            </w:pPr>
            <w:r w:rsidRPr="00EE1689">
              <w:rPr>
                <w:b/>
                <w:i/>
                <w:szCs w:val="22"/>
                <w:lang w:val="sl-SI"/>
              </w:rPr>
              <w:t>Kontaktna oseba</w:t>
            </w:r>
          </w:p>
        </w:tc>
        <w:tc>
          <w:tcPr>
            <w:tcW w:w="4026" w:type="pct"/>
          </w:tcPr>
          <w:p w14:paraId="17238418" w14:textId="3B77C8CF" w:rsidR="007C6480" w:rsidRPr="00EE1689" w:rsidRDefault="000D5A81" w:rsidP="00EE1689">
            <w:pPr>
              <w:rPr>
                <w:i/>
                <w:lang w:val="sl-SI"/>
              </w:rPr>
            </w:pPr>
            <w:r w:rsidRPr="00EE1689">
              <w:rPr>
                <w:i/>
                <w:lang w:val="sl-SI"/>
              </w:rPr>
              <w:t>Annalisa Tessarolo</w:t>
            </w:r>
          </w:p>
        </w:tc>
      </w:tr>
      <w:tr w:rsidR="007C6480" w:rsidRPr="00EE1689" w14:paraId="36511985" w14:textId="77777777" w:rsidTr="00827140">
        <w:tc>
          <w:tcPr>
            <w:tcW w:w="974" w:type="pct"/>
          </w:tcPr>
          <w:p w14:paraId="39905BFE" w14:textId="77777777" w:rsidR="007C6480" w:rsidRPr="00EE1689" w:rsidRDefault="007C6480" w:rsidP="00EE1689">
            <w:pPr>
              <w:rPr>
                <w:lang w:val="sl-SI"/>
              </w:rPr>
            </w:pPr>
            <w:r w:rsidRPr="00EE1689">
              <w:rPr>
                <w:i/>
                <w:szCs w:val="22"/>
                <w:lang w:val="sl-SI"/>
              </w:rPr>
              <w:t>Telefon</w:t>
            </w:r>
          </w:p>
        </w:tc>
        <w:tc>
          <w:tcPr>
            <w:tcW w:w="4026" w:type="pct"/>
          </w:tcPr>
          <w:p w14:paraId="7225FC68" w14:textId="7EF1565F" w:rsidR="007C6480" w:rsidRPr="00EE1689" w:rsidRDefault="007C6480" w:rsidP="00EE1689">
            <w:pPr>
              <w:rPr>
                <w:lang w:val="sl-SI"/>
              </w:rPr>
            </w:pPr>
            <w:r w:rsidRPr="00EE1689">
              <w:rPr>
                <w:i/>
                <w:szCs w:val="22"/>
                <w:lang w:val="sl-SI"/>
              </w:rPr>
              <w:t>+32 2 </w:t>
            </w:r>
            <w:r w:rsidR="000D5A81" w:rsidRPr="00EE1689">
              <w:rPr>
                <w:i/>
                <w:szCs w:val="22"/>
                <w:lang w:val="sl-SI"/>
              </w:rPr>
              <w:t>546 9732</w:t>
            </w:r>
          </w:p>
        </w:tc>
      </w:tr>
      <w:tr w:rsidR="007C6480" w:rsidRPr="00EE1689" w14:paraId="02E13265" w14:textId="77777777" w:rsidTr="00827140">
        <w:tc>
          <w:tcPr>
            <w:tcW w:w="974" w:type="pct"/>
          </w:tcPr>
          <w:p w14:paraId="604CC0FB" w14:textId="77777777" w:rsidR="007C6480" w:rsidRPr="00EE1689" w:rsidRDefault="007C6480" w:rsidP="00EE1689">
            <w:pPr>
              <w:rPr>
                <w:lang w:val="sl-SI"/>
              </w:rPr>
            </w:pPr>
            <w:r w:rsidRPr="00EE1689">
              <w:rPr>
                <w:i/>
                <w:szCs w:val="22"/>
                <w:lang w:val="sl-SI"/>
              </w:rPr>
              <w:t>E-naslov</w:t>
            </w:r>
          </w:p>
        </w:tc>
        <w:tc>
          <w:tcPr>
            <w:tcW w:w="4026" w:type="pct"/>
          </w:tcPr>
          <w:p w14:paraId="7B9449D4" w14:textId="3D95EAB3" w:rsidR="007C6480" w:rsidRPr="00EE1689" w:rsidRDefault="00FA3430" w:rsidP="00EE1689">
            <w:pPr>
              <w:rPr>
                <w:i/>
                <w:lang w:val="sl-SI"/>
              </w:rPr>
            </w:pPr>
            <w:hyperlink r:id="rId34" w:history="1">
              <w:r w:rsidR="000D5A81" w:rsidRPr="00EE1689">
                <w:rPr>
                  <w:rStyle w:val="Hyperlink"/>
                  <w:i/>
                  <w:lang w:val="sl-SI"/>
                </w:rPr>
                <w:t>Annalisa.Tessarolo@eesc.europa.eu</w:t>
              </w:r>
            </w:hyperlink>
          </w:p>
        </w:tc>
      </w:tr>
    </w:tbl>
    <w:p w14:paraId="14570138" w14:textId="77777777" w:rsidR="007C6480" w:rsidRPr="00EE1689" w:rsidRDefault="007C6480" w:rsidP="00EE1689">
      <w:pPr>
        <w:rPr>
          <w:lang w:val="sl-SI"/>
        </w:rPr>
      </w:pPr>
    </w:p>
    <w:p w14:paraId="40298B89" w14:textId="77777777" w:rsidR="00437105" w:rsidRPr="00EE1689" w:rsidRDefault="00437105" w:rsidP="00EE1689">
      <w:pPr>
        <w:rPr>
          <w:lang w:val="sl-SI"/>
        </w:rPr>
      </w:pPr>
    </w:p>
    <w:p w14:paraId="14DAD8E5" w14:textId="77777777" w:rsidR="00437105" w:rsidRPr="00EE1689" w:rsidRDefault="00437105" w:rsidP="00EE1689">
      <w:pPr>
        <w:pStyle w:val="Heading1"/>
        <w:pageBreakBefore/>
        <w:overflowPunct/>
        <w:autoSpaceDE/>
        <w:autoSpaceDN/>
        <w:adjustRightInd/>
        <w:ind w:left="567" w:hanging="567"/>
        <w:textAlignment w:val="auto"/>
        <w:rPr>
          <w:lang w:val="sl-SI"/>
        </w:rPr>
      </w:pPr>
      <w:bookmarkStart w:id="9" w:name="_Toc103071395"/>
      <w:bookmarkStart w:id="10" w:name="_Toc105440139"/>
      <w:r w:rsidRPr="00EE1689">
        <w:rPr>
          <w:b/>
          <w:lang w:val="sl-SI"/>
        </w:rPr>
        <w:lastRenderedPageBreak/>
        <w:t>KMETIJSTVO, RAZVOJ PODEŽELJA IN OKOLJE</w:t>
      </w:r>
      <w:bookmarkEnd w:id="9"/>
      <w:bookmarkEnd w:id="10"/>
    </w:p>
    <w:p w14:paraId="2ABF8E0D" w14:textId="77777777" w:rsidR="00437105" w:rsidRPr="00EE1689" w:rsidRDefault="00437105" w:rsidP="00EE1689">
      <w:pPr>
        <w:rPr>
          <w:lang w:val="sl-SI"/>
        </w:rPr>
      </w:pPr>
    </w:p>
    <w:p w14:paraId="11B95FCB" w14:textId="74811FB8" w:rsidR="00EA31FC" w:rsidRPr="00EE1689" w:rsidRDefault="00FA3430" w:rsidP="00EE1689">
      <w:pPr>
        <w:numPr>
          <w:ilvl w:val="0"/>
          <w:numId w:val="7"/>
        </w:numPr>
        <w:tabs>
          <w:tab w:val="clear" w:pos="0"/>
        </w:tabs>
        <w:ind w:left="567" w:hanging="567"/>
        <w:rPr>
          <w:sz w:val="28"/>
          <w:szCs w:val="22"/>
          <w:lang w:val="sl-SI"/>
        </w:rPr>
      </w:pPr>
      <w:hyperlink r:id="rId35" w:history="1">
        <w:r w:rsidR="00634F41" w:rsidRPr="00EE1689">
          <w:rPr>
            <w:rStyle w:val="Hyperlink"/>
            <w:b/>
            <w:i/>
            <w:sz w:val="28"/>
            <w:szCs w:val="22"/>
            <w:lang w:val="sl-SI"/>
          </w:rPr>
          <w:t>Sprememba Uredbe (EU) 2023/1115 o krčenju gozdov</w:t>
        </w:r>
      </w:hyperlink>
    </w:p>
    <w:p w14:paraId="0F9CA4C6" w14:textId="77777777" w:rsidR="00EA31FC" w:rsidRPr="00EE1689" w:rsidRDefault="00EA31FC" w:rsidP="00EE1689">
      <w:pPr>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437105" w:rsidRPr="00EE1689" w14:paraId="25FAACC2" w14:textId="77777777" w:rsidTr="00993CB4">
        <w:tc>
          <w:tcPr>
            <w:tcW w:w="974" w:type="pct"/>
            <w:vMerge w:val="restart"/>
          </w:tcPr>
          <w:p w14:paraId="04881FE5" w14:textId="558DEE66" w:rsidR="00437105" w:rsidRPr="00EE1689" w:rsidRDefault="00437105" w:rsidP="00EE1689">
            <w:pPr>
              <w:rPr>
                <w:b/>
                <w:szCs w:val="22"/>
                <w:lang w:val="sl-SI"/>
              </w:rPr>
            </w:pPr>
            <w:r w:rsidRPr="00EE1689">
              <w:rPr>
                <w:b/>
                <w:szCs w:val="22"/>
                <w:lang w:val="sl-SI"/>
              </w:rPr>
              <w:t>Referenčn</w:t>
            </w:r>
            <w:r w:rsidR="00634F41" w:rsidRPr="00EE1689">
              <w:rPr>
                <w:b/>
                <w:szCs w:val="22"/>
                <w:lang w:val="sl-SI"/>
              </w:rPr>
              <w:t>a</w:t>
            </w:r>
            <w:r w:rsidRPr="00EE1689">
              <w:rPr>
                <w:b/>
                <w:szCs w:val="22"/>
                <w:lang w:val="sl-SI"/>
              </w:rPr>
              <w:t xml:space="preserve"> dokument</w:t>
            </w:r>
            <w:r w:rsidR="00634F41" w:rsidRPr="00EE1689">
              <w:rPr>
                <w:b/>
                <w:szCs w:val="22"/>
                <w:lang w:val="sl-SI"/>
              </w:rPr>
              <w:t>a</w:t>
            </w:r>
          </w:p>
        </w:tc>
        <w:tc>
          <w:tcPr>
            <w:tcW w:w="4026" w:type="pct"/>
          </w:tcPr>
          <w:p w14:paraId="753C50F5" w14:textId="36947339" w:rsidR="00437105" w:rsidRPr="00EE1689" w:rsidRDefault="00634F41" w:rsidP="00EE1689">
            <w:pPr>
              <w:rPr>
                <w:szCs w:val="22"/>
                <w:lang w:val="sl-SI"/>
              </w:rPr>
            </w:pPr>
            <w:r w:rsidRPr="00EE1689">
              <w:rPr>
                <w:szCs w:val="22"/>
                <w:lang w:val="sl-SI"/>
              </w:rPr>
              <w:t>mnenje kategorije C</w:t>
            </w:r>
          </w:p>
        </w:tc>
      </w:tr>
      <w:tr w:rsidR="00437105" w:rsidRPr="00EE1689" w14:paraId="7CB5C3D6" w14:textId="77777777" w:rsidTr="00993CB4">
        <w:tc>
          <w:tcPr>
            <w:tcW w:w="974" w:type="pct"/>
            <w:vMerge/>
          </w:tcPr>
          <w:p w14:paraId="1CC25BBB" w14:textId="77777777" w:rsidR="00437105" w:rsidRPr="00EE1689" w:rsidRDefault="00437105" w:rsidP="00EE1689">
            <w:pPr>
              <w:tabs>
                <w:tab w:val="center" w:pos="284"/>
              </w:tabs>
              <w:ind w:left="266" w:hanging="266"/>
              <w:rPr>
                <w:b/>
                <w:szCs w:val="22"/>
                <w:lang w:val="sl-SI"/>
              </w:rPr>
            </w:pPr>
          </w:p>
        </w:tc>
        <w:tc>
          <w:tcPr>
            <w:tcW w:w="4026" w:type="pct"/>
          </w:tcPr>
          <w:p w14:paraId="5EF56F7D" w14:textId="77777777" w:rsidR="00634F41" w:rsidRPr="00EE1689" w:rsidRDefault="00634F41" w:rsidP="00EE1689">
            <w:pPr>
              <w:rPr>
                <w:szCs w:val="22"/>
                <w:lang w:val="sl-SI"/>
              </w:rPr>
            </w:pPr>
            <w:r w:rsidRPr="00EE1689">
              <w:rPr>
                <w:szCs w:val="22"/>
                <w:lang w:val="sl-SI"/>
              </w:rPr>
              <w:t>COM(2025) 652 final</w:t>
            </w:r>
          </w:p>
          <w:p w14:paraId="6745D2D3" w14:textId="08C30852" w:rsidR="00437105" w:rsidRPr="00EE1689" w:rsidRDefault="00634F41" w:rsidP="00EE1689">
            <w:pPr>
              <w:rPr>
                <w:szCs w:val="22"/>
                <w:lang w:val="sl-SI"/>
              </w:rPr>
            </w:pPr>
            <w:r w:rsidRPr="00EE1689">
              <w:rPr>
                <w:szCs w:val="22"/>
                <w:lang w:val="sl-SI"/>
              </w:rPr>
              <w:t>EESC-2025-03869-00-00-AC</w:t>
            </w:r>
          </w:p>
        </w:tc>
      </w:tr>
    </w:tbl>
    <w:p w14:paraId="6426EB1E" w14:textId="77777777" w:rsidR="00437105" w:rsidRPr="00EE1689" w:rsidRDefault="00437105" w:rsidP="00EE1689">
      <w:pPr>
        <w:rPr>
          <w:szCs w:val="22"/>
          <w:lang w:val="sl-SI"/>
        </w:rPr>
      </w:pPr>
    </w:p>
    <w:p w14:paraId="4416B9D6" w14:textId="77777777" w:rsidR="00437105" w:rsidRPr="00EE1689" w:rsidRDefault="00437105" w:rsidP="00EE1689">
      <w:pPr>
        <w:rPr>
          <w:lang w:val="sl-SI"/>
        </w:rPr>
      </w:pPr>
      <w:r w:rsidRPr="00EE1689">
        <w:rPr>
          <w:b/>
          <w:lang w:val="sl-SI"/>
        </w:rPr>
        <w:t>Glavne točke</w:t>
      </w:r>
    </w:p>
    <w:p w14:paraId="36E41BB6" w14:textId="77777777" w:rsidR="00437105" w:rsidRPr="00EE1689" w:rsidRDefault="00437105" w:rsidP="00EE1689">
      <w:pPr>
        <w:rPr>
          <w:szCs w:val="22"/>
          <w:lang w:val="sl-SI"/>
        </w:rPr>
      </w:pPr>
    </w:p>
    <w:p w14:paraId="6807EE34" w14:textId="77777777" w:rsidR="00437105" w:rsidRPr="00EE1689" w:rsidRDefault="00437105" w:rsidP="00EE1689">
      <w:pPr>
        <w:rPr>
          <w:bCs/>
          <w:iCs/>
          <w:szCs w:val="22"/>
          <w:lang w:val="sl-SI"/>
        </w:rPr>
      </w:pPr>
      <w:r w:rsidRPr="00EE1689">
        <w:rPr>
          <w:bCs/>
          <w:iCs/>
          <w:szCs w:val="22"/>
          <w:lang w:val="sl-SI"/>
        </w:rPr>
        <w:t>EESO:</w:t>
      </w:r>
    </w:p>
    <w:p w14:paraId="134A3FF9" w14:textId="77777777" w:rsidR="00437105" w:rsidRPr="00EE1689" w:rsidRDefault="00437105" w:rsidP="00EE1689">
      <w:pPr>
        <w:rPr>
          <w:szCs w:val="22"/>
          <w:lang w:val="sl-SI"/>
        </w:rPr>
      </w:pPr>
    </w:p>
    <w:p w14:paraId="4BB77CC2" w14:textId="0EDADEE1" w:rsidR="00437105" w:rsidRPr="00EE1689" w:rsidRDefault="009A234F" w:rsidP="00EE1689">
      <w:pPr>
        <w:widowControl w:val="0"/>
        <w:numPr>
          <w:ilvl w:val="0"/>
          <w:numId w:val="9"/>
        </w:numPr>
        <w:tabs>
          <w:tab w:val="clear" w:pos="0"/>
        </w:tabs>
        <w:ind w:left="567" w:hanging="567"/>
        <w:rPr>
          <w:bCs/>
          <w:iCs/>
          <w:szCs w:val="22"/>
          <w:lang w:val="sl-SI"/>
        </w:rPr>
      </w:pPr>
      <w:r w:rsidRPr="00EE1689">
        <w:rPr>
          <w:lang w:val="sl-SI"/>
        </w:rPr>
        <w:t>je v mnenju EESC-2024-01183-00-00-AC-TRA, sprejetem 19.</w:t>
      </w:r>
      <w:r w:rsidR="00F07D43">
        <w:rPr>
          <w:lang w:val="sl-SI"/>
        </w:rPr>
        <w:t> </w:t>
      </w:r>
      <w:r w:rsidRPr="00EE1689">
        <w:rPr>
          <w:lang w:val="sl-SI"/>
        </w:rPr>
        <w:t>septembra</w:t>
      </w:r>
      <w:r w:rsidR="00F07D43">
        <w:rPr>
          <w:lang w:val="sl-SI"/>
        </w:rPr>
        <w:t> </w:t>
      </w:r>
      <w:r w:rsidRPr="00EE1689">
        <w:rPr>
          <w:lang w:val="sl-SI"/>
        </w:rPr>
        <w:t>2024</w:t>
      </w:r>
      <w:r w:rsidRPr="00EE1689">
        <w:rPr>
          <w:rStyle w:val="FootnoteReference"/>
          <w:rFonts w:eastAsiaTheme="majorEastAsia"/>
          <w:lang w:val="sl-SI"/>
        </w:rPr>
        <w:footnoteReference w:id="5"/>
      </w:r>
      <w:r w:rsidRPr="00EE1689">
        <w:rPr>
          <w:lang w:val="sl-SI"/>
        </w:rPr>
        <w:t>, in mnenju EESC-2021-05690-00-00-AC-TRA, sprejetem 23.</w:t>
      </w:r>
      <w:r w:rsidR="00F07D43">
        <w:rPr>
          <w:lang w:val="sl-SI"/>
        </w:rPr>
        <w:t> </w:t>
      </w:r>
      <w:r w:rsidRPr="00EE1689">
        <w:rPr>
          <w:lang w:val="sl-SI"/>
        </w:rPr>
        <w:t>februarja</w:t>
      </w:r>
      <w:r w:rsidR="00F07D43">
        <w:rPr>
          <w:lang w:val="sl-SI"/>
        </w:rPr>
        <w:t> </w:t>
      </w:r>
      <w:r w:rsidRPr="00EE1689">
        <w:rPr>
          <w:lang w:val="sl-SI"/>
        </w:rPr>
        <w:t>2022</w:t>
      </w:r>
      <w:r w:rsidRPr="00EE1689">
        <w:rPr>
          <w:rStyle w:val="FootnoteReference"/>
          <w:rFonts w:eastAsiaTheme="majorEastAsia"/>
          <w:lang w:val="sl-SI"/>
        </w:rPr>
        <w:footnoteReference w:id="6"/>
      </w:r>
      <w:r w:rsidRPr="00EE1689">
        <w:rPr>
          <w:lang w:val="sl-SI"/>
        </w:rPr>
        <w:t>, že podal stališče o vsebini obravnavanega predloga, zato je sklenil, da o tem ne bo pripravil novega mnenja, saj zagovarja enako stališče kot v navedenih dokumentih</w:t>
      </w:r>
      <w:r w:rsidR="00634F41" w:rsidRPr="00EE1689">
        <w:rPr>
          <w:lang w:val="sl-SI"/>
        </w:rPr>
        <w:t>.</w:t>
      </w:r>
    </w:p>
    <w:p w14:paraId="5FFBFF0C" w14:textId="77777777" w:rsidR="00634F41" w:rsidRPr="00EE1689" w:rsidRDefault="00634F41"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437105" w:rsidRPr="00EE1689" w14:paraId="5732CA87" w14:textId="77777777" w:rsidTr="00993CB4">
        <w:tc>
          <w:tcPr>
            <w:tcW w:w="974" w:type="pct"/>
          </w:tcPr>
          <w:p w14:paraId="5939ECA0" w14:textId="77777777" w:rsidR="00437105" w:rsidRPr="00EE1689" w:rsidRDefault="00437105" w:rsidP="00EE1689">
            <w:pPr>
              <w:rPr>
                <w:lang w:val="sl-SI"/>
              </w:rPr>
            </w:pPr>
            <w:r w:rsidRPr="00EE1689">
              <w:rPr>
                <w:b/>
                <w:i/>
                <w:szCs w:val="22"/>
                <w:lang w:val="sl-SI"/>
              </w:rPr>
              <w:t>Kontaktna oseba</w:t>
            </w:r>
          </w:p>
        </w:tc>
        <w:tc>
          <w:tcPr>
            <w:tcW w:w="4026" w:type="pct"/>
          </w:tcPr>
          <w:p w14:paraId="1E37A146" w14:textId="44E85223" w:rsidR="00437105" w:rsidRPr="00EE1689" w:rsidRDefault="00634F41" w:rsidP="00EE1689">
            <w:pPr>
              <w:rPr>
                <w:i/>
                <w:lang w:val="sl-SI"/>
              </w:rPr>
            </w:pPr>
            <w:r w:rsidRPr="00EE1689">
              <w:rPr>
                <w:i/>
                <w:lang w:val="sl-SI"/>
              </w:rPr>
              <w:t>Martine Delanoy</w:t>
            </w:r>
          </w:p>
        </w:tc>
      </w:tr>
      <w:tr w:rsidR="00437105" w:rsidRPr="00EE1689" w14:paraId="441F8E97" w14:textId="77777777" w:rsidTr="00993CB4">
        <w:tc>
          <w:tcPr>
            <w:tcW w:w="974" w:type="pct"/>
          </w:tcPr>
          <w:p w14:paraId="52907D8D" w14:textId="77777777" w:rsidR="00437105" w:rsidRPr="00EE1689" w:rsidRDefault="006926AD" w:rsidP="00EE1689">
            <w:pPr>
              <w:rPr>
                <w:lang w:val="sl-SI"/>
              </w:rPr>
            </w:pPr>
            <w:r w:rsidRPr="00EE1689">
              <w:rPr>
                <w:i/>
                <w:szCs w:val="22"/>
                <w:lang w:val="sl-SI"/>
              </w:rPr>
              <w:t>Telefon</w:t>
            </w:r>
          </w:p>
        </w:tc>
        <w:tc>
          <w:tcPr>
            <w:tcW w:w="4026" w:type="pct"/>
          </w:tcPr>
          <w:p w14:paraId="0C2D6244" w14:textId="3D0A03CA" w:rsidR="00437105" w:rsidRPr="00EE1689" w:rsidRDefault="000D558D" w:rsidP="00EE1689">
            <w:pPr>
              <w:rPr>
                <w:lang w:val="sl-SI"/>
              </w:rPr>
            </w:pPr>
            <w:r w:rsidRPr="00EE1689">
              <w:rPr>
                <w:i/>
                <w:szCs w:val="22"/>
                <w:lang w:val="sl-SI"/>
              </w:rPr>
              <w:t>+</w:t>
            </w:r>
            <w:r w:rsidR="00437105" w:rsidRPr="00EE1689">
              <w:rPr>
                <w:i/>
                <w:szCs w:val="22"/>
                <w:lang w:val="sl-SI"/>
              </w:rPr>
              <w:t>32 2 </w:t>
            </w:r>
            <w:r w:rsidR="00634F41" w:rsidRPr="00EE1689">
              <w:rPr>
                <w:i/>
                <w:szCs w:val="22"/>
                <w:lang w:val="sl-SI"/>
              </w:rPr>
              <w:t>546 9802</w:t>
            </w:r>
          </w:p>
        </w:tc>
      </w:tr>
      <w:tr w:rsidR="00437105" w:rsidRPr="00EE1689" w14:paraId="3F913EE8" w14:textId="77777777" w:rsidTr="00993CB4">
        <w:tc>
          <w:tcPr>
            <w:tcW w:w="974" w:type="pct"/>
          </w:tcPr>
          <w:p w14:paraId="09AE0010" w14:textId="77777777" w:rsidR="00437105" w:rsidRPr="00EE1689" w:rsidRDefault="00437105" w:rsidP="00EE1689">
            <w:pPr>
              <w:rPr>
                <w:lang w:val="sl-SI"/>
              </w:rPr>
            </w:pPr>
            <w:r w:rsidRPr="00EE1689">
              <w:rPr>
                <w:i/>
                <w:szCs w:val="22"/>
                <w:lang w:val="sl-SI"/>
              </w:rPr>
              <w:t>E-naslov</w:t>
            </w:r>
          </w:p>
        </w:tc>
        <w:tc>
          <w:tcPr>
            <w:tcW w:w="4026" w:type="pct"/>
          </w:tcPr>
          <w:p w14:paraId="73452B0B" w14:textId="19D2C9CF" w:rsidR="00437105" w:rsidRPr="00EE1689" w:rsidRDefault="00FA3430" w:rsidP="00EE1689">
            <w:pPr>
              <w:rPr>
                <w:i/>
                <w:lang w:val="sl-SI"/>
              </w:rPr>
            </w:pPr>
            <w:hyperlink r:id="rId36" w:history="1">
              <w:r w:rsidR="00634F41" w:rsidRPr="00EE1689">
                <w:rPr>
                  <w:rStyle w:val="Hyperlink"/>
                  <w:i/>
                  <w:lang w:val="sl-SI"/>
                </w:rPr>
                <w:t>Martine.Delanoy@eesc.europa.eu</w:t>
              </w:r>
            </w:hyperlink>
          </w:p>
        </w:tc>
      </w:tr>
    </w:tbl>
    <w:p w14:paraId="42271223" w14:textId="77777777" w:rsidR="00437105" w:rsidRPr="00EE1689" w:rsidRDefault="00437105" w:rsidP="00EE1689">
      <w:pPr>
        <w:rPr>
          <w:lang w:val="sl-SI"/>
        </w:rPr>
      </w:pPr>
    </w:p>
    <w:p w14:paraId="46EA351A" w14:textId="48FEFE5B" w:rsidR="007C6480" w:rsidRPr="00EE1689" w:rsidRDefault="00FA3430" w:rsidP="000619F4">
      <w:pPr>
        <w:keepNext/>
        <w:keepLines/>
        <w:numPr>
          <w:ilvl w:val="0"/>
          <w:numId w:val="7"/>
        </w:numPr>
        <w:tabs>
          <w:tab w:val="clear" w:pos="0"/>
        </w:tabs>
        <w:ind w:left="567" w:hanging="567"/>
        <w:rPr>
          <w:sz w:val="28"/>
          <w:szCs w:val="22"/>
          <w:lang w:val="sl-SI"/>
        </w:rPr>
      </w:pPr>
      <w:hyperlink r:id="rId37" w:history="1">
        <w:r w:rsidR="006C457A" w:rsidRPr="00EE1689">
          <w:rPr>
            <w:rStyle w:val="Hyperlink"/>
            <w:b/>
            <w:i/>
            <w:sz w:val="28"/>
            <w:szCs w:val="22"/>
            <w:lang w:val="sl-SI"/>
          </w:rPr>
          <w:t>Revizija mehanizma Unije na področju civilne zaščite</w:t>
        </w:r>
      </w:hyperlink>
    </w:p>
    <w:p w14:paraId="22040622" w14:textId="77777777" w:rsidR="007C6480" w:rsidRPr="00EE1689" w:rsidRDefault="007C6480" w:rsidP="000619F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49E5B4D7" w14:textId="77777777" w:rsidTr="00827140">
        <w:tc>
          <w:tcPr>
            <w:tcW w:w="974" w:type="pct"/>
          </w:tcPr>
          <w:p w14:paraId="0F6BF81B" w14:textId="77777777" w:rsidR="007C6480" w:rsidRPr="00EE1689" w:rsidRDefault="007C6480" w:rsidP="000619F4">
            <w:pPr>
              <w:keepNext/>
              <w:keepLines/>
              <w:rPr>
                <w:b/>
                <w:szCs w:val="22"/>
                <w:lang w:val="sl-SI"/>
              </w:rPr>
            </w:pPr>
            <w:r w:rsidRPr="00EE1689">
              <w:rPr>
                <w:b/>
                <w:szCs w:val="22"/>
                <w:lang w:val="sl-SI"/>
              </w:rPr>
              <w:t>Poročevalec</w:t>
            </w:r>
          </w:p>
        </w:tc>
        <w:tc>
          <w:tcPr>
            <w:tcW w:w="4026" w:type="pct"/>
          </w:tcPr>
          <w:p w14:paraId="3C19EEAA" w14:textId="0625C19F" w:rsidR="007C6480" w:rsidRPr="00EE1689" w:rsidRDefault="006C457A" w:rsidP="000619F4">
            <w:pPr>
              <w:keepNext/>
              <w:keepLines/>
              <w:rPr>
                <w:szCs w:val="22"/>
                <w:lang w:val="sl-SI"/>
              </w:rPr>
            </w:pPr>
            <w:r w:rsidRPr="00EE1689">
              <w:rPr>
                <w:szCs w:val="22"/>
                <w:lang w:val="sl-SI"/>
              </w:rPr>
              <w:t>Florian MARIN (skupina delojemalcev – RO)</w:t>
            </w:r>
          </w:p>
        </w:tc>
      </w:tr>
      <w:tr w:rsidR="007C6480" w:rsidRPr="00EE1689" w14:paraId="0F7B8E92" w14:textId="77777777" w:rsidTr="00827140">
        <w:tc>
          <w:tcPr>
            <w:tcW w:w="5000" w:type="pct"/>
            <w:gridSpan w:val="2"/>
          </w:tcPr>
          <w:p w14:paraId="14A16A66" w14:textId="77777777" w:rsidR="007C6480" w:rsidRPr="00EE1689" w:rsidRDefault="007C6480" w:rsidP="000619F4">
            <w:pPr>
              <w:keepNext/>
              <w:keepLines/>
              <w:rPr>
                <w:sz w:val="16"/>
                <w:szCs w:val="22"/>
                <w:lang w:val="sl-SI"/>
              </w:rPr>
            </w:pPr>
          </w:p>
        </w:tc>
      </w:tr>
      <w:tr w:rsidR="007C6480" w:rsidRPr="00EE1689" w14:paraId="0A53FFA7" w14:textId="77777777" w:rsidTr="00827140">
        <w:tc>
          <w:tcPr>
            <w:tcW w:w="974" w:type="pct"/>
            <w:vMerge w:val="restart"/>
          </w:tcPr>
          <w:p w14:paraId="12191D68" w14:textId="43D5B344" w:rsidR="007C6480" w:rsidRPr="00EE1689" w:rsidRDefault="007C6480" w:rsidP="000619F4">
            <w:pPr>
              <w:keepNext/>
              <w:keepLines/>
              <w:rPr>
                <w:b/>
                <w:szCs w:val="22"/>
                <w:lang w:val="sl-SI"/>
              </w:rPr>
            </w:pPr>
            <w:r w:rsidRPr="00EE1689">
              <w:rPr>
                <w:b/>
                <w:szCs w:val="22"/>
                <w:lang w:val="sl-SI"/>
              </w:rPr>
              <w:t>Referenčn</w:t>
            </w:r>
            <w:r w:rsidR="001361C6" w:rsidRPr="00EE1689">
              <w:rPr>
                <w:b/>
                <w:szCs w:val="22"/>
                <w:lang w:val="sl-SI"/>
              </w:rPr>
              <w:t>a</w:t>
            </w:r>
            <w:r w:rsidRPr="00EE1689">
              <w:rPr>
                <w:b/>
                <w:szCs w:val="22"/>
                <w:lang w:val="sl-SI"/>
              </w:rPr>
              <w:t xml:space="preserve"> dokument</w:t>
            </w:r>
            <w:r w:rsidR="001361C6" w:rsidRPr="00EE1689">
              <w:rPr>
                <w:b/>
                <w:szCs w:val="22"/>
                <w:lang w:val="sl-SI"/>
              </w:rPr>
              <w:t>a</w:t>
            </w:r>
          </w:p>
        </w:tc>
        <w:tc>
          <w:tcPr>
            <w:tcW w:w="4026" w:type="pct"/>
          </w:tcPr>
          <w:p w14:paraId="6889D241" w14:textId="1E1AEBAF" w:rsidR="007C6480" w:rsidRPr="00EE1689" w:rsidRDefault="001361C6" w:rsidP="000619F4">
            <w:pPr>
              <w:keepNext/>
              <w:keepLines/>
              <w:rPr>
                <w:szCs w:val="22"/>
                <w:lang w:val="sl-SI"/>
              </w:rPr>
            </w:pPr>
            <w:r w:rsidRPr="00EE1689">
              <w:rPr>
                <w:szCs w:val="22"/>
                <w:lang w:val="sl-SI"/>
              </w:rPr>
              <w:t>COM(2025) 548 final</w:t>
            </w:r>
          </w:p>
        </w:tc>
      </w:tr>
      <w:tr w:rsidR="007C6480" w:rsidRPr="00EE1689" w14:paraId="05B18496" w14:textId="77777777" w:rsidTr="00827140">
        <w:tc>
          <w:tcPr>
            <w:tcW w:w="974" w:type="pct"/>
            <w:vMerge/>
          </w:tcPr>
          <w:p w14:paraId="53835CB1" w14:textId="77777777" w:rsidR="007C6480" w:rsidRPr="00EE1689" w:rsidRDefault="007C6480" w:rsidP="000619F4">
            <w:pPr>
              <w:keepNext/>
              <w:keepLines/>
              <w:tabs>
                <w:tab w:val="center" w:pos="284"/>
              </w:tabs>
              <w:ind w:left="266" w:hanging="266"/>
              <w:rPr>
                <w:b/>
                <w:szCs w:val="22"/>
                <w:lang w:val="sl-SI"/>
              </w:rPr>
            </w:pPr>
          </w:p>
        </w:tc>
        <w:tc>
          <w:tcPr>
            <w:tcW w:w="4026" w:type="pct"/>
          </w:tcPr>
          <w:p w14:paraId="7187E6E3" w14:textId="334B55AB" w:rsidR="007C6480" w:rsidRPr="00EE1689" w:rsidRDefault="006C457A" w:rsidP="000619F4">
            <w:pPr>
              <w:keepNext/>
              <w:keepLines/>
              <w:rPr>
                <w:szCs w:val="22"/>
                <w:lang w:val="sl-SI"/>
              </w:rPr>
            </w:pPr>
            <w:r w:rsidRPr="00EE1689">
              <w:rPr>
                <w:szCs w:val="22"/>
                <w:lang w:val="sl-SI"/>
              </w:rPr>
              <w:t>EESC-2025-03573-00-00-AC</w:t>
            </w:r>
          </w:p>
        </w:tc>
      </w:tr>
    </w:tbl>
    <w:p w14:paraId="0638142F" w14:textId="77777777" w:rsidR="007C6480" w:rsidRPr="00EE1689" w:rsidRDefault="007C6480" w:rsidP="000619F4">
      <w:pPr>
        <w:keepNext/>
        <w:keepLines/>
        <w:rPr>
          <w:szCs w:val="22"/>
          <w:lang w:val="sl-SI"/>
        </w:rPr>
      </w:pPr>
    </w:p>
    <w:p w14:paraId="306B1090" w14:textId="77777777" w:rsidR="007C6480" w:rsidRPr="00EE1689" w:rsidRDefault="007C6480" w:rsidP="000619F4">
      <w:pPr>
        <w:keepNext/>
        <w:keepLines/>
        <w:rPr>
          <w:lang w:val="sl-SI"/>
        </w:rPr>
      </w:pPr>
      <w:r w:rsidRPr="00EE1689">
        <w:rPr>
          <w:b/>
          <w:lang w:val="sl-SI"/>
        </w:rPr>
        <w:t>Glavne točke</w:t>
      </w:r>
    </w:p>
    <w:p w14:paraId="166734B7" w14:textId="77777777" w:rsidR="007C6480" w:rsidRPr="00EE1689" w:rsidRDefault="007C6480" w:rsidP="000619F4">
      <w:pPr>
        <w:keepNext/>
        <w:keepLines/>
        <w:rPr>
          <w:szCs w:val="22"/>
          <w:lang w:val="sl-SI"/>
        </w:rPr>
      </w:pPr>
    </w:p>
    <w:p w14:paraId="105E0023" w14:textId="31D1D992" w:rsidR="007C6480" w:rsidRPr="00EE1689" w:rsidRDefault="007C6480" w:rsidP="000619F4">
      <w:pPr>
        <w:keepNext/>
        <w:keepLines/>
        <w:rPr>
          <w:bCs/>
          <w:iCs/>
          <w:szCs w:val="22"/>
          <w:lang w:val="sl-SI"/>
        </w:rPr>
      </w:pPr>
      <w:r w:rsidRPr="00EE1689">
        <w:rPr>
          <w:bCs/>
          <w:iCs/>
          <w:szCs w:val="22"/>
          <w:lang w:val="sl-SI"/>
        </w:rPr>
        <w:t>EESO</w:t>
      </w:r>
      <w:r w:rsidR="001361C6" w:rsidRPr="00EE1689">
        <w:rPr>
          <w:bCs/>
          <w:iCs/>
          <w:szCs w:val="22"/>
          <w:lang w:val="sl-SI"/>
        </w:rPr>
        <w:t xml:space="preserve"> priporoča</w:t>
      </w:r>
      <w:r w:rsidRPr="00EE1689">
        <w:rPr>
          <w:bCs/>
          <w:iCs/>
          <w:szCs w:val="22"/>
          <w:lang w:val="sl-SI"/>
        </w:rPr>
        <w:t>:</w:t>
      </w:r>
    </w:p>
    <w:p w14:paraId="01380647" w14:textId="77777777" w:rsidR="007C6480" w:rsidRPr="00EE1689" w:rsidRDefault="007C6480" w:rsidP="000619F4">
      <w:pPr>
        <w:keepNext/>
        <w:keepLines/>
        <w:rPr>
          <w:szCs w:val="22"/>
          <w:lang w:val="sl-SI"/>
        </w:rPr>
      </w:pPr>
    </w:p>
    <w:p w14:paraId="5D5570D0" w14:textId="624B95A4" w:rsidR="007C6480" w:rsidRPr="00EE1689" w:rsidRDefault="001361C6" w:rsidP="000619F4">
      <w:pPr>
        <w:keepNext/>
        <w:keepLines/>
        <w:widowControl w:val="0"/>
        <w:numPr>
          <w:ilvl w:val="0"/>
          <w:numId w:val="9"/>
        </w:numPr>
        <w:tabs>
          <w:tab w:val="clear" w:pos="0"/>
        </w:tabs>
        <w:ind w:left="567" w:hanging="567"/>
        <w:rPr>
          <w:bCs/>
          <w:iCs/>
          <w:szCs w:val="22"/>
          <w:lang w:val="sl-SI"/>
        </w:rPr>
      </w:pPr>
      <w:r w:rsidRPr="00EE1689">
        <w:rPr>
          <w:b/>
          <w:lang w:val="sl-SI"/>
        </w:rPr>
        <w:t>večjo ambicioznost</w:t>
      </w:r>
      <w:r w:rsidRPr="00EE1689">
        <w:rPr>
          <w:lang w:val="sl-SI"/>
        </w:rPr>
        <w:t xml:space="preserve"> pri obravnavi zmanjševanja in preprečevanja tveganja nesreč, namesto da se osredotočamo predvsem na zmogljivosti za odzivanje. Za vzpostavitev učinkovitega in povezanega mehanizma Unije na področju civilne zaščite sta potrebna celovit </w:t>
      </w:r>
      <w:r w:rsidRPr="00EE1689">
        <w:rPr>
          <w:b/>
          <w:lang w:val="sl-SI"/>
        </w:rPr>
        <w:t>okvir politike za zmanjševanje tveganja</w:t>
      </w:r>
      <w:r w:rsidRPr="00EE1689">
        <w:rPr>
          <w:lang w:val="sl-SI"/>
        </w:rPr>
        <w:t xml:space="preserve"> po vsej EU ter večji poudarek na </w:t>
      </w:r>
      <w:r w:rsidRPr="00EE1689">
        <w:rPr>
          <w:b/>
          <w:lang w:val="sl-SI"/>
        </w:rPr>
        <w:t>medsektorskem in čezmejnem</w:t>
      </w:r>
      <w:r w:rsidRPr="00EE1689">
        <w:rPr>
          <w:lang w:val="sl-SI"/>
        </w:rPr>
        <w:t xml:space="preserve"> preprečevanju nesreč v okviru celostnega sistema za obvladovanje tveganj;</w:t>
      </w:r>
    </w:p>
    <w:p w14:paraId="31D5BD0C" w14:textId="4D56D40F" w:rsidR="007C6480" w:rsidRPr="00EE1689" w:rsidRDefault="001361C6" w:rsidP="000619F4">
      <w:pPr>
        <w:keepNext/>
        <w:keepLines/>
        <w:widowControl w:val="0"/>
        <w:numPr>
          <w:ilvl w:val="0"/>
          <w:numId w:val="9"/>
        </w:numPr>
        <w:tabs>
          <w:tab w:val="clear" w:pos="0"/>
        </w:tabs>
        <w:ind w:left="567" w:hanging="567"/>
        <w:rPr>
          <w:bCs/>
          <w:iCs/>
          <w:szCs w:val="22"/>
          <w:lang w:val="sl-SI"/>
        </w:rPr>
      </w:pPr>
      <w:r w:rsidRPr="00EE1689">
        <w:rPr>
          <w:b/>
          <w:lang w:val="sl-SI"/>
        </w:rPr>
        <w:t>zmanjšanje upravnih bremen</w:t>
      </w:r>
      <w:r w:rsidRPr="00EE1689">
        <w:rPr>
          <w:lang w:val="sl-SI"/>
        </w:rPr>
        <w:t xml:space="preserve">, odpravo prekrivanj, nadgradnjo neustreznih podatkovnih in podpornih sistemov, povečanje usposobljenih človeških virov in vlaganje v interoperabilne zmogljivosti na podlagi skupnih standardov in možnosti usposabljanja ob zagotavljanju </w:t>
      </w:r>
      <w:r w:rsidRPr="00EE1689">
        <w:rPr>
          <w:b/>
          <w:lang w:val="sl-SI"/>
        </w:rPr>
        <w:t>visokokakovostnih delovnih pogojev</w:t>
      </w:r>
      <w:r w:rsidRPr="00EE1689">
        <w:rPr>
          <w:lang w:val="sl-SI"/>
        </w:rPr>
        <w:t xml:space="preserve"> kot osnove za to, da se z uporabo vsedružbenega pristopa krepi družbena odpornost proti krizam;</w:t>
      </w:r>
    </w:p>
    <w:p w14:paraId="6FC2405C" w14:textId="0B387FFA" w:rsidR="007C6480" w:rsidRPr="00EE1689" w:rsidRDefault="001361C6" w:rsidP="000619F4">
      <w:pPr>
        <w:keepNext/>
        <w:keepLines/>
        <w:widowControl w:val="0"/>
        <w:numPr>
          <w:ilvl w:val="0"/>
          <w:numId w:val="9"/>
        </w:numPr>
        <w:tabs>
          <w:tab w:val="clear" w:pos="0"/>
        </w:tabs>
        <w:ind w:left="567" w:hanging="567"/>
        <w:rPr>
          <w:bCs/>
          <w:iCs/>
          <w:szCs w:val="22"/>
          <w:lang w:val="sl-SI"/>
        </w:rPr>
      </w:pPr>
      <w:r w:rsidRPr="00EE1689">
        <w:rPr>
          <w:b/>
          <w:lang w:val="sl-SI"/>
        </w:rPr>
        <w:t>boljše predvidevanje in razumevanje</w:t>
      </w:r>
      <w:r w:rsidRPr="00EE1689">
        <w:rPr>
          <w:lang w:val="sl-SI"/>
        </w:rPr>
        <w:t xml:space="preserve"> nesreč in kriz ob upoštevanju vpliva propagande in dezinformacij, ki povečujejo družbeni stres;</w:t>
      </w:r>
    </w:p>
    <w:p w14:paraId="11925D42" w14:textId="729B0CB0" w:rsidR="001361C6" w:rsidRPr="000619F4" w:rsidRDefault="001361C6" w:rsidP="000619F4">
      <w:pPr>
        <w:keepNext/>
        <w:keepLines/>
        <w:widowControl w:val="0"/>
        <w:numPr>
          <w:ilvl w:val="0"/>
          <w:numId w:val="9"/>
        </w:numPr>
        <w:tabs>
          <w:tab w:val="clear" w:pos="0"/>
        </w:tabs>
        <w:ind w:left="567" w:hanging="567"/>
        <w:rPr>
          <w:bCs/>
          <w:iCs/>
          <w:spacing w:val="-8"/>
          <w:szCs w:val="22"/>
          <w:lang w:val="sl-SI"/>
        </w:rPr>
      </w:pPr>
      <w:r w:rsidRPr="000619F4">
        <w:rPr>
          <w:spacing w:val="-8"/>
          <w:lang w:val="sl-SI"/>
        </w:rPr>
        <w:t xml:space="preserve">okrepitev mehanizma Unije na področju civilne zaščite z </w:t>
      </w:r>
      <w:r w:rsidRPr="000619F4">
        <w:rPr>
          <w:b/>
          <w:spacing w:val="-8"/>
          <w:lang w:val="sl-SI"/>
        </w:rPr>
        <w:t>dodatnim financiranjem</w:t>
      </w:r>
      <w:r w:rsidRPr="000619F4">
        <w:rPr>
          <w:spacing w:val="-8"/>
          <w:lang w:val="sl-SI"/>
        </w:rPr>
        <w:t>, zlasti za ranljive skupine in regije, vključno z najbolj oddaljenimi regijami in regijami v bližini vojnih območij;</w:t>
      </w:r>
    </w:p>
    <w:p w14:paraId="4142BE8A" w14:textId="5D5B4A90" w:rsidR="001361C6" w:rsidRPr="00EE1689" w:rsidRDefault="001361C6" w:rsidP="000619F4">
      <w:pPr>
        <w:keepNext/>
        <w:keepLines/>
        <w:widowControl w:val="0"/>
        <w:numPr>
          <w:ilvl w:val="0"/>
          <w:numId w:val="9"/>
        </w:numPr>
        <w:tabs>
          <w:tab w:val="clear" w:pos="0"/>
        </w:tabs>
        <w:ind w:left="567" w:hanging="567"/>
        <w:rPr>
          <w:bCs/>
          <w:iCs/>
          <w:szCs w:val="22"/>
          <w:lang w:val="sl-SI"/>
        </w:rPr>
      </w:pPr>
      <w:r w:rsidRPr="00EE1689">
        <w:rPr>
          <w:lang w:val="sl-SI"/>
        </w:rPr>
        <w:t xml:space="preserve">zagotavljanje </w:t>
      </w:r>
      <w:r w:rsidRPr="00EE1689">
        <w:rPr>
          <w:b/>
          <w:lang w:val="sl-SI"/>
        </w:rPr>
        <w:t>skladnosti z načrti za nacionalna in regionalna partnerstva</w:t>
      </w:r>
      <w:r w:rsidRPr="00EE1689">
        <w:rPr>
          <w:lang w:val="sl-SI"/>
        </w:rPr>
        <w:t>, predloženimi za programsko obdobje 2028–2034;</w:t>
      </w:r>
    </w:p>
    <w:p w14:paraId="12486C41" w14:textId="77FEC3D0" w:rsidR="001361C6" w:rsidRPr="00EE1689" w:rsidRDefault="001361C6" w:rsidP="000619F4">
      <w:pPr>
        <w:keepNext/>
        <w:keepLines/>
        <w:widowControl w:val="0"/>
        <w:numPr>
          <w:ilvl w:val="0"/>
          <w:numId w:val="9"/>
        </w:numPr>
        <w:tabs>
          <w:tab w:val="clear" w:pos="0"/>
        </w:tabs>
        <w:ind w:left="567" w:hanging="567"/>
        <w:rPr>
          <w:bCs/>
          <w:iCs/>
          <w:szCs w:val="22"/>
          <w:lang w:val="sl-SI"/>
        </w:rPr>
      </w:pPr>
      <w:r w:rsidRPr="00EE1689">
        <w:rPr>
          <w:lang w:val="sl-SI"/>
        </w:rPr>
        <w:t xml:space="preserve">spodbujanje </w:t>
      </w:r>
      <w:r w:rsidRPr="00EE1689">
        <w:rPr>
          <w:b/>
          <w:lang w:val="sl-SI"/>
        </w:rPr>
        <w:t>večjega dopolnjevanja</w:t>
      </w:r>
      <w:r w:rsidRPr="00EE1689">
        <w:rPr>
          <w:lang w:val="sl-SI"/>
        </w:rPr>
        <w:t xml:space="preserve"> med obstoječimi instrumenti, kot so varnostni ukrepi za Evropo, Evropska solidarnostna enota in mehanizem Unije na področju civilne zaščite;</w:t>
      </w:r>
    </w:p>
    <w:p w14:paraId="03AAE818" w14:textId="2C5B57C9" w:rsidR="001361C6" w:rsidRPr="00EE1689" w:rsidRDefault="001361C6" w:rsidP="000619F4">
      <w:pPr>
        <w:keepNext/>
        <w:keepLines/>
        <w:widowControl w:val="0"/>
        <w:numPr>
          <w:ilvl w:val="0"/>
          <w:numId w:val="9"/>
        </w:numPr>
        <w:tabs>
          <w:tab w:val="clear" w:pos="0"/>
        </w:tabs>
        <w:ind w:left="567" w:hanging="567"/>
        <w:rPr>
          <w:bCs/>
          <w:iCs/>
          <w:szCs w:val="22"/>
          <w:lang w:val="sl-SI"/>
        </w:rPr>
      </w:pPr>
      <w:r w:rsidRPr="00EE1689">
        <w:rPr>
          <w:lang w:val="sl-SI"/>
        </w:rPr>
        <w:t xml:space="preserve">zagotavljanje zadostnega in stabilnega </w:t>
      </w:r>
      <w:r w:rsidRPr="00EE1689">
        <w:rPr>
          <w:b/>
          <w:lang w:val="sl-SI"/>
        </w:rPr>
        <w:t>financiranja za poklicne gasilce in zdravstveno osebje</w:t>
      </w:r>
      <w:r w:rsidRPr="00EE1689">
        <w:rPr>
          <w:lang w:val="sl-SI"/>
        </w:rPr>
        <w:t>, da se v okviru mehanizma Unije na področju civilne zaščite še naprej omogočata učinkovitost in hitro odzivanje, hkrati pa okrepi vloga prostovoljcev;</w:t>
      </w:r>
    </w:p>
    <w:p w14:paraId="47437D4E" w14:textId="665964D0" w:rsidR="001361C6" w:rsidRPr="00EE1689" w:rsidRDefault="001361C6" w:rsidP="00EE1689">
      <w:pPr>
        <w:widowControl w:val="0"/>
        <w:numPr>
          <w:ilvl w:val="0"/>
          <w:numId w:val="9"/>
        </w:numPr>
        <w:tabs>
          <w:tab w:val="clear" w:pos="0"/>
        </w:tabs>
        <w:ind w:left="567" w:hanging="567"/>
        <w:rPr>
          <w:bCs/>
          <w:iCs/>
          <w:szCs w:val="22"/>
          <w:lang w:val="sl-SI"/>
        </w:rPr>
      </w:pPr>
      <w:r w:rsidRPr="00EE1689">
        <w:rPr>
          <w:b/>
          <w:lang w:val="sl-SI"/>
        </w:rPr>
        <w:t>prožnost kot podlago za mehanizem Unije na področju civilne zaščite</w:t>
      </w:r>
      <w:r w:rsidRPr="00EE1689">
        <w:rPr>
          <w:lang w:val="sl-SI"/>
        </w:rPr>
        <w:t xml:space="preserve">, da se upoštevajo razlike med nacionalnimi sistemi za obvladovanje nesreč, hkrati pa </w:t>
      </w:r>
      <w:r w:rsidRPr="00EE1689">
        <w:rPr>
          <w:b/>
          <w:lang w:val="sl-SI"/>
        </w:rPr>
        <w:t>omogočita čezmejno sodelovanje</w:t>
      </w:r>
      <w:r w:rsidRPr="00EE1689">
        <w:rPr>
          <w:lang w:val="sl-SI"/>
        </w:rPr>
        <w:t xml:space="preserve"> in usklajevanje za hiter in učinkovit odziv na nesreče, ki ne poznajo meja, ob polnem sodelovanju organizirane civilne družbe;</w:t>
      </w:r>
    </w:p>
    <w:p w14:paraId="0E7D6CE3" w14:textId="44A5C7CF" w:rsidR="001361C6" w:rsidRPr="00EE1689" w:rsidRDefault="001361C6" w:rsidP="00EE1689">
      <w:pPr>
        <w:widowControl w:val="0"/>
        <w:numPr>
          <w:ilvl w:val="0"/>
          <w:numId w:val="9"/>
        </w:numPr>
        <w:tabs>
          <w:tab w:val="clear" w:pos="0"/>
        </w:tabs>
        <w:ind w:left="567" w:hanging="567"/>
        <w:rPr>
          <w:bCs/>
          <w:iCs/>
          <w:szCs w:val="22"/>
          <w:lang w:val="sl-SI"/>
        </w:rPr>
      </w:pPr>
      <w:r w:rsidRPr="00EE1689">
        <w:rPr>
          <w:lang w:val="sl-SI"/>
        </w:rPr>
        <w:t xml:space="preserve">prilagoditev pravil o javnem naročanju, da se v kriznih razmerah </w:t>
      </w:r>
      <w:r w:rsidRPr="00EE1689">
        <w:rPr>
          <w:b/>
          <w:lang w:val="sl-SI"/>
        </w:rPr>
        <w:t>hitro in učinkovito dobavijo ključne dobrine</w:t>
      </w:r>
      <w:r w:rsidRPr="00EE1689">
        <w:rPr>
          <w:lang w:val="sl-SI"/>
        </w:rPr>
        <w:t xml:space="preserve"> in storitve;</w:t>
      </w:r>
    </w:p>
    <w:p w14:paraId="26EF3428" w14:textId="283B36E1" w:rsidR="001361C6" w:rsidRPr="000619F4" w:rsidRDefault="001361C6" w:rsidP="00EE1689">
      <w:pPr>
        <w:widowControl w:val="0"/>
        <w:numPr>
          <w:ilvl w:val="0"/>
          <w:numId w:val="9"/>
        </w:numPr>
        <w:tabs>
          <w:tab w:val="clear" w:pos="0"/>
        </w:tabs>
        <w:ind w:left="567" w:hanging="567"/>
        <w:rPr>
          <w:bCs/>
          <w:iCs/>
          <w:spacing w:val="-2"/>
          <w:szCs w:val="22"/>
          <w:lang w:val="sl-SI"/>
        </w:rPr>
      </w:pPr>
      <w:r w:rsidRPr="000619F4">
        <w:rPr>
          <w:spacing w:val="-2"/>
          <w:lang w:val="sl-SI"/>
        </w:rPr>
        <w:t xml:space="preserve">uvedbo </w:t>
      </w:r>
      <w:r w:rsidRPr="000619F4">
        <w:rPr>
          <w:b/>
          <w:spacing w:val="-2"/>
          <w:lang w:val="sl-SI"/>
        </w:rPr>
        <w:t>standardnega obrazca za poročanje o nesrečah</w:t>
      </w:r>
      <w:r w:rsidRPr="000619F4">
        <w:rPr>
          <w:spacing w:val="-2"/>
          <w:lang w:val="sl-SI"/>
        </w:rPr>
        <w:t>, ki bi ga uporabljale vse države članice.</w:t>
      </w:r>
    </w:p>
    <w:p w14:paraId="0A2C02CF" w14:textId="77777777" w:rsidR="007C6480" w:rsidRPr="00EE1689" w:rsidRDefault="007C6480"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334DE946" w14:textId="77777777" w:rsidTr="00827140">
        <w:tc>
          <w:tcPr>
            <w:tcW w:w="974" w:type="pct"/>
          </w:tcPr>
          <w:p w14:paraId="55747C91" w14:textId="77777777" w:rsidR="007C6480" w:rsidRPr="00EE1689" w:rsidRDefault="007C6480" w:rsidP="00EE1689">
            <w:pPr>
              <w:rPr>
                <w:lang w:val="sl-SI"/>
              </w:rPr>
            </w:pPr>
            <w:r w:rsidRPr="00EE1689">
              <w:rPr>
                <w:b/>
                <w:i/>
                <w:szCs w:val="22"/>
                <w:lang w:val="sl-SI"/>
              </w:rPr>
              <w:t>Kontaktna oseba</w:t>
            </w:r>
          </w:p>
        </w:tc>
        <w:tc>
          <w:tcPr>
            <w:tcW w:w="4026" w:type="pct"/>
          </w:tcPr>
          <w:p w14:paraId="70DB9772" w14:textId="6E3814E6" w:rsidR="007C6480" w:rsidRPr="00EE1689" w:rsidRDefault="001361C6" w:rsidP="00EE1689">
            <w:pPr>
              <w:rPr>
                <w:i/>
                <w:lang w:val="sl-SI"/>
              </w:rPr>
            </w:pPr>
            <w:r w:rsidRPr="00EE1689">
              <w:rPr>
                <w:i/>
                <w:lang w:val="sl-SI"/>
              </w:rPr>
              <w:t>Arturo Íñiguez Yuste</w:t>
            </w:r>
          </w:p>
        </w:tc>
      </w:tr>
      <w:tr w:rsidR="007C6480" w:rsidRPr="00EE1689" w14:paraId="1FF814B5" w14:textId="77777777" w:rsidTr="00827140">
        <w:tc>
          <w:tcPr>
            <w:tcW w:w="974" w:type="pct"/>
          </w:tcPr>
          <w:p w14:paraId="4EFAFBD2" w14:textId="77777777" w:rsidR="007C6480" w:rsidRPr="00EE1689" w:rsidRDefault="007C6480" w:rsidP="00EE1689">
            <w:pPr>
              <w:rPr>
                <w:lang w:val="sl-SI"/>
              </w:rPr>
            </w:pPr>
            <w:r w:rsidRPr="00EE1689">
              <w:rPr>
                <w:i/>
                <w:szCs w:val="22"/>
                <w:lang w:val="sl-SI"/>
              </w:rPr>
              <w:t>Telefon</w:t>
            </w:r>
          </w:p>
        </w:tc>
        <w:tc>
          <w:tcPr>
            <w:tcW w:w="4026" w:type="pct"/>
          </w:tcPr>
          <w:p w14:paraId="0D9B7585" w14:textId="4A726954" w:rsidR="007C6480" w:rsidRPr="00EE1689" w:rsidRDefault="007C6480" w:rsidP="00EE1689">
            <w:pPr>
              <w:rPr>
                <w:lang w:val="sl-SI"/>
              </w:rPr>
            </w:pPr>
            <w:r w:rsidRPr="00EE1689">
              <w:rPr>
                <w:i/>
                <w:szCs w:val="22"/>
                <w:lang w:val="sl-SI"/>
              </w:rPr>
              <w:t>+32 2 </w:t>
            </w:r>
            <w:r w:rsidR="001361C6" w:rsidRPr="00EE1689">
              <w:rPr>
                <w:i/>
                <w:szCs w:val="22"/>
                <w:lang w:val="sl-SI"/>
              </w:rPr>
              <w:t>546 8768</w:t>
            </w:r>
          </w:p>
        </w:tc>
      </w:tr>
      <w:tr w:rsidR="007C6480" w:rsidRPr="00EE1689" w14:paraId="167A9B73" w14:textId="77777777" w:rsidTr="00827140">
        <w:tc>
          <w:tcPr>
            <w:tcW w:w="974" w:type="pct"/>
          </w:tcPr>
          <w:p w14:paraId="0B3F2FBC" w14:textId="77777777" w:rsidR="007C6480" w:rsidRPr="00EE1689" w:rsidRDefault="007C6480" w:rsidP="00EE1689">
            <w:pPr>
              <w:rPr>
                <w:lang w:val="sl-SI"/>
              </w:rPr>
            </w:pPr>
            <w:r w:rsidRPr="00EE1689">
              <w:rPr>
                <w:i/>
                <w:szCs w:val="22"/>
                <w:lang w:val="sl-SI"/>
              </w:rPr>
              <w:t>E-naslov</w:t>
            </w:r>
          </w:p>
        </w:tc>
        <w:tc>
          <w:tcPr>
            <w:tcW w:w="4026" w:type="pct"/>
          </w:tcPr>
          <w:p w14:paraId="1216F9D2" w14:textId="1202B67D" w:rsidR="007C6480" w:rsidRPr="00EE1689" w:rsidRDefault="00FA3430" w:rsidP="00EE1689">
            <w:pPr>
              <w:rPr>
                <w:i/>
                <w:lang w:val="sl-SI"/>
              </w:rPr>
            </w:pPr>
            <w:hyperlink r:id="rId38" w:history="1">
              <w:r w:rsidR="001361C6" w:rsidRPr="00EE1689">
                <w:rPr>
                  <w:rStyle w:val="Hyperlink"/>
                  <w:i/>
                  <w:lang w:val="sl-SI"/>
                </w:rPr>
                <w:t>Arturo.Iniguez@eesc.europa.eu</w:t>
              </w:r>
            </w:hyperlink>
          </w:p>
        </w:tc>
      </w:tr>
    </w:tbl>
    <w:p w14:paraId="78AA3A0E" w14:textId="77777777" w:rsidR="007C6480" w:rsidRPr="00EE1689" w:rsidRDefault="007C6480" w:rsidP="00EE1689">
      <w:pPr>
        <w:rPr>
          <w:lang w:val="sl-SI"/>
        </w:rPr>
      </w:pPr>
    </w:p>
    <w:p w14:paraId="6FEFA9F8" w14:textId="77777777" w:rsidR="00437105" w:rsidRPr="00EE1689" w:rsidRDefault="00437105" w:rsidP="00EE1689">
      <w:pPr>
        <w:rPr>
          <w:lang w:val="sl-SI"/>
        </w:rPr>
      </w:pPr>
    </w:p>
    <w:p w14:paraId="58588674" w14:textId="77777777" w:rsidR="00437105" w:rsidRPr="00EE1689" w:rsidRDefault="00437105" w:rsidP="00EE1689">
      <w:pPr>
        <w:pStyle w:val="Heading1"/>
        <w:pageBreakBefore/>
        <w:overflowPunct/>
        <w:autoSpaceDE/>
        <w:autoSpaceDN/>
        <w:adjustRightInd/>
        <w:ind w:left="567" w:hanging="567"/>
        <w:textAlignment w:val="auto"/>
        <w:rPr>
          <w:lang w:val="sl-SI"/>
        </w:rPr>
      </w:pPr>
      <w:bookmarkStart w:id="11" w:name="_Toc103071396"/>
      <w:bookmarkStart w:id="12" w:name="_Toc105440140"/>
      <w:r w:rsidRPr="00EE1689">
        <w:rPr>
          <w:b/>
          <w:lang w:val="sl-SI"/>
        </w:rPr>
        <w:lastRenderedPageBreak/>
        <w:t>ZUNANJI ODNOSI</w:t>
      </w:r>
      <w:bookmarkEnd w:id="11"/>
      <w:bookmarkEnd w:id="12"/>
    </w:p>
    <w:p w14:paraId="572AF79E" w14:textId="77777777" w:rsidR="00437105" w:rsidRPr="00EE1689" w:rsidRDefault="00437105" w:rsidP="00EE1689">
      <w:pPr>
        <w:rPr>
          <w:lang w:val="sl-SI"/>
        </w:rPr>
      </w:pPr>
    </w:p>
    <w:p w14:paraId="266A3C52" w14:textId="19BCE022" w:rsidR="00EA31FC" w:rsidRPr="00EE1689" w:rsidRDefault="00FA3430" w:rsidP="00EE1689">
      <w:pPr>
        <w:numPr>
          <w:ilvl w:val="0"/>
          <w:numId w:val="7"/>
        </w:numPr>
        <w:tabs>
          <w:tab w:val="clear" w:pos="0"/>
        </w:tabs>
        <w:ind w:left="567" w:hanging="567"/>
        <w:rPr>
          <w:sz w:val="28"/>
          <w:szCs w:val="22"/>
          <w:lang w:val="sl-SI"/>
        </w:rPr>
      </w:pPr>
      <w:hyperlink r:id="rId39" w:history="1">
        <w:r w:rsidR="000101C2" w:rsidRPr="00EE1689">
          <w:rPr>
            <w:rStyle w:val="Hyperlink"/>
            <w:b/>
            <w:i/>
            <w:sz w:val="28"/>
            <w:szCs w:val="22"/>
            <w:lang w:val="sl-SI"/>
          </w:rPr>
          <w:t>Strateški pristop Evropske unije k črnomorski regiji</w:t>
        </w:r>
      </w:hyperlink>
    </w:p>
    <w:p w14:paraId="5498DA0C" w14:textId="77777777" w:rsidR="00EA31FC" w:rsidRPr="00EE1689" w:rsidRDefault="00EA31FC" w:rsidP="00EE1689">
      <w:pPr>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437105" w:rsidRPr="00EE1689" w14:paraId="50387759" w14:textId="77777777" w:rsidTr="00993CB4">
        <w:tc>
          <w:tcPr>
            <w:tcW w:w="974" w:type="pct"/>
          </w:tcPr>
          <w:p w14:paraId="06F1EA69" w14:textId="32238316" w:rsidR="00437105" w:rsidRPr="00EE1689" w:rsidRDefault="00437105" w:rsidP="00EE1689">
            <w:pPr>
              <w:rPr>
                <w:b/>
                <w:szCs w:val="22"/>
                <w:lang w:val="sl-SI"/>
              </w:rPr>
            </w:pPr>
            <w:r w:rsidRPr="00EE1689">
              <w:rPr>
                <w:b/>
                <w:szCs w:val="22"/>
                <w:lang w:val="sl-SI"/>
              </w:rPr>
              <w:t>Poročeval</w:t>
            </w:r>
            <w:r w:rsidR="000101C2" w:rsidRPr="00EE1689">
              <w:rPr>
                <w:b/>
                <w:szCs w:val="22"/>
                <w:lang w:val="sl-SI"/>
              </w:rPr>
              <w:t>ka</w:t>
            </w:r>
          </w:p>
        </w:tc>
        <w:tc>
          <w:tcPr>
            <w:tcW w:w="4026" w:type="pct"/>
          </w:tcPr>
          <w:p w14:paraId="09BA6EC7" w14:textId="1774E36D" w:rsidR="00437105" w:rsidRPr="00EE1689" w:rsidRDefault="000101C2" w:rsidP="00EE1689">
            <w:pPr>
              <w:rPr>
                <w:szCs w:val="22"/>
                <w:lang w:val="sl-SI"/>
              </w:rPr>
            </w:pPr>
            <w:r w:rsidRPr="00EE1689">
              <w:rPr>
                <w:szCs w:val="22"/>
                <w:lang w:val="sl-SI"/>
              </w:rPr>
              <w:t>Milena ANGELOVA (skupina delodajalcev – BG)</w:t>
            </w:r>
          </w:p>
        </w:tc>
      </w:tr>
      <w:tr w:rsidR="00437105" w:rsidRPr="00EE1689" w14:paraId="11DFCAE8" w14:textId="77777777" w:rsidTr="00993CB4">
        <w:tc>
          <w:tcPr>
            <w:tcW w:w="5000" w:type="pct"/>
            <w:gridSpan w:val="2"/>
          </w:tcPr>
          <w:p w14:paraId="244BFAC3" w14:textId="77777777" w:rsidR="00437105" w:rsidRPr="00EE1689" w:rsidRDefault="00437105" w:rsidP="00EE1689">
            <w:pPr>
              <w:rPr>
                <w:sz w:val="16"/>
                <w:szCs w:val="22"/>
                <w:lang w:val="sl-SI"/>
              </w:rPr>
            </w:pPr>
          </w:p>
        </w:tc>
      </w:tr>
      <w:tr w:rsidR="00437105" w:rsidRPr="00EE1689" w14:paraId="4F12DD3F" w14:textId="77777777" w:rsidTr="00993CB4">
        <w:tc>
          <w:tcPr>
            <w:tcW w:w="974" w:type="pct"/>
            <w:vMerge w:val="restart"/>
          </w:tcPr>
          <w:p w14:paraId="5177E55F" w14:textId="307CBD0E" w:rsidR="00437105" w:rsidRPr="00EE1689" w:rsidRDefault="00437105" w:rsidP="00EE1689">
            <w:pPr>
              <w:rPr>
                <w:b/>
                <w:szCs w:val="22"/>
                <w:lang w:val="sl-SI"/>
              </w:rPr>
            </w:pPr>
            <w:r w:rsidRPr="00EE1689">
              <w:rPr>
                <w:b/>
                <w:szCs w:val="22"/>
                <w:lang w:val="sl-SI"/>
              </w:rPr>
              <w:t>Referenčn</w:t>
            </w:r>
            <w:r w:rsidR="003B1306" w:rsidRPr="00EE1689">
              <w:rPr>
                <w:b/>
                <w:szCs w:val="22"/>
                <w:lang w:val="sl-SI"/>
              </w:rPr>
              <w:t>a</w:t>
            </w:r>
            <w:r w:rsidRPr="00EE1689">
              <w:rPr>
                <w:b/>
                <w:szCs w:val="22"/>
                <w:lang w:val="sl-SI"/>
              </w:rPr>
              <w:t xml:space="preserve"> dokument</w:t>
            </w:r>
            <w:r w:rsidR="003B1306" w:rsidRPr="00EE1689">
              <w:rPr>
                <w:b/>
                <w:szCs w:val="22"/>
                <w:lang w:val="sl-SI"/>
              </w:rPr>
              <w:t>a</w:t>
            </w:r>
          </w:p>
        </w:tc>
        <w:tc>
          <w:tcPr>
            <w:tcW w:w="4026" w:type="pct"/>
          </w:tcPr>
          <w:p w14:paraId="7FA74519" w14:textId="586896E1" w:rsidR="00437105" w:rsidRPr="00EE1689" w:rsidRDefault="00181C75" w:rsidP="00EE1689">
            <w:pPr>
              <w:rPr>
                <w:szCs w:val="22"/>
                <w:lang w:val="sl-SI"/>
              </w:rPr>
            </w:pPr>
            <w:r w:rsidRPr="00EE1689">
              <w:rPr>
                <w:szCs w:val="22"/>
                <w:lang w:val="sl-SI"/>
              </w:rPr>
              <w:t>JOIN(2025) 135 final</w:t>
            </w:r>
          </w:p>
        </w:tc>
      </w:tr>
      <w:tr w:rsidR="00437105" w:rsidRPr="00EE1689" w14:paraId="6701881A" w14:textId="77777777" w:rsidTr="00993CB4">
        <w:tc>
          <w:tcPr>
            <w:tcW w:w="974" w:type="pct"/>
            <w:vMerge/>
          </w:tcPr>
          <w:p w14:paraId="21BE9BD2" w14:textId="77777777" w:rsidR="00437105" w:rsidRPr="00EE1689" w:rsidRDefault="00437105" w:rsidP="00EE1689">
            <w:pPr>
              <w:tabs>
                <w:tab w:val="center" w:pos="284"/>
              </w:tabs>
              <w:ind w:left="266" w:hanging="266"/>
              <w:rPr>
                <w:b/>
                <w:szCs w:val="22"/>
                <w:lang w:val="sl-SI"/>
              </w:rPr>
            </w:pPr>
          </w:p>
        </w:tc>
        <w:tc>
          <w:tcPr>
            <w:tcW w:w="4026" w:type="pct"/>
          </w:tcPr>
          <w:p w14:paraId="286C8A47" w14:textId="32A8E0CB" w:rsidR="00437105" w:rsidRPr="00EE1689" w:rsidRDefault="00181C75" w:rsidP="00EE1689">
            <w:pPr>
              <w:rPr>
                <w:szCs w:val="22"/>
                <w:lang w:val="sl-SI"/>
              </w:rPr>
            </w:pPr>
            <w:r w:rsidRPr="00EE1689">
              <w:rPr>
                <w:szCs w:val="22"/>
                <w:lang w:val="sl-SI"/>
              </w:rPr>
              <w:t>EESC-2025-02608-00-00-AC</w:t>
            </w:r>
          </w:p>
        </w:tc>
      </w:tr>
    </w:tbl>
    <w:p w14:paraId="40CF4422" w14:textId="77777777" w:rsidR="00437105" w:rsidRPr="00EE1689" w:rsidRDefault="00437105" w:rsidP="00EE1689">
      <w:pPr>
        <w:rPr>
          <w:szCs w:val="22"/>
          <w:lang w:val="sl-SI"/>
        </w:rPr>
      </w:pPr>
    </w:p>
    <w:p w14:paraId="6A759B66" w14:textId="77777777" w:rsidR="00437105" w:rsidRPr="00EE1689" w:rsidRDefault="00437105" w:rsidP="00EE1689">
      <w:pPr>
        <w:rPr>
          <w:lang w:val="sl-SI"/>
        </w:rPr>
      </w:pPr>
      <w:r w:rsidRPr="00EE1689">
        <w:rPr>
          <w:b/>
          <w:lang w:val="sl-SI"/>
        </w:rPr>
        <w:t>Glavne točke</w:t>
      </w:r>
    </w:p>
    <w:p w14:paraId="3CD78A19" w14:textId="77777777" w:rsidR="00437105" w:rsidRPr="00EE1689" w:rsidRDefault="00437105" w:rsidP="00EE1689">
      <w:pPr>
        <w:rPr>
          <w:szCs w:val="22"/>
          <w:lang w:val="sl-SI"/>
        </w:rPr>
      </w:pPr>
    </w:p>
    <w:p w14:paraId="33D9A618" w14:textId="77777777" w:rsidR="00437105" w:rsidRPr="00EE1689" w:rsidRDefault="00437105" w:rsidP="00EE1689">
      <w:pPr>
        <w:rPr>
          <w:bCs/>
          <w:iCs/>
          <w:szCs w:val="22"/>
          <w:lang w:val="sl-SI"/>
        </w:rPr>
      </w:pPr>
      <w:r w:rsidRPr="00EE1689">
        <w:rPr>
          <w:bCs/>
          <w:iCs/>
          <w:szCs w:val="22"/>
          <w:lang w:val="sl-SI"/>
        </w:rPr>
        <w:t>EESO:</w:t>
      </w:r>
    </w:p>
    <w:p w14:paraId="3FC5A55C" w14:textId="77777777" w:rsidR="00437105" w:rsidRPr="00EE1689" w:rsidRDefault="00437105" w:rsidP="00EE1689">
      <w:pPr>
        <w:rPr>
          <w:szCs w:val="22"/>
          <w:lang w:val="sl-SI"/>
        </w:rPr>
      </w:pPr>
    </w:p>
    <w:p w14:paraId="1C658E92" w14:textId="534B1203" w:rsidR="00437105" w:rsidRPr="00EE1689" w:rsidRDefault="000101C2" w:rsidP="00EE1689">
      <w:pPr>
        <w:widowControl w:val="0"/>
        <w:numPr>
          <w:ilvl w:val="0"/>
          <w:numId w:val="9"/>
        </w:numPr>
        <w:tabs>
          <w:tab w:val="clear" w:pos="0"/>
        </w:tabs>
        <w:ind w:left="567" w:hanging="567"/>
        <w:rPr>
          <w:bCs/>
          <w:iCs/>
          <w:szCs w:val="22"/>
          <w:lang w:val="sl-SI"/>
        </w:rPr>
      </w:pPr>
      <w:r w:rsidRPr="00EE1689">
        <w:rPr>
          <w:lang w:val="sl-SI"/>
        </w:rPr>
        <w:t xml:space="preserve">pozdravlja </w:t>
      </w:r>
      <w:r w:rsidRPr="00EE1689">
        <w:rPr>
          <w:b/>
          <w:lang w:val="sl-SI"/>
        </w:rPr>
        <w:t>dolgo pričakovano pobudo</w:t>
      </w:r>
      <w:r w:rsidRPr="00EE1689">
        <w:rPr>
          <w:lang w:val="sl-SI"/>
        </w:rPr>
        <w:t xml:space="preserve">, da se </w:t>
      </w:r>
      <w:r w:rsidRPr="00EE1689">
        <w:rPr>
          <w:b/>
          <w:lang w:val="sl-SI"/>
        </w:rPr>
        <w:t>posebna pozornost</w:t>
      </w:r>
      <w:r w:rsidRPr="00EE1689">
        <w:rPr>
          <w:lang w:val="sl-SI"/>
        </w:rPr>
        <w:t xml:space="preserve"> nameni </w:t>
      </w:r>
      <w:r w:rsidRPr="00EE1689">
        <w:rPr>
          <w:b/>
          <w:lang w:val="sl-SI"/>
        </w:rPr>
        <w:t>črnomorski regiji</w:t>
      </w:r>
      <w:r w:rsidRPr="00EE1689">
        <w:rPr>
          <w:lang w:val="sl-SI"/>
        </w:rPr>
        <w:t xml:space="preserve"> in pri tem uporabi strateški pristop Evropske unije, vendar meni, da je bila predlagana </w:t>
      </w:r>
      <w:r w:rsidRPr="00EE1689">
        <w:rPr>
          <w:b/>
          <w:lang w:val="sl-SI"/>
        </w:rPr>
        <w:t>nekoliko pozno</w:t>
      </w:r>
      <w:r w:rsidRPr="00EE1689">
        <w:rPr>
          <w:lang w:val="sl-SI"/>
        </w:rPr>
        <w:t xml:space="preserve">, zato poziva k </w:t>
      </w:r>
      <w:r w:rsidRPr="00EE1689">
        <w:rPr>
          <w:b/>
          <w:lang w:val="sl-SI"/>
        </w:rPr>
        <w:t>hitrim in odločnim ukrepom</w:t>
      </w:r>
      <w:r w:rsidRPr="00EE1689">
        <w:rPr>
          <w:lang w:val="sl-SI"/>
        </w:rPr>
        <w:t xml:space="preserve"> ter </w:t>
      </w:r>
      <w:r w:rsidRPr="00EE1689">
        <w:rPr>
          <w:b/>
          <w:lang w:val="sl-SI"/>
        </w:rPr>
        <w:t>zadostnim sredstvom za njeno izvajanje</w:t>
      </w:r>
      <w:r w:rsidRPr="00EE1689">
        <w:rPr>
          <w:lang w:val="sl-SI"/>
        </w:rPr>
        <w:t>;</w:t>
      </w:r>
    </w:p>
    <w:p w14:paraId="7F1B29D6" w14:textId="4AB89565" w:rsidR="00437105" w:rsidRPr="00EE1689" w:rsidRDefault="000101C2" w:rsidP="00EE1689">
      <w:pPr>
        <w:widowControl w:val="0"/>
        <w:numPr>
          <w:ilvl w:val="0"/>
          <w:numId w:val="9"/>
        </w:numPr>
        <w:tabs>
          <w:tab w:val="clear" w:pos="0"/>
        </w:tabs>
        <w:ind w:left="567" w:hanging="567"/>
        <w:rPr>
          <w:bCs/>
          <w:iCs/>
          <w:szCs w:val="22"/>
          <w:lang w:val="sl-SI"/>
        </w:rPr>
      </w:pPr>
      <w:r w:rsidRPr="00EE1689">
        <w:rPr>
          <w:lang w:val="sl-SI"/>
        </w:rPr>
        <w:t xml:space="preserve">poudarja, da se </w:t>
      </w:r>
      <w:r w:rsidRPr="00EE1689">
        <w:rPr>
          <w:b/>
          <w:lang w:val="sl-SI"/>
        </w:rPr>
        <w:t>vse države v regiji</w:t>
      </w:r>
      <w:r w:rsidRPr="00EE1689">
        <w:rPr>
          <w:lang w:val="sl-SI"/>
        </w:rPr>
        <w:t xml:space="preserve"> soočajo z</w:t>
      </w:r>
      <w:r w:rsidRPr="00EE1689">
        <w:rPr>
          <w:b/>
          <w:lang w:val="sl-SI"/>
        </w:rPr>
        <w:t xml:space="preserve"> negativnimi posledicami vojaške sovražnosti</w:t>
      </w:r>
      <w:r w:rsidRPr="00EE1689">
        <w:rPr>
          <w:lang w:val="sl-SI"/>
        </w:rPr>
        <w:t xml:space="preserve">, vendar pa </w:t>
      </w:r>
      <w:r w:rsidRPr="00EE1689">
        <w:rPr>
          <w:b/>
          <w:lang w:val="sl-SI"/>
        </w:rPr>
        <w:t>kljub svojim prizadevanjem in žrtvovanju niso prejele ustrezne usmerjene socialne in gospodarske podpore</w:t>
      </w:r>
      <w:r w:rsidRPr="00EE1689">
        <w:rPr>
          <w:lang w:val="sl-SI"/>
        </w:rPr>
        <w:t>;</w:t>
      </w:r>
    </w:p>
    <w:p w14:paraId="5020FCCA" w14:textId="2CB6E86A" w:rsidR="00437105" w:rsidRPr="00EE1689" w:rsidRDefault="000101C2" w:rsidP="00EE1689">
      <w:pPr>
        <w:widowControl w:val="0"/>
        <w:numPr>
          <w:ilvl w:val="0"/>
          <w:numId w:val="9"/>
        </w:numPr>
        <w:tabs>
          <w:tab w:val="clear" w:pos="0"/>
        </w:tabs>
        <w:ind w:left="567" w:hanging="567"/>
        <w:rPr>
          <w:bCs/>
          <w:iCs/>
          <w:szCs w:val="22"/>
          <w:lang w:val="sl-SI"/>
        </w:rPr>
      </w:pPr>
      <w:r w:rsidRPr="00EE1689">
        <w:rPr>
          <w:lang w:val="sl-SI"/>
        </w:rPr>
        <w:t xml:space="preserve">poziva Komisijo, naj v posvetovanju z državami članicami EU, državami črnomorske regije in vsemi deležniki </w:t>
      </w:r>
      <w:r w:rsidRPr="00EE1689">
        <w:rPr>
          <w:b/>
          <w:lang w:val="sl-SI"/>
        </w:rPr>
        <w:t>čim prej</w:t>
      </w:r>
      <w:r w:rsidRPr="00EE1689">
        <w:rPr>
          <w:lang w:val="sl-SI"/>
        </w:rPr>
        <w:t xml:space="preserve">, po možnosti do konca leta 2025, </w:t>
      </w:r>
      <w:r w:rsidRPr="00EE1689">
        <w:rPr>
          <w:b/>
          <w:lang w:val="sl-SI"/>
        </w:rPr>
        <w:t>pripravi pragmatično strategijo za razvoj regije in zanjo nameni ustrezna sredstva</w:t>
      </w:r>
      <w:r w:rsidRPr="00EE1689">
        <w:rPr>
          <w:lang w:val="sl-SI"/>
        </w:rPr>
        <w:t>;</w:t>
      </w:r>
    </w:p>
    <w:p w14:paraId="7FFF070A" w14:textId="6A11AEF0" w:rsidR="000101C2" w:rsidRPr="00EE1689" w:rsidRDefault="000101C2" w:rsidP="00EE1689">
      <w:pPr>
        <w:widowControl w:val="0"/>
        <w:numPr>
          <w:ilvl w:val="0"/>
          <w:numId w:val="9"/>
        </w:numPr>
        <w:tabs>
          <w:tab w:val="clear" w:pos="0"/>
        </w:tabs>
        <w:ind w:left="567" w:hanging="567"/>
        <w:rPr>
          <w:bCs/>
          <w:iCs/>
          <w:szCs w:val="22"/>
          <w:lang w:val="sl-SI"/>
        </w:rPr>
      </w:pPr>
      <w:r w:rsidRPr="00EE1689">
        <w:rPr>
          <w:lang w:val="sl-SI"/>
        </w:rPr>
        <w:t xml:space="preserve">obžaluje, da </w:t>
      </w:r>
      <w:r w:rsidRPr="00EE1689">
        <w:rPr>
          <w:b/>
          <w:lang w:val="sl-SI"/>
        </w:rPr>
        <w:t>prejšnja okvirna politika EU</w:t>
      </w:r>
      <w:r w:rsidRPr="00EE1689">
        <w:rPr>
          <w:lang w:val="sl-SI"/>
        </w:rPr>
        <w:t xml:space="preserve"> v zvezi z regijo (sinergija Črnega morja iz leta 2007) ni vsebovala </w:t>
      </w:r>
      <w:r w:rsidRPr="00EE1689">
        <w:rPr>
          <w:b/>
          <w:lang w:val="sl-SI"/>
        </w:rPr>
        <w:t>varnostne razsežnosti</w:t>
      </w:r>
      <w:r w:rsidRPr="00EE1689">
        <w:rPr>
          <w:lang w:val="sl-SI"/>
        </w:rPr>
        <w:t xml:space="preserve">, in poudarja, da </w:t>
      </w:r>
      <w:r w:rsidRPr="00EE1689">
        <w:rPr>
          <w:b/>
          <w:lang w:val="sl-SI"/>
        </w:rPr>
        <w:t>morajo pobude EU glede varnosti v črnomorski regiji prinesti oprijemljive rezultate</w:t>
      </w:r>
      <w:r w:rsidRPr="00EE1689">
        <w:rPr>
          <w:lang w:val="sl-SI"/>
        </w:rPr>
        <w:t>;</w:t>
      </w:r>
    </w:p>
    <w:p w14:paraId="7E0D9959" w14:textId="293F7581" w:rsidR="000101C2" w:rsidRPr="00EE1689" w:rsidRDefault="000101C2" w:rsidP="00EE1689">
      <w:pPr>
        <w:widowControl w:val="0"/>
        <w:numPr>
          <w:ilvl w:val="0"/>
          <w:numId w:val="9"/>
        </w:numPr>
        <w:tabs>
          <w:tab w:val="clear" w:pos="0"/>
        </w:tabs>
        <w:ind w:left="567" w:hanging="567"/>
        <w:rPr>
          <w:bCs/>
          <w:iCs/>
          <w:szCs w:val="22"/>
          <w:lang w:val="sl-SI"/>
        </w:rPr>
      </w:pPr>
      <w:r w:rsidRPr="00EE1689">
        <w:rPr>
          <w:lang w:val="sl-SI"/>
        </w:rPr>
        <w:t xml:space="preserve">poudarja, da je </w:t>
      </w:r>
      <w:r w:rsidRPr="00EE1689">
        <w:rPr>
          <w:b/>
          <w:lang w:val="sl-SI"/>
        </w:rPr>
        <w:t>trajen mir nujen in bistven pogoj za trajnostni gospodarski razvoj</w:t>
      </w:r>
      <w:r w:rsidRPr="00EE1689">
        <w:rPr>
          <w:lang w:val="sl-SI"/>
        </w:rPr>
        <w:t>, in z obžalovanjem ugotavlja, da to ni eden od ciljev dokumenta;</w:t>
      </w:r>
    </w:p>
    <w:p w14:paraId="028B9C3A" w14:textId="6FD1C4BE" w:rsidR="000101C2" w:rsidRPr="00EE1689" w:rsidRDefault="000101C2" w:rsidP="00EE1689">
      <w:pPr>
        <w:widowControl w:val="0"/>
        <w:numPr>
          <w:ilvl w:val="0"/>
          <w:numId w:val="9"/>
        </w:numPr>
        <w:tabs>
          <w:tab w:val="clear" w:pos="0"/>
        </w:tabs>
        <w:ind w:left="567" w:hanging="567"/>
        <w:rPr>
          <w:bCs/>
          <w:iCs/>
          <w:szCs w:val="22"/>
          <w:lang w:val="sl-SI"/>
        </w:rPr>
      </w:pPr>
      <w:r w:rsidRPr="00EE1689">
        <w:rPr>
          <w:lang w:val="sl-SI"/>
        </w:rPr>
        <w:t xml:space="preserve">meni, da je </w:t>
      </w:r>
      <w:r w:rsidRPr="00EE1689">
        <w:rPr>
          <w:b/>
          <w:lang w:val="sl-SI"/>
        </w:rPr>
        <w:t>glavna omejitev strateškega pristopa</w:t>
      </w:r>
      <w:r w:rsidRPr="00EE1689">
        <w:rPr>
          <w:lang w:val="sl-SI"/>
        </w:rPr>
        <w:t xml:space="preserve"> to, da v celoti temelji na </w:t>
      </w:r>
      <w:r w:rsidRPr="00EE1689">
        <w:rPr>
          <w:b/>
          <w:lang w:val="sl-SI"/>
        </w:rPr>
        <w:t>obstoječih finančnih instrumentih</w:t>
      </w:r>
      <w:r w:rsidRPr="00EE1689">
        <w:rPr>
          <w:lang w:val="sl-SI"/>
        </w:rPr>
        <w:t xml:space="preserve"> in </w:t>
      </w:r>
      <w:r w:rsidRPr="00EE1689">
        <w:rPr>
          <w:b/>
          <w:lang w:val="sl-SI"/>
        </w:rPr>
        <w:t>proračunskih sredstvih v večletnem finančnem okviru za obdobje 2021–2027</w:t>
      </w:r>
      <w:r w:rsidRPr="00EE1689">
        <w:rPr>
          <w:lang w:val="sl-SI"/>
        </w:rPr>
        <w:t xml:space="preserve">; poziva k </w:t>
      </w:r>
      <w:r w:rsidRPr="00EE1689">
        <w:rPr>
          <w:b/>
          <w:lang w:val="sl-SI"/>
        </w:rPr>
        <w:t>poenostavitvi, konsolidaciji in prednostni obravnavi instrumentov</w:t>
      </w:r>
      <w:r w:rsidRPr="00EE1689">
        <w:rPr>
          <w:lang w:val="sl-SI"/>
        </w:rPr>
        <w:t>, da bi imeli takojšen in viden učinek;</w:t>
      </w:r>
    </w:p>
    <w:p w14:paraId="5D759E04" w14:textId="7A4AC9FA" w:rsidR="000101C2" w:rsidRPr="00EE1689" w:rsidRDefault="000101C2" w:rsidP="00EE1689">
      <w:pPr>
        <w:widowControl w:val="0"/>
        <w:numPr>
          <w:ilvl w:val="0"/>
          <w:numId w:val="9"/>
        </w:numPr>
        <w:tabs>
          <w:tab w:val="clear" w:pos="0"/>
        </w:tabs>
        <w:ind w:left="567" w:hanging="567"/>
        <w:rPr>
          <w:bCs/>
          <w:iCs/>
          <w:szCs w:val="22"/>
          <w:lang w:val="sl-SI"/>
        </w:rPr>
      </w:pPr>
      <w:r w:rsidRPr="00EE1689">
        <w:rPr>
          <w:lang w:val="sl-SI"/>
        </w:rPr>
        <w:t xml:space="preserve">priporoča, naj se </w:t>
      </w:r>
      <w:r w:rsidRPr="00EE1689">
        <w:rPr>
          <w:b/>
          <w:lang w:val="sl-SI"/>
        </w:rPr>
        <w:t>izvede poglobljena ocena učinka vseh obstoječih instrumentov</w:t>
      </w:r>
      <w:r w:rsidRPr="00EE1689">
        <w:rPr>
          <w:lang w:val="sl-SI"/>
        </w:rPr>
        <w:t xml:space="preserve"> in na tej podlagi oblikujejo </w:t>
      </w:r>
      <w:r w:rsidRPr="00EE1689">
        <w:rPr>
          <w:b/>
          <w:lang w:val="sl-SI"/>
        </w:rPr>
        <w:t>konkretnejše</w:t>
      </w:r>
      <w:r w:rsidRPr="00EE1689">
        <w:rPr>
          <w:lang w:val="sl-SI"/>
        </w:rPr>
        <w:t xml:space="preserve"> in </w:t>
      </w:r>
      <w:r w:rsidRPr="00EE1689">
        <w:rPr>
          <w:b/>
          <w:lang w:val="sl-SI"/>
        </w:rPr>
        <w:t>jasnejše zaveze</w:t>
      </w:r>
      <w:r w:rsidRPr="00EE1689">
        <w:rPr>
          <w:lang w:val="sl-SI"/>
        </w:rPr>
        <w:t xml:space="preserve"> glede njihove prihodnje uporabe;</w:t>
      </w:r>
    </w:p>
    <w:p w14:paraId="22337941" w14:textId="30945F04" w:rsidR="000101C2" w:rsidRPr="00EE1689" w:rsidRDefault="000101C2" w:rsidP="00EE1689">
      <w:pPr>
        <w:widowControl w:val="0"/>
        <w:numPr>
          <w:ilvl w:val="0"/>
          <w:numId w:val="9"/>
        </w:numPr>
        <w:tabs>
          <w:tab w:val="clear" w:pos="0"/>
        </w:tabs>
        <w:ind w:left="567" w:hanging="567"/>
        <w:rPr>
          <w:bCs/>
          <w:iCs/>
          <w:szCs w:val="22"/>
          <w:lang w:val="sl-SI"/>
        </w:rPr>
      </w:pPr>
      <w:r w:rsidRPr="00EE1689">
        <w:rPr>
          <w:lang w:val="sl-SI"/>
        </w:rPr>
        <w:t xml:space="preserve">meni, da bi morali več pozornosti nameniti </w:t>
      </w:r>
      <w:r w:rsidRPr="00EE1689">
        <w:rPr>
          <w:b/>
          <w:lang w:val="sl-SI"/>
        </w:rPr>
        <w:t>boju proti hibridnim grožnjam</w:t>
      </w:r>
      <w:r w:rsidRPr="00EE1689">
        <w:rPr>
          <w:lang w:val="sl-SI"/>
        </w:rPr>
        <w:t xml:space="preserve"> in </w:t>
      </w:r>
      <w:r w:rsidRPr="00EE1689">
        <w:rPr>
          <w:b/>
          <w:lang w:val="sl-SI"/>
        </w:rPr>
        <w:t>nepravilnostim pri upravljanju</w:t>
      </w:r>
      <w:r w:rsidRPr="00EE1689">
        <w:rPr>
          <w:lang w:val="sl-SI"/>
        </w:rPr>
        <w:t>, ki utegnejo ogroziti regionalno stabilnost.</w:t>
      </w:r>
    </w:p>
    <w:p w14:paraId="1C8EA993" w14:textId="77777777" w:rsidR="00437105" w:rsidRPr="00EE1689" w:rsidRDefault="00437105"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437105" w:rsidRPr="00EE1689" w14:paraId="5E273740" w14:textId="77777777" w:rsidTr="00993CB4">
        <w:tc>
          <w:tcPr>
            <w:tcW w:w="974" w:type="pct"/>
          </w:tcPr>
          <w:p w14:paraId="280C3E3A" w14:textId="77777777" w:rsidR="00437105" w:rsidRPr="00EE1689" w:rsidRDefault="00437105" w:rsidP="00EE1689">
            <w:pPr>
              <w:rPr>
                <w:lang w:val="sl-SI"/>
              </w:rPr>
            </w:pPr>
            <w:r w:rsidRPr="00EE1689">
              <w:rPr>
                <w:b/>
                <w:i/>
                <w:szCs w:val="22"/>
                <w:lang w:val="sl-SI"/>
              </w:rPr>
              <w:t>Kontaktna oseba</w:t>
            </w:r>
          </w:p>
        </w:tc>
        <w:tc>
          <w:tcPr>
            <w:tcW w:w="4026" w:type="pct"/>
          </w:tcPr>
          <w:p w14:paraId="78BBF808" w14:textId="4C53601D" w:rsidR="00437105" w:rsidRPr="00EE1689" w:rsidRDefault="00E0581A" w:rsidP="00EE1689">
            <w:pPr>
              <w:rPr>
                <w:i/>
                <w:lang w:val="sl-SI"/>
              </w:rPr>
            </w:pPr>
            <w:r w:rsidRPr="00EE1689">
              <w:rPr>
                <w:i/>
                <w:lang w:val="sl-SI"/>
              </w:rPr>
              <w:t>Marie-Laurence Drillon</w:t>
            </w:r>
          </w:p>
        </w:tc>
      </w:tr>
      <w:tr w:rsidR="00437105" w:rsidRPr="00EE1689" w14:paraId="0A416133" w14:textId="77777777" w:rsidTr="00993CB4">
        <w:tc>
          <w:tcPr>
            <w:tcW w:w="974" w:type="pct"/>
          </w:tcPr>
          <w:p w14:paraId="217F8544" w14:textId="77777777" w:rsidR="00437105" w:rsidRPr="00EE1689" w:rsidRDefault="006926AD" w:rsidP="00EE1689">
            <w:pPr>
              <w:rPr>
                <w:lang w:val="sl-SI"/>
              </w:rPr>
            </w:pPr>
            <w:r w:rsidRPr="00EE1689">
              <w:rPr>
                <w:i/>
                <w:szCs w:val="22"/>
                <w:lang w:val="sl-SI"/>
              </w:rPr>
              <w:t>Telefon</w:t>
            </w:r>
          </w:p>
        </w:tc>
        <w:tc>
          <w:tcPr>
            <w:tcW w:w="4026" w:type="pct"/>
          </w:tcPr>
          <w:p w14:paraId="34285493" w14:textId="7354FDBF" w:rsidR="00437105" w:rsidRPr="00EE1689" w:rsidRDefault="000D558D" w:rsidP="00EE1689">
            <w:pPr>
              <w:rPr>
                <w:lang w:val="sl-SI"/>
              </w:rPr>
            </w:pPr>
            <w:r w:rsidRPr="00EE1689">
              <w:rPr>
                <w:i/>
                <w:szCs w:val="22"/>
                <w:lang w:val="sl-SI"/>
              </w:rPr>
              <w:t>+</w:t>
            </w:r>
            <w:r w:rsidR="00437105" w:rsidRPr="00EE1689">
              <w:rPr>
                <w:i/>
                <w:szCs w:val="22"/>
                <w:lang w:val="sl-SI"/>
              </w:rPr>
              <w:t>32 2 </w:t>
            </w:r>
            <w:r w:rsidR="00E0581A" w:rsidRPr="00EE1689">
              <w:rPr>
                <w:i/>
                <w:szCs w:val="22"/>
                <w:lang w:val="sl-SI"/>
              </w:rPr>
              <w:t>546 8320</w:t>
            </w:r>
          </w:p>
        </w:tc>
      </w:tr>
      <w:tr w:rsidR="00437105" w:rsidRPr="00EE1689" w14:paraId="488DBADD" w14:textId="77777777" w:rsidTr="00993CB4">
        <w:tc>
          <w:tcPr>
            <w:tcW w:w="974" w:type="pct"/>
          </w:tcPr>
          <w:p w14:paraId="093A942F" w14:textId="77777777" w:rsidR="00437105" w:rsidRPr="00EE1689" w:rsidRDefault="00437105" w:rsidP="00EE1689">
            <w:pPr>
              <w:rPr>
                <w:lang w:val="sl-SI"/>
              </w:rPr>
            </w:pPr>
            <w:r w:rsidRPr="00EE1689">
              <w:rPr>
                <w:i/>
                <w:szCs w:val="22"/>
                <w:lang w:val="sl-SI"/>
              </w:rPr>
              <w:t>E-naslov</w:t>
            </w:r>
          </w:p>
        </w:tc>
        <w:tc>
          <w:tcPr>
            <w:tcW w:w="4026" w:type="pct"/>
          </w:tcPr>
          <w:p w14:paraId="27537A76" w14:textId="5E89E3DE" w:rsidR="00437105" w:rsidRPr="00EE1689" w:rsidRDefault="00FA3430" w:rsidP="00EE1689">
            <w:pPr>
              <w:rPr>
                <w:i/>
                <w:lang w:val="sl-SI"/>
              </w:rPr>
            </w:pPr>
            <w:hyperlink r:id="rId40" w:history="1">
              <w:r w:rsidR="00E0581A" w:rsidRPr="00EE1689">
                <w:rPr>
                  <w:rStyle w:val="Hyperlink"/>
                  <w:i/>
                  <w:lang w:val="sl-SI"/>
                </w:rPr>
                <w:t>Marie-Laurence.Drillon@eesc.europa.eu</w:t>
              </w:r>
            </w:hyperlink>
          </w:p>
        </w:tc>
      </w:tr>
    </w:tbl>
    <w:p w14:paraId="00467A65" w14:textId="77777777" w:rsidR="00437105" w:rsidRPr="00EE1689" w:rsidRDefault="00437105" w:rsidP="00EE1689">
      <w:pPr>
        <w:rPr>
          <w:lang w:val="sl-SI"/>
        </w:rPr>
      </w:pPr>
    </w:p>
    <w:p w14:paraId="704DCD83" w14:textId="69075821" w:rsidR="007C6480" w:rsidRPr="00EE1689" w:rsidRDefault="00FA3430" w:rsidP="000619F4">
      <w:pPr>
        <w:keepNext/>
        <w:keepLines/>
        <w:numPr>
          <w:ilvl w:val="0"/>
          <w:numId w:val="7"/>
        </w:numPr>
        <w:tabs>
          <w:tab w:val="clear" w:pos="0"/>
        </w:tabs>
        <w:ind w:left="567" w:hanging="567"/>
        <w:rPr>
          <w:sz w:val="28"/>
          <w:szCs w:val="22"/>
          <w:lang w:val="sl-SI"/>
        </w:rPr>
      </w:pPr>
      <w:hyperlink r:id="rId41" w:history="1">
        <w:r w:rsidR="003B1306" w:rsidRPr="00EE1689">
          <w:rPr>
            <w:rStyle w:val="Hyperlink"/>
            <w:b/>
            <w:i/>
            <w:sz w:val="28"/>
            <w:szCs w:val="22"/>
            <w:lang w:val="sl-SI"/>
          </w:rPr>
          <w:t>Globalna Evropa (predlog večletnega finančnega okvira)</w:t>
        </w:r>
      </w:hyperlink>
    </w:p>
    <w:p w14:paraId="73D20609" w14:textId="77777777" w:rsidR="007C6480" w:rsidRPr="00EE1689" w:rsidRDefault="007C6480" w:rsidP="000619F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2284450E" w14:textId="77777777" w:rsidTr="00827140">
        <w:tc>
          <w:tcPr>
            <w:tcW w:w="974" w:type="pct"/>
          </w:tcPr>
          <w:p w14:paraId="5B3E7364" w14:textId="77777777" w:rsidR="007C6480" w:rsidRPr="00EE1689" w:rsidRDefault="007C6480" w:rsidP="000619F4">
            <w:pPr>
              <w:keepNext/>
              <w:keepLines/>
              <w:rPr>
                <w:b/>
                <w:szCs w:val="22"/>
                <w:lang w:val="sl-SI"/>
              </w:rPr>
            </w:pPr>
            <w:r w:rsidRPr="00EE1689">
              <w:rPr>
                <w:b/>
                <w:szCs w:val="22"/>
                <w:lang w:val="sl-SI"/>
              </w:rPr>
              <w:t>Poročevalec</w:t>
            </w:r>
          </w:p>
        </w:tc>
        <w:tc>
          <w:tcPr>
            <w:tcW w:w="4026" w:type="pct"/>
          </w:tcPr>
          <w:p w14:paraId="05DDA15E" w14:textId="0BE1C651" w:rsidR="007C6480" w:rsidRPr="00EE1689" w:rsidRDefault="003B1306" w:rsidP="000619F4">
            <w:pPr>
              <w:keepNext/>
              <w:keepLines/>
              <w:rPr>
                <w:szCs w:val="22"/>
                <w:lang w:val="sl-SI"/>
              </w:rPr>
            </w:pPr>
            <w:r w:rsidRPr="00EE1689">
              <w:rPr>
                <w:szCs w:val="22"/>
                <w:lang w:val="sl-SI"/>
              </w:rPr>
              <w:t>Mateusz SZYMAŃSKI (skupina delojemalcev – PL)</w:t>
            </w:r>
          </w:p>
        </w:tc>
      </w:tr>
      <w:tr w:rsidR="007C6480" w:rsidRPr="00EE1689" w14:paraId="4A8D0877" w14:textId="77777777" w:rsidTr="00827140">
        <w:tc>
          <w:tcPr>
            <w:tcW w:w="974" w:type="pct"/>
          </w:tcPr>
          <w:p w14:paraId="4759DC83" w14:textId="77777777" w:rsidR="007C6480" w:rsidRPr="00EE1689" w:rsidRDefault="007C6480" w:rsidP="000619F4">
            <w:pPr>
              <w:keepNext/>
              <w:keepLines/>
              <w:rPr>
                <w:b/>
                <w:szCs w:val="22"/>
                <w:lang w:val="sl-SI"/>
              </w:rPr>
            </w:pPr>
            <w:r w:rsidRPr="00EE1689">
              <w:rPr>
                <w:b/>
                <w:szCs w:val="22"/>
                <w:lang w:val="sl-SI"/>
              </w:rPr>
              <w:t>Soporočevalec</w:t>
            </w:r>
          </w:p>
        </w:tc>
        <w:tc>
          <w:tcPr>
            <w:tcW w:w="4026" w:type="pct"/>
          </w:tcPr>
          <w:p w14:paraId="5D6D70CB" w14:textId="5B2F2864" w:rsidR="007C6480" w:rsidRPr="00EE1689" w:rsidRDefault="003B1306" w:rsidP="000619F4">
            <w:pPr>
              <w:keepNext/>
              <w:keepLines/>
              <w:rPr>
                <w:szCs w:val="22"/>
                <w:lang w:val="sl-SI"/>
              </w:rPr>
            </w:pPr>
            <w:r w:rsidRPr="00EE1689">
              <w:rPr>
                <w:szCs w:val="22"/>
                <w:lang w:val="sl-SI"/>
              </w:rPr>
              <w:t>Luca JAHIER (skupina organizacij civilne družbe – IT)</w:t>
            </w:r>
          </w:p>
        </w:tc>
      </w:tr>
      <w:tr w:rsidR="007C6480" w:rsidRPr="00EE1689" w14:paraId="260B5A19" w14:textId="77777777" w:rsidTr="00827140">
        <w:tc>
          <w:tcPr>
            <w:tcW w:w="5000" w:type="pct"/>
            <w:gridSpan w:val="2"/>
          </w:tcPr>
          <w:p w14:paraId="1F8AAC94" w14:textId="77777777" w:rsidR="007C6480" w:rsidRPr="00EE1689" w:rsidRDefault="007C6480" w:rsidP="000619F4">
            <w:pPr>
              <w:keepNext/>
              <w:keepLines/>
              <w:rPr>
                <w:sz w:val="16"/>
                <w:szCs w:val="22"/>
                <w:lang w:val="sl-SI"/>
              </w:rPr>
            </w:pPr>
          </w:p>
        </w:tc>
      </w:tr>
      <w:tr w:rsidR="007C6480" w:rsidRPr="00EE1689" w14:paraId="2CD3554C" w14:textId="77777777" w:rsidTr="00827140">
        <w:tc>
          <w:tcPr>
            <w:tcW w:w="974" w:type="pct"/>
            <w:vMerge w:val="restart"/>
          </w:tcPr>
          <w:p w14:paraId="1C8C2AA1" w14:textId="5A9C293C" w:rsidR="007C6480" w:rsidRPr="00EE1689" w:rsidRDefault="007C6480" w:rsidP="000619F4">
            <w:pPr>
              <w:keepNext/>
              <w:keepLines/>
              <w:rPr>
                <w:b/>
                <w:szCs w:val="22"/>
                <w:lang w:val="sl-SI"/>
              </w:rPr>
            </w:pPr>
            <w:r w:rsidRPr="00EE1689">
              <w:rPr>
                <w:b/>
                <w:szCs w:val="22"/>
                <w:lang w:val="sl-SI"/>
              </w:rPr>
              <w:t>Referenčn</w:t>
            </w:r>
            <w:r w:rsidR="003B1306" w:rsidRPr="00EE1689">
              <w:rPr>
                <w:b/>
                <w:szCs w:val="22"/>
                <w:lang w:val="sl-SI"/>
              </w:rPr>
              <w:t>a</w:t>
            </w:r>
            <w:r w:rsidRPr="00EE1689">
              <w:rPr>
                <w:b/>
                <w:szCs w:val="22"/>
                <w:lang w:val="sl-SI"/>
              </w:rPr>
              <w:t xml:space="preserve"> dokument</w:t>
            </w:r>
            <w:r w:rsidR="003B1306" w:rsidRPr="00EE1689">
              <w:rPr>
                <w:b/>
                <w:szCs w:val="22"/>
                <w:lang w:val="sl-SI"/>
              </w:rPr>
              <w:t>a</w:t>
            </w:r>
          </w:p>
        </w:tc>
        <w:tc>
          <w:tcPr>
            <w:tcW w:w="4026" w:type="pct"/>
          </w:tcPr>
          <w:p w14:paraId="484C2925" w14:textId="50FAF298" w:rsidR="007C6480" w:rsidRPr="00EE1689" w:rsidRDefault="00181C75" w:rsidP="000619F4">
            <w:pPr>
              <w:keepNext/>
              <w:keepLines/>
              <w:rPr>
                <w:szCs w:val="22"/>
                <w:lang w:val="sl-SI"/>
              </w:rPr>
            </w:pPr>
            <w:r w:rsidRPr="00EE1689">
              <w:rPr>
                <w:szCs w:val="22"/>
                <w:lang w:val="sl-SI"/>
              </w:rPr>
              <w:t>COM(2025) 551 final</w:t>
            </w:r>
          </w:p>
        </w:tc>
      </w:tr>
      <w:tr w:rsidR="007C6480" w:rsidRPr="00EE1689" w14:paraId="467FFCD0" w14:textId="77777777" w:rsidTr="00827140">
        <w:tc>
          <w:tcPr>
            <w:tcW w:w="974" w:type="pct"/>
            <w:vMerge/>
          </w:tcPr>
          <w:p w14:paraId="427C0AD1" w14:textId="77777777" w:rsidR="007C6480" w:rsidRPr="00EE1689" w:rsidRDefault="007C6480" w:rsidP="000619F4">
            <w:pPr>
              <w:keepNext/>
              <w:keepLines/>
              <w:tabs>
                <w:tab w:val="center" w:pos="284"/>
              </w:tabs>
              <w:ind w:left="266" w:hanging="266"/>
              <w:rPr>
                <w:b/>
                <w:szCs w:val="22"/>
                <w:lang w:val="sl-SI"/>
              </w:rPr>
            </w:pPr>
          </w:p>
        </w:tc>
        <w:tc>
          <w:tcPr>
            <w:tcW w:w="4026" w:type="pct"/>
          </w:tcPr>
          <w:p w14:paraId="2BB7D556" w14:textId="6FE512D4" w:rsidR="007C6480" w:rsidRPr="00EE1689" w:rsidRDefault="003B1306" w:rsidP="000619F4">
            <w:pPr>
              <w:keepNext/>
              <w:keepLines/>
              <w:rPr>
                <w:szCs w:val="22"/>
                <w:lang w:val="sl-SI"/>
              </w:rPr>
            </w:pPr>
            <w:r w:rsidRPr="00EE1689">
              <w:rPr>
                <w:szCs w:val="22"/>
                <w:lang w:val="sl-SI"/>
              </w:rPr>
              <w:t>EESC-2025-02605-00-00-AC</w:t>
            </w:r>
          </w:p>
        </w:tc>
      </w:tr>
    </w:tbl>
    <w:p w14:paraId="371296B9" w14:textId="77777777" w:rsidR="007C6480" w:rsidRPr="00EE1689" w:rsidRDefault="007C6480" w:rsidP="000619F4">
      <w:pPr>
        <w:keepNext/>
        <w:keepLines/>
        <w:rPr>
          <w:szCs w:val="22"/>
          <w:lang w:val="sl-SI"/>
        </w:rPr>
      </w:pPr>
    </w:p>
    <w:p w14:paraId="5F2D04E8" w14:textId="77777777" w:rsidR="007C6480" w:rsidRPr="00EE1689" w:rsidRDefault="007C6480" w:rsidP="000619F4">
      <w:pPr>
        <w:keepNext/>
        <w:keepLines/>
        <w:rPr>
          <w:lang w:val="sl-SI"/>
        </w:rPr>
      </w:pPr>
      <w:r w:rsidRPr="00EE1689">
        <w:rPr>
          <w:b/>
          <w:lang w:val="sl-SI"/>
        </w:rPr>
        <w:t>Glavne točke</w:t>
      </w:r>
    </w:p>
    <w:p w14:paraId="5D221FFB" w14:textId="77777777" w:rsidR="007C6480" w:rsidRPr="00EE1689" w:rsidRDefault="007C6480" w:rsidP="000619F4">
      <w:pPr>
        <w:keepNext/>
        <w:keepLines/>
        <w:rPr>
          <w:szCs w:val="22"/>
          <w:lang w:val="sl-SI"/>
        </w:rPr>
      </w:pPr>
    </w:p>
    <w:p w14:paraId="0131C903" w14:textId="77777777" w:rsidR="007C6480" w:rsidRPr="00EE1689" w:rsidRDefault="007C6480" w:rsidP="000619F4">
      <w:pPr>
        <w:keepNext/>
        <w:keepLines/>
        <w:rPr>
          <w:bCs/>
          <w:iCs/>
          <w:szCs w:val="22"/>
          <w:lang w:val="sl-SI"/>
        </w:rPr>
      </w:pPr>
      <w:r w:rsidRPr="00EE1689">
        <w:rPr>
          <w:bCs/>
          <w:iCs/>
          <w:szCs w:val="22"/>
          <w:lang w:val="sl-SI"/>
        </w:rPr>
        <w:t>EESO:</w:t>
      </w:r>
    </w:p>
    <w:p w14:paraId="6DF92FFC" w14:textId="77777777" w:rsidR="007C6480" w:rsidRPr="00EE1689" w:rsidRDefault="007C6480" w:rsidP="000619F4">
      <w:pPr>
        <w:keepNext/>
        <w:keepLines/>
        <w:rPr>
          <w:szCs w:val="22"/>
          <w:lang w:val="sl-SI"/>
        </w:rPr>
      </w:pPr>
    </w:p>
    <w:p w14:paraId="77B4A702" w14:textId="64BEE680" w:rsidR="003B1306" w:rsidRPr="00EE1689" w:rsidRDefault="003B1306" w:rsidP="000619F4">
      <w:pPr>
        <w:keepNext/>
        <w:keepLines/>
        <w:widowControl w:val="0"/>
        <w:numPr>
          <w:ilvl w:val="0"/>
          <w:numId w:val="9"/>
        </w:numPr>
        <w:tabs>
          <w:tab w:val="clear" w:pos="0"/>
        </w:tabs>
        <w:ind w:left="567" w:hanging="567"/>
        <w:rPr>
          <w:szCs w:val="22"/>
          <w:lang w:val="sl-SI"/>
        </w:rPr>
      </w:pPr>
      <w:r w:rsidRPr="00EE1689">
        <w:rPr>
          <w:szCs w:val="22"/>
          <w:lang w:val="sl-SI"/>
        </w:rPr>
        <w:t>pozdravlja predlog Komisije, da se v okviru prihodnjega večletnega finančnega okvira povečajo odhodki za zunanjo politiko EU in da instrument Globalna Evropa vključuje rezervo za Ukrajino, in meni, da je to povečanje bistveno, da bi EU utrdila svojo vlogo svetovnega akterja in svoje vrednote ter vzpostavila strateško avtonomijo;</w:t>
      </w:r>
    </w:p>
    <w:p w14:paraId="6877FE72" w14:textId="3FBF53F5" w:rsidR="003B1306" w:rsidRPr="00EE1689" w:rsidRDefault="003B1306" w:rsidP="000619F4">
      <w:pPr>
        <w:keepNext/>
        <w:keepLines/>
        <w:widowControl w:val="0"/>
        <w:numPr>
          <w:ilvl w:val="0"/>
          <w:numId w:val="9"/>
        </w:numPr>
        <w:tabs>
          <w:tab w:val="clear" w:pos="0"/>
        </w:tabs>
        <w:ind w:left="567" w:hanging="567"/>
        <w:rPr>
          <w:szCs w:val="22"/>
          <w:lang w:val="sl-SI"/>
        </w:rPr>
      </w:pPr>
      <w:r w:rsidRPr="00EE1689">
        <w:rPr>
          <w:szCs w:val="22"/>
          <w:lang w:val="sl-SI"/>
        </w:rPr>
        <w:t>meni, da bi morala imeti EU vodilno vlogo pri razvojnih in humanitarnih prizadevanjih ter pri revitalizaciji OZN, pri čemer bi morala strategija Global Gateway postati njen glavni instrument;</w:t>
      </w:r>
    </w:p>
    <w:p w14:paraId="5E694C08" w14:textId="1D841206" w:rsidR="003B1306" w:rsidRPr="00EE1689" w:rsidRDefault="003B1306" w:rsidP="000619F4">
      <w:pPr>
        <w:keepNext/>
        <w:keepLines/>
        <w:widowControl w:val="0"/>
        <w:numPr>
          <w:ilvl w:val="0"/>
          <w:numId w:val="9"/>
        </w:numPr>
        <w:tabs>
          <w:tab w:val="clear" w:pos="0"/>
        </w:tabs>
        <w:ind w:left="567" w:hanging="567"/>
        <w:rPr>
          <w:szCs w:val="22"/>
          <w:lang w:val="sl-SI"/>
        </w:rPr>
      </w:pPr>
      <w:r w:rsidRPr="00EE1689">
        <w:rPr>
          <w:szCs w:val="22"/>
          <w:lang w:val="sl-SI"/>
        </w:rPr>
        <w:t>poudarja, da je svetovalni odbor organizacij civilne družbe in lokalnih organov za strategijo Global Gateway izločen iz odločanja, kar je razdrobilo dialog. EESO poziva k smiselni udeležbi, tudi EESO in OR;</w:t>
      </w:r>
    </w:p>
    <w:p w14:paraId="0896A8F9" w14:textId="76558661" w:rsidR="003B1306" w:rsidRPr="00EE1689" w:rsidRDefault="003B1306" w:rsidP="00EE1689">
      <w:pPr>
        <w:widowControl w:val="0"/>
        <w:numPr>
          <w:ilvl w:val="0"/>
          <w:numId w:val="9"/>
        </w:numPr>
        <w:tabs>
          <w:tab w:val="clear" w:pos="0"/>
        </w:tabs>
        <w:ind w:left="567" w:hanging="567"/>
        <w:rPr>
          <w:szCs w:val="22"/>
          <w:lang w:val="sl-SI"/>
        </w:rPr>
      </w:pPr>
      <w:r w:rsidRPr="00EE1689">
        <w:rPr>
          <w:szCs w:val="22"/>
          <w:lang w:val="sl-SI"/>
        </w:rPr>
        <w:t>poudarja, da je treba uskladiti zunanjo politiko, razvoj, trgovino in Evropski sklad za konkurenčnost, da bi uresničili trajnostni razvoj in gospodarsko odpornost;</w:t>
      </w:r>
    </w:p>
    <w:p w14:paraId="16DD18AC" w14:textId="53905821" w:rsidR="003B1306" w:rsidRPr="00EE1689" w:rsidRDefault="003B1306" w:rsidP="00EE1689">
      <w:pPr>
        <w:widowControl w:val="0"/>
        <w:numPr>
          <w:ilvl w:val="0"/>
          <w:numId w:val="9"/>
        </w:numPr>
        <w:tabs>
          <w:tab w:val="clear" w:pos="0"/>
        </w:tabs>
        <w:ind w:left="567" w:hanging="567"/>
        <w:rPr>
          <w:szCs w:val="22"/>
          <w:lang w:val="sl-SI"/>
        </w:rPr>
      </w:pPr>
      <w:r w:rsidRPr="00EE1689">
        <w:rPr>
          <w:szCs w:val="22"/>
          <w:lang w:val="sl-SI"/>
        </w:rPr>
        <w:t>kljub pozitivni oceni predlagane prožnosti pri zunanjem delovanju pričakuje popolno preglednost in odgovornost pri porabi sredstev;</w:t>
      </w:r>
    </w:p>
    <w:p w14:paraId="3B084B83" w14:textId="3773C716" w:rsidR="003B1306" w:rsidRPr="00EE1689" w:rsidRDefault="003B1306" w:rsidP="00EE1689">
      <w:pPr>
        <w:widowControl w:val="0"/>
        <w:numPr>
          <w:ilvl w:val="0"/>
          <w:numId w:val="9"/>
        </w:numPr>
        <w:tabs>
          <w:tab w:val="clear" w:pos="0"/>
        </w:tabs>
        <w:ind w:left="567" w:hanging="567"/>
        <w:rPr>
          <w:szCs w:val="22"/>
          <w:lang w:val="sl-SI"/>
        </w:rPr>
      </w:pPr>
      <w:r w:rsidRPr="00EE1689">
        <w:rPr>
          <w:szCs w:val="22"/>
          <w:lang w:val="sl-SI"/>
        </w:rPr>
        <w:t>poziva, naj se označevalec za neenakost, ki ga je pripravila Komisija, razširi na projekte strategije Global Gateway;</w:t>
      </w:r>
    </w:p>
    <w:p w14:paraId="4845AFF0" w14:textId="41295DF2" w:rsidR="003B1306" w:rsidRPr="00EE1689" w:rsidRDefault="003B1306" w:rsidP="00EE1689">
      <w:pPr>
        <w:widowControl w:val="0"/>
        <w:numPr>
          <w:ilvl w:val="0"/>
          <w:numId w:val="9"/>
        </w:numPr>
        <w:tabs>
          <w:tab w:val="clear" w:pos="0"/>
        </w:tabs>
        <w:ind w:left="567" w:hanging="567"/>
        <w:rPr>
          <w:szCs w:val="22"/>
          <w:lang w:val="sl-SI"/>
        </w:rPr>
      </w:pPr>
      <w:r w:rsidRPr="00EE1689">
        <w:rPr>
          <w:szCs w:val="22"/>
          <w:lang w:val="sl-SI"/>
        </w:rPr>
        <w:t>pričakuje, da bodo obstoječi organi, kot so platforme civilne družbe, bolj vključeni v ohranjanje odnosov z organizacijami v partnerskih državah;</w:t>
      </w:r>
    </w:p>
    <w:p w14:paraId="347B71BD" w14:textId="023DCBDA" w:rsidR="003B1306" w:rsidRPr="00EE1689" w:rsidRDefault="003B1306" w:rsidP="00EE1689">
      <w:pPr>
        <w:widowControl w:val="0"/>
        <w:numPr>
          <w:ilvl w:val="0"/>
          <w:numId w:val="9"/>
        </w:numPr>
        <w:tabs>
          <w:tab w:val="clear" w:pos="0"/>
        </w:tabs>
        <w:ind w:left="567" w:hanging="567"/>
        <w:rPr>
          <w:szCs w:val="22"/>
          <w:lang w:val="sl-SI"/>
        </w:rPr>
      </w:pPr>
      <w:r w:rsidRPr="00EE1689">
        <w:rPr>
          <w:szCs w:val="22"/>
          <w:lang w:val="sl-SI"/>
        </w:rPr>
        <w:t>podpira vsa prizadevanja za okrepitev blaginje in varnosti v našem sosedstvu in s tem v EU in podpira nadaljnjo širitev Unije;</w:t>
      </w:r>
    </w:p>
    <w:p w14:paraId="7EC73A8B" w14:textId="6DD6D665" w:rsidR="003B1306" w:rsidRPr="00EE1689" w:rsidRDefault="003B1306" w:rsidP="00EE1689">
      <w:pPr>
        <w:widowControl w:val="0"/>
        <w:numPr>
          <w:ilvl w:val="0"/>
          <w:numId w:val="9"/>
        </w:numPr>
        <w:tabs>
          <w:tab w:val="clear" w:pos="0"/>
        </w:tabs>
        <w:ind w:left="567" w:hanging="567"/>
        <w:rPr>
          <w:lang w:val="sl-SI"/>
        </w:rPr>
      </w:pPr>
      <w:r w:rsidRPr="00EE1689">
        <w:rPr>
          <w:szCs w:val="22"/>
          <w:lang w:val="sl-SI"/>
        </w:rPr>
        <w:t>poudarja, da je potrebno predvidljivo in stabilno financiranje organizacij civilne družbe, zlasti za krepitev demokracije</w:t>
      </w:r>
      <w:r w:rsidRPr="00EE1689">
        <w:rPr>
          <w:lang w:val="sl-SI"/>
        </w:rPr>
        <w:t>, državljanskega prostora in enakosti spolov;</w:t>
      </w:r>
    </w:p>
    <w:p w14:paraId="3C1DF35D" w14:textId="654737EB" w:rsidR="003B1306" w:rsidRPr="00EE1689" w:rsidRDefault="003B1306" w:rsidP="00EE1689">
      <w:pPr>
        <w:widowControl w:val="0"/>
        <w:numPr>
          <w:ilvl w:val="0"/>
          <w:numId w:val="9"/>
        </w:numPr>
        <w:tabs>
          <w:tab w:val="clear" w:pos="0"/>
        </w:tabs>
        <w:ind w:left="567" w:hanging="567"/>
        <w:rPr>
          <w:szCs w:val="22"/>
          <w:lang w:val="sl-SI"/>
        </w:rPr>
      </w:pPr>
      <w:r w:rsidRPr="00EE1689">
        <w:rPr>
          <w:szCs w:val="22"/>
          <w:lang w:val="sl-SI"/>
        </w:rPr>
        <w:t>pričakuje, da bodo cilje v zvezi z gospodarskim sodelovanjem in podjetništvom spremljali ambiciozni zaščitni ukrepi na socialnem in okoljskem področju ter področju človekovih pravic;</w:t>
      </w:r>
    </w:p>
    <w:p w14:paraId="479BF6E6" w14:textId="46C7B21D" w:rsidR="007C6480" w:rsidRPr="00EE1689" w:rsidRDefault="003B1306" w:rsidP="00EE1689">
      <w:pPr>
        <w:widowControl w:val="0"/>
        <w:numPr>
          <w:ilvl w:val="0"/>
          <w:numId w:val="9"/>
        </w:numPr>
        <w:tabs>
          <w:tab w:val="clear" w:pos="0"/>
        </w:tabs>
        <w:ind w:left="567" w:hanging="567"/>
        <w:rPr>
          <w:lang w:val="sl-SI"/>
        </w:rPr>
      </w:pPr>
      <w:r w:rsidRPr="00EE1689">
        <w:rPr>
          <w:szCs w:val="22"/>
          <w:lang w:val="sl-SI"/>
        </w:rPr>
        <w:t>nasprotuje</w:t>
      </w:r>
      <w:r w:rsidRPr="00EE1689">
        <w:rPr>
          <w:lang w:val="sl-SI"/>
        </w:rPr>
        <w:t xml:space="preserve"> pristopu začasne ustavitve plačil v okviru migracijske politike in poudarja potrebo po pozitivnih spodbudah za doseganje zastavljenih ciljev.</w:t>
      </w:r>
    </w:p>
    <w:p w14:paraId="0EDD3611" w14:textId="77777777" w:rsidR="003B1306" w:rsidRPr="00EE1689" w:rsidRDefault="003B1306"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67D9DC42" w14:textId="77777777" w:rsidTr="00827140">
        <w:tc>
          <w:tcPr>
            <w:tcW w:w="974" w:type="pct"/>
          </w:tcPr>
          <w:p w14:paraId="455BC127" w14:textId="77777777" w:rsidR="007C6480" w:rsidRPr="00EE1689" w:rsidRDefault="007C6480" w:rsidP="00EE1689">
            <w:pPr>
              <w:rPr>
                <w:lang w:val="sl-SI"/>
              </w:rPr>
            </w:pPr>
            <w:r w:rsidRPr="00EE1689">
              <w:rPr>
                <w:b/>
                <w:i/>
                <w:szCs w:val="22"/>
                <w:lang w:val="sl-SI"/>
              </w:rPr>
              <w:t>Kontaktna oseba</w:t>
            </w:r>
          </w:p>
        </w:tc>
        <w:tc>
          <w:tcPr>
            <w:tcW w:w="4026" w:type="pct"/>
          </w:tcPr>
          <w:p w14:paraId="6C0DC8B6" w14:textId="19593E76" w:rsidR="007C6480" w:rsidRPr="00EE1689" w:rsidRDefault="003B1306" w:rsidP="00EE1689">
            <w:pPr>
              <w:rPr>
                <w:i/>
                <w:lang w:val="sl-SI"/>
              </w:rPr>
            </w:pPr>
            <w:r w:rsidRPr="00EE1689">
              <w:rPr>
                <w:i/>
                <w:lang w:val="sl-SI"/>
              </w:rPr>
              <w:t>Daniele Vitali</w:t>
            </w:r>
          </w:p>
        </w:tc>
      </w:tr>
      <w:tr w:rsidR="007C6480" w:rsidRPr="00EE1689" w14:paraId="26EA461E" w14:textId="77777777" w:rsidTr="00827140">
        <w:tc>
          <w:tcPr>
            <w:tcW w:w="974" w:type="pct"/>
          </w:tcPr>
          <w:p w14:paraId="2BE3D0C8" w14:textId="77777777" w:rsidR="007C6480" w:rsidRPr="00EE1689" w:rsidRDefault="007C6480" w:rsidP="00EE1689">
            <w:pPr>
              <w:rPr>
                <w:lang w:val="sl-SI"/>
              </w:rPr>
            </w:pPr>
            <w:r w:rsidRPr="00EE1689">
              <w:rPr>
                <w:i/>
                <w:szCs w:val="22"/>
                <w:lang w:val="sl-SI"/>
              </w:rPr>
              <w:t>Telefon</w:t>
            </w:r>
          </w:p>
        </w:tc>
        <w:tc>
          <w:tcPr>
            <w:tcW w:w="4026" w:type="pct"/>
          </w:tcPr>
          <w:p w14:paraId="5DCD4559" w14:textId="56759405" w:rsidR="007C6480" w:rsidRPr="00EE1689" w:rsidRDefault="007C6480" w:rsidP="00EE1689">
            <w:pPr>
              <w:rPr>
                <w:lang w:val="sl-SI"/>
              </w:rPr>
            </w:pPr>
            <w:r w:rsidRPr="00EE1689">
              <w:rPr>
                <w:i/>
                <w:szCs w:val="22"/>
                <w:lang w:val="sl-SI"/>
              </w:rPr>
              <w:t>+32 2 </w:t>
            </w:r>
            <w:r w:rsidR="003B1306" w:rsidRPr="00EE1689">
              <w:rPr>
                <w:i/>
                <w:szCs w:val="22"/>
                <w:lang w:val="sl-SI"/>
              </w:rPr>
              <w:t>546 8817</w:t>
            </w:r>
          </w:p>
        </w:tc>
      </w:tr>
      <w:tr w:rsidR="007C6480" w:rsidRPr="00EE1689" w14:paraId="3C9B8ED8" w14:textId="77777777" w:rsidTr="00827140">
        <w:tc>
          <w:tcPr>
            <w:tcW w:w="974" w:type="pct"/>
          </w:tcPr>
          <w:p w14:paraId="0490BE20" w14:textId="77777777" w:rsidR="007C6480" w:rsidRPr="00EE1689" w:rsidRDefault="007C6480" w:rsidP="00EE1689">
            <w:pPr>
              <w:rPr>
                <w:lang w:val="sl-SI"/>
              </w:rPr>
            </w:pPr>
            <w:r w:rsidRPr="00EE1689">
              <w:rPr>
                <w:i/>
                <w:szCs w:val="22"/>
                <w:lang w:val="sl-SI"/>
              </w:rPr>
              <w:t>E-naslov</w:t>
            </w:r>
          </w:p>
        </w:tc>
        <w:tc>
          <w:tcPr>
            <w:tcW w:w="4026" w:type="pct"/>
          </w:tcPr>
          <w:p w14:paraId="3FDA8134" w14:textId="00877183" w:rsidR="007C6480" w:rsidRPr="00EE1689" w:rsidRDefault="00FA3430" w:rsidP="00EE1689">
            <w:pPr>
              <w:rPr>
                <w:i/>
                <w:lang w:val="sl-SI"/>
              </w:rPr>
            </w:pPr>
            <w:hyperlink r:id="rId42" w:history="1">
              <w:r w:rsidR="003B1306" w:rsidRPr="00EE1689">
                <w:rPr>
                  <w:rStyle w:val="Hyperlink"/>
                  <w:i/>
                  <w:lang w:val="sl-SI"/>
                </w:rPr>
                <w:t>Daniele.Vitali@eesc.europa.eu</w:t>
              </w:r>
            </w:hyperlink>
          </w:p>
        </w:tc>
      </w:tr>
    </w:tbl>
    <w:p w14:paraId="36C3BDF9" w14:textId="77777777" w:rsidR="007C6480" w:rsidRPr="00EE1689" w:rsidRDefault="007C6480" w:rsidP="00EE1689">
      <w:pPr>
        <w:rPr>
          <w:lang w:val="sl-SI"/>
        </w:rPr>
      </w:pPr>
    </w:p>
    <w:p w14:paraId="616E43F9" w14:textId="34388377" w:rsidR="007C6480" w:rsidRPr="00EE1689" w:rsidRDefault="00FA3430" w:rsidP="000619F4">
      <w:pPr>
        <w:keepNext/>
        <w:keepLines/>
        <w:numPr>
          <w:ilvl w:val="0"/>
          <w:numId w:val="7"/>
        </w:numPr>
        <w:tabs>
          <w:tab w:val="clear" w:pos="0"/>
        </w:tabs>
        <w:ind w:left="567" w:hanging="567"/>
        <w:rPr>
          <w:sz w:val="28"/>
          <w:szCs w:val="22"/>
          <w:lang w:val="sl-SI"/>
        </w:rPr>
      </w:pPr>
      <w:hyperlink r:id="rId43" w:history="1">
        <w:r w:rsidR="0083252F" w:rsidRPr="00EE1689">
          <w:rPr>
            <w:rStyle w:val="Hyperlink"/>
            <w:b/>
            <w:i/>
            <w:sz w:val="28"/>
            <w:szCs w:val="22"/>
            <w:lang w:val="sl-SI"/>
          </w:rPr>
          <w:t>Predvidljiva in skupna evropska pot naprej za Ukrajince v EU</w:t>
        </w:r>
      </w:hyperlink>
    </w:p>
    <w:p w14:paraId="5E329E84" w14:textId="77777777" w:rsidR="007C6480" w:rsidRPr="00EE1689" w:rsidRDefault="007C6480" w:rsidP="000619F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4A13512A" w14:textId="77777777" w:rsidTr="00827140">
        <w:tc>
          <w:tcPr>
            <w:tcW w:w="974" w:type="pct"/>
          </w:tcPr>
          <w:p w14:paraId="56F81FD8" w14:textId="77777777" w:rsidR="007C6480" w:rsidRPr="00EE1689" w:rsidRDefault="007C6480" w:rsidP="000619F4">
            <w:pPr>
              <w:keepNext/>
              <w:keepLines/>
              <w:rPr>
                <w:b/>
                <w:szCs w:val="22"/>
                <w:lang w:val="sl-SI"/>
              </w:rPr>
            </w:pPr>
            <w:r w:rsidRPr="00EE1689">
              <w:rPr>
                <w:b/>
                <w:szCs w:val="22"/>
                <w:lang w:val="sl-SI"/>
              </w:rPr>
              <w:t>Poročevalec</w:t>
            </w:r>
          </w:p>
        </w:tc>
        <w:tc>
          <w:tcPr>
            <w:tcW w:w="4026" w:type="pct"/>
          </w:tcPr>
          <w:p w14:paraId="07EA7EE8" w14:textId="4510C56A" w:rsidR="007C6480" w:rsidRPr="00EE1689" w:rsidRDefault="0083252F" w:rsidP="000619F4">
            <w:pPr>
              <w:keepNext/>
              <w:keepLines/>
              <w:rPr>
                <w:szCs w:val="22"/>
                <w:lang w:val="sl-SI"/>
              </w:rPr>
            </w:pPr>
            <w:r w:rsidRPr="00EE1689">
              <w:rPr>
                <w:szCs w:val="22"/>
                <w:lang w:val="sl-SI"/>
              </w:rPr>
              <w:t>Mateusz SZYMAŃSKI (skupina delojemalcev – PL)</w:t>
            </w:r>
          </w:p>
        </w:tc>
      </w:tr>
      <w:tr w:rsidR="007C6480" w:rsidRPr="00EE1689" w14:paraId="25E824E8" w14:textId="77777777" w:rsidTr="00827140">
        <w:tc>
          <w:tcPr>
            <w:tcW w:w="974" w:type="pct"/>
          </w:tcPr>
          <w:p w14:paraId="621D8BA7" w14:textId="77777777" w:rsidR="007C6480" w:rsidRPr="00EE1689" w:rsidRDefault="007C6480" w:rsidP="000619F4">
            <w:pPr>
              <w:keepNext/>
              <w:keepLines/>
              <w:rPr>
                <w:b/>
                <w:szCs w:val="22"/>
                <w:lang w:val="sl-SI"/>
              </w:rPr>
            </w:pPr>
            <w:r w:rsidRPr="00EE1689">
              <w:rPr>
                <w:b/>
                <w:szCs w:val="22"/>
                <w:lang w:val="sl-SI"/>
              </w:rPr>
              <w:t>Soporočevalec</w:t>
            </w:r>
          </w:p>
        </w:tc>
        <w:tc>
          <w:tcPr>
            <w:tcW w:w="4026" w:type="pct"/>
          </w:tcPr>
          <w:p w14:paraId="228365E1" w14:textId="1D892A47" w:rsidR="007C6480" w:rsidRPr="00EE1689" w:rsidRDefault="0083252F" w:rsidP="000619F4">
            <w:pPr>
              <w:keepNext/>
              <w:keepLines/>
              <w:rPr>
                <w:szCs w:val="22"/>
                <w:lang w:val="sl-SI"/>
              </w:rPr>
            </w:pPr>
            <w:r w:rsidRPr="00EE1689">
              <w:rPr>
                <w:szCs w:val="22"/>
                <w:lang w:val="sl-SI"/>
              </w:rPr>
              <w:t>Krzysztof Stanisław BALON (skupina organizacij civilne družbe – PL)</w:t>
            </w:r>
          </w:p>
        </w:tc>
      </w:tr>
      <w:tr w:rsidR="007C6480" w:rsidRPr="00EE1689" w14:paraId="0DD84A61" w14:textId="77777777" w:rsidTr="00827140">
        <w:tc>
          <w:tcPr>
            <w:tcW w:w="5000" w:type="pct"/>
            <w:gridSpan w:val="2"/>
          </w:tcPr>
          <w:p w14:paraId="55DCACA6" w14:textId="77777777" w:rsidR="007C6480" w:rsidRPr="00EE1689" w:rsidRDefault="007C6480" w:rsidP="000619F4">
            <w:pPr>
              <w:keepNext/>
              <w:keepLines/>
              <w:rPr>
                <w:sz w:val="16"/>
                <w:szCs w:val="22"/>
                <w:lang w:val="sl-SI"/>
              </w:rPr>
            </w:pPr>
          </w:p>
        </w:tc>
      </w:tr>
      <w:tr w:rsidR="007C6480" w:rsidRPr="00EE1689" w14:paraId="5CAEC911" w14:textId="77777777" w:rsidTr="00827140">
        <w:tc>
          <w:tcPr>
            <w:tcW w:w="974" w:type="pct"/>
            <w:vMerge w:val="restart"/>
          </w:tcPr>
          <w:p w14:paraId="3DAA1832" w14:textId="30EB65E8" w:rsidR="007C6480" w:rsidRPr="00EE1689" w:rsidRDefault="007C6480" w:rsidP="000619F4">
            <w:pPr>
              <w:keepNext/>
              <w:keepLines/>
              <w:rPr>
                <w:b/>
                <w:szCs w:val="22"/>
                <w:lang w:val="sl-SI"/>
              </w:rPr>
            </w:pPr>
            <w:r w:rsidRPr="00EE1689">
              <w:rPr>
                <w:b/>
                <w:szCs w:val="22"/>
                <w:lang w:val="sl-SI"/>
              </w:rPr>
              <w:t>Referenčn</w:t>
            </w:r>
            <w:r w:rsidR="00C06D8E">
              <w:rPr>
                <w:b/>
                <w:szCs w:val="22"/>
                <w:lang w:val="sl-SI"/>
              </w:rPr>
              <w:t>a</w:t>
            </w:r>
            <w:r w:rsidRPr="00EE1689">
              <w:rPr>
                <w:b/>
                <w:szCs w:val="22"/>
                <w:lang w:val="sl-SI"/>
              </w:rPr>
              <w:t xml:space="preserve"> dokument</w:t>
            </w:r>
            <w:r w:rsidR="00C06D8E">
              <w:rPr>
                <w:b/>
                <w:szCs w:val="22"/>
                <w:lang w:val="sl-SI"/>
              </w:rPr>
              <w:t>a</w:t>
            </w:r>
          </w:p>
        </w:tc>
        <w:tc>
          <w:tcPr>
            <w:tcW w:w="4026" w:type="pct"/>
          </w:tcPr>
          <w:p w14:paraId="416F0F67" w14:textId="5B871B46" w:rsidR="007C6480" w:rsidRPr="00EE1689" w:rsidRDefault="00DC3F06" w:rsidP="000619F4">
            <w:pPr>
              <w:keepNext/>
              <w:keepLines/>
              <w:rPr>
                <w:szCs w:val="22"/>
                <w:lang w:val="sl-SI"/>
              </w:rPr>
            </w:pPr>
            <w:r w:rsidRPr="00EE1689">
              <w:rPr>
                <w:szCs w:val="22"/>
                <w:lang w:val="sl-SI"/>
              </w:rPr>
              <w:t>COM(2025) 649 final</w:t>
            </w:r>
          </w:p>
        </w:tc>
      </w:tr>
      <w:tr w:rsidR="007C6480" w:rsidRPr="00EE1689" w14:paraId="1F0A0B91" w14:textId="77777777" w:rsidTr="00827140">
        <w:tc>
          <w:tcPr>
            <w:tcW w:w="974" w:type="pct"/>
            <w:vMerge/>
          </w:tcPr>
          <w:p w14:paraId="38648B89" w14:textId="77777777" w:rsidR="007C6480" w:rsidRPr="00EE1689" w:rsidRDefault="007C6480" w:rsidP="000619F4">
            <w:pPr>
              <w:keepNext/>
              <w:keepLines/>
              <w:tabs>
                <w:tab w:val="center" w:pos="284"/>
              </w:tabs>
              <w:ind w:left="266" w:hanging="266"/>
              <w:rPr>
                <w:b/>
                <w:szCs w:val="22"/>
                <w:lang w:val="sl-SI"/>
              </w:rPr>
            </w:pPr>
          </w:p>
        </w:tc>
        <w:tc>
          <w:tcPr>
            <w:tcW w:w="4026" w:type="pct"/>
          </w:tcPr>
          <w:p w14:paraId="0449D200" w14:textId="66630502" w:rsidR="007C6480" w:rsidRPr="00EE1689" w:rsidRDefault="0083252F" w:rsidP="000619F4">
            <w:pPr>
              <w:keepNext/>
              <w:keepLines/>
              <w:rPr>
                <w:szCs w:val="22"/>
                <w:lang w:val="sl-SI"/>
              </w:rPr>
            </w:pPr>
            <w:r w:rsidRPr="00EE1689">
              <w:rPr>
                <w:szCs w:val="22"/>
                <w:lang w:val="sl-SI"/>
              </w:rPr>
              <w:t>EESC-2025-02613-00-00-AC</w:t>
            </w:r>
          </w:p>
        </w:tc>
      </w:tr>
    </w:tbl>
    <w:p w14:paraId="5F6A6AAD" w14:textId="77777777" w:rsidR="007C6480" w:rsidRPr="00EE1689" w:rsidRDefault="007C6480" w:rsidP="000619F4">
      <w:pPr>
        <w:keepNext/>
        <w:keepLines/>
        <w:rPr>
          <w:szCs w:val="22"/>
          <w:lang w:val="sl-SI"/>
        </w:rPr>
      </w:pPr>
    </w:p>
    <w:p w14:paraId="108B671C" w14:textId="77777777" w:rsidR="007C6480" w:rsidRPr="00EE1689" w:rsidRDefault="007C6480" w:rsidP="000619F4">
      <w:pPr>
        <w:keepNext/>
        <w:keepLines/>
        <w:rPr>
          <w:lang w:val="sl-SI"/>
        </w:rPr>
      </w:pPr>
      <w:r w:rsidRPr="00EE1689">
        <w:rPr>
          <w:b/>
          <w:lang w:val="sl-SI"/>
        </w:rPr>
        <w:t>Glavne točke</w:t>
      </w:r>
    </w:p>
    <w:p w14:paraId="4EFF651A" w14:textId="77777777" w:rsidR="007C6480" w:rsidRPr="00EE1689" w:rsidRDefault="007C6480" w:rsidP="000619F4">
      <w:pPr>
        <w:keepNext/>
        <w:keepLines/>
        <w:rPr>
          <w:szCs w:val="22"/>
          <w:lang w:val="sl-SI"/>
        </w:rPr>
      </w:pPr>
    </w:p>
    <w:p w14:paraId="36D67EAC" w14:textId="77777777" w:rsidR="007C6480" w:rsidRPr="00EE1689" w:rsidRDefault="007C6480" w:rsidP="000619F4">
      <w:pPr>
        <w:keepNext/>
        <w:keepLines/>
        <w:rPr>
          <w:bCs/>
          <w:iCs/>
          <w:szCs w:val="22"/>
          <w:lang w:val="sl-SI"/>
        </w:rPr>
      </w:pPr>
      <w:r w:rsidRPr="00EE1689">
        <w:rPr>
          <w:bCs/>
          <w:iCs/>
          <w:szCs w:val="22"/>
          <w:lang w:val="sl-SI"/>
        </w:rPr>
        <w:t>EESO:</w:t>
      </w:r>
    </w:p>
    <w:p w14:paraId="5DC6595C" w14:textId="77777777" w:rsidR="007C6480" w:rsidRPr="00EE1689" w:rsidRDefault="007C6480" w:rsidP="000619F4">
      <w:pPr>
        <w:keepNext/>
        <w:keepLines/>
        <w:rPr>
          <w:szCs w:val="22"/>
          <w:lang w:val="sl-SI"/>
        </w:rPr>
      </w:pPr>
    </w:p>
    <w:p w14:paraId="63196A7F" w14:textId="5279A286" w:rsidR="0083252F" w:rsidRPr="00EE1689" w:rsidRDefault="0083252F" w:rsidP="000619F4">
      <w:pPr>
        <w:keepNext/>
        <w:keepLines/>
        <w:widowControl w:val="0"/>
        <w:numPr>
          <w:ilvl w:val="0"/>
          <w:numId w:val="9"/>
        </w:numPr>
        <w:tabs>
          <w:tab w:val="clear" w:pos="0"/>
        </w:tabs>
        <w:ind w:left="567" w:hanging="567"/>
        <w:rPr>
          <w:szCs w:val="22"/>
          <w:lang w:val="sl-SI"/>
        </w:rPr>
      </w:pPr>
      <w:r w:rsidRPr="00EE1689">
        <w:rPr>
          <w:szCs w:val="22"/>
          <w:lang w:val="sl-SI"/>
        </w:rPr>
        <w:t>znova izraža solidarnost z ukrajinskim prebivalstvom in želi spomniti, da je moralo zaradi ruske agresije proti Ukrajini na milijone Ukrajincev zbežati pred nevarnostjo; opozarja na vlogo organizacij civilne družbe v času, ko je bil pritok razseljenih oseb iz Ukrajine največji;</w:t>
      </w:r>
    </w:p>
    <w:p w14:paraId="611786F7" w14:textId="2E1E176F" w:rsidR="0083252F" w:rsidRPr="00EE1689" w:rsidRDefault="0083252F" w:rsidP="00EE1689">
      <w:pPr>
        <w:widowControl w:val="0"/>
        <w:numPr>
          <w:ilvl w:val="0"/>
          <w:numId w:val="9"/>
        </w:numPr>
        <w:tabs>
          <w:tab w:val="clear" w:pos="0"/>
        </w:tabs>
        <w:ind w:left="567" w:hanging="567"/>
        <w:rPr>
          <w:szCs w:val="22"/>
          <w:lang w:val="sl-SI"/>
        </w:rPr>
      </w:pPr>
      <w:r w:rsidRPr="00EE1689">
        <w:rPr>
          <w:szCs w:val="22"/>
          <w:lang w:val="sl-SI"/>
        </w:rPr>
        <w:t>ugotavlja, da se je začasna zaščita izkazala kot dobra rešitev za te ljudi. Hkrati še ni pogojev za vrnitev v Ukrajino, saj se ruska agresija nadaljuje, zato pozdravlja sklep o dodatnem podaljšanju začasne zaščite;</w:t>
      </w:r>
    </w:p>
    <w:p w14:paraId="5EA1A318" w14:textId="4E34D147" w:rsidR="0083252F" w:rsidRPr="00EE1689" w:rsidRDefault="0083252F" w:rsidP="00EE1689">
      <w:pPr>
        <w:widowControl w:val="0"/>
        <w:numPr>
          <w:ilvl w:val="0"/>
          <w:numId w:val="9"/>
        </w:numPr>
        <w:tabs>
          <w:tab w:val="clear" w:pos="0"/>
        </w:tabs>
        <w:ind w:left="567" w:hanging="567"/>
        <w:rPr>
          <w:szCs w:val="22"/>
          <w:lang w:val="sl-SI"/>
        </w:rPr>
      </w:pPr>
      <w:r w:rsidRPr="00EE1689">
        <w:rPr>
          <w:szCs w:val="22"/>
          <w:lang w:val="sl-SI"/>
        </w:rPr>
        <w:t>poudarja, da je potrebna dolgoročna perspektiva za ljudi, ki uživajo začasno zaščito, in poziva Evropsko komisijo ter države članice, naj sprejmejo ukrepe za lažji prehod na trajnejšo osnovo za bivanje in za postopen odmik od začasne zaščite;</w:t>
      </w:r>
    </w:p>
    <w:p w14:paraId="79FAC919" w14:textId="765A3927" w:rsidR="0083252F" w:rsidRPr="00EE1689" w:rsidRDefault="0083252F" w:rsidP="00EE1689">
      <w:pPr>
        <w:widowControl w:val="0"/>
        <w:numPr>
          <w:ilvl w:val="0"/>
          <w:numId w:val="9"/>
        </w:numPr>
        <w:tabs>
          <w:tab w:val="clear" w:pos="0"/>
        </w:tabs>
        <w:ind w:left="567" w:hanging="567"/>
        <w:rPr>
          <w:szCs w:val="22"/>
          <w:lang w:val="sl-SI"/>
        </w:rPr>
      </w:pPr>
      <w:r w:rsidRPr="00EE1689">
        <w:rPr>
          <w:szCs w:val="22"/>
          <w:lang w:val="sl-SI"/>
        </w:rPr>
        <w:t>poudarja, da je prihod Ukrajincev v EU zaostril pritisk na sisteme javnih storitev v državah članicah in da je treba povečati naložbe v visokokakovostne storitve splošnega pomena, vključno s stanovanji, ki morajo biti po enakih pogojih na voljo vsem, ki zakonito prebivajo v EU;</w:t>
      </w:r>
    </w:p>
    <w:p w14:paraId="2501CE2D" w14:textId="51E0767C" w:rsidR="0083252F" w:rsidRPr="00EE1689" w:rsidRDefault="0083252F" w:rsidP="00EE1689">
      <w:pPr>
        <w:widowControl w:val="0"/>
        <w:numPr>
          <w:ilvl w:val="0"/>
          <w:numId w:val="9"/>
        </w:numPr>
        <w:tabs>
          <w:tab w:val="clear" w:pos="0"/>
        </w:tabs>
        <w:ind w:left="567" w:hanging="567"/>
        <w:rPr>
          <w:szCs w:val="22"/>
          <w:lang w:val="sl-SI"/>
        </w:rPr>
      </w:pPr>
      <w:r w:rsidRPr="00EE1689">
        <w:rPr>
          <w:szCs w:val="22"/>
          <w:lang w:val="sl-SI"/>
        </w:rPr>
        <w:t>ugotavlja, da si je treba za uspešno vključevanje Ukrajincev v EU prizadevati z organizacijo jezikovnih tečajev, podporo pobudam lokalnih skupnosti, izobraževanjem ukrajinskih otrok v državah članicah ter bojem proti dezinformacijam in ruskim obveščevalnim dejavnostim. Poleg tega je treba ukrajinske državljane vključiti v organizacije, ki delujejo v njihovih lokalnih skupnostih;</w:t>
      </w:r>
    </w:p>
    <w:p w14:paraId="43A7B2A0" w14:textId="055C28F7" w:rsidR="007C6480" w:rsidRPr="00EE1689" w:rsidRDefault="0083252F" w:rsidP="00EE1689">
      <w:pPr>
        <w:widowControl w:val="0"/>
        <w:numPr>
          <w:ilvl w:val="0"/>
          <w:numId w:val="9"/>
        </w:numPr>
        <w:tabs>
          <w:tab w:val="clear" w:pos="0"/>
        </w:tabs>
        <w:ind w:left="567" w:hanging="567"/>
        <w:rPr>
          <w:lang w:val="sl-SI"/>
        </w:rPr>
      </w:pPr>
      <w:r w:rsidRPr="00EE1689">
        <w:rPr>
          <w:szCs w:val="22"/>
          <w:lang w:val="sl-SI"/>
        </w:rPr>
        <w:t>poudarja, da je treba Ukrajincem omogočiti pravične delovne pogoje, tako v EU kot v Ukrajini. Od držav članic se pričakuje, da se bodo borile proti izkoriščanju in neenaki obravnavi Ukrajincev pri zaposlovanju, od ukrajinske vlade pa, da na podlagi dialoga s socialnimi partnerji znova vzpostavi ugodne pogoje za</w:t>
      </w:r>
      <w:r w:rsidRPr="00EE1689">
        <w:rPr>
          <w:lang w:val="sl-SI"/>
        </w:rPr>
        <w:t xml:space="preserve"> delavce in sindikalne dejavnosti.</w:t>
      </w:r>
    </w:p>
    <w:p w14:paraId="20152B88" w14:textId="77777777" w:rsidR="0083252F" w:rsidRPr="00EE1689" w:rsidRDefault="0083252F"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7FB25384" w14:textId="77777777" w:rsidTr="00827140">
        <w:tc>
          <w:tcPr>
            <w:tcW w:w="974" w:type="pct"/>
          </w:tcPr>
          <w:p w14:paraId="137C6D09" w14:textId="77777777" w:rsidR="007C6480" w:rsidRPr="00EE1689" w:rsidRDefault="007C6480" w:rsidP="00EE1689">
            <w:pPr>
              <w:rPr>
                <w:lang w:val="sl-SI"/>
              </w:rPr>
            </w:pPr>
            <w:r w:rsidRPr="00EE1689">
              <w:rPr>
                <w:b/>
                <w:i/>
                <w:szCs w:val="22"/>
                <w:lang w:val="sl-SI"/>
              </w:rPr>
              <w:t>Kontaktna oseba</w:t>
            </w:r>
          </w:p>
        </w:tc>
        <w:tc>
          <w:tcPr>
            <w:tcW w:w="4026" w:type="pct"/>
          </w:tcPr>
          <w:p w14:paraId="276F9BA2" w14:textId="6DA3CAF7" w:rsidR="007C6480" w:rsidRPr="00EE1689" w:rsidRDefault="0083252F" w:rsidP="00EE1689">
            <w:pPr>
              <w:rPr>
                <w:i/>
                <w:lang w:val="sl-SI"/>
              </w:rPr>
            </w:pPr>
            <w:r w:rsidRPr="00EE1689">
              <w:rPr>
                <w:i/>
                <w:lang w:val="sl-SI"/>
              </w:rPr>
              <w:t>Katarína Grzeszczyk Albrechtová</w:t>
            </w:r>
          </w:p>
        </w:tc>
      </w:tr>
      <w:tr w:rsidR="007C6480" w:rsidRPr="00EE1689" w14:paraId="3EBEA5A2" w14:textId="77777777" w:rsidTr="00827140">
        <w:tc>
          <w:tcPr>
            <w:tcW w:w="974" w:type="pct"/>
          </w:tcPr>
          <w:p w14:paraId="773ADB99" w14:textId="77777777" w:rsidR="007C6480" w:rsidRPr="00EE1689" w:rsidRDefault="007C6480" w:rsidP="00EE1689">
            <w:pPr>
              <w:rPr>
                <w:lang w:val="sl-SI"/>
              </w:rPr>
            </w:pPr>
            <w:r w:rsidRPr="00EE1689">
              <w:rPr>
                <w:i/>
                <w:szCs w:val="22"/>
                <w:lang w:val="sl-SI"/>
              </w:rPr>
              <w:t>Telefon</w:t>
            </w:r>
          </w:p>
        </w:tc>
        <w:tc>
          <w:tcPr>
            <w:tcW w:w="4026" w:type="pct"/>
          </w:tcPr>
          <w:p w14:paraId="2807651C" w14:textId="6208B368" w:rsidR="007C6480" w:rsidRPr="00EE1689" w:rsidRDefault="007C6480" w:rsidP="00EE1689">
            <w:pPr>
              <w:rPr>
                <w:lang w:val="sl-SI"/>
              </w:rPr>
            </w:pPr>
            <w:r w:rsidRPr="00EE1689">
              <w:rPr>
                <w:i/>
                <w:szCs w:val="22"/>
                <w:lang w:val="sl-SI"/>
              </w:rPr>
              <w:t>+32 2 </w:t>
            </w:r>
            <w:r w:rsidR="0083252F" w:rsidRPr="00EE1689">
              <w:rPr>
                <w:i/>
                <w:szCs w:val="22"/>
                <w:lang w:val="sl-SI"/>
              </w:rPr>
              <w:t>546 9460</w:t>
            </w:r>
          </w:p>
        </w:tc>
      </w:tr>
      <w:tr w:rsidR="007C6480" w:rsidRPr="00EE1689" w14:paraId="7C088564" w14:textId="77777777" w:rsidTr="00827140">
        <w:tc>
          <w:tcPr>
            <w:tcW w:w="974" w:type="pct"/>
          </w:tcPr>
          <w:p w14:paraId="32E5161D" w14:textId="77777777" w:rsidR="007C6480" w:rsidRPr="00EE1689" w:rsidRDefault="007C6480" w:rsidP="00EE1689">
            <w:pPr>
              <w:rPr>
                <w:lang w:val="sl-SI"/>
              </w:rPr>
            </w:pPr>
            <w:r w:rsidRPr="00EE1689">
              <w:rPr>
                <w:i/>
                <w:szCs w:val="22"/>
                <w:lang w:val="sl-SI"/>
              </w:rPr>
              <w:t>E-naslov</w:t>
            </w:r>
          </w:p>
        </w:tc>
        <w:tc>
          <w:tcPr>
            <w:tcW w:w="4026" w:type="pct"/>
          </w:tcPr>
          <w:p w14:paraId="198E1D58" w14:textId="128E893C" w:rsidR="007C6480" w:rsidRPr="00EE1689" w:rsidRDefault="00FA3430" w:rsidP="00EE1689">
            <w:pPr>
              <w:rPr>
                <w:i/>
                <w:lang w:val="sl-SI"/>
              </w:rPr>
            </w:pPr>
            <w:hyperlink r:id="rId44" w:history="1">
              <w:r w:rsidR="0083252F" w:rsidRPr="00EE1689">
                <w:rPr>
                  <w:rStyle w:val="Hyperlink"/>
                  <w:i/>
                  <w:lang w:val="sl-SI"/>
                </w:rPr>
                <w:t>Katarina.Albrechtova@eesc.europa.eu</w:t>
              </w:r>
            </w:hyperlink>
          </w:p>
        </w:tc>
      </w:tr>
    </w:tbl>
    <w:p w14:paraId="6DF25805" w14:textId="77777777" w:rsidR="007C6480" w:rsidRPr="00EE1689" w:rsidRDefault="007C6480" w:rsidP="00EE1689">
      <w:pPr>
        <w:rPr>
          <w:lang w:val="sl-SI"/>
        </w:rPr>
      </w:pPr>
    </w:p>
    <w:p w14:paraId="2AD21A75" w14:textId="77777777" w:rsidR="00437105" w:rsidRPr="00EE1689" w:rsidRDefault="00437105" w:rsidP="00EE1689">
      <w:pPr>
        <w:rPr>
          <w:lang w:val="sl-SI"/>
        </w:rPr>
      </w:pPr>
    </w:p>
    <w:p w14:paraId="594DC2F6" w14:textId="77777777" w:rsidR="00437105" w:rsidRPr="00EE1689" w:rsidRDefault="00AC7C4F" w:rsidP="00EE1689">
      <w:pPr>
        <w:pStyle w:val="Heading1"/>
        <w:pageBreakBefore/>
        <w:overflowPunct/>
        <w:autoSpaceDE/>
        <w:autoSpaceDN/>
        <w:adjustRightInd/>
        <w:ind w:left="567" w:hanging="567"/>
        <w:textAlignment w:val="auto"/>
        <w:rPr>
          <w:lang w:val="sl-SI"/>
        </w:rPr>
      </w:pPr>
      <w:bookmarkStart w:id="13" w:name="_Toc105440141"/>
      <w:r w:rsidRPr="00EE1689">
        <w:rPr>
          <w:b/>
          <w:lang w:val="sl-SI"/>
        </w:rPr>
        <w:lastRenderedPageBreak/>
        <w:t>POSVETOVALNA KOMISIJA ZA SPREMEMBE V INDUSTRIJI</w:t>
      </w:r>
      <w:bookmarkEnd w:id="13"/>
    </w:p>
    <w:p w14:paraId="173D3209" w14:textId="77777777" w:rsidR="00437105" w:rsidRPr="00EE1689" w:rsidRDefault="00437105" w:rsidP="00EE1689">
      <w:pPr>
        <w:rPr>
          <w:lang w:val="sl-SI"/>
        </w:rPr>
      </w:pPr>
    </w:p>
    <w:p w14:paraId="21B52E81" w14:textId="124CDC56" w:rsidR="00EA31FC" w:rsidRPr="00EE1689" w:rsidRDefault="00FA3430" w:rsidP="00EE1689">
      <w:pPr>
        <w:numPr>
          <w:ilvl w:val="0"/>
          <w:numId w:val="7"/>
        </w:numPr>
        <w:tabs>
          <w:tab w:val="clear" w:pos="0"/>
        </w:tabs>
        <w:ind w:left="567" w:hanging="567"/>
        <w:rPr>
          <w:sz w:val="28"/>
          <w:szCs w:val="22"/>
          <w:lang w:val="sl-SI"/>
        </w:rPr>
      </w:pPr>
      <w:hyperlink r:id="rId45" w:history="1">
        <w:r w:rsidR="00380A46" w:rsidRPr="00EE1689">
          <w:rPr>
            <w:rStyle w:val="Hyperlink"/>
            <w:b/>
            <w:i/>
            <w:sz w:val="28"/>
            <w:szCs w:val="22"/>
            <w:lang w:val="sl-SI"/>
          </w:rPr>
          <w:t>Spodbujanje potenciala trajnih materialov v krožnem gospodarstvu EU</w:t>
        </w:r>
      </w:hyperlink>
    </w:p>
    <w:p w14:paraId="3EC5DD49" w14:textId="77777777" w:rsidR="00EA31FC" w:rsidRPr="00EE1689" w:rsidRDefault="00EA31FC" w:rsidP="00EE1689">
      <w:pPr>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437105" w:rsidRPr="00EE1689" w14:paraId="54904F0A" w14:textId="77777777" w:rsidTr="00993CB4">
        <w:tc>
          <w:tcPr>
            <w:tcW w:w="974" w:type="pct"/>
          </w:tcPr>
          <w:p w14:paraId="47C70BDE" w14:textId="77777777" w:rsidR="00437105" w:rsidRPr="00EE1689" w:rsidRDefault="00437105" w:rsidP="00EE1689">
            <w:pPr>
              <w:rPr>
                <w:b/>
                <w:szCs w:val="22"/>
                <w:lang w:val="sl-SI"/>
              </w:rPr>
            </w:pPr>
            <w:r w:rsidRPr="00EE1689">
              <w:rPr>
                <w:b/>
                <w:szCs w:val="22"/>
                <w:lang w:val="sl-SI"/>
              </w:rPr>
              <w:t>Poročevalec</w:t>
            </w:r>
          </w:p>
        </w:tc>
        <w:tc>
          <w:tcPr>
            <w:tcW w:w="4026" w:type="pct"/>
          </w:tcPr>
          <w:p w14:paraId="3A1F0F07" w14:textId="4B1F51C9" w:rsidR="00437105" w:rsidRPr="00EE1689" w:rsidRDefault="00380A46" w:rsidP="00EE1689">
            <w:pPr>
              <w:rPr>
                <w:szCs w:val="22"/>
                <w:lang w:val="sl-SI"/>
              </w:rPr>
            </w:pPr>
            <w:r w:rsidRPr="00EE1689">
              <w:rPr>
                <w:szCs w:val="22"/>
                <w:lang w:val="sl-SI"/>
              </w:rPr>
              <w:t>Andrea MONE (skupina delojemalcev – IT)</w:t>
            </w:r>
          </w:p>
        </w:tc>
      </w:tr>
      <w:tr w:rsidR="00437105" w:rsidRPr="00EE1689" w14:paraId="3F764E88" w14:textId="77777777" w:rsidTr="00993CB4">
        <w:tc>
          <w:tcPr>
            <w:tcW w:w="974" w:type="pct"/>
          </w:tcPr>
          <w:p w14:paraId="3F35281F" w14:textId="77777777" w:rsidR="00437105" w:rsidRPr="00EE1689" w:rsidRDefault="00437105" w:rsidP="00EE1689">
            <w:pPr>
              <w:rPr>
                <w:b/>
                <w:szCs w:val="22"/>
                <w:lang w:val="sl-SI"/>
              </w:rPr>
            </w:pPr>
            <w:r w:rsidRPr="00EE1689">
              <w:rPr>
                <w:b/>
                <w:szCs w:val="22"/>
                <w:lang w:val="sl-SI"/>
              </w:rPr>
              <w:t>Soporočevalec</w:t>
            </w:r>
          </w:p>
        </w:tc>
        <w:tc>
          <w:tcPr>
            <w:tcW w:w="4026" w:type="pct"/>
          </w:tcPr>
          <w:p w14:paraId="7550FFE8" w14:textId="1443FF31" w:rsidR="00437105" w:rsidRPr="00EE1689" w:rsidRDefault="00380A46" w:rsidP="00EE1689">
            <w:pPr>
              <w:rPr>
                <w:szCs w:val="22"/>
                <w:lang w:val="sl-SI"/>
              </w:rPr>
            </w:pPr>
            <w:r w:rsidRPr="00EE1689">
              <w:rPr>
                <w:szCs w:val="22"/>
                <w:lang w:val="sl-SI"/>
              </w:rPr>
              <w:t>Michal PINTÉR (skupina delodajalcev – SK)</w:t>
            </w:r>
          </w:p>
        </w:tc>
      </w:tr>
      <w:tr w:rsidR="00437105" w:rsidRPr="00EE1689" w14:paraId="44245B62" w14:textId="77777777" w:rsidTr="00993CB4">
        <w:tc>
          <w:tcPr>
            <w:tcW w:w="5000" w:type="pct"/>
            <w:gridSpan w:val="2"/>
          </w:tcPr>
          <w:p w14:paraId="38AF9CEF" w14:textId="77777777" w:rsidR="00437105" w:rsidRPr="00EE1689" w:rsidRDefault="00437105" w:rsidP="00EE1689">
            <w:pPr>
              <w:rPr>
                <w:sz w:val="16"/>
                <w:szCs w:val="22"/>
                <w:lang w:val="sl-SI"/>
              </w:rPr>
            </w:pPr>
          </w:p>
        </w:tc>
      </w:tr>
      <w:tr w:rsidR="00437105" w:rsidRPr="00EE1689" w14:paraId="447D79B2" w14:textId="77777777" w:rsidTr="00993CB4">
        <w:tc>
          <w:tcPr>
            <w:tcW w:w="974" w:type="pct"/>
            <w:vMerge w:val="restart"/>
          </w:tcPr>
          <w:p w14:paraId="41D2A148" w14:textId="77777777" w:rsidR="00437105" w:rsidRPr="00EE1689" w:rsidRDefault="00437105" w:rsidP="00EE1689">
            <w:pPr>
              <w:rPr>
                <w:b/>
                <w:szCs w:val="22"/>
                <w:lang w:val="sl-SI"/>
              </w:rPr>
            </w:pPr>
            <w:r w:rsidRPr="00EE1689">
              <w:rPr>
                <w:b/>
                <w:szCs w:val="22"/>
                <w:lang w:val="sl-SI"/>
              </w:rPr>
              <w:t>Referenčni dokument</w:t>
            </w:r>
          </w:p>
        </w:tc>
        <w:tc>
          <w:tcPr>
            <w:tcW w:w="4026" w:type="pct"/>
          </w:tcPr>
          <w:p w14:paraId="48822976" w14:textId="046D0CA9" w:rsidR="00437105" w:rsidRPr="00EE1689" w:rsidRDefault="009E2875" w:rsidP="00EE1689">
            <w:pPr>
              <w:rPr>
                <w:szCs w:val="22"/>
                <w:lang w:val="sl-SI"/>
              </w:rPr>
            </w:pPr>
            <w:r w:rsidRPr="00EE1689">
              <w:rPr>
                <w:szCs w:val="22"/>
                <w:lang w:val="sl-SI"/>
              </w:rPr>
              <w:t>mnenje na lastno pobudo</w:t>
            </w:r>
          </w:p>
        </w:tc>
      </w:tr>
      <w:tr w:rsidR="00437105" w:rsidRPr="00EE1689" w14:paraId="2236E894" w14:textId="77777777" w:rsidTr="00993CB4">
        <w:tc>
          <w:tcPr>
            <w:tcW w:w="974" w:type="pct"/>
            <w:vMerge/>
          </w:tcPr>
          <w:p w14:paraId="1CB275BC" w14:textId="77777777" w:rsidR="00437105" w:rsidRPr="00EE1689" w:rsidRDefault="00437105" w:rsidP="00EE1689">
            <w:pPr>
              <w:tabs>
                <w:tab w:val="center" w:pos="284"/>
              </w:tabs>
              <w:ind w:left="266" w:hanging="266"/>
              <w:rPr>
                <w:b/>
                <w:szCs w:val="22"/>
                <w:lang w:val="sl-SI"/>
              </w:rPr>
            </w:pPr>
          </w:p>
        </w:tc>
        <w:tc>
          <w:tcPr>
            <w:tcW w:w="4026" w:type="pct"/>
          </w:tcPr>
          <w:p w14:paraId="055B7F7F" w14:textId="54F42083" w:rsidR="00437105" w:rsidRPr="00EE1689" w:rsidRDefault="00380A46" w:rsidP="00EE1689">
            <w:pPr>
              <w:rPr>
                <w:szCs w:val="22"/>
                <w:lang w:val="sl-SI"/>
              </w:rPr>
            </w:pPr>
            <w:r w:rsidRPr="00EE1689">
              <w:rPr>
                <w:szCs w:val="22"/>
                <w:lang w:val="sl-SI"/>
              </w:rPr>
              <w:t>EESC-2025-02364-00-00-AC</w:t>
            </w:r>
          </w:p>
        </w:tc>
      </w:tr>
    </w:tbl>
    <w:p w14:paraId="2F854D82" w14:textId="77777777" w:rsidR="00437105" w:rsidRPr="00EE1689" w:rsidRDefault="00437105" w:rsidP="00EE1689">
      <w:pPr>
        <w:rPr>
          <w:szCs w:val="22"/>
          <w:lang w:val="sl-SI"/>
        </w:rPr>
      </w:pPr>
    </w:p>
    <w:p w14:paraId="27FB429A" w14:textId="77777777" w:rsidR="00437105" w:rsidRPr="00EE1689" w:rsidRDefault="00437105" w:rsidP="00EE1689">
      <w:pPr>
        <w:rPr>
          <w:lang w:val="sl-SI"/>
        </w:rPr>
      </w:pPr>
      <w:r w:rsidRPr="00EE1689">
        <w:rPr>
          <w:b/>
          <w:lang w:val="sl-SI"/>
        </w:rPr>
        <w:t>Glavne točke</w:t>
      </w:r>
    </w:p>
    <w:p w14:paraId="6D36E7A2" w14:textId="77777777" w:rsidR="00437105" w:rsidRPr="00EE1689" w:rsidRDefault="00437105" w:rsidP="00EE1689">
      <w:pPr>
        <w:rPr>
          <w:szCs w:val="22"/>
          <w:lang w:val="sl-SI"/>
        </w:rPr>
      </w:pPr>
    </w:p>
    <w:p w14:paraId="6E611BF3" w14:textId="77777777" w:rsidR="00437105" w:rsidRPr="00EE1689" w:rsidRDefault="00437105" w:rsidP="00EE1689">
      <w:pPr>
        <w:rPr>
          <w:bCs/>
          <w:iCs/>
          <w:szCs w:val="22"/>
          <w:lang w:val="sl-SI"/>
        </w:rPr>
      </w:pPr>
      <w:r w:rsidRPr="00EE1689">
        <w:rPr>
          <w:bCs/>
          <w:iCs/>
          <w:szCs w:val="22"/>
          <w:lang w:val="sl-SI"/>
        </w:rPr>
        <w:t>EESO:</w:t>
      </w:r>
    </w:p>
    <w:p w14:paraId="1E7A1AE9" w14:textId="77777777" w:rsidR="00437105" w:rsidRPr="00EE1689" w:rsidRDefault="00437105" w:rsidP="00EE1689">
      <w:pPr>
        <w:rPr>
          <w:szCs w:val="22"/>
          <w:lang w:val="sl-SI"/>
        </w:rPr>
      </w:pPr>
    </w:p>
    <w:p w14:paraId="4D672A32" w14:textId="26C339E0" w:rsidR="00437105" w:rsidRPr="00EE1689" w:rsidRDefault="00380A46" w:rsidP="00EE1689">
      <w:pPr>
        <w:widowControl w:val="0"/>
        <w:numPr>
          <w:ilvl w:val="0"/>
          <w:numId w:val="9"/>
        </w:numPr>
        <w:tabs>
          <w:tab w:val="clear" w:pos="0"/>
        </w:tabs>
        <w:ind w:left="567" w:hanging="567"/>
        <w:rPr>
          <w:bCs/>
          <w:iCs/>
          <w:szCs w:val="22"/>
          <w:lang w:val="sl-SI"/>
        </w:rPr>
      </w:pPr>
      <w:r w:rsidRPr="00EE1689">
        <w:rPr>
          <w:b/>
          <w:lang w:val="sl-SI"/>
        </w:rPr>
        <w:t>priznava ključno vlogo trajnih materialov</w:t>
      </w:r>
      <w:r w:rsidRPr="00EE1689">
        <w:rPr>
          <w:lang w:val="sl-SI"/>
        </w:rPr>
        <w:t xml:space="preserve"> pri omogočanju resničnega krožnega gospodarstva, zlasti v embalaži, in poziva, </w:t>
      </w:r>
      <w:r w:rsidRPr="00EE1689">
        <w:rPr>
          <w:b/>
          <w:lang w:val="sl-SI"/>
        </w:rPr>
        <w:t>naj se izrecno priznajo v zakonodaji EU</w:t>
      </w:r>
      <w:r w:rsidRPr="00EE1689">
        <w:rPr>
          <w:lang w:val="sl-SI"/>
        </w:rPr>
        <w:t>;</w:t>
      </w:r>
    </w:p>
    <w:p w14:paraId="09CA99EF" w14:textId="48832752" w:rsidR="00437105" w:rsidRPr="00EE1689" w:rsidRDefault="00380A46" w:rsidP="00EE1689">
      <w:pPr>
        <w:widowControl w:val="0"/>
        <w:numPr>
          <w:ilvl w:val="0"/>
          <w:numId w:val="9"/>
        </w:numPr>
        <w:tabs>
          <w:tab w:val="clear" w:pos="0"/>
        </w:tabs>
        <w:ind w:left="567" w:hanging="567"/>
        <w:rPr>
          <w:bCs/>
          <w:iCs/>
          <w:szCs w:val="22"/>
          <w:lang w:val="sl-SI"/>
        </w:rPr>
      </w:pPr>
      <w:r w:rsidRPr="00EE1689">
        <w:rPr>
          <w:b/>
          <w:lang w:val="sl-SI"/>
        </w:rPr>
        <w:t>podpira ambiciozen pristop EU, katerega cilj je ločeno zbiranje 90 % odpadne embalaže do leta 2030</w:t>
      </w:r>
      <w:r w:rsidRPr="00EE1689">
        <w:rPr>
          <w:lang w:val="sl-SI"/>
        </w:rPr>
        <w:t>, in poudarja, da so napredni in dobro financirani sistemi zbiranja, razvrščanja in visokokakovostnega recikliranja bistveni, da se ohrani čim več materialov in omogoča recikliranje trajnih materialov v zaprti zanki;</w:t>
      </w:r>
    </w:p>
    <w:p w14:paraId="3C800A2A" w14:textId="6B35AB9B" w:rsidR="00437105" w:rsidRPr="00EE1689" w:rsidRDefault="00380A46" w:rsidP="00EE1689">
      <w:pPr>
        <w:widowControl w:val="0"/>
        <w:numPr>
          <w:ilvl w:val="0"/>
          <w:numId w:val="9"/>
        </w:numPr>
        <w:tabs>
          <w:tab w:val="clear" w:pos="0"/>
        </w:tabs>
        <w:ind w:left="567" w:hanging="567"/>
        <w:rPr>
          <w:bCs/>
          <w:iCs/>
          <w:szCs w:val="22"/>
          <w:lang w:val="sl-SI"/>
        </w:rPr>
      </w:pPr>
      <w:r w:rsidRPr="00EE1689">
        <w:rPr>
          <w:b/>
          <w:lang w:val="sl-SI"/>
        </w:rPr>
        <w:t>poziva k okrepitvi in uskladitvi sistemov razširjene odgovornosti proizvajalca</w:t>
      </w:r>
      <w:r w:rsidRPr="00EE1689">
        <w:rPr>
          <w:lang w:val="sl-SI"/>
        </w:rPr>
        <w:t xml:space="preserve"> v vseh državah članicah. To vključuje zaračunavanje </w:t>
      </w:r>
      <w:r w:rsidRPr="00EE1689">
        <w:rPr>
          <w:b/>
          <w:lang w:val="sl-SI"/>
        </w:rPr>
        <w:t>ekološko prilagojenih pristojbin na podlagi preglednih in doslednih meril</w:t>
      </w:r>
      <w:r w:rsidRPr="00EE1689">
        <w:rPr>
          <w:lang w:val="sl-SI"/>
        </w:rPr>
        <w:t xml:space="preserve">, sorazmerne pristojbine in </w:t>
      </w:r>
      <w:r w:rsidRPr="00EE1689">
        <w:rPr>
          <w:b/>
          <w:lang w:val="sl-SI"/>
        </w:rPr>
        <w:t>namenjanje prihodkov od razširjene odgovornosti proizvajalca</w:t>
      </w:r>
      <w:r w:rsidRPr="00EE1689">
        <w:rPr>
          <w:lang w:val="sl-SI"/>
        </w:rPr>
        <w:t xml:space="preserve"> za ponovno vlaganje v isti tok materialov;</w:t>
      </w:r>
    </w:p>
    <w:p w14:paraId="05053B34" w14:textId="45884182" w:rsidR="00380A46" w:rsidRPr="00EE1689" w:rsidRDefault="00380A46" w:rsidP="00EE1689">
      <w:pPr>
        <w:widowControl w:val="0"/>
        <w:numPr>
          <w:ilvl w:val="0"/>
          <w:numId w:val="9"/>
        </w:numPr>
        <w:tabs>
          <w:tab w:val="clear" w:pos="0"/>
        </w:tabs>
        <w:ind w:left="567" w:hanging="567"/>
        <w:rPr>
          <w:bCs/>
          <w:iCs/>
          <w:szCs w:val="22"/>
          <w:lang w:val="sl-SI"/>
        </w:rPr>
      </w:pPr>
      <w:r w:rsidRPr="00EE1689">
        <w:rPr>
          <w:b/>
          <w:lang w:val="sl-SI"/>
        </w:rPr>
        <w:t>ugotavlja, da je treba dati prednost naložbam</w:t>
      </w:r>
      <w:r w:rsidRPr="00EE1689">
        <w:rPr>
          <w:lang w:val="sl-SI"/>
        </w:rPr>
        <w:t xml:space="preserve"> v sodobno infrastrukturo za ločeno zbiranje, razvrščanje in recikliranje odpadne embalaže. Poudarja, da bi morala biti </w:t>
      </w:r>
      <w:r w:rsidRPr="00EE1689">
        <w:rPr>
          <w:b/>
          <w:lang w:val="sl-SI"/>
        </w:rPr>
        <w:t>dodatna podpora osredotočena na manj uspešne regije in regije z manj možnostmi naložb</w:t>
      </w:r>
      <w:r w:rsidRPr="00EE1689">
        <w:rPr>
          <w:lang w:val="sl-SI"/>
        </w:rPr>
        <w:t>, da bi lahko vse države članice uresničile cilje krožnega gospodarstva;</w:t>
      </w:r>
    </w:p>
    <w:p w14:paraId="1745FECE" w14:textId="1C09505C" w:rsidR="00380A46" w:rsidRPr="00EE1689" w:rsidRDefault="00380A46" w:rsidP="00EE1689">
      <w:pPr>
        <w:widowControl w:val="0"/>
        <w:numPr>
          <w:ilvl w:val="0"/>
          <w:numId w:val="9"/>
        </w:numPr>
        <w:tabs>
          <w:tab w:val="clear" w:pos="0"/>
        </w:tabs>
        <w:ind w:left="567" w:hanging="567"/>
        <w:rPr>
          <w:bCs/>
          <w:iCs/>
          <w:szCs w:val="22"/>
          <w:lang w:val="sl-SI"/>
        </w:rPr>
      </w:pPr>
      <w:r w:rsidRPr="00EE1689">
        <w:rPr>
          <w:b/>
          <w:lang w:val="sl-SI"/>
        </w:rPr>
        <w:t>priporoča celovito oceno na ravni EU, kako državljani reciklirajo</w:t>
      </w:r>
      <w:r w:rsidRPr="00EE1689">
        <w:rPr>
          <w:lang w:val="sl-SI"/>
        </w:rPr>
        <w:t>, da bi opredelili vrzeli, ovire in najboljše prakse. Na podlagi te ocene poziva k ukrepom za okrepitev sodelovanja potrošnikov pri ločenem zbiranju odpadne embalaže, pri čemer priznava, da je sortiranje v gospodinjstvih bistven prvi korak k učinkovitemu recikliranju;</w:t>
      </w:r>
    </w:p>
    <w:p w14:paraId="2C5C8D0D" w14:textId="6E6BF964" w:rsidR="00380A46" w:rsidRPr="00EE1689" w:rsidRDefault="00380A46" w:rsidP="00EE1689">
      <w:pPr>
        <w:widowControl w:val="0"/>
        <w:numPr>
          <w:ilvl w:val="0"/>
          <w:numId w:val="9"/>
        </w:numPr>
        <w:tabs>
          <w:tab w:val="clear" w:pos="0"/>
        </w:tabs>
        <w:ind w:left="567" w:hanging="567"/>
        <w:rPr>
          <w:bCs/>
          <w:iCs/>
          <w:szCs w:val="22"/>
          <w:lang w:val="sl-SI"/>
        </w:rPr>
      </w:pPr>
      <w:r w:rsidRPr="00EE1689">
        <w:rPr>
          <w:b/>
          <w:lang w:val="sl-SI"/>
        </w:rPr>
        <w:t>poudarja pomen socialno trajnostnega prehoda</w:t>
      </w:r>
      <w:r w:rsidRPr="00EE1689">
        <w:rPr>
          <w:lang w:val="sl-SI"/>
        </w:rPr>
        <w:t xml:space="preserve"> na krožno gospodarstvo in poziva k zgodnjemu predvidevanju učinkov na trg dela. Poziva k zagotavljanju dostopa do </w:t>
      </w:r>
      <w:r w:rsidRPr="00EE1689">
        <w:rPr>
          <w:b/>
          <w:lang w:val="sl-SI"/>
        </w:rPr>
        <w:t>priložnosti za izpopolnjevanje in preusposabljanje</w:t>
      </w:r>
      <w:r w:rsidRPr="00EE1689">
        <w:rPr>
          <w:lang w:val="sl-SI"/>
        </w:rPr>
        <w:t>, da bi podprli nemoten prehod med zaposlitvami, da bodo lahko delavci v celoti sodelovali v nastajajočem krožnem gospodarstvu in imeli od njega koristi;</w:t>
      </w:r>
    </w:p>
    <w:p w14:paraId="3F4B6000" w14:textId="090D751E" w:rsidR="00380A46" w:rsidRPr="00EE1689" w:rsidRDefault="00380A46" w:rsidP="00EE1689">
      <w:pPr>
        <w:widowControl w:val="0"/>
        <w:numPr>
          <w:ilvl w:val="0"/>
          <w:numId w:val="9"/>
        </w:numPr>
        <w:tabs>
          <w:tab w:val="clear" w:pos="0"/>
        </w:tabs>
        <w:ind w:left="567" w:hanging="567"/>
        <w:rPr>
          <w:bCs/>
          <w:iCs/>
          <w:szCs w:val="22"/>
          <w:lang w:val="sl-SI"/>
        </w:rPr>
      </w:pPr>
      <w:r w:rsidRPr="00EE1689">
        <w:rPr>
          <w:b/>
          <w:lang w:val="sl-SI"/>
        </w:rPr>
        <w:t>se zavzema za močnejši socialni dialog in kolektivna pogajanja na vseh ravneh</w:t>
      </w:r>
      <w:r w:rsidRPr="00EE1689">
        <w:rPr>
          <w:lang w:val="sl-SI"/>
        </w:rPr>
        <w:t>, tudi v podjetjih, da bi zagotovili obveščanje delavcev, posvetovanje z njimi in njihovo sodelovanje pri prehodu na krožne poslovne modele.</w:t>
      </w:r>
    </w:p>
    <w:p w14:paraId="1712CAC5" w14:textId="77777777" w:rsidR="00437105" w:rsidRPr="00EE1689" w:rsidRDefault="00437105"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437105" w:rsidRPr="00EE1689" w14:paraId="5C4D0106" w14:textId="77777777" w:rsidTr="00993CB4">
        <w:tc>
          <w:tcPr>
            <w:tcW w:w="974" w:type="pct"/>
          </w:tcPr>
          <w:p w14:paraId="46F9B56B" w14:textId="77777777" w:rsidR="00437105" w:rsidRPr="00EE1689" w:rsidRDefault="00437105" w:rsidP="00EE1689">
            <w:pPr>
              <w:rPr>
                <w:lang w:val="sl-SI"/>
              </w:rPr>
            </w:pPr>
            <w:r w:rsidRPr="00EE1689">
              <w:rPr>
                <w:b/>
                <w:i/>
                <w:szCs w:val="22"/>
                <w:lang w:val="sl-SI"/>
              </w:rPr>
              <w:t>Kontaktna oseba</w:t>
            </w:r>
          </w:p>
        </w:tc>
        <w:tc>
          <w:tcPr>
            <w:tcW w:w="4026" w:type="pct"/>
          </w:tcPr>
          <w:p w14:paraId="74B19924" w14:textId="4580E433" w:rsidR="00437105" w:rsidRPr="00EE1689" w:rsidRDefault="00380A46" w:rsidP="00EE1689">
            <w:pPr>
              <w:rPr>
                <w:i/>
                <w:lang w:val="sl-SI"/>
              </w:rPr>
            </w:pPr>
            <w:r w:rsidRPr="00EE1689">
              <w:rPr>
                <w:i/>
                <w:lang w:val="sl-SI"/>
              </w:rPr>
              <w:t>Adam Dorywalski</w:t>
            </w:r>
          </w:p>
        </w:tc>
      </w:tr>
      <w:tr w:rsidR="00437105" w:rsidRPr="00EE1689" w14:paraId="07A8FB26" w14:textId="77777777" w:rsidTr="00993CB4">
        <w:tc>
          <w:tcPr>
            <w:tcW w:w="974" w:type="pct"/>
          </w:tcPr>
          <w:p w14:paraId="112D2244" w14:textId="77777777" w:rsidR="00437105" w:rsidRPr="00EE1689" w:rsidRDefault="006926AD" w:rsidP="00EE1689">
            <w:pPr>
              <w:rPr>
                <w:lang w:val="sl-SI"/>
              </w:rPr>
            </w:pPr>
            <w:r w:rsidRPr="00EE1689">
              <w:rPr>
                <w:i/>
                <w:szCs w:val="22"/>
                <w:lang w:val="sl-SI"/>
              </w:rPr>
              <w:t>Telefon</w:t>
            </w:r>
          </w:p>
        </w:tc>
        <w:tc>
          <w:tcPr>
            <w:tcW w:w="4026" w:type="pct"/>
          </w:tcPr>
          <w:p w14:paraId="0B885170" w14:textId="55531B81" w:rsidR="00437105" w:rsidRPr="00EE1689" w:rsidRDefault="000D558D" w:rsidP="00EE1689">
            <w:pPr>
              <w:rPr>
                <w:lang w:val="sl-SI"/>
              </w:rPr>
            </w:pPr>
            <w:r w:rsidRPr="00EE1689">
              <w:rPr>
                <w:i/>
                <w:szCs w:val="22"/>
                <w:lang w:val="sl-SI"/>
              </w:rPr>
              <w:t>+</w:t>
            </w:r>
            <w:r w:rsidR="00437105" w:rsidRPr="00EE1689">
              <w:rPr>
                <w:i/>
                <w:szCs w:val="22"/>
                <w:lang w:val="sl-SI"/>
              </w:rPr>
              <w:t>32 2 </w:t>
            </w:r>
            <w:r w:rsidR="00380A46" w:rsidRPr="00EE1689">
              <w:rPr>
                <w:i/>
                <w:szCs w:val="22"/>
                <w:lang w:val="sl-SI"/>
              </w:rPr>
              <w:t>546 9397</w:t>
            </w:r>
          </w:p>
        </w:tc>
      </w:tr>
      <w:tr w:rsidR="00437105" w:rsidRPr="00EE1689" w14:paraId="2FCBCA29" w14:textId="77777777" w:rsidTr="00993CB4">
        <w:tc>
          <w:tcPr>
            <w:tcW w:w="974" w:type="pct"/>
          </w:tcPr>
          <w:p w14:paraId="78B7A2E3" w14:textId="77777777" w:rsidR="00437105" w:rsidRPr="00EE1689" w:rsidRDefault="00437105" w:rsidP="00EE1689">
            <w:pPr>
              <w:rPr>
                <w:lang w:val="sl-SI"/>
              </w:rPr>
            </w:pPr>
            <w:r w:rsidRPr="00EE1689">
              <w:rPr>
                <w:i/>
                <w:szCs w:val="22"/>
                <w:lang w:val="sl-SI"/>
              </w:rPr>
              <w:t>E-naslov</w:t>
            </w:r>
          </w:p>
        </w:tc>
        <w:tc>
          <w:tcPr>
            <w:tcW w:w="4026" w:type="pct"/>
          </w:tcPr>
          <w:p w14:paraId="37F0E69C" w14:textId="42860C31" w:rsidR="00437105" w:rsidRPr="00EE1689" w:rsidRDefault="00FA3430" w:rsidP="00EE1689">
            <w:pPr>
              <w:rPr>
                <w:i/>
                <w:lang w:val="sl-SI"/>
              </w:rPr>
            </w:pPr>
            <w:hyperlink r:id="rId46" w:history="1">
              <w:r w:rsidR="00380A46" w:rsidRPr="00EE1689">
                <w:rPr>
                  <w:rStyle w:val="Hyperlink"/>
                  <w:i/>
                  <w:lang w:val="sl-SI"/>
                </w:rPr>
                <w:t>Adam.Dorywalski@eesc.europa.eu</w:t>
              </w:r>
            </w:hyperlink>
          </w:p>
        </w:tc>
      </w:tr>
    </w:tbl>
    <w:p w14:paraId="3817586B" w14:textId="153C54B1" w:rsidR="00437105" w:rsidRPr="00EE1689" w:rsidRDefault="00437105" w:rsidP="00EE1689">
      <w:pPr>
        <w:rPr>
          <w:lang w:val="sl-SI"/>
        </w:rPr>
      </w:pPr>
    </w:p>
    <w:p w14:paraId="05F0D588" w14:textId="68FF6596" w:rsidR="007C6480" w:rsidRPr="00EE1689" w:rsidRDefault="00FA3430" w:rsidP="00A27F76">
      <w:pPr>
        <w:keepNext/>
        <w:keepLines/>
        <w:numPr>
          <w:ilvl w:val="0"/>
          <w:numId w:val="7"/>
        </w:numPr>
        <w:tabs>
          <w:tab w:val="clear" w:pos="0"/>
        </w:tabs>
        <w:ind w:left="567" w:hanging="567"/>
        <w:rPr>
          <w:sz w:val="28"/>
          <w:szCs w:val="22"/>
          <w:lang w:val="sl-SI"/>
        </w:rPr>
      </w:pPr>
      <w:hyperlink r:id="rId47" w:history="1">
        <w:r w:rsidR="00E8708B" w:rsidRPr="00EE1689">
          <w:rPr>
            <w:rStyle w:val="Hyperlink"/>
            <w:b/>
            <w:i/>
            <w:sz w:val="28"/>
            <w:szCs w:val="22"/>
            <w:lang w:val="sl-SI"/>
          </w:rPr>
          <w:t>Industrijske zadruge: orodje za obvladovanje izziva vključujoče in trajnostne konkurenčnosti</w:t>
        </w:r>
      </w:hyperlink>
    </w:p>
    <w:p w14:paraId="033C7F67" w14:textId="77777777" w:rsidR="007C6480" w:rsidRPr="00EE1689" w:rsidRDefault="007C6480" w:rsidP="00A27F76">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0695F9C6" w14:textId="77777777" w:rsidTr="00827140">
        <w:tc>
          <w:tcPr>
            <w:tcW w:w="974" w:type="pct"/>
          </w:tcPr>
          <w:p w14:paraId="42F04059" w14:textId="77777777" w:rsidR="007C6480" w:rsidRPr="00EE1689" w:rsidRDefault="007C6480" w:rsidP="00A27F76">
            <w:pPr>
              <w:keepNext/>
              <w:keepLines/>
              <w:rPr>
                <w:b/>
                <w:szCs w:val="22"/>
                <w:lang w:val="sl-SI"/>
              </w:rPr>
            </w:pPr>
            <w:r w:rsidRPr="00EE1689">
              <w:rPr>
                <w:b/>
                <w:szCs w:val="22"/>
                <w:lang w:val="sl-SI"/>
              </w:rPr>
              <w:t>Poročevalec</w:t>
            </w:r>
          </w:p>
        </w:tc>
        <w:tc>
          <w:tcPr>
            <w:tcW w:w="4026" w:type="pct"/>
          </w:tcPr>
          <w:p w14:paraId="15E17D70" w14:textId="7BF2850A" w:rsidR="007C6480" w:rsidRPr="00EE1689" w:rsidRDefault="009E2875" w:rsidP="00A27F76">
            <w:pPr>
              <w:keepNext/>
              <w:keepLines/>
              <w:rPr>
                <w:szCs w:val="22"/>
                <w:lang w:val="sl-SI"/>
              </w:rPr>
            </w:pPr>
            <w:r w:rsidRPr="00EE1689">
              <w:rPr>
                <w:szCs w:val="22"/>
                <w:lang w:val="sl-SI"/>
              </w:rPr>
              <w:t>Giuseppe GUERINI (skupina organizacij civilne družbe – IT)</w:t>
            </w:r>
          </w:p>
        </w:tc>
      </w:tr>
      <w:tr w:rsidR="007C6480" w:rsidRPr="00EE1689" w14:paraId="76BBAD2E" w14:textId="77777777" w:rsidTr="00827140">
        <w:tc>
          <w:tcPr>
            <w:tcW w:w="974" w:type="pct"/>
          </w:tcPr>
          <w:p w14:paraId="429BCA5D" w14:textId="77777777" w:rsidR="007C6480" w:rsidRPr="00EE1689" w:rsidRDefault="007C6480" w:rsidP="00A27F76">
            <w:pPr>
              <w:keepNext/>
              <w:keepLines/>
              <w:rPr>
                <w:b/>
                <w:szCs w:val="22"/>
                <w:lang w:val="sl-SI"/>
              </w:rPr>
            </w:pPr>
            <w:r w:rsidRPr="00EE1689">
              <w:rPr>
                <w:b/>
                <w:szCs w:val="22"/>
                <w:lang w:val="sl-SI"/>
              </w:rPr>
              <w:t>Soporočevalec</w:t>
            </w:r>
          </w:p>
        </w:tc>
        <w:tc>
          <w:tcPr>
            <w:tcW w:w="4026" w:type="pct"/>
          </w:tcPr>
          <w:p w14:paraId="6DAF3CC8" w14:textId="7D2B5AB0" w:rsidR="007C6480" w:rsidRPr="00EE1689" w:rsidRDefault="009E2875" w:rsidP="00A27F76">
            <w:pPr>
              <w:keepNext/>
              <w:keepLines/>
              <w:rPr>
                <w:szCs w:val="22"/>
                <w:lang w:val="sl-SI"/>
              </w:rPr>
            </w:pPr>
            <w:r w:rsidRPr="00EE1689">
              <w:rPr>
                <w:szCs w:val="22"/>
                <w:lang w:val="sl-SI"/>
              </w:rPr>
              <w:t>Michal PINTÉR (skupina delodajalcev – SK)</w:t>
            </w:r>
          </w:p>
        </w:tc>
      </w:tr>
      <w:tr w:rsidR="007C6480" w:rsidRPr="00EE1689" w14:paraId="3CD4B41B" w14:textId="77777777" w:rsidTr="00827140">
        <w:tc>
          <w:tcPr>
            <w:tcW w:w="5000" w:type="pct"/>
            <w:gridSpan w:val="2"/>
          </w:tcPr>
          <w:p w14:paraId="18EFA68A" w14:textId="77777777" w:rsidR="007C6480" w:rsidRPr="00EE1689" w:rsidRDefault="007C6480" w:rsidP="00A27F76">
            <w:pPr>
              <w:keepNext/>
              <w:keepLines/>
              <w:rPr>
                <w:sz w:val="16"/>
                <w:szCs w:val="22"/>
                <w:lang w:val="sl-SI"/>
              </w:rPr>
            </w:pPr>
          </w:p>
        </w:tc>
      </w:tr>
      <w:tr w:rsidR="007C6480" w:rsidRPr="00EE1689" w14:paraId="02FD55D1" w14:textId="77777777" w:rsidTr="00827140">
        <w:tc>
          <w:tcPr>
            <w:tcW w:w="974" w:type="pct"/>
            <w:vMerge w:val="restart"/>
          </w:tcPr>
          <w:p w14:paraId="470E3D96" w14:textId="77777777" w:rsidR="007C6480" w:rsidRPr="00EE1689" w:rsidRDefault="007C6480" w:rsidP="00A27F76">
            <w:pPr>
              <w:keepNext/>
              <w:keepLines/>
              <w:rPr>
                <w:b/>
                <w:szCs w:val="22"/>
                <w:lang w:val="sl-SI"/>
              </w:rPr>
            </w:pPr>
            <w:r w:rsidRPr="00EE1689">
              <w:rPr>
                <w:b/>
                <w:szCs w:val="22"/>
                <w:lang w:val="sl-SI"/>
              </w:rPr>
              <w:t>Referenčni dokument</w:t>
            </w:r>
          </w:p>
        </w:tc>
        <w:tc>
          <w:tcPr>
            <w:tcW w:w="4026" w:type="pct"/>
          </w:tcPr>
          <w:p w14:paraId="085D6BCD" w14:textId="197053FF" w:rsidR="007C6480" w:rsidRPr="00EE1689" w:rsidRDefault="00D9633F" w:rsidP="00A27F76">
            <w:pPr>
              <w:keepNext/>
              <w:keepLines/>
              <w:rPr>
                <w:szCs w:val="22"/>
                <w:lang w:val="sl-SI"/>
              </w:rPr>
            </w:pPr>
            <w:r w:rsidRPr="00EE1689">
              <w:rPr>
                <w:szCs w:val="22"/>
                <w:lang w:val="sl-SI"/>
              </w:rPr>
              <w:t>mnenje na lastno pobudo</w:t>
            </w:r>
          </w:p>
        </w:tc>
      </w:tr>
      <w:tr w:rsidR="007C6480" w:rsidRPr="00EE1689" w14:paraId="50300EC0" w14:textId="77777777" w:rsidTr="00827140">
        <w:tc>
          <w:tcPr>
            <w:tcW w:w="974" w:type="pct"/>
            <w:vMerge/>
          </w:tcPr>
          <w:p w14:paraId="4BD1EB32" w14:textId="77777777" w:rsidR="007C6480" w:rsidRPr="00EE1689" w:rsidRDefault="007C6480" w:rsidP="00A27F76">
            <w:pPr>
              <w:keepNext/>
              <w:keepLines/>
              <w:tabs>
                <w:tab w:val="center" w:pos="284"/>
              </w:tabs>
              <w:ind w:left="266" w:hanging="266"/>
              <w:rPr>
                <w:b/>
                <w:szCs w:val="22"/>
                <w:lang w:val="sl-SI"/>
              </w:rPr>
            </w:pPr>
          </w:p>
        </w:tc>
        <w:tc>
          <w:tcPr>
            <w:tcW w:w="4026" w:type="pct"/>
          </w:tcPr>
          <w:p w14:paraId="4F38C6D1" w14:textId="0018658A" w:rsidR="007C6480" w:rsidRPr="00EE1689" w:rsidRDefault="009E2875" w:rsidP="00A27F76">
            <w:pPr>
              <w:keepNext/>
              <w:keepLines/>
              <w:rPr>
                <w:szCs w:val="22"/>
                <w:lang w:val="sl-SI"/>
              </w:rPr>
            </w:pPr>
            <w:r w:rsidRPr="00EE1689">
              <w:rPr>
                <w:szCs w:val="22"/>
                <w:lang w:val="sl-SI"/>
              </w:rPr>
              <w:t>EESC-2025-01083-00-00-AC</w:t>
            </w:r>
          </w:p>
        </w:tc>
      </w:tr>
    </w:tbl>
    <w:p w14:paraId="5EB2B8E2" w14:textId="77777777" w:rsidR="007C6480" w:rsidRPr="00EE1689" w:rsidRDefault="007C6480" w:rsidP="00A27F76">
      <w:pPr>
        <w:keepNext/>
        <w:keepLines/>
        <w:rPr>
          <w:szCs w:val="22"/>
          <w:lang w:val="sl-SI"/>
        </w:rPr>
      </w:pPr>
    </w:p>
    <w:p w14:paraId="096BADD7" w14:textId="77777777" w:rsidR="007C6480" w:rsidRPr="00EE1689" w:rsidRDefault="007C6480" w:rsidP="00A27F76">
      <w:pPr>
        <w:keepNext/>
        <w:keepLines/>
        <w:rPr>
          <w:lang w:val="sl-SI"/>
        </w:rPr>
      </w:pPr>
      <w:r w:rsidRPr="00EE1689">
        <w:rPr>
          <w:b/>
          <w:lang w:val="sl-SI"/>
        </w:rPr>
        <w:t>Glavne točke</w:t>
      </w:r>
    </w:p>
    <w:p w14:paraId="02F8CEA0" w14:textId="77777777" w:rsidR="007C6480" w:rsidRPr="00EE1689" w:rsidRDefault="007C6480" w:rsidP="00A27F76">
      <w:pPr>
        <w:keepNext/>
        <w:keepLines/>
        <w:rPr>
          <w:szCs w:val="22"/>
          <w:lang w:val="sl-SI"/>
        </w:rPr>
      </w:pPr>
    </w:p>
    <w:p w14:paraId="1E1B8879" w14:textId="77777777" w:rsidR="007C6480" w:rsidRPr="00EE1689" w:rsidRDefault="007C6480" w:rsidP="00A27F76">
      <w:pPr>
        <w:keepNext/>
        <w:keepLines/>
        <w:rPr>
          <w:bCs/>
          <w:iCs/>
          <w:szCs w:val="22"/>
          <w:lang w:val="sl-SI"/>
        </w:rPr>
      </w:pPr>
      <w:r w:rsidRPr="00EE1689">
        <w:rPr>
          <w:bCs/>
          <w:iCs/>
          <w:szCs w:val="22"/>
          <w:lang w:val="sl-SI"/>
        </w:rPr>
        <w:t>EESO:</w:t>
      </w:r>
    </w:p>
    <w:p w14:paraId="214F5437" w14:textId="77777777" w:rsidR="007C6480" w:rsidRPr="00EE1689" w:rsidRDefault="007C6480" w:rsidP="00A27F76">
      <w:pPr>
        <w:keepNext/>
        <w:keepLines/>
        <w:rPr>
          <w:szCs w:val="22"/>
          <w:lang w:val="sl-SI"/>
        </w:rPr>
      </w:pPr>
    </w:p>
    <w:p w14:paraId="7B5E8CAE" w14:textId="5ABC9C59" w:rsidR="007C6480" w:rsidRPr="00EE1689" w:rsidRDefault="00DD713B" w:rsidP="00A27F76">
      <w:pPr>
        <w:keepNext/>
        <w:keepLines/>
        <w:widowControl w:val="0"/>
        <w:numPr>
          <w:ilvl w:val="0"/>
          <w:numId w:val="9"/>
        </w:numPr>
        <w:tabs>
          <w:tab w:val="clear" w:pos="0"/>
        </w:tabs>
        <w:ind w:left="567" w:hanging="567"/>
        <w:rPr>
          <w:bCs/>
          <w:iCs/>
          <w:szCs w:val="22"/>
          <w:lang w:val="sl-SI"/>
        </w:rPr>
      </w:pPr>
      <w:r w:rsidRPr="00EE1689">
        <w:rPr>
          <w:szCs w:val="22"/>
          <w:lang w:val="sl-SI"/>
        </w:rPr>
        <w:t>ugotavlja, da so Združeni narodi leto 2025 razglasili za mednarodno leto zadrug z naslovno temo „Zadruge pomagajo graditi boljši svet“, kar kaže na to, da se na mednarodni ravni vse bolj priznava pomen zadružnega modela v številnih sektorjih;</w:t>
      </w:r>
    </w:p>
    <w:p w14:paraId="7547F315" w14:textId="2FCB939A" w:rsidR="007C6480" w:rsidRPr="00EE1689" w:rsidRDefault="00DD713B" w:rsidP="00EE1689">
      <w:pPr>
        <w:widowControl w:val="0"/>
        <w:numPr>
          <w:ilvl w:val="0"/>
          <w:numId w:val="9"/>
        </w:numPr>
        <w:tabs>
          <w:tab w:val="clear" w:pos="0"/>
        </w:tabs>
        <w:ind w:left="567" w:hanging="567"/>
        <w:rPr>
          <w:bCs/>
          <w:iCs/>
          <w:szCs w:val="22"/>
          <w:lang w:val="sl-SI"/>
        </w:rPr>
      </w:pPr>
      <w:r w:rsidRPr="00EE1689">
        <w:rPr>
          <w:szCs w:val="22"/>
          <w:lang w:val="sl-SI"/>
        </w:rPr>
        <w:t>priporoča, naj se poslovno izobraževanje o zadružništvu vključi v splošno podjetniško in poklicno usposabljanje, kar zajema tudi kampanje ozaveščanja za finančne institucije in priložnosti v okviru programa Erasmus+;</w:t>
      </w:r>
    </w:p>
    <w:p w14:paraId="644560D7" w14:textId="3ED4C188" w:rsidR="007C6480" w:rsidRPr="00EE1689" w:rsidRDefault="00DD713B" w:rsidP="00EE1689">
      <w:pPr>
        <w:widowControl w:val="0"/>
        <w:numPr>
          <w:ilvl w:val="0"/>
          <w:numId w:val="9"/>
        </w:numPr>
        <w:tabs>
          <w:tab w:val="clear" w:pos="0"/>
        </w:tabs>
        <w:ind w:left="567" w:hanging="567"/>
        <w:rPr>
          <w:bCs/>
          <w:iCs/>
          <w:szCs w:val="22"/>
          <w:lang w:val="sl-SI"/>
        </w:rPr>
      </w:pPr>
      <w:r w:rsidRPr="00EE1689">
        <w:rPr>
          <w:szCs w:val="22"/>
          <w:lang w:val="sl-SI"/>
        </w:rPr>
        <w:t>meni, da bi morali zadruge dejavno spodbujati med zagonskimi podjetji in mladimi podjetniki;</w:t>
      </w:r>
    </w:p>
    <w:p w14:paraId="14B8D894" w14:textId="066757E3" w:rsidR="00DD713B" w:rsidRPr="00EE1689" w:rsidRDefault="00DD713B" w:rsidP="00EE1689">
      <w:pPr>
        <w:widowControl w:val="0"/>
        <w:numPr>
          <w:ilvl w:val="0"/>
          <w:numId w:val="9"/>
        </w:numPr>
        <w:tabs>
          <w:tab w:val="clear" w:pos="0"/>
        </w:tabs>
        <w:ind w:left="567" w:hanging="567"/>
        <w:rPr>
          <w:bCs/>
          <w:iCs/>
          <w:szCs w:val="22"/>
          <w:lang w:val="sl-SI"/>
        </w:rPr>
      </w:pPr>
      <w:r w:rsidRPr="00EE1689">
        <w:rPr>
          <w:szCs w:val="22"/>
          <w:lang w:val="sl-SI"/>
        </w:rPr>
        <w:t>poziva, naj se industrijske zadruge priznajo kot ključni gospodarski akterji in naj se izvajajo ciljno usmerjene finančne spodbude na ravni EU ter nacionalni in regionalni ravni (davčne olajšave, nepovratna sredstva in financiranje z nizko obrestno mero), da se podpreta industrijska simbioza in krožnost;</w:t>
      </w:r>
    </w:p>
    <w:p w14:paraId="45A36440" w14:textId="60DAD923" w:rsidR="00DD713B" w:rsidRPr="00EE1689" w:rsidRDefault="00DD713B" w:rsidP="00EE1689">
      <w:pPr>
        <w:widowControl w:val="0"/>
        <w:numPr>
          <w:ilvl w:val="0"/>
          <w:numId w:val="9"/>
        </w:numPr>
        <w:tabs>
          <w:tab w:val="clear" w:pos="0"/>
        </w:tabs>
        <w:ind w:left="567" w:hanging="567"/>
        <w:rPr>
          <w:bCs/>
          <w:iCs/>
          <w:szCs w:val="22"/>
          <w:lang w:val="sl-SI"/>
        </w:rPr>
      </w:pPr>
      <w:r w:rsidRPr="00EE1689">
        <w:rPr>
          <w:szCs w:val="22"/>
          <w:lang w:val="sl-SI"/>
        </w:rPr>
        <w:t>spodbuja naložbe v skupne industrijske parke, ekološka industrijska območja in zadružne platforme za izmenjavo znanja, da bi okrepili lokalizacijo zadrug in trajnostno proizvodnjo;</w:t>
      </w:r>
    </w:p>
    <w:p w14:paraId="46C8F652" w14:textId="37747834" w:rsidR="00DD713B" w:rsidRPr="00EE1689" w:rsidRDefault="00DD713B" w:rsidP="00EE1689">
      <w:pPr>
        <w:widowControl w:val="0"/>
        <w:numPr>
          <w:ilvl w:val="0"/>
          <w:numId w:val="9"/>
        </w:numPr>
        <w:tabs>
          <w:tab w:val="clear" w:pos="0"/>
        </w:tabs>
        <w:ind w:left="567" w:hanging="567"/>
        <w:rPr>
          <w:bCs/>
          <w:iCs/>
          <w:szCs w:val="22"/>
          <w:lang w:val="sl-SI"/>
        </w:rPr>
      </w:pPr>
      <w:r w:rsidRPr="00EE1689">
        <w:rPr>
          <w:szCs w:val="22"/>
          <w:lang w:val="sl-SI"/>
        </w:rPr>
        <w:t>poziva, naj kohezijski programi EU in strategije regionalnega razvoja vključujejo posebne ukrepe za zadruge, pri čemer bi bilo treba prednost dajati pobudam, ki jih vodijo zadruge, da se povečata odpornost regij in trajnostnost;</w:t>
      </w:r>
    </w:p>
    <w:p w14:paraId="0A342F3F" w14:textId="20A57613" w:rsidR="00DD713B" w:rsidRPr="00EE1689" w:rsidRDefault="00DD713B" w:rsidP="00EE1689">
      <w:pPr>
        <w:widowControl w:val="0"/>
        <w:numPr>
          <w:ilvl w:val="0"/>
          <w:numId w:val="9"/>
        </w:numPr>
        <w:tabs>
          <w:tab w:val="clear" w:pos="0"/>
        </w:tabs>
        <w:ind w:left="567" w:hanging="567"/>
        <w:rPr>
          <w:bCs/>
          <w:iCs/>
          <w:szCs w:val="22"/>
          <w:lang w:val="sl-SI"/>
        </w:rPr>
      </w:pPr>
      <w:r w:rsidRPr="00EE1689">
        <w:rPr>
          <w:szCs w:val="22"/>
          <w:lang w:val="sl-SI"/>
        </w:rPr>
        <w:t>poudarja vse večji strateški pomen zadrug, ki temeljijo na podatkih, ter poziva EU in nacionalne organe, naj podpirajo skupne pobude za upravljanje in izmenjavo industrijskih podatkov;</w:t>
      </w:r>
    </w:p>
    <w:p w14:paraId="06AF7DDD" w14:textId="7D84AA6F" w:rsidR="00DD713B" w:rsidRPr="00EE1689" w:rsidRDefault="00DD713B" w:rsidP="00EE1689">
      <w:pPr>
        <w:widowControl w:val="0"/>
        <w:numPr>
          <w:ilvl w:val="0"/>
          <w:numId w:val="9"/>
        </w:numPr>
        <w:tabs>
          <w:tab w:val="clear" w:pos="0"/>
        </w:tabs>
        <w:ind w:left="567" w:hanging="567"/>
        <w:rPr>
          <w:bCs/>
          <w:iCs/>
          <w:szCs w:val="22"/>
          <w:lang w:val="sl-SI"/>
        </w:rPr>
      </w:pPr>
      <w:r w:rsidRPr="00EE1689">
        <w:rPr>
          <w:szCs w:val="22"/>
          <w:lang w:val="sl-SI"/>
        </w:rPr>
        <w:t>poudarja, da ima zadružni model zaradi demokratičnega upravljanja, pravične porazdelitve bogastva, angažiranosti skupnosti in velike prilagodljivosti edinstveno dodano vrednost ter da prispeva h krepitvi strateške avtonomije EU.</w:t>
      </w:r>
    </w:p>
    <w:p w14:paraId="54A10DD1" w14:textId="77777777" w:rsidR="007C6480" w:rsidRPr="00EE1689" w:rsidRDefault="007C6480" w:rsidP="00EE1689">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C6480" w:rsidRPr="00EE1689" w14:paraId="47B190C1" w14:textId="77777777" w:rsidTr="00827140">
        <w:tc>
          <w:tcPr>
            <w:tcW w:w="974" w:type="pct"/>
          </w:tcPr>
          <w:p w14:paraId="419BF27A" w14:textId="77777777" w:rsidR="007C6480" w:rsidRPr="00EE1689" w:rsidRDefault="007C6480" w:rsidP="00EE1689">
            <w:pPr>
              <w:rPr>
                <w:lang w:val="sl-SI"/>
              </w:rPr>
            </w:pPr>
            <w:r w:rsidRPr="00EE1689">
              <w:rPr>
                <w:b/>
                <w:i/>
                <w:szCs w:val="22"/>
                <w:lang w:val="sl-SI"/>
              </w:rPr>
              <w:t>Kontaktna oseba</w:t>
            </w:r>
          </w:p>
        </w:tc>
        <w:tc>
          <w:tcPr>
            <w:tcW w:w="4026" w:type="pct"/>
          </w:tcPr>
          <w:p w14:paraId="16B20D36" w14:textId="584702E6" w:rsidR="007C6480" w:rsidRPr="00EE1689" w:rsidRDefault="00DD713B" w:rsidP="00EE1689">
            <w:pPr>
              <w:rPr>
                <w:i/>
                <w:lang w:val="sl-SI"/>
              </w:rPr>
            </w:pPr>
            <w:r w:rsidRPr="00EE1689">
              <w:rPr>
                <w:i/>
                <w:lang w:val="sl-SI"/>
              </w:rPr>
              <w:t>Adam Dorywalski</w:t>
            </w:r>
          </w:p>
        </w:tc>
      </w:tr>
      <w:tr w:rsidR="007C6480" w:rsidRPr="00EE1689" w14:paraId="19008257" w14:textId="77777777" w:rsidTr="00827140">
        <w:tc>
          <w:tcPr>
            <w:tcW w:w="974" w:type="pct"/>
          </w:tcPr>
          <w:p w14:paraId="020B288A" w14:textId="77777777" w:rsidR="007C6480" w:rsidRPr="00EE1689" w:rsidRDefault="007C6480" w:rsidP="00EE1689">
            <w:pPr>
              <w:rPr>
                <w:lang w:val="sl-SI"/>
              </w:rPr>
            </w:pPr>
            <w:r w:rsidRPr="00EE1689">
              <w:rPr>
                <w:i/>
                <w:szCs w:val="22"/>
                <w:lang w:val="sl-SI"/>
              </w:rPr>
              <w:t>Telefon</w:t>
            </w:r>
          </w:p>
        </w:tc>
        <w:tc>
          <w:tcPr>
            <w:tcW w:w="4026" w:type="pct"/>
          </w:tcPr>
          <w:p w14:paraId="011EE33E" w14:textId="74F66653" w:rsidR="007C6480" w:rsidRPr="00EE1689" w:rsidRDefault="007C6480" w:rsidP="00EE1689">
            <w:pPr>
              <w:rPr>
                <w:lang w:val="sl-SI"/>
              </w:rPr>
            </w:pPr>
            <w:r w:rsidRPr="00EE1689">
              <w:rPr>
                <w:i/>
                <w:szCs w:val="22"/>
                <w:lang w:val="sl-SI"/>
              </w:rPr>
              <w:t>+32 2 </w:t>
            </w:r>
            <w:r w:rsidR="00DD713B" w:rsidRPr="00EE1689">
              <w:rPr>
                <w:i/>
                <w:szCs w:val="22"/>
                <w:lang w:val="sl-SI"/>
              </w:rPr>
              <w:t>546 9397</w:t>
            </w:r>
          </w:p>
        </w:tc>
      </w:tr>
      <w:tr w:rsidR="007C6480" w:rsidRPr="00EE1689" w14:paraId="1E7AD05F" w14:textId="77777777" w:rsidTr="00827140">
        <w:tc>
          <w:tcPr>
            <w:tcW w:w="974" w:type="pct"/>
          </w:tcPr>
          <w:p w14:paraId="439512A6" w14:textId="77777777" w:rsidR="007C6480" w:rsidRPr="00EE1689" w:rsidRDefault="007C6480" w:rsidP="00EE1689">
            <w:pPr>
              <w:rPr>
                <w:lang w:val="sl-SI"/>
              </w:rPr>
            </w:pPr>
            <w:r w:rsidRPr="00EE1689">
              <w:rPr>
                <w:i/>
                <w:szCs w:val="22"/>
                <w:lang w:val="sl-SI"/>
              </w:rPr>
              <w:t>E-naslov</w:t>
            </w:r>
          </w:p>
        </w:tc>
        <w:tc>
          <w:tcPr>
            <w:tcW w:w="4026" w:type="pct"/>
          </w:tcPr>
          <w:p w14:paraId="48F94938" w14:textId="32612EC5" w:rsidR="007C6480" w:rsidRPr="00EE1689" w:rsidRDefault="00FA3430" w:rsidP="00EE1689">
            <w:pPr>
              <w:rPr>
                <w:i/>
                <w:lang w:val="sl-SI"/>
              </w:rPr>
            </w:pPr>
            <w:hyperlink r:id="rId48" w:history="1">
              <w:r w:rsidR="00DD713B" w:rsidRPr="00EE1689">
                <w:rPr>
                  <w:rStyle w:val="Hyperlink"/>
                  <w:i/>
                  <w:lang w:val="sl-SI"/>
                </w:rPr>
                <w:t>Adam.Dorywalski@eesc.europa.eu</w:t>
              </w:r>
            </w:hyperlink>
          </w:p>
        </w:tc>
      </w:tr>
    </w:tbl>
    <w:p w14:paraId="68989CFC" w14:textId="77777777" w:rsidR="007C6480" w:rsidRPr="00EE1689" w:rsidRDefault="007C6480" w:rsidP="00EE1689">
      <w:pPr>
        <w:rPr>
          <w:lang w:val="sl-SI"/>
        </w:rPr>
      </w:pPr>
    </w:p>
    <w:p w14:paraId="72A7CC52" w14:textId="77777777" w:rsidR="009546DC" w:rsidRPr="00EE1689" w:rsidRDefault="009546DC" w:rsidP="00EE1689">
      <w:pPr>
        <w:jc w:val="center"/>
        <w:rPr>
          <w:lang w:val="sl-SI"/>
        </w:rPr>
      </w:pPr>
      <w:r w:rsidRPr="00EE1689">
        <w:rPr>
          <w:lang w:val="sl-SI"/>
        </w:rPr>
        <w:t>_____________</w:t>
      </w:r>
    </w:p>
    <w:sectPr w:rsidR="009546DC" w:rsidRPr="00EE1689" w:rsidSect="001B12BE">
      <w:headerReference w:type="even" r:id="rId49"/>
      <w:headerReference w:type="default" r:id="rId50"/>
      <w:footerReference w:type="even" r:id="rId51"/>
      <w:footerReference w:type="default" r:id="rId52"/>
      <w:headerReference w:type="first" r:id="rId53"/>
      <w:footerReference w:type="first" r:id="rId54"/>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2E1B" w14:textId="77777777" w:rsidR="00AE23AB" w:rsidRDefault="00AE23AB">
      <w:r>
        <w:separator/>
      </w:r>
    </w:p>
  </w:endnote>
  <w:endnote w:type="continuationSeparator" w:id="0">
    <w:p w14:paraId="41642DC4" w14:textId="77777777" w:rsidR="00AE23AB" w:rsidRDefault="00AE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0230" w14:textId="45F4E73D" w:rsidR="00682432" w:rsidRPr="001B12BE" w:rsidRDefault="001B12BE" w:rsidP="001B12BE">
    <w:pPr>
      <w:pStyle w:val="Footer"/>
      <w:rPr>
        <w:lang w:val="sl-SI"/>
      </w:rPr>
    </w:pPr>
    <w:r w:rsidRPr="001B12BE">
      <w:rPr>
        <w:lang w:val="sl-SI"/>
      </w:rPr>
      <w:t xml:space="preserve">EESC-2025-03552-00-00-TCD-TRA (EN) </w:t>
    </w:r>
    <w:r w:rsidRPr="001B12BE">
      <w:rPr>
        <w:lang w:val="sl-SI"/>
      </w:rPr>
      <w:fldChar w:fldCharType="begin"/>
    </w:r>
    <w:r w:rsidRPr="001B12BE">
      <w:rPr>
        <w:lang w:val="sl-SI"/>
      </w:rPr>
      <w:instrText xml:space="preserve"> PAGE  \* Arabic  \* MERGEFORMAT </w:instrText>
    </w:r>
    <w:r w:rsidRPr="001B12BE">
      <w:rPr>
        <w:lang w:val="sl-SI"/>
      </w:rPr>
      <w:fldChar w:fldCharType="separate"/>
    </w:r>
    <w:r w:rsidRPr="001B12BE">
      <w:rPr>
        <w:lang w:val="sl-SI"/>
      </w:rPr>
      <w:t>1</w:t>
    </w:r>
    <w:r w:rsidRPr="001B12BE">
      <w:rPr>
        <w:lang w:val="sl-SI"/>
      </w:rPr>
      <w:fldChar w:fldCharType="end"/>
    </w:r>
    <w:r w:rsidRPr="001B12BE">
      <w:rPr>
        <w:lang w:val="sl-SI"/>
      </w:rPr>
      <w:t>/</w:t>
    </w:r>
    <w:r w:rsidRPr="001B12BE">
      <w:rPr>
        <w:lang w:val="sl-SI"/>
      </w:rPr>
      <w:fldChar w:fldCharType="begin"/>
    </w:r>
    <w:r w:rsidRPr="001B12BE">
      <w:rPr>
        <w:lang w:val="sl-SI"/>
      </w:rPr>
      <w:instrText xml:space="preserve"> = </w:instrText>
    </w:r>
    <w:r w:rsidRPr="001B12BE">
      <w:rPr>
        <w:lang w:val="sl-SI"/>
      </w:rPr>
      <w:fldChar w:fldCharType="begin"/>
    </w:r>
    <w:r w:rsidRPr="001B12BE">
      <w:rPr>
        <w:lang w:val="sl-SI"/>
      </w:rPr>
      <w:instrText xml:space="preserve"> NUMPAGES </w:instrText>
    </w:r>
    <w:r w:rsidRPr="001B12BE">
      <w:rPr>
        <w:lang w:val="sl-SI"/>
      </w:rPr>
      <w:fldChar w:fldCharType="separate"/>
    </w:r>
    <w:r w:rsidR="00FA3430">
      <w:rPr>
        <w:noProof/>
        <w:lang w:val="sl-SI"/>
      </w:rPr>
      <w:instrText>20</w:instrText>
    </w:r>
    <w:r w:rsidRPr="001B12BE">
      <w:rPr>
        <w:lang w:val="sl-SI"/>
      </w:rPr>
      <w:fldChar w:fldCharType="end"/>
    </w:r>
    <w:r w:rsidRPr="001B12BE">
      <w:rPr>
        <w:lang w:val="sl-SI"/>
      </w:rPr>
      <w:instrText xml:space="preserve"> -0 </w:instrText>
    </w:r>
    <w:r w:rsidRPr="001B12BE">
      <w:rPr>
        <w:lang w:val="sl-SI"/>
      </w:rPr>
      <w:fldChar w:fldCharType="separate"/>
    </w:r>
    <w:r w:rsidR="00FA3430">
      <w:rPr>
        <w:noProof/>
        <w:lang w:val="sl-SI"/>
      </w:rPr>
      <w:t>20</w:t>
    </w:r>
    <w:r w:rsidRPr="001B12BE">
      <w:rPr>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AC3E" w14:textId="77777777" w:rsidR="001B12BE" w:rsidRPr="001B12BE" w:rsidRDefault="001B12BE" w:rsidP="001B1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ACDF" w14:textId="2783B7EC" w:rsidR="001B12BE" w:rsidRPr="001B12BE" w:rsidRDefault="001B12BE" w:rsidP="001B12BE">
    <w:pPr>
      <w:pStyle w:val="Footer"/>
      <w:rPr>
        <w:lang w:val="sl-SI"/>
      </w:rPr>
    </w:pPr>
    <w:r w:rsidRPr="001B12BE">
      <w:rPr>
        <w:lang w:val="sl-SI"/>
      </w:rPr>
      <w:t xml:space="preserve">EESC-2025-03552-00-00-TCD-TRA (EN) </w:t>
    </w:r>
    <w:r w:rsidRPr="001B12BE">
      <w:rPr>
        <w:lang w:val="sl-SI"/>
      </w:rPr>
      <w:fldChar w:fldCharType="begin"/>
    </w:r>
    <w:r w:rsidRPr="001B12BE">
      <w:rPr>
        <w:lang w:val="sl-SI"/>
      </w:rPr>
      <w:instrText xml:space="preserve"> PAGE  \* Arabic  \* MERGEFORMAT </w:instrText>
    </w:r>
    <w:r w:rsidRPr="001B12BE">
      <w:rPr>
        <w:lang w:val="sl-SI"/>
      </w:rPr>
      <w:fldChar w:fldCharType="separate"/>
    </w:r>
    <w:r w:rsidRPr="001B12BE">
      <w:rPr>
        <w:lang w:val="sl-SI"/>
      </w:rPr>
      <w:t>8</w:t>
    </w:r>
    <w:r w:rsidRPr="001B12BE">
      <w:rPr>
        <w:lang w:val="sl-SI"/>
      </w:rPr>
      <w:fldChar w:fldCharType="end"/>
    </w:r>
    <w:r w:rsidRPr="001B12BE">
      <w:rPr>
        <w:lang w:val="sl-SI"/>
      </w:rPr>
      <w:t>/</w:t>
    </w:r>
    <w:r w:rsidRPr="001B12BE">
      <w:rPr>
        <w:lang w:val="sl-SI"/>
      </w:rPr>
      <w:fldChar w:fldCharType="begin"/>
    </w:r>
    <w:r w:rsidRPr="001B12BE">
      <w:rPr>
        <w:lang w:val="sl-SI"/>
      </w:rPr>
      <w:instrText xml:space="preserve"> = </w:instrText>
    </w:r>
    <w:r w:rsidRPr="001B12BE">
      <w:rPr>
        <w:lang w:val="sl-SI"/>
      </w:rPr>
      <w:fldChar w:fldCharType="begin"/>
    </w:r>
    <w:r w:rsidRPr="001B12BE">
      <w:rPr>
        <w:lang w:val="sl-SI"/>
      </w:rPr>
      <w:instrText xml:space="preserve"> NUMPAGES </w:instrText>
    </w:r>
    <w:r w:rsidRPr="001B12BE">
      <w:rPr>
        <w:lang w:val="sl-SI"/>
      </w:rPr>
      <w:fldChar w:fldCharType="separate"/>
    </w:r>
    <w:r w:rsidR="00FA3430">
      <w:rPr>
        <w:noProof/>
        <w:lang w:val="sl-SI"/>
      </w:rPr>
      <w:instrText>20</w:instrText>
    </w:r>
    <w:r w:rsidRPr="001B12BE">
      <w:rPr>
        <w:lang w:val="sl-SI"/>
      </w:rPr>
      <w:fldChar w:fldCharType="end"/>
    </w:r>
    <w:r w:rsidRPr="001B12BE">
      <w:rPr>
        <w:lang w:val="sl-SI"/>
      </w:rPr>
      <w:instrText xml:space="preserve"> -0 </w:instrText>
    </w:r>
    <w:r w:rsidRPr="001B12BE">
      <w:rPr>
        <w:lang w:val="sl-SI"/>
      </w:rPr>
      <w:fldChar w:fldCharType="separate"/>
    </w:r>
    <w:r w:rsidR="00FA3430">
      <w:rPr>
        <w:noProof/>
        <w:lang w:val="sl-SI"/>
      </w:rPr>
      <w:t>20</w:t>
    </w:r>
    <w:r w:rsidRPr="001B12BE">
      <w:rPr>
        <w:lang w:val="sl-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1110" w14:textId="77777777" w:rsidR="001B12BE" w:rsidRPr="001B12BE" w:rsidRDefault="001B12BE" w:rsidP="001B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89DD" w14:textId="77777777" w:rsidR="00AE23AB" w:rsidRDefault="00AE23AB">
      <w:r>
        <w:separator/>
      </w:r>
    </w:p>
  </w:footnote>
  <w:footnote w:type="continuationSeparator" w:id="0">
    <w:p w14:paraId="543E1CE9" w14:textId="77777777" w:rsidR="00AE23AB" w:rsidRDefault="00AE23AB">
      <w:r>
        <w:continuationSeparator/>
      </w:r>
    </w:p>
  </w:footnote>
  <w:footnote w:id="1">
    <w:p w14:paraId="5E702EBD" w14:textId="54592A07" w:rsidR="00021DAA" w:rsidRPr="00021DAA" w:rsidRDefault="00021DAA">
      <w:pPr>
        <w:pStyle w:val="FootnoteText"/>
        <w:rPr>
          <w:lang w:val="sl-SI"/>
        </w:rPr>
      </w:pPr>
      <w:r>
        <w:rPr>
          <w:rStyle w:val="FootnoteReference"/>
        </w:rPr>
        <w:footnoteRef/>
      </w:r>
      <w:r>
        <w:t xml:space="preserve"> </w:t>
      </w:r>
      <w:r>
        <w:rPr>
          <w:lang w:val="sl-SI"/>
        </w:rPr>
        <w:tab/>
      </w:r>
      <w:hyperlink r:id="rId1">
        <w:r>
          <w:rPr>
            <w:color w:val="0000FF"/>
            <w:u w:val="single"/>
          </w:rPr>
          <w:t>https://eur-lex.europa.eu/legal-content/SL/TXT/?uri=legissum:4623532</w:t>
        </w:r>
      </w:hyperlink>
      <w:r w:rsidRPr="00021DAA">
        <w:rPr>
          <w:lang w:val="sl-SI"/>
        </w:rPr>
        <w:t>.</w:t>
      </w:r>
    </w:p>
  </w:footnote>
  <w:footnote w:id="2">
    <w:p w14:paraId="55EDD553" w14:textId="55C15860" w:rsidR="00021DAA" w:rsidRPr="00021DAA" w:rsidRDefault="00021DAA">
      <w:pPr>
        <w:pStyle w:val="FootnoteText"/>
        <w:rPr>
          <w:lang w:val="sl-SI"/>
        </w:rPr>
      </w:pPr>
      <w:r>
        <w:rPr>
          <w:rStyle w:val="FootnoteReference"/>
        </w:rPr>
        <w:footnoteRef/>
      </w:r>
      <w:r>
        <w:t xml:space="preserve"> </w:t>
      </w:r>
      <w:r>
        <w:rPr>
          <w:lang w:val="sl-SI"/>
        </w:rPr>
        <w:tab/>
      </w:r>
      <w:hyperlink r:id="rId2">
        <w:r>
          <w:rPr>
            <w:color w:val="0000FF"/>
            <w:u w:val="single"/>
          </w:rPr>
          <w:t>https://eur-lex.europa.eu/legal-content/SL/TXT/?uri=CELEX%3A52022XC0930%2802%29</w:t>
        </w:r>
      </w:hyperlink>
      <w:r>
        <w:t>.</w:t>
      </w:r>
    </w:p>
  </w:footnote>
  <w:footnote w:id="3">
    <w:p w14:paraId="22447A88" w14:textId="2C39DAEF" w:rsidR="00021DAA" w:rsidRPr="00021DAA" w:rsidRDefault="00021DAA">
      <w:pPr>
        <w:pStyle w:val="FootnoteText"/>
        <w:rPr>
          <w:lang w:val="sl-SI"/>
        </w:rPr>
      </w:pPr>
      <w:r>
        <w:rPr>
          <w:rStyle w:val="FootnoteReference"/>
        </w:rPr>
        <w:footnoteRef/>
      </w:r>
      <w:r>
        <w:t xml:space="preserve"> </w:t>
      </w:r>
      <w:r>
        <w:rPr>
          <w:lang w:val="sl-SI"/>
        </w:rPr>
        <w:tab/>
      </w:r>
      <w:hyperlink r:id="rId3">
        <w:r>
          <w:rPr>
            <w:color w:val="0000FF"/>
            <w:u w:val="single"/>
          </w:rPr>
          <w:t>https://digital-strategy.ec.europa.eu/en/library/recommendation-protection-safety-and-empowerment-journalists</w:t>
        </w:r>
      </w:hyperlink>
      <w:r>
        <w:t>.</w:t>
      </w:r>
    </w:p>
  </w:footnote>
  <w:footnote w:id="4">
    <w:p w14:paraId="7325BB35" w14:textId="3B8DE15C" w:rsidR="00021DAA" w:rsidRPr="00021DAA" w:rsidRDefault="00021DAA">
      <w:pPr>
        <w:pStyle w:val="FootnoteText"/>
        <w:rPr>
          <w:lang w:val="sl-SI"/>
        </w:rPr>
      </w:pPr>
      <w:r>
        <w:rPr>
          <w:rStyle w:val="FootnoteReference"/>
        </w:rPr>
        <w:footnoteRef/>
      </w:r>
      <w:r>
        <w:t xml:space="preserve"> </w:t>
      </w:r>
      <w:r>
        <w:rPr>
          <w:lang w:val="sl-SI"/>
        </w:rPr>
        <w:tab/>
      </w:r>
      <w:r>
        <w:t xml:space="preserve">UL C, C/2025/114, 10.1.2025, ELI: </w:t>
      </w:r>
      <w:hyperlink r:id="rId4" w:history="1">
        <w:r>
          <w:rPr>
            <w:rStyle w:val="Hyperlink"/>
            <w:rFonts w:eastAsiaTheme="majorEastAsia"/>
          </w:rPr>
          <w:t>http://data.europa.eu/eli/C/2025/114/oj</w:t>
        </w:r>
      </w:hyperlink>
      <w:r>
        <w:t>.</w:t>
      </w:r>
    </w:p>
  </w:footnote>
  <w:footnote w:id="5">
    <w:p w14:paraId="2CD2F726" w14:textId="77777777" w:rsidR="009A234F" w:rsidRPr="00ED5654" w:rsidRDefault="009A234F" w:rsidP="009A234F">
      <w:pPr>
        <w:pStyle w:val="FootnoteText"/>
        <w:ind w:left="567" w:hanging="567"/>
        <w:rPr>
          <w:lang w:val="sl-SI"/>
        </w:rPr>
      </w:pPr>
      <w:r w:rsidRPr="00ED5654">
        <w:rPr>
          <w:rStyle w:val="FootnoteReference"/>
          <w:rFonts w:eastAsiaTheme="majorEastAsia"/>
          <w:lang w:val="sl-SI"/>
        </w:rPr>
        <w:footnoteRef/>
      </w:r>
      <w:r w:rsidRPr="00ED5654">
        <w:rPr>
          <w:lang w:val="sl-SI"/>
        </w:rPr>
        <w:t xml:space="preserve"> </w:t>
      </w:r>
      <w:r w:rsidRPr="00ED5654">
        <w:rPr>
          <w:lang w:val="sl-SI"/>
        </w:rPr>
        <w:tab/>
        <w:t xml:space="preserve">Mnenje EESO na lastno pobudo </w:t>
      </w:r>
      <w:hyperlink r:id="rId5" w:history="1">
        <w:r w:rsidRPr="006C6DE9">
          <w:rPr>
            <w:rStyle w:val="Hyperlink"/>
            <w:rFonts w:eastAsiaTheme="majorEastAsia"/>
            <w:i/>
            <w:iCs/>
            <w:lang w:val="sl-SI"/>
          </w:rPr>
          <w:t>Krčenje amazonskega deževnega gozda – posledice za podnebne spremembe in okolje na svetovni ravni ter za podjetja, delavce in prebivalstvo</w:t>
        </w:r>
      </w:hyperlink>
      <w:r w:rsidRPr="00ED5654">
        <w:rPr>
          <w:lang w:val="sl-SI"/>
        </w:rPr>
        <w:t xml:space="preserve">, </w:t>
      </w:r>
      <w:hyperlink r:id="rId6" w:history="1">
        <w:r w:rsidRPr="00ED5654">
          <w:rPr>
            <w:rStyle w:val="Hyperlink"/>
            <w:rFonts w:eastAsiaTheme="majorEastAsia"/>
            <w:lang w:val="sl-SI"/>
          </w:rPr>
          <w:t>UL C/2024/6882, 28.11.2024</w:t>
        </w:r>
      </w:hyperlink>
      <w:r w:rsidRPr="00ED5654">
        <w:rPr>
          <w:lang w:val="sl-SI"/>
        </w:rPr>
        <w:t>.</w:t>
      </w:r>
    </w:p>
  </w:footnote>
  <w:footnote w:id="6">
    <w:p w14:paraId="34602620" w14:textId="77777777" w:rsidR="009A234F" w:rsidRPr="00ED5654" w:rsidRDefault="009A234F" w:rsidP="009A234F">
      <w:pPr>
        <w:pStyle w:val="FootnoteText"/>
        <w:ind w:left="567" w:hanging="567"/>
        <w:rPr>
          <w:lang w:val="sl-SI"/>
        </w:rPr>
      </w:pPr>
      <w:r w:rsidRPr="00ED5654">
        <w:rPr>
          <w:rStyle w:val="FootnoteReference"/>
          <w:rFonts w:eastAsiaTheme="majorEastAsia"/>
          <w:lang w:val="sl-SI"/>
        </w:rPr>
        <w:footnoteRef/>
      </w:r>
      <w:r w:rsidRPr="00ED5654">
        <w:rPr>
          <w:lang w:val="sl-SI"/>
        </w:rPr>
        <w:t xml:space="preserve"> </w:t>
      </w:r>
      <w:r w:rsidRPr="00ED5654">
        <w:rPr>
          <w:lang w:val="sl-SI"/>
        </w:rPr>
        <w:tab/>
        <w:t xml:space="preserve">Mnenje EESO </w:t>
      </w:r>
      <w:hyperlink r:id="rId7" w:history="1">
        <w:r w:rsidRPr="006C6DE9">
          <w:rPr>
            <w:rStyle w:val="Hyperlink"/>
            <w:rFonts w:eastAsiaTheme="majorEastAsia"/>
            <w:i/>
            <w:iCs/>
            <w:lang w:val="sl-SI"/>
          </w:rPr>
          <w:t>Zmanjšanje tveganja za krčenje in degradacijo gozdov, ki sta povezana s proizvodi, danimi na trg EU</w:t>
        </w:r>
      </w:hyperlink>
      <w:r w:rsidRPr="00ED5654">
        <w:rPr>
          <w:lang w:val="sl-SI"/>
        </w:rPr>
        <w:t xml:space="preserve">, </w:t>
      </w:r>
      <w:hyperlink r:id="rId8" w:history="1">
        <w:r>
          <w:rPr>
            <w:rStyle w:val="Hyperlink"/>
            <w:rFonts w:eastAsiaTheme="majorEastAsia"/>
            <w:lang w:val="sl-SI"/>
          </w:rPr>
          <w:t>UL C 275, 18.7.2022</w:t>
        </w:r>
      </w:hyperlink>
      <w:r w:rsidRPr="00ED5654">
        <w:rPr>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0DDB" w14:textId="77777777" w:rsidR="001B12BE" w:rsidRPr="001B12BE" w:rsidRDefault="001B12BE" w:rsidP="001B1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A22A" w14:textId="77777777" w:rsidR="001B12BE" w:rsidRPr="001B12BE" w:rsidRDefault="001B12BE" w:rsidP="001B1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4C1D" w14:textId="77777777" w:rsidR="001B12BE" w:rsidRPr="001B12BE" w:rsidRDefault="001B12BE" w:rsidP="001B1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13D75B5E"/>
    <w:multiLevelType w:val="hybridMultilevel"/>
    <w:tmpl w:val="EE306BE8"/>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06F5C"/>
    <w:multiLevelType w:val="hybridMultilevel"/>
    <w:tmpl w:val="ECCCD3BC"/>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829B2"/>
    <w:multiLevelType w:val="hybridMultilevel"/>
    <w:tmpl w:val="788C1D68"/>
    <w:lvl w:ilvl="0" w:tplc="1B86240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B215D09"/>
    <w:multiLevelType w:val="hybridMultilevel"/>
    <w:tmpl w:val="C4EE72F6"/>
    <w:lvl w:ilvl="0" w:tplc="61429412">
      <w:start w:val="1"/>
      <w:numFmt w:val="bullet"/>
      <w:lvlRestart w:val="0"/>
      <w:lvlText w:val="–"/>
      <w:lvlJc w:val="left"/>
      <w:pPr>
        <w:tabs>
          <w:tab w:val="num" w:pos="369"/>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4F57A6"/>
    <w:multiLevelType w:val="hybridMultilevel"/>
    <w:tmpl w:val="A58423E4"/>
    <w:lvl w:ilvl="0" w:tplc="51ACA59E">
      <w:start w:val="1"/>
      <w:numFmt w:val="bullet"/>
      <w:lvlRestart w:val="0"/>
      <w:lvlText w:val=""/>
      <w:lvlJc w:val="left"/>
      <w:pPr>
        <w:tabs>
          <w:tab w:val="num" w:pos="0"/>
        </w:tabs>
        <w:ind w:left="283" w:hanging="283"/>
      </w:pPr>
      <w:rPr>
        <w:rFonts w:ascii="Symbol" w:hAnsi="Symbol" w:hint="default"/>
        <w:b w:val="0"/>
        <w:i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2"/>
  </w:num>
  <w:num w:numId="6">
    <w:abstractNumId w:val="3"/>
  </w:num>
  <w:num w:numId="7">
    <w:abstractNumId w:val="7"/>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CEC"/>
    <w:rsid w:val="000101C2"/>
    <w:rsid w:val="000108FB"/>
    <w:rsid w:val="000113B2"/>
    <w:rsid w:val="00011D71"/>
    <w:rsid w:val="0001332E"/>
    <w:rsid w:val="00021DAA"/>
    <w:rsid w:val="00022CEC"/>
    <w:rsid w:val="000262B5"/>
    <w:rsid w:val="00033ACA"/>
    <w:rsid w:val="00054D01"/>
    <w:rsid w:val="000619F4"/>
    <w:rsid w:val="00082A32"/>
    <w:rsid w:val="00096EFE"/>
    <w:rsid w:val="000D1504"/>
    <w:rsid w:val="000D558D"/>
    <w:rsid w:val="000D5A81"/>
    <w:rsid w:val="000E1648"/>
    <w:rsid w:val="0011267C"/>
    <w:rsid w:val="00123CE7"/>
    <w:rsid w:val="001361C6"/>
    <w:rsid w:val="001476FE"/>
    <w:rsid w:val="00181C75"/>
    <w:rsid w:val="00187B18"/>
    <w:rsid w:val="001B12BE"/>
    <w:rsid w:val="001B3FFC"/>
    <w:rsid w:val="001B7143"/>
    <w:rsid w:val="001C47D5"/>
    <w:rsid w:val="001D1EE1"/>
    <w:rsid w:val="001F4DE5"/>
    <w:rsid w:val="001F6CEF"/>
    <w:rsid w:val="001F7358"/>
    <w:rsid w:val="00201878"/>
    <w:rsid w:val="00202FC6"/>
    <w:rsid w:val="00214BCD"/>
    <w:rsid w:val="00237C3D"/>
    <w:rsid w:val="00252955"/>
    <w:rsid w:val="00270279"/>
    <w:rsid w:val="00270E47"/>
    <w:rsid w:val="002749D1"/>
    <w:rsid w:val="00286904"/>
    <w:rsid w:val="002939DD"/>
    <w:rsid w:val="002E10F3"/>
    <w:rsid w:val="00300CFE"/>
    <w:rsid w:val="00302C4A"/>
    <w:rsid w:val="0032242F"/>
    <w:rsid w:val="003467FD"/>
    <w:rsid w:val="00352363"/>
    <w:rsid w:val="00352524"/>
    <w:rsid w:val="00363BFA"/>
    <w:rsid w:val="0037727F"/>
    <w:rsid w:val="00380A46"/>
    <w:rsid w:val="003830A7"/>
    <w:rsid w:val="00383C0D"/>
    <w:rsid w:val="003B1306"/>
    <w:rsid w:val="004069C3"/>
    <w:rsid w:val="00437105"/>
    <w:rsid w:val="00474CD2"/>
    <w:rsid w:val="00494E90"/>
    <w:rsid w:val="004D0B32"/>
    <w:rsid w:val="004D41CF"/>
    <w:rsid w:val="0053121B"/>
    <w:rsid w:val="0054629F"/>
    <w:rsid w:val="00564551"/>
    <w:rsid w:val="005676E1"/>
    <w:rsid w:val="005A5B95"/>
    <w:rsid w:val="005B2477"/>
    <w:rsid w:val="005E406C"/>
    <w:rsid w:val="006016D5"/>
    <w:rsid w:val="00611B56"/>
    <w:rsid w:val="00632EDB"/>
    <w:rsid w:val="00634F41"/>
    <w:rsid w:val="00636CA6"/>
    <w:rsid w:val="00682432"/>
    <w:rsid w:val="006926AD"/>
    <w:rsid w:val="006C457A"/>
    <w:rsid w:val="006F2CCA"/>
    <w:rsid w:val="00731B50"/>
    <w:rsid w:val="00746889"/>
    <w:rsid w:val="00784CC7"/>
    <w:rsid w:val="007865A6"/>
    <w:rsid w:val="00796003"/>
    <w:rsid w:val="007C6480"/>
    <w:rsid w:val="007C6F79"/>
    <w:rsid w:val="008103E3"/>
    <w:rsid w:val="00816C98"/>
    <w:rsid w:val="00820E9A"/>
    <w:rsid w:val="00826265"/>
    <w:rsid w:val="0083252F"/>
    <w:rsid w:val="00835145"/>
    <w:rsid w:val="00836295"/>
    <w:rsid w:val="00845F84"/>
    <w:rsid w:val="00862AEB"/>
    <w:rsid w:val="00877C3D"/>
    <w:rsid w:val="00882B0F"/>
    <w:rsid w:val="00887E42"/>
    <w:rsid w:val="00895274"/>
    <w:rsid w:val="008A0221"/>
    <w:rsid w:val="008A0456"/>
    <w:rsid w:val="008B7E4C"/>
    <w:rsid w:val="008E0793"/>
    <w:rsid w:val="008E29BB"/>
    <w:rsid w:val="00907EBA"/>
    <w:rsid w:val="00914FC5"/>
    <w:rsid w:val="009418F4"/>
    <w:rsid w:val="009546DC"/>
    <w:rsid w:val="00955CD3"/>
    <w:rsid w:val="00963234"/>
    <w:rsid w:val="009741EB"/>
    <w:rsid w:val="00984BC4"/>
    <w:rsid w:val="00997258"/>
    <w:rsid w:val="009A234F"/>
    <w:rsid w:val="009B0CE3"/>
    <w:rsid w:val="009B760E"/>
    <w:rsid w:val="009E2875"/>
    <w:rsid w:val="009E7380"/>
    <w:rsid w:val="009F547F"/>
    <w:rsid w:val="00A27F76"/>
    <w:rsid w:val="00A5029E"/>
    <w:rsid w:val="00A74DAA"/>
    <w:rsid w:val="00A81C7C"/>
    <w:rsid w:val="00A85F7E"/>
    <w:rsid w:val="00A92425"/>
    <w:rsid w:val="00AA3CA8"/>
    <w:rsid w:val="00AB3324"/>
    <w:rsid w:val="00AC1FA9"/>
    <w:rsid w:val="00AC4E7C"/>
    <w:rsid w:val="00AC7C4F"/>
    <w:rsid w:val="00AE23AB"/>
    <w:rsid w:val="00B05B44"/>
    <w:rsid w:val="00B3726D"/>
    <w:rsid w:val="00B40E89"/>
    <w:rsid w:val="00B414F6"/>
    <w:rsid w:val="00B95E70"/>
    <w:rsid w:val="00BA5C09"/>
    <w:rsid w:val="00BB1A0B"/>
    <w:rsid w:val="00BC13BE"/>
    <w:rsid w:val="00BD3623"/>
    <w:rsid w:val="00BE297A"/>
    <w:rsid w:val="00BE4D3D"/>
    <w:rsid w:val="00BF2D63"/>
    <w:rsid w:val="00BF7633"/>
    <w:rsid w:val="00C02F68"/>
    <w:rsid w:val="00C06D8E"/>
    <w:rsid w:val="00C16D7A"/>
    <w:rsid w:val="00C360DD"/>
    <w:rsid w:val="00C416B7"/>
    <w:rsid w:val="00C57454"/>
    <w:rsid w:val="00C6660F"/>
    <w:rsid w:val="00C91DC2"/>
    <w:rsid w:val="00CA2619"/>
    <w:rsid w:val="00CE2181"/>
    <w:rsid w:val="00CF22A9"/>
    <w:rsid w:val="00D01A90"/>
    <w:rsid w:val="00D10030"/>
    <w:rsid w:val="00D14BAF"/>
    <w:rsid w:val="00D31C94"/>
    <w:rsid w:val="00D43695"/>
    <w:rsid w:val="00D55FDB"/>
    <w:rsid w:val="00D568B5"/>
    <w:rsid w:val="00D668C4"/>
    <w:rsid w:val="00D86E3B"/>
    <w:rsid w:val="00D876EE"/>
    <w:rsid w:val="00D9379D"/>
    <w:rsid w:val="00D9633F"/>
    <w:rsid w:val="00DC3F06"/>
    <w:rsid w:val="00DC6FB9"/>
    <w:rsid w:val="00DD713B"/>
    <w:rsid w:val="00E0581A"/>
    <w:rsid w:val="00E07012"/>
    <w:rsid w:val="00E101A4"/>
    <w:rsid w:val="00E26FA5"/>
    <w:rsid w:val="00E317AE"/>
    <w:rsid w:val="00E33E3F"/>
    <w:rsid w:val="00E561FC"/>
    <w:rsid w:val="00E82C6E"/>
    <w:rsid w:val="00E854DA"/>
    <w:rsid w:val="00E85F5A"/>
    <w:rsid w:val="00E8708B"/>
    <w:rsid w:val="00EA31FC"/>
    <w:rsid w:val="00EA3BE7"/>
    <w:rsid w:val="00EA79CE"/>
    <w:rsid w:val="00EB0922"/>
    <w:rsid w:val="00EC1D75"/>
    <w:rsid w:val="00EC3359"/>
    <w:rsid w:val="00EC4961"/>
    <w:rsid w:val="00EC7D23"/>
    <w:rsid w:val="00ED2A5B"/>
    <w:rsid w:val="00EE1689"/>
    <w:rsid w:val="00EE5962"/>
    <w:rsid w:val="00F07D43"/>
    <w:rsid w:val="00F21D20"/>
    <w:rsid w:val="00F24E43"/>
    <w:rsid w:val="00F4670C"/>
    <w:rsid w:val="00F50206"/>
    <w:rsid w:val="00F50D00"/>
    <w:rsid w:val="00F53632"/>
    <w:rsid w:val="00F543A3"/>
    <w:rsid w:val="00F61355"/>
    <w:rsid w:val="00F75633"/>
    <w:rsid w:val="00FA3430"/>
    <w:rsid w:val="00FB2461"/>
    <w:rsid w:val="00FB7D17"/>
    <w:rsid w:val="00FE4317"/>
    <w:rsid w:val="00FF3391"/>
    <w:rsid w:val="00FF53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3BB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619"/>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qFormat/>
    <w:rsid w:val="00CA2619"/>
    <w:pPr>
      <w:numPr>
        <w:numId w:val="1"/>
      </w:numPr>
      <w:outlineLvl w:val="0"/>
    </w:pPr>
    <w:rPr>
      <w:kern w:val="28"/>
    </w:rPr>
  </w:style>
  <w:style w:type="paragraph" w:styleId="Heading2">
    <w:name w:val="heading 2"/>
    <w:basedOn w:val="Normal"/>
    <w:next w:val="Normal"/>
    <w:link w:val="Heading2Char"/>
    <w:qFormat/>
    <w:rsid w:val="00CA2619"/>
    <w:pPr>
      <w:numPr>
        <w:ilvl w:val="1"/>
        <w:numId w:val="1"/>
      </w:numPr>
      <w:ind w:left="720" w:hanging="720"/>
      <w:outlineLvl w:val="1"/>
    </w:pPr>
  </w:style>
  <w:style w:type="paragraph" w:styleId="Heading3">
    <w:name w:val="heading 3"/>
    <w:basedOn w:val="Normal"/>
    <w:next w:val="Normal"/>
    <w:link w:val="Heading3Char"/>
    <w:qFormat/>
    <w:rsid w:val="00CA2619"/>
    <w:pPr>
      <w:numPr>
        <w:ilvl w:val="2"/>
        <w:numId w:val="1"/>
      </w:numPr>
      <w:ind w:left="720" w:hanging="720"/>
      <w:outlineLvl w:val="2"/>
    </w:pPr>
  </w:style>
  <w:style w:type="paragraph" w:styleId="Heading4">
    <w:name w:val="heading 4"/>
    <w:basedOn w:val="Normal"/>
    <w:next w:val="Normal"/>
    <w:link w:val="Heading4Char"/>
    <w:qFormat/>
    <w:rsid w:val="00CA2619"/>
    <w:pPr>
      <w:numPr>
        <w:ilvl w:val="3"/>
        <w:numId w:val="1"/>
      </w:numPr>
      <w:ind w:left="720" w:hanging="720"/>
      <w:outlineLvl w:val="3"/>
    </w:pPr>
  </w:style>
  <w:style w:type="paragraph" w:styleId="Heading5">
    <w:name w:val="heading 5"/>
    <w:basedOn w:val="Normal"/>
    <w:next w:val="Normal"/>
    <w:link w:val="Heading5Char"/>
    <w:qFormat/>
    <w:rsid w:val="00CA2619"/>
    <w:pPr>
      <w:numPr>
        <w:ilvl w:val="4"/>
        <w:numId w:val="1"/>
      </w:numPr>
      <w:ind w:left="720" w:hanging="720"/>
      <w:outlineLvl w:val="4"/>
    </w:pPr>
  </w:style>
  <w:style w:type="paragraph" w:styleId="Heading6">
    <w:name w:val="heading 6"/>
    <w:basedOn w:val="Normal"/>
    <w:next w:val="Normal"/>
    <w:link w:val="Heading6Char"/>
    <w:qFormat/>
    <w:rsid w:val="00CA2619"/>
    <w:pPr>
      <w:numPr>
        <w:ilvl w:val="5"/>
        <w:numId w:val="1"/>
      </w:numPr>
      <w:ind w:left="720" w:hanging="720"/>
      <w:outlineLvl w:val="5"/>
    </w:pPr>
  </w:style>
  <w:style w:type="paragraph" w:styleId="Heading7">
    <w:name w:val="heading 7"/>
    <w:basedOn w:val="Normal"/>
    <w:next w:val="Normal"/>
    <w:link w:val="Heading7Char"/>
    <w:qFormat/>
    <w:rsid w:val="00CA2619"/>
    <w:pPr>
      <w:numPr>
        <w:ilvl w:val="6"/>
        <w:numId w:val="1"/>
      </w:numPr>
      <w:ind w:left="720" w:hanging="720"/>
      <w:outlineLvl w:val="6"/>
    </w:pPr>
  </w:style>
  <w:style w:type="paragraph" w:styleId="Heading8">
    <w:name w:val="heading 8"/>
    <w:basedOn w:val="Normal"/>
    <w:next w:val="Normal"/>
    <w:link w:val="Heading8Char"/>
    <w:qFormat/>
    <w:rsid w:val="00CA2619"/>
    <w:pPr>
      <w:numPr>
        <w:ilvl w:val="7"/>
        <w:numId w:val="1"/>
      </w:numPr>
      <w:ind w:left="720" w:hanging="720"/>
      <w:outlineLvl w:val="7"/>
    </w:pPr>
  </w:style>
  <w:style w:type="paragraph" w:styleId="Heading9">
    <w:name w:val="heading 9"/>
    <w:basedOn w:val="Normal"/>
    <w:next w:val="Normal"/>
    <w:link w:val="Heading9Char"/>
    <w:qFormat/>
    <w:rsid w:val="00CA2619"/>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22"/>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547722"/>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547722"/>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547722"/>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547722"/>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547722"/>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547722"/>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547722"/>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547722"/>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CA2619"/>
  </w:style>
  <w:style w:type="character" w:customStyle="1" w:styleId="FooterChar">
    <w:name w:val="Footer Char"/>
    <w:basedOn w:val="DefaultParagraphFont"/>
    <w:link w:val="Footer"/>
    <w:uiPriority w:val="99"/>
    <w:semiHidden/>
    <w:rsid w:val="00547722"/>
    <w:rPr>
      <w:sz w:val="22"/>
      <w:lang w:val="en-GB" w:eastAsia="en-US"/>
    </w:rPr>
  </w:style>
  <w:style w:type="paragraph" w:styleId="FootnoteText">
    <w:name w:val="footnote text"/>
    <w:basedOn w:val="Normal"/>
    <w:link w:val="FootnoteTextChar"/>
    <w:uiPriority w:val="99"/>
    <w:rsid w:val="00CA2619"/>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547722"/>
    <w:rPr>
      <w:lang w:val="en-GB" w:eastAsia="en-US"/>
    </w:rPr>
  </w:style>
  <w:style w:type="paragraph" w:styleId="Header">
    <w:name w:val="header"/>
    <w:basedOn w:val="Normal"/>
    <w:link w:val="HeaderChar"/>
    <w:uiPriority w:val="99"/>
    <w:rsid w:val="00CA2619"/>
  </w:style>
  <w:style w:type="character" w:customStyle="1" w:styleId="HeaderChar">
    <w:name w:val="Header Char"/>
    <w:basedOn w:val="DefaultParagraphFont"/>
    <w:link w:val="Header"/>
    <w:uiPriority w:val="99"/>
    <w:semiHidden/>
    <w:rsid w:val="00547722"/>
    <w:rPr>
      <w:sz w:val="22"/>
      <w:lang w:val="en-GB" w:eastAsia="en-US"/>
    </w:rPr>
  </w:style>
  <w:style w:type="paragraph" w:customStyle="1" w:styleId="quotes">
    <w:name w:val="quotes"/>
    <w:basedOn w:val="Normal"/>
    <w:next w:val="Normal"/>
    <w:rsid w:val="00CA2619"/>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CA2619"/>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BB1A0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37105"/>
    <w:pPr>
      <w:overflowPunct/>
      <w:autoSpaceDE/>
      <w:autoSpaceDN/>
      <w:adjustRightInd/>
      <w:spacing w:after="100" w:line="259" w:lineRule="auto"/>
      <w:ind w:left="220"/>
      <w:jc w:val="left"/>
      <w:textAlignment w:val="auto"/>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437105"/>
    <w:pPr>
      <w:overflowPunct/>
      <w:autoSpaceDE/>
      <w:autoSpaceDN/>
      <w:adjustRightInd/>
      <w:spacing w:after="100" w:line="259" w:lineRule="auto"/>
      <w:jc w:val="left"/>
      <w:textAlignment w:val="auto"/>
    </w:pPr>
    <w:rPr>
      <w:rFonts w:eastAsiaTheme="minorEastAsia"/>
      <w:szCs w:val="22"/>
      <w:lang w:val="en-US"/>
    </w:rPr>
  </w:style>
  <w:style w:type="paragraph" w:styleId="TOC3">
    <w:name w:val="toc 3"/>
    <w:basedOn w:val="Normal"/>
    <w:next w:val="Normal"/>
    <w:autoRedefine/>
    <w:uiPriority w:val="39"/>
    <w:unhideWhenUsed/>
    <w:rsid w:val="00437105"/>
    <w:pPr>
      <w:overflowPunct/>
      <w:autoSpaceDE/>
      <w:autoSpaceDN/>
      <w:adjustRightInd/>
      <w:spacing w:after="100" w:line="259" w:lineRule="auto"/>
      <w:ind w:left="440"/>
      <w:jc w:val="left"/>
      <w:textAlignment w:val="auto"/>
    </w:pPr>
    <w:rPr>
      <w:rFonts w:asciiTheme="minorHAnsi" w:eastAsiaTheme="minorEastAsia" w:hAnsiTheme="minorHAnsi"/>
      <w:szCs w:val="22"/>
      <w:lang w:val="en-US"/>
    </w:rPr>
  </w:style>
  <w:style w:type="character" w:styleId="UnresolvedMention">
    <w:name w:val="Unresolved Mention"/>
    <w:basedOn w:val="DefaultParagraphFont"/>
    <w:uiPriority w:val="99"/>
    <w:semiHidden/>
    <w:unhideWhenUsed/>
    <w:rsid w:val="00021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orgios.Meleas@eesc.europa.eu" TargetMode="External"/><Relationship Id="rId18" Type="http://schemas.openxmlformats.org/officeDocument/2006/relationships/hyperlink" Target="https://www.eesc.europa.eu/sl/our-work/opinions-information-reports/opinions/agoraeu-and-justice-programmes" TargetMode="External"/><Relationship Id="rId26" Type="http://schemas.openxmlformats.org/officeDocument/2006/relationships/hyperlink" Target="mailto:Albert.Precup@eesc.europa.eu" TargetMode="External"/><Relationship Id="rId39" Type="http://schemas.openxmlformats.org/officeDocument/2006/relationships/hyperlink" Target="https://www.eesc.europa.eu/sl/our-work/opinions-information-reports/opinions/european-unions-strategic-approach-black-sea-region" TargetMode="External"/><Relationship Id="rId21" Type="http://schemas.openxmlformats.org/officeDocument/2006/relationships/hyperlink" Target="https://eur-lex.europa.eu/eli/C/2023/874/oj" TargetMode="External"/><Relationship Id="rId34" Type="http://schemas.openxmlformats.org/officeDocument/2006/relationships/hyperlink" Target="mailto:Annalisa.Tessarolo@eesc.europa.eu" TargetMode="External"/><Relationship Id="rId42" Type="http://schemas.openxmlformats.org/officeDocument/2006/relationships/hyperlink" Target="mailto:Daniele.Vitali@eesc.europa.eu" TargetMode="External"/><Relationship Id="rId47" Type="http://schemas.openxmlformats.org/officeDocument/2006/relationships/hyperlink" Target="https://www.eesc.europa.eu/sl/our-work/opinions-information-reports/opinions/industrial-cooperatives-tool-challenge-inclusive-and-sustainable-competitiveness"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esc.europa.eu/sl/our-work/opinions-information-reports/opinions/labour-rights-journalists-and-media-professionals-safeguard-independence-and-truthful-information" TargetMode="External"/><Relationship Id="rId29" Type="http://schemas.openxmlformats.org/officeDocument/2006/relationships/hyperlink" Target="https://www.eesc.europa.eu/sl/our-work/opinions-information-reports/opinions/report-competition-policy-2024" TargetMode="External"/><Relationship Id="rId11" Type="http://schemas.openxmlformats.org/officeDocument/2006/relationships/footer" Target="footer1.xml"/><Relationship Id="rId24" Type="http://schemas.openxmlformats.org/officeDocument/2006/relationships/hyperlink" Target="mailto:GiorgiaAndrea.Bordignon@eesc.europa.eu" TargetMode="External"/><Relationship Id="rId32" Type="http://schemas.openxmlformats.org/officeDocument/2006/relationships/hyperlink" Target="mailto:Silvia.Staffa@eesc.europa.eu" TargetMode="External"/><Relationship Id="rId37" Type="http://schemas.openxmlformats.org/officeDocument/2006/relationships/hyperlink" Target="https://www.eesc.europa.eu/sl/our-work/opinions-information-reports/opinions/revision-union-civil-protection-mechanism" TargetMode="External"/><Relationship Id="rId40" Type="http://schemas.openxmlformats.org/officeDocument/2006/relationships/hyperlink" Target="mailto:Marie-Laurence.Drillon@eesc.europa.eu" TargetMode="External"/><Relationship Id="rId45" Type="http://schemas.openxmlformats.org/officeDocument/2006/relationships/hyperlink" Target="https://www.eesc.europa.eu/sl/our-work/opinions-information-reports/opinions/facilitating-potential-permanent-materials-eu-circular-economy" TargetMode="External"/><Relationship Id="rId53" Type="http://schemas.openxmlformats.org/officeDocument/2006/relationships/header" Target="header3.xm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hyperlink" Target="mailto:Alessia.Cova@eesc.europa.eu" TargetMode="External"/><Relationship Id="rId4" Type="http://schemas.openxmlformats.org/officeDocument/2006/relationships/settings" Target="settings.xml"/><Relationship Id="rId9" Type="http://schemas.openxmlformats.org/officeDocument/2006/relationships/hyperlink" Target="https://www.eesc.europa.eu/sl/our-work/opinions-information-reports/plenary-session-summaries" TargetMode="External"/><Relationship Id="rId14" Type="http://schemas.openxmlformats.org/officeDocument/2006/relationships/hyperlink" Target="https://www.eesc.europa.eu/sl/our-work/opinions-information-reports/opinions/establishing-european-fund-regional-development-including-european-territorial-cooperation-interreg-and-cohesion-fund" TargetMode="External"/><Relationship Id="rId22" Type="http://schemas.openxmlformats.org/officeDocument/2006/relationships/hyperlink" Target="mailto:Maja.Radman@eesc.europa.eu" TargetMode="External"/><Relationship Id="rId27" Type="http://schemas.openxmlformats.org/officeDocument/2006/relationships/hyperlink" Target="https://www.eesc.europa.eu/sl/our-work/opinions-information-reports/opinions/single-market-strategy" TargetMode="External"/><Relationship Id="rId30" Type="http://schemas.openxmlformats.org/officeDocument/2006/relationships/hyperlink" Target="mailto:Silvia.Staffa@eesc.europa.eu" TargetMode="External"/><Relationship Id="rId35" Type="http://schemas.openxmlformats.org/officeDocument/2006/relationships/hyperlink" Target="https://www.eesc.europa.eu/sl/our-work/opinions-information-reports/opinions/amendment-deforestation-regulation-eu-20231115" TargetMode="External"/><Relationship Id="rId43" Type="http://schemas.openxmlformats.org/officeDocument/2006/relationships/hyperlink" Target="https://www.eesc.europa.eu/sl/our-work/opinions-information-reports/opinions/predictable-and-common-european-way-forward-ukrainians-eu" TargetMode="External"/><Relationship Id="rId48" Type="http://schemas.openxmlformats.org/officeDocument/2006/relationships/hyperlink" Target="mailto:Adam.Dorywalski@eesc.europa.eu" TargetMode="External"/><Relationship Id="rId56"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eesc.europa.eu/sl/our-work/opinions-information-reports/opinions/implementation-eu-macro-regional-strategies-5th-report" TargetMode="External"/><Relationship Id="rId17" Type="http://schemas.openxmlformats.org/officeDocument/2006/relationships/hyperlink" Target="mailto:june.bedaton@eesc.europa.eu" TargetMode="External"/><Relationship Id="rId25" Type="http://schemas.openxmlformats.org/officeDocument/2006/relationships/hyperlink" Target="https://www.eesc.europa.eu/sl/our-work/opinions-information-reports/opinions/nuclear-illustrative-programme-1" TargetMode="External"/><Relationship Id="rId33" Type="http://schemas.openxmlformats.org/officeDocument/2006/relationships/hyperlink" Target="https://www.eesc.europa.eu/sl/our-work/opinions-information-reports/opinions/review-european-public-procurement-legal-framework" TargetMode="External"/><Relationship Id="rId38" Type="http://schemas.openxmlformats.org/officeDocument/2006/relationships/hyperlink" Target="mailto:Arturo.Iniguez@eesc.europa.eu" TargetMode="External"/><Relationship Id="rId46" Type="http://schemas.openxmlformats.org/officeDocument/2006/relationships/hyperlink" Target="mailto:Adam.Dorywalski@eesc.europa.eu" TargetMode="External"/><Relationship Id="rId59" Type="http://schemas.openxmlformats.org/officeDocument/2006/relationships/customXml" Target="../customXml/item4.xml"/><Relationship Id="rId20" Type="http://schemas.openxmlformats.org/officeDocument/2006/relationships/hyperlink" Target="https://www.eesc.europa.eu/SL/our-work/opinions-information-reports/opinions/co2-emission-class-heavy-duty-vehicles-trailers-0" TargetMode="External"/><Relationship Id="rId41" Type="http://schemas.openxmlformats.org/officeDocument/2006/relationships/hyperlink" Target="https://www.eesc.europa.eu/sl/our-work/opinions-information-reports/opinions/global-europe-multiannual-financial-framework-proposal"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Georgios.Meleas@eesc.europa.eu" TargetMode="External"/><Relationship Id="rId23" Type="http://schemas.openxmlformats.org/officeDocument/2006/relationships/hyperlink" Target="https://www.eesc.europa.eu/sl/our-work/opinions-information-reports/opinions/eu-space-act" TargetMode="External"/><Relationship Id="rId28" Type="http://schemas.openxmlformats.org/officeDocument/2006/relationships/hyperlink" Target="mailto:Annalisa.Tessarolo@eesc.europa.eu" TargetMode="External"/><Relationship Id="rId36" Type="http://schemas.openxmlformats.org/officeDocument/2006/relationships/hyperlink" Target="mailto:Martine.Delanoy@eesc.europa.eu" TargetMode="External"/><Relationship Id="rId49" Type="http://schemas.openxmlformats.org/officeDocument/2006/relationships/header" Target="header1.xml"/><Relationship Id="rId57" Type="http://schemas.openxmlformats.org/officeDocument/2006/relationships/customXml" Target="../customXml/item2.xml"/><Relationship Id="rId10" Type="http://schemas.openxmlformats.org/officeDocument/2006/relationships/hyperlink" Target="https://dmsearch.eesc.europa.eu/search/opinion" TargetMode="External"/><Relationship Id="rId31" Type="http://schemas.openxmlformats.org/officeDocument/2006/relationships/hyperlink" Target="https://www.eesc.europa.eu/sl/our-work/opinions-information-reports/opinions/competitiveness-fund" TargetMode="External"/><Relationship Id="rId44" Type="http://schemas.openxmlformats.org/officeDocument/2006/relationships/hyperlink" Target="mailto:Katarina.Albrechtova@eesc.europa.eu" TargetMode="External"/><Relationship Id="rId52" Type="http://schemas.openxmlformats.org/officeDocument/2006/relationships/footer" Target="footer3.xml"/><Relationship Id="rId60"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L/TXT/?uri=uriserv%3AOJ.C_.2022.275.01.0088.01.SLV&amp;toc=OJ%3AC%3A2022%3A275%3ATOC" TargetMode="External"/><Relationship Id="rId3" Type="http://schemas.openxmlformats.org/officeDocument/2006/relationships/hyperlink" Target="https://op.europa.eu/sl/publication-detail/-/publication/bca5a5bd-090a-11ef-a251-01aa75ed71a1" TargetMode="External"/><Relationship Id="rId7" Type="http://schemas.openxmlformats.org/officeDocument/2006/relationships/hyperlink" Target="https://www.eesc.europa.eu/sl/our-work/opinions-information-reports/opinions/minimising-risk-deforestation-and-forest-degradation-associated-products-placed-eu-market" TargetMode="External"/><Relationship Id="rId2" Type="http://schemas.openxmlformats.org/officeDocument/2006/relationships/hyperlink" Target="https://eur-lex.europa.eu/legal-content/SL/TXT/?uri=CELEX%3A52022XC0930%2802%29" TargetMode="External"/><Relationship Id="rId1" Type="http://schemas.openxmlformats.org/officeDocument/2006/relationships/hyperlink" Target="https://eur-lex.europa.eu/legal-content/SL/TXT/?uri=legissum%3A4623532" TargetMode="External"/><Relationship Id="rId6" Type="http://schemas.openxmlformats.org/officeDocument/2006/relationships/hyperlink" Target="https://eur-lex.europa.eu/legal-content/SL/TXT/?uri=OJ:C_202406882" TargetMode="External"/><Relationship Id="rId5" Type="http://schemas.openxmlformats.org/officeDocument/2006/relationships/hyperlink" Target="https://www.eesc.europa.eu/sl/our-work/opinions-information-reports/opinions/deforestation-amazon-rainforest-impact-climate-change-and-global-environment-consequences-companies-workers-and"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A6WAAD5KZT2Q-284857674-6423</_dlc_DocId>
    <_dlc_DocIdUrl xmlns="1a33af13-4045-4f88-9d7b-618e30f79918">
      <Url>http://dm/eesc/2025/_layouts/15/DocIdRedir.aspx?ID=A6WAAD5KZT2Q-284857674-6423</Url>
      <Description>A6WAAD5KZT2Q-284857674-6423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2025-12-22T12:00:00+00:00</ProductionDate>
    <DocumentNumber xmlns="27994258-8564-426c-a7a1-d6286d62992e">3552</DocumentNumber>
    <FicheYear xmlns="1a33af13-4045-4f88-9d7b-618e30f79918" xsi:nil="true"/>
    <DocumentVersion xmlns="1a33af13-4045-4f88-9d7b-618e30f79918">0</DocumentVersion>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2026-01-21T12:00:00+00:00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Turel Metka</DisplayName>
        <AccountId>1536</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1F218763-A37C-4C88-B8BC-B94989C07037}">
  <ds:schemaRefs>
    <ds:schemaRef ds:uri="http://schemas.openxmlformats.org/officeDocument/2006/bibliography"/>
  </ds:schemaRefs>
</ds:datastoreItem>
</file>

<file path=customXml/itemProps2.xml><?xml version="1.0" encoding="utf-8"?>
<ds:datastoreItem xmlns:ds="http://schemas.openxmlformats.org/officeDocument/2006/customXml" ds:itemID="{1B3218C7-E73C-4C7C-AF64-BB1DBDE51AC5}"/>
</file>

<file path=customXml/itemProps3.xml><?xml version="1.0" encoding="utf-8"?>
<ds:datastoreItem xmlns:ds="http://schemas.openxmlformats.org/officeDocument/2006/customXml" ds:itemID="{FF4A8BC3-E2B2-4D8C-B6AA-B6A7564FCC24}"/>
</file>

<file path=customXml/itemProps4.xml><?xml version="1.0" encoding="utf-8"?>
<ds:datastoreItem xmlns:ds="http://schemas.openxmlformats.org/officeDocument/2006/customXml" ds:itemID="{3FCC5022-5367-48B7-84CB-CEC765333F17}"/>
</file>

<file path=customXml/itemProps5.xml><?xml version="1.0" encoding="utf-8"?>
<ds:datastoreItem xmlns:ds="http://schemas.openxmlformats.org/officeDocument/2006/customXml" ds:itemID="{DE3138C8-98D9-408E-851D-F6048C2B66D8}"/>
</file>

<file path=docProps/app.xml><?xml version="1.0" encoding="utf-8"?>
<Properties xmlns="http://schemas.openxmlformats.org/officeDocument/2006/extended-properties" xmlns:vt="http://schemas.openxmlformats.org/officeDocument/2006/docPropsVTypes">
  <Template>Normal.dotm</Template>
  <TotalTime>10</TotalTime>
  <Pages>20</Pages>
  <Words>5329</Words>
  <Characters>37894</Characters>
  <Application>Microsoft Office Word</Application>
  <DocSecurity>0</DocSecurity>
  <Lines>315</Lines>
  <Paragraphs>86</Paragraphs>
  <ScaleCrop>false</ScaleCrop>
  <HeadingPairs>
    <vt:vector size="2" baseType="variant">
      <vt:variant>
        <vt:lpstr>Title</vt:lpstr>
      </vt:variant>
      <vt:variant>
        <vt:i4>1</vt:i4>
      </vt:variant>
    </vt:vector>
  </HeadingPairs>
  <TitlesOfParts>
    <vt:vector size="1" baseType="lpstr">
      <vt:lpstr>Vzorec Summary of opinions-SL</vt:lpstr>
    </vt:vector>
  </TitlesOfParts>
  <Manager/>
  <Company/>
  <LinksUpToDate>false</LinksUpToDate>
  <CharactersWithSpaces>43137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na 601. plenarnem zasedanju decembra 2025</dc:title>
  <dc:creator/>
  <cp:keywords>Based-on-Styles-Template-Version-3</cp:keywords>
  <cp:lastModifiedBy/>
  <cp:revision>2</cp:revision>
  <cp:lastPrinted>2004-06-08T11:20:00Z</cp:lastPrinted>
  <dcterms:created xsi:type="dcterms:W3CDTF">2025-12-16T10:16:00Z</dcterms:created>
  <dcterms:modified xsi:type="dcterms:W3CDTF">2025-12-22T07:21:00Z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0x010100EA97B91038054C99906057A708A1480A00B192796EE9568A4C8E77C6EF5F22B614</vt:lpwstr>
  </property>
  <property fmtid="{D5CDD505-2E9C-101B-9397-08002B2CF9AE}" pid="3" name="_dlc_DocIdItemGuid">
    <vt:lpwstr>1199db65-223a-4798-831f-9de51a3b9c5c</vt:lpwstr>
  </property>
  <property fmtid="{D5CDD505-2E9C-101B-9397-08002B2CF9AE}" pid="4"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5" name="DocumentType_0">
    <vt:lpwstr>TCD|cd9d6eb6-3f4f-424a-b2d1-57c9d450eaaf</vt:lpwstr>
  </property>
  <property fmtid="{D5CDD505-2E9C-101B-9397-08002B2CF9AE}" pid="6" name="DossierName_0">
    <vt:lpwstr/>
  </property>
  <property fmtid="{D5CDD505-2E9C-101B-9397-08002B2CF9AE}" pid="7" name="DocumentSource_0">
    <vt:lpwstr>EESC|422833ec-8d7e-4e65-8e4e-8bed07ffb729</vt:lpwstr>
  </property>
  <property fmtid="{D5CDD505-2E9C-101B-9397-08002B2CF9AE}" pid="8" name="DocumentNumber">
    <vt:i4>3552</vt:i4>
  </property>
  <property fmtid="{D5CDD505-2E9C-101B-9397-08002B2CF9AE}" pid="9" name="DocumentYear">
    <vt:i4>2025</vt:i4>
  </property>
  <property fmtid="{D5CDD505-2E9C-101B-9397-08002B2CF9AE}" pid="10" name="DocumentVersion">
    <vt:i4>0</vt:i4>
  </property>
  <property fmtid="{D5CDD505-2E9C-101B-9397-08002B2CF9AE}" pid="11" name="FicheNumber">
    <vt:i4>297819</vt:i4>
  </property>
  <property fmtid="{D5CDD505-2E9C-101B-9397-08002B2CF9AE}" pid="12" name="DocumentStatus">
    <vt:lpwstr>13;#TRA|150d2a88-1431-44e6-a8ca-0bb753ab8672</vt:lpwstr>
  </property>
  <property fmtid="{D5CDD505-2E9C-101B-9397-08002B2CF9AE}" pid="13" name="DocumentPart">
    <vt:i4>0</vt:i4>
  </property>
  <property fmtid="{D5CDD505-2E9C-101B-9397-08002B2CF9AE}" pid="14" name="DossierName">
    <vt:lpwstr/>
  </property>
  <property fmtid="{D5CDD505-2E9C-101B-9397-08002B2CF9AE}" pid="15" name="DocumentSource">
    <vt:lpwstr>1;#EESC|422833ec-8d7e-4e65-8e4e-8bed07ffb729</vt:lpwstr>
  </property>
  <property fmtid="{D5CDD505-2E9C-101B-9397-08002B2CF9AE}" pid="17" name="DocumentType">
    <vt:lpwstr>19;#TCD|cd9d6eb6-3f4f-424a-b2d1-57c9d450eaaf</vt:lpwstr>
  </property>
  <property fmtid="{D5CDD505-2E9C-101B-9397-08002B2CF9AE}" pid="18" name="RequestingService">
    <vt:lpwstr>Greffe</vt:lpwstr>
  </property>
  <property fmtid="{D5CDD505-2E9C-101B-9397-08002B2CF9AE}" pid="19" name="Confidentiality">
    <vt:lpwstr>15;#Unrestricted|826e22d7-d029-4ec0-a450-0c28ff673572</vt:lpwstr>
  </property>
  <property fmtid="{D5CDD505-2E9C-101B-9397-08002B2CF9AE}" pid="20" name="MeetingName_0">
    <vt:lpwstr>SPL-CES|32d8cb1f-c9ec-4365-95c7-8385a18618ac</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67;#SPL-CES|32d8cb1f-c9ec-4365-95c7-8385a18618ac</vt:lpwstr>
  </property>
  <property fmtid="{D5CDD505-2E9C-101B-9397-08002B2CF9AE}" pid="24" name="MeetingDate">
    <vt:filetime>2026-01-21T12:00:00Z</vt:filetime>
  </property>
  <property fmtid="{D5CDD505-2E9C-101B-9397-08002B2CF9AE}" pid="25" name="AvailableTranslations_0">
    <vt:lpwstr>LT|a7ff5ce7-6123-4f68-865a-a57c31810414;SV|c2ed69e7-a339-43d7-8f22-d93680a92aa0;NL|55c6556c-b4f4-441d-9acf-c498d4f838bd;EN|f2175f21-25d7-44a3-96da-d6a61b075e1b;FI|87606a43-d45f-42d6-b8c9-e1a3457db5b7;DA|5d49c027-8956-412b-aa16-e85a0f96ad0e;EL|6d4f4d51-af9b-4650-94b4-4276bee85c91;IT|0774613c-01ed-4e5d-a25d-11d2388de825;FR|d2afafd3-4c81-4f60-8f52-ee33f2f54ff3;HR|2f555653-ed1a-4fe6-8362-9082d95989e5;HU|6b229040-c589-4408-b4c1-4285663d20a8;RO|feb747a2-64cd-4299-af12-4833ddc30497;ES|e7a6b05b-ae16-40c8-add9-68b64b03aeba;PT|50ccc04a-eadd-42ae-a0cb-acaf45f812ba</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42;#EL|6d4f4d51-af9b-4650-94b4-4276bee85c91;#35;#FI|87606a43-d45f-42d6-b8c9-e1a3457db5b7;#34;#IT|0774613c-01ed-4e5d-a25d-11d2388de825;#33;#PT|50ccc04a-eadd-42ae-a0cb-acaf45f812ba;#30;#LT|a7ff5ce7-6123-4f68-865a-a57c31810414;#67;#SPL-CES|32d8cb1f-c9ec-4365-95c7-8385a18618ac;#28;#SV|c2ed69e7-a339-43d7-8f22-d93680a92aa0;#27;#NL|55c6556c-b4f4-441d-9acf-c498d4f838bd;#50;#HR|2f555653-ed1a-4fe6-8362-9082d95989e5;#19;#TCD|cd9d6eb6-3f4f-424a-b2d1-57c9d450eaaf;#16;#ES|e7a6b05b-ae16-40c8-add9-68b64b03aeba;#15;#Unrestricted|826e22d7-d029-4ec0-a450-0c28ff673572;#13;#TRA|150d2a88-1431-44e6-a8ca-0bb753ab8672;#12;#FR|d2afafd3-4c81-4f60-8f52-ee33f2f54ff3;#8;#Final|ea5e6674-7b27-4bac-b091-73adbb394efe;#5;#EN|f2175f21-25d7-44a3-96da-d6a61b075e1b;#40;#DA|5d49c027-8956-412b-aa16-e85a0f96ad0e;#36;#RO|feb747a2-64cd-4299-af12-4833ddc30497;#1;#EESC|422833ec-8d7e-4e65-8e4e-8bed07ffb729;#37;#HU|6b229040-c589-4408-b4c1-4285663d20a8</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Language">
    <vt:lpwstr>31;#SL|98a412ae-eb01-49e9-ae3d-585a81724cfc</vt:lpwstr>
  </property>
</Properties>
</file>