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16502952" w:rsidR="004D7AC0" w:rsidRPr="00645757" w:rsidRDefault="00A712A2" w:rsidP="004D7AC0">
      <w:pPr>
        <w:jc w:val="center"/>
      </w:pPr>
      <w:r w:rsidRPr="00645757">
        <w:drawing>
          <wp:inline distT="0" distB="0" distL="0" distR="0" wp14:anchorId="14A900CF" wp14:editId="72C1F7E6">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645757">
        <w:rPr>
          <w:sz w:val="20"/>
        </w:rPr>
        <mc:AlternateContent>
          <mc:Choice Requires="wps">
            <w:drawing>
              <wp:anchor distT="0" distB="0" distL="114300" distR="114300" simplePos="0" relativeHeight="251658240" behindDoc="1" locked="0" layoutInCell="0" allowOverlap="1" wp14:anchorId="4982DE48" wp14:editId="1C4DDE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v:textbox>
                <w10:wrap anchorx="page" anchory="page"/>
              </v:shape>
            </w:pict>
          </mc:Fallback>
        </mc:AlternateContent>
      </w:r>
    </w:p>
    <w:p w14:paraId="4982DD4E" w14:textId="77777777" w:rsidR="004D7AC0" w:rsidRPr="00645757" w:rsidRDefault="004D7AC0" w:rsidP="004D7AC0"/>
    <w:p w14:paraId="4982DD4F" w14:textId="2ACE5F12" w:rsidR="004D7AC0" w:rsidRPr="00645757" w:rsidRDefault="004D7AC0" w:rsidP="004D7AC0">
      <w:pPr>
        <w:jc w:val="right"/>
      </w:pPr>
      <w:r w:rsidRPr="00645757">
        <w:t>Brusel 17</w:t>
      </w:r>
      <w:r w:rsidR="00645757">
        <w:t>. decembra</w:t>
      </w:r>
      <w:r w:rsidRPr="00645757">
        <w:t xml:space="preserve"> 2025</w:t>
      </w:r>
    </w:p>
    <w:p w14:paraId="4982DD50" w14:textId="77777777" w:rsidR="004D7AC0" w:rsidRPr="00645757" w:rsidRDefault="004D7AC0" w:rsidP="004D7AC0"/>
    <w:p w14:paraId="4982DD51" w14:textId="77777777" w:rsidR="004D7AC0" w:rsidRPr="00645757" w:rsidRDefault="004D7AC0" w:rsidP="004D7AC0"/>
    <w:p w14:paraId="4982DD52" w14:textId="77777777" w:rsidR="004D7AC0" w:rsidRPr="00645757" w:rsidRDefault="004D7AC0" w:rsidP="004D7AC0"/>
    <w:tbl>
      <w:tblPr>
        <w:tblW w:w="0" w:type="auto"/>
        <w:tblLook w:val="04A0" w:firstRow="1" w:lastRow="0" w:firstColumn="1" w:lastColumn="0" w:noHBand="0" w:noVBand="1"/>
      </w:tblPr>
      <w:tblGrid>
        <w:gridCol w:w="9289"/>
      </w:tblGrid>
      <w:tr w:rsidR="004D7AC0" w:rsidRPr="00645757" w14:paraId="4982DD59" w14:textId="77777777" w:rsidTr="00600C84">
        <w:tc>
          <w:tcPr>
            <w:tcW w:w="9289" w:type="dxa"/>
            <w:tcBorders>
              <w:bottom w:val="double" w:sz="4" w:space="0" w:color="auto"/>
            </w:tcBorders>
          </w:tcPr>
          <w:p w14:paraId="4982DD53" w14:textId="02802AB8" w:rsidR="003066BE" w:rsidRPr="00645757" w:rsidRDefault="00340927" w:rsidP="00600C84">
            <w:pPr>
              <w:snapToGrid w:val="0"/>
              <w:jc w:val="center"/>
              <w:rPr>
                <w:b/>
                <w:sz w:val="32"/>
                <w:szCs w:val="32"/>
              </w:rPr>
            </w:pPr>
            <w:r w:rsidRPr="00645757">
              <w:rPr>
                <w:b/>
                <w:sz w:val="32"/>
              </w:rPr>
              <w:t>601. PLENÁRNE ZASADNUTIE</w:t>
            </w:r>
          </w:p>
          <w:p w14:paraId="4982DD54" w14:textId="77777777" w:rsidR="003066BE" w:rsidRPr="00645757" w:rsidRDefault="003066BE" w:rsidP="00600C84">
            <w:pPr>
              <w:snapToGrid w:val="0"/>
              <w:jc w:val="center"/>
              <w:rPr>
                <w:b/>
                <w:sz w:val="32"/>
                <w:szCs w:val="32"/>
              </w:rPr>
            </w:pPr>
          </w:p>
          <w:p w14:paraId="4982DD55" w14:textId="70087433" w:rsidR="003066BE" w:rsidRPr="00645757" w:rsidRDefault="00340927" w:rsidP="00600C84">
            <w:pPr>
              <w:snapToGrid w:val="0"/>
              <w:jc w:val="center"/>
              <w:rPr>
                <w:b/>
                <w:sz w:val="32"/>
                <w:szCs w:val="32"/>
              </w:rPr>
            </w:pPr>
            <w:r w:rsidRPr="00645757">
              <w:rPr>
                <w:b/>
                <w:sz w:val="32"/>
              </w:rPr>
              <w:t>3</w:t>
            </w:r>
            <w:r w:rsidR="00645757">
              <w:rPr>
                <w:b/>
                <w:sz w:val="32"/>
              </w:rPr>
              <w:t>. a </w:t>
            </w:r>
            <w:r w:rsidRPr="00645757">
              <w:rPr>
                <w:b/>
                <w:sz w:val="32"/>
              </w:rPr>
              <w:t>4</w:t>
            </w:r>
            <w:r w:rsidR="00645757">
              <w:rPr>
                <w:b/>
                <w:sz w:val="32"/>
              </w:rPr>
              <w:t>. decembra</w:t>
            </w:r>
            <w:r w:rsidRPr="00645757">
              <w:rPr>
                <w:b/>
                <w:sz w:val="32"/>
              </w:rPr>
              <w:t xml:space="preserve"> 2025</w:t>
            </w:r>
          </w:p>
          <w:p w14:paraId="4982DD56" w14:textId="77777777" w:rsidR="003066BE" w:rsidRPr="00645757" w:rsidRDefault="003066BE" w:rsidP="00600C84">
            <w:pPr>
              <w:snapToGrid w:val="0"/>
              <w:jc w:val="center"/>
              <w:rPr>
                <w:b/>
                <w:sz w:val="32"/>
                <w:szCs w:val="32"/>
              </w:rPr>
            </w:pPr>
          </w:p>
          <w:p w14:paraId="4982DD57" w14:textId="5A35E792" w:rsidR="004D7AC0" w:rsidRPr="00645757" w:rsidRDefault="00754027" w:rsidP="00600C84">
            <w:pPr>
              <w:snapToGrid w:val="0"/>
              <w:jc w:val="center"/>
              <w:rPr>
                <w:rFonts w:eastAsia="MS Mincho"/>
                <w:b/>
                <w:sz w:val="32"/>
                <w:szCs w:val="32"/>
              </w:rPr>
            </w:pPr>
            <w:r w:rsidRPr="00645757">
              <w:rPr>
                <w:b/>
                <w:sz w:val="32"/>
              </w:rPr>
              <w:t>PREHĽAD PRIJATÝCH STANOVÍSK, UZNESENÍ, INFORMAČNÝCH A HODNOTIACICH SPRÁV</w:t>
            </w:r>
          </w:p>
          <w:p w14:paraId="4982DD58" w14:textId="77777777" w:rsidR="004D7AC0" w:rsidRPr="00645757" w:rsidRDefault="004D7AC0" w:rsidP="00600C84">
            <w:pPr>
              <w:snapToGrid w:val="0"/>
            </w:pPr>
          </w:p>
        </w:tc>
      </w:tr>
      <w:tr w:rsidR="004D7AC0" w:rsidRPr="00645757"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645757" w:rsidRDefault="004D7AC0" w:rsidP="00600C84">
            <w:pPr>
              <w:snapToGrid w:val="0"/>
              <w:jc w:val="center"/>
            </w:pPr>
            <w:r w:rsidRPr="00645757">
              <w:t>Tento dokument je dostupný vo všetkých úradných jazykoch Európskej únie</w:t>
            </w:r>
            <w:r w:rsidRPr="00645757">
              <w:br/>
              <w:t>na webovom sídle EHSV:</w:t>
            </w:r>
            <w:r w:rsidRPr="00645757">
              <w:br/>
            </w:r>
            <w:r w:rsidRPr="00645757">
              <w:br/>
            </w:r>
            <w:hyperlink r:id="rId12" w:history="1">
              <w:r w:rsidRPr="00645757">
                <w:rPr>
                  <w:rStyle w:val="Hyperlink"/>
                </w:rPr>
                <w:t>https://www.eesc.europa.eu/sk/our-work/opinions-information-reports/plenary-session-summaries</w:t>
              </w:r>
            </w:hyperlink>
          </w:p>
          <w:p w14:paraId="4982DD5B" w14:textId="77777777" w:rsidR="004D7AC0" w:rsidRPr="00645757" w:rsidRDefault="004D7AC0" w:rsidP="00600C84">
            <w:pPr>
              <w:snapToGrid w:val="0"/>
              <w:jc w:val="center"/>
            </w:pPr>
          </w:p>
          <w:p w14:paraId="4982DD5C" w14:textId="77777777" w:rsidR="004D7AC0" w:rsidRPr="00645757" w:rsidRDefault="004D7AC0" w:rsidP="00600C84">
            <w:pPr>
              <w:snapToGrid w:val="0"/>
              <w:jc w:val="center"/>
              <w:rPr>
                <w:rFonts w:eastAsia="SimSun"/>
              </w:rPr>
            </w:pPr>
          </w:p>
          <w:p w14:paraId="4982DD5D" w14:textId="77777777" w:rsidR="004D7AC0" w:rsidRPr="00645757" w:rsidRDefault="004D7AC0" w:rsidP="00600C84">
            <w:pPr>
              <w:snapToGrid w:val="0"/>
              <w:jc w:val="center"/>
            </w:pPr>
            <w:r w:rsidRPr="00645757">
              <w:t>Uvedené stanoviská možno nájsť on-line cez vyhľadávač EHSV:</w:t>
            </w:r>
            <w:r w:rsidRPr="00645757">
              <w:br/>
            </w:r>
            <w:r w:rsidRPr="00645757">
              <w:br/>
            </w:r>
            <w:hyperlink r:id="rId13" w:history="1">
              <w:r w:rsidRPr="00645757">
                <w:rPr>
                  <w:rStyle w:val="Hyperlink"/>
                </w:rPr>
                <w:t>https://dmsearch.eesc.europa.eu/search/opinion</w:t>
              </w:r>
            </w:hyperlink>
          </w:p>
          <w:p w14:paraId="4982DD5E" w14:textId="77777777" w:rsidR="004D7AC0" w:rsidRPr="00645757" w:rsidRDefault="004D7AC0" w:rsidP="00600C84">
            <w:pPr>
              <w:snapToGrid w:val="0"/>
              <w:jc w:val="center"/>
            </w:pPr>
          </w:p>
        </w:tc>
      </w:tr>
    </w:tbl>
    <w:p w14:paraId="4982DD60" w14:textId="77777777" w:rsidR="004D7AC0" w:rsidRPr="00645757" w:rsidRDefault="004D7AC0" w:rsidP="004D7AC0"/>
    <w:p w14:paraId="4982DD61" w14:textId="77777777" w:rsidR="004D7AC0" w:rsidRPr="00645757" w:rsidRDefault="004D7AC0" w:rsidP="004D7AC0"/>
    <w:p w14:paraId="4982DD62" w14:textId="77777777" w:rsidR="004D7AC0" w:rsidRPr="00645757" w:rsidRDefault="004D7AC0" w:rsidP="004D7AC0">
      <w:pPr>
        <w:sectPr w:rsidR="004D7AC0" w:rsidRPr="00645757" w:rsidSect="00EE6F0B">
          <w:footerReference w:type="default" r:id="rId14"/>
          <w:pgSz w:w="11907" w:h="16839"/>
          <w:pgMar w:top="1417" w:right="1417" w:bottom="1417" w:left="1417" w:header="709" w:footer="709" w:gutter="0"/>
          <w:pgNumType w:start="1"/>
          <w:cols w:space="708"/>
          <w:docGrid w:linePitch="360"/>
        </w:sectPr>
      </w:pPr>
    </w:p>
    <w:p w14:paraId="4982DD63" w14:textId="77777777" w:rsidR="004D7AC0" w:rsidRPr="00645757" w:rsidRDefault="004D7AC0" w:rsidP="004D7AC0">
      <w:pPr>
        <w:rPr>
          <w:b/>
        </w:rPr>
      </w:pPr>
      <w:r w:rsidRPr="00645757">
        <w:rPr>
          <w:b/>
        </w:rPr>
        <w:lastRenderedPageBreak/>
        <w:t>Obsah:</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rPr>
      </w:sdtEndPr>
      <w:sdtContent>
        <w:p w14:paraId="4982DD64" w14:textId="77777777" w:rsidR="004D7AC0" w:rsidRPr="00645757" w:rsidRDefault="004D7AC0" w:rsidP="004D7AC0">
          <w:pPr>
            <w:pStyle w:val="TOCHeading"/>
            <w:rPr>
              <w:rFonts w:ascii="Times New Roman" w:hAnsi="Times New Roman" w:cs="Times New Roman"/>
              <w:color w:val="auto"/>
              <w:sz w:val="22"/>
              <w:szCs w:val="22"/>
            </w:rPr>
          </w:pPr>
        </w:p>
        <w:p w14:paraId="597C86F4" w14:textId="7AD0D1ED" w:rsidR="00CB245F" w:rsidRDefault="004D7AC0">
          <w:pPr>
            <w:pStyle w:val="TOC1"/>
            <w:tabs>
              <w:tab w:val="left" w:pos="440"/>
              <w:tab w:val="right" w:leader="dot" w:pos="9063"/>
            </w:tabs>
            <w:rPr>
              <w:rFonts w:asciiTheme="minorHAnsi" w:eastAsiaTheme="minorEastAsia" w:hAnsiTheme="minorHAnsi" w:cstheme="minorBidi"/>
              <w:noProof/>
              <w:lang w:val="en-US"/>
            </w:rPr>
          </w:pPr>
          <w:r w:rsidRPr="00645757">
            <w:fldChar w:fldCharType="begin"/>
          </w:r>
          <w:r w:rsidRPr="00645757">
            <w:instrText xml:space="preserve"> TOC \o "1-3" \h \z \u </w:instrText>
          </w:r>
          <w:r w:rsidRPr="00645757">
            <w:fldChar w:fldCharType="separate"/>
          </w:r>
          <w:hyperlink w:anchor="_Toc217296974" w:history="1">
            <w:r w:rsidR="00CB245F" w:rsidRPr="0031147C">
              <w:rPr>
                <w:rStyle w:val="Hyperlink"/>
                <w:b/>
                <w:noProof/>
              </w:rPr>
              <w:t>1.</w:t>
            </w:r>
            <w:r w:rsidR="00CB245F">
              <w:rPr>
                <w:rFonts w:asciiTheme="minorHAnsi" w:eastAsiaTheme="minorEastAsia" w:hAnsiTheme="minorHAnsi" w:cstheme="minorBidi"/>
                <w:noProof/>
                <w:lang w:val="en-US"/>
              </w:rPr>
              <w:tab/>
            </w:r>
            <w:r w:rsidR="00CB245F" w:rsidRPr="0031147C">
              <w:rPr>
                <w:rStyle w:val="Hyperlink"/>
                <w:b/>
                <w:noProof/>
              </w:rPr>
              <w:t>HOSPODÁRSKA A MENOVÁ ÚNIA, HOSPODÁRSKA A SOCIÁLNA SÚDRŽNOSŤ</w:t>
            </w:r>
            <w:r w:rsidR="00CB245F">
              <w:rPr>
                <w:noProof/>
                <w:webHidden/>
              </w:rPr>
              <w:tab/>
            </w:r>
            <w:r w:rsidR="00CB245F">
              <w:rPr>
                <w:noProof/>
                <w:webHidden/>
              </w:rPr>
              <w:fldChar w:fldCharType="begin"/>
            </w:r>
            <w:r w:rsidR="00CB245F">
              <w:rPr>
                <w:noProof/>
                <w:webHidden/>
              </w:rPr>
              <w:instrText xml:space="preserve"> PAGEREF _Toc217296974 \h </w:instrText>
            </w:r>
            <w:r w:rsidR="00CB245F">
              <w:rPr>
                <w:noProof/>
                <w:webHidden/>
              </w:rPr>
            </w:r>
            <w:r w:rsidR="00CB245F">
              <w:rPr>
                <w:noProof/>
                <w:webHidden/>
              </w:rPr>
              <w:fldChar w:fldCharType="separate"/>
            </w:r>
            <w:r w:rsidR="00CB245F">
              <w:rPr>
                <w:noProof/>
                <w:webHidden/>
              </w:rPr>
              <w:t>3</w:t>
            </w:r>
            <w:r w:rsidR="00CB245F">
              <w:rPr>
                <w:noProof/>
                <w:webHidden/>
              </w:rPr>
              <w:fldChar w:fldCharType="end"/>
            </w:r>
          </w:hyperlink>
        </w:p>
        <w:p w14:paraId="19521F0A" w14:textId="35D48CBD" w:rsidR="00CB245F" w:rsidRDefault="00CB245F">
          <w:pPr>
            <w:pStyle w:val="TOC1"/>
            <w:tabs>
              <w:tab w:val="left" w:pos="440"/>
              <w:tab w:val="right" w:leader="dot" w:pos="9063"/>
            </w:tabs>
            <w:rPr>
              <w:rFonts w:asciiTheme="minorHAnsi" w:eastAsiaTheme="minorEastAsia" w:hAnsiTheme="minorHAnsi" w:cstheme="minorBidi"/>
              <w:noProof/>
              <w:lang w:val="en-US"/>
            </w:rPr>
          </w:pPr>
          <w:hyperlink w:anchor="_Toc217296975" w:history="1">
            <w:r w:rsidRPr="0031147C">
              <w:rPr>
                <w:rStyle w:val="Hyperlink"/>
                <w:b/>
                <w:noProof/>
              </w:rPr>
              <w:t>2.</w:t>
            </w:r>
            <w:r>
              <w:rPr>
                <w:rFonts w:asciiTheme="minorHAnsi" w:eastAsiaTheme="minorEastAsia" w:hAnsiTheme="minorHAnsi" w:cstheme="minorBidi"/>
                <w:noProof/>
                <w:lang w:val="en-US"/>
              </w:rPr>
              <w:tab/>
            </w:r>
            <w:r w:rsidRPr="0031147C">
              <w:rPr>
                <w:rStyle w:val="Hyperlink"/>
                <w:b/>
                <w:noProof/>
              </w:rPr>
              <w:t>ZAMESTNANOSŤ, SOCIÁLNE VECI A OBČIANSTVO</w:t>
            </w:r>
            <w:r>
              <w:rPr>
                <w:noProof/>
                <w:webHidden/>
              </w:rPr>
              <w:tab/>
            </w:r>
            <w:r>
              <w:rPr>
                <w:noProof/>
                <w:webHidden/>
              </w:rPr>
              <w:fldChar w:fldCharType="begin"/>
            </w:r>
            <w:r>
              <w:rPr>
                <w:noProof/>
                <w:webHidden/>
              </w:rPr>
              <w:instrText xml:space="preserve"> PAGEREF _Toc217296975 \h </w:instrText>
            </w:r>
            <w:r>
              <w:rPr>
                <w:noProof/>
                <w:webHidden/>
              </w:rPr>
            </w:r>
            <w:r>
              <w:rPr>
                <w:noProof/>
                <w:webHidden/>
              </w:rPr>
              <w:fldChar w:fldCharType="separate"/>
            </w:r>
            <w:r>
              <w:rPr>
                <w:noProof/>
                <w:webHidden/>
              </w:rPr>
              <w:t>6</w:t>
            </w:r>
            <w:r>
              <w:rPr>
                <w:noProof/>
                <w:webHidden/>
              </w:rPr>
              <w:fldChar w:fldCharType="end"/>
            </w:r>
          </w:hyperlink>
        </w:p>
        <w:p w14:paraId="7E7D7D13" w14:textId="1EC9BAF7" w:rsidR="00CB245F" w:rsidRDefault="00CB245F">
          <w:pPr>
            <w:pStyle w:val="TOC1"/>
            <w:tabs>
              <w:tab w:val="left" w:pos="440"/>
              <w:tab w:val="right" w:leader="dot" w:pos="9063"/>
            </w:tabs>
            <w:rPr>
              <w:rFonts w:asciiTheme="minorHAnsi" w:eastAsiaTheme="minorEastAsia" w:hAnsiTheme="minorHAnsi" w:cstheme="minorBidi"/>
              <w:noProof/>
              <w:lang w:val="en-US"/>
            </w:rPr>
          </w:pPr>
          <w:hyperlink w:anchor="_Toc217296976" w:history="1">
            <w:r w:rsidRPr="0031147C">
              <w:rPr>
                <w:rStyle w:val="Hyperlink"/>
                <w:b/>
                <w:noProof/>
              </w:rPr>
              <w:t>3.</w:t>
            </w:r>
            <w:r>
              <w:rPr>
                <w:rFonts w:asciiTheme="minorHAnsi" w:eastAsiaTheme="minorEastAsia" w:hAnsiTheme="minorHAnsi" w:cstheme="minorBidi"/>
                <w:noProof/>
                <w:lang w:val="en-US"/>
              </w:rPr>
              <w:tab/>
            </w:r>
            <w:r w:rsidRPr="0031147C">
              <w:rPr>
                <w:rStyle w:val="Hyperlink"/>
                <w:b/>
                <w:noProof/>
              </w:rPr>
              <w:t>DOPRAVA, ENERGETIKA, INFRAŠTRUKTÚRA A INFORMAČNÁ SPOLOČNOSŤ</w:t>
            </w:r>
            <w:r>
              <w:rPr>
                <w:noProof/>
                <w:webHidden/>
              </w:rPr>
              <w:tab/>
            </w:r>
            <w:r>
              <w:rPr>
                <w:noProof/>
                <w:webHidden/>
              </w:rPr>
              <w:fldChar w:fldCharType="begin"/>
            </w:r>
            <w:r>
              <w:rPr>
                <w:noProof/>
                <w:webHidden/>
              </w:rPr>
              <w:instrText xml:space="preserve"> PAGEREF _Toc217296976 \h </w:instrText>
            </w:r>
            <w:r>
              <w:rPr>
                <w:noProof/>
                <w:webHidden/>
              </w:rPr>
            </w:r>
            <w:r>
              <w:rPr>
                <w:noProof/>
                <w:webHidden/>
              </w:rPr>
              <w:fldChar w:fldCharType="separate"/>
            </w:r>
            <w:r>
              <w:rPr>
                <w:noProof/>
                <w:webHidden/>
              </w:rPr>
              <w:t>9</w:t>
            </w:r>
            <w:r>
              <w:rPr>
                <w:noProof/>
                <w:webHidden/>
              </w:rPr>
              <w:fldChar w:fldCharType="end"/>
            </w:r>
          </w:hyperlink>
        </w:p>
        <w:p w14:paraId="2F3435D1" w14:textId="786F5654" w:rsidR="00CB245F" w:rsidRDefault="00CB245F">
          <w:pPr>
            <w:pStyle w:val="TOC1"/>
            <w:tabs>
              <w:tab w:val="left" w:pos="440"/>
              <w:tab w:val="right" w:leader="dot" w:pos="9063"/>
            </w:tabs>
            <w:rPr>
              <w:rFonts w:asciiTheme="minorHAnsi" w:eastAsiaTheme="minorEastAsia" w:hAnsiTheme="minorHAnsi" w:cstheme="minorBidi"/>
              <w:noProof/>
              <w:lang w:val="en-US"/>
            </w:rPr>
          </w:pPr>
          <w:hyperlink w:anchor="_Toc217296977" w:history="1">
            <w:r w:rsidRPr="0031147C">
              <w:rPr>
                <w:rStyle w:val="Hyperlink"/>
                <w:b/>
                <w:noProof/>
              </w:rPr>
              <w:t>4.</w:t>
            </w:r>
            <w:r>
              <w:rPr>
                <w:rFonts w:asciiTheme="minorHAnsi" w:eastAsiaTheme="minorEastAsia" w:hAnsiTheme="minorHAnsi" w:cstheme="minorBidi"/>
                <w:noProof/>
                <w:lang w:val="en-US"/>
              </w:rPr>
              <w:tab/>
            </w:r>
            <w:r w:rsidRPr="0031147C">
              <w:rPr>
                <w:rStyle w:val="Hyperlink"/>
                <w:b/>
                <w:noProof/>
              </w:rPr>
              <w:t>JEDNOTNÝ TRH, VÝROBA A SPOTREBA</w:t>
            </w:r>
            <w:r>
              <w:rPr>
                <w:noProof/>
                <w:webHidden/>
              </w:rPr>
              <w:tab/>
            </w:r>
            <w:r>
              <w:rPr>
                <w:noProof/>
                <w:webHidden/>
              </w:rPr>
              <w:fldChar w:fldCharType="begin"/>
            </w:r>
            <w:r>
              <w:rPr>
                <w:noProof/>
                <w:webHidden/>
              </w:rPr>
              <w:instrText xml:space="preserve"> PAGEREF _Toc217296977 \h </w:instrText>
            </w:r>
            <w:r>
              <w:rPr>
                <w:noProof/>
                <w:webHidden/>
              </w:rPr>
            </w:r>
            <w:r>
              <w:rPr>
                <w:noProof/>
                <w:webHidden/>
              </w:rPr>
              <w:fldChar w:fldCharType="separate"/>
            </w:r>
            <w:r>
              <w:rPr>
                <w:noProof/>
                <w:webHidden/>
              </w:rPr>
              <w:t>12</w:t>
            </w:r>
            <w:r>
              <w:rPr>
                <w:noProof/>
                <w:webHidden/>
              </w:rPr>
              <w:fldChar w:fldCharType="end"/>
            </w:r>
          </w:hyperlink>
        </w:p>
        <w:p w14:paraId="01016CC5" w14:textId="61D574F2" w:rsidR="00CB245F" w:rsidRDefault="00CB245F">
          <w:pPr>
            <w:pStyle w:val="TOC1"/>
            <w:tabs>
              <w:tab w:val="left" w:pos="440"/>
              <w:tab w:val="right" w:leader="dot" w:pos="9063"/>
            </w:tabs>
            <w:rPr>
              <w:rFonts w:asciiTheme="minorHAnsi" w:eastAsiaTheme="minorEastAsia" w:hAnsiTheme="minorHAnsi" w:cstheme="minorBidi"/>
              <w:noProof/>
              <w:lang w:val="en-US"/>
            </w:rPr>
          </w:pPr>
          <w:hyperlink w:anchor="_Toc217296978" w:history="1">
            <w:r w:rsidRPr="0031147C">
              <w:rPr>
                <w:rStyle w:val="Hyperlink"/>
                <w:b/>
                <w:noProof/>
              </w:rPr>
              <w:t>5.</w:t>
            </w:r>
            <w:r>
              <w:rPr>
                <w:rFonts w:asciiTheme="minorHAnsi" w:eastAsiaTheme="minorEastAsia" w:hAnsiTheme="minorHAnsi" w:cstheme="minorBidi"/>
                <w:noProof/>
                <w:lang w:val="en-US"/>
              </w:rPr>
              <w:tab/>
            </w:r>
            <w:r w:rsidRPr="0031147C">
              <w:rPr>
                <w:rStyle w:val="Hyperlink"/>
                <w:b/>
                <w:noProof/>
              </w:rPr>
              <w:t>POĽNOHOSPODÁRSTVO, ROZVOJ VIDIEKA A ŽIVOTNÉ PROSTREDIE</w:t>
            </w:r>
            <w:r>
              <w:rPr>
                <w:noProof/>
                <w:webHidden/>
              </w:rPr>
              <w:tab/>
            </w:r>
            <w:r>
              <w:rPr>
                <w:noProof/>
                <w:webHidden/>
              </w:rPr>
              <w:fldChar w:fldCharType="begin"/>
            </w:r>
            <w:r>
              <w:rPr>
                <w:noProof/>
                <w:webHidden/>
              </w:rPr>
              <w:instrText xml:space="preserve"> PAGEREF _Toc217296978 \h </w:instrText>
            </w:r>
            <w:r>
              <w:rPr>
                <w:noProof/>
                <w:webHidden/>
              </w:rPr>
            </w:r>
            <w:r>
              <w:rPr>
                <w:noProof/>
                <w:webHidden/>
              </w:rPr>
              <w:fldChar w:fldCharType="separate"/>
            </w:r>
            <w:r>
              <w:rPr>
                <w:noProof/>
                <w:webHidden/>
              </w:rPr>
              <w:t>17</w:t>
            </w:r>
            <w:r>
              <w:rPr>
                <w:noProof/>
                <w:webHidden/>
              </w:rPr>
              <w:fldChar w:fldCharType="end"/>
            </w:r>
          </w:hyperlink>
        </w:p>
        <w:p w14:paraId="2EB66CE0" w14:textId="00CFB7D4" w:rsidR="00CB245F" w:rsidRDefault="00CB245F">
          <w:pPr>
            <w:pStyle w:val="TOC1"/>
            <w:tabs>
              <w:tab w:val="left" w:pos="440"/>
              <w:tab w:val="right" w:leader="dot" w:pos="9063"/>
            </w:tabs>
            <w:rPr>
              <w:rFonts w:asciiTheme="minorHAnsi" w:eastAsiaTheme="minorEastAsia" w:hAnsiTheme="minorHAnsi" w:cstheme="minorBidi"/>
              <w:noProof/>
              <w:lang w:val="en-US"/>
            </w:rPr>
          </w:pPr>
          <w:hyperlink w:anchor="_Toc217296979" w:history="1">
            <w:r w:rsidRPr="0031147C">
              <w:rPr>
                <w:rStyle w:val="Hyperlink"/>
                <w:b/>
                <w:noProof/>
              </w:rPr>
              <w:t>6.</w:t>
            </w:r>
            <w:r>
              <w:rPr>
                <w:rFonts w:asciiTheme="minorHAnsi" w:eastAsiaTheme="minorEastAsia" w:hAnsiTheme="minorHAnsi" w:cstheme="minorBidi"/>
                <w:noProof/>
                <w:lang w:val="en-US"/>
              </w:rPr>
              <w:tab/>
            </w:r>
            <w:r w:rsidRPr="0031147C">
              <w:rPr>
                <w:rStyle w:val="Hyperlink"/>
                <w:b/>
                <w:noProof/>
              </w:rPr>
              <w:t>VONKAJŠIE VZŤAHY</w:t>
            </w:r>
            <w:r>
              <w:rPr>
                <w:noProof/>
                <w:webHidden/>
              </w:rPr>
              <w:tab/>
            </w:r>
            <w:r>
              <w:rPr>
                <w:noProof/>
                <w:webHidden/>
              </w:rPr>
              <w:fldChar w:fldCharType="begin"/>
            </w:r>
            <w:r>
              <w:rPr>
                <w:noProof/>
                <w:webHidden/>
              </w:rPr>
              <w:instrText xml:space="preserve"> PAGEREF _Toc217296979 \h </w:instrText>
            </w:r>
            <w:r>
              <w:rPr>
                <w:noProof/>
                <w:webHidden/>
              </w:rPr>
            </w:r>
            <w:r>
              <w:rPr>
                <w:noProof/>
                <w:webHidden/>
              </w:rPr>
              <w:fldChar w:fldCharType="separate"/>
            </w:r>
            <w:r>
              <w:rPr>
                <w:noProof/>
                <w:webHidden/>
              </w:rPr>
              <w:t>19</w:t>
            </w:r>
            <w:r>
              <w:rPr>
                <w:noProof/>
                <w:webHidden/>
              </w:rPr>
              <w:fldChar w:fldCharType="end"/>
            </w:r>
          </w:hyperlink>
        </w:p>
        <w:p w14:paraId="277BA6C4" w14:textId="2D9ABA2E" w:rsidR="00CB245F" w:rsidRDefault="00CB245F">
          <w:pPr>
            <w:pStyle w:val="TOC1"/>
            <w:tabs>
              <w:tab w:val="left" w:pos="440"/>
              <w:tab w:val="right" w:leader="dot" w:pos="9063"/>
            </w:tabs>
            <w:rPr>
              <w:rFonts w:asciiTheme="minorHAnsi" w:eastAsiaTheme="minorEastAsia" w:hAnsiTheme="minorHAnsi" w:cstheme="minorBidi"/>
              <w:noProof/>
              <w:lang w:val="en-US"/>
            </w:rPr>
          </w:pPr>
          <w:hyperlink w:anchor="_Toc217296980" w:history="1">
            <w:r w:rsidRPr="0031147C">
              <w:rPr>
                <w:rStyle w:val="Hyperlink"/>
                <w:b/>
                <w:noProof/>
              </w:rPr>
              <w:t>7.</w:t>
            </w:r>
            <w:r>
              <w:rPr>
                <w:rFonts w:asciiTheme="minorHAnsi" w:eastAsiaTheme="minorEastAsia" w:hAnsiTheme="minorHAnsi" w:cstheme="minorBidi"/>
                <w:noProof/>
                <w:lang w:val="en-US"/>
              </w:rPr>
              <w:tab/>
            </w:r>
            <w:r w:rsidRPr="0031147C">
              <w:rPr>
                <w:rStyle w:val="Hyperlink"/>
                <w:b/>
                <w:noProof/>
              </w:rPr>
              <w:t>PORADNÁ KOMISIA PRE PRIEMYSELNÉ ZMENY</w:t>
            </w:r>
            <w:r>
              <w:rPr>
                <w:noProof/>
                <w:webHidden/>
              </w:rPr>
              <w:tab/>
            </w:r>
            <w:r>
              <w:rPr>
                <w:noProof/>
                <w:webHidden/>
              </w:rPr>
              <w:fldChar w:fldCharType="begin"/>
            </w:r>
            <w:r>
              <w:rPr>
                <w:noProof/>
                <w:webHidden/>
              </w:rPr>
              <w:instrText xml:space="preserve"> PAGEREF _Toc217296980 \h </w:instrText>
            </w:r>
            <w:r>
              <w:rPr>
                <w:noProof/>
                <w:webHidden/>
              </w:rPr>
            </w:r>
            <w:r>
              <w:rPr>
                <w:noProof/>
                <w:webHidden/>
              </w:rPr>
              <w:fldChar w:fldCharType="separate"/>
            </w:r>
            <w:r>
              <w:rPr>
                <w:noProof/>
                <w:webHidden/>
              </w:rPr>
              <w:t>22</w:t>
            </w:r>
            <w:r>
              <w:rPr>
                <w:noProof/>
                <w:webHidden/>
              </w:rPr>
              <w:fldChar w:fldCharType="end"/>
            </w:r>
          </w:hyperlink>
        </w:p>
        <w:p w14:paraId="4982DD6A" w14:textId="4DB986EE" w:rsidR="004D7AC0" w:rsidRPr="00645757" w:rsidRDefault="004D7AC0" w:rsidP="004D7AC0">
          <w:r w:rsidRPr="00645757">
            <w:rPr>
              <w:b/>
            </w:rPr>
            <w:fldChar w:fldCharType="end"/>
          </w:r>
        </w:p>
      </w:sdtContent>
    </w:sdt>
    <w:p w14:paraId="4982DD6B" w14:textId="77777777" w:rsidR="004D7AC0" w:rsidRPr="00645757" w:rsidRDefault="004D7AC0" w:rsidP="004D7AC0"/>
    <w:p w14:paraId="4982DD6C" w14:textId="77777777" w:rsidR="004D7AC0" w:rsidRPr="00645757" w:rsidRDefault="004D7AC0" w:rsidP="004D7AC0">
      <w:pPr>
        <w:spacing w:after="160" w:line="259" w:lineRule="auto"/>
        <w:jc w:val="left"/>
      </w:pPr>
      <w:r w:rsidRPr="00645757">
        <w:br w:type="page"/>
      </w:r>
    </w:p>
    <w:p w14:paraId="4982DD6D" w14:textId="77777777" w:rsidR="004D7AC0" w:rsidRPr="00645757" w:rsidRDefault="004D7AC0" w:rsidP="004D7AC0">
      <w:pPr>
        <w:pStyle w:val="Heading1"/>
        <w:rPr>
          <w:b/>
        </w:rPr>
      </w:pPr>
      <w:bookmarkStart w:id="0" w:name="_Toc217296974"/>
      <w:r w:rsidRPr="00645757">
        <w:rPr>
          <w:b/>
        </w:rPr>
        <w:lastRenderedPageBreak/>
        <w:t>HOSPODÁRSKA A MENOVÁ ÚNIA, HOSPODÁRSKA A SOCIÁLNA SÚDRŽNOSŤ</w:t>
      </w:r>
      <w:bookmarkEnd w:id="0"/>
    </w:p>
    <w:p w14:paraId="4982DD6E" w14:textId="77777777" w:rsidR="004D7AC0" w:rsidRPr="00645757" w:rsidRDefault="004D7AC0" w:rsidP="004D7AC0"/>
    <w:p w14:paraId="7E506423" w14:textId="742DF85D" w:rsidR="00612898" w:rsidRPr="00645757" w:rsidRDefault="00645757"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15" w:history="1">
        <w:r w:rsidRPr="00645757">
          <w:rPr>
            <w:rStyle w:val="Hyperlink"/>
            <w:b/>
            <w:i/>
            <w:sz w:val="28"/>
          </w:rPr>
          <w:t>Vykonávanie makroregionálnych stratégií EÚ – 5. správa</w:t>
        </w:r>
      </w:hyperlink>
    </w:p>
    <w:p w14:paraId="6D1E8521" w14:textId="77777777" w:rsidR="00612898" w:rsidRPr="00645757" w:rsidRDefault="00612898" w:rsidP="00612898">
      <w:pPr>
        <w:widowControl w:val="0"/>
        <w:overflowPunct w:val="0"/>
        <w:autoSpaceDE w:val="0"/>
        <w:autoSpaceDN w:val="0"/>
        <w:adjustRightInd w:val="0"/>
        <w:ind w:left="284"/>
        <w:textAlignment w:val="baseline"/>
        <w:rPr>
          <w:b/>
          <w:i/>
          <w:iCs/>
          <w:sz w:val="20"/>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5757" w:rsidRPr="00645757" w14:paraId="09B78F5E" w14:textId="77777777" w:rsidTr="000F1E5F">
        <w:tc>
          <w:tcPr>
            <w:tcW w:w="1701" w:type="dxa"/>
          </w:tcPr>
          <w:p w14:paraId="76D70860" w14:textId="77777777" w:rsidR="00645757" w:rsidRPr="00645757" w:rsidRDefault="00645757" w:rsidP="000F1E5F">
            <w:pPr>
              <w:tabs>
                <w:tab w:val="center" w:pos="284"/>
              </w:tabs>
              <w:ind w:left="266" w:hanging="266"/>
              <w:rPr>
                <w:b/>
              </w:rPr>
            </w:pPr>
            <w:r w:rsidRPr="00645757">
              <w:rPr>
                <w:b/>
              </w:rPr>
              <w:t>Spravodajca:</w:t>
            </w:r>
          </w:p>
        </w:tc>
        <w:tc>
          <w:tcPr>
            <w:tcW w:w="7621" w:type="dxa"/>
          </w:tcPr>
          <w:p w14:paraId="326938DF" w14:textId="77777777" w:rsidR="00645757" w:rsidRPr="00645757" w:rsidRDefault="00645757" w:rsidP="000F1E5F">
            <w:pPr>
              <w:tabs>
                <w:tab w:val="center" w:pos="284"/>
              </w:tabs>
              <w:ind w:left="266" w:hanging="266"/>
              <w:rPr>
                <w:bCs/>
              </w:rPr>
            </w:pPr>
            <w:proofErr w:type="spellStart"/>
            <w:r w:rsidRPr="00645757">
              <w:t>Stefano</w:t>
            </w:r>
            <w:proofErr w:type="spellEnd"/>
            <w:r w:rsidRPr="00645757">
              <w:t xml:space="preserve"> PALMIERI (skupina Pracovníci – IT)</w:t>
            </w:r>
          </w:p>
        </w:tc>
      </w:tr>
      <w:tr w:rsidR="00645757" w:rsidRPr="00645757" w14:paraId="3E7FA441" w14:textId="77777777" w:rsidTr="000F1E5F">
        <w:tc>
          <w:tcPr>
            <w:tcW w:w="1701" w:type="dxa"/>
          </w:tcPr>
          <w:p w14:paraId="6203C025" w14:textId="77777777" w:rsidR="00645757" w:rsidRPr="00645757" w:rsidRDefault="00645757" w:rsidP="000F1E5F">
            <w:pPr>
              <w:tabs>
                <w:tab w:val="center" w:pos="284"/>
              </w:tabs>
              <w:ind w:left="266" w:hanging="266"/>
              <w:rPr>
                <w:b/>
              </w:rPr>
            </w:pPr>
            <w:proofErr w:type="spellStart"/>
            <w:r w:rsidRPr="00645757">
              <w:rPr>
                <w:b/>
              </w:rPr>
              <w:t>Ref</w:t>
            </w:r>
            <w:proofErr w:type="spellEnd"/>
            <w:r w:rsidRPr="00645757">
              <w:rPr>
                <w:b/>
              </w:rPr>
              <w:t>.:</w:t>
            </w:r>
          </w:p>
        </w:tc>
        <w:tc>
          <w:tcPr>
            <w:tcW w:w="7621" w:type="dxa"/>
          </w:tcPr>
          <w:p w14:paraId="44EF31B8" w14:textId="77777777" w:rsidR="00645757" w:rsidRPr="00645757" w:rsidRDefault="00645757" w:rsidP="000F1E5F">
            <w:pPr>
              <w:tabs>
                <w:tab w:val="center" w:pos="284"/>
              </w:tabs>
              <w:ind w:left="266" w:hanging="266"/>
            </w:pPr>
            <w:r w:rsidRPr="00645757">
              <w:t xml:space="preserve">COM(2025) 191 </w:t>
            </w:r>
            <w:proofErr w:type="spellStart"/>
            <w:r w:rsidRPr="00645757">
              <w:t>final</w:t>
            </w:r>
            <w:proofErr w:type="spellEnd"/>
            <w:r w:rsidRPr="00645757">
              <w:t xml:space="preserve">, COM(2025) 196 </w:t>
            </w:r>
            <w:proofErr w:type="spellStart"/>
            <w:r w:rsidRPr="00645757">
              <w:t>final</w:t>
            </w:r>
            <w:proofErr w:type="spellEnd"/>
          </w:p>
          <w:p w14:paraId="2753375D" w14:textId="77777777" w:rsidR="00645757" w:rsidRPr="00645757" w:rsidRDefault="00645757" w:rsidP="000F1E5F">
            <w:pPr>
              <w:tabs>
                <w:tab w:val="center" w:pos="284"/>
              </w:tabs>
              <w:ind w:left="266" w:hanging="266"/>
            </w:pPr>
            <w:r w:rsidRPr="00645757">
              <w:t>EESC-2025-02216-00-00-AC-TRA</w:t>
            </w:r>
          </w:p>
        </w:tc>
      </w:tr>
    </w:tbl>
    <w:p w14:paraId="41CD37AA" w14:textId="77777777" w:rsidR="00645757" w:rsidRPr="00645757" w:rsidRDefault="00645757" w:rsidP="00645757">
      <w:pPr>
        <w:keepNext/>
        <w:keepLines/>
        <w:tabs>
          <w:tab w:val="center" w:pos="284"/>
        </w:tabs>
        <w:spacing w:before="120"/>
        <w:ind w:left="266" w:hanging="266"/>
        <w:rPr>
          <w:b/>
        </w:rPr>
      </w:pPr>
      <w:r w:rsidRPr="00645757">
        <w:rPr>
          <w:b/>
        </w:rPr>
        <w:t>Hlavné body</w:t>
      </w:r>
    </w:p>
    <w:p w14:paraId="78DD5DBB" w14:textId="77777777" w:rsidR="00645757" w:rsidRPr="00645757" w:rsidRDefault="00645757" w:rsidP="00645757">
      <w:pPr>
        <w:rPr>
          <w:bCs/>
          <w:iCs/>
        </w:rPr>
      </w:pPr>
      <w:r w:rsidRPr="00645757">
        <w:t>EHSV:</w:t>
      </w:r>
    </w:p>
    <w:p w14:paraId="5F61BB21" w14:textId="3DFFD020"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 xml:space="preserve">uznáva, že </w:t>
      </w:r>
      <w:proofErr w:type="spellStart"/>
      <w:r w:rsidRPr="00645757">
        <w:t>makroregionálne</w:t>
      </w:r>
      <w:proofErr w:type="spellEnd"/>
      <w:r w:rsidRPr="00645757">
        <w:t xml:space="preserve"> stratégie prispievajú</w:t>
      </w:r>
      <w:r>
        <w:t xml:space="preserve"> k </w:t>
      </w:r>
      <w:r w:rsidRPr="00645757">
        <w:t>vytváraniu viacúrovňových synergií medzi politikami, programami</w:t>
      </w:r>
      <w:r>
        <w:t xml:space="preserve"> a </w:t>
      </w:r>
      <w:r w:rsidRPr="00645757">
        <w:t>aktérmi. Podporujú zelenú</w:t>
      </w:r>
      <w:r>
        <w:t xml:space="preserve"> a </w:t>
      </w:r>
      <w:r w:rsidRPr="00645757">
        <w:t>digitálnu transformáciu</w:t>
      </w:r>
      <w:r>
        <w:t xml:space="preserve"> a </w:t>
      </w:r>
      <w:r w:rsidRPr="00645757">
        <w:t>počas pandémie</w:t>
      </w:r>
      <w:r>
        <w:t xml:space="preserve"> a </w:t>
      </w:r>
      <w:r w:rsidRPr="00645757">
        <w:t>prebiehajúcich kríz výraznou mierou pomohli posilniť odolnosť</w:t>
      </w:r>
      <w:r>
        <w:t xml:space="preserve"> a </w:t>
      </w:r>
      <w:r w:rsidRPr="00645757">
        <w:t>solidaritu;</w:t>
      </w:r>
    </w:p>
    <w:p w14:paraId="4354C5EB" w14:textId="48369600"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vyzýva na posilnenie vertikálneho</w:t>
      </w:r>
      <w:r>
        <w:t xml:space="preserve"> a </w:t>
      </w:r>
      <w:r w:rsidRPr="00645757">
        <w:t>horizontálneho viacúrovňového riadenia zabezpečením zapojenia miestnych štruktúr;</w:t>
      </w:r>
    </w:p>
    <w:p w14:paraId="2639958D" w14:textId="386BDC2D"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víta revízie</w:t>
      </w:r>
      <w:r>
        <w:t xml:space="preserve"> a </w:t>
      </w:r>
      <w:r w:rsidRPr="00645757">
        <w:t>vyzýva na posilnenie sociálneho rozmeru, participácie občanov (vrátane mladých ľudí)</w:t>
      </w:r>
      <w:r>
        <w:t xml:space="preserve"> a </w:t>
      </w:r>
      <w:r w:rsidRPr="00645757">
        <w:t xml:space="preserve">medziregionálnej spolupráce. </w:t>
      </w:r>
      <w:proofErr w:type="spellStart"/>
      <w:r w:rsidRPr="00645757">
        <w:t>Makroregionálne</w:t>
      </w:r>
      <w:proofErr w:type="spellEnd"/>
      <w:r w:rsidRPr="00645757">
        <w:t xml:space="preserve"> stratégie musia byť laboratóriami sociálneho začlenenia</w:t>
      </w:r>
      <w:r>
        <w:t xml:space="preserve"> a </w:t>
      </w:r>
      <w:r w:rsidRPr="00645757">
        <w:t>sociálnej inovácie</w:t>
      </w:r>
      <w:r>
        <w:t xml:space="preserve"> a </w:t>
      </w:r>
      <w:r w:rsidRPr="00645757">
        <w:t>podporovať environmentálne zdaňovanie</w:t>
      </w:r>
      <w:r>
        <w:t xml:space="preserve"> a </w:t>
      </w:r>
      <w:r w:rsidRPr="00645757">
        <w:t>ľudský kapitál;</w:t>
      </w:r>
    </w:p>
    <w:p w14:paraId="0A2AF926" w14:textId="1BC5528A"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berie na vedomie výsledky makroregionálnej stratégie pre Baltské more (EUSBSR), ktorá podporuje udržateľnosť</w:t>
      </w:r>
      <w:r>
        <w:t xml:space="preserve"> a </w:t>
      </w:r>
      <w:r w:rsidRPr="00645757">
        <w:t>prepojenia</w:t>
      </w:r>
      <w:r>
        <w:t xml:space="preserve"> v </w:t>
      </w:r>
      <w:r w:rsidRPr="00645757">
        <w:t>Baltskom mori. Revíziou</w:t>
      </w:r>
      <w:r>
        <w:t xml:space="preserve"> v </w:t>
      </w:r>
      <w:r w:rsidRPr="00645757">
        <w:t>roku 2021,</w:t>
      </w:r>
      <w:r>
        <w:t xml:space="preserve"> v </w:t>
      </w:r>
      <w:r w:rsidRPr="00645757">
        <w:t>rámci ktorej sa vytvorilo kontaktné miesto stratégie pre región Baltského mora, sa posilnila spolupráca</w:t>
      </w:r>
      <w:r>
        <w:t xml:space="preserve"> a </w:t>
      </w:r>
      <w:r w:rsidRPr="00645757">
        <w:t>riadenie. Hoci sa vzťahy</w:t>
      </w:r>
      <w:r>
        <w:t xml:space="preserve"> s </w:t>
      </w:r>
      <w:r w:rsidRPr="00645757">
        <w:t>Ruskom</w:t>
      </w:r>
      <w:r>
        <w:t xml:space="preserve"> a </w:t>
      </w:r>
      <w:r w:rsidRPr="00645757">
        <w:t>Bieloruskom pozastavili, stratégia zostáva</w:t>
      </w:r>
      <w:r>
        <w:t xml:space="preserve"> v </w:t>
      </w:r>
      <w:r w:rsidRPr="00645757">
        <w:t>platnosti;</w:t>
      </w:r>
    </w:p>
    <w:p w14:paraId="2DA4DFC0" w14:textId="1CBB3D2D"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poukazuje na pokrok dosiahnutý</w:t>
      </w:r>
      <w:r>
        <w:t xml:space="preserve"> v </w:t>
      </w:r>
      <w:r w:rsidRPr="00645757">
        <w:t>rámci makroregionálnej stratégie pre podunajskú oblasť (EUSDR). Revízia</w:t>
      </w:r>
      <w:r>
        <w:t xml:space="preserve"> v </w:t>
      </w:r>
      <w:r w:rsidRPr="00645757">
        <w:t>roku 2020 posilnila jej koherentnosť</w:t>
      </w:r>
      <w:r>
        <w:t xml:space="preserve"> s </w:t>
      </w:r>
      <w:r w:rsidRPr="00645757">
        <w:t>prioritami EÚ</w:t>
      </w:r>
      <w:r>
        <w:t xml:space="preserve"> a </w:t>
      </w:r>
      <w:r w:rsidRPr="00645757">
        <w:t>zapojenie mládeže, hoci existujú rozdiely</w:t>
      </w:r>
      <w:r>
        <w:t xml:space="preserve"> a </w:t>
      </w:r>
      <w:r w:rsidRPr="00645757">
        <w:t>miera politickej angažovanosti nie je rovnaká. Predsedníctva stimulovali inováciu</w:t>
      </w:r>
      <w:r>
        <w:t xml:space="preserve"> a </w:t>
      </w:r>
      <w:r w:rsidRPr="00645757">
        <w:t>správu;</w:t>
      </w:r>
    </w:p>
    <w:p w14:paraId="2928A464" w14:textId="3BD56791"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vyzdvihuje výsledky makroregionálnej stratégie pre región Jadranského</w:t>
      </w:r>
      <w:r>
        <w:t xml:space="preserve"> a </w:t>
      </w:r>
      <w:r w:rsidRPr="00645757">
        <w:t>Iónskeho mora (EUSAIR), ktorej akčný plán bol nedávno aktualizovaný zavedením piateho, sociálneho piliera. Stratégia zahŕňa rozširovanie, obehové hospodárstvo</w:t>
      </w:r>
      <w:r>
        <w:t xml:space="preserve"> a </w:t>
      </w:r>
      <w:r w:rsidRPr="00645757">
        <w:t>digitalizáciu</w:t>
      </w:r>
      <w:r>
        <w:t xml:space="preserve"> a </w:t>
      </w:r>
      <w:r w:rsidRPr="00645757">
        <w:t>posilňuje partnerstvá</w:t>
      </w:r>
      <w:r>
        <w:t xml:space="preserve"> a </w:t>
      </w:r>
      <w:r w:rsidRPr="00645757">
        <w:t>odolnosť;</w:t>
      </w:r>
    </w:p>
    <w:p w14:paraId="1737496D" w14:textId="38BB733C"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 xml:space="preserve">pozitívne hodnotí </w:t>
      </w:r>
      <w:proofErr w:type="spellStart"/>
      <w:r w:rsidRPr="00645757">
        <w:t>makroregionálnu</w:t>
      </w:r>
      <w:proofErr w:type="spellEnd"/>
      <w:r w:rsidRPr="00645757">
        <w:t xml:space="preserve"> stratégiu pre alpský región (EUSALP), ktorá upevnila spoluprácu</w:t>
      </w:r>
      <w:r>
        <w:t xml:space="preserve"> a </w:t>
      </w:r>
      <w:r w:rsidRPr="00645757">
        <w:t>stabilnú správu</w:t>
      </w:r>
      <w:r>
        <w:t xml:space="preserve"> a </w:t>
      </w:r>
      <w:r w:rsidRPr="00645757">
        <w:t>umožňuje zapojenie tretích krajín. Revíziou sa integrujú priority</w:t>
      </w:r>
      <w:r>
        <w:t xml:space="preserve"> v </w:t>
      </w:r>
      <w:r w:rsidRPr="00645757">
        <w:t>oblasti digitalizácie, energetiky, vodných zdrojov</w:t>
      </w:r>
      <w:r>
        <w:t xml:space="preserve"> a </w:t>
      </w:r>
      <w:r w:rsidRPr="00645757">
        <w:t>obehového hospodárstva;</w:t>
      </w:r>
    </w:p>
    <w:p w14:paraId="3F089DCF" w14:textId="46BEB7B9"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konštatuje, že rozšírenie EÚ</w:t>
      </w:r>
      <w:r>
        <w:t xml:space="preserve"> o </w:t>
      </w:r>
      <w:r w:rsidRPr="00645757">
        <w:t>krajiny západného Balkánu, Ukrajinu</w:t>
      </w:r>
      <w:r>
        <w:t xml:space="preserve"> a </w:t>
      </w:r>
      <w:r w:rsidRPr="00645757">
        <w:t>Moldavsko je strategickou prioritou</w:t>
      </w:r>
      <w:r>
        <w:t xml:space="preserve"> a </w:t>
      </w:r>
      <w:r w:rsidRPr="00645757">
        <w:t xml:space="preserve">že </w:t>
      </w:r>
      <w:proofErr w:type="spellStart"/>
      <w:r w:rsidRPr="00645757">
        <w:t>makroregionálne</w:t>
      </w:r>
      <w:proofErr w:type="spellEnd"/>
      <w:r w:rsidRPr="00645757">
        <w:t xml:space="preserve"> stratégie majú potenciál zlepšiť spoluprácu</w:t>
      </w:r>
      <w:r>
        <w:t xml:space="preserve"> a </w:t>
      </w:r>
      <w:r w:rsidRPr="00645757">
        <w:t>inštitucionálne kapacity;</w:t>
      </w:r>
    </w:p>
    <w:p w14:paraId="489AE56A" w14:textId="634DF34F"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poukazuje na to, že vojenská agresia Ruska proti Ukrajine potvrdila úlohu makroregionálnych stratégií ako nástrojov solidarity</w:t>
      </w:r>
      <w:r>
        <w:t xml:space="preserve"> a </w:t>
      </w:r>
      <w:r w:rsidRPr="00645757">
        <w:t>odolnosti;</w:t>
      </w:r>
    </w:p>
    <w:p w14:paraId="795FFDD4" w14:textId="72E864D0"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považuje za rozhodujúce, že sa</w:t>
      </w:r>
      <w:r>
        <w:t xml:space="preserve"> v </w:t>
      </w:r>
      <w:r w:rsidRPr="00645757">
        <w:t>makroregionálnych stratégiách uplatňuje miestne orientovaný prístup</w:t>
      </w:r>
      <w:r>
        <w:t xml:space="preserve"> a </w:t>
      </w:r>
      <w:r w:rsidRPr="00645757">
        <w:t>že sa európske priority prispôsobujú územným špecifikám</w:t>
      </w:r>
      <w:r>
        <w:t xml:space="preserve"> a </w:t>
      </w:r>
      <w:r w:rsidRPr="00645757">
        <w:t>podporuje sa súdržnosť prostredníctvom nástrojov, ako sú miestny rozvoj vedený komunitou</w:t>
      </w:r>
      <w:r>
        <w:t xml:space="preserve"> a </w:t>
      </w:r>
      <w:r w:rsidRPr="00645757">
        <w:t>inovačné iniciatívy, napríklad na podporu participácie občanov</w:t>
      </w:r>
      <w:r>
        <w:t xml:space="preserve"> a </w:t>
      </w:r>
      <w:r w:rsidRPr="00645757">
        <w:t>zapojenia mládeže;</w:t>
      </w:r>
    </w:p>
    <w:p w14:paraId="7299A48D" w14:textId="5B54E243"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lastRenderedPageBreak/>
        <w:t>vyzýva na posilnenie riadenia</w:t>
      </w:r>
      <w:r>
        <w:t xml:space="preserve"> a </w:t>
      </w:r>
      <w:r w:rsidRPr="00645757">
        <w:t>financovania, pričom by sa priority makroregionálnych stratégií mali začleniť do hlavných programov EÚ. Je potrebné zlepšiť miestne zručnosti, posilniť partnerstvá</w:t>
      </w:r>
      <w:r>
        <w:t xml:space="preserve"> a </w:t>
      </w:r>
      <w:r w:rsidRPr="00645757">
        <w:t>aktívne zapojiť občiansku spoločnosť</w:t>
      </w:r>
      <w:r>
        <w:t xml:space="preserve"> a </w:t>
      </w:r>
      <w:r w:rsidRPr="00645757">
        <w:t>mladých ľudí;</w:t>
      </w:r>
    </w:p>
    <w:p w14:paraId="0B4A9CDA" w14:textId="357F4C6B"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zastáva názor, že nový viacročný finančný rámec (VFR) na roky 2028 – 2034 predstavuje určité riziká pre riadne fungovanie makroregionálnych stratégií. Je preto nevyhnutné, aby sa priority</w:t>
      </w:r>
      <w:r>
        <w:t xml:space="preserve"> v </w:t>
      </w:r>
      <w:r w:rsidRPr="00645757">
        <w:t>oblasti makroregionálnych stratégií zahrnuli do plánov partnerstiev;</w:t>
      </w:r>
    </w:p>
    <w:p w14:paraId="487012C3" w14:textId="55D8E699"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zdôrazňuje, že</w:t>
      </w:r>
      <w:r>
        <w:t xml:space="preserve"> v </w:t>
      </w:r>
      <w:r w:rsidRPr="00645757">
        <w:t>inštitúciách zapojených do makroregionálnych stratégií treba zaistiť transparentné</w:t>
      </w:r>
      <w:r>
        <w:t xml:space="preserve"> a </w:t>
      </w:r>
      <w:r w:rsidRPr="00645757">
        <w:t>zodpovedné riadenie bez korupcie;</w:t>
      </w:r>
    </w:p>
    <w:p w14:paraId="0E8CAC31" w14:textId="6C7B627A" w:rsidR="00645757" w:rsidRPr="00645757" w:rsidRDefault="0064575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vyzýva na vytvorenie nového </w:t>
      </w:r>
      <w:proofErr w:type="spellStart"/>
      <w:r w:rsidRPr="00645757">
        <w:t>makroregiónu</w:t>
      </w:r>
      <w:proofErr w:type="spellEnd"/>
      <w:r>
        <w:t xml:space="preserve"> v </w:t>
      </w:r>
      <w:r w:rsidRPr="00645757">
        <w:t>Stredozemí</w:t>
      </w:r>
      <w:r>
        <w:t xml:space="preserve"> s </w:t>
      </w:r>
      <w:r w:rsidRPr="00645757">
        <w:t>cieľom riešiť spoločné výzvy, ako sú zmena klímy, migračné toky, energetická transformácia</w:t>
      </w:r>
      <w:r>
        <w:t xml:space="preserve"> a </w:t>
      </w:r>
      <w:r w:rsidRPr="00645757">
        <w:t>modrá udržateľnosť.</w:t>
      </w:r>
    </w:p>
    <w:p w14:paraId="45B6961D" w14:textId="77777777" w:rsidR="00645757" w:rsidRPr="00645757" w:rsidRDefault="00645757" w:rsidP="00645757">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45757" w:rsidRPr="00645757" w14:paraId="2CF86023" w14:textId="77777777" w:rsidTr="000F1E5F">
        <w:tc>
          <w:tcPr>
            <w:tcW w:w="1418" w:type="dxa"/>
          </w:tcPr>
          <w:p w14:paraId="08A9A6DD" w14:textId="77777777" w:rsidR="00645757" w:rsidRPr="00645757" w:rsidRDefault="00645757" w:rsidP="000F1E5F">
            <w:pPr>
              <w:rPr>
                <w:i/>
              </w:rPr>
            </w:pPr>
            <w:r w:rsidRPr="00645757">
              <w:rPr>
                <w:b/>
                <w:i/>
              </w:rPr>
              <w:t>Kontakt:</w:t>
            </w:r>
          </w:p>
        </w:tc>
        <w:tc>
          <w:tcPr>
            <w:tcW w:w="7904" w:type="dxa"/>
          </w:tcPr>
          <w:p w14:paraId="6F7314F8" w14:textId="77777777" w:rsidR="00645757" w:rsidRPr="00645757" w:rsidRDefault="00645757" w:rsidP="000F1E5F">
            <w:pPr>
              <w:rPr>
                <w:i/>
              </w:rPr>
            </w:pPr>
            <w:proofErr w:type="spellStart"/>
            <w:r w:rsidRPr="00645757">
              <w:rPr>
                <w:i/>
              </w:rPr>
              <w:t>Georgios</w:t>
            </w:r>
            <w:proofErr w:type="spellEnd"/>
            <w:r w:rsidRPr="00645757">
              <w:rPr>
                <w:i/>
              </w:rPr>
              <w:t xml:space="preserve"> MELEAS</w:t>
            </w:r>
          </w:p>
        </w:tc>
      </w:tr>
      <w:tr w:rsidR="00645757" w:rsidRPr="00645757" w14:paraId="330C608B" w14:textId="77777777" w:rsidTr="000F1E5F">
        <w:tc>
          <w:tcPr>
            <w:tcW w:w="1418" w:type="dxa"/>
          </w:tcPr>
          <w:p w14:paraId="4F8CE3DF" w14:textId="77777777" w:rsidR="00645757" w:rsidRPr="00645757" w:rsidRDefault="00645757" w:rsidP="000F1E5F">
            <w:pPr>
              <w:rPr>
                <w:i/>
              </w:rPr>
            </w:pPr>
            <w:r w:rsidRPr="00645757">
              <w:rPr>
                <w:i/>
              </w:rPr>
              <w:t>Tel.:</w:t>
            </w:r>
          </w:p>
        </w:tc>
        <w:tc>
          <w:tcPr>
            <w:tcW w:w="7904" w:type="dxa"/>
          </w:tcPr>
          <w:p w14:paraId="6B0ED4F3" w14:textId="77777777" w:rsidR="00645757" w:rsidRPr="00645757" w:rsidRDefault="00645757" w:rsidP="000F1E5F">
            <w:pPr>
              <w:rPr>
                <w:i/>
              </w:rPr>
            </w:pPr>
            <w:r w:rsidRPr="00645757">
              <w:t>+ 32 25469795</w:t>
            </w:r>
          </w:p>
        </w:tc>
      </w:tr>
      <w:tr w:rsidR="00645757" w:rsidRPr="00645757" w14:paraId="67F0A02D" w14:textId="77777777" w:rsidTr="000F1E5F">
        <w:tc>
          <w:tcPr>
            <w:tcW w:w="1418" w:type="dxa"/>
          </w:tcPr>
          <w:p w14:paraId="7CE08E7B" w14:textId="77777777" w:rsidR="00645757" w:rsidRPr="00645757" w:rsidRDefault="00645757" w:rsidP="000F1E5F">
            <w:pPr>
              <w:rPr>
                <w:i/>
              </w:rPr>
            </w:pPr>
            <w:r w:rsidRPr="00645757">
              <w:rPr>
                <w:i/>
              </w:rPr>
              <w:t>E-mail:</w:t>
            </w:r>
          </w:p>
        </w:tc>
        <w:tc>
          <w:tcPr>
            <w:tcW w:w="7904" w:type="dxa"/>
          </w:tcPr>
          <w:p w14:paraId="4DC70AA8" w14:textId="77777777" w:rsidR="00645757" w:rsidRPr="00645757" w:rsidRDefault="00645757" w:rsidP="000F1E5F">
            <w:pPr>
              <w:rPr>
                <w:i/>
                <w:iCs/>
              </w:rPr>
            </w:pPr>
            <w:hyperlink r:id="rId16" w:history="1">
              <w:r w:rsidRPr="00645757">
                <w:rPr>
                  <w:rStyle w:val="Hyperlink"/>
                  <w:i/>
                </w:rPr>
                <w:t>Georgios.Meleas@eesc.europa.eu</w:t>
              </w:r>
            </w:hyperlink>
          </w:p>
        </w:tc>
      </w:tr>
    </w:tbl>
    <w:p w14:paraId="4982DD96" w14:textId="77777777" w:rsidR="004D7AC0" w:rsidRPr="00645757" w:rsidRDefault="004D7AC0" w:rsidP="004D7AC0">
      <w:pPr>
        <w:pStyle w:val="ListParagraph"/>
        <w:ind w:left="0"/>
      </w:pPr>
    </w:p>
    <w:p w14:paraId="4B3225FD" w14:textId="7BC147ED" w:rsidR="00C82E34" w:rsidRPr="00645757" w:rsidRDefault="00612898" w:rsidP="00CB245F">
      <w:pPr>
        <w:widowControl w:val="0"/>
        <w:numPr>
          <w:ilvl w:val="0"/>
          <w:numId w:val="4"/>
        </w:numPr>
        <w:overflowPunct w:val="0"/>
        <w:autoSpaceDE w:val="0"/>
        <w:autoSpaceDN w:val="0"/>
        <w:adjustRightInd w:val="0"/>
        <w:spacing w:after="120"/>
        <w:ind w:hanging="567"/>
        <w:textAlignment w:val="baseline"/>
        <w:rPr>
          <w:b/>
          <w:i/>
          <w:iCs/>
          <w:sz w:val="28"/>
          <w:szCs w:val="28"/>
        </w:rPr>
      </w:pPr>
      <w:r w:rsidRPr="00645757">
        <w:br w:type="page"/>
      </w:r>
      <w:hyperlink r:id="rId17" w:history="1">
        <w:r w:rsidR="00645757" w:rsidRPr="00645757">
          <w:rPr>
            <w:rStyle w:val="Hyperlink"/>
            <w:b/>
            <w:i/>
            <w:sz w:val="28"/>
          </w:rPr>
          <w:t>Zriadenie Európskeho fondu regionálneho rozvoja vrátane Európskej územnej spolupráce (</w:t>
        </w:r>
        <w:proofErr w:type="spellStart"/>
        <w:r w:rsidR="00645757" w:rsidRPr="00645757">
          <w:rPr>
            <w:rStyle w:val="Hyperlink"/>
            <w:b/>
            <w:i/>
            <w:sz w:val="28"/>
          </w:rPr>
          <w:t>Interreg</w:t>
        </w:r>
        <w:proofErr w:type="spellEnd"/>
        <w:r w:rsidR="00645757" w:rsidRPr="00645757">
          <w:rPr>
            <w:rStyle w:val="Hyperlink"/>
            <w:b/>
            <w:i/>
            <w:sz w:val="28"/>
          </w:rPr>
          <w:t>)</w:t>
        </w:r>
        <w:r w:rsidR="00645757">
          <w:rPr>
            <w:rStyle w:val="Hyperlink"/>
            <w:b/>
            <w:i/>
            <w:sz w:val="28"/>
          </w:rPr>
          <w:t xml:space="preserve"> a </w:t>
        </w:r>
        <w:r w:rsidR="00645757" w:rsidRPr="00645757">
          <w:rPr>
            <w:rStyle w:val="Hyperlink"/>
            <w:b/>
            <w:i/>
            <w:sz w:val="28"/>
          </w:rPr>
          <w:t>Kohézneho fondu</w:t>
        </w:r>
      </w:hyperlink>
    </w:p>
    <w:p w14:paraId="5DE846E1" w14:textId="77777777" w:rsidR="00C82E34" w:rsidRPr="00645757" w:rsidRDefault="00C82E34" w:rsidP="00C82E34">
      <w:pPr>
        <w:widowControl w:val="0"/>
        <w:overflowPunct w:val="0"/>
        <w:autoSpaceDE w:val="0"/>
        <w:autoSpaceDN w:val="0"/>
        <w:adjustRightInd w:val="0"/>
        <w:ind w:left="284"/>
        <w:textAlignment w:val="baseline"/>
        <w:rPr>
          <w:b/>
          <w:i/>
          <w:iCs/>
          <w:sz w:val="20"/>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5757" w:rsidRPr="00645757" w14:paraId="60FBA9C0" w14:textId="77777777" w:rsidTr="000F1E5F">
        <w:tc>
          <w:tcPr>
            <w:tcW w:w="1701" w:type="dxa"/>
          </w:tcPr>
          <w:p w14:paraId="63DAC611" w14:textId="77777777" w:rsidR="00645757" w:rsidRPr="00645757" w:rsidRDefault="00645757" w:rsidP="000F1E5F">
            <w:pPr>
              <w:tabs>
                <w:tab w:val="center" w:pos="284"/>
              </w:tabs>
              <w:ind w:left="266" w:hanging="266"/>
              <w:rPr>
                <w:b/>
              </w:rPr>
            </w:pPr>
            <w:r w:rsidRPr="00645757">
              <w:rPr>
                <w:b/>
              </w:rPr>
              <w:t>Spravodajca:</w:t>
            </w:r>
          </w:p>
        </w:tc>
        <w:tc>
          <w:tcPr>
            <w:tcW w:w="7621" w:type="dxa"/>
          </w:tcPr>
          <w:p w14:paraId="5AED69AB" w14:textId="77777777" w:rsidR="00645757" w:rsidRPr="00645757" w:rsidRDefault="00645757" w:rsidP="000F1E5F">
            <w:pPr>
              <w:tabs>
                <w:tab w:val="center" w:pos="284"/>
              </w:tabs>
              <w:ind w:left="266" w:hanging="266"/>
              <w:rPr>
                <w:bCs/>
              </w:rPr>
            </w:pPr>
            <w:r w:rsidRPr="00645757">
              <w:t>David SVENTEK (skupina Zamestnávatelia – CZ)</w:t>
            </w:r>
          </w:p>
        </w:tc>
      </w:tr>
      <w:tr w:rsidR="00645757" w:rsidRPr="00645757" w14:paraId="2EEF34AC" w14:textId="77777777" w:rsidTr="000F1E5F">
        <w:tc>
          <w:tcPr>
            <w:tcW w:w="1701" w:type="dxa"/>
          </w:tcPr>
          <w:p w14:paraId="31AC026B" w14:textId="77777777" w:rsidR="00645757" w:rsidRPr="00645757" w:rsidRDefault="00645757" w:rsidP="000F1E5F">
            <w:pPr>
              <w:tabs>
                <w:tab w:val="center" w:pos="284"/>
              </w:tabs>
              <w:ind w:left="266" w:hanging="266"/>
              <w:rPr>
                <w:b/>
              </w:rPr>
            </w:pPr>
            <w:proofErr w:type="spellStart"/>
            <w:r w:rsidRPr="00645757">
              <w:rPr>
                <w:b/>
              </w:rPr>
              <w:t>Ref</w:t>
            </w:r>
            <w:proofErr w:type="spellEnd"/>
            <w:r w:rsidRPr="00645757">
              <w:rPr>
                <w:b/>
              </w:rPr>
              <w:t>.:</w:t>
            </w:r>
          </w:p>
        </w:tc>
        <w:tc>
          <w:tcPr>
            <w:tcW w:w="7621" w:type="dxa"/>
          </w:tcPr>
          <w:p w14:paraId="2EE58A47" w14:textId="77777777" w:rsidR="00645757" w:rsidRPr="00645757" w:rsidRDefault="00645757" w:rsidP="000F1E5F">
            <w:pPr>
              <w:tabs>
                <w:tab w:val="center" w:pos="284"/>
              </w:tabs>
              <w:ind w:left="266" w:hanging="266"/>
            </w:pPr>
            <w:r w:rsidRPr="00645757">
              <w:t xml:space="preserve">COM(2025) 552 </w:t>
            </w:r>
            <w:proofErr w:type="spellStart"/>
            <w:r w:rsidRPr="00645757">
              <w:t>final</w:t>
            </w:r>
            <w:proofErr w:type="spellEnd"/>
          </w:p>
          <w:p w14:paraId="36F6A39B" w14:textId="77777777" w:rsidR="00645757" w:rsidRPr="00645757" w:rsidRDefault="00645757" w:rsidP="000F1E5F">
            <w:pPr>
              <w:tabs>
                <w:tab w:val="center" w:pos="284"/>
              </w:tabs>
              <w:ind w:left="266" w:hanging="266"/>
            </w:pPr>
            <w:r w:rsidRPr="00645757">
              <w:t>EESC-2025-03305-00-00-AC-TRA</w:t>
            </w:r>
          </w:p>
        </w:tc>
      </w:tr>
    </w:tbl>
    <w:p w14:paraId="29C46947" w14:textId="77777777" w:rsidR="00645757" w:rsidRPr="00645757" w:rsidRDefault="00645757" w:rsidP="00645757">
      <w:pPr>
        <w:keepNext/>
        <w:keepLines/>
        <w:tabs>
          <w:tab w:val="center" w:pos="284"/>
        </w:tabs>
        <w:spacing w:before="120"/>
        <w:ind w:left="266" w:hanging="266"/>
        <w:rPr>
          <w:b/>
        </w:rPr>
      </w:pPr>
      <w:r w:rsidRPr="00645757">
        <w:rPr>
          <w:b/>
        </w:rPr>
        <w:t>Hlavné body</w:t>
      </w:r>
    </w:p>
    <w:p w14:paraId="6F078482" w14:textId="77777777" w:rsidR="00645757" w:rsidRPr="00645757" w:rsidRDefault="00645757" w:rsidP="00645757">
      <w:pPr>
        <w:rPr>
          <w:bCs/>
          <w:iCs/>
        </w:rPr>
      </w:pPr>
      <w:r w:rsidRPr="00645757">
        <w:t>EHSV:</w:t>
      </w:r>
    </w:p>
    <w:p w14:paraId="0E736684" w14:textId="556A7B3A"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zdôrazňuje, že potreba zmenšiť regionálne</w:t>
      </w:r>
      <w:r>
        <w:t xml:space="preserve"> a </w:t>
      </w:r>
      <w:r w:rsidRPr="00645757">
        <w:t>územné rozdiely zostáva jednou</w:t>
      </w:r>
      <w:r>
        <w:t xml:space="preserve"> z </w:t>
      </w:r>
      <w:r w:rsidRPr="00645757">
        <w:t>kľúčových priorít integrácie EÚ</w:t>
      </w:r>
      <w:r>
        <w:t xml:space="preserve"> a </w:t>
      </w:r>
      <w:r w:rsidRPr="00645757">
        <w:t>že využívanie tradičných, osvedčených</w:t>
      </w:r>
      <w:r>
        <w:t xml:space="preserve"> a </w:t>
      </w:r>
      <w:r w:rsidRPr="00645757">
        <w:t>účinných nástrojov politiky súdržnosti je správnou cestou</w:t>
      </w:r>
      <w:r>
        <w:t xml:space="preserve"> k </w:t>
      </w:r>
      <w:r w:rsidRPr="00645757">
        <w:t>podpore udržateľnej prosperity vo všetkých regiónoch EÚ;</w:t>
      </w:r>
    </w:p>
    <w:p w14:paraId="7C309005" w14:textId="3B1D9CE2"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odporúča objasniť úlohu Európskeho fondu regionálneho rozvoja (EFRR)</w:t>
      </w:r>
      <w:r>
        <w:t xml:space="preserve"> a </w:t>
      </w:r>
      <w:r w:rsidRPr="00645757">
        <w:t>Kohézneho fondu (KF)</w:t>
      </w:r>
      <w:r>
        <w:t xml:space="preserve"> v </w:t>
      </w:r>
      <w:r w:rsidRPr="00645757">
        <w:t>rámci Fondu pre národné</w:t>
      </w:r>
      <w:r>
        <w:t xml:space="preserve"> a </w:t>
      </w:r>
      <w:r w:rsidRPr="00645757">
        <w:t>regionálne partnerstvá (NRPF),</w:t>
      </w:r>
      <w:r>
        <w:t xml:space="preserve"> a </w:t>
      </w:r>
      <w:r w:rsidRPr="00645757">
        <w:t>to nielen prostredníctvom všeobecných</w:t>
      </w:r>
      <w:r>
        <w:t xml:space="preserve"> a </w:t>
      </w:r>
      <w:r w:rsidRPr="00645757">
        <w:t>špecifických cieľov, ale aj konkrétnym rozpracovaním nariadenia. Uvítal by, keby sa návrh nariadenia, ktorého sa týka toto stanovisko, rozpracoval</w:t>
      </w:r>
      <w:r>
        <w:t xml:space="preserve"> a </w:t>
      </w:r>
      <w:r w:rsidRPr="00645757">
        <w:t>doplnil aspoň</w:t>
      </w:r>
      <w:r>
        <w:t xml:space="preserve"> o </w:t>
      </w:r>
      <w:r w:rsidRPr="00645757">
        <w:t>prílohu obsahujúcu usmernenia</w:t>
      </w:r>
      <w:r>
        <w:t xml:space="preserve"> o </w:t>
      </w:r>
      <w:r w:rsidRPr="00645757">
        <w:t>tom, ako EFRR</w:t>
      </w:r>
      <w:r>
        <w:t xml:space="preserve"> a </w:t>
      </w:r>
      <w:r w:rsidRPr="00645757">
        <w:t>KF účinne začleniť do NRPF;</w:t>
      </w:r>
    </w:p>
    <w:p w14:paraId="6E120740" w14:textId="16DC93D6"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trvá na tom, že nové opatrenia by nemali zmenšovať význam</w:t>
      </w:r>
      <w:r>
        <w:t xml:space="preserve"> a </w:t>
      </w:r>
      <w:r w:rsidRPr="00645757">
        <w:t>obmedzovať poslanie EFRR</w:t>
      </w:r>
      <w:r>
        <w:t xml:space="preserve"> a </w:t>
      </w:r>
      <w:r w:rsidRPr="00645757">
        <w:t>KF, najmä pokiaľ ide</w:t>
      </w:r>
      <w:r>
        <w:t xml:space="preserve"> o </w:t>
      </w:r>
      <w:r w:rsidRPr="00645757">
        <w:t>podporu rozvoja zaostávajúcich regiónov</w:t>
      </w:r>
      <w:r>
        <w:t xml:space="preserve"> a </w:t>
      </w:r>
      <w:r w:rsidRPr="00645757">
        <w:t>transformáciu priemyselných oblastí. Okrem toho zdôrazňuje význam zásady partnerstva pri navrhovaní budúcich programov;</w:t>
      </w:r>
    </w:p>
    <w:p w14:paraId="44AD10C5" w14:textId="1464A4DD"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súhlasí</w:t>
      </w:r>
      <w:r>
        <w:t xml:space="preserve"> s </w:t>
      </w:r>
      <w:r w:rsidRPr="00645757">
        <w:t>obsahom</w:t>
      </w:r>
      <w:r>
        <w:t xml:space="preserve"> a </w:t>
      </w:r>
      <w:r w:rsidRPr="00645757">
        <w:t xml:space="preserve">tematickým zameraním budúceho programu </w:t>
      </w:r>
      <w:proofErr w:type="spellStart"/>
      <w:r w:rsidRPr="00645757">
        <w:t>Interreg</w:t>
      </w:r>
      <w:proofErr w:type="spellEnd"/>
      <w:r>
        <w:t xml:space="preserve"> a </w:t>
      </w:r>
      <w:r w:rsidRPr="00645757">
        <w:t>jeho synergiami</w:t>
      </w:r>
      <w:r>
        <w:t xml:space="preserve"> s </w:t>
      </w:r>
      <w:r w:rsidRPr="00645757">
        <w:t>programom Globálna Európa</w:t>
      </w:r>
      <w:r>
        <w:t xml:space="preserve"> v </w:t>
      </w:r>
      <w:r w:rsidRPr="00645757">
        <w:t>konkrétnych navrhovaných prípadoch;</w:t>
      </w:r>
    </w:p>
    <w:p w14:paraId="3E692C69" w14:textId="74A5B33B"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vo všeobecnosti súhlasí</w:t>
      </w:r>
      <w:r>
        <w:t xml:space="preserve"> s </w:t>
      </w:r>
      <w:r w:rsidRPr="00645757">
        <w:t>inovatívnym prístupom</w:t>
      </w:r>
      <w:r>
        <w:t xml:space="preserve"> v </w:t>
      </w:r>
      <w:r w:rsidRPr="00645757">
        <w:t>návrhu, pokiaľ ide</w:t>
      </w:r>
      <w:r>
        <w:t xml:space="preserve"> o </w:t>
      </w:r>
      <w:r w:rsidRPr="00645757">
        <w:t xml:space="preserve">budúcnosť zavedeného programu </w:t>
      </w:r>
      <w:proofErr w:type="spellStart"/>
      <w:r w:rsidRPr="00645757">
        <w:t>Interreg</w:t>
      </w:r>
      <w:proofErr w:type="spellEnd"/>
      <w:r>
        <w:t xml:space="preserve"> a </w:t>
      </w:r>
      <w:r w:rsidRPr="00645757">
        <w:t>najmä</w:t>
      </w:r>
      <w:r>
        <w:t xml:space="preserve"> o </w:t>
      </w:r>
      <w:r w:rsidRPr="00645757">
        <w:t xml:space="preserve">prijatie realizačnej štruktúry na úrovni jednotlivých kapitol Plánu </w:t>
      </w:r>
      <w:proofErr w:type="spellStart"/>
      <w:r w:rsidRPr="00645757">
        <w:t>Interreg</w:t>
      </w:r>
      <w:proofErr w:type="spellEnd"/>
      <w:r w:rsidRPr="00645757">
        <w:t>;</w:t>
      </w:r>
    </w:p>
    <w:p w14:paraId="63D97FA0" w14:textId="1394146B"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upozorňuje na riziko, že príslušní regionálni cezhraniční aktéri nebudú schopní dospieť</w:t>
      </w:r>
      <w:r>
        <w:t xml:space="preserve"> k </w:t>
      </w:r>
      <w:r w:rsidRPr="00645757">
        <w:t>dohode, keďže návrh nariadenia nie je veľmi podrobný. Odporúča tiež, aby sa hneď po prijatí nariadenia prijal vykonávací predpis;</w:t>
      </w:r>
    </w:p>
    <w:p w14:paraId="2A0201E8" w14:textId="47E022D7"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odporúča zabezpečiť, aby výklad</w:t>
      </w:r>
      <w:r>
        <w:t xml:space="preserve"> a </w:t>
      </w:r>
      <w:r w:rsidRPr="00645757">
        <w:t>využívanie fondov na úrovni členských štátov boli porovnateľné</w:t>
      </w:r>
      <w:r>
        <w:t xml:space="preserve"> a </w:t>
      </w:r>
      <w:r w:rsidRPr="00645757">
        <w:t>aby medzi členskými štátmi neboli žiadne významné rozdiely;</w:t>
      </w:r>
    </w:p>
    <w:p w14:paraId="2A0FE086" w14:textId="71F14BA9"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 záujme efektívnejšieho využívania finančných prostriedkov podporuje zjednodušenie vykonávania</w:t>
      </w:r>
      <w:r>
        <w:t xml:space="preserve"> a </w:t>
      </w:r>
      <w:r w:rsidRPr="00645757">
        <w:t>administratívnych postupov;</w:t>
      </w:r>
    </w:p>
    <w:p w14:paraId="3E2533D8" w14:textId="6FBC88B0" w:rsidR="00645757" w:rsidRPr="00645757" w:rsidRDefault="00645757" w:rsidP="00CB245F">
      <w:pPr>
        <w:pStyle w:val="ListParagraph"/>
        <w:numPr>
          <w:ilvl w:val="0"/>
          <w:numId w:val="5"/>
        </w:numPr>
        <w:overflowPunct w:val="0"/>
        <w:autoSpaceDE w:val="0"/>
        <w:autoSpaceDN w:val="0"/>
        <w:adjustRightInd w:val="0"/>
        <w:ind w:left="284" w:hanging="284"/>
        <w:textAlignment w:val="baseline"/>
        <w:rPr>
          <w:bCs/>
          <w:iCs/>
        </w:rPr>
      </w:pPr>
      <w:r w:rsidRPr="00645757">
        <w:t>oceňuje, že</w:t>
      </w:r>
      <w:r>
        <w:t xml:space="preserve"> v </w:t>
      </w:r>
      <w:r w:rsidRPr="00645757">
        <w:t>návrhu nariadenia</w:t>
      </w:r>
      <w:r>
        <w:t xml:space="preserve"> o </w:t>
      </w:r>
      <w:r w:rsidRPr="00645757">
        <w:t>EFRR</w:t>
      </w:r>
      <w:r>
        <w:t xml:space="preserve"> a </w:t>
      </w:r>
      <w:r w:rsidRPr="00645757">
        <w:t>KF sa stanovuje aj možnosť podporovať udržateľný rozvoj miest</w:t>
      </w:r>
      <w:r>
        <w:t xml:space="preserve"> a v </w:t>
      </w:r>
      <w:r w:rsidRPr="00645757">
        <w:t>tom istom rámci aj integrované stratégie mestského</w:t>
      </w:r>
      <w:r>
        <w:t xml:space="preserve"> a </w:t>
      </w:r>
      <w:r w:rsidRPr="00645757">
        <w:t>územného rozvoja zamerané na udržateľný rozvoj</w:t>
      </w:r>
      <w:r>
        <w:t xml:space="preserve"> a </w:t>
      </w:r>
      <w:r w:rsidRPr="00645757">
        <w:t>zvládanie výziev</w:t>
      </w:r>
      <w:r>
        <w:t xml:space="preserve"> v </w:t>
      </w:r>
      <w:r w:rsidRPr="00645757">
        <w:t>oblasti životného prostredia, energetiky</w:t>
      </w:r>
      <w:r>
        <w:t xml:space="preserve"> a </w:t>
      </w:r>
      <w:r w:rsidRPr="00645757">
        <w:t>klímy, spravodlivý prechod na čisté, klimaticky neutrálne</w:t>
      </w:r>
      <w:r>
        <w:t xml:space="preserve"> a </w:t>
      </w:r>
      <w:r w:rsidRPr="00645757">
        <w:t>odolné hospodárstvo</w:t>
      </w:r>
      <w:r>
        <w:t xml:space="preserve"> s </w:t>
      </w:r>
      <w:r w:rsidRPr="00645757">
        <w:t>osobitným dôrazom na dostupné bývanie, odstránenie chudoby, kultúrne dedičstvo</w:t>
      </w:r>
      <w:r>
        <w:t xml:space="preserve"> a </w:t>
      </w:r>
      <w:r w:rsidRPr="00645757">
        <w:t>využívanie potenciálu digitálnych technológií na inovácie</w:t>
      </w:r>
      <w:r>
        <w:t xml:space="preserve"> a </w:t>
      </w:r>
      <w:r w:rsidRPr="00645757">
        <w:t>energetickú efektívnosť.</w:t>
      </w:r>
    </w:p>
    <w:p w14:paraId="155EA644" w14:textId="77777777" w:rsidR="00645757" w:rsidRPr="00645757" w:rsidRDefault="00645757" w:rsidP="00645757">
      <w:pPr>
        <w:pStyle w:val="ListParagraph"/>
        <w:overflowPunct w:val="0"/>
        <w:autoSpaceDE w:val="0"/>
        <w:autoSpaceDN w:val="0"/>
        <w:adjustRightInd w:val="0"/>
        <w:ind w:left="360"/>
        <w:textAlignment w:val="baseline"/>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45757" w:rsidRPr="00645757" w14:paraId="0FBF2404" w14:textId="77777777" w:rsidTr="000F1E5F">
        <w:tc>
          <w:tcPr>
            <w:tcW w:w="1418" w:type="dxa"/>
          </w:tcPr>
          <w:p w14:paraId="3442C407" w14:textId="77777777" w:rsidR="00645757" w:rsidRPr="00645757" w:rsidRDefault="00645757" w:rsidP="000F1E5F">
            <w:pPr>
              <w:rPr>
                <w:i/>
              </w:rPr>
            </w:pPr>
            <w:r w:rsidRPr="00645757">
              <w:rPr>
                <w:b/>
                <w:i/>
              </w:rPr>
              <w:t>Kontakt</w:t>
            </w:r>
          </w:p>
        </w:tc>
        <w:tc>
          <w:tcPr>
            <w:tcW w:w="7904" w:type="dxa"/>
          </w:tcPr>
          <w:p w14:paraId="0067233A" w14:textId="77777777" w:rsidR="00645757" w:rsidRPr="00645757" w:rsidRDefault="00645757" w:rsidP="000F1E5F">
            <w:pPr>
              <w:rPr>
                <w:i/>
              </w:rPr>
            </w:pPr>
            <w:proofErr w:type="spellStart"/>
            <w:r w:rsidRPr="00645757">
              <w:rPr>
                <w:i/>
              </w:rPr>
              <w:t>Georgios</w:t>
            </w:r>
            <w:proofErr w:type="spellEnd"/>
            <w:r w:rsidRPr="00645757">
              <w:rPr>
                <w:i/>
              </w:rPr>
              <w:t xml:space="preserve"> MELEAS</w:t>
            </w:r>
          </w:p>
        </w:tc>
      </w:tr>
      <w:tr w:rsidR="00645757" w:rsidRPr="00645757" w14:paraId="2DA8BB78" w14:textId="77777777" w:rsidTr="000F1E5F">
        <w:tc>
          <w:tcPr>
            <w:tcW w:w="1418" w:type="dxa"/>
          </w:tcPr>
          <w:p w14:paraId="32D56CEC" w14:textId="77777777" w:rsidR="00645757" w:rsidRPr="00645757" w:rsidRDefault="00645757" w:rsidP="000F1E5F">
            <w:pPr>
              <w:rPr>
                <w:i/>
              </w:rPr>
            </w:pPr>
            <w:r w:rsidRPr="00645757">
              <w:rPr>
                <w:i/>
              </w:rPr>
              <w:t>Tel.:</w:t>
            </w:r>
          </w:p>
        </w:tc>
        <w:tc>
          <w:tcPr>
            <w:tcW w:w="7904" w:type="dxa"/>
          </w:tcPr>
          <w:p w14:paraId="40C055CF" w14:textId="77777777" w:rsidR="00645757" w:rsidRPr="00645757" w:rsidRDefault="00645757" w:rsidP="000F1E5F">
            <w:pPr>
              <w:rPr>
                <w:i/>
              </w:rPr>
            </w:pPr>
            <w:r w:rsidRPr="00645757">
              <w:rPr>
                <w:i/>
              </w:rPr>
              <w:t>+32 2</w:t>
            </w:r>
            <w:r w:rsidRPr="00645757">
              <w:t xml:space="preserve"> </w:t>
            </w:r>
            <w:r w:rsidRPr="00645757">
              <w:rPr>
                <w:i/>
              </w:rPr>
              <w:t>546 9795</w:t>
            </w:r>
          </w:p>
        </w:tc>
      </w:tr>
      <w:tr w:rsidR="00645757" w:rsidRPr="00645757" w14:paraId="078FAF6E" w14:textId="77777777" w:rsidTr="000F1E5F">
        <w:tc>
          <w:tcPr>
            <w:tcW w:w="1418" w:type="dxa"/>
          </w:tcPr>
          <w:p w14:paraId="3D2CB932" w14:textId="77777777" w:rsidR="00645757" w:rsidRPr="00645757" w:rsidRDefault="00645757" w:rsidP="000F1E5F">
            <w:pPr>
              <w:rPr>
                <w:i/>
              </w:rPr>
            </w:pPr>
            <w:r w:rsidRPr="00645757">
              <w:rPr>
                <w:i/>
              </w:rPr>
              <w:t>E-mail:</w:t>
            </w:r>
          </w:p>
        </w:tc>
        <w:tc>
          <w:tcPr>
            <w:tcW w:w="7904" w:type="dxa"/>
          </w:tcPr>
          <w:p w14:paraId="77C97B64" w14:textId="77777777" w:rsidR="00645757" w:rsidRPr="00645757" w:rsidRDefault="00645757" w:rsidP="000F1E5F">
            <w:pPr>
              <w:rPr>
                <w:i/>
                <w:iCs/>
              </w:rPr>
            </w:pPr>
            <w:hyperlink r:id="rId18" w:history="1">
              <w:r w:rsidRPr="00645757">
                <w:rPr>
                  <w:rStyle w:val="Hyperlink"/>
                  <w:i/>
                </w:rPr>
                <w:t>Georgios.Meleas@eesc.europa.eu</w:t>
              </w:r>
            </w:hyperlink>
          </w:p>
        </w:tc>
      </w:tr>
    </w:tbl>
    <w:p w14:paraId="29718DC1" w14:textId="0457F66A" w:rsidR="00645757" w:rsidRPr="00645757" w:rsidRDefault="00645757" w:rsidP="00054C58">
      <w:pPr>
        <w:overflowPunct w:val="0"/>
        <w:autoSpaceDE w:val="0"/>
        <w:autoSpaceDN w:val="0"/>
        <w:adjustRightInd w:val="0"/>
        <w:ind w:left="284"/>
        <w:contextualSpacing/>
        <w:textAlignment w:val="baseline"/>
        <w:rPr>
          <w:bCs/>
          <w:iCs/>
        </w:rPr>
      </w:pPr>
    </w:p>
    <w:p w14:paraId="4982DD99" w14:textId="77777777" w:rsidR="004D7AC0" w:rsidRPr="00645757" w:rsidRDefault="004D7AC0" w:rsidP="00CB245F">
      <w:pPr>
        <w:pStyle w:val="Heading1"/>
        <w:keepNext/>
        <w:keepLines/>
        <w:rPr>
          <w:b/>
        </w:rPr>
      </w:pPr>
      <w:bookmarkStart w:id="1" w:name="_Toc75527081"/>
      <w:bookmarkStart w:id="2" w:name="_Toc217296975"/>
      <w:r w:rsidRPr="00645757">
        <w:rPr>
          <w:b/>
        </w:rPr>
        <w:t>ZAMESTNANOSŤ, SOCIÁLNE VECI A OBČIANSTVO</w:t>
      </w:r>
      <w:bookmarkEnd w:id="1"/>
      <w:bookmarkEnd w:id="2"/>
    </w:p>
    <w:p w14:paraId="4982DD9A" w14:textId="77777777" w:rsidR="004D7AC0" w:rsidRPr="00645757" w:rsidRDefault="004D7AC0" w:rsidP="00CB245F">
      <w:pPr>
        <w:keepNext/>
        <w:keepLines/>
      </w:pPr>
    </w:p>
    <w:p w14:paraId="0D85C8AE" w14:textId="55460A8B" w:rsidR="00E972B2" w:rsidRPr="00645757" w:rsidRDefault="00391828" w:rsidP="00CB245F">
      <w:pPr>
        <w:keepNext/>
        <w:keepLines/>
        <w:widowControl w:val="0"/>
        <w:numPr>
          <w:ilvl w:val="0"/>
          <w:numId w:val="4"/>
        </w:numPr>
        <w:overflowPunct w:val="0"/>
        <w:autoSpaceDE w:val="0"/>
        <w:autoSpaceDN w:val="0"/>
        <w:adjustRightInd w:val="0"/>
        <w:spacing w:after="120"/>
        <w:ind w:hanging="567"/>
        <w:textAlignment w:val="baseline"/>
        <w:rPr>
          <w:b/>
        </w:rPr>
      </w:pPr>
      <w:hyperlink r:id="rId19" w:history="1">
        <w:hyperlink r:id="rId20" w:history="1">
          <w:r w:rsidR="00645757" w:rsidRPr="00645757">
            <w:rPr>
              <w:rStyle w:val="Hyperlink"/>
              <w:b/>
              <w:i/>
              <w:sz w:val="28"/>
            </w:rPr>
            <w:t>Pracovné práva novinárov</w:t>
          </w:r>
        </w:hyperlink>
        <w:r w:rsidR="00645757">
          <w:rPr>
            <w:rStyle w:val="Hyperlink"/>
            <w:b/>
            <w:i/>
            <w:sz w:val="28"/>
          </w:rPr>
          <w:t xml:space="preserve"> a </w:t>
        </w:r>
        <w:r w:rsidR="00645757" w:rsidRPr="00645757">
          <w:rPr>
            <w:rStyle w:val="Hyperlink"/>
            <w:b/>
            <w:i/>
            <w:sz w:val="28"/>
          </w:rPr>
          <w:t>pracovníkov</w:t>
        </w:r>
        <w:r w:rsidR="00645757">
          <w:rPr>
            <w:rStyle w:val="Hyperlink"/>
            <w:b/>
            <w:i/>
            <w:sz w:val="28"/>
          </w:rPr>
          <w:t xml:space="preserve"> v </w:t>
        </w:r>
        <w:r w:rsidR="00645757" w:rsidRPr="00645757">
          <w:rPr>
            <w:rStyle w:val="Hyperlink"/>
            <w:b/>
            <w:i/>
            <w:sz w:val="28"/>
          </w:rPr>
          <w:t>oblasti médií ako záruka nezávislosti</w:t>
        </w:r>
        <w:r w:rsidR="00645757">
          <w:rPr>
            <w:rStyle w:val="Hyperlink"/>
            <w:b/>
            <w:i/>
            <w:sz w:val="28"/>
          </w:rPr>
          <w:t xml:space="preserve"> a </w:t>
        </w:r>
        <w:r w:rsidR="00645757" w:rsidRPr="00645757">
          <w:rPr>
            <w:rStyle w:val="Hyperlink"/>
            <w:b/>
            <w:i/>
            <w:sz w:val="28"/>
          </w:rPr>
          <w:t xml:space="preserve">pravdivých informácií </w:t>
        </w:r>
      </w:hyperlink>
    </w:p>
    <w:p w14:paraId="0ABA41B8" w14:textId="77777777" w:rsidR="000C7C8B" w:rsidRPr="00645757"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6568"/>
      </w:tblGrid>
      <w:tr w:rsidR="00645757" w:rsidRPr="00645757" w14:paraId="32B44106" w14:textId="77777777" w:rsidTr="000F1E5F">
        <w:tc>
          <w:tcPr>
            <w:tcW w:w="1904" w:type="dxa"/>
          </w:tcPr>
          <w:p w14:paraId="5586FAD7" w14:textId="77777777" w:rsidR="00645757" w:rsidRPr="00645757" w:rsidRDefault="00645757" w:rsidP="000F1E5F">
            <w:pPr>
              <w:tabs>
                <w:tab w:val="center" w:pos="284"/>
              </w:tabs>
              <w:ind w:left="567" w:hanging="567"/>
              <w:rPr>
                <w:b/>
              </w:rPr>
            </w:pPr>
            <w:r w:rsidRPr="00645757">
              <w:rPr>
                <w:b/>
              </w:rPr>
              <w:t>Spravodajca</w:t>
            </w:r>
          </w:p>
          <w:p w14:paraId="3651E48B" w14:textId="77777777" w:rsidR="00645757" w:rsidRPr="00645757" w:rsidRDefault="00645757" w:rsidP="000F1E5F">
            <w:pPr>
              <w:tabs>
                <w:tab w:val="center" w:pos="284"/>
              </w:tabs>
              <w:ind w:left="567" w:hanging="567"/>
              <w:rPr>
                <w:b/>
              </w:rPr>
            </w:pPr>
            <w:r w:rsidRPr="00645757">
              <w:rPr>
                <w:b/>
              </w:rPr>
              <w:t>Spoluspravodajca</w:t>
            </w:r>
          </w:p>
        </w:tc>
        <w:tc>
          <w:tcPr>
            <w:tcW w:w="6568" w:type="dxa"/>
          </w:tcPr>
          <w:p w14:paraId="7EB98B8C" w14:textId="77777777" w:rsidR="00645757" w:rsidRPr="00645757" w:rsidRDefault="00645757" w:rsidP="000F1E5F">
            <w:pPr>
              <w:ind w:left="567" w:hanging="567"/>
            </w:pPr>
            <w:r w:rsidRPr="00645757">
              <w:t>José Antonio MORENO DÍAZ (skupina Pracovníci – ES)</w:t>
            </w:r>
          </w:p>
          <w:p w14:paraId="2F2B7F02" w14:textId="77777777" w:rsidR="00645757" w:rsidRPr="00645757" w:rsidRDefault="00645757" w:rsidP="000F1E5F">
            <w:pPr>
              <w:ind w:left="567" w:hanging="567"/>
            </w:pPr>
            <w:r w:rsidRPr="00645757">
              <w:t>Christian MOOS (skupina Organizácie občianskej spoločnosti – DE)</w:t>
            </w:r>
          </w:p>
        </w:tc>
      </w:tr>
      <w:tr w:rsidR="00645757" w:rsidRPr="00645757" w14:paraId="484EC0E9" w14:textId="77777777" w:rsidTr="000F1E5F">
        <w:tc>
          <w:tcPr>
            <w:tcW w:w="1904" w:type="dxa"/>
            <w:vMerge w:val="restart"/>
          </w:tcPr>
          <w:p w14:paraId="482F6017" w14:textId="77777777" w:rsidR="00645757" w:rsidRPr="00645757" w:rsidRDefault="00645757" w:rsidP="000F1E5F">
            <w:pPr>
              <w:tabs>
                <w:tab w:val="center" w:pos="284"/>
              </w:tabs>
              <w:ind w:left="567" w:hanging="567"/>
              <w:rPr>
                <w:b/>
              </w:rPr>
            </w:pPr>
          </w:p>
          <w:p w14:paraId="5C86352F" w14:textId="77777777" w:rsidR="00645757" w:rsidRPr="00645757" w:rsidRDefault="00645757" w:rsidP="000F1E5F">
            <w:pPr>
              <w:tabs>
                <w:tab w:val="center" w:pos="284"/>
              </w:tabs>
              <w:ind w:left="567" w:hanging="567"/>
              <w:rPr>
                <w:b/>
              </w:rPr>
            </w:pPr>
            <w:proofErr w:type="spellStart"/>
            <w:r w:rsidRPr="00645757">
              <w:rPr>
                <w:b/>
              </w:rPr>
              <w:t>Ref</w:t>
            </w:r>
            <w:proofErr w:type="spellEnd"/>
            <w:r w:rsidRPr="00645757">
              <w:rPr>
                <w:b/>
              </w:rPr>
              <w:t>. dok.:</w:t>
            </w:r>
          </w:p>
        </w:tc>
        <w:tc>
          <w:tcPr>
            <w:tcW w:w="6568" w:type="dxa"/>
          </w:tcPr>
          <w:p w14:paraId="23B33C52" w14:textId="77777777" w:rsidR="00645757" w:rsidRPr="00645757" w:rsidRDefault="00645757" w:rsidP="000F1E5F">
            <w:pPr>
              <w:tabs>
                <w:tab w:val="center" w:pos="284"/>
              </w:tabs>
              <w:ind w:left="567" w:hanging="567"/>
            </w:pPr>
          </w:p>
          <w:p w14:paraId="2E1DCD03" w14:textId="77777777" w:rsidR="00645757" w:rsidRPr="00645757" w:rsidRDefault="00645757" w:rsidP="000F1E5F">
            <w:pPr>
              <w:tabs>
                <w:tab w:val="center" w:pos="284"/>
              </w:tabs>
              <w:ind w:left="567" w:hanging="567"/>
            </w:pPr>
            <w:r w:rsidRPr="00645757">
              <w:t>EESC-2025-01400-00-00-AC-TRA</w:t>
            </w:r>
          </w:p>
        </w:tc>
      </w:tr>
      <w:tr w:rsidR="00645757" w:rsidRPr="00645757" w14:paraId="388A0BAA" w14:textId="77777777" w:rsidTr="000F1E5F">
        <w:tc>
          <w:tcPr>
            <w:tcW w:w="1904" w:type="dxa"/>
            <w:vMerge/>
          </w:tcPr>
          <w:p w14:paraId="104B75CD" w14:textId="77777777" w:rsidR="00645757" w:rsidRPr="00645757" w:rsidRDefault="00645757" w:rsidP="000F1E5F">
            <w:pPr>
              <w:tabs>
                <w:tab w:val="center" w:pos="284"/>
              </w:tabs>
              <w:ind w:left="266" w:hanging="266"/>
              <w:rPr>
                <w:b/>
              </w:rPr>
            </w:pPr>
          </w:p>
        </w:tc>
        <w:tc>
          <w:tcPr>
            <w:tcW w:w="6568" w:type="dxa"/>
          </w:tcPr>
          <w:p w14:paraId="39F2F411" w14:textId="77777777" w:rsidR="00645757" w:rsidRPr="00645757" w:rsidRDefault="00645757" w:rsidP="000F1E5F">
            <w:pPr>
              <w:tabs>
                <w:tab w:val="center" w:pos="284"/>
              </w:tabs>
              <w:ind w:left="266" w:hanging="266"/>
              <w:rPr>
                <w:sz w:val="16"/>
                <w:szCs w:val="16"/>
              </w:rPr>
            </w:pPr>
          </w:p>
        </w:tc>
      </w:tr>
    </w:tbl>
    <w:p w14:paraId="22EE4A48" w14:textId="77777777" w:rsidR="00645757" w:rsidRPr="00645757" w:rsidRDefault="00645757" w:rsidP="00645757">
      <w:pPr>
        <w:keepNext/>
        <w:keepLines/>
        <w:tabs>
          <w:tab w:val="center" w:pos="284"/>
        </w:tabs>
        <w:ind w:left="266" w:hanging="266"/>
        <w:rPr>
          <w:bCs/>
        </w:rPr>
      </w:pPr>
    </w:p>
    <w:p w14:paraId="2AA4779C" w14:textId="77777777" w:rsidR="00645757" w:rsidRPr="00645757" w:rsidRDefault="00645757" w:rsidP="00645757">
      <w:pPr>
        <w:keepNext/>
        <w:keepLines/>
        <w:tabs>
          <w:tab w:val="center" w:pos="284"/>
        </w:tabs>
        <w:ind w:left="266" w:hanging="266"/>
        <w:rPr>
          <w:b/>
        </w:rPr>
      </w:pPr>
      <w:r w:rsidRPr="00645757">
        <w:rPr>
          <w:b/>
        </w:rPr>
        <w:t>Hlavné body</w:t>
      </w:r>
    </w:p>
    <w:p w14:paraId="028D7225" w14:textId="77777777" w:rsidR="00645757" w:rsidRPr="00645757" w:rsidRDefault="00645757" w:rsidP="00645757">
      <w:pPr>
        <w:keepNext/>
        <w:keepLines/>
        <w:tabs>
          <w:tab w:val="center" w:pos="284"/>
        </w:tabs>
        <w:ind w:left="266" w:hanging="266"/>
        <w:rPr>
          <w:bCs/>
        </w:rPr>
      </w:pPr>
    </w:p>
    <w:p w14:paraId="07609A16" w14:textId="77777777" w:rsidR="00645757" w:rsidRPr="00645757" w:rsidRDefault="00645757" w:rsidP="00645757">
      <w:pPr>
        <w:keepNext/>
        <w:keepLines/>
        <w:tabs>
          <w:tab w:val="center" w:pos="284"/>
        </w:tabs>
        <w:ind w:left="266" w:hanging="266"/>
        <w:rPr>
          <w:b/>
          <w:bCs/>
        </w:rPr>
      </w:pPr>
      <w:r w:rsidRPr="00645757">
        <w:t>EHSV:</w:t>
      </w:r>
    </w:p>
    <w:p w14:paraId="2003EAA7" w14:textId="68745BD7"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naliehavo vyzýva orgány, aby urýchlene prijali ochranné opatrenia proti rastúcej neistej situácii novinárov,</w:t>
      </w:r>
      <w:r>
        <w:t xml:space="preserve"> a </w:t>
      </w:r>
      <w:r w:rsidRPr="00645757">
        <w:t>vyzýva na úplné uplatňovanie Európskeho aktu</w:t>
      </w:r>
      <w:r>
        <w:t xml:space="preserve"> o </w:t>
      </w:r>
      <w:r w:rsidRPr="00645757">
        <w:t>slobode médií. Vyzýva tiež na vytvorenie nezávislej podpory pre médiá popri existujúcich dotáciách</w:t>
      </w:r>
      <w:r>
        <w:t xml:space="preserve"> s </w:t>
      </w:r>
      <w:r w:rsidRPr="00645757">
        <w:t>cieľom zabezpečiť udržateľnosť európskeho mediálneho sektora</w:t>
      </w:r>
      <w:r>
        <w:t xml:space="preserve"> a </w:t>
      </w:r>
      <w:r w:rsidRPr="00645757">
        <w:t>výrazne zvýšiť finančné prostriedky na ochranu zdravého informačného ekosystému;</w:t>
      </w:r>
    </w:p>
    <w:p w14:paraId="514DDD07" w14:textId="1BC46BA3" w:rsidR="00645757" w:rsidRPr="00645757" w:rsidRDefault="00645757" w:rsidP="00CB245F">
      <w:pPr>
        <w:pStyle w:val="ListParagraph"/>
        <w:numPr>
          <w:ilvl w:val="0"/>
          <w:numId w:val="5"/>
        </w:numPr>
        <w:overflowPunct w:val="0"/>
        <w:autoSpaceDE w:val="0"/>
        <w:autoSpaceDN w:val="0"/>
        <w:adjustRightInd w:val="0"/>
        <w:ind w:left="284" w:hanging="284"/>
        <w:textAlignment w:val="baseline"/>
        <w:rPr>
          <w:bCs/>
        </w:rPr>
      </w:pPr>
      <w:r w:rsidRPr="00645757">
        <w:t>vyzýva Európsku komisiu, aby predložila ambiciózny balík politických opatrení</w:t>
      </w:r>
      <w:r>
        <w:t xml:space="preserve"> a </w:t>
      </w:r>
      <w:r w:rsidRPr="00645757">
        <w:t>investícií na podporu kvalitných pracovných miest</w:t>
      </w:r>
      <w:r>
        <w:t xml:space="preserve"> v </w:t>
      </w:r>
      <w:r w:rsidRPr="00645757">
        <w:t>mediálnom sektore,</w:t>
      </w:r>
      <w:r>
        <w:t xml:space="preserve"> a </w:t>
      </w:r>
      <w:r w:rsidRPr="00645757">
        <w:t>vlády, aby podporovali sociálny dialóg</w:t>
      </w:r>
      <w:r>
        <w:t xml:space="preserve"> a </w:t>
      </w:r>
      <w:r w:rsidRPr="00645757">
        <w:t>kolektívne vyjednávanie pre všetkých novinárov vrátane samostatne zárobkovo činných osôb,</w:t>
      </w:r>
      <w:r>
        <w:t xml:space="preserve"> a </w:t>
      </w:r>
      <w:r w:rsidRPr="00645757">
        <w:t>to prostredníctvom transpozície smernice</w:t>
      </w:r>
      <w:r>
        <w:t xml:space="preserve"> o </w:t>
      </w:r>
      <w:r w:rsidRPr="00645757">
        <w:t>primeraných minimálnych mzdách</w:t>
      </w:r>
      <w:r w:rsidRPr="00645757">
        <w:rPr>
          <w:sz w:val="24"/>
          <w:szCs w:val="24"/>
          <w:vertAlign w:val="superscript"/>
        </w:rPr>
        <w:footnoteReference w:id="1"/>
      </w:r>
      <w:r>
        <w:t xml:space="preserve"> v </w:t>
      </w:r>
      <w:r w:rsidRPr="00645757">
        <w:t>relevantných prípadoch</w:t>
      </w:r>
      <w:r>
        <w:t xml:space="preserve"> a </w:t>
      </w:r>
      <w:r w:rsidRPr="00645757">
        <w:t>usmernení</w:t>
      </w:r>
      <w:r>
        <w:t xml:space="preserve"> o </w:t>
      </w:r>
      <w:r w:rsidRPr="00645757">
        <w:t>uplatňovaní práva Únie</w:t>
      </w:r>
      <w:r>
        <w:t xml:space="preserve"> v </w:t>
      </w:r>
      <w:r w:rsidRPr="00645757">
        <w:t>oblasti hospodárskej súťaže na kolektívne zmluvy samostatne zárobkovo činných osôb bez zamestnancov</w:t>
      </w:r>
      <w:r w:rsidRPr="00645757">
        <w:rPr>
          <w:sz w:val="24"/>
          <w:szCs w:val="24"/>
          <w:vertAlign w:val="superscript"/>
        </w:rPr>
        <w:footnoteReference w:id="2"/>
      </w:r>
      <w:r w:rsidRPr="00645757">
        <w:t>. Okrem toho vyzýva Európsku komisiu</w:t>
      </w:r>
      <w:r>
        <w:t xml:space="preserve"> a </w:t>
      </w:r>
      <w:r w:rsidRPr="00645757">
        <w:t>členské štáty, aby bojovali proti nepravej samostatnej zárobkovej činnosti.</w:t>
      </w:r>
    </w:p>
    <w:p w14:paraId="3325345E" w14:textId="3484ED8D"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vyzýva Európsku komisiu, aby nadviazala na odporúčanie</w:t>
      </w:r>
      <w:r>
        <w:t xml:space="preserve"> o </w:t>
      </w:r>
      <w:r w:rsidRPr="00645757">
        <w:t>ochrane, bezpečnosti</w:t>
      </w:r>
      <w:r>
        <w:t xml:space="preserve"> a </w:t>
      </w:r>
      <w:r w:rsidRPr="00645757">
        <w:t>posilnení postavenia novinárov</w:t>
      </w:r>
      <w:r w:rsidRPr="00645757">
        <w:rPr>
          <w:sz w:val="24"/>
          <w:szCs w:val="24"/>
          <w:vertAlign w:val="superscript"/>
        </w:rPr>
        <w:footnoteReference w:id="3"/>
      </w:r>
      <w:r w:rsidRPr="00645757">
        <w:t>,</w:t>
      </w:r>
      <w:r>
        <w:t xml:space="preserve"> a </w:t>
      </w:r>
      <w:r w:rsidRPr="00645757">
        <w:t>zdôrazňuje potrebu hlbšej spolupráce</w:t>
      </w:r>
      <w:r>
        <w:t xml:space="preserve"> s </w:t>
      </w:r>
      <w:r w:rsidRPr="00645757">
        <w:t>novinárskymi organizáciami</w:t>
      </w:r>
      <w:r>
        <w:t xml:space="preserve"> s </w:t>
      </w:r>
      <w:r w:rsidRPr="00645757">
        <w:t>cieľom vybudovať štruktúry, ktoré dokážu zaistiť bezpečnosť novinárov. Novinári sú pracovníkmi, ktorí sú výrazne vystavovaní stresu, pocitu vyhorenia, obťažovaniu na internete</w:t>
      </w:r>
      <w:r>
        <w:t xml:space="preserve"> a </w:t>
      </w:r>
      <w:r w:rsidRPr="00645757">
        <w:t>digitálnemu preťaženiu. Bolo by vhodné, aby Komisia zvážila ako nadviazať na uznesenie Európskeho parlamentu</w:t>
      </w:r>
      <w:r>
        <w:t xml:space="preserve"> z </w:t>
      </w:r>
      <w:r w:rsidRPr="00645757">
        <w:t>10</w:t>
      </w:r>
      <w:r>
        <w:t>. marca</w:t>
      </w:r>
      <w:r w:rsidRPr="00645757">
        <w:t xml:space="preserve"> 2022, ktoré vyzýva na smernicu</w:t>
      </w:r>
      <w:r>
        <w:t xml:space="preserve"> o </w:t>
      </w:r>
      <w:r w:rsidRPr="00645757">
        <w:t>psychosociálnych rizikách. EHSV je pripravený vypracovať stanovisko na túto tému</w:t>
      </w:r>
      <w:r w:rsidRPr="00645757">
        <w:rPr>
          <w:rStyle w:val="FootnoteReference"/>
        </w:rPr>
        <w:footnoteReference w:id="4"/>
      </w:r>
      <w:r w:rsidRPr="00645757">
        <w:t>.</w:t>
      </w:r>
    </w:p>
    <w:p w14:paraId="3556BBA3" w14:textId="415AE1A9"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vyzýva Európsku komisiu, aby monitorovala uplatňovanie legislatívneho rámca EÚ</w:t>
      </w:r>
      <w:r>
        <w:t xml:space="preserve"> o </w:t>
      </w:r>
      <w:r w:rsidRPr="00645757">
        <w:t>využívaní umelej inteligencie</w:t>
      </w:r>
      <w:r>
        <w:t xml:space="preserve"> s </w:t>
      </w:r>
      <w:r w:rsidRPr="00645757">
        <w:t>cieľom chrániť novinárov,</w:t>
      </w:r>
      <w:r>
        <w:t xml:space="preserve"> a </w:t>
      </w:r>
      <w:r w:rsidRPr="00645757">
        <w:t>nabáda odborové zväzy novinárov</w:t>
      </w:r>
      <w:r>
        <w:t xml:space="preserve"> a </w:t>
      </w:r>
      <w:r w:rsidRPr="00645757">
        <w:t>mediálne organizácie, aby sa</w:t>
      </w:r>
      <w:r>
        <w:t xml:space="preserve"> v </w:t>
      </w:r>
      <w:r w:rsidRPr="00645757">
        <w:t>rámci sociálneho dialógu zaoberali využívaním umelej inteligencie</w:t>
      </w:r>
      <w:r>
        <w:t xml:space="preserve"> v </w:t>
      </w:r>
      <w:r w:rsidRPr="00645757">
        <w:t>redakciách. Vyzýva tiež na financovanie projektov, ktoré rozvíjajú gramotnosť novinárov</w:t>
      </w:r>
      <w:r>
        <w:t xml:space="preserve"> v </w:t>
      </w:r>
      <w:r w:rsidRPr="00645757">
        <w:t xml:space="preserve">oblasti umelej inteligencie, zváženie možností spolufinancovania európskych akadémií </w:t>
      </w:r>
      <w:r w:rsidRPr="00645757">
        <w:lastRenderedPageBreak/>
        <w:t>žurnalistiky, odbornú prípravu</w:t>
      </w:r>
      <w:r>
        <w:t xml:space="preserve"> a </w:t>
      </w:r>
      <w:r w:rsidRPr="00645757">
        <w:t>prípadné dotácie na mzdy mladých novinárov</w:t>
      </w:r>
      <w:r>
        <w:t xml:space="preserve"> z </w:t>
      </w:r>
      <w:r w:rsidRPr="00645757">
        <w:t>mediálnych spoločností, ktoré spĺňajú vysoké normy týkajúce sa kvalitnej žurnalistiky</w:t>
      </w:r>
      <w:r>
        <w:t xml:space="preserve"> a </w:t>
      </w:r>
      <w:r w:rsidRPr="00645757">
        <w:t>pracovných podmienok.</w:t>
      </w:r>
    </w:p>
    <w:p w14:paraId="5B692C9D" w14:textId="77777777" w:rsidR="00645757" w:rsidRPr="00645757" w:rsidRDefault="00645757" w:rsidP="0064575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645757" w:rsidRPr="00645757" w14:paraId="6770C066" w14:textId="77777777" w:rsidTr="000F1E5F">
        <w:tc>
          <w:tcPr>
            <w:tcW w:w="1210" w:type="dxa"/>
          </w:tcPr>
          <w:p w14:paraId="6CE1590D" w14:textId="77777777" w:rsidR="00645757" w:rsidRPr="00645757" w:rsidRDefault="00645757" w:rsidP="000F1E5F">
            <w:pPr>
              <w:spacing w:line="240" w:lineRule="auto"/>
              <w:rPr>
                <w:i/>
              </w:rPr>
            </w:pPr>
            <w:r w:rsidRPr="00645757">
              <w:rPr>
                <w:b/>
                <w:i/>
              </w:rPr>
              <w:t>Kontakt</w:t>
            </w:r>
          </w:p>
        </w:tc>
        <w:tc>
          <w:tcPr>
            <w:tcW w:w="4493" w:type="dxa"/>
          </w:tcPr>
          <w:p w14:paraId="1C2235A5" w14:textId="77777777" w:rsidR="00645757" w:rsidRPr="00645757" w:rsidRDefault="00645757" w:rsidP="000F1E5F">
            <w:pPr>
              <w:spacing w:line="240" w:lineRule="auto"/>
              <w:ind w:hanging="12"/>
              <w:rPr>
                <w:i/>
              </w:rPr>
            </w:pPr>
            <w:proofErr w:type="spellStart"/>
            <w:r w:rsidRPr="00645757">
              <w:rPr>
                <w:i/>
              </w:rPr>
              <w:t>June</w:t>
            </w:r>
            <w:proofErr w:type="spellEnd"/>
            <w:r w:rsidRPr="00645757">
              <w:rPr>
                <w:i/>
              </w:rPr>
              <w:t xml:space="preserve"> </w:t>
            </w:r>
            <w:proofErr w:type="spellStart"/>
            <w:r w:rsidRPr="00645757">
              <w:rPr>
                <w:i/>
              </w:rPr>
              <w:t>Bedaton</w:t>
            </w:r>
            <w:proofErr w:type="spellEnd"/>
          </w:p>
        </w:tc>
      </w:tr>
      <w:tr w:rsidR="00645757" w:rsidRPr="00645757" w14:paraId="41606C6E" w14:textId="77777777" w:rsidTr="000F1E5F">
        <w:tc>
          <w:tcPr>
            <w:tcW w:w="1210" w:type="dxa"/>
          </w:tcPr>
          <w:p w14:paraId="6B91F181" w14:textId="77777777" w:rsidR="00645757" w:rsidRPr="00645757" w:rsidRDefault="00645757" w:rsidP="000F1E5F">
            <w:pPr>
              <w:spacing w:line="240" w:lineRule="auto"/>
              <w:rPr>
                <w:i/>
              </w:rPr>
            </w:pPr>
            <w:r w:rsidRPr="00645757">
              <w:rPr>
                <w:i/>
              </w:rPr>
              <w:t>Tel.:</w:t>
            </w:r>
          </w:p>
        </w:tc>
        <w:tc>
          <w:tcPr>
            <w:tcW w:w="4493" w:type="dxa"/>
          </w:tcPr>
          <w:p w14:paraId="58EAC3A5" w14:textId="77777777" w:rsidR="00645757" w:rsidRPr="00645757" w:rsidRDefault="00645757" w:rsidP="000F1E5F">
            <w:pPr>
              <w:spacing w:line="240" w:lineRule="auto"/>
              <w:rPr>
                <w:i/>
              </w:rPr>
            </w:pPr>
            <w:r w:rsidRPr="00645757">
              <w:rPr>
                <w:i/>
              </w:rPr>
              <w:t>+32 25468134</w:t>
            </w:r>
          </w:p>
        </w:tc>
      </w:tr>
      <w:tr w:rsidR="00645757" w:rsidRPr="00645757" w14:paraId="1BE275F8" w14:textId="77777777" w:rsidTr="000F1E5F">
        <w:tc>
          <w:tcPr>
            <w:tcW w:w="1210" w:type="dxa"/>
          </w:tcPr>
          <w:p w14:paraId="2B2C897C" w14:textId="77777777" w:rsidR="00645757" w:rsidRPr="00645757" w:rsidRDefault="00645757" w:rsidP="000F1E5F">
            <w:pPr>
              <w:spacing w:line="240" w:lineRule="auto"/>
              <w:rPr>
                <w:i/>
              </w:rPr>
            </w:pPr>
            <w:r w:rsidRPr="00645757">
              <w:rPr>
                <w:i/>
              </w:rPr>
              <w:t>E-mail:</w:t>
            </w:r>
          </w:p>
        </w:tc>
        <w:tc>
          <w:tcPr>
            <w:tcW w:w="4493" w:type="dxa"/>
          </w:tcPr>
          <w:p w14:paraId="66A3257F" w14:textId="77777777" w:rsidR="00645757" w:rsidRPr="00645757" w:rsidRDefault="00645757" w:rsidP="000F1E5F">
            <w:pPr>
              <w:spacing w:line="240" w:lineRule="auto"/>
              <w:rPr>
                <w:i/>
                <w:iCs/>
              </w:rPr>
            </w:pPr>
            <w:hyperlink r:id="rId21" w:history="1">
              <w:r w:rsidRPr="00645757">
                <w:rPr>
                  <w:rStyle w:val="Hyperlink"/>
                  <w:i/>
                </w:rPr>
                <w:t>june.bedaton@eesc.europa.eu</w:t>
              </w:r>
            </w:hyperlink>
            <w:r w:rsidRPr="00645757">
              <w:rPr>
                <w:i/>
              </w:rPr>
              <w:t xml:space="preserve"> </w:t>
            </w:r>
          </w:p>
        </w:tc>
      </w:tr>
    </w:tbl>
    <w:p w14:paraId="4982DDC2" w14:textId="77777777" w:rsidR="004D7AC0" w:rsidRPr="00645757" w:rsidRDefault="004D7AC0" w:rsidP="004D7AC0">
      <w:pPr>
        <w:pStyle w:val="ListParagraph"/>
        <w:ind w:left="0"/>
      </w:pPr>
    </w:p>
    <w:p w14:paraId="4982DDC3" w14:textId="77777777" w:rsidR="004D7AC0" w:rsidRPr="00645757" w:rsidRDefault="004D7AC0" w:rsidP="004D7AC0">
      <w:pPr>
        <w:pStyle w:val="ListParagraph"/>
        <w:ind w:left="0"/>
      </w:pPr>
    </w:p>
    <w:p w14:paraId="4982DDC4" w14:textId="77777777" w:rsidR="004D7AC0" w:rsidRPr="00645757" w:rsidRDefault="004D7AC0" w:rsidP="004D7AC0">
      <w:pPr>
        <w:pStyle w:val="ListParagraph"/>
        <w:ind w:left="0"/>
      </w:pPr>
    </w:p>
    <w:p w14:paraId="3BBEED3B" w14:textId="684B064A" w:rsidR="008D0052" w:rsidRPr="00645757" w:rsidRDefault="004D7AC0" w:rsidP="00CB245F">
      <w:pPr>
        <w:widowControl w:val="0"/>
        <w:numPr>
          <w:ilvl w:val="0"/>
          <w:numId w:val="4"/>
        </w:numPr>
        <w:overflowPunct w:val="0"/>
        <w:autoSpaceDE w:val="0"/>
        <w:autoSpaceDN w:val="0"/>
        <w:adjustRightInd w:val="0"/>
        <w:spacing w:after="120"/>
        <w:ind w:hanging="567"/>
        <w:textAlignment w:val="baseline"/>
        <w:rPr>
          <w:b/>
        </w:rPr>
      </w:pPr>
      <w:r w:rsidRPr="00645757">
        <w:br w:type="page"/>
      </w:r>
      <w:hyperlink r:id="rId22" w:history="1">
        <w:hyperlink r:id="rId23" w:history="1">
          <w:r w:rsidR="00645757" w:rsidRPr="00645757">
            <w:rPr>
              <w:rStyle w:val="Hyperlink"/>
              <w:b/>
              <w:i/>
              <w:sz w:val="28"/>
            </w:rPr>
            <w:t>Programy AgoraEU</w:t>
          </w:r>
          <w:r w:rsidR="00645757">
            <w:rPr>
              <w:rStyle w:val="Hyperlink"/>
              <w:b/>
              <w:i/>
              <w:sz w:val="28"/>
            </w:rPr>
            <w:t xml:space="preserve"> a </w:t>
          </w:r>
          <w:r w:rsidR="00645757" w:rsidRPr="00645757">
            <w:rPr>
              <w:rStyle w:val="Hyperlink"/>
              <w:b/>
              <w:i/>
              <w:sz w:val="28"/>
            </w:rPr>
            <w:t>Spravodlivosť</w:t>
          </w:r>
        </w:hyperlink>
      </w:hyperlink>
    </w:p>
    <w:p w14:paraId="269FC09C" w14:textId="77777777" w:rsidR="008D0052" w:rsidRPr="00645757"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645757" w:rsidRPr="00645757" w14:paraId="7FE79CFD" w14:textId="77777777" w:rsidTr="000F1E5F">
        <w:tc>
          <w:tcPr>
            <w:tcW w:w="1701" w:type="dxa"/>
          </w:tcPr>
          <w:p w14:paraId="724E98C7" w14:textId="77777777" w:rsidR="00645757" w:rsidRPr="00645757" w:rsidRDefault="00645757" w:rsidP="000F1E5F">
            <w:pPr>
              <w:tabs>
                <w:tab w:val="center" w:pos="284"/>
              </w:tabs>
              <w:ind w:left="567" w:hanging="567"/>
              <w:rPr>
                <w:b/>
              </w:rPr>
            </w:pPr>
            <w:r w:rsidRPr="00645757">
              <w:rPr>
                <w:b/>
              </w:rPr>
              <w:t>Spravodajca:</w:t>
            </w:r>
          </w:p>
        </w:tc>
        <w:tc>
          <w:tcPr>
            <w:tcW w:w="6237" w:type="dxa"/>
          </w:tcPr>
          <w:p w14:paraId="4C47F750" w14:textId="77777777" w:rsidR="00645757" w:rsidRPr="00645757" w:rsidRDefault="00645757" w:rsidP="000F1E5F">
            <w:pPr>
              <w:ind w:left="567" w:hanging="567"/>
            </w:pPr>
            <w:proofErr w:type="spellStart"/>
            <w:r w:rsidRPr="00645757">
              <w:t>Ionuţ</w:t>
            </w:r>
            <w:proofErr w:type="spellEnd"/>
            <w:r w:rsidRPr="00645757">
              <w:t xml:space="preserve"> SIBIAN (skupina Organizácie občianskej spoločnosti – RO)</w:t>
            </w:r>
          </w:p>
        </w:tc>
      </w:tr>
      <w:tr w:rsidR="00645757" w:rsidRPr="00645757" w14:paraId="3CF2C428" w14:textId="77777777" w:rsidTr="000F1E5F">
        <w:tc>
          <w:tcPr>
            <w:tcW w:w="1701" w:type="dxa"/>
            <w:vMerge w:val="restart"/>
          </w:tcPr>
          <w:p w14:paraId="737E8972" w14:textId="77777777" w:rsidR="00645757" w:rsidRPr="00645757" w:rsidRDefault="00645757" w:rsidP="000F1E5F">
            <w:pPr>
              <w:tabs>
                <w:tab w:val="center" w:pos="284"/>
              </w:tabs>
              <w:ind w:left="567" w:hanging="567"/>
              <w:rPr>
                <w:b/>
              </w:rPr>
            </w:pPr>
          </w:p>
          <w:p w14:paraId="586BDE36" w14:textId="77777777" w:rsidR="00645757" w:rsidRPr="00645757" w:rsidRDefault="00645757" w:rsidP="000F1E5F">
            <w:pPr>
              <w:tabs>
                <w:tab w:val="center" w:pos="284"/>
              </w:tabs>
              <w:ind w:left="567" w:hanging="567"/>
              <w:rPr>
                <w:b/>
              </w:rPr>
            </w:pPr>
            <w:proofErr w:type="spellStart"/>
            <w:r w:rsidRPr="00645757">
              <w:rPr>
                <w:b/>
              </w:rPr>
              <w:t>Ref</w:t>
            </w:r>
            <w:proofErr w:type="spellEnd"/>
            <w:r w:rsidRPr="00645757">
              <w:rPr>
                <w:b/>
              </w:rPr>
              <w:t>.:</w:t>
            </w:r>
          </w:p>
        </w:tc>
        <w:tc>
          <w:tcPr>
            <w:tcW w:w="6237" w:type="dxa"/>
          </w:tcPr>
          <w:p w14:paraId="3D38AAF0" w14:textId="77777777" w:rsidR="00645757" w:rsidRPr="00645757" w:rsidRDefault="00645757" w:rsidP="000F1E5F">
            <w:pPr>
              <w:tabs>
                <w:tab w:val="center" w:pos="284"/>
              </w:tabs>
              <w:ind w:left="567" w:hanging="567"/>
            </w:pPr>
          </w:p>
          <w:p w14:paraId="4202938D" w14:textId="77777777" w:rsidR="00645757" w:rsidRPr="00645757" w:rsidRDefault="00645757" w:rsidP="000F1E5F">
            <w:pPr>
              <w:tabs>
                <w:tab w:val="center" w:pos="284"/>
              </w:tabs>
              <w:ind w:left="567" w:hanging="567"/>
            </w:pPr>
            <w:r w:rsidRPr="00645757">
              <w:t>EESC-2025-02823-00-00-AC</w:t>
            </w:r>
          </w:p>
          <w:p w14:paraId="77E3644E" w14:textId="77777777" w:rsidR="00645757" w:rsidRPr="00645757" w:rsidRDefault="00645757" w:rsidP="000F1E5F">
            <w:pPr>
              <w:tabs>
                <w:tab w:val="center" w:pos="284"/>
              </w:tabs>
              <w:ind w:left="567" w:hanging="567"/>
            </w:pPr>
            <w:r w:rsidRPr="00645757">
              <w:t xml:space="preserve">COM(2025) 463 </w:t>
            </w:r>
            <w:proofErr w:type="spellStart"/>
            <w:r w:rsidRPr="00645757">
              <w:t>final</w:t>
            </w:r>
            <w:proofErr w:type="spellEnd"/>
          </w:p>
          <w:p w14:paraId="698C0D9A" w14:textId="77777777" w:rsidR="00645757" w:rsidRPr="00645757" w:rsidRDefault="00645757" w:rsidP="000F1E5F">
            <w:pPr>
              <w:tabs>
                <w:tab w:val="center" w:pos="284"/>
              </w:tabs>
              <w:ind w:left="567" w:hanging="567"/>
            </w:pPr>
            <w:r w:rsidRPr="00645757">
              <w:t xml:space="preserve">COM(2025) 550 </w:t>
            </w:r>
            <w:proofErr w:type="spellStart"/>
            <w:r w:rsidRPr="00645757">
              <w:t>final</w:t>
            </w:r>
            <w:proofErr w:type="spellEnd"/>
          </w:p>
        </w:tc>
      </w:tr>
      <w:tr w:rsidR="00645757" w:rsidRPr="00645757" w14:paraId="09BD5504" w14:textId="77777777" w:rsidTr="000F1E5F">
        <w:tc>
          <w:tcPr>
            <w:tcW w:w="1701" w:type="dxa"/>
            <w:vMerge/>
          </w:tcPr>
          <w:p w14:paraId="485C0BFF" w14:textId="77777777" w:rsidR="00645757" w:rsidRPr="00645757" w:rsidRDefault="00645757" w:rsidP="000F1E5F">
            <w:pPr>
              <w:tabs>
                <w:tab w:val="center" w:pos="284"/>
              </w:tabs>
              <w:ind w:left="266" w:hanging="266"/>
              <w:rPr>
                <w:b/>
              </w:rPr>
            </w:pPr>
          </w:p>
        </w:tc>
        <w:tc>
          <w:tcPr>
            <w:tcW w:w="6237" w:type="dxa"/>
          </w:tcPr>
          <w:p w14:paraId="0E450AD5" w14:textId="77777777" w:rsidR="00645757" w:rsidRPr="00645757" w:rsidRDefault="00645757" w:rsidP="000F1E5F">
            <w:pPr>
              <w:tabs>
                <w:tab w:val="center" w:pos="284"/>
              </w:tabs>
              <w:ind w:left="266" w:hanging="266"/>
              <w:rPr>
                <w:sz w:val="2"/>
                <w:szCs w:val="2"/>
              </w:rPr>
            </w:pPr>
          </w:p>
        </w:tc>
      </w:tr>
    </w:tbl>
    <w:p w14:paraId="3F732071" w14:textId="77777777" w:rsidR="00645757" w:rsidRPr="00645757" w:rsidRDefault="00645757" w:rsidP="00645757">
      <w:pPr>
        <w:keepNext/>
        <w:keepLines/>
        <w:tabs>
          <w:tab w:val="center" w:pos="284"/>
        </w:tabs>
        <w:ind w:left="266" w:hanging="266"/>
        <w:rPr>
          <w:b/>
        </w:rPr>
      </w:pPr>
      <w:r w:rsidRPr="00645757">
        <w:rPr>
          <w:b/>
        </w:rPr>
        <w:t>Hlavné body</w:t>
      </w:r>
    </w:p>
    <w:p w14:paraId="3EB06C69" w14:textId="77777777" w:rsidR="00645757" w:rsidRPr="00645757" w:rsidRDefault="00645757" w:rsidP="00645757">
      <w:pPr>
        <w:keepNext/>
        <w:keepLines/>
        <w:tabs>
          <w:tab w:val="center" w:pos="284"/>
        </w:tabs>
        <w:ind w:left="266" w:hanging="266"/>
        <w:rPr>
          <w:b/>
        </w:rPr>
      </w:pPr>
    </w:p>
    <w:p w14:paraId="113BDE6D" w14:textId="77777777" w:rsidR="00645757" w:rsidRPr="00645757" w:rsidRDefault="00645757" w:rsidP="00645757">
      <w:pPr>
        <w:pStyle w:val="NormalWeb"/>
        <w:spacing w:before="0" w:beforeAutospacing="0" w:after="0" w:afterAutospacing="0" w:line="288" w:lineRule="auto"/>
        <w:rPr>
          <w:sz w:val="22"/>
          <w:szCs w:val="22"/>
        </w:rPr>
      </w:pPr>
      <w:r w:rsidRPr="00645757">
        <w:rPr>
          <w:rStyle w:val="Strong"/>
          <w:sz w:val="22"/>
        </w:rPr>
        <w:t>EHSV:</w:t>
      </w:r>
    </w:p>
    <w:p w14:paraId="40D0ACC0" w14:textId="622B27B5"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 xml:space="preserve">víta návrhy Komisie týkajúce sa programov </w:t>
      </w:r>
      <w:proofErr w:type="spellStart"/>
      <w:r w:rsidRPr="00645757">
        <w:t>AgoraEU</w:t>
      </w:r>
      <w:proofErr w:type="spellEnd"/>
      <w:r>
        <w:t xml:space="preserve"> a </w:t>
      </w:r>
      <w:r w:rsidRPr="00645757">
        <w:t>Spravodlivosť</w:t>
      </w:r>
      <w:r>
        <w:t xml:space="preserve"> a </w:t>
      </w:r>
      <w:r w:rsidRPr="00645757">
        <w:t>naliehavo vyzýva Európsky parlament</w:t>
      </w:r>
      <w:r>
        <w:t xml:space="preserve"> a </w:t>
      </w:r>
      <w:r w:rsidRPr="00645757">
        <w:t>Radu, aby tieto návrhy schválili bez zníženia navrhovaného finančného krytia;</w:t>
      </w:r>
    </w:p>
    <w:p w14:paraId="20802196" w14:textId="1065FDF2"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žiada, aby sa výslovne uznala úloha zastupovania záujmov ako kľúčová súčasť práce organizácií občianskej spoločnosti</w:t>
      </w:r>
      <w:r>
        <w:t xml:space="preserve"> a </w:t>
      </w:r>
      <w:r w:rsidRPr="00645757">
        <w:t>ich úloha</w:t>
      </w:r>
      <w:r>
        <w:t xml:space="preserve"> v </w:t>
      </w:r>
      <w:r w:rsidRPr="00645757">
        <w:t>tvorbe politík</w:t>
      </w:r>
      <w:r>
        <w:t xml:space="preserve"> s </w:t>
      </w:r>
      <w:r w:rsidRPr="00645757">
        <w:t>cieľom posilniť demokraciu</w:t>
      </w:r>
      <w:r>
        <w:t xml:space="preserve"> a </w:t>
      </w:r>
      <w:r w:rsidRPr="00645757">
        <w:t>odolnosť;</w:t>
      </w:r>
    </w:p>
    <w:p w14:paraId="6E95372E" w14:textId="30CDBE18"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 xml:space="preserve">odporúča zaviesť granty na prevádzku vo všetkých vetvách programu </w:t>
      </w:r>
      <w:proofErr w:type="spellStart"/>
      <w:r w:rsidRPr="00645757">
        <w:t>AgoraEU</w:t>
      </w:r>
      <w:proofErr w:type="spellEnd"/>
      <w:r>
        <w:t xml:space="preserve"> v </w:t>
      </w:r>
      <w:r w:rsidRPr="00645757">
        <w:t>záujme posilnenia inštitucionálnej stability občianskej spoločnosti</w:t>
      </w:r>
      <w:r>
        <w:t xml:space="preserve"> a </w:t>
      </w:r>
      <w:r w:rsidRPr="00645757">
        <w:t>požaduje, aby sa granty na prevádzku</w:t>
      </w:r>
      <w:r>
        <w:t xml:space="preserve"> v </w:t>
      </w:r>
      <w:r w:rsidRPr="00645757">
        <w:t>rámci programu Spravodlivosť rozšírili na neziskové organizácie všeobecného európskeho záujmu;</w:t>
      </w:r>
    </w:p>
    <w:p w14:paraId="6D72C8AF" w14:textId="3FA11E34"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súhlasí so zachovaním finančnej podpory pre tretie strany prostredníctvom sprostredkovateľských organizácií, aby sa podpora dostala</w:t>
      </w:r>
      <w:r>
        <w:t xml:space="preserve"> k </w:t>
      </w:r>
      <w:r w:rsidRPr="00645757">
        <w:t>menším alebo miestnym skupinám. Žiada zabezpečiť nezávislosť sprostredkovateľov</w:t>
      </w:r>
      <w:r>
        <w:t xml:space="preserve"> a </w:t>
      </w:r>
      <w:r w:rsidRPr="00645757">
        <w:t>súlad ich riadenia</w:t>
      </w:r>
      <w:r>
        <w:t xml:space="preserve"> s </w:t>
      </w:r>
      <w:r w:rsidRPr="00645757">
        <w:t>Chartou základných práv EÚ ako kľúčové kritériá oprávnenosti pri ich výbere. Žiada tiež objasniť mieru spolufinancovania, pričom navrhuje povoliť až 100</w:t>
      </w:r>
      <w:r>
        <w:t> %</w:t>
      </w:r>
      <w:r w:rsidRPr="00645757">
        <w:t xml:space="preserve"> financovania EÚ pre sprostredkovateľov</w:t>
      </w:r>
      <w:r>
        <w:t xml:space="preserve"> a </w:t>
      </w:r>
      <w:r w:rsidRPr="00645757">
        <w:t>konečných prijímateľov, ktorí vykonávajú delegované činnosti;</w:t>
      </w:r>
    </w:p>
    <w:p w14:paraId="6789CDD8" w14:textId="73CD83FA"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konštatuje, že mandát</w:t>
      </w:r>
      <w:r>
        <w:t xml:space="preserve"> a </w:t>
      </w:r>
      <w:r w:rsidRPr="00645757">
        <w:t>zdroje kancelárií programu Kreatívna Európa je potrebné prispôsobiť</w:t>
      </w:r>
      <w:r>
        <w:t xml:space="preserve"> s </w:t>
      </w:r>
      <w:r w:rsidRPr="00645757">
        <w:t xml:space="preserve">cieľom účinne podporovať širší rozsah pôsobnosti programu </w:t>
      </w:r>
      <w:proofErr w:type="spellStart"/>
      <w:r w:rsidRPr="00645757">
        <w:t>AgoraEU</w:t>
      </w:r>
      <w:proofErr w:type="spellEnd"/>
      <w:r>
        <w:t xml:space="preserve"> v </w:t>
      </w:r>
      <w:r w:rsidRPr="00645757">
        <w:t>kultúrnom, mediálnom</w:t>
      </w:r>
      <w:r>
        <w:t xml:space="preserve"> a </w:t>
      </w:r>
      <w:r w:rsidRPr="00645757">
        <w:t>občianskom sektore;</w:t>
      </w:r>
    </w:p>
    <w:p w14:paraId="2CAAC371" w14:textId="7D25A588"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požaduje flexibilitu</w:t>
      </w:r>
      <w:r>
        <w:t xml:space="preserve"> a </w:t>
      </w:r>
      <w:r w:rsidRPr="00645757">
        <w:t>záruky (napr. indexáciu, nápravné mechanizmy)</w:t>
      </w:r>
      <w:r>
        <w:t xml:space="preserve"> v </w:t>
      </w:r>
      <w:r w:rsidRPr="00645757">
        <w:t>prípade jednorazových platieb</w:t>
      </w:r>
      <w:r>
        <w:t xml:space="preserve"> a </w:t>
      </w:r>
      <w:r w:rsidRPr="00645757">
        <w:t>viacročných grantov</w:t>
      </w:r>
      <w:r>
        <w:t xml:space="preserve"> v </w:t>
      </w:r>
      <w:r w:rsidRPr="00645757">
        <w:t>snahe predísť finančnému tlaku na prijímateľov;</w:t>
      </w:r>
    </w:p>
    <w:p w14:paraId="2E189613" w14:textId="4FA8E4FD"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žiada, aby sa lepšie objasnili plánované synergie medzi Európskym fondom pre konkurencieschopnosť (ECF)</w:t>
      </w:r>
      <w:r>
        <w:t xml:space="preserve"> a </w:t>
      </w:r>
      <w:r w:rsidRPr="00645757">
        <w:t xml:space="preserve">vetvou MÉDIÁ+ programu </w:t>
      </w:r>
      <w:proofErr w:type="spellStart"/>
      <w:r w:rsidRPr="00645757">
        <w:t>AgoraEU</w:t>
      </w:r>
      <w:proofErr w:type="spellEnd"/>
      <w:r w:rsidRPr="00645757">
        <w:t>. Vyzýva Komisiu, aby spojila prijímateľov grantov</w:t>
      </w:r>
      <w:r>
        <w:t xml:space="preserve"> a </w:t>
      </w:r>
      <w:r w:rsidRPr="00645757">
        <w:t>vypracovala akčný plán, ktorým sa do praxe zavedie kombinované</w:t>
      </w:r>
      <w:r>
        <w:t xml:space="preserve"> a </w:t>
      </w:r>
      <w:r w:rsidRPr="00645757">
        <w:t>kumulatívne financovanie podľa oboch nariadení vrátane spoločných výziev, spolupráce medzi generálnymi riaditeľstvami</w:t>
      </w:r>
      <w:r>
        <w:t xml:space="preserve"> a </w:t>
      </w:r>
      <w:r w:rsidRPr="00645757">
        <w:t>monitorovania výkonnosti;</w:t>
      </w:r>
    </w:p>
    <w:p w14:paraId="00423072" w14:textId="472D5122"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odporúča, aby sa</w:t>
      </w:r>
      <w:r>
        <w:t xml:space="preserve"> v </w:t>
      </w:r>
      <w:r w:rsidRPr="00645757">
        <w:t>programe Spravodlivosť kládol väčší dôraz na práva obetí</w:t>
      </w:r>
      <w:r>
        <w:t xml:space="preserve"> a </w:t>
      </w:r>
      <w:r w:rsidRPr="00645757">
        <w:t>prístup</w:t>
      </w:r>
      <w:r>
        <w:t xml:space="preserve"> k </w:t>
      </w:r>
      <w:r w:rsidRPr="00645757">
        <w:t>spravodlivosti vrátane financovania podporných sietí, odbornej prípravy príslušníkov právnického povolania</w:t>
      </w:r>
      <w:r>
        <w:t xml:space="preserve"> a </w:t>
      </w:r>
      <w:r w:rsidRPr="00645757">
        <w:t>cezhraničnej právnej pomoci;</w:t>
      </w:r>
    </w:p>
    <w:p w14:paraId="06493B37" w14:textId="61F4E050"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vyzýva, aby sa riešila nerovnováha vo financovaní</w:t>
      </w:r>
      <w:r>
        <w:t xml:space="preserve"> v </w:t>
      </w:r>
      <w:r w:rsidRPr="00645757">
        <w:t>rámci EÚ, najmä rozdiely medzi východom</w:t>
      </w:r>
      <w:r>
        <w:t xml:space="preserve"> a </w:t>
      </w:r>
      <w:r w:rsidRPr="00645757">
        <w:t>západom</w:t>
      </w:r>
      <w:r>
        <w:t xml:space="preserve"> v </w:t>
      </w:r>
      <w:r w:rsidRPr="00645757">
        <w:t>oboch programoch;</w:t>
      </w:r>
    </w:p>
    <w:p w14:paraId="4271707E" w14:textId="7ABBD29D"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vyjadruje poľutovanie nad tým, že</w:t>
      </w:r>
      <w:r>
        <w:t xml:space="preserve"> z </w:t>
      </w:r>
      <w:r w:rsidRPr="00645757">
        <w:t>nariadenia</w:t>
      </w:r>
      <w:r>
        <w:t xml:space="preserve"> o </w:t>
      </w:r>
      <w:r w:rsidRPr="00645757">
        <w:t xml:space="preserve">programe </w:t>
      </w:r>
      <w:proofErr w:type="spellStart"/>
      <w:r w:rsidRPr="00645757">
        <w:t>AgoraEU</w:t>
      </w:r>
      <w:proofErr w:type="spellEnd"/>
      <w:r w:rsidRPr="00645757">
        <w:t xml:space="preserve"> sa vypustila pracovná skupina pre občiansky dialóg</w:t>
      </w:r>
      <w:r>
        <w:t xml:space="preserve"> a </w:t>
      </w:r>
      <w:r w:rsidRPr="00645757">
        <w:t>naliehavo vyzýva na jej obnovenie;</w:t>
      </w:r>
    </w:p>
    <w:p w14:paraId="14F56CE0" w14:textId="0258D3AA" w:rsidR="00645757" w:rsidRPr="00645757" w:rsidRDefault="00645757" w:rsidP="00CB245F">
      <w:pPr>
        <w:pStyle w:val="ListParagraph"/>
        <w:numPr>
          <w:ilvl w:val="0"/>
          <w:numId w:val="5"/>
        </w:numPr>
        <w:overflowPunct w:val="0"/>
        <w:autoSpaceDE w:val="0"/>
        <w:autoSpaceDN w:val="0"/>
        <w:adjustRightInd w:val="0"/>
        <w:ind w:left="284" w:hanging="284"/>
        <w:textAlignment w:val="baseline"/>
      </w:pPr>
      <w:r w:rsidRPr="00645757">
        <w:t>zdôrazňuje, že vplyv programu závisí od primeranej vnútroštátnej infraštruktúry</w:t>
      </w:r>
      <w:r>
        <w:t xml:space="preserve"> a </w:t>
      </w:r>
      <w:r w:rsidRPr="00645757">
        <w:t>spolufinancovania</w:t>
      </w:r>
      <w:r>
        <w:t xml:space="preserve"> a </w:t>
      </w:r>
      <w:r w:rsidRPr="00645757">
        <w:t>navrhuje uplatňovať spájajúci prístup</w:t>
      </w:r>
      <w:r>
        <w:t xml:space="preserve"> k </w:t>
      </w:r>
      <w:r w:rsidRPr="00645757">
        <w:t xml:space="preserve">fondom EÚ podliehajúcim </w:t>
      </w:r>
      <w:r w:rsidRPr="00645757">
        <w:lastRenderedPageBreak/>
        <w:t>zdieľanému riadeniu</w:t>
      </w:r>
      <w:r>
        <w:t xml:space="preserve"> s </w:t>
      </w:r>
      <w:r w:rsidRPr="00645757">
        <w:t>preukázanou podporou členských štátov, pokiaľ ide</w:t>
      </w:r>
      <w:r>
        <w:t xml:space="preserve"> o </w:t>
      </w:r>
      <w:r w:rsidRPr="00645757">
        <w:t xml:space="preserve">ciele programu </w:t>
      </w:r>
      <w:proofErr w:type="spellStart"/>
      <w:r w:rsidRPr="00645757">
        <w:t>AgoraEU</w:t>
      </w:r>
      <w:proofErr w:type="spellEnd"/>
      <w:r>
        <w:t xml:space="preserve"> a </w:t>
      </w:r>
      <w:r w:rsidRPr="00645757">
        <w:t>programu Spravodlivosť.</w:t>
      </w:r>
    </w:p>
    <w:p w14:paraId="6B957FCD" w14:textId="77777777" w:rsidR="00645757" w:rsidRPr="00645757" w:rsidRDefault="00645757" w:rsidP="00645757">
      <w:pPr>
        <w:pStyle w:val="NormalWeb"/>
        <w:spacing w:before="0" w:beforeAutospacing="0" w:after="0" w:afterAutospacing="0" w:line="288" w:lineRule="auto"/>
        <w:ind w:left="567"/>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645757" w:rsidRPr="00645757" w14:paraId="3923D067" w14:textId="77777777" w:rsidTr="000F1E5F">
        <w:tc>
          <w:tcPr>
            <w:tcW w:w="1210" w:type="dxa"/>
          </w:tcPr>
          <w:p w14:paraId="265E8B91" w14:textId="77777777" w:rsidR="00645757" w:rsidRPr="00645757" w:rsidRDefault="00645757" w:rsidP="000F1E5F">
            <w:pPr>
              <w:spacing w:line="240" w:lineRule="auto"/>
              <w:rPr>
                <w:i/>
              </w:rPr>
            </w:pPr>
            <w:r w:rsidRPr="00645757">
              <w:rPr>
                <w:b/>
                <w:i/>
              </w:rPr>
              <w:t>Kontakt:</w:t>
            </w:r>
          </w:p>
        </w:tc>
        <w:tc>
          <w:tcPr>
            <w:tcW w:w="4493" w:type="dxa"/>
          </w:tcPr>
          <w:p w14:paraId="141D0A60" w14:textId="77777777" w:rsidR="00645757" w:rsidRPr="00645757" w:rsidRDefault="00645757" w:rsidP="000F1E5F">
            <w:pPr>
              <w:spacing w:line="240" w:lineRule="auto"/>
              <w:ind w:hanging="12"/>
              <w:rPr>
                <w:i/>
              </w:rPr>
            </w:pPr>
            <w:proofErr w:type="spellStart"/>
            <w:r w:rsidRPr="00645757">
              <w:rPr>
                <w:i/>
              </w:rPr>
              <w:t>Alessia</w:t>
            </w:r>
            <w:proofErr w:type="spellEnd"/>
            <w:r w:rsidRPr="00645757">
              <w:rPr>
                <w:i/>
              </w:rPr>
              <w:t xml:space="preserve"> </w:t>
            </w:r>
            <w:proofErr w:type="spellStart"/>
            <w:r w:rsidRPr="00645757">
              <w:rPr>
                <w:i/>
              </w:rPr>
              <w:t>Cova</w:t>
            </w:r>
            <w:proofErr w:type="spellEnd"/>
          </w:p>
        </w:tc>
      </w:tr>
      <w:tr w:rsidR="00645757" w:rsidRPr="00645757" w14:paraId="28C4B673" w14:textId="77777777" w:rsidTr="000F1E5F">
        <w:tc>
          <w:tcPr>
            <w:tcW w:w="1210" w:type="dxa"/>
          </w:tcPr>
          <w:p w14:paraId="2DFEDCDB" w14:textId="77777777" w:rsidR="00645757" w:rsidRPr="00645757" w:rsidRDefault="00645757" w:rsidP="000F1E5F">
            <w:pPr>
              <w:spacing w:line="240" w:lineRule="auto"/>
              <w:rPr>
                <w:i/>
              </w:rPr>
            </w:pPr>
            <w:r w:rsidRPr="00645757">
              <w:rPr>
                <w:i/>
              </w:rPr>
              <w:t>Tel.:</w:t>
            </w:r>
          </w:p>
        </w:tc>
        <w:tc>
          <w:tcPr>
            <w:tcW w:w="4493" w:type="dxa"/>
          </w:tcPr>
          <w:p w14:paraId="256B8471" w14:textId="77777777" w:rsidR="00645757" w:rsidRPr="00645757" w:rsidRDefault="00645757" w:rsidP="000F1E5F">
            <w:pPr>
              <w:spacing w:line="240" w:lineRule="auto"/>
              <w:rPr>
                <w:i/>
              </w:rPr>
            </w:pPr>
            <w:r w:rsidRPr="00645757">
              <w:rPr>
                <w:i/>
              </w:rPr>
              <w:t>+32 25469426</w:t>
            </w:r>
          </w:p>
        </w:tc>
      </w:tr>
      <w:tr w:rsidR="00645757" w:rsidRPr="00645757" w14:paraId="19E01A9E" w14:textId="77777777" w:rsidTr="000F1E5F">
        <w:tc>
          <w:tcPr>
            <w:tcW w:w="1210" w:type="dxa"/>
          </w:tcPr>
          <w:p w14:paraId="1D9813A0" w14:textId="77777777" w:rsidR="00645757" w:rsidRPr="00645757" w:rsidRDefault="00645757" w:rsidP="000F1E5F">
            <w:pPr>
              <w:spacing w:line="240" w:lineRule="auto"/>
              <w:rPr>
                <w:i/>
              </w:rPr>
            </w:pPr>
            <w:r w:rsidRPr="00645757">
              <w:rPr>
                <w:i/>
              </w:rPr>
              <w:t>E-mail:</w:t>
            </w:r>
          </w:p>
        </w:tc>
        <w:tc>
          <w:tcPr>
            <w:tcW w:w="4493" w:type="dxa"/>
          </w:tcPr>
          <w:p w14:paraId="6E359D4A" w14:textId="77777777" w:rsidR="00645757" w:rsidRPr="00645757" w:rsidRDefault="00645757" w:rsidP="000F1E5F">
            <w:pPr>
              <w:spacing w:line="240" w:lineRule="auto"/>
              <w:rPr>
                <w:i/>
                <w:iCs/>
              </w:rPr>
            </w:pPr>
            <w:hyperlink r:id="rId24" w:history="1">
              <w:r w:rsidRPr="00645757">
                <w:rPr>
                  <w:rStyle w:val="Hyperlink"/>
                  <w:i/>
                </w:rPr>
                <w:t>Alessia.Cova@eesc.europa.eu</w:t>
              </w:r>
            </w:hyperlink>
          </w:p>
        </w:tc>
      </w:tr>
    </w:tbl>
    <w:p w14:paraId="4982DDC5" w14:textId="04BE9D07" w:rsidR="004D7AC0" w:rsidRPr="00645757" w:rsidRDefault="004D7AC0" w:rsidP="004D7AC0">
      <w:pPr>
        <w:spacing w:after="160" w:line="259" w:lineRule="auto"/>
        <w:jc w:val="left"/>
      </w:pPr>
    </w:p>
    <w:p w14:paraId="4982DDC6" w14:textId="77777777" w:rsidR="004D7AC0" w:rsidRPr="00645757" w:rsidRDefault="004D7AC0" w:rsidP="004D7AC0">
      <w:pPr>
        <w:pStyle w:val="Heading1"/>
        <w:rPr>
          <w:b/>
        </w:rPr>
      </w:pPr>
      <w:bookmarkStart w:id="3" w:name="_Toc24617160"/>
      <w:bookmarkStart w:id="4" w:name="_Toc75527082"/>
      <w:bookmarkStart w:id="5" w:name="_Toc217296976"/>
      <w:r w:rsidRPr="00645757">
        <w:rPr>
          <w:b/>
        </w:rPr>
        <w:t>DOPRAVA, ENERGETIKA, INFRAŠTRUKTÚRA A INFORMAČNÁ SPOLOČNOSŤ</w:t>
      </w:r>
      <w:bookmarkEnd w:id="3"/>
      <w:bookmarkEnd w:id="4"/>
      <w:bookmarkEnd w:id="5"/>
    </w:p>
    <w:p w14:paraId="4982DDC7" w14:textId="77777777" w:rsidR="004D7AC0" w:rsidRPr="00645757" w:rsidRDefault="004D7AC0" w:rsidP="004D7AC0"/>
    <w:p w14:paraId="2E472A1F" w14:textId="7D5FBBCD" w:rsidR="00645757" w:rsidRPr="00645757" w:rsidRDefault="00645757" w:rsidP="00CB245F">
      <w:pPr>
        <w:widowControl w:val="0"/>
        <w:numPr>
          <w:ilvl w:val="0"/>
          <w:numId w:val="4"/>
        </w:numPr>
        <w:overflowPunct w:val="0"/>
        <w:autoSpaceDE w:val="0"/>
        <w:autoSpaceDN w:val="0"/>
        <w:adjustRightInd w:val="0"/>
        <w:spacing w:after="120"/>
        <w:ind w:hanging="567"/>
        <w:textAlignment w:val="baseline"/>
        <w:rPr>
          <w:rStyle w:val="Hyperlink"/>
          <w:sz w:val="20"/>
        </w:rPr>
      </w:pPr>
      <w:hyperlink r:id="rId25" w:history="1">
        <w:r w:rsidRPr="00645757">
          <w:rPr>
            <w:rStyle w:val="Hyperlink"/>
            <w:b/>
            <w:i/>
            <w:sz w:val="28"/>
          </w:rPr>
          <w:t>Trieda emisií CO</w:t>
        </w:r>
        <w:r w:rsidRPr="00645757">
          <w:rPr>
            <w:rStyle w:val="Hyperlink"/>
            <w:b/>
            <w:i/>
            <w:sz w:val="28"/>
            <w:vertAlign w:val="subscript"/>
          </w:rPr>
          <w:t>2</w:t>
        </w:r>
        <w:r w:rsidRPr="00645757">
          <w:rPr>
            <w:rStyle w:val="Hyperlink"/>
            <w:b/>
            <w:i/>
            <w:sz w:val="28"/>
          </w:rPr>
          <w:t xml:space="preserve"> ťažkých úžitkových vozidiel</w:t>
        </w:r>
        <w:r>
          <w:rPr>
            <w:rStyle w:val="Hyperlink"/>
            <w:b/>
            <w:i/>
            <w:sz w:val="28"/>
          </w:rPr>
          <w:t xml:space="preserve"> s </w:t>
        </w:r>
        <w:r w:rsidRPr="00645757">
          <w:rPr>
            <w:rStyle w:val="Hyperlink"/>
            <w:b/>
            <w:i/>
            <w:sz w:val="28"/>
          </w:rPr>
          <w:t>prípojnými vozidlami</w:t>
        </w:r>
      </w:hyperlink>
    </w:p>
    <w:p w14:paraId="46836B10" w14:textId="77777777" w:rsidR="00BC676C" w:rsidRPr="00645757" w:rsidRDefault="00BC676C" w:rsidP="00BC676C">
      <w:pPr>
        <w:widowControl w:val="0"/>
        <w:overflowPunct w:val="0"/>
        <w:autoSpaceDE w:val="0"/>
        <w:autoSpaceDN w:val="0"/>
        <w:adjustRightInd w:val="0"/>
        <w:ind w:left="567"/>
        <w:textAlignment w:val="baseline"/>
        <w:rPr>
          <w:sz w:val="20"/>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5757" w:rsidRPr="00645757" w14:paraId="75FD1EA2" w14:textId="77777777" w:rsidTr="000F1E5F">
        <w:tc>
          <w:tcPr>
            <w:tcW w:w="1701" w:type="dxa"/>
          </w:tcPr>
          <w:p w14:paraId="0094402C" w14:textId="77777777" w:rsidR="00645757" w:rsidRPr="00645757" w:rsidRDefault="00645757" w:rsidP="000F1E5F">
            <w:pPr>
              <w:tabs>
                <w:tab w:val="center" w:pos="284"/>
              </w:tabs>
              <w:ind w:left="596" w:hanging="709"/>
              <w:rPr>
                <w:b/>
              </w:rPr>
            </w:pPr>
            <w:r w:rsidRPr="00645757">
              <w:rPr>
                <w:b/>
              </w:rPr>
              <w:t>Spravodajca:</w:t>
            </w:r>
          </w:p>
        </w:tc>
        <w:tc>
          <w:tcPr>
            <w:tcW w:w="7621" w:type="dxa"/>
          </w:tcPr>
          <w:p w14:paraId="526E8BFC" w14:textId="77777777" w:rsidR="00645757" w:rsidRPr="00645757" w:rsidRDefault="00645757" w:rsidP="000F1E5F">
            <w:pPr>
              <w:tabs>
                <w:tab w:val="center" w:pos="284"/>
              </w:tabs>
              <w:ind w:left="720" w:hanging="720"/>
              <w:rPr>
                <w:bCs/>
              </w:rPr>
            </w:pPr>
            <w:r w:rsidRPr="00645757">
              <w:t>stanovisko kategórie C</w:t>
            </w:r>
          </w:p>
        </w:tc>
      </w:tr>
      <w:tr w:rsidR="00645757" w:rsidRPr="00645757" w14:paraId="7DFFE681" w14:textId="77777777" w:rsidTr="000F1E5F">
        <w:tc>
          <w:tcPr>
            <w:tcW w:w="1701" w:type="dxa"/>
          </w:tcPr>
          <w:p w14:paraId="0A8D1B39" w14:textId="77777777" w:rsidR="00645757" w:rsidRPr="00645757" w:rsidRDefault="00645757" w:rsidP="000F1E5F">
            <w:pPr>
              <w:tabs>
                <w:tab w:val="center" w:pos="284"/>
              </w:tabs>
              <w:ind w:left="596" w:hanging="709"/>
              <w:rPr>
                <w:b/>
              </w:rPr>
            </w:pPr>
            <w:proofErr w:type="spellStart"/>
            <w:r w:rsidRPr="00645757">
              <w:rPr>
                <w:b/>
              </w:rPr>
              <w:t>Ref</w:t>
            </w:r>
            <w:proofErr w:type="spellEnd"/>
            <w:r w:rsidRPr="00645757">
              <w:rPr>
                <w:b/>
              </w:rPr>
              <w:t>.:</w:t>
            </w:r>
          </w:p>
        </w:tc>
        <w:tc>
          <w:tcPr>
            <w:tcW w:w="7621" w:type="dxa"/>
          </w:tcPr>
          <w:p w14:paraId="625A229C" w14:textId="77777777" w:rsidR="00645757" w:rsidRPr="00645757" w:rsidRDefault="00645757" w:rsidP="000F1E5F">
            <w:pPr>
              <w:tabs>
                <w:tab w:val="center" w:pos="284"/>
              </w:tabs>
              <w:ind w:left="720" w:hanging="720"/>
              <w:rPr>
                <w:bCs/>
              </w:rPr>
            </w:pPr>
            <w:r w:rsidRPr="00645757">
              <w:t xml:space="preserve">COM(2025) 589 </w:t>
            </w:r>
            <w:proofErr w:type="spellStart"/>
            <w:r w:rsidRPr="00645757">
              <w:t>final</w:t>
            </w:r>
            <w:proofErr w:type="spellEnd"/>
            <w:r w:rsidRPr="00645757">
              <w:t> – 2023/0134 (COD)</w:t>
            </w:r>
          </w:p>
          <w:p w14:paraId="36EEB0C2" w14:textId="77777777" w:rsidR="00645757" w:rsidRPr="00645757" w:rsidRDefault="00645757" w:rsidP="000F1E5F">
            <w:pPr>
              <w:tabs>
                <w:tab w:val="center" w:pos="284"/>
              </w:tabs>
              <w:ind w:left="720" w:hanging="720"/>
            </w:pPr>
            <w:r w:rsidRPr="00645757">
              <w:t>EESC-2023-03779-00-AC</w:t>
            </w:r>
          </w:p>
        </w:tc>
      </w:tr>
    </w:tbl>
    <w:p w14:paraId="5D3ACF82" w14:textId="77777777" w:rsidR="00645757" w:rsidRPr="00645757" w:rsidRDefault="00645757" w:rsidP="00645757">
      <w:pPr>
        <w:keepNext/>
        <w:keepLines/>
        <w:tabs>
          <w:tab w:val="center" w:pos="284"/>
        </w:tabs>
        <w:ind w:left="720" w:hanging="720"/>
        <w:rPr>
          <w:b/>
        </w:rPr>
      </w:pPr>
    </w:p>
    <w:p w14:paraId="343796C1" w14:textId="77777777" w:rsidR="00645757" w:rsidRPr="00645757" w:rsidRDefault="00645757" w:rsidP="00645757">
      <w:pPr>
        <w:keepNext/>
        <w:keepLines/>
        <w:tabs>
          <w:tab w:val="center" w:pos="284"/>
        </w:tabs>
        <w:ind w:left="720" w:hanging="720"/>
        <w:rPr>
          <w:b/>
        </w:rPr>
      </w:pPr>
      <w:r w:rsidRPr="00645757">
        <w:rPr>
          <w:b/>
        </w:rPr>
        <w:t>Hlavné body</w:t>
      </w:r>
    </w:p>
    <w:p w14:paraId="539F2C80" w14:textId="77777777" w:rsidR="00645757" w:rsidRPr="00645757" w:rsidRDefault="00645757" w:rsidP="00645757">
      <w:pPr>
        <w:keepNext/>
        <w:keepLines/>
        <w:tabs>
          <w:tab w:val="center" w:pos="284"/>
        </w:tabs>
        <w:ind w:left="720" w:hanging="720"/>
        <w:rPr>
          <w:b/>
        </w:rPr>
      </w:pPr>
    </w:p>
    <w:p w14:paraId="1C7B01CB" w14:textId="34177A73" w:rsidR="00645757" w:rsidRPr="00645757" w:rsidRDefault="00645757" w:rsidP="00CB245F">
      <w:pPr>
        <w:pStyle w:val="ListParagraph"/>
        <w:numPr>
          <w:ilvl w:val="0"/>
          <w:numId w:val="5"/>
        </w:numPr>
        <w:overflowPunct w:val="0"/>
        <w:autoSpaceDE w:val="0"/>
        <w:autoSpaceDN w:val="0"/>
        <w:adjustRightInd w:val="0"/>
        <w:ind w:left="284" w:hanging="284"/>
        <w:textAlignment w:val="baseline"/>
        <w:rPr>
          <w:bCs/>
          <w:iCs/>
        </w:rPr>
      </w:pPr>
      <w:r w:rsidRPr="00645757">
        <w:t>Keďže výbor sa už</w:t>
      </w:r>
      <w:r>
        <w:t xml:space="preserve"> k </w:t>
      </w:r>
      <w:r w:rsidRPr="00645757">
        <w:t>obsahu návrhu vyjadril vo svojom stanovisku TEN/815 – </w:t>
      </w:r>
      <w:r w:rsidRPr="00645757">
        <w:rPr>
          <w:i/>
          <w:iCs/>
        </w:rPr>
        <w:t>Trieda emisií CO2 ťažkých úžitkových vozidiel</w:t>
      </w:r>
      <w:r>
        <w:rPr>
          <w:i/>
          <w:iCs/>
        </w:rPr>
        <w:t xml:space="preserve"> s </w:t>
      </w:r>
      <w:r w:rsidRPr="00645757">
        <w:rPr>
          <w:i/>
          <w:iCs/>
        </w:rPr>
        <w:t>prípojnými vozidlami</w:t>
      </w:r>
      <w:r w:rsidRPr="00645757">
        <w:t xml:space="preserve"> [</w:t>
      </w:r>
      <w:hyperlink r:id="rId26" w:history="1">
        <w:r w:rsidRPr="00645757">
          <w:rPr>
            <w:rStyle w:val="Hyperlink"/>
          </w:rPr>
          <w:t>C/2023/874</w:t>
        </w:r>
      </w:hyperlink>
      <w:r w:rsidRPr="00645757">
        <w:t>] prijatom 20</w:t>
      </w:r>
      <w:r>
        <w:t>. septembra</w:t>
      </w:r>
      <w:r w:rsidRPr="00645757">
        <w:t xml:space="preserve"> 2023, rozhodol sa nevypracovať nové stanovisko na túto tému, ale odkázať na postoj, ktorý zaujal</w:t>
      </w:r>
      <w:r>
        <w:t xml:space="preserve"> v </w:t>
      </w:r>
      <w:r w:rsidRPr="00645757">
        <w:t>spomínanom dokumente.</w:t>
      </w:r>
    </w:p>
    <w:p w14:paraId="360093AD" w14:textId="77777777" w:rsidR="00645757" w:rsidRPr="00645757" w:rsidRDefault="00645757" w:rsidP="00645757">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45757" w:rsidRPr="00645757" w14:paraId="5C85402E" w14:textId="77777777" w:rsidTr="000F1E5F">
        <w:tc>
          <w:tcPr>
            <w:tcW w:w="1418" w:type="dxa"/>
          </w:tcPr>
          <w:p w14:paraId="4F2E1FE6" w14:textId="77777777" w:rsidR="00645757" w:rsidRPr="00645757" w:rsidRDefault="00645757" w:rsidP="000F1E5F">
            <w:pPr>
              <w:ind w:left="720" w:hanging="720"/>
              <w:rPr>
                <w:i/>
              </w:rPr>
            </w:pPr>
            <w:r w:rsidRPr="00645757">
              <w:rPr>
                <w:b/>
                <w:i/>
              </w:rPr>
              <w:t>Kontakt:</w:t>
            </w:r>
          </w:p>
        </w:tc>
        <w:tc>
          <w:tcPr>
            <w:tcW w:w="7904" w:type="dxa"/>
          </w:tcPr>
          <w:p w14:paraId="378AA268" w14:textId="77777777" w:rsidR="00645757" w:rsidRPr="00645757" w:rsidRDefault="00645757" w:rsidP="000F1E5F">
            <w:pPr>
              <w:ind w:left="720" w:hanging="720"/>
              <w:rPr>
                <w:i/>
              </w:rPr>
            </w:pPr>
            <w:r w:rsidRPr="00645757">
              <w:rPr>
                <w:i/>
              </w:rPr>
              <w:t>Maja RADMAN</w:t>
            </w:r>
          </w:p>
        </w:tc>
      </w:tr>
      <w:tr w:rsidR="00645757" w:rsidRPr="00645757" w14:paraId="48C96A3B" w14:textId="77777777" w:rsidTr="000F1E5F">
        <w:tc>
          <w:tcPr>
            <w:tcW w:w="1418" w:type="dxa"/>
          </w:tcPr>
          <w:p w14:paraId="7EFBFABA" w14:textId="77777777" w:rsidR="00645757" w:rsidRPr="00645757" w:rsidRDefault="00645757" w:rsidP="000F1E5F">
            <w:pPr>
              <w:ind w:left="720" w:hanging="720"/>
              <w:rPr>
                <w:i/>
              </w:rPr>
            </w:pPr>
            <w:r w:rsidRPr="00645757">
              <w:rPr>
                <w:i/>
              </w:rPr>
              <w:t>Tel.:</w:t>
            </w:r>
          </w:p>
        </w:tc>
        <w:tc>
          <w:tcPr>
            <w:tcW w:w="7904" w:type="dxa"/>
          </w:tcPr>
          <w:p w14:paraId="23CE9F7E" w14:textId="77777777" w:rsidR="00645757" w:rsidRPr="00645757" w:rsidRDefault="00645757" w:rsidP="000F1E5F">
            <w:pPr>
              <w:ind w:left="720" w:hanging="720"/>
              <w:rPr>
                <w:i/>
              </w:rPr>
            </w:pPr>
            <w:r w:rsidRPr="00645757">
              <w:rPr>
                <w:i/>
              </w:rPr>
              <w:t>+32 254690</w:t>
            </w:r>
            <w:r w:rsidRPr="00645757">
              <w:t>51</w:t>
            </w:r>
          </w:p>
        </w:tc>
      </w:tr>
      <w:tr w:rsidR="00645757" w:rsidRPr="00645757" w14:paraId="63592596" w14:textId="77777777" w:rsidTr="000F1E5F">
        <w:tc>
          <w:tcPr>
            <w:tcW w:w="1418" w:type="dxa"/>
          </w:tcPr>
          <w:p w14:paraId="71FD41E2" w14:textId="77777777" w:rsidR="00645757" w:rsidRPr="00645757" w:rsidRDefault="00645757" w:rsidP="000F1E5F">
            <w:pPr>
              <w:ind w:left="720" w:hanging="720"/>
              <w:rPr>
                <w:i/>
              </w:rPr>
            </w:pPr>
            <w:r w:rsidRPr="00645757">
              <w:rPr>
                <w:i/>
              </w:rPr>
              <w:t>E-mail:</w:t>
            </w:r>
          </w:p>
        </w:tc>
        <w:tc>
          <w:tcPr>
            <w:tcW w:w="7904" w:type="dxa"/>
          </w:tcPr>
          <w:p w14:paraId="1BD55CE3" w14:textId="77777777" w:rsidR="00645757" w:rsidRPr="00645757" w:rsidRDefault="00645757" w:rsidP="000F1E5F">
            <w:pPr>
              <w:ind w:left="720" w:hanging="720"/>
              <w:rPr>
                <w:i/>
              </w:rPr>
            </w:pPr>
            <w:hyperlink r:id="rId27" w:history="1">
              <w:r w:rsidRPr="00645757">
                <w:rPr>
                  <w:rStyle w:val="Hyperlink"/>
                  <w:i/>
                </w:rPr>
                <w:t>Maja.Radman@eesc.europa.eu</w:t>
              </w:r>
            </w:hyperlink>
          </w:p>
        </w:tc>
      </w:tr>
    </w:tbl>
    <w:p w14:paraId="4982DDEF" w14:textId="77777777" w:rsidR="004D7AC0" w:rsidRPr="00645757" w:rsidRDefault="004D7AC0" w:rsidP="004D7AC0">
      <w:pPr>
        <w:pStyle w:val="ListParagraph"/>
        <w:ind w:left="0"/>
      </w:pPr>
    </w:p>
    <w:p w14:paraId="4982DDF0" w14:textId="09A1E184" w:rsidR="0005334D" w:rsidRPr="00645757" w:rsidRDefault="0005334D">
      <w:pPr>
        <w:spacing w:after="160" w:line="259" w:lineRule="auto"/>
        <w:jc w:val="left"/>
      </w:pPr>
      <w:r w:rsidRPr="00645757">
        <w:br w:type="page"/>
      </w:r>
    </w:p>
    <w:p w14:paraId="225530F0" w14:textId="77777777" w:rsidR="004D7AC0" w:rsidRPr="00645757" w:rsidRDefault="004D7AC0" w:rsidP="004D7AC0">
      <w:pPr>
        <w:pStyle w:val="ListParagraph"/>
        <w:ind w:left="0"/>
      </w:pPr>
    </w:p>
    <w:p w14:paraId="15C6E6D3" w14:textId="73CA2F9F" w:rsidR="0005334D" w:rsidRPr="00645757" w:rsidRDefault="0005334D" w:rsidP="00CB245F">
      <w:pPr>
        <w:widowControl w:val="0"/>
        <w:numPr>
          <w:ilvl w:val="0"/>
          <w:numId w:val="4"/>
        </w:numPr>
        <w:overflowPunct w:val="0"/>
        <w:autoSpaceDE w:val="0"/>
        <w:autoSpaceDN w:val="0"/>
        <w:adjustRightInd w:val="0"/>
        <w:spacing w:after="120"/>
        <w:ind w:hanging="567"/>
        <w:textAlignment w:val="baseline"/>
        <w:rPr>
          <w:color w:val="0000FF"/>
          <w:sz w:val="24"/>
          <w:szCs w:val="24"/>
          <w:u w:val="single"/>
        </w:rPr>
      </w:pPr>
      <w:r w:rsidRPr="00645757">
        <w:rPr>
          <w:b/>
          <w:i/>
          <w:sz w:val="28"/>
        </w:rPr>
        <w:fldChar w:fldCharType="begin"/>
      </w:r>
      <w:r w:rsidRPr="00645757">
        <w:rPr>
          <w:b/>
          <w:i/>
          <w:sz w:val="28"/>
        </w:rPr>
        <w:instrText xml:space="preserve"> HYPERLINK "https://www.eesc.europa.eu/en/our-work/opinions-information-reports/opinions/eu-space-act" </w:instrText>
      </w:r>
      <w:r w:rsidRPr="00645757">
        <w:rPr>
          <w:b/>
          <w:i/>
          <w:sz w:val="28"/>
        </w:rPr>
        <w:fldChar w:fldCharType="separate"/>
      </w:r>
      <w:r w:rsidR="002179FF" w:rsidRPr="00645757">
        <w:t xml:space="preserve"> </w:t>
      </w:r>
      <w:r w:rsidR="002179FF" w:rsidRPr="00645757">
        <w:rPr>
          <w:b/>
          <w:i/>
          <w:color w:val="0000FF"/>
          <w:sz w:val="28"/>
          <w:u w:val="single"/>
        </w:rPr>
        <w:t>Akt EÚ</w:t>
      </w:r>
      <w:r w:rsidR="00645757">
        <w:rPr>
          <w:b/>
          <w:i/>
          <w:color w:val="0000FF"/>
          <w:sz w:val="28"/>
          <w:u w:val="single"/>
        </w:rPr>
        <w:t xml:space="preserve"> o </w:t>
      </w:r>
      <w:r w:rsidR="002179FF" w:rsidRPr="00645757">
        <w:rPr>
          <w:b/>
          <w:i/>
          <w:color w:val="0000FF"/>
          <w:sz w:val="28"/>
          <w:u w:val="single"/>
        </w:rPr>
        <w:t>vesmíre</w:t>
      </w:r>
    </w:p>
    <w:p w14:paraId="0A91F32A" w14:textId="77777777" w:rsidR="0005334D" w:rsidRPr="00645757" w:rsidRDefault="0005334D" w:rsidP="0005334D">
      <w:pPr>
        <w:tabs>
          <w:tab w:val="center" w:pos="284"/>
        </w:tabs>
        <w:overflowPunct w:val="0"/>
        <w:autoSpaceDE w:val="0"/>
        <w:autoSpaceDN w:val="0"/>
        <w:adjustRightInd w:val="0"/>
        <w:ind w:left="266" w:hanging="266"/>
        <w:textAlignment w:val="baseline"/>
        <w:rPr>
          <w:b/>
          <w:sz w:val="14"/>
        </w:rPr>
      </w:pPr>
      <w:r w:rsidRPr="00645757">
        <w:rPr>
          <w:b/>
          <w:i/>
          <w:sz w:val="28"/>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2179FF" w:rsidRPr="00645757" w14:paraId="4EB7E18F" w14:textId="77777777" w:rsidTr="000F1E5F">
        <w:tc>
          <w:tcPr>
            <w:tcW w:w="1701" w:type="dxa"/>
          </w:tcPr>
          <w:p w14:paraId="7991AB11" w14:textId="77777777" w:rsidR="002179FF" w:rsidRPr="00645757" w:rsidRDefault="002179FF" w:rsidP="000F1E5F">
            <w:pPr>
              <w:tabs>
                <w:tab w:val="center" w:pos="284"/>
              </w:tabs>
              <w:ind w:left="266" w:hanging="266"/>
              <w:rPr>
                <w:b/>
              </w:rPr>
            </w:pPr>
            <w:r w:rsidRPr="00645757">
              <w:rPr>
                <w:b/>
              </w:rPr>
              <w:t>Spravodajca:</w:t>
            </w:r>
          </w:p>
        </w:tc>
        <w:tc>
          <w:tcPr>
            <w:tcW w:w="5387" w:type="dxa"/>
          </w:tcPr>
          <w:p w14:paraId="645C9473" w14:textId="77777777" w:rsidR="002179FF" w:rsidRPr="00645757" w:rsidRDefault="002179FF" w:rsidP="000F1E5F">
            <w:pPr>
              <w:tabs>
                <w:tab w:val="center" w:pos="284"/>
              </w:tabs>
              <w:ind w:left="266" w:hanging="266"/>
            </w:pPr>
            <w:proofErr w:type="spellStart"/>
            <w:r w:rsidRPr="00645757">
              <w:t>Angelo</w:t>
            </w:r>
            <w:proofErr w:type="spellEnd"/>
            <w:r w:rsidRPr="00645757">
              <w:t xml:space="preserve"> PAGLIARA (skupina Pracovníci – IT)</w:t>
            </w:r>
          </w:p>
        </w:tc>
      </w:tr>
      <w:tr w:rsidR="002179FF" w:rsidRPr="00645757" w14:paraId="7BE1E856" w14:textId="77777777" w:rsidTr="000F1E5F">
        <w:tc>
          <w:tcPr>
            <w:tcW w:w="7088" w:type="dxa"/>
            <w:gridSpan w:val="2"/>
          </w:tcPr>
          <w:p w14:paraId="7F55065C" w14:textId="77777777" w:rsidR="002179FF" w:rsidRPr="00645757" w:rsidRDefault="002179FF" w:rsidP="000F1E5F">
            <w:pPr>
              <w:tabs>
                <w:tab w:val="center" w:pos="284"/>
              </w:tabs>
              <w:spacing w:line="160" w:lineRule="exact"/>
              <w:ind w:left="266" w:hanging="266"/>
            </w:pPr>
          </w:p>
        </w:tc>
      </w:tr>
      <w:tr w:rsidR="002179FF" w:rsidRPr="00645757" w14:paraId="31657220" w14:textId="77777777" w:rsidTr="000F1E5F">
        <w:tc>
          <w:tcPr>
            <w:tcW w:w="1701" w:type="dxa"/>
            <w:vMerge w:val="restart"/>
          </w:tcPr>
          <w:p w14:paraId="249B2142" w14:textId="77777777" w:rsidR="002179FF" w:rsidRPr="00645757" w:rsidRDefault="002179FF" w:rsidP="000F1E5F">
            <w:pPr>
              <w:tabs>
                <w:tab w:val="center" w:pos="284"/>
              </w:tabs>
              <w:ind w:left="266" w:hanging="266"/>
              <w:rPr>
                <w:b/>
              </w:rPr>
            </w:pPr>
            <w:proofErr w:type="spellStart"/>
            <w:r w:rsidRPr="00645757">
              <w:rPr>
                <w:b/>
              </w:rPr>
              <w:t>Ref</w:t>
            </w:r>
            <w:proofErr w:type="spellEnd"/>
            <w:r w:rsidRPr="00645757">
              <w:rPr>
                <w:b/>
              </w:rPr>
              <w:t xml:space="preserve">.: </w:t>
            </w:r>
          </w:p>
        </w:tc>
        <w:tc>
          <w:tcPr>
            <w:tcW w:w="5387" w:type="dxa"/>
          </w:tcPr>
          <w:p w14:paraId="6E5797BF" w14:textId="77777777" w:rsidR="002179FF" w:rsidRPr="00645757" w:rsidRDefault="002179FF" w:rsidP="000F1E5F">
            <w:pPr>
              <w:tabs>
                <w:tab w:val="center" w:pos="284"/>
              </w:tabs>
              <w:ind w:left="266" w:hanging="266"/>
            </w:pPr>
            <w:r w:rsidRPr="00645757">
              <w:t xml:space="preserve">COM(2025)335 </w:t>
            </w:r>
            <w:proofErr w:type="spellStart"/>
            <w:r w:rsidRPr="00645757">
              <w:t>final</w:t>
            </w:r>
            <w:proofErr w:type="spellEnd"/>
            <w:r w:rsidRPr="00645757">
              <w:t xml:space="preserve"> 2025</w:t>
            </w:r>
          </w:p>
        </w:tc>
      </w:tr>
      <w:tr w:rsidR="002179FF" w:rsidRPr="00645757" w14:paraId="1B41056C" w14:textId="77777777" w:rsidTr="000F1E5F">
        <w:tc>
          <w:tcPr>
            <w:tcW w:w="1701" w:type="dxa"/>
            <w:vMerge/>
          </w:tcPr>
          <w:p w14:paraId="1BD7F34B" w14:textId="77777777" w:rsidR="002179FF" w:rsidRPr="00645757" w:rsidRDefault="002179FF" w:rsidP="000F1E5F">
            <w:pPr>
              <w:tabs>
                <w:tab w:val="center" w:pos="284"/>
              </w:tabs>
              <w:ind w:left="266" w:hanging="266"/>
              <w:rPr>
                <w:b/>
              </w:rPr>
            </w:pPr>
          </w:p>
        </w:tc>
        <w:tc>
          <w:tcPr>
            <w:tcW w:w="5387" w:type="dxa"/>
          </w:tcPr>
          <w:p w14:paraId="469D4A87" w14:textId="77777777" w:rsidR="002179FF" w:rsidRPr="00645757" w:rsidRDefault="002179FF" w:rsidP="000F1E5F">
            <w:pPr>
              <w:tabs>
                <w:tab w:val="center" w:pos="284"/>
              </w:tabs>
              <w:ind w:left="266" w:hanging="266"/>
            </w:pPr>
            <w:r w:rsidRPr="00645757">
              <w:t>EESC-2024-00225-00-00-AC</w:t>
            </w:r>
          </w:p>
        </w:tc>
      </w:tr>
    </w:tbl>
    <w:p w14:paraId="2879B4B0" w14:textId="77777777" w:rsidR="002179FF" w:rsidRPr="00645757" w:rsidRDefault="002179FF" w:rsidP="002179FF">
      <w:pPr>
        <w:tabs>
          <w:tab w:val="center" w:pos="284"/>
        </w:tabs>
        <w:ind w:left="266" w:hanging="266"/>
        <w:rPr>
          <w:sz w:val="14"/>
          <w:szCs w:val="14"/>
        </w:rPr>
      </w:pPr>
    </w:p>
    <w:p w14:paraId="60157D1B" w14:textId="77777777" w:rsidR="002179FF" w:rsidRPr="00645757" w:rsidRDefault="002179FF" w:rsidP="002179FF">
      <w:pPr>
        <w:keepNext/>
        <w:keepLines/>
        <w:tabs>
          <w:tab w:val="center" w:pos="284"/>
        </w:tabs>
        <w:ind w:left="266" w:hanging="266"/>
        <w:rPr>
          <w:b/>
        </w:rPr>
      </w:pPr>
      <w:r w:rsidRPr="00645757">
        <w:rPr>
          <w:b/>
        </w:rPr>
        <w:t>Hlavné body</w:t>
      </w:r>
    </w:p>
    <w:p w14:paraId="336D655A" w14:textId="77777777" w:rsidR="002179FF" w:rsidRPr="00645757" w:rsidRDefault="002179FF" w:rsidP="002179FF">
      <w:pPr>
        <w:keepNext/>
        <w:keepLines/>
        <w:tabs>
          <w:tab w:val="center" w:pos="284"/>
        </w:tabs>
        <w:ind w:left="266" w:hanging="266"/>
        <w:rPr>
          <w:b/>
        </w:rPr>
      </w:pPr>
    </w:p>
    <w:p w14:paraId="06D600CB" w14:textId="77777777" w:rsidR="002179FF" w:rsidRPr="00645757" w:rsidRDefault="002179FF" w:rsidP="002179FF">
      <w:pPr>
        <w:rPr>
          <w:bCs/>
          <w:iCs/>
        </w:rPr>
      </w:pPr>
      <w:r w:rsidRPr="00645757">
        <w:t>EHSV:</w:t>
      </w:r>
    </w:p>
    <w:p w14:paraId="5AE93014" w14:textId="77777777" w:rsidR="002179FF" w:rsidRPr="00645757" w:rsidRDefault="002179FF" w:rsidP="002179FF">
      <w:pPr>
        <w:rPr>
          <w:bCs/>
          <w:iCs/>
        </w:rPr>
      </w:pPr>
    </w:p>
    <w:p w14:paraId="3EE66248" w14:textId="49E6B94A"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odporúča, aby sa štrukturálne</w:t>
      </w:r>
      <w:r w:rsidR="00645757">
        <w:t xml:space="preserve"> a </w:t>
      </w:r>
      <w:r w:rsidRPr="00645757">
        <w:t xml:space="preserve">bezodkladne </w:t>
      </w:r>
      <w:r w:rsidRPr="00645757">
        <w:rPr>
          <w:b/>
          <w:bCs/>
        </w:rPr>
        <w:t>zvýšili európske verejné investície do vesmíru</w:t>
      </w:r>
      <w:r w:rsidR="00645757">
        <w:t xml:space="preserve"> a </w:t>
      </w:r>
      <w:r w:rsidRPr="00645757">
        <w:t xml:space="preserve">aby sa vesmírne investície zvýšili </w:t>
      </w:r>
      <w:r w:rsidRPr="00645757">
        <w:rPr>
          <w:b/>
          <w:bCs/>
        </w:rPr>
        <w:t>do roku 2030 aspoň na 0,2</w:t>
      </w:r>
      <w:r w:rsidR="00645757">
        <w:rPr>
          <w:b/>
          <w:bCs/>
        </w:rPr>
        <w:t> %</w:t>
      </w:r>
      <w:r w:rsidRPr="00645757">
        <w:rPr>
          <w:b/>
          <w:bCs/>
        </w:rPr>
        <w:t xml:space="preserve"> HDP</w:t>
      </w:r>
      <w:r w:rsidRPr="00645757">
        <w:t>;</w:t>
      </w:r>
    </w:p>
    <w:p w14:paraId="27553707" w14:textId="0951133F"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odporúča </w:t>
      </w:r>
      <w:r w:rsidRPr="00645757">
        <w:rPr>
          <w:b/>
          <w:bCs/>
        </w:rPr>
        <w:t>vysvetliť, ako môže článok 114 zmluvy predstavovať právny základ pre vytvorenie</w:t>
      </w:r>
      <w:r w:rsidR="00645757">
        <w:rPr>
          <w:b/>
          <w:bCs/>
        </w:rPr>
        <w:t xml:space="preserve"> a </w:t>
      </w:r>
      <w:r w:rsidRPr="00645757">
        <w:rPr>
          <w:b/>
          <w:bCs/>
        </w:rPr>
        <w:t>fungovanie vnútorného trhu</w:t>
      </w:r>
      <w:r w:rsidR="00645757">
        <w:rPr>
          <w:b/>
          <w:bCs/>
        </w:rPr>
        <w:t xml:space="preserve"> s </w:t>
      </w:r>
      <w:r w:rsidRPr="00645757">
        <w:rPr>
          <w:b/>
          <w:bCs/>
        </w:rPr>
        <w:t>produktmi, službami</w:t>
      </w:r>
      <w:r w:rsidR="00645757">
        <w:rPr>
          <w:b/>
          <w:bCs/>
        </w:rPr>
        <w:t xml:space="preserve"> a </w:t>
      </w:r>
      <w:r w:rsidRPr="00645757">
        <w:rPr>
          <w:b/>
          <w:bCs/>
        </w:rPr>
        <w:t>údajmi súvisiacimi</w:t>
      </w:r>
      <w:r w:rsidR="00645757">
        <w:rPr>
          <w:b/>
          <w:bCs/>
        </w:rPr>
        <w:t xml:space="preserve"> s </w:t>
      </w:r>
      <w:r w:rsidRPr="00645757">
        <w:rPr>
          <w:b/>
          <w:bCs/>
        </w:rPr>
        <w:t>vesmírom</w:t>
      </w:r>
      <w:r w:rsidR="00645757">
        <w:t xml:space="preserve"> a </w:t>
      </w:r>
      <w:r w:rsidRPr="00645757">
        <w:t>navrhuje, aby sa ustanovenia aktu</w:t>
      </w:r>
      <w:r w:rsidR="00645757">
        <w:t xml:space="preserve"> o </w:t>
      </w:r>
      <w:r w:rsidRPr="00645757">
        <w:t xml:space="preserve">vesmíre vykladali so zreteľom na </w:t>
      </w:r>
      <w:r w:rsidRPr="00645757">
        <w:rPr>
          <w:b/>
          <w:bCs/>
        </w:rPr>
        <w:t>medzinárodné záväzky, ktoré už členské štáty</w:t>
      </w:r>
      <w:r w:rsidR="00645757">
        <w:rPr>
          <w:b/>
          <w:bCs/>
        </w:rPr>
        <w:t xml:space="preserve"> v </w:t>
      </w:r>
      <w:r w:rsidRPr="00645757">
        <w:rPr>
          <w:b/>
          <w:bCs/>
        </w:rPr>
        <w:t>súvislosti</w:t>
      </w:r>
      <w:r w:rsidR="00645757">
        <w:rPr>
          <w:b/>
          <w:bCs/>
        </w:rPr>
        <w:t xml:space="preserve"> s </w:t>
      </w:r>
      <w:r w:rsidRPr="00645757">
        <w:rPr>
          <w:b/>
          <w:bCs/>
        </w:rPr>
        <w:t>vesmírnymi činnosťami prijali</w:t>
      </w:r>
      <w:r w:rsidRPr="00645757">
        <w:t>;</w:t>
      </w:r>
    </w:p>
    <w:p w14:paraId="0B2CDD57" w14:textId="128BF336"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odporúča objasniť dôvody, </w:t>
      </w:r>
      <w:r w:rsidRPr="00645757">
        <w:rPr>
          <w:b/>
          <w:bCs/>
        </w:rPr>
        <w:t>prečo sa</w:t>
      </w:r>
      <w:r w:rsidR="00645757">
        <w:rPr>
          <w:b/>
          <w:bCs/>
        </w:rPr>
        <w:t xml:space="preserve"> v </w:t>
      </w:r>
      <w:r w:rsidRPr="00645757">
        <w:rPr>
          <w:b/>
          <w:bCs/>
        </w:rPr>
        <w:t>hlave I uvádza len kritérium členského štátu,</w:t>
      </w:r>
      <w:r w:rsidR="00645757">
        <w:rPr>
          <w:b/>
          <w:bCs/>
        </w:rPr>
        <w:t xml:space="preserve"> v </w:t>
      </w:r>
      <w:r w:rsidRPr="00645757">
        <w:rPr>
          <w:b/>
          <w:bCs/>
        </w:rPr>
        <w:t>ktorom je vesmírny prevádzkovateľ</w:t>
      </w:r>
      <w:r w:rsidRPr="00645757">
        <w:t xml:space="preserve"> Únie alebo</w:t>
      </w:r>
      <w:r w:rsidR="00645757">
        <w:t xml:space="preserve"> z </w:t>
      </w:r>
      <w:r w:rsidRPr="00645757">
        <w:t>tretej krajiny usadený, pričom sa vôbec nespomína štátna príslušnosť</w:t>
      </w:r>
      <w:r w:rsidR="00645757">
        <w:t xml:space="preserve"> a </w:t>
      </w:r>
      <w:r w:rsidRPr="00645757">
        <w:t xml:space="preserve">odporúča </w:t>
      </w:r>
      <w:r w:rsidRPr="00645757">
        <w:rPr>
          <w:b/>
          <w:bCs/>
        </w:rPr>
        <w:t>vysvetliť článok 6 ods. 3, aby sa zabezpečila lepšia koordinácia</w:t>
      </w:r>
      <w:r w:rsidR="00645757">
        <w:rPr>
          <w:b/>
          <w:bCs/>
        </w:rPr>
        <w:t xml:space="preserve"> s </w:t>
      </w:r>
      <w:r w:rsidRPr="00645757">
        <w:rPr>
          <w:b/>
          <w:bCs/>
        </w:rPr>
        <w:t>vnútroštátnymi právnymi predpismi členských štátov</w:t>
      </w:r>
      <w:r w:rsidR="00645757">
        <w:rPr>
          <w:b/>
          <w:bCs/>
        </w:rPr>
        <w:t xml:space="preserve"> v </w:t>
      </w:r>
      <w:r w:rsidRPr="00645757">
        <w:rPr>
          <w:b/>
          <w:bCs/>
        </w:rPr>
        <w:t>oblasti vesmíru</w:t>
      </w:r>
      <w:r w:rsidRPr="00645757">
        <w:t>,</w:t>
      </w:r>
      <w:r w:rsidR="00645757">
        <w:t xml:space="preserve"> v </w:t>
      </w:r>
      <w:r w:rsidRPr="00645757">
        <w:t>ktorých sa od prevádzkovateľov vyžaduje získať oprávnenie na základe štátnej príslušnosti alebo územia, odkiaľ sa vesmírna činnosť vykonáva;</w:t>
      </w:r>
    </w:p>
    <w:p w14:paraId="53340542" w14:textId="56A0BD0E"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odporúča, aby sa</w:t>
      </w:r>
      <w:r w:rsidR="00645757">
        <w:t xml:space="preserve"> v </w:t>
      </w:r>
      <w:r w:rsidRPr="00645757">
        <w:rPr>
          <w:b/>
          <w:bCs/>
        </w:rPr>
        <w:t>hlave II objasnilo fungovanie výnimiek</w:t>
      </w:r>
      <w:r w:rsidR="00645757">
        <w:rPr>
          <w:b/>
          <w:bCs/>
        </w:rPr>
        <w:t xml:space="preserve"> a </w:t>
      </w:r>
      <w:r w:rsidRPr="00645757">
        <w:rPr>
          <w:b/>
          <w:bCs/>
        </w:rPr>
        <w:t>flexibility</w:t>
      </w:r>
      <w:r w:rsidR="00645757">
        <w:rPr>
          <w:b/>
          <w:bCs/>
        </w:rPr>
        <w:t xml:space="preserve"> v </w:t>
      </w:r>
      <w:r w:rsidRPr="00645757">
        <w:rPr>
          <w:b/>
          <w:bCs/>
        </w:rPr>
        <w:t>postupe udeľovania oprávnení</w:t>
      </w:r>
      <w:r w:rsidRPr="00645757">
        <w:t>, pričom treba spresniť lehoty na vybavenie žiadosti, uplatniteľnosť na nekomerčné misie, kontrolné právomoci Komisie</w:t>
      </w:r>
      <w:r w:rsidR="00645757">
        <w:t xml:space="preserve"> a </w:t>
      </w:r>
      <w:r w:rsidRPr="00645757">
        <w:t>operačnú úlohu Európskej vesmírnej agentúry</w:t>
      </w:r>
      <w:r w:rsidR="00645757">
        <w:t xml:space="preserve"> a </w:t>
      </w:r>
      <w:r w:rsidRPr="00645757">
        <w:t>EUSPA;</w:t>
      </w:r>
    </w:p>
    <w:p w14:paraId="0DBA86BA" w14:textId="5B5B985A"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odporúča presne vymedziť </w:t>
      </w:r>
      <w:r w:rsidRPr="00645757">
        <w:rPr>
          <w:b/>
          <w:bCs/>
        </w:rPr>
        <w:t>rozsah prísnejších požiadaviek, ktoré si môžu členské štáty stanoviť</w:t>
      </w:r>
      <w:r w:rsidRPr="00645757">
        <w:t>, pokiaľ ide</w:t>
      </w:r>
      <w:r w:rsidR="00645757">
        <w:t xml:space="preserve"> o </w:t>
      </w:r>
      <w:r w:rsidRPr="00645757">
        <w:t>voľný pohyb vesmírnych údajov</w:t>
      </w:r>
      <w:r w:rsidR="00645757">
        <w:t xml:space="preserve"> a </w:t>
      </w:r>
      <w:r w:rsidRPr="00645757">
        <w:t>vesmírnych služieb</w:t>
      </w:r>
      <w:r w:rsidR="00645757">
        <w:t xml:space="preserve"> v </w:t>
      </w:r>
      <w:r w:rsidRPr="00645757">
        <w:t>Únii;</w:t>
      </w:r>
    </w:p>
    <w:p w14:paraId="47CF4791" w14:textId="1BE312D7"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zdôrazňuje, že je potrebné </w:t>
      </w:r>
      <w:r w:rsidRPr="00645757">
        <w:rPr>
          <w:b/>
          <w:bCs/>
        </w:rPr>
        <w:t>posilniť zásadu vzájomného uznávania</w:t>
      </w:r>
      <w:r w:rsidR="00645757">
        <w:rPr>
          <w:b/>
          <w:bCs/>
        </w:rPr>
        <w:t xml:space="preserve"> a </w:t>
      </w:r>
      <w:r w:rsidRPr="00645757">
        <w:rPr>
          <w:b/>
          <w:bCs/>
        </w:rPr>
        <w:t>spoločné pravidlá, aby sa zabránilo fragmentácii</w:t>
      </w:r>
      <w:r w:rsidR="00645757">
        <w:t xml:space="preserve"> a </w:t>
      </w:r>
      <w:r w:rsidRPr="00645757">
        <w:t>byrokratickým prekážkam;</w:t>
      </w:r>
    </w:p>
    <w:p w14:paraId="75F94FC7" w14:textId="077CF6A1"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odporúča </w:t>
      </w:r>
      <w:r w:rsidRPr="00645757">
        <w:rPr>
          <w:b/>
          <w:bCs/>
        </w:rPr>
        <w:t>prepojiť stratégiu EÚ</w:t>
      </w:r>
      <w:r w:rsidR="00645757">
        <w:rPr>
          <w:b/>
          <w:bCs/>
        </w:rPr>
        <w:t xml:space="preserve"> v </w:t>
      </w:r>
      <w:r w:rsidRPr="00645757">
        <w:rPr>
          <w:b/>
          <w:bCs/>
        </w:rPr>
        <w:t>oblasti kozmického priestoru</w:t>
      </w:r>
      <w:r w:rsidR="00645757">
        <w:rPr>
          <w:b/>
          <w:bCs/>
        </w:rPr>
        <w:t xml:space="preserve"> s </w:t>
      </w:r>
      <w:r w:rsidRPr="00645757">
        <w:rPr>
          <w:b/>
          <w:bCs/>
        </w:rPr>
        <w:t>európskou strategickou autonómiou</w:t>
      </w:r>
      <w:r w:rsidR="00645757">
        <w:t xml:space="preserve"> a </w:t>
      </w:r>
      <w:r w:rsidRPr="00645757">
        <w:t xml:space="preserve">podnecovať </w:t>
      </w:r>
      <w:r w:rsidRPr="00645757">
        <w:rPr>
          <w:b/>
          <w:bCs/>
        </w:rPr>
        <w:t>využívanie doplnkových ekosystémov</w:t>
      </w:r>
      <w:r w:rsidR="00645757">
        <w:rPr>
          <w:b/>
          <w:bCs/>
        </w:rPr>
        <w:t xml:space="preserve"> a </w:t>
      </w:r>
      <w:proofErr w:type="spellStart"/>
      <w:r w:rsidRPr="00645757">
        <w:rPr>
          <w:b/>
          <w:bCs/>
        </w:rPr>
        <w:t>multiplikačného</w:t>
      </w:r>
      <w:proofErr w:type="spellEnd"/>
      <w:r w:rsidRPr="00645757">
        <w:rPr>
          <w:b/>
          <w:bCs/>
        </w:rPr>
        <w:t xml:space="preserve"> účinku vesmírneho hospodárstva</w:t>
      </w:r>
      <w:r w:rsidRPr="00645757">
        <w:t xml:space="preserve"> na podporu špecifických odvetví;</w:t>
      </w:r>
    </w:p>
    <w:p w14:paraId="787677C8" w14:textId="48C3B8C7"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odporúča vypracovať </w:t>
      </w:r>
      <w:r w:rsidRPr="00645757">
        <w:rPr>
          <w:b/>
          <w:bCs/>
        </w:rPr>
        <w:t>integrovanú stratégiu pre vesmírne zručnosti</w:t>
      </w:r>
      <w:r w:rsidR="00645757">
        <w:rPr>
          <w:b/>
          <w:bCs/>
        </w:rPr>
        <w:t xml:space="preserve"> a </w:t>
      </w:r>
      <w:r w:rsidRPr="00645757">
        <w:rPr>
          <w:b/>
          <w:bCs/>
        </w:rPr>
        <w:t>pracovné miesta</w:t>
      </w:r>
      <w:r w:rsidR="00645757">
        <w:t xml:space="preserve"> a </w:t>
      </w:r>
      <w:r w:rsidRPr="00645757">
        <w:t xml:space="preserve">prijať </w:t>
      </w:r>
      <w:r w:rsidRPr="00645757">
        <w:rPr>
          <w:b/>
          <w:bCs/>
        </w:rPr>
        <w:t>európsky program</w:t>
      </w:r>
      <w:r w:rsidR="00645757">
        <w:rPr>
          <w:b/>
          <w:bCs/>
        </w:rPr>
        <w:t xml:space="preserve"> v </w:t>
      </w:r>
      <w:r w:rsidRPr="00645757">
        <w:rPr>
          <w:b/>
          <w:bCs/>
        </w:rPr>
        <w:t>oblasti vesmírnych zručností</w:t>
      </w:r>
      <w:r w:rsidRPr="00645757">
        <w:t>;</w:t>
      </w:r>
    </w:p>
    <w:p w14:paraId="73DE2279"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žiada primerané </w:t>
      </w:r>
      <w:r w:rsidRPr="00645757">
        <w:rPr>
          <w:b/>
        </w:rPr>
        <w:t xml:space="preserve">zdroje na posilnenie činnosti agentúry </w:t>
      </w:r>
      <w:proofErr w:type="spellStart"/>
      <w:r w:rsidRPr="00645757">
        <w:rPr>
          <w:b/>
        </w:rPr>
        <w:t>EUSPA</w:t>
      </w:r>
      <w:r w:rsidRPr="00645757">
        <w:t>v</w:t>
      </w:r>
      <w:proofErr w:type="spellEnd"/>
      <w:r w:rsidRPr="00645757">
        <w:t> nasledujúcom viacročnom finančnom rámci na roky 2028 – 2034.</w:t>
      </w:r>
    </w:p>
    <w:p w14:paraId="2BDD6EAC" w14:textId="77777777" w:rsidR="002179FF" w:rsidRPr="00645757" w:rsidRDefault="002179FF" w:rsidP="002179FF">
      <w:pPr>
        <w:widowControl w:val="0"/>
        <w:ind w:left="709"/>
        <w:rPr>
          <w:sz w:val="14"/>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179FF" w:rsidRPr="00645757" w14:paraId="18E9B5CC" w14:textId="77777777" w:rsidTr="000F1E5F">
        <w:tc>
          <w:tcPr>
            <w:tcW w:w="1418" w:type="dxa"/>
          </w:tcPr>
          <w:p w14:paraId="68EB99EB" w14:textId="77777777" w:rsidR="002179FF" w:rsidRPr="00645757" w:rsidRDefault="002179FF" w:rsidP="000F1E5F">
            <w:pPr>
              <w:keepNext/>
              <w:keepLines/>
              <w:rPr>
                <w:i/>
              </w:rPr>
            </w:pPr>
            <w:r w:rsidRPr="00645757">
              <w:rPr>
                <w:b/>
                <w:i/>
              </w:rPr>
              <w:t>Kontakt:</w:t>
            </w:r>
          </w:p>
        </w:tc>
        <w:tc>
          <w:tcPr>
            <w:tcW w:w="5670" w:type="dxa"/>
          </w:tcPr>
          <w:p w14:paraId="317CB99E" w14:textId="77777777" w:rsidR="002179FF" w:rsidRPr="00645757" w:rsidRDefault="002179FF" w:rsidP="000F1E5F">
            <w:pPr>
              <w:rPr>
                <w:i/>
              </w:rPr>
            </w:pPr>
            <w:proofErr w:type="spellStart"/>
            <w:r w:rsidRPr="00645757">
              <w:rPr>
                <w:i/>
              </w:rPr>
              <w:t>Giorgia</w:t>
            </w:r>
            <w:proofErr w:type="spellEnd"/>
            <w:r w:rsidRPr="00645757">
              <w:rPr>
                <w:i/>
              </w:rPr>
              <w:t xml:space="preserve"> </w:t>
            </w:r>
            <w:proofErr w:type="spellStart"/>
            <w:r w:rsidRPr="00645757">
              <w:rPr>
                <w:i/>
              </w:rPr>
              <w:t>Bordignon</w:t>
            </w:r>
            <w:proofErr w:type="spellEnd"/>
          </w:p>
        </w:tc>
      </w:tr>
      <w:tr w:rsidR="002179FF" w:rsidRPr="00645757" w14:paraId="54719F5A" w14:textId="77777777" w:rsidTr="000F1E5F">
        <w:tc>
          <w:tcPr>
            <w:tcW w:w="1418" w:type="dxa"/>
          </w:tcPr>
          <w:p w14:paraId="58F00CF4" w14:textId="77777777" w:rsidR="002179FF" w:rsidRPr="00645757" w:rsidRDefault="002179FF" w:rsidP="000F1E5F">
            <w:pPr>
              <w:keepNext/>
              <w:keepLines/>
              <w:rPr>
                <w:i/>
              </w:rPr>
            </w:pPr>
            <w:r w:rsidRPr="00645757">
              <w:rPr>
                <w:i/>
              </w:rPr>
              <w:t>Tel.:</w:t>
            </w:r>
          </w:p>
        </w:tc>
        <w:tc>
          <w:tcPr>
            <w:tcW w:w="5670" w:type="dxa"/>
          </w:tcPr>
          <w:p w14:paraId="0C2DCF2D" w14:textId="77777777" w:rsidR="002179FF" w:rsidRPr="00645757" w:rsidRDefault="002179FF" w:rsidP="000F1E5F">
            <w:pPr>
              <w:rPr>
                <w:i/>
              </w:rPr>
            </w:pPr>
            <w:r w:rsidRPr="00645757">
              <w:t>+32 25468535</w:t>
            </w:r>
          </w:p>
        </w:tc>
      </w:tr>
      <w:tr w:rsidR="002179FF" w:rsidRPr="00645757" w14:paraId="12506CEC" w14:textId="77777777" w:rsidTr="000F1E5F">
        <w:tc>
          <w:tcPr>
            <w:tcW w:w="1418" w:type="dxa"/>
          </w:tcPr>
          <w:p w14:paraId="25FB2DC4" w14:textId="77777777" w:rsidR="002179FF" w:rsidRPr="00645757" w:rsidRDefault="002179FF" w:rsidP="000F1E5F">
            <w:pPr>
              <w:rPr>
                <w:i/>
              </w:rPr>
            </w:pPr>
            <w:r w:rsidRPr="00645757">
              <w:rPr>
                <w:i/>
              </w:rPr>
              <w:t>E-mail:</w:t>
            </w:r>
          </w:p>
        </w:tc>
        <w:tc>
          <w:tcPr>
            <w:tcW w:w="5670" w:type="dxa"/>
          </w:tcPr>
          <w:p w14:paraId="30178B86" w14:textId="77777777" w:rsidR="002179FF" w:rsidRPr="00645757" w:rsidRDefault="002179FF" w:rsidP="000F1E5F">
            <w:pPr>
              <w:rPr>
                <w:i/>
              </w:rPr>
            </w:pPr>
            <w:hyperlink r:id="rId28" w:history="1">
              <w:r w:rsidRPr="00645757">
                <w:rPr>
                  <w:rStyle w:val="Hyperlink"/>
                  <w:i/>
                </w:rPr>
                <w:t>GiorgiaAndrea.Bordignon@eesc.europa.eu</w:t>
              </w:r>
            </w:hyperlink>
            <w:r w:rsidRPr="00645757">
              <w:rPr>
                <w:i/>
              </w:rPr>
              <w:t xml:space="preserve"> </w:t>
            </w:r>
          </w:p>
        </w:tc>
      </w:tr>
    </w:tbl>
    <w:p w14:paraId="4982DDF1" w14:textId="421D2B67" w:rsidR="00B8543B" w:rsidRPr="00645757" w:rsidRDefault="00B8543B" w:rsidP="004D7AC0">
      <w:pPr>
        <w:pStyle w:val="ListParagraph"/>
        <w:ind w:left="0"/>
      </w:pPr>
    </w:p>
    <w:p w14:paraId="7416E75B" w14:textId="77777777" w:rsidR="00B8543B" w:rsidRPr="00645757" w:rsidRDefault="00B8543B">
      <w:pPr>
        <w:spacing w:after="160" w:line="259" w:lineRule="auto"/>
        <w:jc w:val="left"/>
      </w:pPr>
      <w:r w:rsidRPr="00645757">
        <w:br w:type="page"/>
      </w:r>
    </w:p>
    <w:p w14:paraId="77FAB844" w14:textId="0B6DDB2D" w:rsidR="00B8543B" w:rsidRPr="00645757" w:rsidRDefault="002179FF" w:rsidP="00CB245F">
      <w:pPr>
        <w:widowControl w:val="0"/>
        <w:numPr>
          <w:ilvl w:val="0"/>
          <w:numId w:val="4"/>
        </w:numPr>
        <w:overflowPunct w:val="0"/>
        <w:autoSpaceDE w:val="0"/>
        <w:autoSpaceDN w:val="0"/>
        <w:adjustRightInd w:val="0"/>
        <w:spacing w:after="120"/>
        <w:ind w:hanging="567"/>
        <w:textAlignment w:val="baseline"/>
        <w:rPr>
          <w:sz w:val="20"/>
          <w:szCs w:val="20"/>
        </w:rPr>
      </w:pPr>
      <w:hyperlink r:id="rId29" w:history="1">
        <w:r w:rsidRPr="00645757">
          <w:rPr>
            <w:rStyle w:val="Hyperlink"/>
            <w:b/>
            <w:i/>
            <w:sz w:val="28"/>
          </w:rPr>
          <w:t>Jadrový objasňujúci program</w:t>
        </w:r>
      </w:hyperlink>
    </w:p>
    <w:p w14:paraId="687BF486" w14:textId="77777777" w:rsidR="00B8543B" w:rsidRPr="00645757" w:rsidRDefault="00B8543B" w:rsidP="00B8543B">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055"/>
      </w:tblGrid>
      <w:tr w:rsidR="002179FF" w:rsidRPr="00645757" w14:paraId="0850A8A8" w14:textId="77777777" w:rsidTr="000F1E5F">
        <w:tc>
          <w:tcPr>
            <w:tcW w:w="1951" w:type="dxa"/>
          </w:tcPr>
          <w:p w14:paraId="374FDEFD" w14:textId="77777777" w:rsidR="002179FF" w:rsidRPr="00645757" w:rsidRDefault="002179FF" w:rsidP="000F1E5F">
            <w:pPr>
              <w:tabs>
                <w:tab w:val="center" w:pos="284"/>
              </w:tabs>
              <w:ind w:left="266" w:hanging="266"/>
              <w:rPr>
                <w:b/>
              </w:rPr>
            </w:pPr>
            <w:r w:rsidRPr="00645757">
              <w:rPr>
                <w:b/>
              </w:rPr>
              <w:t>Spravodajca:</w:t>
            </w:r>
          </w:p>
        </w:tc>
        <w:tc>
          <w:tcPr>
            <w:tcW w:w="7229" w:type="dxa"/>
          </w:tcPr>
          <w:p w14:paraId="0E2A5021" w14:textId="77777777" w:rsidR="002179FF" w:rsidRPr="00645757" w:rsidRDefault="002179FF" w:rsidP="000F1E5F">
            <w:pPr>
              <w:tabs>
                <w:tab w:val="center" w:pos="284"/>
              </w:tabs>
              <w:ind w:left="266" w:hanging="266"/>
            </w:pPr>
            <w:proofErr w:type="spellStart"/>
            <w:r w:rsidRPr="00645757">
              <w:t>Dumitru</w:t>
            </w:r>
            <w:proofErr w:type="spellEnd"/>
            <w:r w:rsidRPr="00645757">
              <w:t xml:space="preserve"> FORNEA (skupina Pracovníci – RO)</w:t>
            </w:r>
          </w:p>
        </w:tc>
      </w:tr>
      <w:tr w:rsidR="002179FF" w:rsidRPr="00645757" w14:paraId="7EA12C3F" w14:textId="77777777" w:rsidTr="000F1E5F">
        <w:tc>
          <w:tcPr>
            <w:tcW w:w="1951" w:type="dxa"/>
          </w:tcPr>
          <w:p w14:paraId="1962DE05" w14:textId="77777777" w:rsidR="002179FF" w:rsidRPr="00645757" w:rsidRDefault="002179FF" w:rsidP="000F1E5F">
            <w:pPr>
              <w:tabs>
                <w:tab w:val="center" w:pos="284"/>
              </w:tabs>
              <w:ind w:left="266" w:hanging="266"/>
              <w:rPr>
                <w:b/>
              </w:rPr>
            </w:pPr>
            <w:r w:rsidRPr="00645757">
              <w:rPr>
                <w:b/>
              </w:rPr>
              <w:t>Spoluspravodajkyňa:</w:t>
            </w:r>
          </w:p>
        </w:tc>
        <w:tc>
          <w:tcPr>
            <w:tcW w:w="7229" w:type="dxa"/>
          </w:tcPr>
          <w:p w14:paraId="00EC2702" w14:textId="77777777" w:rsidR="002179FF" w:rsidRPr="00645757" w:rsidRDefault="002179FF" w:rsidP="000F1E5F">
            <w:pPr>
              <w:tabs>
                <w:tab w:val="center" w:pos="284"/>
              </w:tabs>
              <w:ind w:left="266" w:hanging="266"/>
            </w:pPr>
            <w:r w:rsidRPr="00645757">
              <w:t>Alena MASTANTUONO (skupina Zamestnávatelia – CZ)</w:t>
            </w:r>
          </w:p>
        </w:tc>
      </w:tr>
      <w:tr w:rsidR="002179FF" w:rsidRPr="00645757" w14:paraId="6DF1FA7A" w14:textId="77777777" w:rsidTr="000F1E5F">
        <w:tc>
          <w:tcPr>
            <w:tcW w:w="1951" w:type="dxa"/>
          </w:tcPr>
          <w:p w14:paraId="082B79C2" w14:textId="77777777" w:rsidR="002179FF" w:rsidRPr="00645757" w:rsidRDefault="002179FF" w:rsidP="000F1E5F">
            <w:pPr>
              <w:tabs>
                <w:tab w:val="center" w:pos="284"/>
              </w:tabs>
              <w:ind w:left="266" w:hanging="266"/>
              <w:rPr>
                <w:b/>
              </w:rPr>
            </w:pPr>
            <w:proofErr w:type="spellStart"/>
            <w:r w:rsidRPr="00645757">
              <w:rPr>
                <w:b/>
              </w:rPr>
              <w:t>Ref</w:t>
            </w:r>
            <w:proofErr w:type="spellEnd"/>
            <w:r w:rsidRPr="00645757">
              <w:rPr>
                <w:b/>
              </w:rPr>
              <w:t>.:</w:t>
            </w:r>
          </w:p>
        </w:tc>
        <w:tc>
          <w:tcPr>
            <w:tcW w:w="7229" w:type="dxa"/>
          </w:tcPr>
          <w:p w14:paraId="06EAB2B7" w14:textId="77777777" w:rsidR="002179FF" w:rsidRPr="00645757" w:rsidRDefault="002179FF" w:rsidP="000F1E5F">
            <w:pPr>
              <w:tabs>
                <w:tab w:val="center" w:pos="284"/>
              </w:tabs>
              <w:ind w:left="266" w:hanging="266"/>
            </w:pPr>
            <w:r w:rsidRPr="00645757">
              <w:t xml:space="preserve">COM(2025) 315 </w:t>
            </w:r>
            <w:proofErr w:type="spellStart"/>
            <w:r w:rsidRPr="00645757">
              <w:t>final</w:t>
            </w:r>
            <w:proofErr w:type="spellEnd"/>
          </w:p>
          <w:p w14:paraId="74D6C289" w14:textId="77777777" w:rsidR="002179FF" w:rsidRPr="00645757" w:rsidRDefault="002179FF" w:rsidP="000F1E5F">
            <w:pPr>
              <w:tabs>
                <w:tab w:val="center" w:pos="284"/>
              </w:tabs>
              <w:ind w:left="266" w:hanging="266"/>
            </w:pPr>
            <w:r w:rsidRPr="00645757">
              <w:t>EESC-2025-02173-00-00-AC</w:t>
            </w:r>
          </w:p>
        </w:tc>
      </w:tr>
    </w:tbl>
    <w:p w14:paraId="77230C22" w14:textId="77777777" w:rsidR="002179FF" w:rsidRPr="00645757" w:rsidRDefault="002179FF" w:rsidP="002179FF">
      <w:pPr>
        <w:tabs>
          <w:tab w:val="center" w:pos="284"/>
        </w:tabs>
        <w:ind w:left="266" w:hanging="266"/>
      </w:pPr>
    </w:p>
    <w:p w14:paraId="16957143" w14:textId="77777777" w:rsidR="002179FF" w:rsidRPr="00645757" w:rsidRDefault="002179FF" w:rsidP="002179FF">
      <w:pPr>
        <w:keepNext/>
        <w:keepLines/>
        <w:tabs>
          <w:tab w:val="center" w:pos="284"/>
        </w:tabs>
        <w:ind w:left="266" w:hanging="266"/>
        <w:rPr>
          <w:b/>
        </w:rPr>
      </w:pPr>
      <w:r w:rsidRPr="00645757">
        <w:rPr>
          <w:b/>
        </w:rPr>
        <w:t>Hlavné body</w:t>
      </w:r>
    </w:p>
    <w:p w14:paraId="7E26C305" w14:textId="77777777" w:rsidR="002179FF" w:rsidRPr="00645757" w:rsidRDefault="002179FF" w:rsidP="002179FF">
      <w:pPr>
        <w:keepNext/>
        <w:keepLines/>
        <w:tabs>
          <w:tab w:val="center" w:pos="284"/>
        </w:tabs>
        <w:ind w:left="266" w:hanging="266"/>
        <w:rPr>
          <w:b/>
        </w:rPr>
      </w:pPr>
    </w:p>
    <w:p w14:paraId="3014930C" w14:textId="77777777" w:rsidR="002179FF" w:rsidRPr="00645757" w:rsidRDefault="002179FF" w:rsidP="002179FF">
      <w:pPr>
        <w:rPr>
          <w:bCs/>
          <w:iCs/>
        </w:rPr>
      </w:pPr>
      <w:r w:rsidRPr="00645757">
        <w:t>EHSV:</w:t>
      </w:r>
    </w:p>
    <w:p w14:paraId="205A137F" w14:textId="78A91CE7"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sa domnieva, že jadrová energia zohráva</w:t>
      </w:r>
      <w:r w:rsidR="00645757">
        <w:t xml:space="preserve"> a </w:t>
      </w:r>
      <w:r w:rsidRPr="00645757">
        <w:t>naďalej bude zohrávať kľúčovú úlohu pri dekarbonizácii európskeho kontinentu</w:t>
      </w:r>
      <w:r w:rsidR="00645757">
        <w:t xml:space="preserve"> a </w:t>
      </w:r>
      <w:r w:rsidRPr="00645757">
        <w:t>upevňovaní jeho strategickej autonómie</w:t>
      </w:r>
      <w:r w:rsidR="00645757">
        <w:t xml:space="preserve"> v </w:t>
      </w:r>
      <w:r w:rsidRPr="00645757">
        <w:t>oblasti energetiky</w:t>
      </w:r>
      <w:r w:rsidR="00645757">
        <w:t xml:space="preserve"> a </w:t>
      </w:r>
      <w:r w:rsidRPr="00645757">
        <w:t>technológií;</w:t>
      </w:r>
    </w:p>
    <w:p w14:paraId="3AAAA456"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odporúča, aby sa na investície do odvetvia jadrovej energie uplatňovali rovnaké podmienky ako sa uplatňujú na obnoviteľné zdroje energie;</w:t>
      </w:r>
    </w:p>
    <w:p w14:paraId="3F6F4FBC" w14:textId="12AD9B59"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odporúča urýchliť investície prostredníctvom osobitných finančných</w:t>
      </w:r>
      <w:r w:rsidR="00645757">
        <w:t xml:space="preserve"> a </w:t>
      </w:r>
      <w:r w:rsidRPr="00645757">
        <w:t>legislatívnych opatrení, ako sú zjednodušený postup poskytovania štátnej pomoci, prístup</w:t>
      </w:r>
      <w:r w:rsidR="00645757">
        <w:t xml:space="preserve"> k </w:t>
      </w:r>
      <w:r w:rsidRPr="00645757">
        <w:t>finančným prostriedkom politiky súdržnosti EÚ, udržateľné financovanie, postupy udeľovania licencií</w:t>
      </w:r>
      <w:r w:rsidR="00645757">
        <w:t xml:space="preserve"> a </w:t>
      </w:r>
      <w:r w:rsidRPr="00645757">
        <w:t>rýchlejšie rozhodovanie na úrovni EÚ</w:t>
      </w:r>
      <w:r w:rsidR="00645757">
        <w:t xml:space="preserve"> a </w:t>
      </w:r>
      <w:r w:rsidRPr="00645757">
        <w:t>vnútroštátnej úrovni;</w:t>
      </w:r>
    </w:p>
    <w:p w14:paraId="2C52A6A1" w14:textId="4BDD0D0F"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sa domnieva, že pri budovaní dôvery, zodpovednosti</w:t>
      </w:r>
      <w:r w:rsidR="00645757">
        <w:t xml:space="preserve"> a </w:t>
      </w:r>
      <w:r w:rsidRPr="00645757">
        <w:t>spoločenskej akceptácie má zásadný význam dialóg</w:t>
      </w:r>
      <w:r w:rsidR="00645757">
        <w:t xml:space="preserve"> s </w:t>
      </w:r>
      <w:r w:rsidRPr="00645757">
        <w:t>občianskou spoločnosťou;</w:t>
      </w:r>
    </w:p>
    <w:p w14:paraId="79CF4554"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vyzýva na posilnenie regulačnej spolupráce medzi členskými štátmi;</w:t>
      </w:r>
    </w:p>
    <w:p w14:paraId="1FA3955D" w14:textId="263B127C"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odporúča zohľadniť úlohu, ktorú jadrová energia zohráva pri stabilizácii sústavy,</w:t>
      </w:r>
      <w:r w:rsidR="00645757">
        <w:t xml:space="preserve"> a </w:t>
      </w:r>
      <w:r w:rsidRPr="00645757">
        <w:t>žiada, aby sa do PINC doplnil výpočet systémových nákladov, ktorým sa predíde vďaka jadrovej energii.</w:t>
      </w:r>
    </w:p>
    <w:p w14:paraId="61A5CF59" w14:textId="77777777" w:rsidR="002179FF" w:rsidRPr="00645757" w:rsidRDefault="002179FF" w:rsidP="002179FF">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2179FF" w:rsidRPr="00645757" w14:paraId="0F15C6EC" w14:textId="77777777" w:rsidTr="000F1E5F">
        <w:tc>
          <w:tcPr>
            <w:tcW w:w="1951" w:type="dxa"/>
          </w:tcPr>
          <w:p w14:paraId="31107CDF" w14:textId="77777777" w:rsidR="002179FF" w:rsidRPr="00645757" w:rsidRDefault="002179FF" w:rsidP="000F1E5F">
            <w:pPr>
              <w:rPr>
                <w:i/>
              </w:rPr>
            </w:pPr>
            <w:r w:rsidRPr="00645757">
              <w:rPr>
                <w:b/>
                <w:i/>
              </w:rPr>
              <w:t>Kontakt</w:t>
            </w:r>
          </w:p>
        </w:tc>
        <w:tc>
          <w:tcPr>
            <w:tcW w:w="7229" w:type="dxa"/>
          </w:tcPr>
          <w:p w14:paraId="6093544C" w14:textId="77777777" w:rsidR="002179FF" w:rsidRPr="00645757" w:rsidRDefault="002179FF" w:rsidP="000F1E5F">
            <w:pPr>
              <w:rPr>
                <w:i/>
              </w:rPr>
            </w:pPr>
            <w:r w:rsidRPr="00645757">
              <w:rPr>
                <w:i/>
              </w:rPr>
              <w:t>Albert PRECUP</w:t>
            </w:r>
          </w:p>
        </w:tc>
      </w:tr>
      <w:tr w:rsidR="002179FF" w:rsidRPr="00645757" w14:paraId="6747B9A5" w14:textId="77777777" w:rsidTr="000F1E5F">
        <w:tc>
          <w:tcPr>
            <w:tcW w:w="1951" w:type="dxa"/>
          </w:tcPr>
          <w:p w14:paraId="517D0102" w14:textId="77777777" w:rsidR="002179FF" w:rsidRPr="00645757" w:rsidRDefault="002179FF" w:rsidP="000F1E5F">
            <w:pPr>
              <w:rPr>
                <w:i/>
              </w:rPr>
            </w:pPr>
            <w:r w:rsidRPr="00645757">
              <w:rPr>
                <w:i/>
              </w:rPr>
              <w:t>Tel.:</w:t>
            </w:r>
          </w:p>
        </w:tc>
        <w:tc>
          <w:tcPr>
            <w:tcW w:w="7229" w:type="dxa"/>
          </w:tcPr>
          <w:p w14:paraId="439C892F" w14:textId="77777777" w:rsidR="002179FF" w:rsidRPr="00645757" w:rsidRDefault="002179FF" w:rsidP="000F1E5F">
            <w:pPr>
              <w:rPr>
                <w:i/>
              </w:rPr>
            </w:pPr>
            <w:r w:rsidRPr="00645757">
              <w:rPr>
                <w:i/>
              </w:rPr>
              <w:t>+32 25469326</w:t>
            </w:r>
          </w:p>
        </w:tc>
      </w:tr>
      <w:tr w:rsidR="002179FF" w:rsidRPr="00645757" w14:paraId="0FCA27C1" w14:textId="77777777" w:rsidTr="000F1E5F">
        <w:tc>
          <w:tcPr>
            <w:tcW w:w="1951" w:type="dxa"/>
          </w:tcPr>
          <w:p w14:paraId="45A9EC85" w14:textId="77777777" w:rsidR="002179FF" w:rsidRPr="00645757" w:rsidRDefault="002179FF" w:rsidP="000F1E5F">
            <w:pPr>
              <w:rPr>
                <w:i/>
              </w:rPr>
            </w:pPr>
            <w:r w:rsidRPr="00645757">
              <w:rPr>
                <w:i/>
              </w:rPr>
              <w:t>E-mail:</w:t>
            </w:r>
          </w:p>
        </w:tc>
        <w:tc>
          <w:tcPr>
            <w:tcW w:w="7229" w:type="dxa"/>
          </w:tcPr>
          <w:p w14:paraId="22E394A4" w14:textId="77777777" w:rsidR="002179FF" w:rsidRPr="00645757" w:rsidRDefault="002179FF" w:rsidP="000F1E5F">
            <w:pPr>
              <w:rPr>
                <w:i/>
              </w:rPr>
            </w:pPr>
            <w:hyperlink r:id="rId30" w:history="1">
              <w:r w:rsidRPr="00645757">
                <w:rPr>
                  <w:rStyle w:val="Hyperlink"/>
                  <w:i/>
                </w:rPr>
                <w:t>Albert.Precup@eesc.europa.eu</w:t>
              </w:r>
            </w:hyperlink>
          </w:p>
        </w:tc>
      </w:tr>
    </w:tbl>
    <w:p w14:paraId="4C06F621" w14:textId="77777777" w:rsidR="004D7AC0" w:rsidRPr="00645757" w:rsidRDefault="004D7AC0" w:rsidP="004D7AC0">
      <w:pPr>
        <w:pStyle w:val="ListParagraph"/>
        <w:ind w:left="0"/>
      </w:pPr>
    </w:p>
    <w:p w14:paraId="4982DDF2" w14:textId="0D337987" w:rsidR="00BC676C" w:rsidRPr="00645757" w:rsidRDefault="004D7AC0">
      <w:pPr>
        <w:spacing w:after="160" w:line="259" w:lineRule="auto"/>
        <w:jc w:val="left"/>
      </w:pPr>
      <w:r w:rsidRPr="00645757">
        <w:br w:type="page"/>
      </w:r>
    </w:p>
    <w:p w14:paraId="64D55A18" w14:textId="77777777" w:rsidR="004D7AC0" w:rsidRPr="00645757" w:rsidRDefault="004D7AC0" w:rsidP="004D7AC0">
      <w:pPr>
        <w:spacing w:after="160" w:line="259" w:lineRule="auto"/>
        <w:jc w:val="left"/>
      </w:pPr>
    </w:p>
    <w:p w14:paraId="4982DDF3" w14:textId="77777777" w:rsidR="004D7AC0" w:rsidRPr="00645757" w:rsidRDefault="004D7AC0" w:rsidP="004D7AC0">
      <w:pPr>
        <w:pStyle w:val="Heading1"/>
        <w:rPr>
          <w:b/>
        </w:rPr>
      </w:pPr>
      <w:bookmarkStart w:id="6" w:name="_Toc75527083"/>
      <w:bookmarkStart w:id="7" w:name="_Toc217296977"/>
      <w:r w:rsidRPr="00645757">
        <w:rPr>
          <w:b/>
        </w:rPr>
        <w:t>JEDNOTNÝ TRH, VÝROBA A SPOTREBA</w:t>
      </w:r>
      <w:bookmarkEnd w:id="6"/>
      <w:bookmarkEnd w:id="7"/>
    </w:p>
    <w:p w14:paraId="4982DDF4" w14:textId="77777777" w:rsidR="004D7AC0" w:rsidRPr="00645757" w:rsidRDefault="004D7AC0" w:rsidP="004D7AC0"/>
    <w:p w14:paraId="5D547137" w14:textId="04FB3520" w:rsidR="00465162" w:rsidRPr="00645757" w:rsidRDefault="002179FF" w:rsidP="00CB245F">
      <w:pPr>
        <w:widowControl w:val="0"/>
        <w:numPr>
          <w:ilvl w:val="0"/>
          <w:numId w:val="4"/>
        </w:numPr>
        <w:overflowPunct w:val="0"/>
        <w:autoSpaceDE w:val="0"/>
        <w:autoSpaceDN w:val="0"/>
        <w:adjustRightInd w:val="0"/>
        <w:spacing w:after="120"/>
        <w:ind w:hanging="567"/>
        <w:textAlignment w:val="baseline"/>
        <w:rPr>
          <w:sz w:val="20"/>
          <w:szCs w:val="20"/>
        </w:rPr>
      </w:pPr>
      <w:hyperlink r:id="rId31" w:history="1">
        <w:r w:rsidRPr="00645757">
          <w:rPr>
            <w:rStyle w:val="Hyperlink"/>
            <w:b/>
            <w:i/>
            <w:sz w:val="28"/>
          </w:rPr>
          <w:t>Stratégia jednotného trhu</w:t>
        </w:r>
      </w:hyperlink>
    </w:p>
    <w:p w14:paraId="0B883575" w14:textId="77777777" w:rsidR="00465162" w:rsidRPr="00645757" w:rsidRDefault="00465162" w:rsidP="00465162">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6521"/>
      </w:tblGrid>
      <w:tr w:rsidR="002179FF" w:rsidRPr="00645757" w14:paraId="76460CB3" w14:textId="77777777" w:rsidTr="000F1E5F">
        <w:tc>
          <w:tcPr>
            <w:tcW w:w="1701" w:type="dxa"/>
          </w:tcPr>
          <w:p w14:paraId="3DDAA04F" w14:textId="77777777" w:rsidR="002179FF" w:rsidRPr="00645757" w:rsidRDefault="002179FF" w:rsidP="000F1E5F">
            <w:pPr>
              <w:tabs>
                <w:tab w:val="center" w:pos="284"/>
              </w:tabs>
              <w:ind w:left="266" w:hanging="266"/>
              <w:rPr>
                <w:b/>
              </w:rPr>
            </w:pPr>
            <w:r w:rsidRPr="00645757">
              <w:rPr>
                <w:b/>
              </w:rPr>
              <w:t>Spravodajcovia:</w:t>
            </w:r>
          </w:p>
        </w:tc>
        <w:tc>
          <w:tcPr>
            <w:tcW w:w="6521" w:type="dxa"/>
          </w:tcPr>
          <w:p w14:paraId="0744D257" w14:textId="77777777" w:rsidR="002179FF" w:rsidRPr="00645757" w:rsidRDefault="002179FF" w:rsidP="000F1E5F">
            <w:pPr>
              <w:tabs>
                <w:tab w:val="center" w:pos="284"/>
              </w:tabs>
              <w:ind w:left="266" w:hanging="266"/>
            </w:pPr>
            <w:proofErr w:type="spellStart"/>
            <w:r w:rsidRPr="00645757">
              <w:t>Emilie</w:t>
            </w:r>
            <w:proofErr w:type="spellEnd"/>
            <w:r w:rsidRPr="00645757">
              <w:t xml:space="preserve"> PROUZET (skupina Zamestnávatelia – FR)</w:t>
            </w:r>
          </w:p>
        </w:tc>
      </w:tr>
      <w:tr w:rsidR="002179FF" w:rsidRPr="00645757" w14:paraId="20E1EC48" w14:textId="77777777" w:rsidTr="000F1E5F">
        <w:tc>
          <w:tcPr>
            <w:tcW w:w="1701" w:type="dxa"/>
          </w:tcPr>
          <w:p w14:paraId="78621899" w14:textId="77777777" w:rsidR="002179FF" w:rsidRPr="00645757" w:rsidRDefault="002179FF" w:rsidP="000F1E5F">
            <w:pPr>
              <w:tabs>
                <w:tab w:val="center" w:pos="284"/>
              </w:tabs>
              <w:ind w:left="266" w:hanging="266"/>
              <w:rPr>
                <w:b/>
              </w:rPr>
            </w:pPr>
          </w:p>
        </w:tc>
        <w:tc>
          <w:tcPr>
            <w:tcW w:w="6521" w:type="dxa"/>
          </w:tcPr>
          <w:p w14:paraId="6656A33C" w14:textId="77777777" w:rsidR="002179FF" w:rsidRPr="00645757" w:rsidRDefault="002179FF" w:rsidP="000F1E5F">
            <w:pPr>
              <w:tabs>
                <w:tab w:val="center" w:pos="284"/>
              </w:tabs>
              <w:ind w:left="266" w:hanging="266"/>
            </w:pPr>
            <w:proofErr w:type="spellStart"/>
            <w:r w:rsidRPr="00645757">
              <w:t>Angelo</w:t>
            </w:r>
            <w:proofErr w:type="spellEnd"/>
            <w:r w:rsidRPr="00645757">
              <w:t xml:space="preserve"> PAGLIARA (skupina Pracovníci – IT)</w:t>
            </w:r>
          </w:p>
          <w:p w14:paraId="24C1262A" w14:textId="77777777" w:rsidR="002179FF" w:rsidRPr="00645757" w:rsidRDefault="002179FF" w:rsidP="000F1E5F">
            <w:pPr>
              <w:tabs>
                <w:tab w:val="center" w:pos="284"/>
              </w:tabs>
              <w:ind w:left="266" w:hanging="266"/>
            </w:pPr>
            <w:r w:rsidRPr="00645757">
              <w:t>Giuseppe GUERINI (skupina Organizácie občianskej spoločnosti – IT)</w:t>
            </w:r>
          </w:p>
        </w:tc>
      </w:tr>
      <w:tr w:rsidR="002179FF" w:rsidRPr="00645757" w14:paraId="21553C74" w14:textId="77777777" w:rsidTr="000F1E5F">
        <w:tc>
          <w:tcPr>
            <w:tcW w:w="8222" w:type="dxa"/>
            <w:gridSpan w:val="2"/>
          </w:tcPr>
          <w:p w14:paraId="16324387" w14:textId="77777777" w:rsidR="002179FF" w:rsidRPr="00645757" w:rsidRDefault="002179FF" w:rsidP="000F1E5F">
            <w:pPr>
              <w:tabs>
                <w:tab w:val="center" w:pos="284"/>
              </w:tabs>
              <w:spacing w:line="160" w:lineRule="exact"/>
              <w:ind w:left="266" w:hanging="266"/>
            </w:pPr>
          </w:p>
        </w:tc>
      </w:tr>
      <w:tr w:rsidR="002179FF" w:rsidRPr="00645757" w14:paraId="6F04C7A1" w14:textId="77777777" w:rsidTr="000F1E5F">
        <w:tc>
          <w:tcPr>
            <w:tcW w:w="1701" w:type="dxa"/>
            <w:vMerge w:val="restart"/>
          </w:tcPr>
          <w:p w14:paraId="5DFD00A3" w14:textId="77777777" w:rsidR="002179FF" w:rsidRPr="00645757" w:rsidRDefault="002179FF" w:rsidP="000F1E5F">
            <w:pPr>
              <w:tabs>
                <w:tab w:val="center" w:pos="284"/>
              </w:tabs>
              <w:ind w:left="266" w:hanging="266"/>
              <w:rPr>
                <w:b/>
              </w:rPr>
            </w:pPr>
            <w:proofErr w:type="spellStart"/>
            <w:r w:rsidRPr="00645757">
              <w:rPr>
                <w:b/>
              </w:rPr>
              <w:t>Ref</w:t>
            </w:r>
            <w:proofErr w:type="spellEnd"/>
            <w:r w:rsidRPr="00645757">
              <w:rPr>
                <w:b/>
              </w:rPr>
              <w:t>.:</w:t>
            </w:r>
          </w:p>
        </w:tc>
        <w:tc>
          <w:tcPr>
            <w:tcW w:w="6521" w:type="dxa"/>
          </w:tcPr>
          <w:p w14:paraId="4E0E4687" w14:textId="77777777" w:rsidR="002179FF" w:rsidRPr="00645757" w:rsidRDefault="002179FF" w:rsidP="000F1E5F">
            <w:pPr>
              <w:tabs>
                <w:tab w:val="center" w:pos="284"/>
              </w:tabs>
              <w:ind w:left="266" w:hanging="266"/>
            </w:pPr>
            <w:r w:rsidRPr="00645757">
              <w:t xml:space="preserve">COM(2025) 500 </w:t>
            </w:r>
            <w:proofErr w:type="spellStart"/>
            <w:r w:rsidRPr="00645757">
              <w:t>final</w:t>
            </w:r>
            <w:proofErr w:type="spellEnd"/>
          </w:p>
          <w:p w14:paraId="14B496AB" w14:textId="77777777" w:rsidR="002179FF" w:rsidRPr="00645757" w:rsidRDefault="002179FF" w:rsidP="000F1E5F">
            <w:pPr>
              <w:tabs>
                <w:tab w:val="center" w:pos="284"/>
              </w:tabs>
              <w:ind w:left="266" w:hanging="266"/>
            </w:pPr>
            <w:r w:rsidRPr="00645757">
              <w:t>EESC-2025-01859-00-00-AC</w:t>
            </w:r>
          </w:p>
        </w:tc>
      </w:tr>
      <w:tr w:rsidR="002179FF" w:rsidRPr="00645757" w14:paraId="7B7D107D" w14:textId="77777777" w:rsidTr="000F1E5F">
        <w:tc>
          <w:tcPr>
            <w:tcW w:w="1701" w:type="dxa"/>
            <w:vMerge/>
          </w:tcPr>
          <w:p w14:paraId="256B5D75" w14:textId="77777777" w:rsidR="002179FF" w:rsidRPr="00645757" w:rsidRDefault="002179FF" w:rsidP="000F1E5F">
            <w:pPr>
              <w:tabs>
                <w:tab w:val="center" w:pos="284"/>
              </w:tabs>
              <w:ind w:left="266" w:hanging="266"/>
              <w:rPr>
                <w:b/>
              </w:rPr>
            </w:pPr>
          </w:p>
        </w:tc>
        <w:tc>
          <w:tcPr>
            <w:tcW w:w="6521" w:type="dxa"/>
          </w:tcPr>
          <w:p w14:paraId="22ED0F9F" w14:textId="77777777" w:rsidR="002179FF" w:rsidRPr="00645757" w:rsidRDefault="002179FF" w:rsidP="000F1E5F">
            <w:pPr>
              <w:tabs>
                <w:tab w:val="center" w:pos="284"/>
              </w:tabs>
              <w:ind w:left="266" w:hanging="266"/>
            </w:pPr>
          </w:p>
        </w:tc>
      </w:tr>
    </w:tbl>
    <w:p w14:paraId="07EE816D" w14:textId="77777777" w:rsidR="002179FF" w:rsidRPr="00645757" w:rsidRDefault="002179FF" w:rsidP="002179FF">
      <w:pPr>
        <w:keepNext/>
        <w:keepLines/>
        <w:tabs>
          <w:tab w:val="center" w:pos="284"/>
        </w:tabs>
        <w:ind w:left="266" w:hanging="266"/>
        <w:rPr>
          <w:b/>
        </w:rPr>
      </w:pPr>
      <w:r w:rsidRPr="00645757">
        <w:rPr>
          <w:b/>
        </w:rPr>
        <w:t>Hlavné body</w:t>
      </w:r>
    </w:p>
    <w:p w14:paraId="63E7E95E" w14:textId="77777777" w:rsidR="002179FF" w:rsidRPr="00645757" w:rsidRDefault="002179FF" w:rsidP="002179FF">
      <w:pPr>
        <w:keepNext/>
        <w:keepLines/>
        <w:tabs>
          <w:tab w:val="center" w:pos="284"/>
        </w:tabs>
        <w:ind w:left="266" w:hanging="266"/>
        <w:rPr>
          <w:b/>
        </w:rPr>
      </w:pPr>
    </w:p>
    <w:p w14:paraId="52F0B2E2" w14:textId="77777777" w:rsidR="002179FF" w:rsidRPr="00645757" w:rsidRDefault="002179FF" w:rsidP="002179FF">
      <w:pPr>
        <w:rPr>
          <w:bCs/>
          <w:iCs/>
        </w:rPr>
      </w:pPr>
      <w:r w:rsidRPr="00645757">
        <w:t>EHSV:</w:t>
      </w:r>
    </w:p>
    <w:p w14:paraId="770B6BFA" w14:textId="77777777" w:rsidR="002179FF" w:rsidRPr="00645757" w:rsidRDefault="002179FF" w:rsidP="002179FF">
      <w:pPr>
        <w:rPr>
          <w:bCs/>
          <w:iCs/>
        </w:rPr>
      </w:pPr>
    </w:p>
    <w:p w14:paraId="0C3A5AE5" w14:textId="7B32C9C9"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v plnom rozsahu podporuje priority, ktoré stanovila Komisia</w:t>
      </w:r>
      <w:r w:rsidR="00645757">
        <w:t xml:space="preserve"> v </w:t>
      </w:r>
      <w:r w:rsidRPr="00645757">
        <w:t>reakcii na výzvy, na ktoré upozornili zainteresované strany;</w:t>
      </w:r>
    </w:p>
    <w:p w14:paraId="35BDCD72" w14:textId="77777777" w:rsidR="002179FF" w:rsidRPr="00645757" w:rsidRDefault="002179FF" w:rsidP="002179FF">
      <w:pPr>
        <w:widowControl w:val="0"/>
        <w:ind w:left="567"/>
        <w:rPr>
          <w:bCs/>
          <w:iCs/>
        </w:rPr>
      </w:pPr>
    </w:p>
    <w:p w14:paraId="4D7F687A" w14:textId="69046CB7"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opakuje, že zjednodušenie právnych predpisov sa musí uskutočniť pri plnom rešpektovaní sociálnych práv</w:t>
      </w:r>
      <w:r w:rsidR="00645757">
        <w:t xml:space="preserve"> a </w:t>
      </w:r>
      <w:r w:rsidRPr="00645757">
        <w:t>práv pracovníkov. Preto je nevyhnutné, aby boli Európsky parlament, národné parlamenty</w:t>
      </w:r>
      <w:r w:rsidR="00645757">
        <w:t xml:space="preserve"> a </w:t>
      </w:r>
      <w:r w:rsidRPr="00645757">
        <w:t>sociálni partneri štrukturálne zapájaní už od počiatočných fáz legislatívneho procesu;</w:t>
      </w:r>
    </w:p>
    <w:p w14:paraId="2BD7F6E6" w14:textId="77777777" w:rsidR="002179FF" w:rsidRPr="00645757" w:rsidRDefault="002179FF" w:rsidP="002179FF">
      <w:pPr>
        <w:widowControl w:val="0"/>
        <w:ind w:left="567"/>
        <w:rPr>
          <w:bCs/>
          <w:iCs/>
        </w:rPr>
      </w:pPr>
    </w:p>
    <w:p w14:paraId="1727A295" w14:textId="3FF44E38"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má</w:t>
      </w:r>
      <w:r w:rsidR="00645757">
        <w:t xml:space="preserve"> v </w:t>
      </w:r>
      <w:r w:rsidRPr="00645757">
        <w:t>úmysle aktívnejšie prispievať</w:t>
      </w:r>
      <w:r w:rsidR="00645757">
        <w:t xml:space="preserve"> k </w:t>
      </w:r>
      <w:r w:rsidRPr="00645757">
        <w:t>riadeniu jednotného trhu,</w:t>
      </w:r>
      <w:r w:rsidR="00645757">
        <w:t xml:space="preserve"> a </w:t>
      </w:r>
      <w:r w:rsidRPr="00645757">
        <w:t>to aj prostredníctvom posilnenia svojej úlohy</w:t>
      </w:r>
      <w:r w:rsidR="00645757">
        <w:t xml:space="preserve"> v </w:t>
      </w:r>
      <w:r w:rsidRPr="00645757">
        <w:t>rámci pracovnej skupiny pre presadzovanie jednotného trhu (SMET);</w:t>
      </w:r>
    </w:p>
    <w:p w14:paraId="6694FD7A" w14:textId="77777777" w:rsidR="002179FF" w:rsidRPr="00645757" w:rsidRDefault="002179FF" w:rsidP="002179FF">
      <w:pPr>
        <w:widowControl w:val="0"/>
        <w:ind w:left="567"/>
        <w:rPr>
          <w:bCs/>
          <w:iCs/>
        </w:rPr>
      </w:pPr>
    </w:p>
    <w:p w14:paraId="7CCD18DE" w14:textId="5F3E628E"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vyzýva Komisiu, aby predložila legislatívne návrhy na riešenie územných obmedzení dodávok</w:t>
      </w:r>
      <w:r w:rsidR="00645757">
        <w:t xml:space="preserve"> a </w:t>
      </w:r>
      <w:r w:rsidRPr="00645757">
        <w:t>na harmonizáciu označovania výrobkov;</w:t>
      </w:r>
    </w:p>
    <w:p w14:paraId="633FFDE6" w14:textId="77777777" w:rsidR="002179FF" w:rsidRPr="00645757" w:rsidRDefault="002179FF" w:rsidP="002179FF">
      <w:pPr>
        <w:widowControl w:val="0"/>
        <w:ind w:left="567"/>
        <w:rPr>
          <w:bCs/>
          <w:iCs/>
        </w:rPr>
      </w:pPr>
    </w:p>
    <w:p w14:paraId="28FC4722"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víta, že Komisia ohlásila predloženie návrhu na vytvorenie nepovinného „28. režimu“ pre podniky, upozorňuje však na potrebu účinných ochranných opatrení proti možnému zneužívaniu;</w:t>
      </w:r>
    </w:p>
    <w:p w14:paraId="7141B060" w14:textId="77777777" w:rsidR="002179FF" w:rsidRPr="00645757" w:rsidRDefault="002179FF" w:rsidP="002179FF">
      <w:pPr>
        <w:widowControl w:val="0"/>
        <w:ind w:left="567"/>
        <w:rPr>
          <w:bCs/>
          <w:iCs/>
        </w:rPr>
      </w:pPr>
    </w:p>
    <w:p w14:paraId="00184897" w14:textId="0B4CBFA5"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uznáva kľúčovú úlohu normalizácie ako hnacej sily integrácie</w:t>
      </w:r>
      <w:r w:rsidR="00645757">
        <w:t xml:space="preserve"> a </w:t>
      </w:r>
      <w:r w:rsidRPr="00645757">
        <w:t>inovácií, pričom ale zdôrazňuje, že súvisiace procesy musia vychádzať zo zásad transparentnosti, inkluzívnosti</w:t>
      </w:r>
      <w:r w:rsidR="00645757">
        <w:t xml:space="preserve"> a </w:t>
      </w:r>
      <w:r w:rsidRPr="00645757">
        <w:t>štruktúrovanej účasti;</w:t>
      </w:r>
    </w:p>
    <w:p w14:paraId="3EA58A1E" w14:textId="77777777" w:rsidR="002179FF" w:rsidRPr="00645757" w:rsidRDefault="002179FF" w:rsidP="002179FF">
      <w:pPr>
        <w:widowControl w:val="0"/>
        <w:ind w:left="567"/>
        <w:rPr>
          <w:bCs/>
          <w:iCs/>
        </w:rPr>
      </w:pPr>
    </w:p>
    <w:p w14:paraId="6FB082C1" w14:textId="5D54C626"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podporuje zjednodušenie uznávania odborných kvalifikácií,</w:t>
      </w:r>
      <w:r w:rsidR="00645757">
        <w:t xml:space="preserve"> a </w:t>
      </w:r>
      <w:r w:rsidRPr="00645757">
        <w:t>to aj pre štátnych príslušníkov tretích krajín, zdôrazňuje však, že takéto kvalifikácie musia byť jasne vymedzené, overiteľné</w:t>
      </w:r>
      <w:r w:rsidR="00645757">
        <w:t xml:space="preserve"> a </w:t>
      </w:r>
      <w:r w:rsidRPr="00645757">
        <w:t>preukázateľne kvalitné;</w:t>
      </w:r>
    </w:p>
    <w:p w14:paraId="61951621" w14:textId="77777777" w:rsidR="002179FF" w:rsidRPr="00645757" w:rsidRDefault="002179FF" w:rsidP="002179FF">
      <w:pPr>
        <w:widowControl w:val="0"/>
        <w:ind w:left="567"/>
        <w:rPr>
          <w:bCs/>
          <w:iCs/>
        </w:rPr>
      </w:pPr>
    </w:p>
    <w:p w14:paraId="2F7EDF1C"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rPr>
          <w:bCs/>
          <w:iCs/>
        </w:rPr>
      </w:pPr>
      <w:r w:rsidRPr="00645757">
        <w:t>podporuje posilnenie Európskeho orgánu práce (ELA);</w:t>
      </w:r>
    </w:p>
    <w:p w14:paraId="3141F6F6" w14:textId="77777777" w:rsidR="002179FF" w:rsidRPr="00645757" w:rsidRDefault="002179FF" w:rsidP="002179FF">
      <w:pPr>
        <w:widowControl w:val="0"/>
        <w:ind w:left="567"/>
        <w:rPr>
          <w:bCs/>
          <w:iCs/>
        </w:rPr>
      </w:pPr>
    </w:p>
    <w:p w14:paraId="2A78B23B" w14:textId="1D30868C" w:rsid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žiada, aby sa rozsah pôsobnosti jednotného trhu rozšíril na strategické odvetvia, ako sú </w:t>
      </w:r>
      <w:r w:rsidRPr="00645757">
        <w:lastRenderedPageBreak/>
        <w:t>energetika</w:t>
      </w:r>
      <w:r w:rsidR="00645757">
        <w:t xml:space="preserve"> a </w:t>
      </w:r>
      <w:r w:rsidRPr="00645757">
        <w:t>financie. Vyzdvihuje potrebu inkluzívneho riadenia</w:t>
      </w:r>
      <w:r w:rsidR="00645757">
        <w:t xml:space="preserve"> a </w:t>
      </w:r>
      <w:r w:rsidRPr="00645757">
        <w:t>vyzýva na revíziu právnych predpisov</w:t>
      </w:r>
      <w:r w:rsidR="00645757">
        <w:t xml:space="preserve"> o </w:t>
      </w:r>
      <w:r w:rsidRPr="00645757">
        <w:t>verejnom obstarávaní. Zároveň by sa mali nájsť vhodné spôsoby, ako zohľadniť sociálne, environmentálne</w:t>
      </w:r>
      <w:r w:rsidR="00645757">
        <w:t xml:space="preserve"> a </w:t>
      </w:r>
      <w:r w:rsidRPr="00645757">
        <w:t>inovačné ciele</w:t>
      </w:r>
      <w:r w:rsidR="00645757">
        <w:t>.</w:t>
      </w:r>
    </w:p>
    <w:p w14:paraId="43B9C654" w14:textId="1F696C9E" w:rsidR="002179FF" w:rsidRPr="00645757" w:rsidRDefault="002179FF" w:rsidP="002179FF">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179FF" w:rsidRPr="00645757" w14:paraId="295A29D1" w14:textId="77777777" w:rsidTr="000F1E5F">
        <w:tc>
          <w:tcPr>
            <w:tcW w:w="1418" w:type="dxa"/>
          </w:tcPr>
          <w:p w14:paraId="48FA4D92" w14:textId="77777777" w:rsidR="002179FF" w:rsidRPr="00645757" w:rsidRDefault="002179FF" w:rsidP="000F1E5F">
            <w:pPr>
              <w:spacing w:line="240" w:lineRule="auto"/>
              <w:rPr>
                <w:i/>
              </w:rPr>
            </w:pPr>
            <w:r w:rsidRPr="00645757">
              <w:rPr>
                <w:b/>
                <w:i/>
              </w:rPr>
              <w:t>Kontakt:</w:t>
            </w:r>
          </w:p>
        </w:tc>
        <w:tc>
          <w:tcPr>
            <w:tcW w:w="5670" w:type="dxa"/>
          </w:tcPr>
          <w:p w14:paraId="457EB7B3" w14:textId="77777777" w:rsidR="002179FF" w:rsidRPr="00645757" w:rsidRDefault="002179FF" w:rsidP="000F1E5F">
            <w:pPr>
              <w:spacing w:line="240" w:lineRule="auto"/>
              <w:rPr>
                <w:i/>
              </w:rPr>
            </w:pPr>
            <w:proofErr w:type="spellStart"/>
            <w:r w:rsidRPr="00645757">
              <w:rPr>
                <w:i/>
              </w:rPr>
              <w:t>Annalisa</w:t>
            </w:r>
            <w:proofErr w:type="spellEnd"/>
            <w:r w:rsidRPr="00645757">
              <w:rPr>
                <w:i/>
              </w:rPr>
              <w:t xml:space="preserve"> </w:t>
            </w:r>
            <w:proofErr w:type="spellStart"/>
            <w:r w:rsidRPr="00645757">
              <w:rPr>
                <w:i/>
              </w:rPr>
              <w:t>Tessarolo</w:t>
            </w:r>
            <w:proofErr w:type="spellEnd"/>
          </w:p>
        </w:tc>
      </w:tr>
      <w:tr w:rsidR="002179FF" w:rsidRPr="00645757" w14:paraId="2DCF9836" w14:textId="77777777" w:rsidTr="000F1E5F">
        <w:tc>
          <w:tcPr>
            <w:tcW w:w="1418" w:type="dxa"/>
          </w:tcPr>
          <w:p w14:paraId="0302FDF6" w14:textId="77777777" w:rsidR="002179FF" w:rsidRPr="00645757" w:rsidRDefault="002179FF" w:rsidP="000F1E5F">
            <w:pPr>
              <w:spacing w:line="240" w:lineRule="auto"/>
              <w:rPr>
                <w:i/>
              </w:rPr>
            </w:pPr>
            <w:r w:rsidRPr="00645757">
              <w:rPr>
                <w:i/>
              </w:rPr>
              <w:t>Tel:</w:t>
            </w:r>
          </w:p>
        </w:tc>
        <w:tc>
          <w:tcPr>
            <w:tcW w:w="5670" w:type="dxa"/>
            <w:shd w:val="clear" w:color="auto" w:fill="auto"/>
          </w:tcPr>
          <w:p w14:paraId="24D58156" w14:textId="77777777" w:rsidR="002179FF" w:rsidRPr="00645757" w:rsidRDefault="002179FF" w:rsidP="000F1E5F">
            <w:pPr>
              <w:spacing w:line="240" w:lineRule="auto"/>
              <w:rPr>
                <w:i/>
              </w:rPr>
            </w:pPr>
            <w:r w:rsidRPr="00645757">
              <w:rPr>
                <w:i/>
              </w:rPr>
              <w:t>+ 32 25469732</w:t>
            </w:r>
          </w:p>
        </w:tc>
      </w:tr>
      <w:tr w:rsidR="002179FF" w:rsidRPr="00645757" w14:paraId="52E7CD60" w14:textId="77777777" w:rsidTr="000F1E5F">
        <w:tc>
          <w:tcPr>
            <w:tcW w:w="1418" w:type="dxa"/>
          </w:tcPr>
          <w:p w14:paraId="100F238A" w14:textId="77777777" w:rsidR="002179FF" w:rsidRPr="00645757" w:rsidRDefault="002179FF" w:rsidP="000F1E5F">
            <w:pPr>
              <w:spacing w:line="240" w:lineRule="auto"/>
              <w:rPr>
                <w:i/>
              </w:rPr>
            </w:pPr>
            <w:r w:rsidRPr="00645757">
              <w:rPr>
                <w:i/>
              </w:rPr>
              <w:t>E-mail:</w:t>
            </w:r>
          </w:p>
        </w:tc>
        <w:tc>
          <w:tcPr>
            <w:tcW w:w="5670" w:type="dxa"/>
          </w:tcPr>
          <w:p w14:paraId="2FD32965" w14:textId="77777777" w:rsidR="002179FF" w:rsidRPr="00645757" w:rsidRDefault="002179FF" w:rsidP="000F1E5F">
            <w:pPr>
              <w:spacing w:line="240" w:lineRule="auto"/>
              <w:rPr>
                <w:i/>
              </w:rPr>
            </w:pPr>
            <w:hyperlink r:id="rId32" w:history="1">
              <w:r w:rsidRPr="00645757">
                <w:rPr>
                  <w:rStyle w:val="Hyperlink"/>
                  <w:i/>
                </w:rPr>
                <w:t>Annalisa.Tessarolo@eesc.europa.eu</w:t>
              </w:r>
            </w:hyperlink>
          </w:p>
        </w:tc>
      </w:tr>
    </w:tbl>
    <w:p w14:paraId="4982DE1C" w14:textId="2C7D6502" w:rsidR="00465162" w:rsidRPr="00645757" w:rsidRDefault="00465162" w:rsidP="004D7AC0">
      <w:pPr>
        <w:pStyle w:val="ListParagraph"/>
        <w:ind w:left="0"/>
      </w:pPr>
    </w:p>
    <w:p w14:paraId="7BF91C3B" w14:textId="06CB29ED" w:rsidR="008A6059" w:rsidRPr="00645757" w:rsidRDefault="00465162" w:rsidP="00CB245F">
      <w:pPr>
        <w:widowControl w:val="0"/>
        <w:numPr>
          <w:ilvl w:val="0"/>
          <w:numId w:val="4"/>
        </w:numPr>
        <w:overflowPunct w:val="0"/>
        <w:autoSpaceDE w:val="0"/>
        <w:autoSpaceDN w:val="0"/>
        <w:adjustRightInd w:val="0"/>
        <w:spacing w:after="120"/>
        <w:ind w:hanging="567"/>
        <w:textAlignment w:val="baseline"/>
        <w:rPr>
          <w:sz w:val="20"/>
          <w:szCs w:val="20"/>
        </w:rPr>
      </w:pPr>
      <w:r w:rsidRPr="00645757">
        <w:br w:type="page"/>
      </w:r>
      <w:hyperlink r:id="rId33" w:tgtFrame="_blank" w:history="1">
        <w:r w:rsidR="002179FF" w:rsidRPr="00645757">
          <w:rPr>
            <w:rStyle w:val="Hyperlink"/>
            <w:b/>
            <w:i/>
            <w:sz w:val="28"/>
          </w:rPr>
          <w:t>Správa</w:t>
        </w:r>
        <w:r w:rsidR="00645757">
          <w:rPr>
            <w:rStyle w:val="Hyperlink"/>
            <w:b/>
            <w:i/>
            <w:sz w:val="28"/>
          </w:rPr>
          <w:t xml:space="preserve"> o </w:t>
        </w:r>
        <w:r w:rsidR="002179FF" w:rsidRPr="00645757">
          <w:rPr>
            <w:rStyle w:val="Hyperlink"/>
            <w:b/>
            <w:i/>
            <w:sz w:val="28"/>
          </w:rPr>
          <w:t>politike hospodárskej súťaže za rok 2024</w:t>
        </w:r>
      </w:hyperlink>
    </w:p>
    <w:p w14:paraId="1EBCF21B" w14:textId="77777777" w:rsidR="008A6059" w:rsidRPr="00645757" w:rsidRDefault="008A6059" w:rsidP="008A6059">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2179FF" w:rsidRPr="00645757" w14:paraId="186DF31D" w14:textId="77777777" w:rsidTr="000F1E5F">
        <w:tc>
          <w:tcPr>
            <w:tcW w:w="1701" w:type="dxa"/>
          </w:tcPr>
          <w:p w14:paraId="03119520" w14:textId="77777777" w:rsidR="002179FF" w:rsidRPr="00645757" w:rsidRDefault="002179FF" w:rsidP="000F1E5F">
            <w:pPr>
              <w:tabs>
                <w:tab w:val="center" w:pos="284"/>
              </w:tabs>
              <w:ind w:left="266" w:hanging="266"/>
              <w:rPr>
                <w:b/>
              </w:rPr>
            </w:pPr>
            <w:r w:rsidRPr="00645757">
              <w:rPr>
                <w:b/>
              </w:rPr>
              <w:t>Spravodajca</w:t>
            </w:r>
          </w:p>
        </w:tc>
        <w:tc>
          <w:tcPr>
            <w:tcW w:w="5387" w:type="dxa"/>
          </w:tcPr>
          <w:p w14:paraId="5492A26C" w14:textId="77777777" w:rsidR="002179FF" w:rsidRPr="00645757" w:rsidRDefault="002179FF" w:rsidP="000F1E5F">
            <w:pPr>
              <w:tabs>
                <w:tab w:val="center" w:pos="284"/>
              </w:tabs>
              <w:ind w:left="266" w:hanging="266"/>
            </w:pPr>
            <w:r w:rsidRPr="00645757">
              <w:t>Andrea MONE (skupina Pracovníci – IT)</w:t>
            </w:r>
          </w:p>
        </w:tc>
      </w:tr>
      <w:tr w:rsidR="002179FF" w:rsidRPr="00645757" w14:paraId="213CDAB1" w14:textId="77777777" w:rsidTr="000F1E5F">
        <w:tc>
          <w:tcPr>
            <w:tcW w:w="7088" w:type="dxa"/>
            <w:gridSpan w:val="2"/>
          </w:tcPr>
          <w:p w14:paraId="4D145CE7" w14:textId="77777777" w:rsidR="002179FF" w:rsidRPr="00645757" w:rsidRDefault="002179FF" w:rsidP="000F1E5F">
            <w:pPr>
              <w:tabs>
                <w:tab w:val="center" w:pos="284"/>
              </w:tabs>
              <w:spacing w:line="160" w:lineRule="exact"/>
              <w:ind w:left="266" w:hanging="266"/>
            </w:pPr>
          </w:p>
        </w:tc>
      </w:tr>
      <w:tr w:rsidR="002179FF" w:rsidRPr="00645757" w14:paraId="29E78282" w14:textId="77777777" w:rsidTr="000F1E5F">
        <w:tc>
          <w:tcPr>
            <w:tcW w:w="1701" w:type="dxa"/>
            <w:vMerge w:val="restart"/>
          </w:tcPr>
          <w:p w14:paraId="369E8ACC" w14:textId="77777777" w:rsidR="002179FF" w:rsidRPr="00645757" w:rsidRDefault="002179FF" w:rsidP="000F1E5F">
            <w:pPr>
              <w:tabs>
                <w:tab w:val="center" w:pos="284"/>
              </w:tabs>
              <w:ind w:left="266" w:hanging="266"/>
              <w:rPr>
                <w:b/>
              </w:rPr>
            </w:pPr>
            <w:proofErr w:type="spellStart"/>
            <w:r w:rsidRPr="00645757">
              <w:rPr>
                <w:b/>
              </w:rPr>
              <w:t>Ref</w:t>
            </w:r>
            <w:proofErr w:type="spellEnd"/>
            <w:r w:rsidRPr="00645757">
              <w:rPr>
                <w:b/>
              </w:rPr>
              <w:t>. dok.</w:t>
            </w:r>
          </w:p>
        </w:tc>
        <w:tc>
          <w:tcPr>
            <w:tcW w:w="5387" w:type="dxa"/>
          </w:tcPr>
          <w:p w14:paraId="7B3F8D6C" w14:textId="77777777" w:rsidR="002179FF" w:rsidRPr="00645757" w:rsidRDefault="002179FF" w:rsidP="000F1E5F">
            <w:pPr>
              <w:tabs>
                <w:tab w:val="center" w:pos="284"/>
              </w:tabs>
              <w:ind w:left="266" w:hanging="266"/>
            </w:pPr>
            <w:r w:rsidRPr="00645757">
              <w:t xml:space="preserve">COM(2025) 181 </w:t>
            </w:r>
            <w:proofErr w:type="spellStart"/>
            <w:r w:rsidRPr="00645757">
              <w:t>final</w:t>
            </w:r>
            <w:proofErr w:type="spellEnd"/>
          </w:p>
          <w:p w14:paraId="502155DB" w14:textId="77777777" w:rsidR="002179FF" w:rsidRPr="00645757" w:rsidRDefault="002179FF" w:rsidP="000F1E5F">
            <w:pPr>
              <w:tabs>
                <w:tab w:val="center" w:pos="284"/>
              </w:tabs>
              <w:ind w:left="266" w:hanging="266"/>
            </w:pPr>
            <w:r w:rsidRPr="00645757">
              <w:t>EESC-2025-02299-00-00-AC</w:t>
            </w:r>
          </w:p>
        </w:tc>
      </w:tr>
      <w:tr w:rsidR="002179FF" w:rsidRPr="00645757" w14:paraId="5A1B4ED3" w14:textId="77777777" w:rsidTr="000F1E5F">
        <w:tc>
          <w:tcPr>
            <w:tcW w:w="1701" w:type="dxa"/>
            <w:vMerge/>
          </w:tcPr>
          <w:p w14:paraId="318687CC" w14:textId="77777777" w:rsidR="002179FF" w:rsidRPr="00645757" w:rsidRDefault="002179FF" w:rsidP="000F1E5F">
            <w:pPr>
              <w:tabs>
                <w:tab w:val="center" w:pos="284"/>
              </w:tabs>
              <w:ind w:left="266" w:hanging="266"/>
              <w:rPr>
                <w:b/>
              </w:rPr>
            </w:pPr>
          </w:p>
        </w:tc>
        <w:tc>
          <w:tcPr>
            <w:tcW w:w="5387" w:type="dxa"/>
          </w:tcPr>
          <w:p w14:paraId="11147D65" w14:textId="77777777" w:rsidR="002179FF" w:rsidRPr="00645757" w:rsidRDefault="002179FF" w:rsidP="000F1E5F">
            <w:pPr>
              <w:tabs>
                <w:tab w:val="center" w:pos="284"/>
              </w:tabs>
              <w:ind w:left="266" w:hanging="266"/>
            </w:pPr>
          </w:p>
        </w:tc>
      </w:tr>
    </w:tbl>
    <w:p w14:paraId="64ABEB43" w14:textId="77777777" w:rsidR="002179FF" w:rsidRPr="00645757" w:rsidRDefault="002179FF" w:rsidP="002179FF">
      <w:pPr>
        <w:keepNext/>
        <w:keepLines/>
        <w:tabs>
          <w:tab w:val="center" w:pos="284"/>
        </w:tabs>
        <w:ind w:left="266" w:hanging="266"/>
        <w:rPr>
          <w:b/>
        </w:rPr>
      </w:pPr>
      <w:r w:rsidRPr="00645757">
        <w:rPr>
          <w:b/>
        </w:rPr>
        <w:t>Hlavné body</w:t>
      </w:r>
    </w:p>
    <w:p w14:paraId="326D57C9" w14:textId="77777777" w:rsidR="002179FF" w:rsidRPr="00645757" w:rsidRDefault="002179FF" w:rsidP="002179FF">
      <w:pPr>
        <w:keepNext/>
        <w:keepLines/>
        <w:tabs>
          <w:tab w:val="center" w:pos="284"/>
        </w:tabs>
        <w:ind w:left="266" w:hanging="266"/>
        <w:rPr>
          <w:b/>
        </w:rPr>
      </w:pPr>
    </w:p>
    <w:p w14:paraId="27CD89D2" w14:textId="77777777" w:rsidR="002179FF" w:rsidRPr="00645757" w:rsidRDefault="002179FF" w:rsidP="002179FF">
      <w:pPr>
        <w:rPr>
          <w:bCs/>
          <w:iCs/>
        </w:rPr>
      </w:pPr>
      <w:r w:rsidRPr="00645757">
        <w:t>EHSV:</w:t>
      </w:r>
    </w:p>
    <w:p w14:paraId="132D01ED" w14:textId="77777777" w:rsidR="002179FF" w:rsidRPr="00645757" w:rsidRDefault="002179FF" w:rsidP="002179FF">
      <w:pPr>
        <w:rPr>
          <w:bCs/>
          <w:iCs/>
        </w:rPr>
      </w:pPr>
    </w:p>
    <w:p w14:paraId="40AFA342" w14:textId="7F512AF3"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víta prístup</w:t>
      </w:r>
      <w:r w:rsidR="00645757">
        <w:t xml:space="preserve"> k </w:t>
      </w:r>
      <w:r w:rsidRPr="00645757">
        <w:t xml:space="preserve">presadzovaniu práva, ktorý </w:t>
      </w:r>
      <w:r w:rsidRPr="00645757">
        <w:rPr>
          <w:b/>
          <w:bCs/>
        </w:rPr>
        <w:t>Komisia prijala počas roka 2024</w:t>
      </w:r>
      <w:r w:rsidR="00645757">
        <w:t xml:space="preserve"> a </w:t>
      </w:r>
      <w:r w:rsidRPr="00645757">
        <w:t>ktorého cieľom je efektívne integrovať politiku hospodárskej súťaže do cieľov EÚ</w:t>
      </w:r>
      <w:r w:rsidR="00645757">
        <w:t xml:space="preserve"> v </w:t>
      </w:r>
      <w:r w:rsidRPr="00645757">
        <w:t>oblasti digitalizácie, ekológie</w:t>
      </w:r>
      <w:r w:rsidR="00645757">
        <w:t xml:space="preserve"> a </w:t>
      </w:r>
      <w:r w:rsidRPr="00645757">
        <w:t>odolnosti</w:t>
      </w:r>
      <w:r w:rsidR="00645757">
        <w:t xml:space="preserve"> a </w:t>
      </w:r>
      <w:r w:rsidRPr="00645757">
        <w:t>zároveň chrániť dobre fungujúci</w:t>
      </w:r>
      <w:r w:rsidR="00645757">
        <w:t xml:space="preserve"> a </w:t>
      </w:r>
      <w:r w:rsidRPr="00645757">
        <w:t>konkurencieschopný jednotný trh;</w:t>
      </w:r>
    </w:p>
    <w:p w14:paraId="2D1703BA" w14:textId="77777777" w:rsidR="002179FF" w:rsidRPr="00645757" w:rsidRDefault="002179FF" w:rsidP="002179FF">
      <w:pPr>
        <w:ind w:left="567"/>
        <w:rPr>
          <w:lang w:eastAsia="fr-BE"/>
        </w:rPr>
      </w:pPr>
    </w:p>
    <w:p w14:paraId="66F6CDDC" w14:textId="076F47A8"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podporuje úsilie Komisie zamerané na zvýšenie </w:t>
      </w:r>
      <w:r w:rsidRPr="00645757">
        <w:rPr>
          <w:b/>
          <w:bCs/>
        </w:rPr>
        <w:t>účinnosti</w:t>
      </w:r>
      <w:r w:rsidR="00645757">
        <w:rPr>
          <w:b/>
          <w:bCs/>
        </w:rPr>
        <w:t xml:space="preserve"> a </w:t>
      </w:r>
      <w:r w:rsidRPr="00645757">
        <w:rPr>
          <w:b/>
          <w:bCs/>
        </w:rPr>
        <w:t>predvídateľnosti pravidiel hospodárskej súťaže</w:t>
      </w:r>
      <w:r w:rsidRPr="00645757">
        <w:t xml:space="preserve"> vrátane vypracovania nových usmernení týkajúcich sa zneužívania dominantného postavenia na účely vylúčenia, aktualizácie kľúčovej koncepcie</w:t>
      </w:r>
      <w:r w:rsidR="00645757">
        <w:t xml:space="preserve"> v </w:t>
      </w:r>
      <w:r w:rsidRPr="00645757">
        <w:t>oblasti presadzovania pravidiel hospodárskej súťaže</w:t>
      </w:r>
      <w:r w:rsidR="00645757">
        <w:t xml:space="preserve"> a </w:t>
      </w:r>
      <w:r w:rsidRPr="00645757">
        <w:t>zlepšených nástrojov na posudzovanie vplyvov na blahobyt spotrebiteľov;</w:t>
      </w:r>
    </w:p>
    <w:p w14:paraId="25446237" w14:textId="77777777" w:rsidR="002179FF" w:rsidRPr="00645757" w:rsidRDefault="002179FF" w:rsidP="002179FF">
      <w:pPr>
        <w:ind w:left="567"/>
        <w:rPr>
          <w:lang w:eastAsia="fr-BE"/>
        </w:rPr>
      </w:pPr>
    </w:p>
    <w:p w14:paraId="4B78A408" w14:textId="69773630"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zdôrazňuje význam riešenia výziev</w:t>
      </w:r>
      <w:r w:rsidR="00645757">
        <w:t xml:space="preserve"> v </w:t>
      </w:r>
      <w:r w:rsidRPr="00645757">
        <w:t xml:space="preserve">oblasti hospodárskej súťaže na </w:t>
      </w:r>
      <w:r w:rsidRPr="00645757">
        <w:rPr>
          <w:b/>
          <w:bCs/>
        </w:rPr>
        <w:t>digitálnych trhoch</w:t>
      </w:r>
      <w:r w:rsidR="00645757">
        <w:t xml:space="preserve"> a </w:t>
      </w:r>
      <w:r w:rsidRPr="00645757">
        <w:t>nabáda Komisiu, aby naďalej posilňovala presadzovanie podľa tradičných pravidiel hospodárskej súťaže, ako aj podľa aktu</w:t>
      </w:r>
      <w:r w:rsidR="00645757">
        <w:t xml:space="preserve"> o </w:t>
      </w:r>
      <w:r w:rsidRPr="00645757">
        <w:t>digitálnych trhoch vzhľadom na štrukturálne dominantné postavenie</w:t>
      </w:r>
      <w:r w:rsidR="00645757">
        <w:t xml:space="preserve"> a </w:t>
      </w:r>
      <w:r w:rsidRPr="00645757">
        <w:t>prekážky brániace vstupu na trh</w:t>
      </w:r>
      <w:r w:rsidR="00645757">
        <w:t xml:space="preserve"> v </w:t>
      </w:r>
      <w:r w:rsidRPr="00645757">
        <w:t>rámci obchodných modelov založených na platformách;</w:t>
      </w:r>
    </w:p>
    <w:p w14:paraId="6E39AEC1" w14:textId="77777777" w:rsidR="002179FF" w:rsidRPr="00645757" w:rsidRDefault="002179FF" w:rsidP="002179FF">
      <w:pPr>
        <w:ind w:left="567"/>
        <w:rPr>
          <w:lang w:eastAsia="fr-BE"/>
        </w:rPr>
      </w:pPr>
    </w:p>
    <w:p w14:paraId="35F218E0" w14:textId="657EC7BD"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vyzýva na </w:t>
      </w:r>
      <w:r w:rsidRPr="00645757">
        <w:rPr>
          <w:b/>
          <w:bCs/>
        </w:rPr>
        <w:t>prísnejšiu kontrolu fúzií</w:t>
      </w:r>
      <w:r w:rsidRPr="00645757">
        <w:t xml:space="preserve">, vrátane rámca na preskúmanie akvizícií pod prahovou hodnotou, ktoré môžu poškodiť hospodársku súťaž (napríklad tzv. </w:t>
      </w:r>
      <w:proofErr w:type="spellStart"/>
      <w:r w:rsidRPr="00645757">
        <w:rPr>
          <w:i/>
          <w:iCs/>
        </w:rPr>
        <w:t>killer</w:t>
      </w:r>
      <w:proofErr w:type="spellEnd"/>
      <w:r w:rsidRPr="00645757">
        <w:rPr>
          <w:i/>
          <w:iCs/>
        </w:rPr>
        <w:t xml:space="preserve"> </w:t>
      </w:r>
      <w:proofErr w:type="spellStart"/>
      <w:r w:rsidRPr="00645757">
        <w:rPr>
          <w:i/>
          <w:iCs/>
        </w:rPr>
        <w:t>acquisitions</w:t>
      </w:r>
      <w:proofErr w:type="spellEnd"/>
      <w:r w:rsidRPr="00645757">
        <w:t>),</w:t>
      </w:r>
      <w:r w:rsidR="00645757">
        <w:t xml:space="preserve"> a </w:t>
      </w:r>
      <w:r w:rsidRPr="00645757">
        <w:t xml:space="preserve">naliehavo žiada, aby sa pri posudzovaní fúzií </w:t>
      </w:r>
      <w:r w:rsidRPr="00645757">
        <w:rPr>
          <w:b/>
          <w:bCs/>
        </w:rPr>
        <w:t>vo väčšej miere zohľadňoval vplyv na trh práce</w:t>
      </w:r>
      <w:r w:rsidR="00645757">
        <w:t xml:space="preserve"> a </w:t>
      </w:r>
      <w:r w:rsidRPr="00645757">
        <w:t xml:space="preserve">dynamika </w:t>
      </w:r>
      <w:r w:rsidRPr="00645757">
        <w:rPr>
          <w:b/>
          <w:bCs/>
        </w:rPr>
        <w:t>inovácií</w:t>
      </w:r>
      <w:r w:rsidRPr="00645757">
        <w:t>;</w:t>
      </w:r>
    </w:p>
    <w:p w14:paraId="23B11F78" w14:textId="77777777" w:rsidR="002179FF" w:rsidRPr="00645757" w:rsidRDefault="002179FF" w:rsidP="002179FF">
      <w:pPr>
        <w:ind w:left="567"/>
        <w:rPr>
          <w:lang w:eastAsia="fr-BE"/>
        </w:rPr>
      </w:pPr>
    </w:p>
    <w:p w14:paraId="5D110D1E" w14:textId="39140B7D"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zdôrazňuje potrebu </w:t>
      </w:r>
      <w:r w:rsidRPr="00645757">
        <w:rPr>
          <w:b/>
          <w:bCs/>
        </w:rPr>
        <w:t>pravidiel štátnej pomoci</w:t>
      </w:r>
      <w:r w:rsidRPr="00645757">
        <w:t>,</w:t>
      </w:r>
      <w:r w:rsidR="00645757">
        <w:t xml:space="preserve"> a </w:t>
      </w:r>
      <w:r w:rsidRPr="00645757">
        <w:t>to najmä nového rámca štátnej pomoci pre Dohodu</w:t>
      </w:r>
      <w:r w:rsidR="00645757">
        <w:t xml:space="preserve"> o </w:t>
      </w:r>
      <w:r w:rsidRPr="00645757">
        <w:t>čistom priemysle</w:t>
      </w:r>
      <w:r w:rsidR="00645757">
        <w:t xml:space="preserve"> a </w:t>
      </w:r>
      <w:r w:rsidRPr="00645757">
        <w:t>procesov dôležitých projektov spoločného európskeho záujmu,</w:t>
      </w:r>
      <w:r w:rsidR="00645757">
        <w:t xml:space="preserve"> s </w:t>
      </w:r>
      <w:r w:rsidRPr="00645757">
        <w:t xml:space="preserve">cieľom podporiť </w:t>
      </w:r>
      <w:r w:rsidRPr="00645757">
        <w:rPr>
          <w:b/>
          <w:bCs/>
        </w:rPr>
        <w:t>cezhraničnú účasť, zmenšiť fragmentáciu</w:t>
      </w:r>
      <w:r w:rsidR="00645757">
        <w:rPr>
          <w:b/>
          <w:bCs/>
        </w:rPr>
        <w:t xml:space="preserve"> a </w:t>
      </w:r>
      <w:r w:rsidRPr="00645757">
        <w:rPr>
          <w:b/>
          <w:bCs/>
        </w:rPr>
        <w:t>podporiť strategické investície</w:t>
      </w:r>
      <w:r w:rsidRPr="00645757">
        <w:t>, ktoré sú nevyhnutné pre Dohodu</w:t>
      </w:r>
      <w:r w:rsidR="00645757">
        <w:t xml:space="preserve"> o </w:t>
      </w:r>
      <w:r w:rsidRPr="00645757">
        <w:t>čistom priemysle,</w:t>
      </w:r>
      <w:r w:rsidR="00645757">
        <w:t xml:space="preserve"> a </w:t>
      </w:r>
      <w:r w:rsidRPr="00645757">
        <w:t>zároveň zabezpečiť súdržnosť</w:t>
      </w:r>
      <w:r w:rsidR="00645757">
        <w:t xml:space="preserve"> a </w:t>
      </w:r>
      <w:r w:rsidRPr="00645757">
        <w:t>rovnaké podmienky vo všetkých členských štátoch.</w:t>
      </w:r>
    </w:p>
    <w:p w14:paraId="72311F86" w14:textId="77777777" w:rsidR="002179FF" w:rsidRPr="00645757" w:rsidRDefault="002179FF" w:rsidP="002179FF">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179FF" w:rsidRPr="00645757" w14:paraId="40A4A158" w14:textId="77777777" w:rsidTr="000F1E5F">
        <w:tc>
          <w:tcPr>
            <w:tcW w:w="1418" w:type="dxa"/>
          </w:tcPr>
          <w:p w14:paraId="61933989" w14:textId="77777777" w:rsidR="002179FF" w:rsidRPr="00645757" w:rsidRDefault="002179FF" w:rsidP="000F1E5F">
            <w:pPr>
              <w:spacing w:line="240" w:lineRule="auto"/>
              <w:rPr>
                <w:i/>
              </w:rPr>
            </w:pPr>
            <w:r w:rsidRPr="00645757">
              <w:rPr>
                <w:b/>
                <w:i/>
              </w:rPr>
              <w:t>Kontakt</w:t>
            </w:r>
          </w:p>
        </w:tc>
        <w:tc>
          <w:tcPr>
            <w:tcW w:w="5670" w:type="dxa"/>
          </w:tcPr>
          <w:p w14:paraId="68131F4C" w14:textId="77777777" w:rsidR="002179FF" w:rsidRPr="00645757" w:rsidRDefault="002179FF" w:rsidP="000F1E5F">
            <w:pPr>
              <w:spacing w:line="240" w:lineRule="auto"/>
              <w:rPr>
                <w:i/>
              </w:rPr>
            </w:pPr>
            <w:r w:rsidRPr="00645757">
              <w:rPr>
                <w:i/>
              </w:rPr>
              <w:t xml:space="preserve">Silvia </w:t>
            </w:r>
            <w:proofErr w:type="spellStart"/>
            <w:r w:rsidRPr="00645757">
              <w:rPr>
                <w:i/>
              </w:rPr>
              <w:t>Staffa</w:t>
            </w:r>
            <w:proofErr w:type="spellEnd"/>
          </w:p>
        </w:tc>
      </w:tr>
      <w:tr w:rsidR="002179FF" w:rsidRPr="00645757" w14:paraId="08641EDD" w14:textId="77777777" w:rsidTr="000F1E5F">
        <w:tc>
          <w:tcPr>
            <w:tcW w:w="1418" w:type="dxa"/>
          </w:tcPr>
          <w:p w14:paraId="06CE74AE" w14:textId="77777777" w:rsidR="002179FF" w:rsidRPr="00645757" w:rsidRDefault="002179FF" w:rsidP="000F1E5F">
            <w:pPr>
              <w:spacing w:line="240" w:lineRule="auto"/>
              <w:rPr>
                <w:i/>
              </w:rPr>
            </w:pPr>
            <w:r w:rsidRPr="00645757">
              <w:rPr>
                <w:i/>
              </w:rPr>
              <w:t>Tel.:</w:t>
            </w:r>
          </w:p>
        </w:tc>
        <w:tc>
          <w:tcPr>
            <w:tcW w:w="5670" w:type="dxa"/>
            <w:shd w:val="clear" w:color="auto" w:fill="auto"/>
          </w:tcPr>
          <w:p w14:paraId="395EE42B" w14:textId="77777777" w:rsidR="002179FF" w:rsidRPr="00645757" w:rsidRDefault="002179FF" w:rsidP="000F1E5F">
            <w:pPr>
              <w:spacing w:line="240" w:lineRule="auto"/>
              <w:rPr>
                <w:i/>
              </w:rPr>
            </w:pPr>
            <w:r w:rsidRPr="00645757">
              <w:rPr>
                <w:i/>
              </w:rPr>
              <w:t>+ 32 25468378</w:t>
            </w:r>
          </w:p>
        </w:tc>
      </w:tr>
      <w:tr w:rsidR="002179FF" w:rsidRPr="00645757" w14:paraId="14958749" w14:textId="77777777" w:rsidTr="000F1E5F">
        <w:tc>
          <w:tcPr>
            <w:tcW w:w="1418" w:type="dxa"/>
          </w:tcPr>
          <w:p w14:paraId="0400C494" w14:textId="77777777" w:rsidR="002179FF" w:rsidRPr="00645757" w:rsidRDefault="002179FF" w:rsidP="000F1E5F">
            <w:pPr>
              <w:spacing w:line="240" w:lineRule="auto"/>
              <w:rPr>
                <w:i/>
              </w:rPr>
            </w:pPr>
            <w:r w:rsidRPr="00645757">
              <w:rPr>
                <w:i/>
              </w:rPr>
              <w:t>E-mail:</w:t>
            </w:r>
          </w:p>
        </w:tc>
        <w:tc>
          <w:tcPr>
            <w:tcW w:w="5670" w:type="dxa"/>
          </w:tcPr>
          <w:p w14:paraId="2C820F66" w14:textId="77777777" w:rsidR="002179FF" w:rsidRPr="00645757" w:rsidRDefault="002179FF" w:rsidP="000F1E5F">
            <w:pPr>
              <w:spacing w:line="240" w:lineRule="auto"/>
              <w:rPr>
                <w:i/>
              </w:rPr>
            </w:pPr>
            <w:hyperlink r:id="rId34" w:history="1">
              <w:r w:rsidRPr="00645757">
                <w:rPr>
                  <w:rStyle w:val="Hyperlink"/>
                  <w:i/>
                </w:rPr>
                <w:t>Silvia.Staffa@eesc.europa.eu</w:t>
              </w:r>
            </w:hyperlink>
          </w:p>
        </w:tc>
      </w:tr>
    </w:tbl>
    <w:p w14:paraId="4982DE1D" w14:textId="77777777" w:rsidR="004D7AC0" w:rsidRPr="00645757" w:rsidRDefault="004D7AC0" w:rsidP="004D7AC0">
      <w:pPr>
        <w:pStyle w:val="ListParagraph"/>
        <w:ind w:left="0"/>
      </w:pPr>
    </w:p>
    <w:p w14:paraId="4E659D6D" w14:textId="50A91430" w:rsidR="00685A3A" w:rsidRPr="00645757" w:rsidRDefault="004D7AC0" w:rsidP="00685A3A">
      <w:pPr>
        <w:widowControl w:val="0"/>
        <w:numPr>
          <w:ilvl w:val="0"/>
          <w:numId w:val="4"/>
        </w:numPr>
        <w:overflowPunct w:val="0"/>
        <w:autoSpaceDE w:val="0"/>
        <w:autoSpaceDN w:val="0"/>
        <w:adjustRightInd w:val="0"/>
        <w:ind w:hanging="567"/>
        <w:textAlignment w:val="baseline"/>
        <w:rPr>
          <w:i/>
          <w:iCs/>
          <w:sz w:val="28"/>
          <w:szCs w:val="28"/>
        </w:rPr>
      </w:pPr>
      <w:r w:rsidRPr="00645757">
        <w:br w:type="page"/>
      </w:r>
      <w:hyperlink r:id="rId35" w:history="1">
        <w:r w:rsidR="002179FF" w:rsidRPr="00645757">
          <w:rPr>
            <w:rStyle w:val="Hyperlink"/>
            <w:b/>
            <w:i/>
            <w:sz w:val="28"/>
          </w:rPr>
          <w:t>Fond pre konkurencieschopnosť</w:t>
        </w:r>
      </w:hyperlink>
    </w:p>
    <w:p w14:paraId="2B552AA7" w14:textId="77777777" w:rsidR="00685A3A" w:rsidRPr="00645757" w:rsidRDefault="00685A3A" w:rsidP="00685A3A">
      <w:pPr>
        <w:tabs>
          <w:tab w:val="center" w:pos="284"/>
        </w:tabs>
        <w:overflowPunct w:val="0"/>
        <w:autoSpaceDE w:val="0"/>
        <w:autoSpaceDN w:val="0"/>
        <w:adjustRightInd w:val="0"/>
        <w:ind w:left="266" w:hanging="266"/>
        <w:textAlignment w:val="baseline"/>
        <w:rPr>
          <w:b/>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2179FF" w:rsidRPr="00645757" w14:paraId="24E49113" w14:textId="77777777" w:rsidTr="000F1E5F">
        <w:trPr>
          <w:trHeight w:val="406"/>
        </w:trPr>
        <w:tc>
          <w:tcPr>
            <w:tcW w:w="1108" w:type="pct"/>
          </w:tcPr>
          <w:p w14:paraId="2603763D" w14:textId="77777777" w:rsidR="002179FF" w:rsidRPr="00645757" w:rsidRDefault="002179FF" w:rsidP="000F1E5F">
            <w:pPr>
              <w:tabs>
                <w:tab w:val="center" w:pos="284"/>
              </w:tabs>
              <w:ind w:left="266" w:hanging="266"/>
              <w:rPr>
                <w:b/>
              </w:rPr>
            </w:pPr>
            <w:r w:rsidRPr="00645757">
              <w:rPr>
                <w:b/>
              </w:rPr>
              <w:t>Spravodajkyňa:</w:t>
            </w:r>
          </w:p>
        </w:tc>
        <w:tc>
          <w:tcPr>
            <w:tcW w:w="3892" w:type="pct"/>
          </w:tcPr>
          <w:p w14:paraId="6DDBD0C2" w14:textId="77777777" w:rsidR="002179FF" w:rsidRPr="00645757" w:rsidRDefault="002179FF" w:rsidP="000F1E5F">
            <w:pPr>
              <w:tabs>
                <w:tab w:val="center" w:pos="0"/>
              </w:tabs>
              <w:ind w:left="266" w:hanging="266"/>
            </w:pPr>
            <w:r w:rsidRPr="00645757">
              <w:t>Milena ANGELOVA (skupina Zamestnávatelia – BG)</w:t>
            </w:r>
          </w:p>
        </w:tc>
      </w:tr>
      <w:tr w:rsidR="002179FF" w:rsidRPr="00645757" w14:paraId="23912CC8" w14:textId="77777777" w:rsidTr="000F1E5F">
        <w:tc>
          <w:tcPr>
            <w:tcW w:w="1108" w:type="pct"/>
          </w:tcPr>
          <w:p w14:paraId="6F9E3D46" w14:textId="77777777" w:rsidR="002179FF" w:rsidRPr="00645757" w:rsidRDefault="002179FF" w:rsidP="000F1E5F">
            <w:pPr>
              <w:tabs>
                <w:tab w:val="center" w:pos="284"/>
              </w:tabs>
              <w:ind w:left="266" w:hanging="266"/>
              <w:rPr>
                <w:b/>
              </w:rPr>
            </w:pPr>
            <w:proofErr w:type="spellStart"/>
            <w:r w:rsidRPr="00645757">
              <w:rPr>
                <w:b/>
              </w:rPr>
              <w:t>Ref</w:t>
            </w:r>
            <w:proofErr w:type="spellEnd"/>
            <w:r w:rsidRPr="00645757">
              <w:rPr>
                <w:b/>
              </w:rPr>
              <w:t>.:</w:t>
            </w:r>
          </w:p>
        </w:tc>
        <w:tc>
          <w:tcPr>
            <w:tcW w:w="3892" w:type="pct"/>
          </w:tcPr>
          <w:p w14:paraId="24A18930" w14:textId="77777777" w:rsidR="002179FF" w:rsidRPr="00645757" w:rsidRDefault="002179FF" w:rsidP="000F1E5F">
            <w:pPr>
              <w:tabs>
                <w:tab w:val="center" w:pos="284"/>
              </w:tabs>
              <w:ind w:left="266" w:hanging="266"/>
            </w:pPr>
            <w:r w:rsidRPr="00645757">
              <w:t xml:space="preserve">COM(2025) 555 </w:t>
            </w:r>
            <w:proofErr w:type="spellStart"/>
            <w:r w:rsidRPr="00645757">
              <w:t>final</w:t>
            </w:r>
            <w:proofErr w:type="spellEnd"/>
            <w:r w:rsidRPr="00645757">
              <w:t> – 2025/0555 (COD)</w:t>
            </w:r>
          </w:p>
          <w:p w14:paraId="6418B97F" w14:textId="77777777" w:rsidR="002179FF" w:rsidRPr="00645757" w:rsidRDefault="002179FF" w:rsidP="000F1E5F">
            <w:pPr>
              <w:tabs>
                <w:tab w:val="center" w:pos="284"/>
              </w:tabs>
              <w:ind w:left="266" w:hanging="266"/>
            </w:pPr>
            <w:r w:rsidRPr="00645757">
              <w:t>EESC-2025-02576-00-00-AC</w:t>
            </w:r>
          </w:p>
        </w:tc>
      </w:tr>
    </w:tbl>
    <w:p w14:paraId="136FC0DD" w14:textId="77777777" w:rsidR="002179FF" w:rsidRPr="00645757" w:rsidRDefault="002179FF" w:rsidP="002179FF">
      <w:pPr>
        <w:keepNext/>
        <w:keepLines/>
        <w:tabs>
          <w:tab w:val="center" w:pos="284"/>
        </w:tabs>
        <w:ind w:left="266" w:hanging="266"/>
        <w:rPr>
          <w:bCs/>
        </w:rPr>
      </w:pPr>
    </w:p>
    <w:p w14:paraId="41468759" w14:textId="77777777" w:rsidR="002179FF" w:rsidRPr="00645757" w:rsidRDefault="002179FF" w:rsidP="002179FF">
      <w:pPr>
        <w:keepNext/>
        <w:keepLines/>
        <w:tabs>
          <w:tab w:val="center" w:pos="284"/>
        </w:tabs>
        <w:ind w:left="266" w:hanging="266"/>
        <w:rPr>
          <w:b/>
        </w:rPr>
      </w:pPr>
      <w:r w:rsidRPr="00645757">
        <w:rPr>
          <w:b/>
        </w:rPr>
        <w:t>Hlavné body</w:t>
      </w:r>
    </w:p>
    <w:p w14:paraId="49C3297D" w14:textId="77777777" w:rsidR="002179FF" w:rsidRPr="00645757" w:rsidRDefault="002179FF" w:rsidP="002179FF">
      <w:pPr>
        <w:keepNext/>
        <w:keepLines/>
        <w:tabs>
          <w:tab w:val="center" w:pos="284"/>
        </w:tabs>
        <w:ind w:left="266" w:hanging="266"/>
        <w:rPr>
          <w:bCs/>
        </w:rPr>
      </w:pPr>
    </w:p>
    <w:p w14:paraId="5F1B772D" w14:textId="77777777" w:rsidR="002179FF" w:rsidRPr="00645757" w:rsidRDefault="002179FF" w:rsidP="002179FF">
      <w:pPr>
        <w:rPr>
          <w:bCs/>
          <w:iCs/>
        </w:rPr>
      </w:pPr>
      <w:r w:rsidRPr="00645757">
        <w:t>EHSV:</w:t>
      </w:r>
    </w:p>
    <w:p w14:paraId="3BB7E03A" w14:textId="19F1A476"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podporuje zriadenie Európskeho fondu pre konkurencieschopnosť (ECF) ako základného kameňa budúceho rozpočtu EÚ</w:t>
      </w:r>
      <w:r w:rsidR="00645757">
        <w:t xml:space="preserve"> a </w:t>
      </w:r>
      <w:r w:rsidRPr="00645757">
        <w:t>hnacej sily inovácií, odolnosti</w:t>
      </w:r>
      <w:r w:rsidR="00645757">
        <w:t xml:space="preserve"> a </w:t>
      </w:r>
      <w:r w:rsidRPr="00645757">
        <w:t xml:space="preserve">bezpečnosti, pričom zdôrazňuje, že </w:t>
      </w:r>
      <w:r w:rsidRPr="00645757">
        <w:rPr>
          <w:b/>
        </w:rPr>
        <w:t>financovanie musí zostať pevne prepojené</w:t>
      </w:r>
      <w:r w:rsidR="00645757">
        <w:rPr>
          <w:b/>
        </w:rPr>
        <w:t xml:space="preserve"> s </w:t>
      </w:r>
      <w:r w:rsidRPr="00645757">
        <w:rPr>
          <w:b/>
        </w:rPr>
        <w:t>udržateľnosťou</w:t>
      </w:r>
      <w:r w:rsidR="00645757">
        <w:rPr>
          <w:b/>
        </w:rPr>
        <w:t xml:space="preserve"> a </w:t>
      </w:r>
      <w:r w:rsidRPr="00645757">
        <w:rPr>
          <w:b/>
        </w:rPr>
        <w:t>sociálnym trhovým hospodárstvom EÚ</w:t>
      </w:r>
      <w:r w:rsidRPr="00645757">
        <w:t>;</w:t>
      </w:r>
    </w:p>
    <w:p w14:paraId="1821D39C" w14:textId="1582DE5F"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rPr>
          <w:b/>
        </w:rPr>
        <w:t>požaduje výber projektov na úrovni EÚ založený na zásluhách</w:t>
      </w:r>
      <w:r w:rsidR="00645757">
        <w:t xml:space="preserve"> s </w:t>
      </w:r>
      <w:r w:rsidRPr="00645757">
        <w:t xml:space="preserve">jasnými kritériami, ako sú </w:t>
      </w:r>
      <w:proofErr w:type="spellStart"/>
      <w:r w:rsidRPr="00645757">
        <w:t>excelentnosť</w:t>
      </w:r>
      <w:proofErr w:type="spellEnd"/>
      <w:r w:rsidRPr="00645757">
        <w:t>, budúca orientácia</w:t>
      </w:r>
      <w:r w:rsidR="00645757">
        <w:t xml:space="preserve"> a </w:t>
      </w:r>
      <w:r w:rsidRPr="00645757">
        <w:t>hospodársky potenciál. Naliehavo žiada transparentné postupy, rovnaký prístup pre žiadateľov vo všetkých členských štátoch</w:t>
      </w:r>
      <w:r w:rsidR="00645757">
        <w:t xml:space="preserve"> a </w:t>
      </w:r>
      <w:r w:rsidRPr="00645757">
        <w:t>aktívne zapojenie sociálnych partnerov</w:t>
      </w:r>
      <w:r w:rsidR="00645757">
        <w:t xml:space="preserve"> a </w:t>
      </w:r>
      <w:r w:rsidRPr="00645757">
        <w:t xml:space="preserve">občianskej spoločnosti do riadenia, aby sa </w:t>
      </w:r>
      <w:r w:rsidRPr="00645757">
        <w:rPr>
          <w:b/>
        </w:rPr>
        <w:t>zabránilo intervenciám zo strany vnútroštátnych orgánov</w:t>
      </w:r>
      <w:r w:rsidRPr="00645757">
        <w:t>;</w:t>
      </w:r>
    </w:p>
    <w:p w14:paraId="64BFC689" w14:textId="143BC166"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rPr>
          <w:b/>
        </w:rPr>
        <w:t>odporúča zaviesť „trhové referendum“</w:t>
      </w:r>
      <w:r w:rsidRPr="00645757">
        <w:t>, ktoré by vyžadovalo, aby projekty, ktoré sa usilujú</w:t>
      </w:r>
      <w:r w:rsidR="00645757">
        <w:t xml:space="preserve"> o </w:t>
      </w:r>
      <w:r w:rsidRPr="00645757">
        <w:t>veľké navýšenie prostriedkov EÚ, ako sú dôležité projekty spoločného európskeho záujmu alebo iné rozsiahle investície, najprv mobilizovali určitý podiel súkromného kapitálu. Tento mechanizmus testovania trhu by pomohol validovať kvalitu projektov, obmedziť spolitizované rozhodnutia</w:t>
      </w:r>
      <w:r w:rsidR="00645757">
        <w:t xml:space="preserve"> o </w:t>
      </w:r>
      <w:r w:rsidRPr="00645757">
        <w:t>financovaní</w:t>
      </w:r>
      <w:r w:rsidR="00645757">
        <w:t xml:space="preserve"> a </w:t>
      </w:r>
      <w:r w:rsidRPr="00645757">
        <w:t>posilniť prepojenie medzi verejnou podporou</w:t>
      </w:r>
      <w:r w:rsidR="00645757">
        <w:t xml:space="preserve"> a </w:t>
      </w:r>
      <w:r w:rsidRPr="00645757">
        <w:t>skutočnou konkurencieschopnosťou;</w:t>
      </w:r>
    </w:p>
    <w:p w14:paraId="2C305ED2" w14:textId="39C5F803"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rPr>
          <w:b/>
        </w:rPr>
        <w:t>zdôrazňuje potrebu silných nástrojov na hodnotenie rizika</w:t>
      </w:r>
      <w:r w:rsidR="00645757">
        <w:rPr>
          <w:b/>
        </w:rPr>
        <w:t xml:space="preserve"> a </w:t>
      </w:r>
      <w:r w:rsidRPr="00645757">
        <w:rPr>
          <w:b/>
        </w:rPr>
        <w:t>prevenciu</w:t>
      </w:r>
      <w:r w:rsidRPr="00645757">
        <w:t>, ktoré zabezpečia, aby sa zdroje ECF nasmerovali len na projekty, ktoré skutočne zvyšujú konkurencieschopnosť Európy</w:t>
      </w:r>
      <w:r w:rsidR="00645757">
        <w:t xml:space="preserve"> a </w:t>
      </w:r>
      <w:r w:rsidRPr="00645757">
        <w:t>zabraňujú opakovaniu minulých nedostatkov</w:t>
      </w:r>
      <w:r w:rsidR="00645757">
        <w:t xml:space="preserve"> v </w:t>
      </w:r>
      <w:r w:rsidRPr="00645757">
        <w:t>programoch financovania EÚ;</w:t>
      </w:r>
    </w:p>
    <w:p w14:paraId="56B26B17" w14:textId="563236FF"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 xml:space="preserve">zdôrazňuje, že je dôležité </w:t>
      </w:r>
      <w:r w:rsidRPr="00645757">
        <w:rPr>
          <w:b/>
        </w:rPr>
        <w:t>podporovať MSP, regionálne</w:t>
      </w:r>
      <w:r w:rsidR="00645757">
        <w:rPr>
          <w:b/>
        </w:rPr>
        <w:t xml:space="preserve"> a </w:t>
      </w:r>
      <w:r w:rsidRPr="00645757">
        <w:rPr>
          <w:b/>
        </w:rPr>
        <w:t>cezhraničné inovačné ekosystémy</w:t>
      </w:r>
      <w:r w:rsidR="00645757">
        <w:rPr>
          <w:b/>
        </w:rPr>
        <w:t xml:space="preserve"> a </w:t>
      </w:r>
      <w:r w:rsidRPr="00645757">
        <w:rPr>
          <w:b/>
        </w:rPr>
        <w:t>investície do zručností</w:t>
      </w:r>
      <w:r w:rsidR="00645757">
        <w:rPr>
          <w:b/>
        </w:rPr>
        <w:t xml:space="preserve"> a </w:t>
      </w:r>
      <w:r w:rsidRPr="00645757">
        <w:rPr>
          <w:b/>
        </w:rPr>
        <w:t>dôstojnej práce</w:t>
      </w:r>
      <w:r w:rsidR="00645757">
        <w:t xml:space="preserve"> a </w:t>
      </w:r>
      <w:r w:rsidRPr="00645757">
        <w:t>zároveň zjednodušiť postupy</w:t>
      </w:r>
      <w:r w:rsidR="00645757">
        <w:t xml:space="preserve"> a </w:t>
      </w:r>
      <w:r w:rsidRPr="00645757">
        <w:t>zabezpečiť transparentné, predvídateľné</w:t>
      </w:r>
      <w:r w:rsidR="00645757">
        <w:t xml:space="preserve"> a </w:t>
      </w:r>
      <w:r w:rsidRPr="00645757">
        <w:t>inkluzívne riadenie.</w:t>
      </w:r>
    </w:p>
    <w:p w14:paraId="15C3322A" w14:textId="77777777" w:rsidR="002179FF" w:rsidRPr="00645757" w:rsidRDefault="002179FF" w:rsidP="002179FF">
      <w:pPr>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911"/>
      </w:tblGrid>
      <w:tr w:rsidR="002179FF" w:rsidRPr="00645757" w14:paraId="61AB4695" w14:textId="77777777" w:rsidTr="000F1E5F">
        <w:tc>
          <w:tcPr>
            <w:tcW w:w="742" w:type="pct"/>
          </w:tcPr>
          <w:p w14:paraId="7C6842CE" w14:textId="77777777" w:rsidR="002179FF" w:rsidRPr="00645757" w:rsidRDefault="002179FF" w:rsidP="000F1E5F">
            <w:pPr>
              <w:rPr>
                <w:i/>
              </w:rPr>
            </w:pPr>
            <w:r w:rsidRPr="00645757">
              <w:rPr>
                <w:b/>
                <w:i/>
              </w:rPr>
              <w:t>Kontakt:</w:t>
            </w:r>
          </w:p>
        </w:tc>
        <w:tc>
          <w:tcPr>
            <w:tcW w:w="4258" w:type="pct"/>
          </w:tcPr>
          <w:p w14:paraId="46D7D8F7" w14:textId="77777777" w:rsidR="002179FF" w:rsidRPr="00645757" w:rsidRDefault="002179FF" w:rsidP="000F1E5F">
            <w:pPr>
              <w:rPr>
                <w:i/>
              </w:rPr>
            </w:pPr>
            <w:r w:rsidRPr="00645757">
              <w:rPr>
                <w:i/>
              </w:rPr>
              <w:t>Silvia STAFFA</w:t>
            </w:r>
          </w:p>
        </w:tc>
      </w:tr>
      <w:tr w:rsidR="002179FF" w:rsidRPr="00645757" w14:paraId="65174EE6" w14:textId="77777777" w:rsidTr="000F1E5F">
        <w:tc>
          <w:tcPr>
            <w:tcW w:w="742" w:type="pct"/>
          </w:tcPr>
          <w:p w14:paraId="02BFAD95" w14:textId="77777777" w:rsidR="002179FF" w:rsidRPr="00645757" w:rsidRDefault="002179FF" w:rsidP="000F1E5F">
            <w:pPr>
              <w:rPr>
                <w:i/>
              </w:rPr>
            </w:pPr>
            <w:r w:rsidRPr="00645757">
              <w:rPr>
                <w:i/>
              </w:rPr>
              <w:t>Tel:</w:t>
            </w:r>
          </w:p>
        </w:tc>
        <w:tc>
          <w:tcPr>
            <w:tcW w:w="4258" w:type="pct"/>
          </w:tcPr>
          <w:p w14:paraId="0E72CC61" w14:textId="77777777" w:rsidR="002179FF" w:rsidRPr="00645757" w:rsidRDefault="002179FF" w:rsidP="000F1E5F">
            <w:pPr>
              <w:rPr>
                <w:i/>
              </w:rPr>
            </w:pPr>
            <w:r w:rsidRPr="00645757">
              <w:rPr>
                <w:i/>
              </w:rPr>
              <w:t>+32 254 68378</w:t>
            </w:r>
          </w:p>
        </w:tc>
      </w:tr>
      <w:tr w:rsidR="002179FF" w:rsidRPr="00645757" w14:paraId="4E29E10C" w14:textId="77777777" w:rsidTr="000F1E5F">
        <w:tc>
          <w:tcPr>
            <w:tcW w:w="742" w:type="pct"/>
          </w:tcPr>
          <w:p w14:paraId="4A3ABE19" w14:textId="77777777" w:rsidR="002179FF" w:rsidRPr="00645757" w:rsidRDefault="002179FF" w:rsidP="000F1E5F">
            <w:pPr>
              <w:rPr>
                <w:i/>
              </w:rPr>
            </w:pPr>
            <w:r w:rsidRPr="00645757">
              <w:rPr>
                <w:i/>
              </w:rPr>
              <w:t>E-mail:</w:t>
            </w:r>
          </w:p>
        </w:tc>
        <w:tc>
          <w:tcPr>
            <w:tcW w:w="4258" w:type="pct"/>
          </w:tcPr>
          <w:p w14:paraId="4A9B982D" w14:textId="77777777" w:rsidR="002179FF" w:rsidRPr="00645757" w:rsidRDefault="002179FF" w:rsidP="000F1E5F">
            <w:pPr>
              <w:rPr>
                <w:i/>
                <w:iCs/>
                <w:sz w:val="20"/>
              </w:rPr>
            </w:pPr>
            <w:hyperlink r:id="rId36" w:history="1">
              <w:r w:rsidRPr="00645757">
                <w:rPr>
                  <w:rStyle w:val="Hyperlink"/>
                  <w:i/>
                  <w:sz w:val="20"/>
                </w:rPr>
                <w:t>Silvia.Staffa@eesc.europa.eu</w:t>
              </w:r>
            </w:hyperlink>
          </w:p>
        </w:tc>
      </w:tr>
    </w:tbl>
    <w:p w14:paraId="488199D1" w14:textId="2CF965D1" w:rsidR="00685A3A" w:rsidRPr="00645757" w:rsidRDefault="00685A3A" w:rsidP="002179FF">
      <w:pPr>
        <w:widowControl w:val="0"/>
        <w:numPr>
          <w:ilvl w:val="0"/>
          <w:numId w:val="4"/>
        </w:numPr>
        <w:overflowPunct w:val="0"/>
        <w:autoSpaceDE w:val="0"/>
        <w:autoSpaceDN w:val="0"/>
        <w:adjustRightInd w:val="0"/>
        <w:ind w:hanging="567"/>
        <w:textAlignment w:val="baseline"/>
        <w:rPr>
          <w:sz w:val="20"/>
        </w:rPr>
      </w:pPr>
      <w:r w:rsidRPr="00645757">
        <w:br w:type="page"/>
      </w:r>
      <w:hyperlink r:id="rId37" w:history="1">
        <w:r w:rsidR="002179FF" w:rsidRPr="00645757">
          <w:rPr>
            <w:rStyle w:val="Hyperlink"/>
            <w:b/>
            <w:i/>
            <w:sz w:val="28"/>
          </w:rPr>
          <w:t>Revízia európskeho právneho rámca pre verejné obstarávanie</w:t>
        </w:r>
      </w:hyperlink>
    </w:p>
    <w:p w14:paraId="2EF6D0F3" w14:textId="77777777" w:rsidR="00685A3A" w:rsidRPr="00645757" w:rsidRDefault="00685A3A" w:rsidP="00685A3A">
      <w:pPr>
        <w:tabs>
          <w:tab w:val="center" w:pos="284"/>
        </w:tabs>
        <w:overflowPunct w:val="0"/>
        <w:autoSpaceDE w:val="0"/>
        <w:autoSpaceDN w:val="0"/>
        <w:adjustRightInd w:val="0"/>
        <w:ind w:left="266" w:hanging="266"/>
        <w:textAlignment w:val="baseline"/>
        <w:rPr>
          <w:b/>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2179FF" w:rsidRPr="00645757" w14:paraId="52912E9F" w14:textId="77777777" w:rsidTr="000F1E5F">
        <w:trPr>
          <w:trHeight w:val="406"/>
        </w:trPr>
        <w:tc>
          <w:tcPr>
            <w:tcW w:w="1108" w:type="pct"/>
          </w:tcPr>
          <w:p w14:paraId="42549244" w14:textId="77777777" w:rsidR="002179FF" w:rsidRPr="00645757" w:rsidRDefault="002179FF" w:rsidP="000F1E5F">
            <w:pPr>
              <w:tabs>
                <w:tab w:val="center" w:pos="284"/>
              </w:tabs>
              <w:ind w:left="266" w:hanging="266"/>
              <w:rPr>
                <w:b/>
              </w:rPr>
            </w:pPr>
            <w:r w:rsidRPr="00645757">
              <w:rPr>
                <w:b/>
              </w:rPr>
              <w:t>Spravodajca:</w:t>
            </w:r>
          </w:p>
        </w:tc>
        <w:tc>
          <w:tcPr>
            <w:tcW w:w="3892" w:type="pct"/>
          </w:tcPr>
          <w:p w14:paraId="417C2481" w14:textId="77777777" w:rsidR="002179FF" w:rsidRPr="00645757" w:rsidRDefault="002179FF" w:rsidP="000F1E5F">
            <w:pPr>
              <w:tabs>
                <w:tab w:val="center" w:pos="0"/>
              </w:tabs>
              <w:ind w:left="266" w:hanging="266"/>
            </w:pPr>
            <w:proofErr w:type="spellStart"/>
            <w:r w:rsidRPr="00645757">
              <w:t>Philip</w:t>
            </w:r>
            <w:proofErr w:type="spellEnd"/>
            <w:r w:rsidRPr="00645757">
              <w:t xml:space="preserve"> VON BROCKDORFF (skupina Pracovníci – MT)</w:t>
            </w:r>
          </w:p>
        </w:tc>
      </w:tr>
      <w:tr w:rsidR="002179FF" w:rsidRPr="00645757" w14:paraId="1AE0B8C3" w14:textId="77777777" w:rsidTr="000F1E5F">
        <w:tc>
          <w:tcPr>
            <w:tcW w:w="1108" w:type="pct"/>
          </w:tcPr>
          <w:p w14:paraId="26B667B9" w14:textId="77777777" w:rsidR="002179FF" w:rsidRPr="00645757" w:rsidRDefault="002179FF" w:rsidP="000F1E5F">
            <w:pPr>
              <w:tabs>
                <w:tab w:val="center" w:pos="284"/>
              </w:tabs>
              <w:ind w:left="266" w:hanging="266"/>
              <w:rPr>
                <w:b/>
              </w:rPr>
            </w:pPr>
            <w:proofErr w:type="spellStart"/>
            <w:r w:rsidRPr="00645757">
              <w:rPr>
                <w:b/>
              </w:rPr>
              <w:t>Ref</w:t>
            </w:r>
            <w:proofErr w:type="spellEnd"/>
            <w:r w:rsidRPr="00645757">
              <w:rPr>
                <w:b/>
              </w:rPr>
              <w:t>.:</w:t>
            </w:r>
          </w:p>
        </w:tc>
        <w:tc>
          <w:tcPr>
            <w:tcW w:w="3892" w:type="pct"/>
          </w:tcPr>
          <w:p w14:paraId="3EB5F581" w14:textId="77777777" w:rsidR="002179FF" w:rsidRPr="00645757" w:rsidRDefault="002179FF" w:rsidP="000F1E5F">
            <w:pPr>
              <w:tabs>
                <w:tab w:val="center" w:pos="284"/>
              </w:tabs>
              <w:ind w:left="266" w:hanging="266"/>
            </w:pPr>
            <w:r w:rsidRPr="00645757">
              <w:t>prieskumné stanovisko</w:t>
            </w:r>
          </w:p>
          <w:p w14:paraId="659832C6" w14:textId="77777777" w:rsidR="002179FF" w:rsidRPr="00645757" w:rsidRDefault="002179FF" w:rsidP="000F1E5F">
            <w:pPr>
              <w:tabs>
                <w:tab w:val="center" w:pos="284"/>
              </w:tabs>
              <w:ind w:left="266" w:hanging="266"/>
            </w:pPr>
            <w:r w:rsidRPr="00645757">
              <w:t>EESC-2025-01402-00-00-AC</w:t>
            </w:r>
          </w:p>
        </w:tc>
      </w:tr>
    </w:tbl>
    <w:p w14:paraId="3A1CDAB8" w14:textId="77777777" w:rsidR="002179FF" w:rsidRPr="00645757" w:rsidRDefault="002179FF" w:rsidP="002179FF">
      <w:pPr>
        <w:keepNext/>
        <w:keepLines/>
        <w:tabs>
          <w:tab w:val="center" w:pos="284"/>
        </w:tabs>
        <w:ind w:left="266" w:hanging="266"/>
        <w:rPr>
          <w:bCs/>
        </w:rPr>
      </w:pPr>
    </w:p>
    <w:p w14:paraId="7FFFA26D" w14:textId="77777777" w:rsidR="002179FF" w:rsidRPr="00645757" w:rsidRDefault="002179FF" w:rsidP="002179FF">
      <w:pPr>
        <w:keepNext/>
        <w:keepLines/>
        <w:tabs>
          <w:tab w:val="center" w:pos="284"/>
        </w:tabs>
        <w:ind w:left="266" w:hanging="266"/>
        <w:rPr>
          <w:b/>
        </w:rPr>
      </w:pPr>
      <w:r w:rsidRPr="00645757">
        <w:rPr>
          <w:b/>
        </w:rPr>
        <w:t>Hlavné body</w:t>
      </w:r>
    </w:p>
    <w:p w14:paraId="0D072AC8" w14:textId="77777777" w:rsidR="002179FF" w:rsidRPr="00645757" w:rsidRDefault="002179FF" w:rsidP="002179FF">
      <w:pPr>
        <w:keepNext/>
        <w:keepLines/>
        <w:tabs>
          <w:tab w:val="center" w:pos="284"/>
        </w:tabs>
        <w:ind w:left="266" w:hanging="266"/>
        <w:rPr>
          <w:bCs/>
        </w:rPr>
      </w:pPr>
    </w:p>
    <w:p w14:paraId="670105CF" w14:textId="77777777" w:rsidR="002179FF" w:rsidRPr="00645757" w:rsidRDefault="002179FF" w:rsidP="002179FF">
      <w:r w:rsidRPr="00645757">
        <w:t>EHSV:</w:t>
      </w:r>
    </w:p>
    <w:p w14:paraId="2D48B728" w14:textId="19CC5634"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súhlasí</w:t>
      </w:r>
      <w:r w:rsidR="00645757">
        <w:t xml:space="preserve"> s </w:t>
      </w:r>
      <w:r w:rsidRPr="00645757">
        <w:t>tým, že je potrebné preskúmať existujúce právne predpisy EÚ</w:t>
      </w:r>
      <w:r w:rsidR="00645757">
        <w:t xml:space="preserve"> s </w:t>
      </w:r>
      <w:r w:rsidRPr="00645757">
        <w:t>cieľom prispieť</w:t>
      </w:r>
      <w:r w:rsidR="00645757">
        <w:t xml:space="preserve"> k </w:t>
      </w:r>
      <w:r w:rsidRPr="00645757">
        <w:t>zjednodušeniu, znížiť administratívne náklady</w:t>
      </w:r>
      <w:r w:rsidR="00645757">
        <w:t xml:space="preserve"> a </w:t>
      </w:r>
      <w:r w:rsidRPr="00645757">
        <w:t>podporiť ďalšiu harmonizáciu na jednotnom trhu;</w:t>
      </w:r>
    </w:p>
    <w:p w14:paraId="59A75504" w14:textId="5D379F6D"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sa domnieva, že udržateľná politika EÚ</w:t>
      </w:r>
      <w:r w:rsidR="00645757">
        <w:t xml:space="preserve"> v </w:t>
      </w:r>
      <w:r w:rsidRPr="00645757">
        <w:t>oblasti verejného obstarávania môže ísť nad rámec obmedzeného modelu zlyhania trhu</w:t>
      </w:r>
      <w:r w:rsidR="00645757">
        <w:t xml:space="preserve"> a </w:t>
      </w:r>
      <w:r w:rsidRPr="00645757">
        <w:t>umožniť strategické</w:t>
      </w:r>
      <w:r w:rsidR="00645757">
        <w:t xml:space="preserve"> a </w:t>
      </w:r>
      <w:r w:rsidRPr="00645757">
        <w:t>verejnoprospešné obstarávanie, zakotviť sociálne, inovačné</w:t>
      </w:r>
      <w:r w:rsidR="00645757">
        <w:t xml:space="preserve"> a </w:t>
      </w:r>
      <w:r w:rsidRPr="00645757">
        <w:t>environmentálne kritériá ako rovnocenné ciele</w:t>
      </w:r>
      <w:r w:rsidR="00645757">
        <w:t xml:space="preserve"> a </w:t>
      </w:r>
      <w:r w:rsidRPr="00645757">
        <w:t>zabezpečiť súkromným prevádzkovateľom spravodlivý prístup</w:t>
      </w:r>
      <w:r w:rsidR="00645757">
        <w:t xml:space="preserve"> k </w:t>
      </w:r>
      <w:r w:rsidRPr="00645757">
        <w:t>verejnému obstarávaniu;</w:t>
      </w:r>
    </w:p>
    <w:p w14:paraId="03757258" w14:textId="2BB71519"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sa nazdáva, že verejné zákazky sa musia zadávať na ekonomicky najvýhodnejšom základe, pričom treba zdôrazniť význam necenových kritérií ako napr. kvalita, inovácie, environmentálne</w:t>
      </w:r>
      <w:r w:rsidR="00645757">
        <w:t xml:space="preserve"> a </w:t>
      </w:r>
      <w:r w:rsidRPr="00645757">
        <w:t>sociálne aspekty, najmä práva pracovníkov</w:t>
      </w:r>
      <w:r w:rsidR="00645757">
        <w:t xml:space="preserve"> a </w:t>
      </w:r>
      <w:r w:rsidRPr="00645757">
        <w:t>kolektívne zmluvy,</w:t>
      </w:r>
      <w:r w:rsidR="00645757">
        <w:t xml:space="preserve"> a </w:t>
      </w:r>
      <w:r w:rsidRPr="00645757">
        <w:t>aspekty udržateľnosti;</w:t>
      </w:r>
    </w:p>
    <w:p w14:paraId="4BB03F0F" w14:textId="037126F9"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požaduje holistický prístup</w:t>
      </w:r>
      <w:r w:rsidR="00645757">
        <w:t xml:space="preserve"> k </w:t>
      </w:r>
      <w:r w:rsidRPr="00645757">
        <w:t>politikám</w:t>
      </w:r>
      <w:r w:rsidR="00645757">
        <w:t xml:space="preserve"> v </w:t>
      </w:r>
      <w:r w:rsidRPr="00645757">
        <w:t>oblasti služieb všeobecného záujmu;</w:t>
      </w:r>
    </w:p>
    <w:p w14:paraId="436FF8EB"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zastáva názor, že verejné zákazky by sa nemali zadávať podnikom, ktoré systematicky porušujú základné práva pracovníkov alebo kolektívne zmluvy, ktorými sú viazané;</w:t>
      </w:r>
    </w:p>
    <w:p w14:paraId="39AD1A60" w14:textId="436ADBEB"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sa nazdáva, že</w:t>
      </w:r>
      <w:r w:rsidR="00645757">
        <w:t xml:space="preserve"> s </w:t>
      </w:r>
      <w:r w:rsidRPr="00645757">
        <w:t>výhradou primeraných právnych kritérií</w:t>
      </w:r>
      <w:r w:rsidR="00645757">
        <w:t xml:space="preserve"> a </w:t>
      </w:r>
      <w:r w:rsidRPr="00645757">
        <w:t>pri súčasnom zabezpečení toho, že hospodárska súťaž bude narušená len minimálne, by sa</w:t>
      </w:r>
      <w:r w:rsidR="00645757">
        <w:t xml:space="preserve"> v </w:t>
      </w:r>
      <w:r w:rsidRPr="00645757">
        <w:t>rámci revízie smernice EÚ</w:t>
      </w:r>
      <w:r w:rsidR="00645757">
        <w:t xml:space="preserve"> o </w:t>
      </w:r>
      <w:r w:rsidRPr="00645757">
        <w:t>verejnom obstarávaní mala zachovať možnosť využívať interné obstarávanie pre väčšinovo kontrolované právne subjekty,</w:t>
      </w:r>
      <w:r w:rsidR="00645757">
        <w:t xml:space="preserve"> a </w:t>
      </w:r>
      <w:r w:rsidRPr="00645757">
        <w:t>možnosť priameho zadávania zákaziek;</w:t>
      </w:r>
    </w:p>
    <w:p w14:paraId="40D9A7E5" w14:textId="77777777"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odporúča zaviesť zákonnú povinnosť vyhodnotiť účinky existujúcich prahových hodnôt pre verejné zákazky na poskytnutie služieb;</w:t>
      </w:r>
    </w:p>
    <w:p w14:paraId="790ADFEB" w14:textId="56BFBC9D"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je presvedčený, že verejné obstarávanie môže podporiť sociálne spravodlivú, ekologicky udržateľnú</w:t>
      </w:r>
      <w:r w:rsidR="00645757">
        <w:t xml:space="preserve"> a </w:t>
      </w:r>
      <w:r w:rsidRPr="00645757">
        <w:t>ekonomicky odolnú Európu</w:t>
      </w:r>
      <w:r w:rsidR="00645757">
        <w:t xml:space="preserve"> v </w:t>
      </w:r>
      <w:r w:rsidRPr="00645757">
        <w:t>prospech spoločného blaha;</w:t>
      </w:r>
    </w:p>
    <w:p w14:paraId="313D3182" w14:textId="4EA24086" w:rsidR="002179FF" w:rsidRPr="00645757" w:rsidRDefault="002179FF" w:rsidP="00CB245F">
      <w:pPr>
        <w:pStyle w:val="ListParagraph"/>
        <w:numPr>
          <w:ilvl w:val="0"/>
          <w:numId w:val="5"/>
        </w:numPr>
        <w:overflowPunct w:val="0"/>
        <w:autoSpaceDE w:val="0"/>
        <w:autoSpaceDN w:val="0"/>
        <w:adjustRightInd w:val="0"/>
        <w:ind w:left="284" w:hanging="284"/>
        <w:textAlignment w:val="baseline"/>
      </w:pPr>
      <w:r w:rsidRPr="00645757">
        <w:t>vyzýva, aby doložky</w:t>
      </w:r>
      <w:r w:rsidR="00645757">
        <w:t xml:space="preserve"> o </w:t>
      </w:r>
      <w:r w:rsidRPr="00645757">
        <w:t>revízii cien povinne zohľadňovali zmeny</w:t>
      </w:r>
      <w:r w:rsidR="00645757">
        <w:t xml:space="preserve"> v </w:t>
      </w:r>
      <w:r w:rsidRPr="00645757">
        <w:t>kolektívnych zmluvách a/alebo pracovnoprávnych predpisoch alebo inflácii súvisiace so mzdami</w:t>
      </w:r>
      <w:r w:rsidR="00645757">
        <w:t xml:space="preserve"> a </w:t>
      </w:r>
      <w:r w:rsidRPr="00645757">
        <w:t>ďalšie relevantné faktory, ktoré majú vplyv na plnenie zmluvy, ako sú ceny energie.</w:t>
      </w:r>
    </w:p>
    <w:p w14:paraId="13A11AE0" w14:textId="77777777" w:rsidR="002179FF" w:rsidRPr="00645757" w:rsidRDefault="002179FF" w:rsidP="002179FF">
      <w:pPr>
        <w:pStyle w:val="ListParagraph"/>
        <w:ind w:left="0"/>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911"/>
      </w:tblGrid>
      <w:tr w:rsidR="002179FF" w:rsidRPr="00645757" w14:paraId="3E551A78" w14:textId="77777777" w:rsidTr="000F1E5F">
        <w:tc>
          <w:tcPr>
            <w:tcW w:w="742" w:type="pct"/>
          </w:tcPr>
          <w:p w14:paraId="2690C444" w14:textId="77777777" w:rsidR="002179FF" w:rsidRPr="00645757" w:rsidRDefault="002179FF" w:rsidP="000F1E5F">
            <w:pPr>
              <w:spacing w:line="240" w:lineRule="auto"/>
              <w:rPr>
                <w:i/>
              </w:rPr>
            </w:pPr>
            <w:r w:rsidRPr="00645757">
              <w:rPr>
                <w:b/>
                <w:i/>
              </w:rPr>
              <w:t>Kontakt:</w:t>
            </w:r>
          </w:p>
        </w:tc>
        <w:tc>
          <w:tcPr>
            <w:tcW w:w="4258" w:type="pct"/>
          </w:tcPr>
          <w:p w14:paraId="1AC623B8" w14:textId="77777777" w:rsidR="002179FF" w:rsidRPr="00645757" w:rsidRDefault="002179FF" w:rsidP="000F1E5F">
            <w:pPr>
              <w:spacing w:line="240" w:lineRule="auto"/>
              <w:rPr>
                <w:i/>
              </w:rPr>
            </w:pPr>
            <w:proofErr w:type="spellStart"/>
            <w:r w:rsidRPr="00645757">
              <w:rPr>
                <w:i/>
              </w:rPr>
              <w:t>Annalisa</w:t>
            </w:r>
            <w:proofErr w:type="spellEnd"/>
            <w:r w:rsidRPr="00645757">
              <w:rPr>
                <w:i/>
              </w:rPr>
              <w:t xml:space="preserve"> </w:t>
            </w:r>
            <w:proofErr w:type="spellStart"/>
            <w:r w:rsidRPr="00645757">
              <w:rPr>
                <w:i/>
              </w:rPr>
              <w:t>Tessarolo</w:t>
            </w:r>
            <w:proofErr w:type="spellEnd"/>
          </w:p>
        </w:tc>
      </w:tr>
      <w:tr w:rsidR="002179FF" w:rsidRPr="00645757" w14:paraId="194A1D15" w14:textId="77777777" w:rsidTr="000F1E5F">
        <w:tc>
          <w:tcPr>
            <w:tcW w:w="742" w:type="pct"/>
          </w:tcPr>
          <w:p w14:paraId="61E53227" w14:textId="77777777" w:rsidR="002179FF" w:rsidRPr="00645757" w:rsidRDefault="002179FF" w:rsidP="000F1E5F">
            <w:pPr>
              <w:spacing w:line="240" w:lineRule="auto"/>
              <w:rPr>
                <w:i/>
              </w:rPr>
            </w:pPr>
            <w:r w:rsidRPr="00645757">
              <w:rPr>
                <w:i/>
              </w:rPr>
              <w:t>Tel.:</w:t>
            </w:r>
          </w:p>
        </w:tc>
        <w:tc>
          <w:tcPr>
            <w:tcW w:w="4258" w:type="pct"/>
          </w:tcPr>
          <w:p w14:paraId="30C1E3BA" w14:textId="77777777" w:rsidR="002179FF" w:rsidRPr="00645757" w:rsidRDefault="002179FF" w:rsidP="000F1E5F">
            <w:pPr>
              <w:spacing w:line="240" w:lineRule="auto"/>
              <w:rPr>
                <w:i/>
              </w:rPr>
            </w:pPr>
            <w:r w:rsidRPr="00645757">
              <w:rPr>
                <w:i/>
              </w:rPr>
              <w:t>+ 32 25469732</w:t>
            </w:r>
          </w:p>
        </w:tc>
      </w:tr>
      <w:tr w:rsidR="002179FF" w:rsidRPr="00645757" w14:paraId="4A146156" w14:textId="77777777" w:rsidTr="000F1E5F">
        <w:tc>
          <w:tcPr>
            <w:tcW w:w="742" w:type="pct"/>
          </w:tcPr>
          <w:p w14:paraId="4B4A5F2F" w14:textId="77777777" w:rsidR="002179FF" w:rsidRPr="00645757" w:rsidRDefault="002179FF" w:rsidP="000F1E5F">
            <w:pPr>
              <w:spacing w:line="240" w:lineRule="auto"/>
              <w:rPr>
                <w:i/>
              </w:rPr>
            </w:pPr>
            <w:r w:rsidRPr="00645757">
              <w:rPr>
                <w:i/>
              </w:rPr>
              <w:t>E-mail:</w:t>
            </w:r>
          </w:p>
        </w:tc>
        <w:tc>
          <w:tcPr>
            <w:tcW w:w="4258" w:type="pct"/>
          </w:tcPr>
          <w:p w14:paraId="7F325C85" w14:textId="77777777" w:rsidR="002179FF" w:rsidRPr="00645757" w:rsidRDefault="002179FF" w:rsidP="000F1E5F">
            <w:pPr>
              <w:spacing w:line="240" w:lineRule="auto"/>
              <w:rPr>
                <w:i/>
                <w:iCs/>
                <w:sz w:val="20"/>
              </w:rPr>
            </w:pPr>
            <w:hyperlink r:id="rId38" w:history="1">
              <w:r w:rsidRPr="00645757">
                <w:rPr>
                  <w:rStyle w:val="Hyperlink"/>
                  <w:i/>
                  <w:sz w:val="20"/>
                </w:rPr>
                <w:t>Annalisa.Tessarolo@eesc.europa.eu</w:t>
              </w:r>
            </w:hyperlink>
          </w:p>
        </w:tc>
      </w:tr>
    </w:tbl>
    <w:p w14:paraId="40169B8F" w14:textId="3A8D790B" w:rsidR="00685A3A" w:rsidRPr="00645757" w:rsidRDefault="00685A3A"/>
    <w:p w14:paraId="1E327181" w14:textId="77777777" w:rsidR="00685A3A" w:rsidRPr="00645757" w:rsidRDefault="00685A3A">
      <w:r w:rsidRPr="00645757">
        <w:br w:type="page"/>
      </w:r>
    </w:p>
    <w:p w14:paraId="4982DE1E" w14:textId="5B30CC22" w:rsidR="004D7AC0" w:rsidRPr="00645757" w:rsidRDefault="004D7AC0" w:rsidP="004D7AC0">
      <w:pPr>
        <w:spacing w:after="160" w:line="259" w:lineRule="auto"/>
        <w:jc w:val="left"/>
      </w:pPr>
    </w:p>
    <w:p w14:paraId="4982DE1F" w14:textId="77777777" w:rsidR="004D7AC0" w:rsidRPr="00645757" w:rsidRDefault="004D7AC0" w:rsidP="004D7AC0">
      <w:pPr>
        <w:pStyle w:val="Heading1"/>
        <w:rPr>
          <w:b/>
        </w:rPr>
      </w:pPr>
      <w:bookmarkStart w:id="8" w:name="_Toc70322234"/>
      <w:bookmarkStart w:id="9" w:name="_Toc75527084"/>
      <w:bookmarkStart w:id="10" w:name="_Toc217296978"/>
      <w:r w:rsidRPr="00645757">
        <w:rPr>
          <w:b/>
        </w:rPr>
        <w:t>POĽNOHOSPODÁRSTVO, ROZVOJ VIDIEKA A ŽIVOTNÉ PROSTREDIE</w:t>
      </w:r>
      <w:bookmarkEnd w:id="8"/>
      <w:bookmarkEnd w:id="9"/>
      <w:bookmarkEnd w:id="10"/>
    </w:p>
    <w:p w14:paraId="4982DE20" w14:textId="77777777" w:rsidR="004D7AC0" w:rsidRPr="00645757" w:rsidRDefault="004D7AC0" w:rsidP="004D7AC0"/>
    <w:p w14:paraId="280704BE" w14:textId="3AE9A837" w:rsidR="00836765" w:rsidRPr="00645757" w:rsidRDefault="00807C47" w:rsidP="00836765">
      <w:pPr>
        <w:widowControl w:val="0"/>
        <w:numPr>
          <w:ilvl w:val="0"/>
          <w:numId w:val="4"/>
        </w:numPr>
        <w:overflowPunct w:val="0"/>
        <w:autoSpaceDE w:val="0"/>
        <w:autoSpaceDN w:val="0"/>
        <w:adjustRightInd w:val="0"/>
        <w:ind w:hanging="567"/>
        <w:textAlignment w:val="baseline"/>
        <w:rPr>
          <w:b/>
        </w:rPr>
      </w:pPr>
      <w:hyperlink r:id="rId39" w:history="1">
        <w:r w:rsidRPr="00645757">
          <w:rPr>
            <w:rStyle w:val="Hyperlink"/>
            <w:b/>
            <w:i/>
            <w:sz w:val="28"/>
          </w:rPr>
          <w:t>Zmeny nariadenia (EÚ) 2023/1115</w:t>
        </w:r>
        <w:r w:rsidR="00645757">
          <w:rPr>
            <w:rStyle w:val="Hyperlink"/>
            <w:b/>
            <w:i/>
            <w:sz w:val="28"/>
          </w:rPr>
          <w:t xml:space="preserve"> o </w:t>
        </w:r>
        <w:r w:rsidRPr="00645757">
          <w:rPr>
            <w:rStyle w:val="Hyperlink"/>
            <w:b/>
            <w:i/>
            <w:sz w:val="28"/>
          </w:rPr>
          <w:t>odlesňovaní</w:t>
        </w:r>
      </w:hyperlink>
    </w:p>
    <w:p w14:paraId="304DC66A" w14:textId="77777777" w:rsidR="00836765" w:rsidRPr="00645757" w:rsidRDefault="00836765" w:rsidP="00836765">
      <w:pPr>
        <w:widowControl w:val="0"/>
        <w:overflowPunct w:val="0"/>
        <w:autoSpaceDE w:val="0"/>
        <w:autoSpaceDN w:val="0"/>
        <w:adjustRightInd w:val="0"/>
        <w:ind w:left="266"/>
        <w:textAlignment w:val="baseline"/>
        <w:rPr>
          <w:b/>
          <w:bCs/>
          <w:i/>
          <w:iCs/>
          <w:sz w:val="28"/>
          <w:szCs w:val="28"/>
        </w:rPr>
      </w:pPr>
    </w:p>
    <w:p w14:paraId="32C19EBC" w14:textId="77777777" w:rsidR="00836765" w:rsidRPr="00645757" w:rsidRDefault="00836765" w:rsidP="00836765">
      <w:pPr>
        <w:widowControl w:val="0"/>
        <w:overflowPunct w:val="0"/>
        <w:autoSpaceDE w:val="0"/>
        <w:autoSpaceDN w:val="0"/>
        <w:adjustRightInd w:val="0"/>
        <w:ind w:left="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15736ABD" w14:textId="77777777" w:rsidTr="000F1E5F">
        <w:tc>
          <w:tcPr>
            <w:tcW w:w="1077" w:type="pct"/>
            <w:vMerge w:val="restart"/>
          </w:tcPr>
          <w:p w14:paraId="62D8FCDB"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w:t>
            </w:r>
          </w:p>
        </w:tc>
        <w:tc>
          <w:tcPr>
            <w:tcW w:w="3923" w:type="pct"/>
          </w:tcPr>
          <w:p w14:paraId="39693DC4" w14:textId="77777777" w:rsidR="00807C47" w:rsidRPr="00645757" w:rsidRDefault="00807C47" w:rsidP="000F1E5F">
            <w:pPr>
              <w:tabs>
                <w:tab w:val="center" w:pos="284"/>
              </w:tabs>
              <w:ind w:left="266" w:right="-3091" w:hanging="266"/>
            </w:pPr>
            <w:r w:rsidRPr="00645757">
              <w:t xml:space="preserve">COM(2025) 652 </w:t>
            </w:r>
            <w:proofErr w:type="spellStart"/>
            <w:r w:rsidRPr="00645757">
              <w:t>final</w:t>
            </w:r>
            <w:proofErr w:type="spellEnd"/>
          </w:p>
        </w:tc>
      </w:tr>
      <w:tr w:rsidR="00807C47" w:rsidRPr="00645757" w14:paraId="37AC1556" w14:textId="77777777" w:rsidTr="000F1E5F">
        <w:tc>
          <w:tcPr>
            <w:tcW w:w="1077" w:type="pct"/>
            <w:vMerge/>
          </w:tcPr>
          <w:p w14:paraId="07D282AB" w14:textId="77777777" w:rsidR="00807C47" w:rsidRPr="00645757" w:rsidRDefault="00807C47" w:rsidP="000F1E5F">
            <w:pPr>
              <w:tabs>
                <w:tab w:val="center" w:pos="284"/>
              </w:tabs>
              <w:ind w:left="266" w:hanging="266"/>
              <w:rPr>
                <w:b/>
              </w:rPr>
            </w:pPr>
          </w:p>
        </w:tc>
        <w:tc>
          <w:tcPr>
            <w:tcW w:w="3923" w:type="pct"/>
          </w:tcPr>
          <w:p w14:paraId="31EBA1D4" w14:textId="77777777" w:rsidR="00807C47" w:rsidRPr="00645757" w:rsidRDefault="00807C47" w:rsidP="000F1E5F">
            <w:pPr>
              <w:tabs>
                <w:tab w:val="center" w:pos="284"/>
              </w:tabs>
              <w:ind w:left="266" w:right="-3091" w:hanging="266"/>
            </w:pPr>
            <w:r w:rsidRPr="00645757">
              <w:t>EESC-2025-03869-00-00-AC-TRA</w:t>
            </w:r>
          </w:p>
        </w:tc>
      </w:tr>
    </w:tbl>
    <w:p w14:paraId="5FBB5D7B" w14:textId="77777777" w:rsidR="00807C47" w:rsidRPr="00645757" w:rsidRDefault="00807C47" w:rsidP="00807C47">
      <w:pPr>
        <w:tabs>
          <w:tab w:val="center" w:pos="284"/>
        </w:tabs>
        <w:ind w:left="266" w:hanging="266"/>
        <w:rPr>
          <w:bCs/>
        </w:rPr>
      </w:pPr>
    </w:p>
    <w:p w14:paraId="31FE1E56" w14:textId="77777777" w:rsidR="00807C47" w:rsidRPr="00645757" w:rsidRDefault="00807C47" w:rsidP="00807C47">
      <w:pPr>
        <w:keepNext/>
        <w:keepLines/>
        <w:tabs>
          <w:tab w:val="center" w:pos="284"/>
        </w:tabs>
        <w:ind w:left="266" w:hanging="266"/>
        <w:rPr>
          <w:b/>
        </w:rPr>
      </w:pPr>
      <w:r w:rsidRPr="00645757">
        <w:rPr>
          <w:b/>
        </w:rPr>
        <w:t>Hlavné body</w:t>
      </w:r>
    </w:p>
    <w:p w14:paraId="7CDE9D3C" w14:textId="77777777" w:rsidR="00807C47" w:rsidRPr="00645757" w:rsidRDefault="00807C47" w:rsidP="00807C47">
      <w:pPr>
        <w:keepNext/>
        <w:keepLines/>
        <w:tabs>
          <w:tab w:val="center" w:pos="284"/>
        </w:tabs>
        <w:ind w:left="266" w:hanging="266"/>
        <w:rPr>
          <w:bCs/>
        </w:rPr>
      </w:pPr>
    </w:p>
    <w:p w14:paraId="0342F864" w14:textId="77777777" w:rsidR="00807C47" w:rsidRPr="00645757" w:rsidRDefault="00807C47" w:rsidP="00807C47">
      <w:pPr>
        <w:rPr>
          <w:bCs/>
          <w:iCs/>
        </w:rPr>
      </w:pPr>
      <w:r w:rsidRPr="00645757">
        <w:t>EHSV:</w:t>
      </w:r>
    </w:p>
    <w:p w14:paraId="3B3FD5E4" w14:textId="77777777" w:rsidR="00807C47" w:rsidRPr="00645757" w:rsidRDefault="00807C47" w:rsidP="00807C47">
      <w:pPr>
        <w:rPr>
          <w:bCs/>
          <w:iCs/>
        </w:rPr>
      </w:pPr>
    </w:p>
    <w:p w14:paraId="1AFD6333" w14:textId="2E6EA189"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sa už</w:t>
      </w:r>
      <w:r w:rsidR="00645757">
        <w:t xml:space="preserve"> k </w:t>
      </w:r>
      <w:r w:rsidRPr="00645757">
        <w:t>obsahu návrhu vyjadril vo svojom stanovisku EESC-2024-01183-00-00-AC-TRA prijatom 19</w:t>
      </w:r>
      <w:r w:rsidR="00645757">
        <w:t>. septembra</w:t>
      </w:r>
      <w:r w:rsidRPr="00645757">
        <w:t xml:space="preserve"> 2024</w:t>
      </w:r>
      <w:r w:rsidRPr="00645757">
        <w:rPr>
          <w:rStyle w:val="FootnoteReference"/>
          <w:szCs w:val="24"/>
        </w:rPr>
        <w:footnoteReference w:id="5"/>
      </w:r>
      <w:r w:rsidR="00645757">
        <w:t xml:space="preserve"> a </w:t>
      </w:r>
      <w:r w:rsidRPr="00645757">
        <w:t>stanovisku EESC-2021-05690-00-00-AC-TRA prijatom 23</w:t>
      </w:r>
      <w:r w:rsidR="00645757">
        <w:t>. februára</w:t>
      </w:r>
      <w:r w:rsidRPr="00645757">
        <w:t xml:space="preserve"> 2022</w:t>
      </w:r>
      <w:r w:rsidRPr="00645757">
        <w:rPr>
          <w:rStyle w:val="FootnoteReference"/>
          <w:szCs w:val="24"/>
        </w:rPr>
        <w:footnoteReference w:id="6"/>
      </w:r>
      <w:r w:rsidRPr="00645757">
        <w:t>, rozhodol sa nevypracovať nové stanovisko</w:t>
      </w:r>
      <w:r w:rsidR="00645757">
        <w:t xml:space="preserve"> k </w:t>
      </w:r>
      <w:r w:rsidRPr="00645757">
        <w:t>danej téme, ale odkázať na postoj, ktorý zaujal</w:t>
      </w:r>
      <w:r w:rsidR="00645757">
        <w:t xml:space="preserve"> v </w:t>
      </w:r>
      <w:r w:rsidRPr="00645757">
        <w:t>spomínaných dokumentoch.</w:t>
      </w:r>
    </w:p>
    <w:p w14:paraId="05D35E11" w14:textId="77777777" w:rsidR="00807C47" w:rsidRPr="00645757" w:rsidRDefault="00807C47" w:rsidP="00807C47">
      <w:pPr>
        <w:widowControl w:val="0"/>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07C47" w:rsidRPr="00645757" w14:paraId="49C48760" w14:textId="77777777" w:rsidTr="000F1E5F">
        <w:tc>
          <w:tcPr>
            <w:tcW w:w="1078" w:type="pct"/>
          </w:tcPr>
          <w:p w14:paraId="18CC710B" w14:textId="77777777" w:rsidR="00807C47" w:rsidRPr="00645757" w:rsidRDefault="00807C47" w:rsidP="000F1E5F">
            <w:pPr>
              <w:rPr>
                <w:i/>
              </w:rPr>
            </w:pPr>
            <w:r w:rsidRPr="00645757">
              <w:rPr>
                <w:b/>
                <w:i/>
              </w:rPr>
              <w:t>Kontakt:</w:t>
            </w:r>
          </w:p>
        </w:tc>
        <w:tc>
          <w:tcPr>
            <w:tcW w:w="3922" w:type="pct"/>
          </w:tcPr>
          <w:p w14:paraId="761975AE" w14:textId="77777777" w:rsidR="00807C47" w:rsidRPr="00645757" w:rsidRDefault="00807C47" w:rsidP="000F1E5F">
            <w:pPr>
              <w:rPr>
                <w:i/>
              </w:rPr>
            </w:pPr>
            <w:r w:rsidRPr="00645757">
              <w:rPr>
                <w:i/>
              </w:rPr>
              <w:t>Martine DELANOY</w:t>
            </w:r>
          </w:p>
        </w:tc>
      </w:tr>
      <w:tr w:rsidR="00807C47" w:rsidRPr="00645757" w14:paraId="56BCD847" w14:textId="77777777" w:rsidTr="000F1E5F">
        <w:tc>
          <w:tcPr>
            <w:tcW w:w="1078" w:type="pct"/>
          </w:tcPr>
          <w:p w14:paraId="138A4EC3" w14:textId="77777777" w:rsidR="00807C47" w:rsidRPr="00645757" w:rsidRDefault="00807C47" w:rsidP="000F1E5F">
            <w:pPr>
              <w:rPr>
                <w:i/>
              </w:rPr>
            </w:pPr>
            <w:r w:rsidRPr="00645757">
              <w:rPr>
                <w:i/>
              </w:rPr>
              <w:t>Tel.:</w:t>
            </w:r>
          </w:p>
        </w:tc>
        <w:tc>
          <w:tcPr>
            <w:tcW w:w="3922" w:type="pct"/>
          </w:tcPr>
          <w:p w14:paraId="3BFC3CFF" w14:textId="77777777" w:rsidR="00807C47" w:rsidRPr="00645757" w:rsidRDefault="00807C47" w:rsidP="000F1E5F">
            <w:pPr>
              <w:rPr>
                <w:i/>
              </w:rPr>
            </w:pPr>
            <w:r w:rsidRPr="00645757">
              <w:rPr>
                <w:i/>
              </w:rPr>
              <w:t>+32 25469</w:t>
            </w:r>
            <w:r w:rsidRPr="00645757">
              <w:t>802</w:t>
            </w:r>
          </w:p>
        </w:tc>
      </w:tr>
      <w:tr w:rsidR="00807C47" w:rsidRPr="00645757" w14:paraId="4BF94EA1" w14:textId="77777777" w:rsidTr="000F1E5F">
        <w:tc>
          <w:tcPr>
            <w:tcW w:w="1078" w:type="pct"/>
          </w:tcPr>
          <w:p w14:paraId="25C20D3C" w14:textId="77777777" w:rsidR="00807C47" w:rsidRPr="00645757" w:rsidRDefault="00807C47" w:rsidP="000F1E5F">
            <w:pPr>
              <w:rPr>
                <w:i/>
              </w:rPr>
            </w:pPr>
            <w:r w:rsidRPr="00645757">
              <w:rPr>
                <w:i/>
              </w:rPr>
              <w:t>E-mail:</w:t>
            </w:r>
          </w:p>
        </w:tc>
        <w:tc>
          <w:tcPr>
            <w:tcW w:w="3922" w:type="pct"/>
          </w:tcPr>
          <w:p w14:paraId="208290CA" w14:textId="77777777" w:rsidR="00807C47" w:rsidRPr="00645757" w:rsidRDefault="00807C47" w:rsidP="000F1E5F">
            <w:pPr>
              <w:rPr>
                <w:i/>
              </w:rPr>
            </w:pPr>
            <w:hyperlink r:id="rId40" w:history="1">
              <w:r w:rsidRPr="00645757">
                <w:rPr>
                  <w:rStyle w:val="Hyperlink"/>
                  <w:i/>
                </w:rPr>
                <w:t>Martine.Delanoy@eesc.europa.eu</w:t>
              </w:r>
            </w:hyperlink>
          </w:p>
        </w:tc>
      </w:tr>
    </w:tbl>
    <w:p w14:paraId="4982DE45" w14:textId="52A07963" w:rsidR="007F5784" w:rsidRPr="00645757" w:rsidRDefault="007F5784">
      <w:pPr>
        <w:spacing w:after="160" w:line="259" w:lineRule="auto"/>
        <w:jc w:val="left"/>
      </w:pPr>
    </w:p>
    <w:p w14:paraId="7B893721" w14:textId="77777777" w:rsidR="00673B8C" w:rsidRPr="00645757" w:rsidRDefault="00673B8C">
      <w:pPr>
        <w:spacing w:after="160" w:line="259" w:lineRule="auto"/>
        <w:jc w:val="left"/>
      </w:pPr>
    </w:p>
    <w:p w14:paraId="5314991A" w14:textId="0810C5F1" w:rsidR="000122F3" w:rsidRPr="00645757" w:rsidRDefault="007F5784" w:rsidP="000122F3">
      <w:pPr>
        <w:widowControl w:val="0"/>
        <w:numPr>
          <w:ilvl w:val="0"/>
          <w:numId w:val="12"/>
        </w:numPr>
        <w:overflowPunct w:val="0"/>
        <w:autoSpaceDE w:val="0"/>
        <w:autoSpaceDN w:val="0"/>
        <w:adjustRightInd w:val="0"/>
        <w:ind w:left="567" w:hanging="567"/>
        <w:rPr>
          <w:sz w:val="20"/>
          <w:szCs w:val="20"/>
        </w:rPr>
      </w:pPr>
      <w:r w:rsidRPr="00645757">
        <w:br w:type="page"/>
      </w:r>
      <w:hyperlink r:id="rId41">
        <w:r w:rsidR="00807C47" w:rsidRPr="00645757">
          <w:rPr>
            <w:rStyle w:val="Hyperlink"/>
            <w:b/>
            <w:i/>
            <w:sz w:val="28"/>
          </w:rPr>
          <w:t>Revízia mechanizmu Únie</w:t>
        </w:r>
        <w:r w:rsidR="00645757">
          <w:rPr>
            <w:rStyle w:val="Hyperlink"/>
            <w:b/>
            <w:i/>
            <w:sz w:val="28"/>
          </w:rPr>
          <w:t xml:space="preserve"> v </w:t>
        </w:r>
        <w:r w:rsidR="00807C47" w:rsidRPr="00645757">
          <w:rPr>
            <w:rStyle w:val="Hyperlink"/>
            <w:b/>
            <w:i/>
            <w:sz w:val="28"/>
          </w:rPr>
          <w:t>oblasti civilnej ochrany</w:t>
        </w:r>
      </w:hyperlink>
    </w:p>
    <w:p w14:paraId="5842569B" w14:textId="77777777" w:rsidR="000122F3" w:rsidRPr="00645757" w:rsidRDefault="000122F3" w:rsidP="000122F3">
      <w:pPr>
        <w:tabs>
          <w:tab w:val="center" w:pos="284"/>
        </w:tabs>
        <w:overflowPunct w:val="0"/>
        <w:autoSpaceDE w:val="0"/>
        <w:autoSpaceDN w:val="0"/>
        <w:adjustRightInd w:val="0"/>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6B9F37CF" w14:textId="77777777" w:rsidTr="000F1E5F">
        <w:tc>
          <w:tcPr>
            <w:tcW w:w="1077" w:type="pct"/>
          </w:tcPr>
          <w:p w14:paraId="4695033F" w14:textId="77777777" w:rsidR="00807C47" w:rsidRPr="00645757" w:rsidRDefault="00807C47" w:rsidP="000F1E5F">
            <w:pPr>
              <w:tabs>
                <w:tab w:val="center" w:pos="284"/>
              </w:tabs>
              <w:ind w:left="266" w:hanging="266"/>
              <w:rPr>
                <w:b/>
              </w:rPr>
            </w:pPr>
            <w:r w:rsidRPr="00645757">
              <w:rPr>
                <w:b/>
              </w:rPr>
              <w:t>Spravodajca:</w:t>
            </w:r>
          </w:p>
        </w:tc>
        <w:tc>
          <w:tcPr>
            <w:tcW w:w="3923" w:type="pct"/>
          </w:tcPr>
          <w:p w14:paraId="5DAA5C2E" w14:textId="77777777" w:rsidR="00807C47" w:rsidRPr="00645757" w:rsidRDefault="00807C47" w:rsidP="000F1E5F">
            <w:pPr>
              <w:tabs>
                <w:tab w:val="center" w:pos="284"/>
              </w:tabs>
              <w:ind w:left="266" w:right="-3091" w:hanging="266"/>
            </w:pPr>
            <w:proofErr w:type="spellStart"/>
            <w:r w:rsidRPr="00645757">
              <w:t>Florian</w:t>
            </w:r>
            <w:proofErr w:type="spellEnd"/>
            <w:r w:rsidRPr="00645757">
              <w:t xml:space="preserve"> MARIN</w:t>
            </w:r>
          </w:p>
        </w:tc>
      </w:tr>
      <w:tr w:rsidR="00807C47" w:rsidRPr="00645757" w14:paraId="3F848C1D" w14:textId="77777777" w:rsidTr="000F1E5F">
        <w:tc>
          <w:tcPr>
            <w:tcW w:w="1077" w:type="pct"/>
          </w:tcPr>
          <w:p w14:paraId="562CFE01"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w:t>
            </w:r>
          </w:p>
        </w:tc>
        <w:tc>
          <w:tcPr>
            <w:tcW w:w="3923" w:type="pct"/>
          </w:tcPr>
          <w:p w14:paraId="1719454E" w14:textId="77777777" w:rsidR="00807C47" w:rsidRPr="00645757" w:rsidRDefault="00807C47" w:rsidP="000F1E5F">
            <w:pPr>
              <w:tabs>
                <w:tab w:val="center" w:pos="284"/>
              </w:tabs>
              <w:ind w:left="266" w:right="-3091" w:hanging="266"/>
            </w:pPr>
            <w:r w:rsidRPr="00645757">
              <w:t>EESC-2025-03573-00-00-AC</w:t>
            </w:r>
          </w:p>
        </w:tc>
      </w:tr>
    </w:tbl>
    <w:p w14:paraId="5B001903" w14:textId="77777777" w:rsidR="00807C47" w:rsidRPr="00645757" w:rsidRDefault="00807C47" w:rsidP="00807C47">
      <w:pPr>
        <w:tabs>
          <w:tab w:val="center" w:pos="284"/>
        </w:tabs>
        <w:ind w:left="266" w:hanging="266"/>
        <w:rPr>
          <w:bCs/>
        </w:rPr>
      </w:pPr>
    </w:p>
    <w:p w14:paraId="2DCC782F" w14:textId="77777777" w:rsidR="00807C47" w:rsidRPr="00645757" w:rsidRDefault="00807C47" w:rsidP="00807C47">
      <w:pPr>
        <w:keepNext/>
        <w:keepLines/>
        <w:tabs>
          <w:tab w:val="center" w:pos="284"/>
        </w:tabs>
        <w:ind w:left="266" w:hanging="266"/>
        <w:rPr>
          <w:bCs/>
        </w:rPr>
      </w:pPr>
      <w:r w:rsidRPr="00645757">
        <w:rPr>
          <w:b/>
        </w:rPr>
        <w:t>Hlavné body</w:t>
      </w:r>
    </w:p>
    <w:p w14:paraId="182B72BA" w14:textId="77777777" w:rsidR="00807C47" w:rsidRPr="00645757" w:rsidRDefault="00807C47" w:rsidP="00807C47">
      <w:pPr>
        <w:keepNext/>
        <w:keepLines/>
        <w:tabs>
          <w:tab w:val="center" w:pos="284"/>
        </w:tabs>
        <w:ind w:left="266" w:hanging="266"/>
        <w:rPr>
          <w:bCs/>
        </w:rPr>
      </w:pPr>
    </w:p>
    <w:p w14:paraId="55DD0044" w14:textId="77777777" w:rsidR="00807C47" w:rsidRPr="00645757" w:rsidRDefault="00807C47" w:rsidP="00807C47">
      <w:r w:rsidRPr="00645757">
        <w:t>EHSV odporúča:</w:t>
      </w:r>
    </w:p>
    <w:p w14:paraId="1A602179" w14:textId="035D9E66"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väčšie ambície, pokiaľ ide</w:t>
      </w:r>
      <w:r w:rsidR="00645757">
        <w:t xml:space="preserve"> o </w:t>
      </w:r>
      <w:r w:rsidRPr="00645757">
        <w:t>riešenie znižovania rizika katastrof</w:t>
      </w:r>
      <w:r w:rsidR="00645757">
        <w:t xml:space="preserve"> a </w:t>
      </w:r>
      <w:r w:rsidRPr="00645757">
        <w:t>prevencie, namiesto zamerania sa predovšetkým na kapacity</w:t>
      </w:r>
      <w:r w:rsidR="00645757">
        <w:t xml:space="preserve"> v </w:t>
      </w:r>
      <w:r w:rsidRPr="00645757">
        <w:t>oblasti reakcie. Vytvorenie účinného</w:t>
      </w:r>
      <w:r w:rsidR="00645757">
        <w:t xml:space="preserve"> a </w:t>
      </w:r>
      <w:r w:rsidRPr="00645757">
        <w:t>integrovaného mechanizmu Únie</w:t>
      </w:r>
      <w:r w:rsidR="00645757">
        <w:t xml:space="preserve"> v </w:t>
      </w:r>
      <w:r w:rsidRPr="00645757">
        <w:t xml:space="preserve">oblasti civilnej ochrany („UCPM“) musí zahŕňať komplexný </w:t>
      </w:r>
      <w:r w:rsidRPr="00645757">
        <w:rPr>
          <w:b/>
        </w:rPr>
        <w:t>rámec pre politiky znižovania rizík</w:t>
      </w:r>
      <w:r w:rsidR="00645757">
        <w:t xml:space="preserve"> v </w:t>
      </w:r>
      <w:r w:rsidRPr="00645757">
        <w:t xml:space="preserve">celej EÚ, ako aj zvýšený dôraz na </w:t>
      </w:r>
      <w:r w:rsidRPr="00645757">
        <w:rPr>
          <w:b/>
        </w:rPr>
        <w:t>medziodvetvovú</w:t>
      </w:r>
      <w:r w:rsidR="00645757">
        <w:rPr>
          <w:b/>
        </w:rPr>
        <w:t xml:space="preserve"> a </w:t>
      </w:r>
      <w:r w:rsidRPr="00645757">
        <w:rPr>
          <w:b/>
        </w:rPr>
        <w:t xml:space="preserve">cezhraničnú </w:t>
      </w:r>
      <w:r w:rsidRPr="00645757">
        <w:t>prevenciu katastrof, to všetko vykonávané</w:t>
      </w:r>
      <w:r w:rsidR="00645757">
        <w:t xml:space="preserve"> v </w:t>
      </w:r>
      <w:r w:rsidRPr="00645757">
        <w:t>rámci holistického systému riadenia rizík;</w:t>
      </w:r>
    </w:p>
    <w:p w14:paraId="74F0E097" w14:textId="632488C2"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znížiť administratívnu záťaž</w:t>
      </w:r>
      <w:r w:rsidRPr="00645757">
        <w:t>, odstrániť prekrývania, aktualizovať neprimerané údaje</w:t>
      </w:r>
      <w:r w:rsidR="00645757">
        <w:t xml:space="preserve"> a </w:t>
      </w:r>
      <w:r w:rsidRPr="00645757">
        <w:t>podporné systémy, posilniť vyškolené ľudské zdroje</w:t>
      </w:r>
      <w:r w:rsidR="00645757">
        <w:t xml:space="preserve"> a </w:t>
      </w:r>
      <w:r w:rsidRPr="00645757">
        <w:t xml:space="preserve">investovať do </w:t>
      </w:r>
      <w:proofErr w:type="spellStart"/>
      <w:r w:rsidRPr="00645757">
        <w:t>interoperabilných</w:t>
      </w:r>
      <w:proofErr w:type="spellEnd"/>
      <w:r w:rsidRPr="00645757">
        <w:t xml:space="preserve"> kapacít na základe spoločných noriem</w:t>
      </w:r>
      <w:r w:rsidR="00645757">
        <w:t xml:space="preserve"> a </w:t>
      </w:r>
      <w:r w:rsidRPr="00645757">
        <w:t xml:space="preserve">spôsobov odbornej prípravy pri súčasnom zabezpečení </w:t>
      </w:r>
      <w:r w:rsidRPr="00645757">
        <w:rPr>
          <w:b/>
        </w:rPr>
        <w:t>vysokokvalitných pracovných podmienok</w:t>
      </w:r>
      <w:r w:rsidRPr="00645757">
        <w:t xml:space="preserve"> ako predpokladov posilnenia odolnosti spoločnosti</w:t>
      </w:r>
      <w:r w:rsidR="00645757">
        <w:t xml:space="preserve"> v </w:t>
      </w:r>
      <w:r w:rsidRPr="00645757">
        <w:t>celospoločenskom prístupe ku krízam;</w:t>
      </w:r>
    </w:p>
    <w:p w14:paraId="57E5058D" w14:textId="6E923B41"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lepšie predvídať</w:t>
      </w:r>
      <w:r w:rsidR="00645757">
        <w:rPr>
          <w:b/>
        </w:rPr>
        <w:t xml:space="preserve"> a </w:t>
      </w:r>
      <w:r w:rsidRPr="00645757">
        <w:rPr>
          <w:b/>
        </w:rPr>
        <w:t xml:space="preserve">chápať </w:t>
      </w:r>
      <w:r w:rsidRPr="00645757">
        <w:t>katastrofy</w:t>
      </w:r>
      <w:r w:rsidR="00645757">
        <w:t xml:space="preserve"> a </w:t>
      </w:r>
      <w:r w:rsidRPr="00645757">
        <w:t>krízy pri súčasnom zohľadnení úlohy propagandy</w:t>
      </w:r>
      <w:r w:rsidR="00645757">
        <w:t xml:space="preserve"> a </w:t>
      </w:r>
      <w:r w:rsidRPr="00645757">
        <w:t>dezinformácií pri zosilňovaní sociálneho stresu;</w:t>
      </w:r>
    </w:p>
    <w:p w14:paraId="0812E671" w14:textId="7F85E959"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 xml:space="preserve">posilniť UCPM prostredníctvom </w:t>
      </w:r>
      <w:r w:rsidRPr="00645757">
        <w:rPr>
          <w:b/>
        </w:rPr>
        <w:t>dodatočného financovania</w:t>
      </w:r>
      <w:r w:rsidRPr="00645757">
        <w:t>, najmä</w:t>
      </w:r>
      <w:r w:rsidR="00645757">
        <w:t xml:space="preserve"> v </w:t>
      </w:r>
      <w:r w:rsidRPr="00645757">
        <w:t>súvislosti so zraniteľnými skupinami</w:t>
      </w:r>
      <w:r w:rsidR="00645757">
        <w:t xml:space="preserve"> a </w:t>
      </w:r>
      <w:r w:rsidRPr="00645757">
        <w:t>regiónmi vrátane najvzdialenejších regiónov</w:t>
      </w:r>
      <w:r w:rsidR="00645757">
        <w:t xml:space="preserve"> a </w:t>
      </w:r>
      <w:r w:rsidRPr="00645757">
        <w:t>regiónov nachádzajúcich sa</w:t>
      </w:r>
      <w:r w:rsidR="00645757">
        <w:t xml:space="preserve"> v </w:t>
      </w:r>
      <w:r w:rsidRPr="00645757">
        <w:t>blízkosti vojnových konfliktov.</w:t>
      </w:r>
    </w:p>
    <w:p w14:paraId="581F25F6" w14:textId="2FE790CB"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 xml:space="preserve">zabezpečiť </w:t>
      </w:r>
      <w:r w:rsidRPr="00645757">
        <w:rPr>
          <w:b/>
        </w:rPr>
        <w:t>súlad</w:t>
      </w:r>
      <w:r w:rsidR="00645757">
        <w:rPr>
          <w:b/>
        </w:rPr>
        <w:t xml:space="preserve"> s </w:t>
      </w:r>
      <w:r w:rsidRPr="00645757">
        <w:rPr>
          <w:b/>
        </w:rPr>
        <w:t>plánmi národných</w:t>
      </w:r>
      <w:r w:rsidR="00645757">
        <w:rPr>
          <w:b/>
        </w:rPr>
        <w:t xml:space="preserve"> a </w:t>
      </w:r>
      <w:r w:rsidRPr="00645757">
        <w:rPr>
          <w:b/>
        </w:rPr>
        <w:t>regionálnych partnerstiev (NRPP)</w:t>
      </w:r>
      <w:r w:rsidRPr="00645757">
        <w:t xml:space="preserve"> navrhnutými na programové obdobie 2028 – 2034;</w:t>
      </w:r>
    </w:p>
    <w:p w14:paraId="3E002EF3" w14:textId="687B8A30"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 xml:space="preserve">podporovať </w:t>
      </w:r>
      <w:r w:rsidRPr="00645757">
        <w:rPr>
          <w:b/>
        </w:rPr>
        <w:t>väčšiu komplementárnosť</w:t>
      </w:r>
      <w:r w:rsidRPr="00645757">
        <w:t xml:space="preserve"> medzi existujúcimi nástrojmi (ako sú Nástroj bezpečnostnej akcie pre Európu, Európsky zbor solidarity</w:t>
      </w:r>
      <w:r w:rsidR="00645757">
        <w:t xml:space="preserve"> a </w:t>
      </w:r>
      <w:r w:rsidRPr="00645757">
        <w:t>UCPM);</w:t>
      </w:r>
    </w:p>
    <w:p w14:paraId="2815FF4A" w14:textId="63EBCDDA"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zabezpečiť dostatočné</w:t>
      </w:r>
      <w:r w:rsidR="00645757">
        <w:t xml:space="preserve"> a </w:t>
      </w:r>
      <w:r w:rsidRPr="00645757">
        <w:t xml:space="preserve">stabilné </w:t>
      </w:r>
      <w:r w:rsidRPr="00645757">
        <w:rPr>
          <w:b/>
        </w:rPr>
        <w:t>financovanie profesionálnych hasičov</w:t>
      </w:r>
      <w:r w:rsidR="00645757">
        <w:rPr>
          <w:b/>
        </w:rPr>
        <w:t xml:space="preserve"> a </w:t>
      </w:r>
      <w:r w:rsidRPr="00645757">
        <w:rPr>
          <w:b/>
        </w:rPr>
        <w:t>zdravotníckeho personálu</w:t>
      </w:r>
      <w:r w:rsidR="00645757">
        <w:t xml:space="preserve"> s </w:t>
      </w:r>
      <w:r w:rsidRPr="00645757">
        <w:t>cieľom zachovať efektívnosť</w:t>
      </w:r>
      <w:r w:rsidR="00645757">
        <w:t xml:space="preserve"> a </w:t>
      </w:r>
      <w:r w:rsidRPr="00645757">
        <w:t>rýchlu reakciu</w:t>
      </w:r>
      <w:r w:rsidR="00645757">
        <w:t xml:space="preserve"> v </w:t>
      </w:r>
      <w:r w:rsidRPr="00645757">
        <w:t>rámci UCPM</w:t>
      </w:r>
      <w:r w:rsidR="00645757">
        <w:t xml:space="preserve"> a </w:t>
      </w:r>
      <w:r w:rsidRPr="00645757">
        <w:t>zároveň posilniť úlohu dobrovoľníkov;</w:t>
      </w:r>
    </w:p>
    <w:p w14:paraId="6EEF79A5" w14:textId="780B47C3"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 xml:space="preserve">aby sa </w:t>
      </w:r>
      <w:r w:rsidRPr="00645757">
        <w:rPr>
          <w:b/>
        </w:rPr>
        <w:t>mechanizmus Únie</w:t>
      </w:r>
      <w:r w:rsidR="00645757">
        <w:rPr>
          <w:b/>
        </w:rPr>
        <w:t xml:space="preserve"> v </w:t>
      </w:r>
      <w:r w:rsidRPr="00645757">
        <w:rPr>
          <w:b/>
        </w:rPr>
        <w:t>oblasti civilnej ochrany zakladal na flexibilite</w:t>
      </w:r>
      <w:r w:rsidR="00645757">
        <w:t xml:space="preserve"> s </w:t>
      </w:r>
      <w:r w:rsidRPr="00645757">
        <w:t>cieľom rešpektovať rozmanitosť vnútroštátnych systémov zvládania katastrof</w:t>
      </w:r>
      <w:r w:rsidR="00645757">
        <w:t xml:space="preserve"> a </w:t>
      </w:r>
      <w:r w:rsidRPr="00645757">
        <w:t xml:space="preserve">zároveň </w:t>
      </w:r>
      <w:r w:rsidRPr="00645757">
        <w:rPr>
          <w:b/>
        </w:rPr>
        <w:t>zabezpečiť cezhraničnú spoluprácu</w:t>
      </w:r>
      <w:r w:rsidR="00645757">
        <w:t xml:space="preserve"> a </w:t>
      </w:r>
      <w:r w:rsidRPr="00645757">
        <w:t>koordináciu</w:t>
      </w:r>
      <w:r w:rsidR="00645757">
        <w:t xml:space="preserve"> v </w:t>
      </w:r>
      <w:r w:rsidRPr="00645757">
        <w:t>záujme rýchlej</w:t>
      </w:r>
      <w:r w:rsidR="00645757">
        <w:t xml:space="preserve"> a </w:t>
      </w:r>
      <w:r w:rsidRPr="00645757">
        <w:t>účinnej reakcie na katastrofy, ktoré nepoznajú hranice,</w:t>
      </w:r>
      <w:r w:rsidR="00645757">
        <w:t xml:space="preserve"> s </w:t>
      </w:r>
      <w:r w:rsidRPr="00645757">
        <w:t>plným zapojením organizovanej občianskej spoločnosti;</w:t>
      </w:r>
    </w:p>
    <w:p w14:paraId="741A9EE2" w14:textId="3158CC93"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prispôsobiť pravidlá verejného obstarávania</w:t>
      </w:r>
      <w:r w:rsidR="00645757">
        <w:t xml:space="preserve"> s </w:t>
      </w:r>
      <w:r w:rsidRPr="00645757">
        <w:t xml:space="preserve">cieľom </w:t>
      </w:r>
      <w:r w:rsidRPr="00645757">
        <w:rPr>
          <w:b/>
        </w:rPr>
        <w:t>zaručiť rýchle</w:t>
      </w:r>
      <w:r w:rsidR="00645757">
        <w:rPr>
          <w:b/>
        </w:rPr>
        <w:t xml:space="preserve"> a </w:t>
      </w:r>
      <w:r w:rsidRPr="00645757">
        <w:rPr>
          <w:b/>
        </w:rPr>
        <w:t>účinné poskytovanie kritických dodávok</w:t>
      </w:r>
      <w:r w:rsidR="00645757">
        <w:t xml:space="preserve"> a </w:t>
      </w:r>
      <w:r w:rsidRPr="00645757">
        <w:t>služieb</w:t>
      </w:r>
      <w:r w:rsidR="00645757">
        <w:t xml:space="preserve"> v </w:t>
      </w:r>
      <w:r w:rsidRPr="00645757">
        <w:t>čase krízy;</w:t>
      </w:r>
    </w:p>
    <w:p w14:paraId="3C4E2C54" w14:textId="14C1ADE5"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zaviesť prostredníctvom systému CECIS</w:t>
      </w:r>
      <w:r w:rsidRPr="00645757">
        <w:rPr>
          <w:b/>
        </w:rPr>
        <w:t xml:space="preserve"> štandardizovaný formulár na podávanie správ</w:t>
      </w:r>
      <w:r w:rsidR="00645757">
        <w:rPr>
          <w:b/>
        </w:rPr>
        <w:t xml:space="preserve"> o </w:t>
      </w:r>
      <w:r w:rsidRPr="00645757">
        <w:rPr>
          <w:b/>
        </w:rPr>
        <w:t>katastrofách</w:t>
      </w:r>
      <w:r w:rsidRPr="00645757">
        <w:t>, ktorý budú používať všetky členské štáty.</w:t>
      </w:r>
    </w:p>
    <w:p w14:paraId="1E075F78" w14:textId="77777777" w:rsidR="00807C47" w:rsidRPr="00645757" w:rsidRDefault="00807C47" w:rsidP="00807C4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14B48E81" w14:textId="77777777" w:rsidTr="000F1E5F">
        <w:tc>
          <w:tcPr>
            <w:tcW w:w="1077" w:type="pct"/>
          </w:tcPr>
          <w:p w14:paraId="1BE646FA" w14:textId="77777777" w:rsidR="00807C47" w:rsidRPr="00645757" w:rsidRDefault="00807C47" w:rsidP="000F1E5F">
            <w:pPr>
              <w:rPr>
                <w:i/>
                <w:iCs/>
              </w:rPr>
            </w:pPr>
            <w:r w:rsidRPr="00645757">
              <w:rPr>
                <w:b/>
                <w:i/>
              </w:rPr>
              <w:t>Kontakt:</w:t>
            </w:r>
          </w:p>
        </w:tc>
        <w:tc>
          <w:tcPr>
            <w:tcW w:w="3923" w:type="pct"/>
          </w:tcPr>
          <w:p w14:paraId="6C3DAA20" w14:textId="77777777" w:rsidR="00807C47" w:rsidRPr="00645757" w:rsidRDefault="00807C47" w:rsidP="000F1E5F">
            <w:pPr>
              <w:rPr>
                <w:i/>
                <w:iCs/>
              </w:rPr>
            </w:pPr>
            <w:proofErr w:type="spellStart"/>
            <w:r w:rsidRPr="00645757">
              <w:rPr>
                <w:i/>
              </w:rPr>
              <w:t>Arturo</w:t>
            </w:r>
            <w:proofErr w:type="spellEnd"/>
            <w:r w:rsidRPr="00645757">
              <w:rPr>
                <w:i/>
              </w:rPr>
              <w:t xml:space="preserve"> </w:t>
            </w:r>
            <w:proofErr w:type="spellStart"/>
            <w:r w:rsidRPr="00645757">
              <w:rPr>
                <w:i/>
              </w:rPr>
              <w:t>Iniguez</w:t>
            </w:r>
            <w:proofErr w:type="spellEnd"/>
            <w:r w:rsidRPr="00645757">
              <w:rPr>
                <w:i/>
              </w:rPr>
              <w:t xml:space="preserve"> </w:t>
            </w:r>
            <w:proofErr w:type="spellStart"/>
            <w:r w:rsidRPr="00645757">
              <w:rPr>
                <w:i/>
              </w:rPr>
              <w:t>Yuste</w:t>
            </w:r>
            <w:proofErr w:type="spellEnd"/>
          </w:p>
        </w:tc>
      </w:tr>
      <w:tr w:rsidR="00807C47" w:rsidRPr="00645757" w14:paraId="3FEC72B7" w14:textId="77777777" w:rsidTr="000F1E5F">
        <w:tc>
          <w:tcPr>
            <w:tcW w:w="1077" w:type="pct"/>
          </w:tcPr>
          <w:p w14:paraId="6DCBAE85" w14:textId="77777777" w:rsidR="00807C47" w:rsidRPr="00645757" w:rsidRDefault="00807C47" w:rsidP="000F1E5F">
            <w:pPr>
              <w:rPr>
                <w:i/>
              </w:rPr>
            </w:pPr>
            <w:r w:rsidRPr="00645757">
              <w:rPr>
                <w:i/>
              </w:rPr>
              <w:t>Tel.:</w:t>
            </w:r>
          </w:p>
        </w:tc>
        <w:tc>
          <w:tcPr>
            <w:tcW w:w="3923" w:type="pct"/>
          </w:tcPr>
          <w:p w14:paraId="39F32558" w14:textId="77777777" w:rsidR="00807C47" w:rsidRPr="00645757" w:rsidRDefault="00807C47" w:rsidP="000F1E5F">
            <w:pPr>
              <w:rPr>
                <w:i/>
              </w:rPr>
            </w:pPr>
            <w:r w:rsidRPr="00645757">
              <w:rPr>
                <w:i/>
              </w:rPr>
              <w:t>+32 25468768</w:t>
            </w:r>
          </w:p>
        </w:tc>
      </w:tr>
      <w:tr w:rsidR="00807C47" w:rsidRPr="00645757" w14:paraId="5E2883D1" w14:textId="77777777" w:rsidTr="000F1E5F">
        <w:tc>
          <w:tcPr>
            <w:tcW w:w="1077" w:type="pct"/>
          </w:tcPr>
          <w:p w14:paraId="6CF9B6D6" w14:textId="77777777" w:rsidR="00807C47" w:rsidRPr="00645757" w:rsidRDefault="00807C47" w:rsidP="000F1E5F">
            <w:pPr>
              <w:rPr>
                <w:i/>
              </w:rPr>
            </w:pPr>
            <w:r w:rsidRPr="00645757">
              <w:rPr>
                <w:i/>
              </w:rPr>
              <w:t>E-mail:</w:t>
            </w:r>
          </w:p>
        </w:tc>
        <w:tc>
          <w:tcPr>
            <w:tcW w:w="3923" w:type="pct"/>
          </w:tcPr>
          <w:p w14:paraId="42E82036" w14:textId="77777777" w:rsidR="00807C47" w:rsidRPr="00645757" w:rsidRDefault="00807C47" w:rsidP="000F1E5F">
            <w:pPr>
              <w:rPr>
                <w:i/>
              </w:rPr>
            </w:pPr>
            <w:hyperlink r:id="rId42" w:history="1">
              <w:r w:rsidRPr="00645757">
                <w:rPr>
                  <w:rStyle w:val="Hyperlink"/>
                  <w:i/>
                </w:rPr>
                <w:t>Arturo.Iniguez@eesc.europa.eu</w:t>
              </w:r>
            </w:hyperlink>
          </w:p>
        </w:tc>
      </w:tr>
    </w:tbl>
    <w:p w14:paraId="715DB2BD" w14:textId="599992C3" w:rsidR="00395794" w:rsidRPr="00645757" w:rsidRDefault="00395794">
      <w:pPr>
        <w:spacing w:after="160" w:line="259" w:lineRule="auto"/>
        <w:jc w:val="left"/>
      </w:pPr>
    </w:p>
    <w:p w14:paraId="73A0193B" w14:textId="77777777" w:rsidR="00395794" w:rsidRPr="00645757" w:rsidRDefault="00395794">
      <w:pPr>
        <w:spacing w:after="160" w:line="259" w:lineRule="auto"/>
        <w:jc w:val="left"/>
      </w:pPr>
      <w:r w:rsidRPr="00645757">
        <w:br w:type="page"/>
      </w:r>
    </w:p>
    <w:p w14:paraId="0B0F00AD" w14:textId="77777777" w:rsidR="007F5784" w:rsidRPr="00645757" w:rsidRDefault="007F5784">
      <w:pPr>
        <w:spacing w:after="160" w:line="259" w:lineRule="auto"/>
        <w:jc w:val="left"/>
      </w:pPr>
    </w:p>
    <w:p w14:paraId="14026A78" w14:textId="4FAE1588" w:rsidR="007F5784" w:rsidRPr="00645757" w:rsidRDefault="007F5784" w:rsidP="007F5784">
      <w:pPr>
        <w:pStyle w:val="Heading1"/>
        <w:rPr>
          <w:b/>
        </w:rPr>
      </w:pPr>
      <w:bookmarkStart w:id="11" w:name="_Toc217296979"/>
      <w:r w:rsidRPr="00645757">
        <w:rPr>
          <w:b/>
        </w:rPr>
        <w:t>VONKAJŠIE VZŤAHY</w:t>
      </w:r>
      <w:bookmarkEnd w:id="11"/>
    </w:p>
    <w:p w14:paraId="3BBB3E68" w14:textId="77777777" w:rsidR="007F5784" w:rsidRPr="00645757" w:rsidRDefault="007F5784" w:rsidP="007F5784"/>
    <w:p w14:paraId="15F03B8E" w14:textId="5EEA46BF" w:rsidR="00237C67" w:rsidRPr="00645757"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645757">
        <w:rPr>
          <w:b/>
          <w:i/>
          <w:sz w:val="28"/>
        </w:rPr>
        <w:fldChar w:fldCharType="begin"/>
      </w:r>
      <w:r w:rsidRPr="00645757">
        <w:rPr>
          <w:b/>
          <w:i/>
          <w:sz w:val="28"/>
        </w:rPr>
        <w:instrText>HYPERLINK "https://www.eesc.europa.eu/en/our-work/opinions-information-reports/opinions/european-unions-strategic-approach-black-sea-region"</w:instrText>
      </w:r>
      <w:r w:rsidRPr="00645757">
        <w:rPr>
          <w:b/>
          <w:i/>
          <w:sz w:val="28"/>
        </w:rPr>
        <w:fldChar w:fldCharType="separate"/>
      </w:r>
      <w:r w:rsidR="00807C47" w:rsidRPr="00645757">
        <w:t xml:space="preserve"> </w:t>
      </w:r>
      <w:r w:rsidR="00807C47" w:rsidRPr="00645757">
        <w:rPr>
          <w:b/>
          <w:i/>
          <w:color w:val="0000FF"/>
          <w:sz w:val="28"/>
          <w:u w:val="single"/>
        </w:rPr>
        <w:t>Strategický prístup Európskej únie</w:t>
      </w:r>
      <w:r w:rsidR="00645757">
        <w:rPr>
          <w:b/>
          <w:i/>
          <w:color w:val="0000FF"/>
          <w:sz w:val="28"/>
          <w:u w:val="single"/>
        </w:rPr>
        <w:t xml:space="preserve"> k </w:t>
      </w:r>
      <w:r w:rsidR="00807C47" w:rsidRPr="00645757">
        <w:rPr>
          <w:b/>
          <w:i/>
          <w:color w:val="0000FF"/>
          <w:sz w:val="28"/>
          <w:u w:val="single"/>
        </w:rPr>
        <w:t>čiernomorskému regiónu</w:t>
      </w:r>
    </w:p>
    <w:p w14:paraId="3C2969D6" w14:textId="77777777" w:rsidR="00237C67" w:rsidRPr="00645757" w:rsidRDefault="00237C67" w:rsidP="00237C67">
      <w:pPr>
        <w:tabs>
          <w:tab w:val="center" w:pos="284"/>
        </w:tabs>
        <w:overflowPunct w:val="0"/>
        <w:autoSpaceDE w:val="0"/>
        <w:autoSpaceDN w:val="0"/>
        <w:adjustRightInd w:val="0"/>
        <w:ind w:left="266" w:hanging="266"/>
        <w:textAlignment w:val="baseline"/>
        <w:rPr>
          <w:b/>
        </w:rPr>
      </w:pPr>
      <w:r w:rsidRPr="00645757">
        <w:rPr>
          <w:b/>
          <w:i/>
          <w:sz w:val="28"/>
        </w:rPr>
        <w:fldChar w:fldCharType="end"/>
      </w:r>
    </w:p>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807C47" w:rsidRPr="00645757" w14:paraId="428476F6" w14:textId="77777777" w:rsidTr="000F1E5F">
        <w:trPr>
          <w:trHeight w:val="445"/>
        </w:trPr>
        <w:tc>
          <w:tcPr>
            <w:tcW w:w="1111" w:type="pct"/>
          </w:tcPr>
          <w:p w14:paraId="3B3BD6F8" w14:textId="77777777" w:rsidR="00807C47" w:rsidRPr="00645757" w:rsidRDefault="00807C47" w:rsidP="000F1E5F">
            <w:pPr>
              <w:tabs>
                <w:tab w:val="center" w:pos="284"/>
              </w:tabs>
              <w:ind w:left="266" w:hanging="266"/>
              <w:rPr>
                <w:b/>
              </w:rPr>
            </w:pPr>
            <w:r w:rsidRPr="00645757">
              <w:rPr>
                <w:b/>
              </w:rPr>
              <w:t>Spravodajkyňa</w:t>
            </w:r>
          </w:p>
        </w:tc>
        <w:tc>
          <w:tcPr>
            <w:tcW w:w="3889" w:type="pct"/>
          </w:tcPr>
          <w:p w14:paraId="01B2C6E2" w14:textId="77777777" w:rsidR="00807C47" w:rsidRPr="00645757" w:rsidRDefault="00807C47" w:rsidP="000F1E5F">
            <w:pPr>
              <w:tabs>
                <w:tab w:val="center" w:pos="284"/>
              </w:tabs>
              <w:ind w:left="266" w:hanging="266"/>
            </w:pPr>
            <w:r w:rsidRPr="00645757">
              <w:t>Milena ANGELOVA (skupina Zamestnávatelia – BG)</w:t>
            </w:r>
          </w:p>
        </w:tc>
      </w:tr>
      <w:tr w:rsidR="00807C47" w:rsidRPr="00645757" w14:paraId="4595CA8B" w14:textId="77777777" w:rsidTr="000F1E5F">
        <w:tc>
          <w:tcPr>
            <w:tcW w:w="1111" w:type="pct"/>
          </w:tcPr>
          <w:p w14:paraId="6ED4914F"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 dok.</w:t>
            </w:r>
          </w:p>
        </w:tc>
        <w:tc>
          <w:tcPr>
            <w:tcW w:w="3889" w:type="pct"/>
          </w:tcPr>
          <w:p w14:paraId="6BD781A7" w14:textId="77777777" w:rsidR="00807C47" w:rsidRPr="00645757" w:rsidRDefault="00807C47" w:rsidP="000F1E5F">
            <w:pPr>
              <w:tabs>
                <w:tab w:val="center" w:pos="284"/>
              </w:tabs>
              <w:ind w:left="266" w:hanging="266"/>
            </w:pPr>
            <w:r w:rsidRPr="00645757">
              <w:t>EESC-2025-02608-00-00-AC</w:t>
            </w:r>
          </w:p>
        </w:tc>
      </w:tr>
    </w:tbl>
    <w:p w14:paraId="1E881F79" w14:textId="77777777" w:rsidR="00807C47" w:rsidRPr="00645757" w:rsidRDefault="00807C47" w:rsidP="00807C47">
      <w:pPr>
        <w:keepNext/>
        <w:keepLines/>
        <w:tabs>
          <w:tab w:val="center" w:pos="284"/>
        </w:tabs>
        <w:ind w:left="266" w:hanging="266"/>
        <w:rPr>
          <w:bCs/>
        </w:rPr>
      </w:pPr>
    </w:p>
    <w:p w14:paraId="672C2ACA" w14:textId="77777777" w:rsidR="00807C47" w:rsidRPr="00645757" w:rsidRDefault="00807C47" w:rsidP="00807C47">
      <w:pPr>
        <w:keepNext/>
        <w:keepLines/>
        <w:tabs>
          <w:tab w:val="center" w:pos="284"/>
        </w:tabs>
        <w:ind w:left="266" w:hanging="266"/>
        <w:rPr>
          <w:b/>
        </w:rPr>
      </w:pPr>
      <w:r w:rsidRPr="00645757">
        <w:rPr>
          <w:b/>
        </w:rPr>
        <w:t>Hlavné body</w:t>
      </w:r>
    </w:p>
    <w:p w14:paraId="24726C50" w14:textId="77777777" w:rsidR="00807C47" w:rsidRPr="00645757" w:rsidRDefault="00807C47" w:rsidP="00807C47">
      <w:pPr>
        <w:keepNext/>
        <w:keepLines/>
        <w:tabs>
          <w:tab w:val="center" w:pos="284"/>
        </w:tabs>
        <w:ind w:left="266" w:hanging="266"/>
        <w:rPr>
          <w:bCs/>
        </w:rPr>
      </w:pPr>
    </w:p>
    <w:p w14:paraId="54B2063D" w14:textId="77777777" w:rsidR="00807C47" w:rsidRPr="00645757" w:rsidRDefault="00807C47" w:rsidP="00807C47">
      <w:pPr>
        <w:rPr>
          <w:bCs/>
          <w:iCs/>
        </w:rPr>
      </w:pPr>
      <w:r w:rsidRPr="00645757">
        <w:t>EHSV:</w:t>
      </w:r>
    </w:p>
    <w:p w14:paraId="4CA62F72" w14:textId="52CC4248"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víta </w:t>
      </w:r>
      <w:r w:rsidRPr="00645757">
        <w:rPr>
          <w:b/>
          <w:bCs/>
        </w:rPr>
        <w:t>dlho očakávanú iniciatívu</w:t>
      </w:r>
      <w:r w:rsidRPr="00645757">
        <w:t xml:space="preserve"> venovať </w:t>
      </w:r>
      <w:r w:rsidRPr="00645757">
        <w:rPr>
          <w:b/>
          <w:bCs/>
        </w:rPr>
        <w:t>osobitnú pozornosť čiernomorskému regiónu</w:t>
      </w:r>
      <w:r w:rsidR="00645757">
        <w:t xml:space="preserve"> a </w:t>
      </w:r>
      <w:r w:rsidRPr="00645757">
        <w:t>navrhnúť preň strategický prístup Európskej únie, konštatuje však, že prichádza</w:t>
      </w:r>
      <w:r w:rsidR="00645757">
        <w:t xml:space="preserve"> s </w:t>
      </w:r>
      <w:r w:rsidRPr="00645757">
        <w:rPr>
          <w:b/>
          <w:bCs/>
        </w:rPr>
        <w:t>určitým oneskorením</w:t>
      </w:r>
      <w:r w:rsidRPr="00645757">
        <w:t>,</w:t>
      </w:r>
      <w:r w:rsidR="00645757">
        <w:t xml:space="preserve"> a </w:t>
      </w:r>
      <w:r w:rsidRPr="00645757">
        <w:t xml:space="preserve">preto požaduje </w:t>
      </w:r>
      <w:r w:rsidRPr="00645757">
        <w:rPr>
          <w:b/>
          <w:bCs/>
        </w:rPr>
        <w:t>rýchle</w:t>
      </w:r>
      <w:r w:rsidR="00645757">
        <w:rPr>
          <w:b/>
          <w:bCs/>
        </w:rPr>
        <w:t xml:space="preserve"> a </w:t>
      </w:r>
      <w:r w:rsidRPr="00645757">
        <w:rPr>
          <w:b/>
          <w:bCs/>
        </w:rPr>
        <w:t>rozhodné kroky na jej realizáciu</w:t>
      </w:r>
      <w:r w:rsidR="00645757">
        <w:rPr>
          <w:b/>
          <w:bCs/>
        </w:rPr>
        <w:t xml:space="preserve"> a </w:t>
      </w:r>
      <w:r w:rsidRPr="00645757">
        <w:rPr>
          <w:b/>
          <w:bCs/>
        </w:rPr>
        <w:t>zaistenie dostatočných zdrojov</w:t>
      </w:r>
      <w:r w:rsidRPr="00645757">
        <w:t>;</w:t>
      </w:r>
    </w:p>
    <w:p w14:paraId="1E7707BA" w14:textId="44CE798A"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zdôrazňuje, že hoci </w:t>
      </w:r>
      <w:r w:rsidRPr="00645757">
        <w:rPr>
          <w:b/>
          <w:bCs/>
        </w:rPr>
        <w:t xml:space="preserve">negatívne dôsledky vojenských akcií </w:t>
      </w:r>
      <w:r w:rsidRPr="00645757">
        <w:t>znášajú</w:t>
      </w:r>
      <w:r w:rsidRPr="00645757">
        <w:rPr>
          <w:b/>
          <w:bCs/>
        </w:rPr>
        <w:t xml:space="preserve"> všetky krajiny</w:t>
      </w:r>
      <w:r w:rsidR="00645757">
        <w:rPr>
          <w:b/>
          <w:bCs/>
        </w:rPr>
        <w:t xml:space="preserve"> v </w:t>
      </w:r>
      <w:r w:rsidRPr="00645757">
        <w:rPr>
          <w:b/>
          <w:bCs/>
        </w:rPr>
        <w:t>regióne</w:t>
      </w:r>
      <w:r w:rsidRPr="00645757">
        <w:t xml:space="preserve">, </w:t>
      </w:r>
      <w:r w:rsidRPr="00645757">
        <w:rPr>
          <w:b/>
          <w:bCs/>
        </w:rPr>
        <w:t>všetkým</w:t>
      </w:r>
      <w:r w:rsidR="00645757">
        <w:rPr>
          <w:b/>
          <w:bCs/>
        </w:rPr>
        <w:t xml:space="preserve"> z </w:t>
      </w:r>
      <w:r w:rsidRPr="00645757">
        <w:rPr>
          <w:b/>
          <w:bCs/>
        </w:rPr>
        <w:t>nich nebola poskytnutá cielená sociálna</w:t>
      </w:r>
      <w:r w:rsidR="00645757">
        <w:rPr>
          <w:b/>
          <w:bCs/>
        </w:rPr>
        <w:t xml:space="preserve"> a </w:t>
      </w:r>
      <w:r w:rsidRPr="00645757">
        <w:rPr>
          <w:b/>
          <w:bCs/>
        </w:rPr>
        <w:t>hospodárska podpora úmerná ich úsiliu</w:t>
      </w:r>
      <w:r w:rsidR="00645757">
        <w:rPr>
          <w:b/>
          <w:bCs/>
        </w:rPr>
        <w:t xml:space="preserve"> a </w:t>
      </w:r>
      <w:r w:rsidRPr="00645757">
        <w:rPr>
          <w:b/>
          <w:bCs/>
        </w:rPr>
        <w:t>obetiam</w:t>
      </w:r>
      <w:r w:rsidRPr="00645757">
        <w:t>;</w:t>
      </w:r>
    </w:p>
    <w:p w14:paraId="57701FD8" w14:textId="4876D470"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naliehavo vyzýva Európsku komisiu, aby po konzultácii</w:t>
      </w:r>
      <w:r w:rsidR="00645757">
        <w:t xml:space="preserve"> s </w:t>
      </w:r>
      <w:r w:rsidRPr="00645757">
        <w:t>členskými štátmi EÚ, krajinami čiernomorského regiónu</w:t>
      </w:r>
      <w:r w:rsidR="00645757">
        <w:t xml:space="preserve"> a </w:t>
      </w:r>
      <w:r w:rsidRPr="00645757">
        <w:t xml:space="preserve">so všetkými zainteresovanými stranami </w:t>
      </w:r>
      <w:r w:rsidRPr="00645757">
        <w:rPr>
          <w:b/>
          <w:bCs/>
        </w:rPr>
        <w:t>podnikla rýchle kroky</w:t>
      </w:r>
      <w:r w:rsidRPr="00645757">
        <w:t>,</w:t>
      </w:r>
      <w:r w:rsidR="00645757">
        <w:t xml:space="preserve"> v </w:t>
      </w:r>
      <w:r w:rsidRPr="00645757">
        <w:t>ideálnom prípade do konca roka 2025,</w:t>
      </w:r>
      <w:r w:rsidR="00645757">
        <w:t xml:space="preserve"> a </w:t>
      </w:r>
      <w:r w:rsidRPr="00645757">
        <w:rPr>
          <w:b/>
          <w:bCs/>
        </w:rPr>
        <w:t>pripravila pragmatickú</w:t>
      </w:r>
      <w:r w:rsidR="00645757">
        <w:rPr>
          <w:b/>
          <w:bCs/>
        </w:rPr>
        <w:t xml:space="preserve"> a </w:t>
      </w:r>
      <w:r w:rsidRPr="00645757">
        <w:rPr>
          <w:b/>
          <w:bCs/>
        </w:rPr>
        <w:t>náležite financovanú stratégiu rozvoja regiónu</w:t>
      </w:r>
      <w:r w:rsidRPr="00645757">
        <w:t>;</w:t>
      </w:r>
    </w:p>
    <w:p w14:paraId="038280EE" w14:textId="279BD0E3"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vyjadruje poľutovanie nad tým, že </w:t>
      </w:r>
      <w:r w:rsidRPr="00645757">
        <w:rPr>
          <w:b/>
          <w:bCs/>
        </w:rPr>
        <w:t>predchádzajúca rámcová politika EÚ</w:t>
      </w:r>
      <w:r w:rsidRPr="00645757">
        <w:t xml:space="preserve"> (Čiernomorská synergia</w:t>
      </w:r>
      <w:r w:rsidR="00645757">
        <w:t xml:space="preserve"> z </w:t>
      </w:r>
      <w:r w:rsidRPr="00645757">
        <w:t xml:space="preserve">roku 2007) pre tento región nepokrývala </w:t>
      </w:r>
      <w:r w:rsidRPr="00645757">
        <w:rPr>
          <w:b/>
          <w:bCs/>
        </w:rPr>
        <w:t>bezpečnostný rozmer</w:t>
      </w:r>
      <w:r w:rsidRPr="00645757">
        <w:t>,</w:t>
      </w:r>
      <w:r w:rsidR="00645757">
        <w:t xml:space="preserve"> a </w:t>
      </w:r>
      <w:r w:rsidRPr="00645757">
        <w:t>zdôrazňuje, že j</w:t>
      </w:r>
      <w:r w:rsidRPr="00645757">
        <w:rPr>
          <w:b/>
          <w:bCs/>
        </w:rPr>
        <w:t>e potrebné, aby bezpečnostné iniciatívy EÚ</w:t>
      </w:r>
      <w:r w:rsidR="00645757">
        <w:rPr>
          <w:b/>
          <w:bCs/>
        </w:rPr>
        <w:t xml:space="preserve"> v </w:t>
      </w:r>
      <w:r w:rsidRPr="00645757">
        <w:rPr>
          <w:b/>
          <w:bCs/>
        </w:rPr>
        <w:t>čiernomorskom regióne priniesli hmatateľné výsledky</w:t>
      </w:r>
      <w:r w:rsidRPr="00645757">
        <w:t>;</w:t>
      </w:r>
    </w:p>
    <w:p w14:paraId="4098EDAC" w14:textId="3C1F20E0"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zdôrazňuje, že </w:t>
      </w:r>
      <w:r w:rsidRPr="00645757">
        <w:rPr>
          <w:b/>
          <w:bCs/>
        </w:rPr>
        <w:t>dosiahnutie trvalého mieru je nevyhnutným</w:t>
      </w:r>
      <w:r w:rsidR="00645757">
        <w:rPr>
          <w:b/>
          <w:bCs/>
        </w:rPr>
        <w:t xml:space="preserve"> a </w:t>
      </w:r>
      <w:r w:rsidRPr="00645757">
        <w:rPr>
          <w:b/>
          <w:bCs/>
        </w:rPr>
        <w:t>základným predpokladom udržateľného hospodárskeho rozvoja</w:t>
      </w:r>
      <w:r w:rsidRPr="00645757">
        <w:t>,</w:t>
      </w:r>
      <w:r w:rsidR="00645757">
        <w:t xml:space="preserve"> a s </w:t>
      </w:r>
      <w:r w:rsidRPr="00645757">
        <w:t>poľutovaním konštatuje, že tento cieľ nie je</w:t>
      </w:r>
      <w:r w:rsidR="00645757">
        <w:t xml:space="preserve"> v </w:t>
      </w:r>
      <w:r w:rsidRPr="00645757">
        <w:t>dokumente zahrnutý;</w:t>
      </w:r>
    </w:p>
    <w:p w14:paraId="45E2B6B3" w14:textId="66320803"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EHSV sa domnieva, že </w:t>
      </w:r>
      <w:r w:rsidRPr="00645757">
        <w:rPr>
          <w:b/>
          <w:bCs/>
        </w:rPr>
        <w:t>hlavným obmedzením strategického prístupu</w:t>
      </w:r>
      <w:r w:rsidRPr="00645757">
        <w:t xml:space="preserve"> je, že je založený výlučne na </w:t>
      </w:r>
      <w:r w:rsidRPr="00645757">
        <w:rPr>
          <w:b/>
          <w:bCs/>
        </w:rPr>
        <w:t>existujúcich finančných nástrojoch</w:t>
      </w:r>
      <w:r w:rsidR="00645757">
        <w:rPr>
          <w:b/>
          <w:bCs/>
        </w:rPr>
        <w:t xml:space="preserve"> a </w:t>
      </w:r>
      <w:r w:rsidRPr="00645757">
        <w:rPr>
          <w:b/>
          <w:bCs/>
        </w:rPr>
        <w:t>rozpočtových zdrojoch zahrnutých do viacročného finančného rámca na roky 2021 – 2027</w:t>
      </w:r>
      <w:r w:rsidRPr="00645757">
        <w:t xml:space="preserve">. Požaduje, aby </w:t>
      </w:r>
      <w:r w:rsidRPr="00645757">
        <w:rPr>
          <w:b/>
          <w:bCs/>
        </w:rPr>
        <w:t>sa nástroje zjednodušili, konsolidovali</w:t>
      </w:r>
      <w:r w:rsidR="00645757">
        <w:rPr>
          <w:b/>
          <w:bCs/>
        </w:rPr>
        <w:t xml:space="preserve"> a </w:t>
      </w:r>
      <w:r w:rsidRPr="00645757">
        <w:rPr>
          <w:b/>
          <w:bCs/>
        </w:rPr>
        <w:t>uprednostnili</w:t>
      </w:r>
      <w:r w:rsidRPr="00645757">
        <w:t xml:space="preserve"> tak, aby mali okamžitý</w:t>
      </w:r>
      <w:r w:rsidR="00645757">
        <w:t xml:space="preserve"> a </w:t>
      </w:r>
      <w:r w:rsidRPr="00645757">
        <w:t>viditeľný účinok;</w:t>
      </w:r>
    </w:p>
    <w:p w14:paraId="2587DB5A" w14:textId="732BC3C0"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 xml:space="preserve">odporúča </w:t>
      </w:r>
      <w:r w:rsidRPr="00645757">
        <w:rPr>
          <w:b/>
          <w:bCs/>
        </w:rPr>
        <w:t>vykonať hĺbkovú analýzu vplyvu všetkých doteraz existujúcich nástrojov</w:t>
      </w:r>
      <w:r w:rsidR="00645757">
        <w:t xml:space="preserve"> a </w:t>
      </w:r>
      <w:r w:rsidRPr="00645757">
        <w:t xml:space="preserve">na tomto základe sformulovať </w:t>
      </w:r>
      <w:r w:rsidRPr="00645757">
        <w:rPr>
          <w:b/>
          <w:bCs/>
        </w:rPr>
        <w:t>konkrétnejšie</w:t>
      </w:r>
      <w:r w:rsidR="00645757">
        <w:t xml:space="preserve"> a </w:t>
      </w:r>
      <w:r w:rsidRPr="00645757">
        <w:rPr>
          <w:b/>
          <w:bCs/>
        </w:rPr>
        <w:t>jasnejšie záväzky</w:t>
      </w:r>
      <w:r w:rsidRPr="00645757">
        <w:t xml:space="preserve"> týkajúce sa ich využívania</w:t>
      </w:r>
      <w:r w:rsidR="00645757">
        <w:t xml:space="preserve"> v </w:t>
      </w:r>
      <w:r w:rsidRPr="00645757">
        <w:t>budúcnosti;</w:t>
      </w:r>
    </w:p>
    <w:p w14:paraId="67F6DBDE" w14:textId="7631B0BE"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 xml:space="preserve">sa domnieva, že by sa mala venovať väčšia pozornosť </w:t>
      </w:r>
      <w:r w:rsidRPr="00645757">
        <w:rPr>
          <w:b/>
          <w:bCs/>
        </w:rPr>
        <w:t>boju proti hybridným hrozbám</w:t>
      </w:r>
      <w:r w:rsidR="00645757">
        <w:t xml:space="preserve"> a </w:t>
      </w:r>
      <w:r w:rsidRPr="00645757">
        <w:rPr>
          <w:b/>
          <w:bCs/>
        </w:rPr>
        <w:t>nesprávnemu fungovaniu správy</w:t>
      </w:r>
      <w:r w:rsidR="00645757">
        <w:rPr>
          <w:b/>
          <w:bCs/>
        </w:rPr>
        <w:t xml:space="preserve"> a </w:t>
      </w:r>
      <w:r w:rsidRPr="00645757">
        <w:rPr>
          <w:b/>
          <w:bCs/>
        </w:rPr>
        <w:t>riadenia</w:t>
      </w:r>
      <w:r w:rsidRPr="00645757">
        <w:t>, ktoré ohrozujú regionálnu stabilitu.</w:t>
      </w:r>
    </w:p>
    <w:p w14:paraId="045DBB21" w14:textId="77777777" w:rsidR="00807C47" w:rsidRPr="00645757" w:rsidRDefault="00807C47" w:rsidP="00807C4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807C47" w:rsidRPr="00645757" w14:paraId="4DD34BF2" w14:textId="77777777" w:rsidTr="000F1E5F">
        <w:tc>
          <w:tcPr>
            <w:tcW w:w="1090" w:type="pct"/>
          </w:tcPr>
          <w:p w14:paraId="1AE08E8C" w14:textId="77777777" w:rsidR="00807C47" w:rsidRPr="00645757" w:rsidRDefault="00807C47" w:rsidP="000F1E5F">
            <w:pPr>
              <w:rPr>
                <w:i/>
              </w:rPr>
            </w:pPr>
            <w:r w:rsidRPr="00645757">
              <w:rPr>
                <w:b/>
                <w:i/>
              </w:rPr>
              <w:t>Kontakt</w:t>
            </w:r>
          </w:p>
        </w:tc>
        <w:tc>
          <w:tcPr>
            <w:tcW w:w="3910" w:type="pct"/>
          </w:tcPr>
          <w:p w14:paraId="33C9551F" w14:textId="77777777" w:rsidR="00807C47" w:rsidRPr="00645757" w:rsidRDefault="00807C47" w:rsidP="000F1E5F">
            <w:pPr>
              <w:rPr>
                <w:i/>
                <w:iCs/>
              </w:rPr>
            </w:pPr>
            <w:proofErr w:type="spellStart"/>
            <w:r w:rsidRPr="00645757">
              <w:t>Marie-Laurence</w:t>
            </w:r>
            <w:proofErr w:type="spellEnd"/>
            <w:r w:rsidRPr="00645757">
              <w:t xml:space="preserve"> </w:t>
            </w:r>
            <w:proofErr w:type="spellStart"/>
            <w:r w:rsidRPr="00645757">
              <w:t>Drillon</w:t>
            </w:r>
            <w:proofErr w:type="spellEnd"/>
          </w:p>
        </w:tc>
      </w:tr>
      <w:tr w:rsidR="00807C47" w:rsidRPr="00645757" w14:paraId="74A02590" w14:textId="77777777" w:rsidTr="000F1E5F">
        <w:tc>
          <w:tcPr>
            <w:tcW w:w="1090" w:type="pct"/>
          </w:tcPr>
          <w:p w14:paraId="3E1559E8" w14:textId="77777777" w:rsidR="00807C47" w:rsidRPr="00645757" w:rsidRDefault="00807C47" w:rsidP="000F1E5F">
            <w:pPr>
              <w:rPr>
                <w:i/>
              </w:rPr>
            </w:pPr>
            <w:r w:rsidRPr="00645757">
              <w:rPr>
                <w:i/>
              </w:rPr>
              <w:t>Tel.:</w:t>
            </w:r>
          </w:p>
        </w:tc>
        <w:tc>
          <w:tcPr>
            <w:tcW w:w="3910" w:type="pct"/>
          </w:tcPr>
          <w:p w14:paraId="5426EEB3" w14:textId="77777777" w:rsidR="00807C47" w:rsidRPr="00645757" w:rsidRDefault="00807C47" w:rsidP="000F1E5F">
            <w:pPr>
              <w:rPr>
                <w:i/>
              </w:rPr>
            </w:pPr>
            <w:r w:rsidRPr="00645757">
              <w:rPr>
                <w:i/>
              </w:rPr>
              <w:t>+32 2 546 8320</w:t>
            </w:r>
          </w:p>
        </w:tc>
      </w:tr>
      <w:tr w:rsidR="00807C47" w:rsidRPr="00645757" w14:paraId="544660FA" w14:textId="77777777" w:rsidTr="000F1E5F">
        <w:tc>
          <w:tcPr>
            <w:tcW w:w="1090" w:type="pct"/>
          </w:tcPr>
          <w:p w14:paraId="3ECDEBAA" w14:textId="77777777" w:rsidR="00807C47" w:rsidRPr="00645757" w:rsidRDefault="00807C47" w:rsidP="000F1E5F">
            <w:pPr>
              <w:rPr>
                <w:i/>
              </w:rPr>
            </w:pPr>
            <w:r w:rsidRPr="00645757">
              <w:rPr>
                <w:i/>
              </w:rPr>
              <w:t>E-mail:</w:t>
            </w:r>
          </w:p>
        </w:tc>
        <w:tc>
          <w:tcPr>
            <w:tcW w:w="3910" w:type="pct"/>
          </w:tcPr>
          <w:p w14:paraId="7CD6B764" w14:textId="77777777" w:rsidR="00807C47" w:rsidRPr="00645757" w:rsidRDefault="00807C47" w:rsidP="000F1E5F">
            <w:pPr>
              <w:rPr>
                <w:i/>
              </w:rPr>
            </w:pPr>
            <w:hyperlink r:id="rId43" w:history="1">
              <w:r w:rsidRPr="00645757">
                <w:rPr>
                  <w:rStyle w:val="Hyperlink"/>
                  <w:i/>
                </w:rPr>
                <w:t>Marie-Laurence.Drillon@eesc.europa.eu</w:t>
              </w:r>
            </w:hyperlink>
          </w:p>
        </w:tc>
      </w:tr>
    </w:tbl>
    <w:p w14:paraId="210E1333" w14:textId="780BC45E" w:rsidR="00C913CA" w:rsidRPr="00645757" w:rsidRDefault="006D2C8A" w:rsidP="00C913CA">
      <w:pPr>
        <w:widowControl w:val="0"/>
        <w:numPr>
          <w:ilvl w:val="0"/>
          <w:numId w:val="4"/>
        </w:numPr>
        <w:overflowPunct w:val="0"/>
        <w:autoSpaceDE w:val="0"/>
        <w:autoSpaceDN w:val="0"/>
        <w:adjustRightInd w:val="0"/>
        <w:ind w:hanging="567"/>
        <w:textAlignment w:val="baseline"/>
        <w:rPr>
          <w:sz w:val="20"/>
          <w:szCs w:val="20"/>
        </w:rPr>
      </w:pPr>
      <w:r w:rsidRPr="00645757">
        <w:br w:type="page"/>
      </w:r>
      <w:hyperlink r:id="rId44" w:history="1">
        <w:r w:rsidR="00807C47" w:rsidRPr="00645757">
          <w:rPr>
            <w:rStyle w:val="Hyperlink"/>
            <w:b/>
            <w:i/>
            <w:sz w:val="28"/>
          </w:rPr>
          <w:t>Globálna Európa (návrh viacročného finančného rámca)</w:t>
        </w:r>
      </w:hyperlink>
    </w:p>
    <w:p w14:paraId="340361FF" w14:textId="77777777" w:rsidR="00C913CA" w:rsidRPr="00645757" w:rsidRDefault="00C913CA" w:rsidP="00C913CA">
      <w:pPr>
        <w:tabs>
          <w:tab w:val="center" w:pos="284"/>
        </w:tabs>
        <w:overflowPunct w:val="0"/>
        <w:autoSpaceDE w:val="0"/>
        <w:autoSpaceDN w:val="0"/>
        <w:adjustRightInd w:val="0"/>
        <w:ind w:left="266" w:hanging="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0D2CB8EC" w14:textId="77777777" w:rsidTr="000F1E5F">
        <w:tc>
          <w:tcPr>
            <w:tcW w:w="1077" w:type="pct"/>
          </w:tcPr>
          <w:p w14:paraId="69B05BA1" w14:textId="77777777" w:rsidR="00807C47" w:rsidRPr="00645757" w:rsidRDefault="00807C47" w:rsidP="000F1E5F">
            <w:pPr>
              <w:tabs>
                <w:tab w:val="center" w:pos="284"/>
              </w:tabs>
              <w:ind w:left="266" w:hanging="266"/>
              <w:rPr>
                <w:b/>
              </w:rPr>
            </w:pPr>
            <w:r w:rsidRPr="00645757">
              <w:rPr>
                <w:b/>
              </w:rPr>
              <w:t>Spravodajca:</w:t>
            </w:r>
          </w:p>
        </w:tc>
        <w:tc>
          <w:tcPr>
            <w:tcW w:w="3923" w:type="pct"/>
          </w:tcPr>
          <w:p w14:paraId="2DB829EA" w14:textId="77777777" w:rsidR="00807C47" w:rsidRPr="00645757" w:rsidRDefault="00807C47" w:rsidP="000F1E5F">
            <w:pPr>
              <w:tabs>
                <w:tab w:val="center" w:pos="284"/>
              </w:tabs>
              <w:ind w:left="266" w:right="-3091" w:hanging="266"/>
            </w:pPr>
            <w:proofErr w:type="spellStart"/>
            <w:r w:rsidRPr="00645757">
              <w:t>Mateusz</w:t>
            </w:r>
            <w:proofErr w:type="spellEnd"/>
            <w:r w:rsidRPr="00645757">
              <w:t xml:space="preserve"> SZYMAŃSKI (skupina Pracovníci – PL)</w:t>
            </w:r>
          </w:p>
        </w:tc>
      </w:tr>
      <w:tr w:rsidR="00807C47" w:rsidRPr="00645757" w14:paraId="2511F4CB" w14:textId="77777777" w:rsidTr="000F1E5F">
        <w:tc>
          <w:tcPr>
            <w:tcW w:w="1077" w:type="pct"/>
          </w:tcPr>
          <w:p w14:paraId="07BEF115" w14:textId="77777777" w:rsidR="00807C47" w:rsidRPr="00645757" w:rsidRDefault="00807C47" w:rsidP="000F1E5F">
            <w:pPr>
              <w:tabs>
                <w:tab w:val="center" w:pos="284"/>
              </w:tabs>
              <w:ind w:left="266" w:hanging="266"/>
              <w:rPr>
                <w:b/>
              </w:rPr>
            </w:pPr>
            <w:r w:rsidRPr="00645757">
              <w:rPr>
                <w:b/>
              </w:rPr>
              <w:t>Spoluspravodajca:</w:t>
            </w:r>
          </w:p>
        </w:tc>
        <w:tc>
          <w:tcPr>
            <w:tcW w:w="3923" w:type="pct"/>
          </w:tcPr>
          <w:p w14:paraId="433360B6" w14:textId="77777777" w:rsidR="00807C47" w:rsidRPr="00645757" w:rsidRDefault="00807C47" w:rsidP="000F1E5F">
            <w:pPr>
              <w:tabs>
                <w:tab w:val="center" w:pos="284"/>
              </w:tabs>
              <w:ind w:left="266" w:right="-3091" w:hanging="266"/>
            </w:pPr>
            <w:proofErr w:type="spellStart"/>
            <w:r w:rsidRPr="00645757">
              <w:t>Luca</w:t>
            </w:r>
            <w:proofErr w:type="spellEnd"/>
            <w:r w:rsidRPr="00645757">
              <w:t xml:space="preserve"> JAHIER (skupina Organizácie občianskej spoločnosti – IT)</w:t>
            </w:r>
          </w:p>
        </w:tc>
      </w:tr>
      <w:tr w:rsidR="00807C47" w:rsidRPr="00645757" w14:paraId="2702F52D" w14:textId="77777777" w:rsidTr="000F1E5F">
        <w:tc>
          <w:tcPr>
            <w:tcW w:w="1077" w:type="pct"/>
          </w:tcPr>
          <w:p w14:paraId="3CE8DEF2"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w:t>
            </w:r>
          </w:p>
        </w:tc>
        <w:tc>
          <w:tcPr>
            <w:tcW w:w="3923" w:type="pct"/>
          </w:tcPr>
          <w:p w14:paraId="4CBDC387" w14:textId="77777777" w:rsidR="00807C47" w:rsidRPr="00645757" w:rsidRDefault="00807C47" w:rsidP="000F1E5F">
            <w:pPr>
              <w:tabs>
                <w:tab w:val="center" w:pos="284"/>
              </w:tabs>
              <w:ind w:left="266" w:right="-3091" w:hanging="266"/>
            </w:pPr>
            <w:r w:rsidRPr="00645757">
              <w:t>EESC-2025-02605-00-00-AC-TRA</w:t>
            </w:r>
          </w:p>
        </w:tc>
      </w:tr>
    </w:tbl>
    <w:p w14:paraId="37847EBD" w14:textId="77777777" w:rsidR="00807C47" w:rsidRPr="00645757" w:rsidRDefault="00807C47" w:rsidP="00807C47">
      <w:pPr>
        <w:tabs>
          <w:tab w:val="center" w:pos="284"/>
        </w:tabs>
        <w:ind w:left="266" w:hanging="266"/>
        <w:rPr>
          <w:bCs/>
        </w:rPr>
      </w:pPr>
    </w:p>
    <w:p w14:paraId="70FEE5C2" w14:textId="77777777" w:rsidR="00807C47" w:rsidRPr="00645757" w:rsidRDefault="00807C47" w:rsidP="00807C47">
      <w:pPr>
        <w:keepNext/>
        <w:keepLines/>
        <w:tabs>
          <w:tab w:val="center" w:pos="284"/>
        </w:tabs>
        <w:ind w:left="266" w:hanging="266"/>
        <w:rPr>
          <w:b/>
        </w:rPr>
      </w:pPr>
      <w:r w:rsidRPr="00645757">
        <w:rPr>
          <w:b/>
        </w:rPr>
        <w:t>Hlavné body</w:t>
      </w:r>
    </w:p>
    <w:p w14:paraId="7DC14027" w14:textId="77777777" w:rsidR="00807C47" w:rsidRPr="00645757" w:rsidRDefault="00807C47" w:rsidP="00807C47">
      <w:pPr>
        <w:keepNext/>
        <w:keepLines/>
        <w:tabs>
          <w:tab w:val="center" w:pos="284"/>
        </w:tabs>
        <w:ind w:left="266" w:hanging="266"/>
        <w:rPr>
          <w:bCs/>
        </w:rPr>
      </w:pPr>
    </w:p>
    <w:p w14:paraId="79C721F5" w14:textId="77777777" w:rsidR="00807C47" w:rsidRPr="00645757" w:rsidRDefault="00807C47" w:rsidP="00807C47">
      <w:pPr>
        <w:rPr>
          <w:bCs/>
          <w:iCs/>
        </w:rPr>
      </w:pPr>
      <w:r w:rsidRPr="00645757">
        <w:t>EHSV:</w:t>
      </w:r>
    </w:p>
    <w:p w14:paraId="676EB5B4" w14:textId="53C0C4A3"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víta návrh Komisie zvýšiť výdavky na vonkajšie politiky EÚ</w:t>
      </w:r>
      <w:r w:rsidR="00645757">
        <w:t xml:space="preserve"> v </w:t>
      </w:r>
      <w:r w:rsidRPr="00645757">
        <w:t>nadchádzajúcom viacročnom finančnom rámci (VFR)</w:t>
      </w:r>
      <w:r w:rsidR="00645757">
        <w:t xml:space="preserve"> s </w:t>
      </w:r>
      <w:r w:rsidRPr="00645757">
        <w:t>nástrojom Globálna Európa vrátane rezervy pre Ukrajinu</w:t>
      </w:r>
      <w:r w:rsidR="00645757">
        <w:t xml:space="preserve"> a </w:t>
      </w:r>
      <w:r w:rsidRPr="00645757">
        <w:t>domnieva sa, že toto zvýšenie je nevyhnutné na to, aby EÚ potvrdila svoju úlohu globálneho aktéra</w:t>
      </w:r>
      <w:r w:rsidR="00645757">
        <w:t xml:space="preserve"> a </w:t>
      </w:r>
      <w:r w:rsidRPr="00645757">
        <w:t>hodnôt, ako aj na budovanie strategickej autonómie;</w:t>
      </w:r>
    </w:p>
    <w:p w14:paraId="1D3DA46B" w14:textId="17FF5211"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sa domnieva, že EÚ by mala zohrávať vedúcu úlohu</w:t>
      </w:r>
      <w:r w:rsidR="00645757">
        <w:t xml:space="preserve"> v </w:t>
      </w:r>
      <w:r w:rsidRPr="00645757">
        <w:t>rozvojovom</w:t>
      </w:r>
      <w:r w:rsidR="00645757">
        <w:t xml:space="preserve"> a </w:t>
      </w:r>
      <w:r w:rsidRPr="00645757">
        <w:t>humanitárnom úsilí</w:t>
      </w:r>
      <w:r w:rsidR="00645757">
        <w:t xml:space="preserve"> a </w:t>
      </w:r>
      <w:r w:rsidRPr="00645757">
        <w:t xml:space="preserve">pri oživení systému OSN, pričom hlavným nástrojom by sa mala stať stratégia </w:t>
      </w:r>
      <w:proofErr w:type="spellStart"/>
      <w:r w:rsidRPr="00645757">
        <w:t>Global</w:t>
      </w:r>
      <w:proofErr w:type="spellEnd"/>
      <w:r w:rsidRPr="00645757">
        <w:t xml:space="preserve"> </w:t>
      </w:r>
      <w:proofErr w:type="spellStart"/>
      <w:r w:rsidRPr="00645757">
        <w:t>Gateway</w:t>
      </w:r>
      <w:proofErr w:type="spellEnd"/>
      <w:r w:rsidRPr="00645757">
        <w:t>;</w:t>
      </w:r>
    </w:p>
    <w:p w14:paraId="60D9512B" w14:textId="2C49889D"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poukazuje na to, že poradný výbor organizácií občianskej spoločnosti</w:t>
      </w:r>
      <w:r w:rsidR="00645757">
        <w:t xml:space="preserve"> a </w:t>
      </w:r>
      <w:r w:rsidRPr="00645757">
        <w:t xml:space="preserve">miestnych samospráv pre stratégiu </w:t>
      </w:r>
      <w:proofErr w:type="spellStart"/>
      <w:r w:rsidRPr="00645757">
        <w:t>Global</w:t>
      </w:r>
      <w:proofErr w:type="spellEnd"/>
      <w:r w:rsidRPr="00645757">
        <w:t xml:space="preserve"> </w:t>
      </w:r>
      <w:proofErr w:type="spellStart"/>
      <w:r w:rsidRPr="00645757">
        <w:t>Gateway</w:t>
      </w:r>
      <w:proofErr w:type="spellEnd"/>
      <w:r w:rsidRPr="00645757">
        <w:t xml:space="preserve"> zostal vo veľkej miere odstrihnutý od rozhodovacieho procesu, čím sa triešti dialóg. EHSV vyzýva na zabezpečenie zmysluplnej účasti,</w:t>
      </w:r>
      <w:r w:rsidR="00645757">
        <w:t xml:space="preserve"> a </w:t>
      </w:r>
      <w:r w:rsidRPr="00645757">
        <w:t>to aj EHSV</w:t>
      </w:r>
      <w:r w:rsidR="00645757">
        <w:t xml:space="preserve"> a </w:t>
      </w:r>
      <w:r w:rsidRPr="00645757">
        <w:t>VR;</w:t>
      </w:r>
    </w:p>
    <w:p w14:paraId="0C0BD696" w14:textId="7D573337"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zdôrazňuje potrebu budovať súlad medzi zahraničnou politikou, rozvojom, obchodom</w:t>
      </w:r>
      <w:r w:rsidR="00645757">
        <w:t xml:space="preserve"> a </w:t>
      </w:r>
      <w:r w:rsidRPr="00645757">
        <w:t>Európskym fondom pre konkurencieschopnosť</w:t>
      </w:r>
      <w:r w:rsidR="00645757">
        <w:t xml:space="preserve"> s </w:t>
      </w:r>
      <w:r w:rsidRPr="00645757">
        <w:t>cieľom dosiahnuť udržateľný rozvoj</w:t>
      </w:r>
      <w:r w:rsidR="00645757">
        <w:t xml:space="preserve"> a </w:t>
      </w:r>
      <w:r w:rsidRPr="00645757">
        <w:t>hospodársku odolnosť;</w:t>
      </w:r>
    </w:p>
    <w:p w14:paraId="3D33E48D" w14:textId="70233919"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napriek pozitívnemu hodnoteniu navrhovanej flexibility vo vonkajšej činnosti očakáva úplnú transparentnosť</w:t>
      </w:r>
      <w:r w:rsidR="00645757">
        <w:t xml:space="preserve"> a </w:t>
      </w:r>
      <w:r w:rsidRPr="00645757">
        <w:t>zodpovednosť pri vynakladaní finančných prostriedkov;</w:t>
      </w:r>
    </w:p>
    <w:p w14:paraId="0AD3C793" w14:textId="77777777"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 xml:space="preserve">vyzýva na rozšírenie ukazovateľa nerovnosti Komisie na projekty </w:t>
      </w:r>
      <w:proofErr w:type="spellStart"/>
      <w:r w:rsidRPr="00645757">
        <w:t>Global</w:t>
      </w:r>
      <w:proofErr w:type="spellEnd"/>
      <w:r w:rsidRPr="00645757">
        <w:t xml:space="preserve"> </w:t>
      </w:r>
      <w:proofErr w:type="spellStart"/>
      <w:r w:rsidRPr="00645757">
        <w:t>Gateway</w:t>
      </w:r>
      <w:proofErr w:type="spellEnd"/>
      <w:r w:rsidRPr="00645757">
        <w:t>;</w:t>
      </w:r>
    </w:p>
    <w:p w14:paraId="799BF76A" w14:textId="4FC0CCEA"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očakáva, že existujúce orgány, ako sú platformy občianskej spoločnosti, budú vo väčšej miere zapojené do udržiavania vzťahov</w:t>
      </w:r>
      <w:r w:rsidR="00645757">
        <w:t xml:space="preserve"> s </w:t>
      </w:r>
      <w:r w:rsidRPr="00645757">
        <w:t>organizáciami</w:t>
      </w:r>
      <w:r w:rsidR="00645757">
        <w:t xml:space="preserve"> v </w:t>
      </w:r>
      <w:r w:rsidRPr="00645757">
        <w:t>partnerských krajinách;</w:t>
      </w:r>
    </w:p>
    <w:p w14:paraId="6F6F935E" w14:textId="66BC0F91"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podporuje všetko úsilie</w:t>
      </w:r>
      <w:r w:rsidR="00645757">
        <w:t xml:space="preserve"> o </w:t>
      </w:r>
      <w:r w:rsidRPr="00645757">
        <w:t>posilnenie prosperity</w:t>
      </w:r>
      <w:r w:rsidR="00645757">
        <w:t xml:space="preserve"> a </w:t>
      </w:r>
      <w:r w:rsidRPr="00645757">
        <w:t>bezpečnosti</w:t>
      </w:r>
      <w:r w:rsidR="00645757">
        <w:t xml:space="preserve"> v </w:t>
      </w:r>
      <w:r w:rsidRPr="00645757">
        <w:t>našom susedstve,</w:t>
      </w:r>
      <w:r w:rsidR="00645757">
        <w:t xml:space="preserve"> a </w:t>
      </w:r>
      <w:r w:rsidRPr="00645757">
        <w:t>teda</w:t>
      </w:r>
      <w:r w:rsidR="00645757">
        <w:t xml:space="preserve"> v </w:t>
      </w:r>
      <w:r w:rsidRPr="00645757">
        <w:t>rámci EÚ,</w:t>
      </w:r>
      <w:r w:rsidR="00645757">
        <w:t xml:space="preserve"> a </w:t>
      </w:r>
      <w:r w:rsidRPr="00645757">
        <w:t>podporuje ďalšie rozširovanie Únie;</w:t>
      </w:r>
    </w:p>
    <w:p w14:paraId="267572B6" w14:textId="046E32A4"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zdôrazňuje potrebu predvídateľného</w:t>
      </w:r>
      <w:r w:rsidR="00645757">
        <w:t xml:space="preserve"> a </w:t>
      </w:r>
      <w:r w:rsidRPr="00645757">
        <w:t>stabilného financovania organizácií občianskej spoločnosti, najmä</w:t>
      </w:r>
      <w:r w:rsidR="00645757">
        <w:t xml:space="preserve"> s </w:t>
      </w:r>
      <w:r w:rsidRPr="00645757">
        <w:t>cieľom posilniť demokraciu, občiansky priestor</w:t>
      </w:r>
      <w:r w:rsidR="00645757">
        <w:t xml:space="preserve"> a </w:t>
      </w:r>
      <w:r w:rsidRPr="00645757">
        <w:t>rodovú rovnosť;</w:t>
      </w:r>
    </w:p>
    <w:p w14:paraId="02BE89CF" w14:textId="09EF4BC1"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tiež očakáva, že ciele</w:t>
      </w:r>
      <w:r w:rsidR="00645757">
        <w:t xml:space="preserve"> v </w:t>
      </w:r>
      <w:r w:rsidRPr="00645757">
        <w:t>oblasti hospodárskej spolupráce</w:t>
      </w:r>
      <w:r w:rsidR="00645757">
        <w:t xml:space="preserve"> a </w:t>
      </w:r>
      <w:r w:rsidRPr="00645757">
        <w:t xml:space="preserve">podnikania budú sprevádzať ambiciózne sociálne, </w:t>
      </w:r>
      <w:proofErr w:type="spellStart"/>
      <w:r w:rsidRPr="00645757">
        <w:t>ľudskoprávne</w:t>
      </w:r>
      <w:proofErr w:type="spellEnd"/>
      <w:r w:rsidR="00645757">
        <w:t xml:space="preserve"> a </w:t>
      </w:r>
      <w:r w:rsidRPr="00645757">
        <w:t>environmentálne záruky;</w:t>
      </w:r>
    </w:p>
    <w:p w14:paraId="62B98DEF" w14:textId="11512D39"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odmieta prístup pozastavenia platieb</w:t>
      </w:r>
      <w:r w:rsidR="00645757">
        <w:t xml:space="preserve"> v </w:t>
      </w:r>
      <w:r w:rsidRPr="00645757">
        <w:t>kontexte migračnej politiky</w:t>
      </w:r>
      <w:r w:rsidR="00645757">
        <w:t xml:space="preserve"> a </w:t>
      </w:r>
      <w:r w:rsidRPr="00645757">
        <w:t>zdôrazňuje potrebu pozitívnych stimulov na dosiahnutie stanovených cieľov.</w:t>
      </w:r>
    </w:p>
    <w:p w14:paraId="0386EB76" w14:textId="77777777" w:rsidR="00807C47" w:rsidRPr="00645757" w:rsidRDefault="00807C47" w:rsidP="00807C4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7C3C0F70" w14:textId="77777777" w:rsidTr="000F1E5F">
        <w:tc>
          <w:tcPr>
            <w:tcW w:w="1077" w:type="pct"/>
          </w:tcPr>
          <w:p w14:paraId="6A03CBFB" w14:textId="77777777" w:rsidR="00807C47" w:rsidRPr="00645757" w:rsidRDefault="00807C47" w:rsidP="000F1E5F">
            <w:pPr>
              <w:rPr>
                <w:i/>
              </w:rPr>
            </w:pPr>
            <w:r w:rsidRPr="00645757">
              <w:rPr>
                <w:b/>
                <w:i/>
              </w:rPr>
              <w:t>Kontakt:</w:t>
            </w:r>
          </w:p>
        </w:tc>
        <w:tc>
          <w:tcPr>
            <w:tcW w:w="3923" w:type="pct"/>
          </w:tcPr>
          <w:p w14:paraId="2EB54C47" w14:textId="77777777" w:rsidR="00807C47" w:rsidRPr="00645757" w:rsidRDefault="00807C47" w:rsidP="000F1E5F">
            <w:pPr>
              <w:rPr>
                <w:i/>
              </w:rPr>
            </w:pPr>
            <w:r w:rsidRPr="00645757">
              <w:rPr>
                <w:i/>
              </w:rPr>
              <w:t xml:space="preserve">Daniele </w:t>
            </w:r>
            <w:proofErr w:type="spellStart"/>
            <w:r w:rsidRPr="00645757">
              <w:rPr>
                <w:i/>
              </w:rPr>
              <w:t>Vitali</w:t>
            </w:r>
            <w:proofErr w:type="spellEnd"/>
            <w:r w:rsidRPr="00645757">
              <w:rPr>
                <w:i/>
              </w:rPr>
              <w:t xml:space="preserve"> </w:t>
            </w:r>
          </w:p>
        </w:tc>
      </w:tr>
      <w:tr w:rsidR="00807C47" w:rsidRPr="00645757" w14:paraId="2F616FEE" w14:textId="77777777" w:rsidTr="000F1E5F">
        <w:tc>
          <w:tcPr>
            <w:tcW w:w="1077" w:type="pct"/>
          </w:tcPr>
          <w:p w14:paraId="27293F1D" w14:textId="77777777" w:rsidR="00807C47" w:rsidRPr="00645757" w:rsidRDefault="00807C47" w:rsidP="000F1E5F">
            <w:pPr>
              <w:rPr>
                <w:i/>
              </w:rPr>
            </w:pPr>
            <w:r w:rsidRPr="00645757">
              <w:rPr>
                <w:i/>
              </w:rPr>
              <w:t>Tel.:</w:t>
            </w:r>
          </w:p>
        </w:tc>
        <w:tc>
          <w:tcPr>
            <w:tcW w:w="3923" w:type="pct"/>
          </w:tcPr>
          <w:p w14:paraId="74670616" w14:textId="77777777" w:rsidR="00807C47" w:rsidRPr="00645757" w:rsidRDefault="00807C47" w:rsidP="000F1E5F">
            <w:pPr>
              <w:rPr>
                <w:i/>
              </w:rPr>
            </w:pPr>
            <w:r w:rsidRPr="00645757">
              <w:rPr>
                <w:i/>
              </w:rPr>
              <w:t>+32 2 546 8817</w:t>
            </w:r>
          </w:p>
        </w:tc>
      </w:tr>
      <w:tr w:rsidR="00807C47" w:rsidRPr="00645757" w14:paraId="12779695" w14:textId="77777777" w:rsidTr="000F1E5F">
        <w:tc>
          <w:tcPr>
            <w:tcW w:w="1077" w:type="pct"/>
          </w:tcPr>
          <w:p w14:paraId="480FD3B4" w14:textId="77777777" w:rsidR="00807C47" w:rsidRPr="00645757" w:rsidRDefault="00807C47" w:rsidP="000F1E5F">
            <w:pPr>
              <w:rPr>
                <w:i/>
              </w:rPr>
            </w:pPr>
            <w:r w:rsidRPr="00645757">
              <w:rPr>
                <w:i/>
              </w:rPr>
              <w:t>E-mail:</w:t>
            </w:r>
          </w:p>
        </w:tc>
        <w:tc>
          <w:tcPr>
            <w:tcW w:w="3923" w:type="pct"/>
          </w:tcPr>
          <w:p w14:paraId="22397CDB" w14:textId="77777777" w:rsidR="00807C47" w:rsidRPr="00645757" w:rsidRDefault="00807C47" w:rsidP="000F1E5F">
            <w:pPr>
              <w:rPr>
                <w:i/>
              </w:rPr>
            </w:pPr>
            <w:hyperlink r:id="rId45" w:history="1">
              <w:r w:rsidRPr="00645757">
                <w:rPr>
                  <w:rStyle w:val="Hyperlink"/>
                  <w:i/>
                </w:rPr>
                <w:t>daniele.vitali@eesc.europa.eu</w:t>
              </w:r>
            </w:hyperlink>
          </w:p>
        </w:tc>
      </w:tr>
    </w:tbl>
    <w:p w14:paraId="5C37F322" w14:textId="33F76C1C" w:rsidR="00807C47" w:rsidRPr="00645757" w:rsidRDefault="00C913CA" w:rsidP="00CB245F">
      <w:pPr>
        <w:widowControl w:val="0"/>
        <w:numPr>
          <w:ilvl w:val="0"/>
          <w:numId w:val="4"/>
        </w:numPr>
        <w:overflowPunct w:val="0"/>
        <w:autoSpaceDE w:val="0"/>
        <w:autoSpaceDN w:val="0"/>
        <w:adjustRightInd w:val="0"/>
        <w:spacing w:after="120"/>
        <w:ind w:hanging="567"/>
        <w:textAlignment w:val="baseline"/>
        <w:rPr>
          <w:sz w:val="20"/>
        </w:rPr>
      </w:pPr>
      <w:r w:rsidRPr="00645757">
        <w:br w:type="page"/>
      </w:r>
      <w:hyperlink r:id="rId46" w:history="1">
        <w:r w:rsidR="00807C47" w:rsidRPr="00CB245F">
          <w:rPr>
            <w:rStyle w:val="Hyperlink"/>
            <w:b/>
            <w:i/>
            <w:sz w:val="28"/>
          </w:rPr>
          <w:t>Predvídateľný</w:t>
        </w:r>
        <w:r w:rsidR="00645757">
          <w:rPr>
            <w:rStyle w:val="Hyperlink"/>
            <w:b/>
            <w:i/>
            <w:sz w:val="28"/>
          </w:rPr>
          <w:t xml:space="preserve"> a </w:t>
        </w:r>
        <w:r w:rsidR="00807C47" w:rsidRPr="00645757">
          <w:rPr>
            <w:rStyle w:val="Hyperlink"/>
            <w:b/>
            <w:i/>
            <w:sz w:val="28"/>
          </w:rPr>
          <w:t>spoločný európsky postup pre Ukrajincov</w:t>
        </w:r>
        <w:r w:rsidR="00645757">
          <w:rPr>
            <w:rStyle w:val="Hyperlink"/>
            <w:b/>
            <w:i/>
            <w:sz w:val="28"/>
          </w:rPr>
          <w:t xml:space="preserve"> v </w:t>
        </w:r>
        <w:r w:rsidR="00807C47" w:rsidRPr="00645757">
          <w:rPr>
            <w:rStyle w:val="Hyperlink"/>
            <w:b/>
            <w:i/>
            <w:sz w:val="28"/>
          </w:rPr>
          <w:t>EÚ</w:t>
        </w:r>
      </w:hyperlink>
    </w:p>
    <w:p w14:paraId="66ABB207" w14:textId="69775403" w:rsidR="004503DC" w:rsidRPr="00645757" w:rsidRDefault="004503DC" w:rsidP="00807C47">
      <w:pPr>
        <w:widowControl w:val="0"/>
        <w:overflowPunct w:val="0"/>
        <w:autoSpaceDE w:val="0"/>
        <w:autoSpaceDN w:val="0"/>
        <w:adjustRightInd w:val="0"/>
        <w:ind w:left="266"/>
        <w:textAlignment w:val="baseline"/>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038A182A" w14:textId="77777777" w:rsidTr="000F1E5F">
        <w:tc>
          <w:tcPr>
            <w:tcW w:w="1077" w:type="pct"/>
          </w:tcPr>
          <w:p w14:paraId="673CCAC9" w14:textId="77777777" w:rsidR="00807C47" w:rsidRPr="00645757" w:rsidRDefault="00807C47" w:rsidP="000F1E5F">
            <w:pPr>
              <w:tabs>
                <w:tab w:val="center" w:pos="284"/>
              </w:tabs>
              <w:ind w:left="266" w:hanging="266"/>
              <w:rPr>
                <w:b/>
              </w:rPr>
            </w:pPr>
            <w:r w:rsidRPr="00645757">
              <w:rPr>
                <w:b/>
              </w:rPr>
              <w:t xml:space="preserve">Spravodajca: </w:t>
            </w:r>
          </w:p>
        </w:tc>
        <w:tc>
          <w:tcPr>
            <w:tcW w:w="3923" w:type="pct"/>
          </w:tcPr>
          <w:p w14:paraId="223C6F64" w14:textId="77777777" w:rsidR="00807C47" w:rsidRPr="00645757" w:rsidRDefault="00807C47" w:rsidP="000F1E5F">
            <w:pPr>
              <w:tabs>
                <w:tab w:val="center" w:pos="284"/>
              </w:tabs>
              <w:ind w:left="266" w:right="-3091" w:hanging="266"/>
            </w:pPr>
            <w:proofErr w:type="spellStart"/>
            <w:r w:rsidRPr="00645757">
              <w:t>Mateusz</w:t>
            </w:r>
            <w:proofErr w:type="spellEnd"/>
            <w:r w:rsidRPr="00645757">
              <w:t xml:space="preserve"> SZYMAŃSKI (skupina Pracovníci – PL)</w:t>
            </w:r>
          </w:p>
        </w:tc>
      </w:tr>
      <w:tr w:rsidR="00807C47" w:rsidRPr="00645757" w14:paraId="5DCF8369" w14:textId="77777777" w:rsidTr="000F1E5F">
        <w:tc>
          <w:tcPr>
            <w:tcW w:w="1077" w:type="pct"/>
          </w:tcPr>
          <w:p w14:paraId="63CDA5A6" w14:textId="77777777" w:rsidR="00807C47" w:rsidRPr="00645757" w:rsidRDefault="00807C47" w:rsidP="000F1E5F">
            <w:pPr>
              <w:tabs>
                <w:tab w:val="center" w:pos="284"/>
              </w:tabs>
              <w:ind w:left="266" w:hanging="266"/>
              <w:rPr>
                <w:b/>
              </w:rPr>
            </w:pPr>
            <w:r w:rsidRPr="00645757">
              <w:rPr>
                <w:b/>
              </w:rPr>
              <w:t>Spoluspravodajca:</w:t>
            </w:r>
          </w:p>
        </w:tc>
        <w:tc>
          <w:tcPr>
            <w:tcW w:w="3923" w:type="pct"/>
          </w:tcPr>
          <w:p w14:paraId="6358B974" w14:textId="77777777" w:rsidR="00807C47" w:rsidRPr="00645757" w:rsidRDefault="00807C47" w:rsidP="000F1E5F">
            <w:pPr>
              <w:tabs>
                <w:tab w:val="center" w:pos="284"/>
              </w:tabs>
              <w:ind w:left="266" w:right="-3091" w:hanging="266"/>
            </w:pPr>
            <w:proofErr w:type="spellStart"/>
            <w:r w:rsidRPr="00645757">
              <w:t>Krzysztof</w:t>
            </w:r>
            <w:proofErr w:type="spellEnd"/>
            <w:r w:rsidRPr="00645757">
              <w:t xml:space="preserve"> BALON (skupina Organizácie občianskej spoločnosti – PL)</w:t>
            </w:r>
          </w:p>
        </w:tc>
      </w:tr>
      <w:tr w:rsidR="00807C47" w:rsidRPr="00645757" w14:paraId="49B49A75" w14:textId="77777777" w:rsidTr="000F1E5F">
        <w:tc>
          <w:tcPr>
            <w:tcW w:w="1077" w:type="pct"/>
          </w:tcPr>
          <w:p w14:paraId="7CF13F0A"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w:t>
            </w:r>
          </w:p>
        </w:tc>
        <w:tc>
          <w:tcPr>
            <w:tcW w:w="3923" w:type="pct"/>
          </w:tcPr>
          <w:p w14:paraId="4E0C520D" w14:textId="77777777" w:rsidR="00807C47" w:rsidRPr="00645757" w:rsidRDefault="00807C47" w:rsidP="000F1E5F">
            <w:pPr>
              <w:tabs>
                <w:tab w:val="center" w:pos="284"/>
              </w:tabs>
              <w:ind w:left="266" w:right="-3091" w:hanging="266"/>
            </w:pPr>
            <w:r w:rsidRPr="00645757">
              <w:t>EESC-2025-02613-00-00-AC</w:t>
            </w:r>
          </w:p>
        </w:tc>
      </w:tr>
    </w:tbl>
    <w:p w14:paraId="30965D43" w14:textId="77777777" w:rsidR="00807C47" w:rsidRPr="00645757" w:rsidRDefault="00807C47" w:rsidP="00807C47">
      <w:pPr>
        <w:tabs>
          <w:tab w:val="center" w:pos="284"/>
        </w:tabs>
        <w:ind w:left="266" w:hanging="266"/>
        <w:rPr>
          <w:bCs/>
        </w:rPr>
      </w:pPr>
    </w:p>
    <w:p w14:paraId="13849641" w14:textId="77777777" w:rsidR="00807C47" w:rsidRPr="00645757" w:rsidRDefault="00807C47" w:rsidP="00807C47">
      <w:pPr>
        <w:keepNext/>
        <w:keepLines/>
        <w:tabs>
          <w:tab w:val="center" w:pos="284"/>
        </w:tabs>
        <w:ind w:left="266" w:hanging="266"/>
        <w:rPr>
          <w:b/>
        </w:rPr>
      </w:pPr>
      <w:r w:rsidRPr="00645757">
        <w:rPr>
          <w:b/>
        </w:rPr>
        <w:t>Hlavné body</w:t>
      </w:r>
    </w:p>
    <w:p w14:paraId="6084F6F4" w14:textId="77777777" w:rsidR="00807C47" w:rsidRPr="00645757" w:rsidRDefault="00807C47" w:rsidP="00807C47">
      <w:pPr>
        <w:keepNext/>
        <w:keepLines/>
        <w:tabs>
          <w:tab w:val="center" w:pos="284"/>
        </w:tabs>
        <w:ind w:left="266" w:hanging="266"/>
        <w:rPr>
          <w:bCs/>
        </w:rPr>
      </w:pPr>
    </w:p>
    <w:p w14:paraId="6802E972" w14:textId="77777777" w:rsidR="00807C47" w:rsidRPr="00645757" w:rsidRDefault="00807C47" w:rsidP="00807C47">
      <w:pPr>
        <w:rPr>
          <w:bCs/>
          <w:iCs/>
        </w:rPr>
      </w:pPr>
      <w:r w:rsidRPr="00645757">
        <w:t>EHSV:</w:t>
      </w:r>
    </w:p>
    <w:p w14:paraId="52C2AF74" w14:textId="001E19C5"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potvrdzuje svoju solidaritu</w:t>
      </w:r>
      <w:r w:rsidR="00645757">
        <w:t xml:space="preserve"> s </w:t>
      </w:r>
      <w:r w:rsidRPr="00645757">
        <w:t>ukrajinským ľudom</w:t>
      </w:r>
      <w:r w:rsidR="00645757">
        <w:t xml:space="preserve"> a </w:t>
      </w:r>
      <w:r w:rsidRPr="00645757">
        <w:t>pripomína, že</w:t>
      </w:r>
      <w:r w:rsidR="00645757">
        <w:t xml:space="preserve"> v </w:t>
      </w:r>
      <w:r w:rsidRPr="00645757">
        <w:t>dôsledku ruskej agresie voči Ukrajine utiekli pred nebezpečenstvom milióny Ukrajincov. Vyzdvihuje úlohu, ktorú zohrávali organizácie občianskej spoločnosti, keď došlo</w:t>
      </w:r>
      <w:r w:rsidR="00645757">
        <w:t xml:space="preserve"> k </w:t>
      </w:r>
      <w:r w:rsidRPr="00645757">
        <w:t>najväčšiemu prílevu vysídlených osôb</w:t>
      </w:r>
      <w:r w:rsidR="00645757">
        <w:t xml:space="preserve"> z </w:t>
      </w:r>
      <w:r w:rsidRPr="00645757">
        <w:t>Ukrajiny;</w:t>
      </w:r>
    </w:p>
    <w:p w14:paraId="11D1C458" w14:textId="1DEA8AF1"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konštatuje, že dočasná ochrana sa pre vysídlené osoby</w:t>
      </w:r>
      <w:r w:rsidR="00645757">
        <w:t xml:space="preserve"> z </w:t>
      </w:r>
      <w:r w:rsidRPr="00645757">
        <w:t>Ukrajiny ukázala ako prospešné riešenie, keďže stále neexistujú vhodné podmienky na návrat na Ukrajinu, pretože ruská agresia pokračuje. Víta rozhodnutie predĺžiť dočasnú ochranu na ďalšie obdobie;</w:t>
      </w:r>
    </w:p>
    <w:p w14:paraId="37661738" w14:textId="3F331858"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zdôrazňuje, že osoby požívajúce dočasnú ochranu potrebujú dlhodobé vyhliadky,</w:t>
      </w:r>
      <w:r w:rsidR="00645757">
        <w:t xml:space="preserve"> a </w:t>
      </w:r>
      <w:r w:rsidRPr="00645757">
        <w:t>vyzýva Európsku komisiu</w:t>
      </w:r>
      <w:r w:rsidR="00645757">
        <w:t xml:space="preserve"> a </w:t>
      </w:r>
      <w:r w:rsidRPr="00645757">
        <w:t>členské štáty, aby prijali opatrenia</w:t>
      </w:r>
      <w:r w:rsidR="00645757">
        <w:t xml:space="preserve"> s </w:t>
      </w:r>
      <w:r w:rsidRPr="00645757">
        <w:t>cieľom uľahčiť prechod na trvalejšiu formu pobytu</w:t>
      </w:r>
      <w:r w:rsidR="00645757">
        <w:t xml:space="preserve"> a </w:t>
      </w:r>
      <w:r w:rsidRPr="00645757">
        <w:t>postupné upustenie od dočasnej ochrany;</w:t>
      </w:r>
    </w:p>
    <w:p w14:paraId="6295A279" w14:textId="0FDB7EBD"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pripomína, že</w:t>
      </w:r>
      <w:r w:rsidR="00645757">
        <w:t xml:space="preserve"> v </w:t>
      </w:r>
      <w:r w:rsidRPr="00645757">
        <w:t>dôsledku situácie súvisiacej</w:t>
      </w:r>
      <w:r w:rsidR="00645757">
        <w:t xml:space="preserve"> s </w:t>
      </w:r>
      <w:r w:rsidRPr="00645757">
        <w:t>príchodom Ukrajincov do EÚ vzrástol tlak na systémy verejných služieb členských štátov,</w:t>
      </w:r>
      <w:r w:rsidR="00645757">
        <w:t xml:space="preserve"> a </w:t>
      </w:r>
      <w:r w:rsidRPr="00645757">
        <w:t>zdôrazňuje, že je potrebné zvýšiť investície do vysokokvalitných služieb všeobecného záujmu vrátane bývania, ktoré by mali byť za rovnakých podmienok dostupné pre všetky osoby</w:t>
      </w:r>
      <w:r w:rsidR="00645757">
        <w:t xml:space="preserve"> s </w:t>
      </w:r>
      <w:r w:rsidRPr="00645757">
        <w:t>oprávneným pobytom</w:t>
      </w:r>
      <w:r w:rsidR="00645757">
        <w:t xml:space="preserve"> v </w:t>
      </w:r>
      <w:r w:rsidRPr="00645757">
        <w:t>EÚ;</w:t>
      </w:r>
    </w:p>
    <w:p w14:paraId="2186E1B6" w14:textId="114A6B9D"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konštatuje, že by sa malo vyvinúť úsilie na zabezpečenie úspešnej integrácie Ukrajincov</w:t>
      </w:r>
      <w:r w:rsidR="00645757">
        <w:t xml:space="preserve"> v </w:t>
      </w:r>
      <w:r w:rsidRPr="00645757">
        <w:t>EÚ prostredníctvom jazykových kurzov, podpory iniciatív miestnych komunít, vzdelávania ukrajinských detí</w:t>
      </w:r>
      <w:r w:rsidR="00645757">
        <w:t xml:space="preserve"> v </w:t>
      </w:r>
      <w:r w:rsidRPr="00645757">
        <w:t>členských štátoch, ako aj zapojenia ukrajinských občanov do organizácií pôsobiacich</w:t>
      </w:r>
      <w:r w:rsidR="00645757">
        <w:t xml:space="preserve"> v </w:t>
      </w:r>
      <w:r w:rsidRPr="00645757">
        <w:t>ich miestnych komunitách, pričom by sa malo bojovať proti dezinformáciám</w:t>
      </w:r>
      <w:r w:rsidR="00645757">
        <w:t xml:space="preserve"> a </w:t>
      </w:r>
      <w:r w:rsidRPr="00645757">
        <w:t>ruským spravodajským aktivitám;</w:t>
      </w:r>
    </w:p>
    <w:p w14:paraId="4E8DD038" w14:textId="3CDCF696"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t>zdôrazňuje, že je dôležité vytvoriť pre Ukrajincov spravodlivé pracovné podmienky</w:t>
      </w:r>
      <w:r w:rsidR="00645757">
        <w:t xml:space="preserve"> v </w:t>
      </w:r>
      <w:r w:rsidRPr="00645757">
        <w:t>EÚ aj na Ukrajine. Od členských štátov sa očakáva, že zakročia proti vykorisťovaniu Ukrajincov</w:t>
      </w:r>
      <w:r w:rsidR="00645757">
        <w:t xml:space="preserve"> a </w:t>
      </w:r>
      <w:r w:rsidRPr="00645757">
        <w:t>nerovnakému zaobchádzaniu</w:t>
      </w:r>
      <w:r w:rsidR="00645757">
        <w:t xml:space="preserve"> s </w:t>
      </w:r>
      <w:r w:rsidRPr="00645757">
        <w:t>nimi</w:t>
      </w:r>
      <w:r w:rsidR="00645757">
        <w:t xml:space="preserve"> v </w:t>
      </w:r>
      <w:r w:rsidRPr="00645757">
        <w:t>zamestnaní, zatiaľ čo ukrajinská vláda by mala nájsť priaznivé riešenia pre pracovníkov</w:t>
      </w:r>
      <w:r w:rsidR="00645757">
        <w:t xml:space="preserve"> a </w:t>
      </w:r>
      <w:r w:rsidRPr="00645757">
        <w:t>odborové činnosti prostredníctvom dialógu so sociálnymi partnermi.</w:t>
      </w:r>
    </w:p>
    <w:p w14:paraId="3179CAAA" w14:textId="77777777" w:rsidR="00807C47" w:rsidRPr="00645757" w:rsidRDefault="00807C47" w:rsidP="00807C4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005D40FE" w14:textId="77777777" w:rsidTr="000F1E5F">
        <w:tc>
          <w:tcPr>
            <w:tcW w:w="1077" w:type="pct"/>
          </w:tcPr>
          <w:p w14:paraId="286098D3" w14:textId="77777777" w:rsidR="00807C47" w:rsidRPr="00645757" w:rsidRDefault="00807C47" w:rsidP="000F1E5F">
            <w:pPr>
              <w:rPr>
                <w:i/>
              </w:rPr>
            </w:pPr>
            <w:r w:rsidRPr="00645757">
              <w:rPr>
                <w:b/>
                <w:i/>
              </w:rPr>
              <w:t>Kontakt:</w:t>
            </w:r>
          </w:p>
        </w:tc>
        <w:tc>
          <w:tcPr>
            <w:tcW w:w="3923" w:type="pct"/>
          </w:tcPr>
          <w:p w14:paraId="1CD3B1EB" w14:textId="77777777" w:rsidR="00807C47" w:rsidRPr="00645757" w:rsidRDefault="00807C47" w:rsidP="000F1E5F">
            <w:pPr>
              <w:rPr>
                <w:i/>
              </w:rPr>
            </w:pPr>
            <w:r w:rsidRPr="00645757">
              <w:rPr>
                <w:i/>
              </w:rPr>
              <w:t>Katarína GRZESZCZYK ALBRECHTOVÁ</w:t>
            </w:r>
          </w:p>
        </w:tc>
      </w:tr>
      <w:tr w:rsidR="00807C47" w:rsidRPr="00645757" w14:paraId="71DA21F1" w14:textId="77777777" w:rsidTr="000F1E5F">
        <w:tc>
          <w:tcPr>
            <w:tcW w:w="1077" w:type="pct"/>
          </w:tcPr>
          <w:p w14:paraId="149301BB" w14:textId="77777777" w:rsidR="00807C47" w:rsidRPr="00645757" w:rsidRDefault="00807C47" w:rsidP="000F1E5F">
            <w:pPr>
              <w:rPr>
                <w:i/>
              </w:rPr>
            </w:pPr>
            <w:r w:rsidRPr="00645757">
              <w:rPr>
                <w:i/>
              </w:rPr>
              <w:t>Tel.:</w:t>
            </w:r>
          </w:p>
        </w:tc>
        <w:tc>
          <w:tcPr>
            <w:tcW w:w="3923" w:type="pct"/>
          </w:tcPr>
          <w:p w14:paraId="66B611EA" w14:textId="77777777" w:rsidR="00807C47" w:rsidRPr="00645757" w:rsidRDefault="00807C47" w:rsidP="000F1E5F">
            <w:pPr>
              <w:rPr>
                <w:i/>
              </w:rPr>
            </w:pPr>
            <w:r w:rsidRPr="00645757">
              <w:rPr>
                <w:i/>
              </w:rPr>
              <w:t>+32 25469460</w:t>
            </w:r>
          </w:p>
        </w:tc>
      </w:tr>
      <w:tr w:rsidR="00807C47" w:rsidRPr="00645757" w14:paraId="7DEECC5F" w14:textId="77777777" w:rsidTr="000F1E5F">
        <w:tc>
          <w:tcPr>
            <w:tcW w:w="1077" w:type="pct"/>
          </w:tcPr>
          <w:p w14:paraId="58550818" w14:textId="77777777" w:rsidR="00807C47" w:rsidRPr="00645757" w:rsidRDefault="00807C47" w:rsidP="000F1E5F">
            <w:pPr>
              <w:rPr>
                <w:i/>
              </w:rPr>
            </w:pPr>
            <w:r w:rsidRPr="00645757">
              <w:rPr>
                <w:i/>
              </w:rPr>
              <w:t>E-mail:</w:t>
            </w:r>
          </w:p>
        </w:tc>
        <w:tc>
          <w:tcPr>
            <w:tcW w:w="3923" w:type="pct"/>
          </w:tcPr>
          <w:p w14:paraId="51247023" w14:textId="77777777" w:rsidR="00807C47" w:rsidRPr="00645757" w:rsidRDefault="00807C47" w:rsidP="000F1E5F">
            <w:pPr>
              <w:rPr>
                <w:i/>
              </w:rPr>
            </w:pPr>
            <w:hyperlink r:id="rId47" w:history="1">
              <w:r w:rsidRPr="00645757">
                <w:rPr>
                  <w:rStyle w:val="Hyperlink"/>
                  <w:i/>
                </w:rPr>
                <w:t>Katarina.Albrechtova@eesc.europa.eu</w:t>
              </w:r>
            </w:hyperlink>
            <w:r w:rsidRPr="00645757">
              <w:rPr>
                <w:i/>
              </w:rPr>
              <w:t xml:space="preserve"> </w:t>
            </w:r>
          </w:p>
        </w:tc>
      </w:tr>
    </w:tbl>
    <w:p w14:paraId="4464305F" w14:textId="38E0F292" w:rsidR="004503DC" w:rsidRPr="00645757" w:rsidRDefault="004503DC">
      <w:pPr>
        <w:spacing w:after="160" w:line="259" w:lineRule="auto"/>
        <w:jc w:val="left"/>
      </w:pPr>
    </w:p>
    <w:p w14:paraId="28C69286" w14:textId="77777777" w:rsidR="004503DC" w:rsidRPr="00645757" w:rsidRDefault="004503DC">
      <w:pPr>
        <w:spacing w:after="160" w:line="259" w:lineRule="auto"/>
        <w:jc w:val="left"/>
      </w:pPr>
      <w:r w:rsidRPr="00645757">
        <w:br w:type="page"/>
      </w:r>
    </w:p>
    <w:p w14:paraId="54681B02" w14:textId="77777777" w:rsidR="006D2C8A" w:rsidRPr="00645757" w:rsidRDefault="006D2C8A">
      <w:pPr>
        <w:spacing w:after="160" w:line="259" w:lineRule="auto"/>
        <w:jc w:val="left"/>
      </w:pPr>
    </w:p>
    <w:p w14:paraId="528C73AA" w14:textId="46DE726B" w:rsidR="006D2C8A" w:rsidRPr="00645757" w:rsidRDefault="006D2C8A" w:rsidP="006D2C8A">
      <w:pPr>
        <w:pStyle w:val="Heading1"/>
        <w:rPr>
          <w:b/>
        </w:rPr>
      </w:pPr>
      <w:bookmarkStart w:id="12" w:name="_Toc217296980"/>
      <w:r w:rsidRPr="00645757">
        <w:rPr>
          <w:b/>
          <w:color w:val="222A35" w:themeColor="text2" w:themeShade="80"/>
        </w:rPr>
        <w:t>PORADNÁ KOMISIA PRE PRIEMYSELNÉ ZMENY</w:t>
      </w:r>
      <w:bookmarkEnd w:id="12"/>
    </w:p>
    <w:p w14:paraId="713E272F" w14:textId="77777777" w:rsidR="006D2C8A" w:rsidRPr="00645757" w:rsidRDefault="006D2C8A" w:rsidP="006D2C8A"/>
    <w:p w14:paraId="7383D97E" w14:textId="7EEAE8A3" w:rsidR="00ED76AC" w:rsidRPr="00645757" w:rsidRDefault="00391828" w:rsidP="00CB245F">
      <w:pPr>
        <w:widowControl w:val="0"/>
        <w:numPr>
          <w:ilvl w:val="0"/>
          <w:numId w:val="4"/>
        </w:numPr>
        <w:overflowPunct w:val="0"/>
        <w:autoSpaceDE w:val="0"/>
        <w:autoSpaceDN w:val="0"/>
        <w:adjustRightInd w:val="0"/>
        <w:spacing w:after="120"/>
        <w:ind w:hanging="567"/>
        <w:textAlignment w:val="baseline"/>
        <w:rPr>
          <w:sz w:val="20"/>
          <w:szCs w:val="20"/>
        </w:rPr>
      </w:pPr>
      <w:hyperlink r:id="rId48" w:history="1">
        <w:hyperlink r:id="rId49" w:history="1">
          <w:r w:rsidR="00807C47" w:rsidRPr="00645757">
            <w:rPr>
              <w:rStyle w:val="Hyperlink"/>
              <w:b/>
              <w:i/>
              <w:sz w:val="28"/>
            </w:rPr>
            <w:t>Uľahčenie potenciálu trvalých materiálov</w:t>
          </w:r>
          <w:r w:rsidR="00645757">
            <w:rPr>
              <w:rStyle w:val="Hyperlink"/>
              <w:b/>
              <w:i/>
              <w:sz w:val="28"/>
            </w:rPr>
            <w:t xml:space="preserve"> v </w:t>
          </w:r>
          <w:r w:rsidR="00807C47" w:rsidRPr="00645757">
            <w:rPr>
              <w:rStyle w:val="Hyperlink"/>
              <w:b/>
              <w:i/>
              <w:sz w:val="28"/>
            </w:rPr>
            <w:t>obehovom hospodárstve EÚ</w:t>
          </w:r>
        </w:hyperlink>
      </w:hyperlink>
    </w:p>
    <w:p w14:paraId="243BA033" w14:textId="77777777" w:rsidR="00ED76AC" w:rsidRPr="00645757" w:rsidRDefault="00ED76AC" w:rsidP="00ED76AC">
      <w:pPr>
        <w:widowControl w:val="0"/>
        <w:overflowPunct w:val="0"/>
        <w:autoSpaceDE w:val="0"/>
        <w:autoSpaceDN w:val="0"/>
        <w:adjustRightInd w:val="0"/>
        <w:ind w:left="567"/>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6A1E8312" w14:textId="77777777" w:rsidTr="000F1E5F">
        <w:tc>
          <w:tcPr>
            <w:tcW w:w="1077" w:type="pct"/>
          </w:tcPr>
          <w:p w14:paraId="287E2650" w14:textId="77777777" w:rsidR="00807C47" w:rsidRPr="00645757" w:rsidRDefault="00807C47" w:rsidP="000F1E5F">
            <w:pPr>
              <w:tabs>
                <w:tab w:val="center" w:pos="284"/>
              </w:tabs>
              <w:ind w:left="266" w:hanging="266"/>
              <w:rPr>
                <w:b/>
              </w:rPr>
            </w:pPr>
            <w:r w:rsidRPr="00645757">
              <w:rPr>
                <w:b/>
              </w:rPr>
              <w:t>Spravodajca:</w:t>
            </w:r>
          </w:p>
        </w:tc>
        <w:tc>
          <w:tcPr>
            <w:tcW w:w="3923" w:type="pct"/>
          </w:tcPr>
          <w:p w14:paraId="0A90A534" w14:textId="77777777" w:rsidR="00807C47" w:rsidRPr="00645757" w:rsidRDefault="00807C47" w:rsidP="000F1E5F">
            <w:pPr>
              <w:tabs>
                <w:tab w:val="center" w:pos="284"/>
              </w:tabs>
              <w:ind w:left="266" w:right="-3091" w:hanging="266"/>
            </w:pPr>
            <w:r w:rsidRPr="00645757">
              <w:t>Andrea MONE (skupina Pracovníci – IT)</w:t>
            </w:r>
          </w:p>
        </w:tc>
      </w:tr>
      <w:tr w:rsidR="00807C47" w:rsidRPr="00645757" w14:paraId="45A73DC3" w14:textId="77777777" w:rsidTr="000F1E5F">
        <w:tc>
          <w:tcPr>
            <w:tcW w:w="1077" w:type="pct"/>
          </w:tcPr>
          <w:p w14:paraId="2F9738CF" w14:textId="77777777" w:rsidR="00807C47" w:rsidRPr="00645757" w:rsidRDefault="00807C47" w:rsidP="000F1E5F">
            <w:pPr>
              <w:tabs>
                <w:tab w:val="center" w:pos="284"/>
              </w:tabs>
              <w:ind w:left="266" w:hanging="266"/>
              <w:rPr>
                <w:b/>
              </w:rPr>
            </w:pPr>
            <w:r w:rsidRPr="00645757">
              <w:rPr>
                <w:b/>
              </w:rPr>
              <w:t>Spoluspravodajca:</w:t>
            </w:r>
          </w:p>
        </w:tc>
        <w:tc>
          <w:tcPr>
            <w:tcW w:w="3923" w:type="pct"/>
          </w:tcPr>
          <w:p w14:paraId="576B2CEC" w14:textId="77777777" w:rsidR="00807C47" w:rsidRPr="00645757" w:rsidRDefault="00807C47" w:rsidP="000F1E5F">
            <w:pPr>
              <w:tabs>
                <w:tab w:val="center" w:pos="284"/>
              </w:tabs>
              <w:ind w:left="266" w:right="-3091" w:hanging="266"/>
            </w:pPr>
            <w:r w:rsidRPr="00645757">
              <w:t>Michal PINTÉR (skupina Zamestnávatelia – SK)</w:t>
            </w:r>
          </w:p>
        </w:tc>
      </w:tr>
      <w:tr w:rsidR="00807C47" w:rsidRPr="00645757" w14:paraId="796FB10B" w14:textId="77777777" w:rsidTr="000F1E5F">
        <w:tc>
          <w:tcPr>
            <w:tcW w:w="1077" w:type="pct"/>
          </w:tcPr>
          <w:p w14:paraId="3BF94E7D"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w:t>
            </w:r>
          </w:p>
        </w:tc>
        <w:tc>
          <w:tcPr>
            <w:tcW w:w="3923" w:type="pct"/>
          </w:tcPr>
          <w:p w14:paraId="6644D36C" w14:textId="77777777" w:rsidR="00807C47" w:rsidRPr="00645757" w:rsidRDefault="00807C47" w:rsidP="000F1E5F">
            <w:pPr>
              <w:tabs>
                <w:tab w:val="center" w:pos="284"/>
              </w:tabs>
              <w:ind w:left="266" w:right="-3091" w:hanging="266"/>
            </w:pPr>
            <w:r w:rsidRPr="00645757">
              <w:t>EESC-2025-02364-00-00-AC</w:t>
            </w:r>
          </w:p>
        </w:tc>
      </w:tr>
    </w:tbl>
    <w:p w14:paraId="4CE7F8E4" w14:textId="77777777" w:rsidR="00807C47" w:rsidRPr="00645757" w:rsidRDefault="00807C47" w:rsidP="00807C47">
      <w:pPr>
        <w:tabs>
          <w:tab w:val="center" w:pos="284"/>
        </w:tabs>
        <w:ind w:left="266" w:hanging="266"/>
        <w:rPr>
          <w:b/>
        </w:rPr>
      </w:pPr>
    </w:p>
    <w:p w14:paraId="7A443371" w14:textId="77777777" w:rsidR="00807C47" w:rsidRPr="00645757" w:rsidRDefault="00807C47" w:rsidP="00807C47">
      <w:pPr>
        <w:keepNext/>
        <w:keepLines/>
        <w:tabs>
          <w:tab w:val="center" w:pos="284"/>
        </w:tabs>
        <w:ind w:left="266" w:hanging="266"/>
        <w:rPr>
          <w:b/>
        </w:rPr>
      </w:pPr>
      <w:r w:rsidRPr="00645757">
        <w:rPr>
          <w:b/>
        </w:rPr>
        <w:t>Hlavné body</w:t>
      </w:r>
    </w:p>
    <w:p w14:paraId="2576767B" w14:textId="77777777" w:rsidR="00807C47" w:rsidRPr="00645757" w:rsidRDefault="00807C47" w:rsidP="00807C47">
      <w:pPr>
        <w:keepNext/>
        <w:keepLines/>
        <w:tabs>
          <w:tab w:val="center" w:pos="284"/>
        </w:tabs>
        <w:ind w:left="266" w:hanging="266"/>
        <w:rPr>
          <w:bCs/>
        </w:rPr>
      </w:pPr>
    </w:p>
    <w:p w14:paraId="4CAC0D0C" w14:textId="77777777" w:rsidR="00807C47" w:rsidRPr="00645757" w:rsidRDefault="00807C47" w:rsidP="00807C47">
      <w:pPr>
        <w:rPr>
          <w:bCs/>
          <w:iCs/>
        </w:rPr>
      </w:pPr>
      <w:r w:rsidRPr="00645757">
        <w:t>EHSV:</w:t>
      </w:r>
    </w:p>
    <w:p w14:paraId="7F7D6052" w14:textId="2C036739"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uznáva kľúčovú úlohu trvalých materiálov</w:t>
      </w:r>
      <w:r w:rsidRPr="00645757">
        <w:t xml:space="preserve"> pri umožňovaní skutočného obehového hospodárstva, najmä pokiaľ ide</w:t>
      </w:r>
      <w:r w:rsidR="00645757">
        <w:t xml:space="preserve"> o </w:t>
      </w:r>
      <w:r w:rsidRPr="00645757">
        <w:t>obaly,</w:t>
      </w:r>
      <w:r w:rsidR="00645757">
        <w:t xml:space="preserve"> a </w:t>
      </w:r>
      <w:r w:rsidRPr="00645757">
        <w:t xml:space="preserve">vyzýva, aby sa </w:t>
      </w:r>
      <w:r w:rsidRPr="00645757">
        <w:rPr>
          <w:b/>
        </w:rPr>
        <w:t>výslovne uznali</w:t>
      </w:r>
      <w:r w:rsidR="00645757">
        <w:rPr>
          <w:b/>
        </w:rPr>
        <w:t xml:space="preserve"> v </w:t>
      </w:r>
      <w:r w:rsidRPr="00645757">
        <w:rPr>
          <w:b/>
        </w:rPr>
        <w:t>právnych predpisoch EÚ</w:t>
      </w:r>
      <w:r w:rsidRPr="00645757">
        <w:t>;</w:t>
      </w:r>
    </w:p>
    <w:p w14:paraId="07E51743" w14:textId="65FA4793"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podporuje ambíciu EÚ dosiahnuť 90</w:t>
      </w:r>
      <w:r w:rsidR="00645757">
        <w:rPr>
          <w:b/>
        </w:rPr>
        <w:t> %</w:t>
      </w:r>
      <w:r w:rsidRPr="00645757">
        <w:rPr>
          <w:b/>
        </w:rPr>
        <w:t xml:space="preserve"> mieru triedeného zberu odpadu</w:t>
      </w:r>
      <w:r w:rsidR="00645757">
        <w:rPr>
          <w:b/>
        </w:rPr>
        <w:t xml:space="preserve"> z </w:t>
      </w:r>
      <w:r w:rsidRPr="00645757">
        <w:rPr>
          <w:b/>
        </w:rPr>
        <w:t>obalov do roku 2030</w:t>
      </w:r>
      <w:r w:rsidRPr="00645757">
        <w:t>, pričom zdôrazňuje, že pokročilé</w:t>
      </w:r>
      <w:r w:rsidR="00645757">
        <w:t xml:space="preserve"> a </w:t>
      </w:r>
      <w:r w:rsidRPr="00645757">
        <w:t>dobre financované systémy zberu, triedenia</w:t>
      </w:r>
      <w:r w:rsidR="00645757">
        <w:t xml:space="preserve"> a </w:t>
      </w:r>
      <w:r w:rsidRPr="00645757">
        <w:t>vysokokvalitnej recyklácie sú nevyhnutné na maximalizáciu zachovávania materiálov</w:t>
      </w:r>
      <w:r w:rsidR="00645757">
        <w:t xml:space="preserve"> a </w:t>
      </w:r>
      <w:r w:rsidRPr="00645757">
        <w:t>umožnenie recyklácie trvalých materiálov</w:t>
      </w:r>
      <w:r w:rsidR="00645757">
        <w:t xml:space="preserve"> v </w:t>
      </w:r>
      <w:r w:rsidRPr="00645757">
        <w:t>uzavretom cykle;</w:t>
      </w:r>
    </w:p>
    <w:p w14:paraId="7ABA2759" w14:textId="7C62A0DE"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žiada posilniť</w:t>
      </w:r>
      <w:r w:rsidR="00645757">
        <w:rPr>
          <w:b/>
        </w:rPr>
        <w:t xml:space="preserve"> a </w:t>
      </w:r>
      <w:r w:rsidRPr="00645757">
        <w:rPr>
          <w:b/>
        </w:rPr>
        <w:t>harmonizovať systémy rozšírenej zodpovednosti výrobcov</w:t>
      </w:r>
      <w:r w:rsidRPr="00645757">
        <w:t xml:space="preserve"> vo všetkých členských štátoch EÚ. Takýto prístup zahŕňa zavedenie </w:t>
      </w:r>
      <w:r w:rsidRPr="00645757">
        <w:rPr>
          <w:b/>
        </w:rPr>
        <w:t>poplatkov podľa ekologickosti na základe transparentných</w:t>
      </w:r>
      <w:r w:rsidR="00645757">
        <w:rPr>
          <w:b/>
        </w:rPr>
        <w:t xml:space="preserve"> a </w:t>
      </w:r>
      <w:r w:rsidRPr="00645757">
        <w:rPr>
          <w:b/>
        </w:rPr>
        <w:t>konzistentných kritérií</w:t>
      </w:r>
      <w:r w:rsidRPr="00645757">
        <w:t>, zaistenie primeraných štruktúr poplatkov</w:t>
      </w:r>
      <w:r w:rsidR="00645757">
        <w:t xml:space="preserve"> a </w:t>
      </w:r>
      <w:r w:rsidRPr="00645757">
        <w:rPr>
          <w:b/>
        </w:rPr>
        <w:t>účelové viazanie príjmov</w:t>
      </w:r>
      <w:r w:rsidR="00645757">
        <w:rPr>
          <w:b/>
        </w:rPr>
        <w:t xml:space="preserve"> z </w:t>
      </w:r>
      <w:r w:rsidRPr="00645757">
        <w:rPr>
          <w:b/>
        </w:rPr>
        <w:t>rozšírenej zodpovednosti výrobcu</w:t>
      </w:r>
      <w:r w:rsidRPr="00645757">
        <w:t xml:space="preserve"> na opätovné investovanie do rovnakého materiálového toku;</w:t>
      </w:r>
    </w:p>
    <w:p w14:paraId="52848282" w14:textId="31D1FA76"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konštatuje, že je potrebné prioritne investovať</w:t>
      </w:r>
      <w:r w:rsidRPr="00645757">
        <w:t xml:space="preserve"> do modernej infraštruktúry na triedený zber, triedenie</w:t>
      </w:r>
      <w:r w:rsidR="00645757">
        <w:t xml:space="preserve"> a </w:t>
      </w:r>
      <w:r w:rsidRPr="00645757">
        <w:t>recykláciu odpadu</w:t>
      </w:r>
      <w:r w:rsidR="00645757">
        <w:t xml:space="preserve"> z </w:t>
      </w:r>
      <w:r w:rsidRPr="00645757">
        <w:t xml:space="preserve">obalov. Zdôrazňuje, že </w:t>
      </w:r>
      <w:r w:rsidRPr="00645757">
        <w:rPr>
          <w:b/>
        </w:rPr>
        <w:t>dodatočná podpora by sa mala zamerať na regióny,</w:t>
      </w:r>
      <w:r w:rsidR="00645757">
        <w:rPr>
          <w:b/>
        </w:rPr>
        <w:t xml:space="preserve"> v </w:t>
      </w:r>
      <w:r w:rsidRPr="00645757">
        <w:rPr>
          <w:b/>
        </w:rPr>
        <w:t>ktorých je táto infraštruktúra menej rozvinutá alebo regióny</w:t>
      </w:r>
      <w:r w:rsidR="00645757">
        <w:rPr>
          <w:b/>
        </w:rPr>
        <w:t xml:space="preserve"> s </w:t>
      </w:r>
      <w:r w:rsidRPr="00645757">
        <w:rPr>
          <w:b/>
        </w:rPr>
        <w:t>obmedzenou investičnou kapacitou</w:t>
      </w:r>
      <w:r w:rsidRPr="00645757">
        <w:t>, aby sa zabezpečilo, že sa na žiadny členský štát nezabudne;</w:t>
      </w:r>
    </w:p>
    <w:p w14:paraId="408F94C3" w14:textId="223E58B6"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odporúča komplexné celoeurópske posúdenie správania občanov, pokiaľ ide</w:t>
      </w:r>
      <w:r w:rsidR="00645757">
        <w:rPr>
          <w:b/>
        </w:rPr>
        <w:t xml:space="preserve"> o </w:t>
      </w:r>
      <w:r w:rsidRPr="00645757">
        <w:rPr>
          <w:b/>
        </w:rPr>
        <w:t>recykláciu</w:t>
      </w:r>
      <w:r w:rsidRPr="00645757">
        <w:t>,</w:t>
      </w:r>
      <w:r w:rsidR="00645757">
        <w:t xml:space="preserve"> s </w:t>
      </w:r>
      <w:r w:rsidRPr="00645757">
        <w:t>cieľom identifikovať nedostatky</w:t>
      </w:r>
      <w:r w:rsidR="00645757">
        <w:t xml:space="preserve"> a </w:t>
      </w:r>
      <w:r w:rsidRPr="00645757">
        <w:t>najlepšie postupy. Na základe tohto posúdenia EHSV požaduje opatrenia, ktorými sa zvýši účasť spotrebiteľov na triedení odpadu</w:t>
      </w:r>
      <w:r w:rsidR="00645757">
        <w:t xml:space="preserve"> z </w:t>
      </w:r>
      <w:r w:rsidRPr="00645757">
        <w:t>obalov, pričom uznáva, že triedenie</w:t>
      </w:r>
      <w:r w:rsidR="00645757">
        <w:t xml:space="preserve"> v </w:t>
      </w:r>
      <w:r w:rsidRPr="00645757">
        <w:t>domácnostiach je nevyhnutným prvým krokom</w:t>
      </w:r>
      <w:r w:rsidR="00645757">
        <w:t xml:space="preserve"> k </w:t>
      </w:r>
      <w:r w:rsidRPr="00645757">
        <w:t>účinnej recyklácii;</w:t>
      </w:r>
    </w:p>
    <w:p w14:paraId="5F4AC704" w14:textId="622B96D3"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zdôrazňuje význam sociálne udržateľného prechodu</w:t>
      </w:r>
      <w:r w:rsidRPr="00645757">
        <w:t xml:space="preserve"> na obehové hospodárstvo</w:t>
      </w:r>
      <w:r w:rsidR="00645757">
        <w:t xml:space="preserve"> a </w:t>
      </w:r>
      <w:r w:rsidRPr="00645757">
        <w:t>naliehavo vyzýva na včasné predvídanie vplyvov na trh práce. Vyzýva na zaručenie prístupu</w:t>
      </w:r>
      <w:r w:rsidR="00645757">
        <w:t xml:space="preserve"> k </w:t>
      </w:r>
      <w:r w:rsidRPr="00645757">
        <w:rPr>
          <w:b/>
        </w:rPr>
        <w:t>príležitostiam na zvyšovanie úrovne zručností</w:t>
      </w:r>
      <w:r w:rsidR="00645757">
        <w:rPr>
          <w:b/>
        </w:rPr>
        <w:t xml:space="preserve"> a </w:t>
      </w:r>
      <w:r w:rsidRPr="00645757">
        <w:rPr>
          <w:b/>
        </w:rPr>
        <w:t>rekvalifikáciu</w:t>
      </w:r>
      <w:r w:rsidRPr="00645757">
        <w:t>, aby sa podporil bezproblémový prechod zo zamestnania do zamestnania. Týmto spôsobom sa zabezpečí, že pracovníci budú môcť</w:t>
      </w:r>
      <w:r w:rsidR="00645757">
        <w:t xml:space="preserve"> v </w:t>
      </w:r>
      <w:r w:rsidRPr="00645757">
        <w:t>plnej miere využívať vyvíjajúce sa obehové hospodárstvo</w:t>
      </w:r>
      <w:r w:rsidR="00645757">
        <w:t xml:space="preserve"> a </w:t>
      </w:r>
      <w:r w:rsidRPr="00645757">
        <w:t>zúčastňovať sa na ňom;</w:t>
      </w:r>
    </w:p>
    <w:p w14:paraId="52C1DDE9" w14:textId="0ABAEFF4" w:rsidR="00807C47" w:rsidRPr="00645757" w:rsidRDefault="00807C47" w:rsidP="00CB245F">
      <w:pPr>
        <w:pStyle w:val="ListParagraph"/>
        <w:numPr>
          <w:ilvl w:val="0"/>
          <w:numId w:val="5"/>
        </w:numPr>
        <w:overflowPunct w:val="0"/>
        <w:autoSpaceDE w:val="0"/>
        <w:autoSpaceDN w:val="0"/>
        <w:adjustRightInd w:val="0"/>
        <w:ind w:left="284" w:hanging="284"/>
        <w:textAlignment w:val="baseline"/>
      </w:pPr>
      <w:r w:rsidRPr="00645757">
        <w:rPr>
          <w:b/>
        </w:rPr>
        <w:t>zasadzuje sa za silnejší sociálny dialóg</w:t>
      </w:r>
      <w:r w:rsidR="00645757">
        <w:rPr>
          <w:b/>
        </w:rPr>
        <w:t xml:space="preserve"> a </w:t>
      </w:r>
      <w:r w:rsidRPr="00645757">
        <w:rPr>
          <w:b/>
        </w:rPr>
        <w:t>kolektívne vyjednávanie na všetkých úrovniach</w:t>
      </w:r>
      <w:r w:rsidRPr="00645757">
        <w:t>, aj na podnikovej úrovni, aby sa zabezpečilo, že pracovníci budú informovaní, konzultovaní</w:t>
      </w:r>
      <w:r w:rsidR="00645757">
        <w:t xml:space="preserve"> a </w:t>
      </w:r>
      <w:r w:rsidRPr="00645757">
        <w:t>zapojení do prechodu na obehové obchodné modely.</w:t>
      </w:r>
    </w:p>
    <w:p w14:paraId="726B1E57" w14:textId="77777777" w:rsidR="00807C47" w:rsidRPr="00645757" w:rsidRDefault="00807C47" w:rsidP="00807C47">
      <w:pPr>
        <w:pStyle w:val="NormalWeb"/>
        <w:spacing w:before="0" w:beforeAutospacing="0" w:after="0" w:afterAutospacing="0" w:line="288" w:lineRule="auto"/>
        <w:ind w:left="567" w:hanging="567"/>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0816BC85" w14:textId="77777777" w:rsidTr="000F1E5F">
        <w:tc>
          <w:tcPr>
            <w:tcW w:w="1077" w:type="pct"/>
          </w:tcPr>
          <w:p w14:paraId="1277E2A0" w14:textId="77777777" w:rsidR="00807C47" w:rsidRPr="00645757" w:rsidRDefault="00807C47" w:rsidP="000F1E5F">
            <w:pPr>
              <w:rPr>
                <w:i/>
              </w:rPr>
            </w:pPr>
            <w:r w:rsidRPr="00645757">
              <w:rPr>
                <w:b/>
                <w:i/>
              </w:rPr>
              <w:t>Kontakt:</w:t>
            </w:r>
          </w:p>
        </w:tc>
        <w:tc>
          <w:tcPr>
            <w:tcW w:w="3923" w:type="pct"/>
          </w:tcPr>
          <w:p w14:paraId="1C3DC0B6" w14:textId="77777777" w:rsidR="00807C47" w:rsidRPr="00645757" w:rsidRDefault="00807C47" w:rsidP="000F1E5F">
            <w:pPr>
              <w:rPr>
                <w:i/>
              </w:rPr>
            </w:pPr>
            <w:r w:rsidRPr="00645757">
              <w:rPr>
                <w:i/>
              </w:rPr>
              <w:t>Adam DORYWALSKI</w:t>
            </w:r>
          </w:p>
        </w:tc>
      </w:tr>
      <w:tr w:rsidR="00807C47" w:rsidRPr="00645757" w14:paraId="5885D37A" w14:textId="77777777" w:rsidTr="000F1E5F">
        <w:tc>
          <w:tcPr>
            <w:tcW w:w="1077" w:type="pct"/>
          </w:tcPr>
          <w:p w14:paraId="6B4AE8D8" w14:textId="77777777" w:rsidR="00807C47" w:rsidRPr="00645757" w:rsidRDefault="00807C47" w:rsidP="000F1E5F">
            <w:pPr>
              <w:rPr>
                <w:i/>
              </w:rPr>
            </w:pPr>
            <w:r w:rsidRPr="00645757">
              <w:rPr>
                <w:i/>
              </w:rPr>
              <w:lastRenderedPageBreak/>
              <w:t>Tel.:</w:t>
            </w:r>
          </w:p>
        </w:tc>
        <w:tc>
          <w:tcPr>
            <w:tcW w:w="3923" w:type="pct"/>
          </w:tcPr>
          <w:p w14:paraId="33D39EF4" w14:textId="77777777" w:rsidR="00807C47" w:rsidRPr="00645757" w:rsidRDefault="00807C47" w:rsidP="000F1E5F">
            <w:pPr>
              <w:rPr>
                <w:i/>
              </w:rPr>
            </w:pPr>
            <w:r w:rsidRPr="00645757">
              <w:rPr>
                <w:i/>
              </w:rPr>
              <w:t>+32 2 546 9397</w:t>
            </w:r>
          </w:p>
        </w:tc>
      </w:tr>
      <w:tr w:rsidR="00807C47" w:rsidRPr="00645757" w14:paraId="38F7EE1D" w14:textId="77777777" w:rsidTr="000F1E5F">
        <w:tc>
          <w:tcPr>
            <w:tcW w:w="1077" w:type="pct"/>
          </w:tcPr>
          <w:p w14:paraId="210ECB2F" w14:textId="77777777" w:rsidR="00807C47" w:rsidRPr="00645757" w:rsidRDefault="00807C47" w:rsidP="000F1E5F">
            <w:pPr>
              <w:rPr>
                <w:i/>
              </w:rPr>
            </w:pPr>
            <w:r w:rsidRPr="00645757">
              <w:rPr>
                <w:i/>
              </w:rPr>
              <w:t>E-mail:</w:t>
            </w:r>
          </w:p>
        </w:tc>
        <w:tc>
          <w:tcPr>
            <w:tcW w:w="3923" w:type="pct"/>
          </w:tcPr>
          <w:p w14:paraId="4F959813" w14:textId="77777777" w:rsidR="00807C47" w:rsidRPr="00645757" w:rsidRDefault="00807C47" w:rsidP="000F1E5F">
            <w:pPr>
              <w:rPr>
                <w:i/>
              </w:rPr>
            </w:pPr>
            <w:hyperlink r:id="rId50" w:history="1">
              <w:r w:rsidRPr="00645757">
                <w:rPr>
                  <w:rStyle w:val="Hyperlink"/>
                  <w:i/>
                </w:rPr>
                <w:t>Adam.Dorywalski@eesc.europa.eu</w:t>
              </w:r>
            </w:hyperlink>
          </w:p>
        </w:tc>
      </w:tr>
    </w:tbl>
    <w:p w14:paraId="1C2A6159" w14:textId="0C09E587" w:rsidR="009F1AE3" w:rsidRPr="00CB245F" w:rsidRDefault="00807C47" w:rsidP="00CB245F">
      <w:pPr>
        <w:widowControl w:val="0"/>
        <w:numPr>
          <w:ilvl w:val="0"/>
          <w:numId w:val="4"/>
        </w:numPr>
        <w:overflowPunct w:val="0"/>
        <w:autoSpaceDE w:val="0"/>
        <w:autoSpaceDN w:val="0"/>
        <w:adjustRightInd w:val="0"/>
        <w:spacing w:after="120"/>
        <w:ind w:hanging="567"/>
        <w:textAlignment w:val="baseline"/>
        <w:rPr>
          <w:b/>
        </w:rPr>
      </w:pPr>
      <w:hyperlink r:id="rId51" w:history="1">
        <w:r w:rsidRPr="00CB245F">
          <w:rPr>
            <w:rStyle w:val="Hyperlink"/>
            <w:b/>
            <w:i/>
            <w:sz w:val="28"/>
          </w:rPr>
          <w:t>Priemyselné družstvá</w:t>
        </w:r>
      </w:hyperlink>
      <w:r w:rsidR="00CB245F" w:rsidRPr="00CB245F">
        <w:rPr>
          <w:rStyle w:val="Hyperlink"/>
          <w:b/>
          <w:i/>
          <w:sz w:val="28"/>
        </w:rPr>
        <w:t>: nástroj na dosiahnutie inkluzívnej a udržateľnej konkurencieschopnosti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7C0D6E7B" w14:textId="77777777" w:rsidTr="000F1E5F">
        <w:tc>
          <w:tcPr>
            <w:tcW w:w="1077" w:type="pct"/>
          </w:tcPr>
          <w:p w14:paraId="1B0C4C5F" w14:textId="77777777" w:rsidR="00807C47" w:rsidRPr="00645757" w:rsidRDefault="00807C47" w:rsidP="000F1E5F">
            <w:pPr>
              <w:tabs>
                <w:tab w:val="center" w:pos="284"/>
              </w:tabs>
              <w:ind w:left="266" w:hanging="266"/>
              <w:rPr>
                <w:b/>
              </w:rPr>
            </w:pPr>
            <w:r w:rsidRPr="00645757">
              <w:rPr>
                <w:b/>
              </w:rPr>
              <w:t>Spravodajca:</w:t>
            </w:r>
          </w:p>
        </w:tc>
        <w:tc>
          <w:tcPr>
            <w:tcW w:w="3923" w:type="pct"/>
          </w:tcPr>
          <w:p w14:paraId="41DAA58A" w14:textId="77777777" w:rsidR="00807C47" w:rsidRPr="00645757" w:rsidRDefault="00807C47" w:rsidP="000F1E5F">
            <w:pPr>
              <w:tabs>
                <w:tab w:val="center" w:pos="284"/>
              </w:tabs>
              <w:ind w:left="266" w:right="-3091" w:hanging="266"/>
            </w:pPr>
            <w:r w:rsidRPr="00645757">
              <w:t>Giuseppe GUERINI (skupina Organizácie občianskej spoločnosti – IT)</w:t>
            </w:r>
          </w:p>
        </w:tc>
      </w:tr>
      <w:tr w:rsidR="00807C47" w:rsidRPr="00645757" w14:paraId="5C7803D1" w14:textId="77777777" w:rsidTr="000F1E5F">
        <w:tc>
          <w:tcPr>
            <w:tcW w:w="1077" w:type="pct"/>
          </w:tcPr>
          <w:p w14:paraId="2A544C3C" w14:textId="77777777" w:rsidR="00807C47" w:rsidRPr="00645757" w:rsidRDefault="00807C47" w:rsidP="000F1E5F">
            <w:pPr>
              <w:tabs>
                <w:tab w:val="center" w:pos="284"/>
              </w:tabs>
              <w:ind w:left="266" w:hanging="266"/>
              <w:rPr>
                <w:b/>
              </w:rPr>
            </w:pPr>
            <w:r w:rsidRPr="00645757">
              <w:rPr>
                <w:b/>
              </w:rPr>
              <w:t>Spoluspravodajca:</w:t>
            </w:r>
          </w:p>
        </w:tc>
        <w:tc>
          <w:tcPr>
            <w:tcW w:w="3923" w:type="pct"/>
          </w:tcPr>
          <w:p w14:paraId="7EFD74D5" w14:textId="77777777" w:rsidR="00807C47" w:rsidRPr="00645757" w:rsidRDefault="00807C47" w:rsidP="000F1E5F">
            <w:pPr>
              <w:tabs>
                <w:tab w:val="center" w:pos="284"/>
              </w:tabs>
              <w:ind w:left="266" w:right="-3091" w:hanging="266"/>
            </w:pPr>
            <w:r w:rsidRPr="00645757">
              <w:t>Michal PINTÉR (skupina Zamestnávatelia – SK)</w:t>
            </w:r>
          </w:p>
        </w:tc>
      </w:tr>
      <w:tr w:rsidR="00807C47" w:rsidRPr="00645757" w14:paraId="1B409576" w14:textId="77777777" w:rsidTr="000F1E5F">
        <w:tc>
          <w:tcPr>
            <w:tcW w:w="1077" w:type="pct"/>
          </w:tcPr>
          <w:p w14:paraId="03374D42" w14:textId="77777777" w:rsidR="00807C47" w:rsidRPr="00645757" w:rsidRDefault="00807C47" w:rsidP="000F1E5F">
            <w:pPr>
              <w:tabs>
                <w:tab w:val="center" w:pos="284"/>
              </w:tabs>
              <w:ind w:left="266" w:hanging="266"/>
              <w:rPr>
                <w:b/>
              </w:rPr>
            </w:pPr>
            <w:proofErr w:type="spellStart"/>
            <w:r w:rsidRPr="00645757">
              <w:rPr>
                <w:b/>
              </w:rPr>
              <w:t>Ref</w:t>
            </w:r>
            <w:proofErr w:type="spellEnd"/>
            <w:r w:rsidRPr="00645757">
              <w:rPr>
                <w:b/>
              </w:rPr>
              <w:t>.:</w:t>
            </w:r>
          </w:p>
        </w:tc>
        <w:tc>
          <w:tcPr>
            <w:tcW w:w="3923" w:type="pct"/>
          </w:tcPr>
          <w:p w14:paraId="7B9B98C4" w14:textId="77777777" w:rsidR="00807C47" w:rsidRPr="00645757" w:rsidRDefault="00807C47" w:rsidP="000F1E5F">
            <w:pPr>
              <w:tabs>
                <w:tab w:val="center" w:pos="284"/>
              </w:tabs>
              <w:ind w:left="266" w:right="-3091" w:hanging="266"/>
            </w:pPr>
            <w:r w:rsidRPr="00645757">
              <w:t>EESC-2025-01083-00-00-AC</w:t>
            </w:r>
          </w:p>
        </w:tc>
      </w:tr>
    </w:tbl>
    <w:p w14:paraId="17B29CD2" w14:textId="77777777" w:rsidR="00807C47" w:rsidRPr="00645757" w:rsidRDefault="00807C47" w:rsidP="00807C47">
      <w:pPr>
        <w:tabs>
          <w:tab w:val="center" w:pos="284"/>
        </w:tabs>
        <w:ind w:left="266" w:hanging="266"/>
        <w:rPr>
          <w:bCs/>
        </w:rPr>
      </w:pPr>
    </w:p>
    <w:p w14:paraId="3A36ECAC" w14:textId="77777777" w:rsidR="00807C47" w:rsidRPr="00645757" w:rsidRDefault="00807C47" w:rsidP="00807C47">
      <w:pPr>
        <w:keepNext/>
        <w:keepLines/>
        <w:tabs>
          <w:tab w:val="center" w:pos="284"/>
        </w:tabs>
        <w:ind w:left="266" w:hanging="266"/>
        <w:rPr>
          <w:b/>
        </w:rPr>
      </w:pPr>
      <w:r w:rsidRPr="00645757">
        <w:rPr>
          <w:b/>
        </w:rPr>
        <w:t>Hlavné body</w:t>
      </w:r>
    </w:p>
    <w:p w14:paraId="682247CA" w14:textId="77777777" w:rsidR="00807C47" w:rsidRPr="00645757" w:rsidRDefault="00807C47" w:rsidP="00807C47">
      <w:pPr>
        <w:keepNext/>
        <w:keepLines/>
        <w:tabs>
          <w:tab w:val="center" w:pos="284"/>
        </w:tabs>
        <w:ind w:left="266" w:hanging="266"/>
        <w:rPr>
          <w:bCs/>
        </w:rPr>
      </w:pPr>
    </w:p>
    <w:p w14:paraId="06291143" w14:textId="77777777" w:rsidR="00807C47" w:rsidRPr="00645757" w:rsidRDefault="00807C47" w:rsidP="00807C47">
      <w:pPr>
        <w:rPr>
          <w:bCs/>
          <w:iCs/>
        </w:rPr>
      </w:pPr>
      <w:r w:rsidRPr="00645757">
        <w:t>EHSV:</w:t>
      </w:r>
    </w:p>
    <w:p w14:paraId="7087FAFF" w14:textId="089FB2DF"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konštatuje, že Organizácia Spojených národov vyhlásila rok 2025 za Medzinárodný rok družstiev (IYC2025)</w:t>
      </w:r>
      <w:r w:rsidR="00645757">
        <w:t xml:space="preserve"> s </w:t>
      </w:r>
      <w:r w:rsidRPr="00645757">
        <w:t>ústrednou témou „Družstvá budujú lepší svet“, čo odráža čoraz väčšie medzinárodné uznanie družstevného modelu</w:t>
      </w:r>
      <w:r w:rsidR="00645757">
        <w:t xml:space="preserve"> v </w:t>
      </w:r>
      <w:r w:rsidRPr="00645757">
        <w:t>odvetviach;</w:t>
      </w:r>
    </w:p>
    <w:p w14:paraId="2BB509AA" w14:textId="4A94D721"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odporúča začleniť vzdelávanie</w:t>
      </w:r>
      <w:r w:rsidR="00645757">
        <w:t xml:space="preserve"> v </w:t>
      </w:r>
      <w:r w:rsidRPr="00645757">
        <w:t>oblasti družstevného podnikania do všeobecnej odbornej prípravy</w:t>
      </w:r>
      <w:r w:rsidR="00645757">
        <w:t xml:space="preserve"> v </w:t>
      </w:r>
      <w:r w:rsidRPr="00645757">
        <w:t>oblasti podnikania</w:t>
      </w:r>
      <w:r w:rsidR="00645757">
        <w:t xml:space="preserve"> a </w:t>
      </w:r>
      <w:r w:rsidRPr="00645757">
        <w:t>odborného vzdelávania vrátane osvetových činností zameraných na finančné inštitúcie</w:t>
      </w:r>
      <w:r w:rsidR="00645757">
        <w:t xml:space="preserve"> a </w:t>
      </w:r>
      <w:r w:rsidRPr="00645757">
        <w:t>príležitostí</w:t>
      </w:r>
      <w:r w:rsidR="00645757">
        <w:t xml:space="preserve"> v </w:t>
      </w:r>
      <w:r w:rsidRPr="00645757">
        <w:t>rámci programu Erasmus+;</w:t>
      </w:r>
    </w:p>
    <w:p w14:paraId="5B409081" w14:textId="7284E058"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sa domnieva, že družstvá by sa mali aktívne propagovať medzi startupmi</w:t>
      </w:r>
      <w:r w:rsidR="00645757">
        <w:t xml:space="preserve"> a </w:t>
      </w:r>
      <w:r w:rsidRPr="00645757">
        <w:t>mladými podnikateľmi;</w:t>
      </w:r>
    </w:p>
    <w:p w14:paraId="56F48538" w14:textId="0D58C106"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vyzýva, aby sa priemyselné družstvá uznali za kľúčových hospodárskych aktérov</w:t>
      </w:r>
      <w:r w:rsidR="00645757">
        <w:t xml:space="preserve"> a </w:t>
      </w:r>
      <w:r w:rsidRPr="00645757">
        <w:t>aby sa na európskej, národnej</w:t>
      </w:r>
      <w:r w:rsidR="00645757">
        <w:t xml:space="preserve"> a </w:t>
      </w:r>
      <w:r w:rsidRPr="00645757">
        <w:t>regionálnej úrovni zaviedli cielené finančné stimuly (daňové úľavy, granty, zvýhodnené financovanie)</w:t>
      </w:r>
      <w:r w:rsidR="00645757">
        <w:t xml:space="preserve"> s </w:t>
      </w:r>
      <w:r w:rsidRPr="00645757">
        <w:t>cieľom povzbudiť priemyselné družstvá</w:t>
      </w:r>
      <w:r w:rsidR="00645757">
        <w:t xml:space="preserve"> k </w:t>
      </w:r>
      <w:r w:rsidRPr="00645757">
        <w:t>priemyselnej symbióze</w:t>
      </w:r>
      <w:r w:rsidR="00645757">
        <w:t xml:space="preserve"> a </w:t>
      </w:r>
      <w:r w:rsidRPr="00645757">
        <w:t>obehovosti;</w:t>
      </w:r>
    </w:p>
    <w:p w14:paraId="7DA7A5CF" w14:textId="5FAC66F7"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podporuje investície do spoločných priemyselných parkov, ekologických priemyselných zón</w:t>
      </w:r>
      <w:r w:rsidR="00645757">
        <w:t xml:space="preserve"> a </w:t>
      </w:r>
      <w:r w:rsidRPr="00645757">
        <w:t>družstevných platforiem</w:t>
      </w:r>
      <w:r w:rsidR="00645757">
        <w:t xml:space="preserve"> s </w:t>
      </w:r>
      <w:r w:rsidRPr="00645757">
        <w:t>cieľom zlepšiť lokalizáciu družstiev</w:t>
      </w:r>
      <w:r w:rsidR="00645757">
        <w:t xml:space="preserve"> a </w:t>
      </w:r>
      <w:r w:rsidRPr="00645757">
        <w:t>udržateľnú výrobu;</w:t>
      </w:r>
    </w:p>
    <w:p w14:paraId="2390E8B1" w14:textId="4C66A907"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naliehavo vyzýva, aby sa do programov súdržnosti EÚ</w:t>
      </w:r>
      <w:r w:rsidR="00645757">
        <w:t xml:space="preserve"> a </w:t>
      </w:r>
      <w:r w:rsidRPr="00645757">
        <w:t>stratégií regionálneho rozvoja začlenili politické opatrenia špecificky zamerané na družstvá, pričom sa uprednostnia iniciatívy pod vedením družstiev</w:t>
      </w:r>
      <w:r w:rsidR="00645757">
        <w:t xml:space="preserve"> s </w:t>
      </w:r>
      <w:r w:rsidRPr="00645757">
        <w:t>cieľom zvýšiť regionálnu odolnosť</w:t>
      </w:r>
      <w:r w:rsidR="00645757">
        <w:t xml:space="preserve"> a </w:t>
      </w:r>
      <w:r w:rsidRPr="00645757">
        <w:t>udržateľnosť;</w:t>
      </w:r>
    </w:p>
    <w:p w14:paraId="093B96C3" w14:textId="3B54651E"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zdôrazňuje rastúci strategický význam družstiev založených na údajoch</w:t>
      </w:r>
      <w:r w:rsidR="00645757">
        <w:t xml:space="preserve"> a </w:t>
      </w:r>
      <w:r w:rsidRPr="00645757">
        <w:t>vyzýva orgány EÚ</w:t>
      </w:r>
      <w:r w:rsidR="00645757">
        <w:t xml:space="preserve"> a </w:t>
      </w:r>
      <w:r w:rsidRPr="00645757">
        <w:t>členských štátov, aby podporovali spoločné iniciatívy na účely správy</w:t>
      </w:r>
      <w:r w:rsidR="00645757">
        <w:t xml:space="preserve"> a </w:t>
      </w:r>
      <w:r w:rsidRPr="00645757">
        <w:t>výmeny priemyselných údajov;</w:t>
      </w:r>
    </w:p>
    <w:p w14:paraId="4E135CC1" w14:textId="430121D5" w:rsidR="00807C47" w:rsidRPr="00645757" w:rsidRDefault="00807C47" w:rsidP="00CB245F">
      <w:pPr>
        <w:pStyle w:val="ListParagraph"/>
        <w:numPr>
          <w:ilvl w:val="0"/>
          <w:numId w:val="5"/>
        </w:numPr>
        <w:overflowPunct w:val="0"/>
        <w:autoSpaceDE w:val="0"/>
        <w:autoSpaceDN w:val="0"/>
        <w:adjustRightInd w:val="0"/>
        <w:ind w:left="284" w:hanging="284"/>
        <w:textAlignment w:val="baseline"/>
        <w:rPr>
          <w:bCs/>
          <w:iCs/>
        </w:rPr>
      </w:pPr>
      <w:r w:rsidRPr="00645757">
        <w:t>zdôrazňuje, že družstevný model poskytuje jedinečnú pridanú hodnotu prostredníctvom demokratického riadenia, spravodlivého rozdelenia bohatstva, zapojenia komunít</w:t>
      </w:r>
      <w:r w:rsidR="00645757">
        <w:t xml:space="preserve"> a </w:t>
      </w:r>
      <w:r w:rsidRPr="00645757">
        <w:t>silnej prispôsobivosti, čím sa posilňuje strategická autonómia EÚ.</w:t>
      </w:r>
    </w:p>
    <w:p w14:paraId="57DA2E81" w14:textId="77777777" w:rsidR="00807C47" w:rsidRPr="00645757" w:rsidRDefault="00807C47" w:rsidP="00807C4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07C47" w:rsidRPr="00645757" w14:paraId="08DC6C0B" w14:textId="77777777" w:rsidTr="000F1E5F">
        <w:tc>
          <w:tcPr>
            <w:tcW w:w="1077" w:type="pct"/>
          </w:tcPr>
          <w:p w14:paraId="6836F542" w14:textId="77777777" w:rsidR="00807C47" w:rsidRPr="00645757" w:rsidRDefault="00807C47" w:rsidP="000F1E5F">
            <w:pPr>
              <w:rPr>
                <w:i/>
              </w:rPr>
            </w:pPr>
            <w:r w:rsidRPr="00645757">
              <w:rPr>
                <w:b/>
                <w:i/>
              </w:rPr>
              <w:t>Kontakt:</w:t>
            </w:r>
          </w:p>
        </w:tc>
        <w:tc>
          <w:tcPr>
            <w:tcW w:w="3923" w:type="pct"/>
          </w:tcPr>
          <w:p w14:paraId="1F6BE27C" w14:textId="77777777" w:rsidR="00807C47" w:rsidRPr="00645757" w:rsidRDefault="00807C47" w:rsidP="000F1E5F">
            <w:pPr>
              <w:rPr>
                <w:i/>
              </w:rPr>
            </w:pPr>
            <w:r w:rsidRPr="00645757">
              <w:rPr>
                <w:i/>
              </w:rPr>
              <w:t>Adam DORYWALSKI</w:t>
            </w:r>
          </w:p>
        </w:tc>
      </w:tr>
      <w:tr w:rsidR="00807C47" w:rsidRPr="00645757" w14:paraId="4EC1A1F8" w14:textId="77777777" w:rsidTr="000F1E5F">
        <w:tc>
          <w:tcPr>
            <w:tcW w:w="1077" w:type="pct"/>
          </w:tcPr>
          <w:p w14:paraId="0B298FEE" w14:textId="77777777" w:rsidR="00807C47" w:rsidRPr="00645757" w:rsidRDefault="00807C47" w:rsidP="000F1E5F">
            <w:pPr>
              <w:rPr>
                <w:i/>
              </w:rPr>
            </w:pPr>
            <w:r w:rsidRPr="00645757">
              <w:rPr>
                <w:i/>
              </w:rPr>
              <w:t>Tel.:</w:t>
            </w:r>
          </w:p>
        </w:tc>
        <w:tc>
          <w:tcPr>
            <w:tcW w:w="3923" w:type="pct"/>
          </w:tcPr>
          <w:p w14:paraId="54835E33" w14:textId="77777777" w:rsidR="00807C47" w:rsidRPr="00645757" w:rsidRDefault="00807C47" w:rsidP="000F1E5F">
            <w:pPr>
              <w:rPr>
                <w:i/>
              </w:rPr>
            </w:pPr>
            <w:r w:rsidRPr="00645757">
              <w:rPr>
                <w:i/>
              </w:rPr>
              <w:t>+32 25469397</w:t>
            </w:r>
          </w:p>
        </w:tc>
      </w:tr>
      <w:tr w:rsidR="00807C47" w:rsidRPr="00645757" w14:paraId="204EDB06" w14:textId="77777777" w:rsidTr="000F1E5F">
        <w:tc>
          <w:tcPr>
            <w:tcW w:w="1077" w:type="pct"/>
          </w:tcPr>
          <w:p w14:paraId="756F7FF5" w14:textId="77777777" w:rsidR="00807C47" w:rsidRPr="00645757" w:rsidRDefault="00807C47" w:rsidP="000F1E5F">
            <w:pPr>
              <w:rPr>
                <w:i/>
              </w:rPr>
            </w:pPr>
            <w:r w:rsidRPr="00645757">
              <w:rPr>
                <w:i/>
              </w:rPr>
              <w:t>E-mail:</w:t>
            </w:r>
          </w:p>
        </w:tc>
        <w:tc>
          <w:tcPr>
            <w:tcW w:w="3923" w:type="pct"/>
          </w:tcPr>
          <w:p w14:paraId="518CC42D" w14:textId="77777777" w:rsidR="00807C47" w:rsidRPr="00645757" w:rsidRDefault="00807C47" w:rsidP="000F1E5F">
            <w:pPr>
              <w:rPr>
                <w:i/>
              </w:rPr>
            </w:pPr>
            <w:hyperlink r:id="rId52" w:history="1">
              <w:r w:rsidRPr="00645757">
                <w:rPr>
                  <w:rStyle w:val="Hyperlink"/>
                  <w:i/>
                </w:rPr>
                <w:t>Adam.Dorywalski@eesc.europa.eu</w:t>
              </w:r>
            </w:hyperlink>
          </w:p>
        </w:tc>
      </w:tr>
    </w:tbl>
    <w:p w14:paraId="09A596F7" w14:textId="77777777" w:rsidR="006D2C8A" w:rsidRPr="00645757" w:rsidRDefault="006D2C8A" w:rsidP="00CB245F">
      <w:pPr>
        <w:pStyle w:val="ListParagraph"/>
        <w:numPr>
          <w:ilvl w:val="0"/>
          <w:numId w:val="5"/>
        </w:numPr>
        <w:overflowPunct w:val="0"/>
        <w:autoSpaceDE w:val="0"/>
        <w:autoSpaceDN w:val="0"/>
        <w:adjustRightInd w:val="0"/>
        <w:ind w:left="284" w:hanging="284"/>
        <w:textAlignment w:val="baseline"/>
      </w:pPr>
    </w:p>
    <w:p w14:paraId="2E28EF19" w14:textId="3B368787" w:rsidR="000D394D" w:rsidRPr="00645757" w:rsidRDefault="00EB462E" w:rsidP="00054C58">
      <w:pPr>
        <w:spacing w:after="160" w:line="259" w:lineRule="auto"/>
        <w:jc w:val="center"/>
      </w:pPr>
      <w:r w:rsidRPr="00645757">
        <w:t>______________</w:t>
      </w:r>
    </w:p>
    <w:sectPr w:rsidR="000D394D" w:rsidRPr="00645757" w:rsidSect="00EE6F0B">
      <w:headerReference w:type="even" r:id="rId53"/>
      <w:headerReference w:type="default" r:id="rId54"/>
      <w:footerReference w:type="even" r:id="rId55"/>
      <w:footerReference w:type="default" r:id="rId56"/>
      <w:headerReference w:type="first" r:id="rId57"/>
      <w:footerReference w:type="first" r:id="rId58"/>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391828">
      <w:fldChar w:fldCharType="begin"/>
    </w:r>
    <w:r w:rsidR="00391828">
      <w:instrText xml:space="preserve"> NUMPAGES </w:instrText>
    </w:r>
    <w:r w:rsidR="00391828">
      <w:fldChar w:fldCharType="separate"/>
    </w:r>
    <w:r w:rsidR="008541DE">
      <w:t>1</w:t>
    </w:r>
    <w:r w:rsidR="003918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391828">
      <w:fldChar w:fldCharType="begin"/>
    </w:r>
    <w:r w:rsidR="00391828">
      <w:instrText xml:space="preserve"> NUMPAGES </w:instrText>
    </w:r>
    <w:r w:rsidR="00391828">
      <w:fldChar w:fldCharType="separate"/>
    </w:r>
    <w:r w:rsidR="008541DE">
      <w:t>16</w:t>
    </w:r>
    <w:r w:rsidR="0039182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59D47619" w14:textId="77777777" w:rsidR="00645757" w:rsidRPr="00AA4B6C" w:rsidRDefault="00645757" w:rsidP="00645757">
      <w:pPr>
        <w:keepLines/>
        <w:spacing w:after="60" w:line="240" w:lineRule="auto"/>
        <w:ind w:left="567" w:hanging="567"/>
        <w:rPr>
          <w:sz w:val="16"/>
          <w:szCs w:val="16"/>
        </w:rPr>
      </w:pPr>
      <w:r w:rsidRPr="00AA4B6C">
        <w:rPr>
          <w:rStyle w:val="FootnoteReference"/>
        </w:rPr>
        <w:footnoteRef/>
      </w:r>
      <w:r w:rsidRPr="00AA4B6C">
        <w:rPr>
          <w:sz w:val="16"/>
        </w:rPr>
        <w:tab/>
      </w:r>
      <w:hyperlink r:id="rId1">
        <w:r w:rsidRPr="00AA4B6C">
          <w:rPr>
            <w:color w:val="0000FF"/>
            <w:sz w:val="16"/>
            <w:u w:val="single"/>
          </w:rPr>
          <w:t>https://eur-lex.europa.eu/legal-content/SK/TXT/?uri=legissum:4623532</w:t>
        </w:r>
      </w:hyperlink>
      <w:r w:rsidRPr="00AA4B6C">
        <w:t>.</w:t>
      </w:r>
    </w:p>
  </w:footnote>
  <w:footnote w:id="2">
    <w:p w14:paraId="46C3701A" w14:textId="77777777" w:rsidR="00645757" w:rsidRPr="00AA4B6C" w:rsidRDefault="00645757" w:rsidP="00645757">
      <w:pPr>
        <w:keepLines/>
        <w:spacing w:after="60" w:line="240" w:lineRule="auto"/>
        <w:ind w:left="567" w:hanging="567"/>
      </w:pPr>
      <w:r w:rsidRPr="00AA4B6C">
        <w:rPr>
          <w:rStyle w:val="FootnoteReference"/>
        </w:rPr>
        <w:footnoteRef/>
      </w:r>
      <w:r w:rsidRPr="00AA4B6C">
        <w:rPr>
          <w:sz w:val="16"/>
        </w:rPr>
        <w:tab/>
      </w:r>
      <w:hyperlink r:id="rId2">
        <w:r w:rsidRPr="00AA4B6C">
          <w:rPr>
            <w:color w:val="0000FF"/>
            <w:sz w:val="16"/>
            <w:u w:val="single"/>
          </w:rPr>
          <w:t>https://eur-lex.europa.eu/legal-content/SK/TXT/?uri=CELEX:52022XC0930(02)</w:t>
        </w:r>
      </w:hyperlink>
      <w:r w:rsidRPr="00AA4B6C">
        <w:t>.</w:t>
      </w:r>
    </w:p>
  </w:footnote>
  <w:footnote w:id="3">
    <w:p w14:paraId="52B0792D" w14:textId="77777777" w:rsidR="00645757" w:rsidRPr="00AA4B6C" w:rsidRDefault="00645757" w:rsidP="00645757">
      <w:pPr>
        <w:keepLines/>
        <w:spacing w:after="60" w:line="240" w:lineRule="auto"/>
        <w:ind w:left="567" w:hanging="567"/>
        <w:rPr>
          <w:color w:val="0000FF"/>
          <w:sz w:val="16"/>
          <w:szCs w:val="16"/>
        </w:rPr>
      </w:pPr>
      <w:r w:rsidRPr="00AA4B6C">
        <w:rPr>
          <w:rStyle w:val="FootnoteReference"/>
        </w:rPr>
        <w:footnoteRef/>
      </w:r>
      <w:r w:rsidRPr="00AA4B6C">
        <w:rPr>
          <w:sz w:val="16"/>
        </w:rPr>
        <w:tab/>
      </w:r>
      <w:hyperlink r:id="rId3">
        <w:r w:rsidRPr="00AA4B6C">
          <w:rPr>
            <w:color w:val="0000FF"/>
            <w:sz w:val="16"/>
            <w:u w:val="single"/>
          </w:rPr>
          <w:t>https://digital-strategy.ec.europa.eu/sk/library/recommendation-protection-safety-and-empowerment-journalists</w:t>
        </w:r>
      </w:hyperlink>
      <w:r w:rsidRPr="00AA4B6C">
        <w:rPr>
          <w:sz w:val="16"/>
        </w:rPr>
        <w:t>.</w:t>
      </w:r>
    </w:p>
  </w:footnote>
  <w:footnote w:id="4">
    <w:p w14:paraId="5725841F" w14:textId="77777777" w:rsidR="00645757" w:rsidRPr="00AA4B6C" w:rsidRDefault="00645757" w:rsidP="00645757">
      <w:pPr>
        <w:keepLines/>
        <w:spacing w:after="60" w:line="240" w:lineRule="auto"/>
        <w:ind w:left="567" w:hanging="567"/>
      </w:pPr>
      <w:r w:rsidRPr="00AA4B6C">
        <w:rPr>
          <w:rStyle w:val="FootnoteReference"/>
        </w:rPr>
        <w:footnoteRef/>
      </w:r>
      <w:r w:rsidRPr="00AA4B6C">
        <w:tab/>
      </w:r>
      <w:r w:rsidRPr="00AA4B6C">
        <w:rPr>
          <w:sz w:val="16"/>
          <w:szCs w:val="16"/>
        </w:rPr>
        <w:t xml:space="preserve">Ú. v. EÚ C, C/2025/114, 10.1.2025, ELI: </w:t>
      </w:r>
      <w:hyperlink r:id="rId4" w:history="1">
        <w:r w:rsidRPr="00AA4B6C">
          <w:rPr>
            <w:rStyle w:val="Hyperlink"/>
            <w:sz w:val="16"/>
            <w:szCs w:val="16"/>
          </w:rPr>
          <w:t>http://data.europa.eu/eli/C/2025/114/oj</w:t>
        </w:r>
      </w:hyperlink>
      <w:r w:rsidRPr="00AA4B6C">
        <w:t>.</w:t>
      </w:r>
    </w:p>
  </w:footnote>
  <w:footnote w:id="5">
    <w:p w14:paraId="364A47A3" w14:textId="77777777" w:rsidR="00807C47" w:rsidRPr="00402A35" w:rsidRDefault="00807C47" w:rsidP="00807C47">
      <w:pPr>
        <w:pStyle w:val="FootnoteText"/>
      </w:pPr>
      <w:r w:rsidRPr="00402A35">
        <w:rPr>
          <w:rStyle w:val="FootnoteReference"/>
        </w:rPr>
        <w:footnoteRef/>
      </w:r>
      <w:r w:rsidRPr="00402A35">
        <w:tab/>
        <w:t>Stanovisko EHSV</w:t>
      </w:r>
      <w:r>
        <w:t xml:space="preserve"> z </w:t>
      </w:r>
      <w:r w:rsidRPr="00402A35">
        <w:t xml:space="preserve">vlastnej iniciatívy na tému </w:t>
      </w:r>
      <w:hyperlink w:anchor=":~:text=The%20only%20reliable%20way%20to%20preserve%20the%20rainforests%20is%20through" w:history="1">
        <w:r w:rsidRPr="00402A35">
          <w:rPr>
            <w:rStyle w:val="Hyperlink"/>
            <w:i/>
          </w:rPr>
          <w:t>Odlesňovanie amazonského dažďového pralesa – dosah na zmenu klímy</w:t>
        </w:r>
        <w:r>
          <w:rPr>
            <w:rStyle w:val="Hyperlink"/>
            <w:i/>
          </w:rPr>
          <w:t xml:space="preserve"> a </w:t>
        </w:r>
        <w:r w:rsidRPr="00402A35">
          <w:rPr>
            <w:rStyle w:val="Hyperlink"/>
            <w:i/>
          </w:rPr>
          <w:t>životné prostredie vo svete, dôsledky pre podniky, pracovníkov</w:t>
        </w:r>
        <w:r>
          <w:rPr>
            <w:rStyle w:val="Hyperlink"/>
            <w:i/>
          </w:rPr>
          <w:t xml:space="preserve"> a </w:t>
        </w:r>
        <w:r w:rsidRPr="00402A35">
          <w:rPr>
            <w:rStyle w:val="Hyperlink"/>
            <w:i/>
          </w:rPr>
          <w:t>obyvateľstvo</w:t>
        </w:r>
      </w:hyperlink>
      <w:r w:rsidRPr="00402A35">
        <w:t xml:space="preserve">, </w:t>
      </w:r>
      <w:hyperlink r:id="rId5" w:history="1">
        <w:r w:rsidRPr="00402A35">
          <w:rPr>
            <w:rStyle w:val="Hyperlink"/>
          </w:rPr>
          <w:t>Ú. v. EÚ C/2024/6882, 28.11.2024</w:t>
        </w:r>
      </w:hyperlink>
      <w:r w:rsidRPr="00402A35">
        <w:t>.</w:t>
      </w:r>
    </w:p>
  </w:footnote>
  <w:footnote w:id="6">
    <w:p w14:paraId="5AAB0730" w14:textId="77777777" w:rsidR="00807C47" w:rsidRPr="00402A35" w:rsidRDefault="00807C47" w:rsidP="00807C47">
      <w:pPr>
        <w:pStyle w:val="FootnoteText"/>
      </w:pPr>
      <w:r w:rsidRPr="00402A35">
        <w:rPr>
          <w:rStyle w:val="FootnoteReference"/>
        </w:rPr>
        <w:footnoteRef/>
      </w:r>
      <w:r w:rsidRPr="00402A35">
        <w:tab/>
        <w:t xml:space="preserve">Stanovisko EHSV na tému </w:t>
      </w:r>
      <w:hyperlink r:id="rId6" w:history="1">
        <w:r w:rsidRPr="00402A35">
          <w:rPr>
            <w:rStyle w:val="Hyperlink"/>
            <w:i/>
          </w:rPr>
          <w:t>Minimalizácia rizika odlesňovania</w:t>
        </w:r>
        <w:r>
          <w:rPr>
            <w:rStyle w:val="Hyperlink"/>
            <w:i/>
          </w:rPr>
          <w:t xml:space="preserve"> a </w:t>
        </w:r>
        <w:r w:rsidRPr="00402A35">
          <w:rPr>
            <w:rStyle w:val="Hyperlink"/>
            <w:i/>
          </w:rPr>
          <w:t>degradácie lesov spojeného</w:t>
        </w:r>
        <w:r>
          <w:rPr>
            <w:rStyle w:val="Hyperlink"/>
            <w:i/>
          </w:rPr>
          <w:t xml:space="preserve"> s </w:t>
        </w:r>
        <w:r w:rsidRPr="00402A35">
          <w:rPr>
            <w:rStyle w:val="Hyperlink"/>
            <w:i/>
          </w:rPr>
          <w:t>výrobkami uvádzanými na trh EÚ</w:t>
        </w:r>
      </w:hyperlink>
      <w:r w:rsidRPr="00402A35">
        <w:t xml:space="preserve">, </w:t>
      </w:r>
      <w:hyperlink r:id="rId7" w:history="1">
        <w:r w:rsidRPr="00402A35">
          <w:rPr>
            <w:rStyle w:val="Hyperlink"/>
          </w:rPr>
          <w:t>Ú. v. EÚ C 275, 18.7.2022</w:t>
        </w:r>
      </w:hyperlink>
      <w:r w:rsidRPr="00402A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0B3A21"/>
    <w:multiLevelType w:val="singleLevel"/>
    <w:tmpl w:val="DDE088C8"/>
    <w:lvl w:ilvl="0">
      <w:numFmt w:val="decimal"/>
      <w:lvlText w:val="*"/>
      <w:lvlJc w:val="left"/>
    </w:lvl>
  </w:abstractNum>
  <w:abstractNum w:abstractNumId="9"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6"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73BA224C"/>
    <w:lvl w:ilvl="0" w:tplc="8E864B0C">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9"/>
  </w:num>
  <w:num w:numId="8">
    <w:abstractNumId w:val="5"/>
  </w:num>
  <w:num w:numId="9">
    <w:abstractNumId w:val="29"/>
  </w:num>
  <w:num w:numId="10">
    <w:abstractNumId w:val="14"/>
  </w:num>
  <w:num w:numId="11">
    <w:abstractNumId w:val="1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5"/>
  </w:num>
  <w:num w:numId="18">
    <w:abstractNumId w:val="7"/>
  </w:num>
  <w:num w:numId="19">
    <w:abstractNumId w:val="4"/>
  </w:num>
  <w:num w:numId="20">
    <w:abstractNumId w:val="17"/>
  </w:num>
  <w:num w:numId="21">
    <w:abstractNumId w:val="30"/>
  </w:num>
  <w:num w:numId="22">
    <w:abstractNumId w:val="13"/>
  </w:num>
  <w:num w:numId="23">
    <w:abstractNumId w:val="32"/>
  </w:num>
  <w:num w:numId="24">
    <w:abstractNumId w:val="28"/>
  </w:num>
  <w:num w:numId="25">
    <w:abstractNumId w:val="2"/>
  </w:num>
  <w:num w:numId="26">
    <w:abstractNumId w:val="18"/>
  </w:num>
  <w:num w:numId="27">
    <w:abstractNumId w:val="19"/>
  </w:num>
  <w:num w:numId="28">
    <w:abstractNumId w:val="20"/>
  </w:num>
  <w:num w:numId="29">
    <w:abstractNumId w:val="3"/>
  </w:num>
  <w:num w:numId="30">
    <w:abstractNumId w:val="11"/>
  </w:num>
  <w:num w:numId="31">
    <w:abstractNumId w:val="22"/>
  </w:num>
  <w:num w:numId="32">
    <w:abstractNumId w:val="10"/>
  </w:num>
  <w:num w:numId="33">
    <w:abstractNumId w:val="6"/>
  </w:num>
  <w:num w:numId="34">
    <w:abstractNumId w:val="23"/>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179FF"/>
    <w:rsid w:val="00237C67"/>
    <w:rsid w:val="002A5636"/>
    <w:rsid w:val="002B0636"/>
    <w:rsid w:val="002B5AEF"/>
    <w:rsid w:val="002B7981"/>
    <w:rsid w:val="002D3663"/>
    <w:rsid w:val="003066BE"/>
    <w:rsid w:val="003227CC"/>
    <w:rsid w:val="00326313"/>
    <w:rsid w:val="00340927"/>
    <w:rsid w:val="00366C6A"/>
    <w:rsid w:val="00381A92"/>
    <w:rsid w:val="00384191"/>
    <w:rsid w:val="00391828"/>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45757"/>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07C47"/>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712A2"/>
    <w:rsid w:val="00A96C92"/>
    <w:rsid w:val="00AA61BE"/>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B245F"/>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773E7"/>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NormalWeb">
    <w:name w:val="Normal (Web)"/>
    <w:basedOn w:val="Normal"/>
    <w:uiPriority w:val="99"/>
    <w:unhideWhenUsed/>
    <w:rsid w:val="00807C47"/>
    <w:pPr>
      <w:spacing w:before="100" w:beforeAutospacing="1" w:after="100" w:afterAutospacing="1" w:line="240" w:lineRule="auto"/>
      <w:jc w:val="left"/>
    </w:pPr>
    <w:rPr>
      <w:sz w:val="24"/>
      <w:szCs w:val="24"/>
      <w:lang w:eastAsia="en-GB"/>
    </w:rPr>
  </w:style>
  <w:style w:type="character" w:customStyle="1" w:styleId="ListParagraphChar">
    <w:name w:val="List Paragraph Char"/>
    <w:link w:val="ListParagraph"/>
    <w:uiPriority w:val="34"/>
    <w:locked/>
    <w:rsid w:val="00807C47"/>
    <w:rPr>
      <w:rFonts w:ascii="Times New Roman" w:eastAsia="Times New Roman" w:hAnsi="Times New Roman" w:cs="Times New Roman"/>
    </w:rPr>
  </w:style>
  <w:style w:type="character" w:styleId="Strong">
    <w:name w:val="Strong"/>
    <w:basedOn w:val="DefaultParagraphFont"/>
    <w:uiPriority w:val="22"/>
    <w:qFormat/>
    <w:rsid w:val="00645757"/>
    <w:rPr>
      <w:b/>
      <w:bCs/>
    </w:rPr>
  </w:style>
  <w:style w:type="paragraph" w:styleId="TOC2">
    <w:name w:val="toc 2"/>
    <w:basedOn w:val="Normal"/>
    <w:next w:val="Normal"/>
    <w:autoRedefine/>
    <w:uiPriority w:val="39"/>
    <w:unhideWhenUsed/>
    <w:rsid w:val="00CB245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Georgios.Meleas@eesc.europa.eu" TargetMode="External"/><Relationship Id="rId26" Type="http://schemas.openxmlformats.org/officeDocument/2006/relationships/hyperlink" Target="https://eur-lex.europa.eu/eli/C/2023/874/oj" TargetMode="External"/><Relationship Id="rId39" Type="http://schemas.openxmlformats.org/officeDocument/2006/relationships/hyperlink" Target="https://www.eesc.europa.eu/sk/our-work/opinions-information-reports/opinions/amendment-deforestation-regulation-eu-20231115" TargetMode="External"/><Relationship Id="rId21" Type="http://schemas.openxmlformats.org/officeDocument/2006/relationships/hyperlink" Target="mailto:june.bedaton@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rturo.Iniguez@eesc.europa.eu" TargetMode="External"/><Relationship Id="rId47" Type="http://schemas.openxmlformats.org/officeDocument/2006/relationships/hyperlink" Target="mailto:Katarina.Albrechtova@eesc.europa.eu" TargetMode="External"/><Relationship Id="rId50" Type="http://schemas.openxmlformats.org/officeDocument/2006/relationships/hyperlink" Target="mailto:Adam.Dorywalski@eesc.europa.eu" TargetMode="External"/><Relationship Id="rId55"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esc.europa.eu/sk/our-work/opinions-information-reports/plenary-session-summaries" TargetMode="External"/><Relationship Id="rId17" Type="http://schemas.openxmlformats.org/officeDocument/2006/relationships/hyperlink" Target="https://www.eesc.europa.eu/sk/our-work/opinions-information-reports/opinions/establishing-european-fund-regional-development-including-european-territorial-cooperation-interreg-and-cohesion-fund" TargetMode="External"/><Relationship Id="rId25" Type="http://schemas.openxmlformats.org/officeDocument/2006/relationships/hyperlink" Target="https://www.eesc.europa.eu/sk/our-work/opinions-information-reports/opinions/co2-emission-class-heavy-duty-vehicles-trailers-0" TargetMode="External"/><Relationship Id="rId33" Type="http://schemas.openxmlformats.org/officeDocument/2006/relationships/hyperlink" Target="https://www.eesc.europa.eu/sk/our-work/opinions-information-reports/opinions/report-competition-policy-2024" TargetMode="External"/><Relationship Id="rId38" Type="http://schemas.openxmlformats.org/officeDocument/2006/relationships/hyperlink" Target="mailto:Annalisa.Tessarolo@eesc.europa.eu" TargetMode="External"/><Relationship Id="rId46" Type="http://schemas.openxmlformats.org/officeDocument/2006/relationships/hyperlink" Target="https://www.eesc.europa.eu/en/our-work/opinions-information-reports/opinions/predictable-and-common-european-way-forward-ukrainians-eu"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eorgios.Meleas@eesc.europa.eu" TargetMode="External"/><Relationship Id="rId20" Type="http://schemas.openxmlformats.org/officeDocument/2006/relationships/hyperlink" Target="https://www.eesc.europa.eu/sk/our-work/opinions-information-reports/opinions/labour-rights-journalists-and-media-professionals-safeguard-independence-and-truthful-information" TargetMode="External"/><Relationship Id="rId29" Type="http://schemas.openxmlformats.org/officeDocument/2006/relationships/hyperlink" Target="https://www.eesc.europa.eu/sk/our-work/opinions-information-reports/opinions/nuclear-illustrative-programme-1" TargetMode="External"/><Relationship Id="rId41" Type="http://schemas.openxmlformats.org/officeDocument/2006/relationships/hyperlink" Target="https://www.eesc.europa.eu/sk/our-work/opinions-information-reports/opinions/revision-union-civil-protection-mechanis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lessia.Cova@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sk/our-work/opinions-information-reports/opinions/review-european-public-procurement-legal-framework" TargetMode="External"/><Relationship Id="rId40" Type="http://schemas.openxmlformats.org/officeDocument/2006/relationships/hyperlink" Target="mailto:Martine.Delanoy@eesc.europa.eu" TargetMode="External"/><Relationship Id="rId45" Type="http://schemas.openxmlformats.org/officeDocument/2006/relationships/hyperlink" Target="mailto:daniele.vitali@eesc.europa.eu" TargetMode="External"/><Relationship Id="rId53" Type="http://schemas.openxmlformats.org/officeDocument/2006/relationships/header" Target="header1.xml"/><Relationship Id="rId58"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esc.europa.eu/sk/our-work/opinions-information-reports/opinions/implementation-eu-macro-regional-strategies-5th-report" TargetMode="External"/><Relationship Id="rId23" Type="http://schemas.openxmlformats.org/officeDocument/2006/relationships/hyperlink" Target="https://www.eesc.europa.eu/sk/our-work/opinions-information-reports/opinions/agoraeu-and-justice-programmes" TargetMode="External"/><Relationship Id="rId28" Type="http://schemas.openxmlformats.org/officeDocument/2006/relationships/hyperlink" Target="mailto:GiorgiaAndrea.Bordignon@eesc.europa.eu"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sk/our-work/opinions-information-reports/opinions/facilitating-potential-permanent-materials-eu-circular-economy"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esc.europa.eu/en/our-work/opinions-information-reports/opinions/labour-rights-journalists-and-media-professionals-safeguard-independence-and-truthful-information" TargetMode="External"/><Relationship Id="rId31" Type="http://schemas.openxmlformats.org/officeDocument/2006/relationships/hyperlink" Target="https://www.eesc.europa.eu/sk/our-work/opinions-information-reports/opinions/single-market-strategy" TargetMode="External"/><Relationship Id="rId44" Type="http://schemas.openxmlformats.org/officeDocument/2006/relationships/hyperlink" Target="https://www.eesc.europa.eu/sk/our-work/opinions-information-reports/opinions/global-europe-multiannual-financial-framework-proposal" TargetMode="External"/><Relationship Id="rId52" Type="http://schemas.openxmlformats.org/officeDocument/2006/relationships/hyperlink" Target="mailto:Adam.Dorywalski@eesc.europa.eu"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en/our-work/opinions-information-reports/opinions/agoraeu-and-justice-programmes" TargetMode="External"/><Relationship Id="rId27" Type="http://schemas.openxmlformats.org/officeDocument/2006/relationships/hyperlink" Target="mailto:Maja.Radman@eesc.europa.eu" TargetMode="External"/><Relationship Id="rId30" Type="http://schemas.openxmlformats.org/officeDocument/2006/relationships/hyperlink" Target="mailto:Albert.Precup@eesc.europa.eu" TargetMode="External"/><Relationship Id="rId35" Type="http://schemas.openxmlformats.org/officeDocument/2006/relationships/hyperlink" Target="https://www.eesc.europa.eu/sk/our-work/opinions-information-reports/opinions/competitiveness-fund" TargetMode="External"/><Relationship Id="rId43" Type="http://schemas.openxmlformats.org/officeDocument/2006/relationships/hyperlink" Target="mailto:Marie-Laurence.Drillon@eesc.europa.eu" TargetMode="External"/><Relationship Id="rId48" Type="http://schemas.openxmlformats.org/officeDocument/2006/relationships/hyperlink" Target="https://www.eesc.europa.eu/en/our-work/opinions-information-reports/opinions/facilitating-potential-permanent-materials-eu-circular-economy"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eesc.europa.eu/sk/our-work/opinions-information-reports/opinions/industrial-cooperatives-tool-challenge-inclusive-and-sustainable-competitivenes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sk/library/recommendation-protection-safety-and-empowerment-journalists" TargetMode="External"/><Relationship Id="rId7" Type="http://schemas.openxmlformats.org/officeDocument/2006/relationships/hyperlink" Target="https://eur-lex.europa.eu/legal-content/SK/TXT/?uri=CELEX:52021AE5690" TargetMode="External"/><Relationship Id="rId2" Type="http://schemas.openxmlformats.org/officeDocument/2006/relationships/hyperlink" Target="https://eur-lex.europa.eu/legal-content/SK/TXT/?uri=CELEX:52022XC0930(02)" TargetMode="External"/><Relationship Id="rId1" Type="http://schemas.openxmlformats.org/officeDocument/2006/relationships/hyperlink" Target="https://eur-lex.europa.eu/legal-content/SK/TXT/?uri=legissum:4623532" TargetMode="External"/><Relationship Id="rId6" Type="http://schemas.openxmlformats.org/officeDocument/2006/relationships/hyperlink" Target="https://www.eesc.europa.eu/sk/our-work/opinions-information-reports/opinions/minimising-risk-deforestation-and-forest-degradation-associated-products-placed-eu-market" TargetMode="External"/><Relationship Id="rId5" Type="http://schemas.openxmlformats.org/officeDocument/2006/relationships/hyperlink" Target="https://eur-lex.europa.eu/legal-content/SK/TXT/?uri=OJ:C_202406882" TargetMode="External"/><Relationship Id="rId4" Type="http://schemas.openxmlformats.org/officeDocument/2006/relationships/hyperlink" Target="https://eur-lex.europa.eu/legal-content/SK/TXT/HTML/?uri=OJ:C_2025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A6WAAD5KZT2Q-284857674-6449</_dlc_DocId>
    <_dlc_DocIdUrl xmlns="1a33af13-4045-4f88-9d7b-618e30f79918">
      <Url>http://dm/eesc/2025/_layouts/15/DocIdRedir.aspx?ID=A6WAAD5KZT2Q-284857674-6449</Url>
      <Description>A6WAAD5KZT2Q-284857674-6449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Semancikova Stanislava</DisplayName>
        <AccountId>1562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46E0B76E-DF92-4714-AAE1-088308B83420}"/>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5721</Words>
  <Characters>38966</Characters>
  <Application>Microsoft Office Word</Application>
  <DocSecurity>0</DocSecurity>
  <Lines>1025</Lines>
  <Paragraphs>525</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prijatých stanovísk - 601. plenárne zasadnutie - december 2025</dc:title>
  <dc:subject>ADMIN</dc:subject>
  <dc:creator/>
  <cp:keywords>COR-EESC-2022-02583-00-00-ADMIN-TRA-EN</cp:keywords>
  <dc:description>Rapporteur:  - Original language: EN - Date of document: 20/05/2022 - Date of meeting:  - External documents:  - Administrator:  SUCIU Serban</dc:description>
  <cp:lastModifiedBy/>
  <cp:revision>8</cp:revision>
  <dcterms:created xsi:type="dcterms:W3CDTF">2025-12-15T10:39:00Z</dcterms:created>
  <dcterms:modified xsi:type="dcterms:W3CDTF">2025-12-22T10:59:00Z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bbcb1fc7-3a78-440a-abe2-7f45e537b7ea</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50;#HR|2f555653-ed1a-4fe6-8362-9082d95989e5;#47;#BG|1a1b3951-7821-4e6a-85f5-5673fc08bd2c;#42;#EL|6d4f4d51-af9b-4650-94b4-4276bee85c91;#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31;#SL|98a412ae-eb01-49e9-ae3d-585a81724cfc;#30;#LT|a7ff5ce7-6123-4f68-865a-a57c31810414;#29;#CS|72f9705b-0217-4fd3-bea2-cbc7ed80e26e;#28;#SV|c2ed69e7-a339-43d7-8f22-d93680a92aa0;#27;#NL|55c6556c-b4f4-441d-9acf-c498d4f838bd;#24;#PL|1e03da61-4678-4e07-b136-b5024ca9197b;#23;#DE|f6b31e5a-26fa-4935-b661-318e46daf27e;#19;#TCD|cd9d6eb6-3f4f-424a-b2d1-57c9d450eaaf;#16;#ES|e7a6b05b-ae16-40c8-add9-68b64b03aeba;#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46;#SK|46d9fce0-ef79-4f71-b89b-cd6aa82426b8</vt:lpwstr>
  </property>
  <property fmtid="{D5CDD505-2E9C-101B-9397-08002B2CF9AE}" pid="33" name="AvailableTranslations_0">
    <vt:lpwstr>DE|f6b31e5a-26fa-4935-b661-318e46daf27e;LT|a7ff5ce7-6123-4f68-865a-a57c31810414;SV|c2ed69e7-a339-43d7-8f22-d93680a92aa0;NL|55c6556c-b4f4-441d-9acf-c498d4f838bd;ET|ff6c3f4c-b02c-4c3c-ab07-2c37995a7a0a;EN|f2175f21-25d7-44a3-96da-d6a61b075e1b;FI|87606a43-d45f-42d6-b8c9-e1a3457db5b7;LV|46f7e311-5d9f-4663-b433-18aeccb7ace7;DA|5d49c027-8956-412b-aa16-e85a0f96ad0e;EL|6d4f4d51-af9b-4650-94b4-4276bee85c91;IT|0774613c-01ed-4e5d-a25d-11d2388de825;FR|d2afafd3-4c81-4f60-8f52-ee33f2f54ff3;HR|2f555653-ed1a-4fe6-8362-9082d95989e5;SL|98a412ae-eb01-49e9-ae3d-585a81724cfc;CS|72f9705b-0217-4fd3-bea2-cbc7ed80e26e;HU|6b229040-c589-4408-b4c1-4285663d20a8;RO|feb747a2-64cd-4299-af12-4833ddc30497;ES|e7a6b05b-ae16-40c8-add9-68b64b03aeba;PT|50ccc04a-eadd-42ae-a0cb-acaf45f812ba;PL|1e03da61-4678-4e07-b136-b5024ca9197b;BG|1a1b3951-7821-4e6a-85f5-5673fc08bd2c</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