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3FF8C91F" w:rsidR="004D7AC0" w:rsidRDefault="0034591B" w:rsidP="004D7AC0">
      <w:pPr>
        <w:jc w:val="center"/>
      </w:pPr>
      <w:r>
        <w:rPr>
          <w:noProof/>
        </w:rPr>
        <w:drawing>
          <wp:inline distT="0" distB="0" distL="0" distR="0" wp14:anchorId="17A442FB" wp14:editId="13AA50A8">
            <wp:extent cx="1792800" cy="1242000"/>
            <wp:effectExtent l="0" t="0" r="0" b="0"/>
            <wp:docPr id="1" name="Picture 1" title="EESCLogo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ro-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46488F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982DD4E" w14:textId="77777777" w:rsidR="004D7AC0" w:rsidRDefault="004D7AC0" w:rsidP="004D7AC0"/>
    <w:p w14:paraId="4982DD4F" w14:textId="6F2056FC" w:rsidR="004D7AC0" w:rsidRDefault="004D7AC0" w:rsidP="004D7AC0">
      <w:pPr>
        <w:jc w:val="right"/>
      </w:pPr>
      <w:r>
        <w:t>Bruxelles, 17</w:t>
      </w:r>
      <w:r w:rsidR="00F424D9">
        <w:t> </w:t>
      </w:r>
      <w:r>
        <w:t>decembrie</w:t>
      </w:r>
      <w:r w:rsidR="00F424D9">
        <w:t> </w:t>
      </w:r>
      <w:r>
        <w:t>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A 601-A SESIUNE PLENARĂ</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și 4 decembrie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7483A04D" w:rsidR="004D7AC0" w:rsidRPr="0081153B" w:rsidRDefault="004D7AC0" w:rsidP="00600C84">
            <w:pPr>
              <w:snapToGrid w:val="0"/>
              <w:jc w:val="center"/>
            </w:pPr>
            <w:r>
              <w:t xml:space="preserve">Prezentul document este disponibil în limbile oficiale ale Uniunii Europene </w:t>
            </w:r>
            <w:r w:rsidR="00DB01BE">
              <w:br/>
            </w:r>
            <w:r>
              <w:t>pe site-ul internet al</w:t>
            </w:r>
            <w:r w:rsidR="003666CD">
              <w:t> </w:t>
            </w:r>
            <w:r>
              <w:t>CESE, la adresa:</w:t>
            </w:r>
            <w:r w:rsidR="003666CD">
              <w:t xml:space="preserve"> </w:t>
            </w:r>
            <w:r>
              <w:br/>
            </w:r>
            <w:r>
              <w:br/>
            </w:r>
            <w:hyperlink r:id="rId12" w:history="1">
              <w:r>
                <w:rPr>
                  <w:rStyle w:val="Hyperlink"/>
                </w:rPr>
                <w:t>https://www.eesc.europa.eu/ro/our-work/opinions-information-reports/plenary-session-summaries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Avizele menționate pot fi consultate online prin intermediul motorului de căutare al CESE:</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footerReference w:type="default" r:id="rId14"/>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Cuprins: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18F20533" w14:textId="76200FBD" w:rsidR="003666CD" w:rsidRDefault="004D7AC0" w:rsidP="003666CD">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6795106" w:history="1">
            <w:r w:rsidR="003666CD" w:rsidRPr="001D5614">
              <w:rPr>
                <w:rStyle w:val="Hyperlink"/>
                <w:b/>
                <w:noProof/>
              </w:rPr>
              <w:t>1.</w:t>
            </w:r>
            <w:r w:rsidR="003666CD">
              <w:rPr>
                <w:rFonts w:asciiTheme="minorHAnsi" w:eastAsiaTheme="minorEastAsia" w:hAnsiTheme="minorHAnsi" w:cstheme="minorBidi"/>
                <w:noProof/>
                <w:lang w:val="en-US"/>
              </w:rPr>
              <w:tab/>
            </w:r>
            <w:r w:rsidR="003666CD" w:rsidRPr="001D5614">
              <w:rPr>
                <w:rStyle w:val="Hyperlink"/>
                <w:b/>
                <w:noProof/>
              </w:rPr>
              <w:t>SECȚIUNEA PENTRU UNIUNEA ECONOMICĂ ȘI MONETARĂ ȘI COEZIUNE ECONOMICĂ ȘI SOCIALĂ</w:t>
            </w:r>
            <w:r w:rsidR="003666CD">
              <w:rPr>
                <w:noProof/>
                <w:webHidden/>
              </w:rPr>
              <w:tab/>
            </w:r>
            <w:r w:rsidR="003666CD">
              <w:rPr>
                <w:noProof/>
                <w:webHidden/>
              </w:rPr>
              <w:fldChar w:fldCharType="begin"/>
            </w:r>
            <w:r w:rsidR="003666CD">
              <w:rPr>
                <w:noProof/>
                <w:webHidden/>
              </w:rPr>
              <w:instrText xml:space="preserve"> PAGEREF _Toc216795106 \h </w:instrText>
            </w:r>
            <w:r w:rsidR="003666CD">
              <w:rPr>
                <w:noProof/>
                <w:webHidden/>
              </w:rPr>
            </w:r>
            <w:r w:rsidR="003666CD">
              <w:rPr>
                <w:noProof/>
                <w:webHidden/>
              </w:rPr>
              <w:fldChar w:fldCharType="separate"/>
            </w:r>
            <w:r w:rsidR="003666CD">
              <w:rPr>
                <w:noProof/>
                <w:webHidden/>
              </w:rPr>
              <w:t>4</w:t>
            </w:r>
            <w:r w:rsidR="003666CD">
              <w:rPr>
                <w:noProof/>
                <w:webHidden/>
              </w:rPr>
              <w:fldChar w:fldCharType="end"/>
            </w:r>
          </w:hyperlink>
        </w:p>
        <w:p w14:paraId="17BE2FD3" w14:textId="3BCB6C67" w:rsidR="003666CD" w:rsidRDefault="00443888" w:rsidP="003666CD">
          <w:pPr>
            <w:pStyle w:val="TOC1"/>
            <w:rPr>
              <w:rFonts w:asciiTheme="minorHAnsi" w:eastAsiaTheme="minorEastAsia" w:hAnsiTheme="minorHAnsi" w:cstheme="minorBidi"/>
              <w:noProof/>
              <w:lang w:val="en-US"/>
            </w:rPr>
          </w:pPr>
          <w:hyperlink w:anchor="_Toc216795107" w:history="1">
            <w:r w:rsidR="003666CD" w:rsidRPr="001D5614">
              <w:rPr>
                <w:rStyle w:val="Hyperlink"/>
                <w:b/>
                <w:noProof/>
              </w:rPr>
              <w:t>2.</w:t>
            </w:r>
            <w:r w:rsidR="003666CD">
              <w:rPr>
                <w:rFonts w:asciiTheme="minorHAnsi" w:eastAsiaTheme="minorEastAsia" w:hAnsiTheme="minorHAnsi" w:cstheme="minorBidi"/>
                <w:noProof/>
                <w:lang w:val="en-US"/>
              </w:rPr>
              <w:tab/>
            </w:r>
            <w:r w:rsidR="003666CD" w:rsidRPr="001D5614">
              <w:rPr>
                <w:rStyle w:val="Hyperlink"/>
                <w:b/>
                <w:noProof/>
              </w:rPr>
              <w:t>SECȚIUNEA PENTRU OCUPAREA FORȚEI DE MUNCĂ, AFACERI SOCIALE ȘI CETĂȚENIE</w:t>
            </w:r>
            <w:r w:rsidR="003666CD">
              <w:rPr>
                <w:noProof/>
                <w:webHidden/>
              </w:rPr>
              <w:tab/>
            </w:r>
            <w:r w:rsidR="003666CD">
              <w:rPr>
                <w:noProof/>
                <w:webHidden/>
              </w:rPr>
              <w:fldChar w:fldCharType="begin"/>
            </w:r>
            <w:r w:rsidR="003666CD">
              <w:rPr>
                <w:noProof/>
                <w:webHidden/>
              </w:rPr>
              <w:instrText xml:space="preserve"> PAGEREF _Toc216795107 \h </w:instrText>
            </w:r>
            <w:r w:rsidR="003666CD">
              <w:rPr>
                <w:noProof/>
                <w:webHidden/>
              </w:rPr>
            </w:r>
            <w:r w:rsidR="003666CD">
              <w:rPr>
                <w:noProof/>
                <w:webHidden/>
              </w:rPr>
              <w:fldChar w:fldCharType="separate"/>
            </w:r>
            <w:r w:rsidR="003666CD">
              <w:rPr>
                <w:noProof/>
                <w:webHidden/>
              </w:rPr>
              <w:t>7</w:t>
            </w:r>
            <w:r w:rsidR="003666CD">
              <w:rPr>
                <w:noProof/>
                <w:webHidden/>
              </w:rPr>
              <w:fldChar w:fldCharType="end"/>
            </w:r>
          </w:hyperlink>
        </w:p>
        <w:p w14:paraId="5A8C6F6A" w14:textId="5E01A3E2" w:rsidR="003666CD" w:rsidRDefault="00443888" w:rsidP="003666CD">
          <w:pPr>
            <w:pStyle w:val="TOC1"/>
            <w:rPr>
              <w:rFonts w:asciiTheme="minorHAnsi" w:eastAsiaTheme="minorEastAsia" w:hAnsiTheme="minorHAnsi" w:cstheme="minorBidi"/>
              <w:noProof/>
              <w:lang w:val="en-US"/>
            </w:rPr>
          </w:pPr>
          <w:hyperlink w:anchor="_Toc216795112" w:history="1">
            <w:r w:rsidR="003666CD" w:rsidRPr="001D5614">
              <w:rPr>
                <w:rStyle w:val="Hyperlink"/>
                <w:b/>
                <w:noProof/>
              </w:rPr>
              <w:t>3.</w:t>
            </w:r>
            <w:r w:rsidR="003666CD">
              <w:rPr>
                <w:rFonts w:asciiTheme="minorHAnsi" w:eastAsiaTheme="minorEastAsia" w:hAnsiTheme="minorHAnsi" w:cstheme="minorBidi"/>
                <w:noProof/>
                <w:lang w:val="en-US"/>
              </w:rPr>
              <w:tab/>
            </w:r>
            <w:r w:rsidR="003666CD" w:rsidRPr="001D5614">
              <w:rPr>
                <w:rStyle w:val="Hyperlink"/>
                <w:b/>
                <w:noProof/>
              </w:rPr>
              <w:t>SECȚIUNEA PENTRU TRANSPORTURI, ENERGIE, INFRASTRUCTURĂ ȘI SOCIETATEA INFORMAȚIONALĂ</w:t>
            </w:r>
            <w:r w:rsidR="003666CD">
              <w:rPr>
                <w:noProof/>
                <w:webHidden/>
              </w:rPr>
              <w:tab/>
            </w:r>
            <w:r w:rsidR="003666CD">
              <w:rPr>
                <w:noProof/>
                <w:webHidden/>
              </w:rPr>
              <w:fldChar w:fldCharType="begin"/>
            </w:r>
            <w:r w:rsidR="003666CD">
              <w:rPr>
                <w:noProof/>
                <w:webHidden/>
              </w:rPr>
              <w:instrText xml:space="preserve"> PAGEREF _Toc216795112 \h </w:instrText>
            </w:r>
            <w:r w:rsidR="003666CD">
              <w:rPr>
                <w:noProof/>
                <w:webHidden/>
              </w:rPr>
            </w:r>
            <w:r w:rsidR="003666CD">
              <w:rPr>
                <w:noProof/>
                <w:webHidden/>
              </w:rPr>
              <w:fldChar w:fldCharType="separate"/>
            </w:r>
            <w:r w:rsidR="003666CD">
              <w:rPr>
                <w:noProof/>
                <w:webHidden/>
              </w:rPr>
              <w:t>10</w:t>
            </w:r>
            <w:r w:rsidR="003666CD">
              <w:rPr>
                <w:noProof/>
                <w:webHidden/>
              </w:rPr>
              <w:fldChar w:fldCharType="end"/>
            </w:r>
          </w:hyperlink>
        </w:p>
        <w:p w14:paraId="589B2766" w14:textId="2A64AAB4" w:rsidR="003666CD" w:rsidRDefault="00443888" w:rsidP="003666CD">
          <w:pPr>
            <w:pStyle w:val="TOC1"/>
            <w:rPr>
              <w:rFonts w:asciiTheme="minorHAnsi" w:eastAsiaTheme="minorEastAsia" w:hAnsiTheme="minorHAnsi" w:cstheme="minorBidi"/>
              <w:noProof/>
              <w:lang w:val="en-US"/>
            </w:rPr>
          </w:pPr>
          <w:hyperlink w:anchor="_Toc216795113" w:history="1">
            <w:r w:rsidR="003666CD" w:rsidRPr="001D5614">
              <w:rPr>
                <w:rStyle w:val="Hyperlink"/>
                <w:b/>
                <w:noProof/>
              </w:rPr>
              <w:t>4.</w:t>
            </w:r>
            <w:r w:rsidR="003666CD">
              <w:rPr>
                <w:rFonts w:asciiTheme="minorHAnsi" w:eastAsiaTheme="minorEastAsia" w:hAnsiTheme="minorHAnsi" w:cstheme="minorBidi"/>
                <w:noProof/>
                <w:lang w:val="en-US"/>
              </w:rPr>
              <w:tab/>
            </w:r>
            <w:r w:rsidR="003666CD" w:rsidRPr="001D5614">
              <w:rPr>
                <w:rStyle w:val="Hyperlink"/>
                <w:b/>
                <w:noProof/>
              </w:rPr>
              <w:t>SECȚIUNEA PENTRU PIAȚA UNICĂ, PRODUCȚIE ȘI CONSUM</w:t>
            </w:r>
            <w:r w:rsidR="003666CD">
              <w:rPr>
                <w:noProof/>
                <w:webHidden/>
              </w:rPr>
              <w:tab/>
            </w:r>
            <w:r w:rsidR="003666CD">
              <w:rPr>
                <w:noProof/>
                <w:webHidden/>
              </w:rPr>
              <w:fldChar w:fldCharType="begin"/>
            </w:r>
            <w:r w:rsidR="003666CD">
              <w:rPr>
                <w:noProof/>
                <w:webHidden/>
              </w:rPr>
              <w:instrText xml:space="preserve"> PAGEREF _Toc216795113 \h </w:instrText>
            </w:r>
            <w:r w:rsidR="003666CD">
              <w:rPr>
                <w:noProof/>
                <w:webHidden/>
              </w:rPr>
            </w:r>
            <w:r w:rsidR="003666CD">
              <w:rPr>
                <w:noProof/>
                <w:webHidden/>
              </w:rPr>
              <w:fldChar w:fldCharType="separate"/>
            </w:r>
            <w:r w:rsidR="003666CD">
              <w:rPr>
                <w:noProof/>
                <w:webHidden/>
              </w:rPr>
              <w:t>13</w:t>
            </w:r>
            <w:r w:rsidR="003666CD">
              <w:rPr>
                <w:noProof/>
                <w:webHidden/>
              </w:rPr>
              <w:fldChar w:fldCharType="end"/>
            </w:r>
          </w:hyperlink>
        </w:p>
        <w:p w14:paraId="5343517D" w14:textId="0D913119" w:rsidR="003666CD" w:rsidRDefault="00443888" w:rsidP="003666CD">
          <w:pPr>
            <w:pStyle w:val="TOC1"/>
            <w:rPr>
              <w:rFonts w:asciiTheme="minorHAnsi" w:eastAsiaTheme="minorEastAsia" w:hAnsiTheme="minorHAnsi" w:cstheme="minorBidi"/>
              <w:noProof/>
              <w:lang w:val="en-US"/>
            </w:rPr>
          </w:pPr>
          <w:hyperlink w:anchor="_Toc216795114" w:history="1">
            <w:r w:rsidR="003666CD" w:rsidRPr="001D5614">
              <w:rPr>
                <w:rStyle w:val="Hyperlink"/>
                <w:b/>
                <w:noProof/>
              </w:rPr>
              <w:t>5.</w:t>
            </w:r>
            <w:r w:rsidR="003666CD">
              <w:rPr>
                <w:rFonts w:asciiTheme="minorHAnsi" w:eastAsiaTheme="minorEastAsia" w:hAnsiTheme="minorHAnsi" w:cstheme="minorBidi"/>
                <w:noProof/>
                <w:lang w:val="en-US"/>
              </w:rPr>
              <w:tab/>
            </w:r>
            <w:r w:rsidR="003666CD" w:rsidRPr="001D5614">
              <w:rPr>
                <w:rStyle w:val="Hyperlink"/>
                <w:b/>
                <w:noProof/>
              </w:rPr>
              <w:t>SECȚIUNEA PENTRU AGRICULTURĂ, DEZVOLTARE RURALĂ ȘI PROTECȚIA MEDIULUI</w:t>
            </w:r>
            <w:r w:rsidR="003666CD">
              <w:rPr>
                <w:noProof/>
                <w:webHidden/>
              </w:rPr>
              <w:tab/>
            </w:r>
            <w:r w:rsidR="003666CD">
              <w:rPr>
                <w:noProof/>
                <w:webHidden/>
              </w:rPr>
              <w:fldChar w:fldCharType="begin"/>
            </w:r>
            <w:r w:rsidR="003666CD">
              <w:rPr>
                <w:noProof/>
                <w:webHidden/>
              </w:rPr>
              <w:instrText xml:space="preserve"> PAGEREF _Toc216795114 \h </w:instrText>
            </w:r>
            <w:r w:rsidR="003666CD">
              <w:rPr>
                <w:noProof/>
                <w:webHidden/>
              </w:rPr>
            </w:r>
            <w:r w:rsidR="003666CD">
              <w:rPr>
                <w:noProof/>
                <w:webHidden/>
              </w:rPr>
              <w:fldChar w:fldCharType="separate"/>
            </w:r>
            <w:r w:rsidR="003666CD">
              <w:rPr>
                <w:noProof/>
                <w:webHidden/>
              </w:rPr>
              <w:t>17</w:t>
            </w:r>
            <w:r w:rsidR="003666CD">
              <w:rPr>
                <w:noProof/>
                <w:webHidden/>
              </w:rPr>
              <w:fldChar w:fldCharType="end"/>
            </w:r>
          </w:hyperlink>
        </w:p>
        <w:p w14:paraId="589A15A8" w14:textId="1D5A8F78" w:rsidR="003666CD" w:rsidRDefault="00443888" w:rsidP="003666CD">
          <w:pPr>
            <w:pStyle w:val="TOC1"/>
            <w:rPr>
              <w:rFonts w:asciiTheme="minorHAnsi" w:eastAsiaTheme="minorEastAsia" w:hAnsiTheme="minorHAnsi" w:cstheme="minorBidi"/>
              <w:noProof/>
              <w:lang w:val="en-US"/>
            </w:rPr>
          </w:pPr>
          <w:hyperlink w:anchor="_Toc216795115" w:history="1">
            <w:r w:rsidR="003666CD" w:rsidRPr="001D5614">
              <w:rPr>
                <w:rStyle w:val="Hyperlink"/>
                <w:b/>
                <w:noProof/>
              </w:rPr>
              <w:t>6.</w:t>
            </w:r>
            <w:r w:rsidR="003666CD">
              <w:rPr>
                <w:rFonts w:asciiTheme="minorHAnsi" w:eastAsiaTheme="minorEastAsia" w:hAnsiTheme="minorHAnsi" w:cstheme="minorBidi"/>
                <w:noProof/>
                <w:lang w:val="en-US"/>
              </w:rPr>
              <w:tab/>
            </w:r>
            <w:r w:rsidR="003666CD" w:rsidRPr="001D5614">
              <w:rPr>
                <w:rStyle w:val="Hyperlink"/>
                <w:b/>
                <w:noProof/>
              </w:rPr>
              <w:t>SECȚIUNEA PENTRU RELAȚII EXTERNE</w:t>
            </w:r>
            <w:r w:rsidR="003666CD">
              <w:rPr>
                <w:noProof/>
                <w:webHidden/>
              </w:rPr>
              <w:tab/>
            </w:r>
            <w:r w:rsidR="003666CD">
              <w:rPr>
                <w:noProof/>
                <w:webHidden/>
              </w:rPr>
              <w:fldChar w:fldCharType="begin"/>
            </w:r>
            <w:r w:rsidR="003666CD">
              <w:rPr>
                <w:noProof/>
                <w:webHidden/>
              </w:rPr>
              <w:instrText xml:space="preserve"> PAGEREF _Toc216795115 \h </w:instrText>
            </w:r>
            <w:r w:rsidR="003666CD">
              <w:rPr>
                <w:noProof/>
                <w:webHidden/>
              </w:rPr>
            </w:r>
            <w:r w:rsidR="003666CD">
              <w:rPr>
                <w:noProof/>
                <w:webHidden/>
              </w:rPr>
              <w:fldChar w:fldCharType="separate"/>
            </w:r>
            <w:r w:rsidR="003666CD">
              <w:rPr>
                <w:noProof/>
                <w:webHidden/>
              </w:rPr>
              <w:t>19</w:t>
            </w:r>
            <w:r w:rsidR="003666CD">
              <w:rPr>
                <w:noProof/>
                <w:webHidden/>
              </w:rPr>
              <w:fldChar w:fldCharType="end"/>
            </w:r>
          </w:hyperlink>
        </w:p>
        <w:p w14:paraId="2A3DA16E" w14:textId="55C768B9" w:rsidR="003666CD" w:rsidRDefault="00443888" w:rsidP="003666CD">
          <w:pPr>
            <w:pStyle w:val="TOC1"/>
            <w:rPr>
              <w:rFonts w:asciiTheme="minorHAnsi" w:eastAsiaTheme="minorEastAsia" w:hAnsiTheme="minorHAnsi" w:cstheme="minorBidi"/>
              <w:noProof/>
              <w:lang w:val="en-US"/>
            </w:rPr>
          </w:pPr>
          <w:hyperlink w:anchor="_Toc216795116" w:history="1">
            <w:r w:rsidR="003666CD" w:rsidRPr="001D5614">
              <w:rPr>
                <w:rStyle w:val="Hyperlink"/>
                <w:b/>
                <w:noProof/>
              </w:rPr>
              <w:t>7.</w:t>
            </w:r>
            <w:r w:rsidR="003666CD">
              <w:rPr>
                <w:rFonts w:asciiTheme="minorHAnsi" w:eastAsiaTheme="minorEastAsia" w:hAnsiTheme="minorHAnsi" w:cstheme="minorBidi"/>
                <w:noProof/>
                <w:lang w:val="en-US"/>
              </w:rPr>
              <w:tab/>
            </w:r>
            <w:r w:rsidR="003666CD" w:rsidRPr="001D5614">
              <w:rPr>
                <w:rStyle w:val="Hyperlink"/>
                <w:b/>
                <w:noProof/>
              </w:rPr>
              <w:t>COMISIA CONSULTATIVĂ PENTRU MUTAȚII INDUSTRIALE</w:t>
            </w:r>
            <w:r w:rsidR="003666CD">
              <w:rPr>
                <w:noProof/>
                <w:webHidden/>
              </w:rPr>
              <w:tab/>
            </w:r>
            <w:r w:rsidR="003666CD">
              <w:rPr>
                <w:noProof/>
                <w:webHidden/>
              </w:rPr>
              <w:fldChar w:fldCharType="begin"/>
            </w:r>
            <w:r w:rsidR="003666CD">
              <w:rPr>
                <w:noProof/>
                <w:webHidden/>
              </w:rPr>
              <w:instrText xml:space="preserve"> PAGEREF _Toc216795116 \h </w:instrText>
            </w:r>
            <w:r w:rsidR="003666CD">
              <w:rPr>
                <w:noProof/>
                <w:webHidden/>
              </w:rPr>
            </w:r>
            <w:r w:rsidR="003666CD">
              <w:rPr>
                <w:noProof/>
                <w:webHidden/>
              </w:rPr>
              <w:fldChar w:fldCharType="separate"/>
            </w:r>
            <w:r w:rsidR="003666CD">
              <w:rPr>
                <w:noProof/>
                <w:webHidden/>
              </w:rPr>
              <w:t>22</w:t>
            </w:r>
            <w:r w:rsidR="003666CD">
              <w:rPr>
                <w:noProof/>
                <w:webHidden/>
              </w:rPr>
              <w:fldChar w:fldCharType="end"/>
            </w:r>
          </w:hyperlink>
        </w:p>
        <w:p w14:paraId="4982DD6A" w14:textId="1966B2CF"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6795106"/>
      <w:r>
        <w:rPr>
          <w:b/>
        </w:rPr>
        <w:lastRenderedPageBreak/>
        <w:t>SECȚIUNEA PENTRU UNIUNEA ECONOMICĂ ȘI MONETARĂ ȘI COEZIUNE ECONOMICĂ ȘI SOCIALĂ</w:t>
      </w:r>
      <w:bookmarkEnd w:id="0"/>
    </w:p>
    <w:p w14:paraId="4982DD6E" w14:textId="4FF1CE17" w:rsidR="004D7AC0" w:rsidRDefault="004D7AC0" w:rsidP="004D7AC0"/>
    <w:p w14:paraId="18E4A78D" w14:textId="525DD97F" w:rsidR="00E17E4B" w:rsidRPr="002226CE" w:rsidRDefault="00443888" w:rsidP="002226CE">
      <w:pPr>
        <w:pStyle w:val="ListParagraph"/>
        <w:widowControl w:val="0"/>
        <w:numPr>
          <w:ilvl w:val="0"/>
          <w:numId w:val="36"/>
        </w:numPr>
        <w:ind w:hanging="862"/>
        <w:jc w:val="left"/>
        <w:rPr>
          <w:b/>
          <w:i/>
          <w:iCs/>
          <w:sz w:val="28"/>
          <w:szCs w:val="28"/>
        </w:rPr>
      </w:pPr>
      <w:hyperlink r:id="rId15" w:history="1">
        <w:r w:rsidR="00E17E4B" w:rsidRPr="002226CE">
          <w:rPr>
            <w:rStyle w:val="Hyperlink"/>
            <w:b/>
            <w:i/>
            <w:sz w:val="28"/>
          </w:rPr>
          <w:t xml:space="preserve">Punerea în aplicare a strategiilor </w:t>
        </w:r>
        <w:proofErr w:type="spellStart"/>
        <w:r w:rsidR="00E17E4B" w:rsidRPr="002226CE">
          <w:rPr>
            <w:rStyle w:val="Hyperlink"/>
            <w:b/>
            <w:i/>
            <w:sz w:val="28"/>
          </w:rPr>
          <w:t>macroregionale</w:t>
        </w:r>
        <w:proofErr w:type="spellEnd"/>
        <w:r w:rsidR="00E17E4B" w:rsidRPr="002226CE">
          <w:rPr>
            <w:rStyle w:val="Hyperlink"/>
            <w:b/>
            <w:i/>
            <w:sz w:val="28"/>
          </w:rPr>
          <w:t xml:space="preserve"> ale UE –</w:t>
        </w:r>
        <w:r w:rsidR="002226CE">
          <w:rPr>
            <w:rStyle w:val="Hyperlink"/>
            <w:b/>
            <w:i/>
            <w:sz w:val="28"/>
          </w:rPr>
          <w:t>a</w:t>
        </w:r>
        <w:r w:rsidR="00E17E4B" w:rsidRPr="002226CE">
          <w:rPr>
            <w:rStyle w:val="Hyperlink"/>
            <w:b/>
            <w:i/>
            <w:sz w:val="28"/>
          </w:rPr>
          <w:t>l 5-lea raport</w:t>
        </w:r>
      </w:hyperlink>
    </w:p>
    <w:p w14:paraId="16FC86BF" w14:textId="77777777" w:rsidR="00E17E4B" w:rsidRPr="008151EF" w:rsidRDefault="00E17E4B" w:rsidP="00EC0053">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17E4B" w:rsidRPr="00A6689B" w14:paraId="676E053B" w14:textId="77777777" w:rsidTr="00EC0053">
        <w:tc>
          <w:tcPr>
            <w:tcW w:w="1701" w:type="dxa"/>
          </w:tcPr>
          <w:p w14:paraId="70C9FB8A" w14:textId="77777777" w:rsidR="00E17E4B" w:rsidRPr="00A6689B" w:rsidRDefault="00E17E4B" w:rsidP="00EC0053">
            <w:pPr>
              <w:tabs>
                <w:tab w:val="center" w:pos="284"/>
              </w:tabs>
              <w:ind w:left="266" w:hanging="266"/>
              <w:rPr>
                <w:b/>
              </w:rPr>
            </w:pPr>
            <w:r>
              <w:rPr>
                <w:b/>
                <w:bCs/>
              </w:rPr>
              <w:t>Raportor:</w:t>
            </w:r>
          </w:p>
        </w:tc>
        <w:tc>
          <w:tcPr>
            <w:tcW w:w="7621" w:type="dxa"/>
          </w:tcPr>
          <w:p w14:paraId="0FC3D924" w14:textId="77777777" w:rsidR="00E17E4B" w:rsidRPr="00A37E38" w:rsidRDefault="00E17E4B" w:rsidP="00EC0053">
            <w:pPr>
              <w:tabs>
                <w:tab w:val="center" w:pos="284"/>
              </w:tabs>
              <w:ind w:left="266" w:hanging="266"/>
              <w:rPr>
                <w:bCs/>
              </w:rPr>
            </w:pPr>
            <w:proofErr w:type="spellStart"/>
            <w:r>
              <w:t>Stefano</w:t>
            </w:r>
            <w:proofErr w:type="spellEnd"/>
            <w:r>
              <w:t xml:space="preserve"> PALMIERI (Grupul „Lucrători” – IT)</w:t>
            </w:r>
          </w:p>
        </w:tc>
      </w:tr>
      <w:tr w:rsidR="00E17E4B" w:rsidRPr="00D12508" w14:paraId="42F1513C" w14:textId="77777777" w:rsidTr="00EC0053">
        <w:tc>
          <w:tcPr>
            <w:tcW w:w="1701" w:type="dxa"/>
          </w:tcPr>
          <w:p w14:paraId="02CB8965" w14:textId="77777777" w:rsidR="00E17E4B" w:rsidRPr="00A6689B" w:rsidRDefault="00E17E4B" w:rsidP="00EC0053">
            <w:pPr>
              <w:tabs>
                <w:tab w:val="center" w:pos="284"/>
              </w:tabs>
              <w:ind w:left="266" w:hanging="266"/>
              <w:rPr>
                <w:b/>
              </w:rPr>
            </w:pPr>
            <w:r>
              <w:rPr>
                <w:b/>
              </w:rPr>
              <w:t>Referințe:</w:t>
            </w:r>
          </w:p>
        </w:tc>
        <w:tc>
          <w:tcPr>
            <w:tcW w:w="7621" w:type="dxa"/>
          </w:tcPr>
          <w:p w14:paraId="6B934BA9" w14:textId="25F61162" w:rsidR="007E15CB" w:rsidRDefault="00E17E4B" w:rsidP="00EC0053">
            <w:pPr>
              <w:tabs>
                <w:tab w:val="center" w:pos="284"/>
              </w:tabs>
              <w:ind w:left="266" w:hanging="266"/>
            </w:pPr>
            <w:r>
              <w:t>COM(2025) 191 final</w:t>
            </w:r>
          </w:p>
          <w:p w14:paraId="55629CD1" w14:textId="3E981610" w:rsidR="00E17E4B" w:rsidRPr="00861FFD" w:rsidRDefault="00E17E4B" w:rsidP="00EC0053">
            <w:pPr>
              <w:tabs>
                <w:tab w:val="center" w:pos="284"/>
              </w:tabs>
              <w:ind w:left="266" w:hanging="266"/>
            </w:pPr>
            <w:r>
              <w:t>COM(2025) 196 final</w:t>
            </w:r>
          </w:p>
          <w:p w14:paraId="4326CF73" w14:textId="77777777" w:rsidR="00E17E4B" w:rsidRPr="00861FFD" w:rsidRDefault="00E17E4B" w:rsidP="00EC0053">
            <w:pPr>
              <w:tabs>
                <w:tab w:val="center" w:pos="284"/>
              </w:tabs>
              <w:ind w:left="266" w:hanging="266"/>
            </w:pPr>
            <w:r>
              <w:t>EESC-2025-02216-00-00-AC-TRA</w:t>
            </w:r>
          </w:p>
        </w:tc>
      </w:tr>
    </w:tbl>
    <w:p w14:paraId="3EC63833" w14:textId="77777777" w:rsidR="00E17E4B" w:rsidRDefault="00E17E4B" w:rsidP="00EC0053">
      <w:pPr>
        <w:keepNext/>
        <w:keepLines/>
        <w:tabs>
          <w:tab w:val="center" w:pos="284"/>
        </w:tabs>
        <w:spacing w:before="120"/>
        <w:ind w:left="266" w:hanging="266"/>
        <w:rPr>
          <w:b/>
        </w:rPr>
      </w:pPr>
      <w:r>
        <w:rPr>
          <w:b/>
        </w:rPr>
        <w:t>Punctele principale:</w:t>
      </w:r>
    </w:p>
    <w:p w14:paraId="5566C85B" w14:textId="77777777" w:rsidR="00E17E4B" w:rsidRDefault="00E17E4B" w:rsidP="00EC0053">
      <w:pPr>
        <w:keepNext/>
        <w:keepLines/>
        <w:tabs>
          <w:tab w:val="center" w:pos="284"/>
        </w:tabs>
        <w:spacing w:before="120"/>
        <w:ind w:left="266" w:hanging="266"/>
        <w:rPr>
          <w:b/>
        </w:rPr>
      </w:pPr>
    </w:p>
    <w:p w14:paraId="63211E01" w14:textId="77777777" w:rsidR="00E17E4B" w:rsidRDefault="00E17E4B" w:rsidP="00EC0053">
      <w:r>
        <w:t>CESE:</w:t>
      </w:r>
    </w:p>
    <w:p w14:paraId="0888E921" w14:textId="77777777" w:rsidR="00E17E4B" w:rsidRDefault="00E17E4B" w:rsidP="00EC0053">
      <w:pPr>
        <w:rPr>
          <w:bCs/>
          <w:iCs/>
        </w:rPr>
      </w:pPr>
    </w:p>
    <w:p w14:paraId="07644586" w14:textId="77777777" w:rsidR="00E17E4B" w:rsidRDefault="00E17E4B" w:rsidP="00E17E4B">
      <w:pPr>
        <w:pStyle w:val="ListParagraph"/>
        <w:numPr>
          <w:ilvl w:val="0"/>
          <w:numId w:val="5"/>
        </w:numPr>
        <w:overflowPunct w:val="0"/>
        <w:autoSpaceDE w:val="0"/>
        <w:autoSpaceDN w:val="0"/>
        <w:adjustRightInd w:val="0"/>
        <w:textAlignment w:val="baseline"/>
      </w:pPr>
      <w:r>
        <w:t xml:space="preserve">recunoaște rolul strategiilor </w:t>
      </w:r>
      <w:proofErr w:type="spellStart"/>
      <w:r>
        <w:t>macroregionale</w:t>
      </w:r>
      <w:proofErr w:type="spellEnd"/>
      <w:r>
        <w:t xml:space="preserve"> (SMR) în generarea unor sinergii pe mai multe niveluri între politici, programe și actori. Aceste strategii au sprijinit tranziția verde și digitală și au dezvoltat o capacitate importantă de reziliență și solidaritate în timpul pandemiei și al crizelor în curs;</w:t>
      </w:r>
    </w:p>
    <w:p w14:paraId="2CCBD170" w14:textId="77777777" w:rsidR="00E17E4B" w:rsidRDefault="00E17E4B" w:rsidP="00E17E4B">
      <w:pPr>
        <w:pStyle w:val="ListParagraph"/>
        <w:numPr>
          <w:ilvl w:val="0"/>
          <w:numId w:val="5"/>
        </w:numPr>
        <w:overflowPunct w:val="0"/>
        <w:autoSpaceDE w:val="0"/>
        <w:autoSpaceDN w:val="0"/>
        <w:adjustRightInd w:val="0"/>
        <w:textAlignment w:val="baseline"/>
      </w:pPr>
      <w:r>
        <w:t>solicită consolidarea guvernanței verticale și orizontale pe mai multe niveluri, prin asigurarea implicării structurilor locale;</w:t>
      </w:r>
    </w:p>
    <w:p w14:paraId="222E9287" w14:textId="77777777" w:rsidR="00E17E4B" w:rsidRDefault="00E17E4B" w:rsidP="00E17E4B">
      <w:pPr>
        <w:pStyle w:val="ListParagraph"/>
        <w:numPr>
          <w:ilvl w:val="0"/>
          <w:numId w:val="5"/>
        </w:numPr>
        <w:overflowPunct w:val="0"/>
        <w:autoSpaceDE w:val="0"/>
        <w:autoSpaceDN w:val="0"/>
        <w:adjustRightInd w:val="0"/>
        <w:textAlignment w:val="baseline"/>
      </w:pPr>
      <w:r>
        <w:t xml:space="preserve">salută procesele de revizuire a strategiilor și solicită consolidarea dimensiunii sociale (între altele, a tinerilor), a participării civice și a cooperării interregionale. Strategiile </w:t>
      </w:r>
      <w:proofErr w:type="spellStart"/>
      <w:r>
        <w:t>macroregionale</w:t>
      </w:r>
      <w:proofErr w:type="spellEnd"/>
      <w:r>
        <w:t xml:space="preserve"> trebuie să acționeze ca laboratoare de incluziune și inovare socială și să sprijine impozitarea ecologică și capitalul uman;</w:t>
      </w:r>
    </w:p>
    <w:p w14:paraId="6FB7FA8A" w14:textId="77777777" w:rsidR="00E17E4B" w:rsidRDefault="00E17E4B" w:rsidP="00E17E4B">
      <w:pPr>
        <w:pStyle w:val="ListParagraph"/>
        <w:numPr>
          <w:ilvl w:val="0"/>
          <w:numId w:val="5"/>
        </w:numPr>
        <w:overflowPunct w:val="0"/>
        <w:autoSpaceDE w:val="0"/>
        <w:autoSpaceDN w:val="0"/>
        <w:adjustRightInd w:val="0"/>
        <w:textAlignment w:val="baseline"/>
      </w:pPr>
      <w:r>
        <w:t>ia notă de rezultatele SEUSBSR, care a promovat sustenabilitatea și conexiunile în Marea Baltică. Prin instituirea unui punct strategic pentru Marea Baltică, revizuirea din 2021 a acestei strategii a consolidat cooperarea și gestionarea. Deși relațiile cu Rusia și Belarus au fost suspendate, strategia rămâne valabilă;</w:t>
      </w:r>
    </w:p>
    <w:p w14:paraId="00137480" w14:textId="77777777" w:rsidR="00E17E4B" w:rsidRDefault="00E17E4B" w:rsidP="00E17E4B">
      <w:pPr>
        <w:pStyle w:val="ListParagraph"/>
        <w:numPr>
          <w:ilvl w:val="0"/>
          <w:numId w:val="5"/>
        </w:numPr>
        <w:overflowPunct w:val="0"/>
        <w:autoSpaceDE w:val="0"/>
        <w:autoSpaceDN w:val="0"/>
        <w:adjustRightInd w:val="0"/>
        <w:textAlignment w:val="baseline"/>
      </w:pPr>
      <w:r>
        <w:t>evidențiază progresele înregistrate de Strategia UE pentru regiunea Dunării (EUSDR). Revizuirea din 2020 a acestei strategii a consolidat coerența cu prioritățile UE și participarea tinerilor, deși cu performanțe inegale și cu un angajament politic eterogen. Președințiile au relansat inovarea și guvernanța;</w:t>
      </w:r>
    </w:p>
    <w:p w14:paraId="0569096D" w14:textId="77777777" w:rsidR="00E17E4B" w:rsidRDefault="00E17E4B" w:rsidP="00E17E4B">
      <w:pPr>
        <w:pStyle w:val="ListParagraph"/>
        <w:numPr>
          <w:ilvl w:val="0"/>
          <w:numId w:val="5"/>
        </w:numPr>
        <w:overflowPunct w:val="0"/>
        <w:autoSpaceDE w:val="0"/>
        <w:autoSpaceDN w:val="0"/>
        <w:adjustRightInd w:val="0"/>
        <w:textAlignment w:val="baseline"/>
      </w:pPr>
      <w:r>
        <w:t xml:space="preserve">subliniază rezultatele Strategiei </w:t>
      </w:r>
      <w:proofErr w:type="spellStart"/>
      <w:r>
        <w:t>macroregionale</w:t>
      </w:r>
      <w:proofErr w:type="spellEnd"/>
      <w:r>
        <w:t xml:space="preserve"> pentru regiunea Mării Adriatice și a Mării Ionice (EUSAIR), care a actualizat recent planul de acțiune prin introducerea unui al cincilea pilon social. Strategia integrează extinderea, economia circulară și digitalizarea, consolidând parteneriatele și reziliența;</w:t>
      </w:r>
    </w:p>
    <w:p w14:paraId="299B538C" w14:textId="77777777" w:rsidR="00E17E4B" w:rsidRDefault="00E17E4B" w:rsidP="00E17E4B">
      <w:pPr>
        <w:pStyle w:val="ListParagraph"/>
        <w:numPr>
          <w:ilvl w:val="0"/>
          <w:numId w:val="5"/>
        </w:numPr>
        <w:overflowPunct w:val="0"/>
        <w:autoSpaceDE w:val="0"/>
        <w:autoSpaceDN w:val="0"/>
        <w:adjustRightInd w:val="0"/>
        <w:textAlignment w:val="baseline"/>
      </w:pPr>
      <w:r>
        <w:t xml:space="preserve">CSE salută Strategia </w:t>
      </w:r>
      <w:proofErr w:type="spellStart"/>
      <w:r>
        <w:t>macroregională</w:t>
      </w:r>
      <w:proofErr w:type="spellEnd"/>
      <w:r>
        <w:t xml:space="preserve"> pentru regiunea alpină (EUSALP), care a consolidat cooperarea și guvernanța stabilă și a deschis oportunități cu țările terțe. Revizuirea integrează prioritățile legate de digitalizare, energie, apă și economia circulară;</w:t>
      </w:r>
    </w:p>
    <w:p w14:paraId="46E0E4CA" w14:textId="77777777" w:rsidR="00E17E4B" w:rsidRDefault="00E17E4B" w:rsidP="00E17E4B">
      <w:pPr>
        <w:pStyle w:val="ListParagraph"/>
        <w:numPr>
          <w:ilvl w:val="0"/>
          <w:numId w:val="5"/>
        </w:numPr>
        <w:overflowPunct w:val="0"/>
        <w:autoSpaceDE w:val="0"/>
        <w:autoSpaceDN w:val="0"/>
        <w:adjustRightInd w:val="0"/>
        <w:textAlignment w:val="baseline"/>
      </w:pPr>
      <w:r>
        <w:t xml:space="preserve">observă că extinderea către țările din Balcanii de Vest, Ucraina și Moldova este o prioritate strategică și că strategiile </w:t>
      </w:r>
      <w:proofErr w:type="spellStart"/>
      <w:r>
        <w:t>macroregionale</w:t>
      </w:r>
      <w:proofErr w:type="spellEnd"/>
      <w:r>
        <w:t xml:space="preserve"> pot consolida cooperarea, capacitățile instituționale;</w:t>
      </w:r>
    </w:p>
    <w:p w14:paraId="3CB5F339" w14:textId="77777777" w:rsidR="00E17E4B" w:rsidRDefault="00E17E4B" w:rsidP="00E17E4B">
      <w:pPr>
        <w:pStyle w:val="ListParagraph"/>
        <w:numPr>
          <w:ilvl w:val="0"/>
          <w:numId w:val="5"/>
        </w:numPr>
        <w:overflowPunct w:val="0"/>
        <w:autoSpaceDE w:val="0"/>
        <w:autoSpaceDN w:val="0"/>
        <w:adjustRightInd w:val="0"/>
        <w:textAlignment w:val="baseline"/>
      </w:pPr>
      <w:r>
        <w:t>observă că agresiunea militară a Rusiei împotriva Ucrainei a confirmat rolul SMR de instrumente de solidaritate și reziliență;</w:t>
      </w:r>
    </w:p>
    <w:p w14:paraId="2B40A361" w14:textId="77777777" w:rsidR="00E17E4B" w:rsidRDefault="00E17E4B" w:rsidP="00E17E4B">
      <w:pPr>
        <w:pStyle w:val="ListParagraph"/>
        <w:numPr>
          <w:ilvl w:val="0"/>
          <w:numId w:val="5"/>
        </w:numPr>
        <w:overflowPunct w:val="0"/>
        <w:autoSpaceDE w:val="0"/>
        <w:autoSpaceDN w:val="0"/>
        <w:adjustRightInd w:val="0"/>
        <w:textAlignment w:val="baseline"/>
      </w:pPr>
      <w:r>
        <w:t xml:space="preserve">consideră că abordarea bazată pe realitatea zonei a SMR este esențială, dat fiind că adaptează prioritățile europene la trăsăturile specifice teritoriale și promovează coeziunea prin instrumente precum DLRC și inițiative inovatoare de promovare a participării civice și a tinerilor; </w:t>
      </w:r>
    </w:p>
    <w:p w14:paraId="69C899A0" w14:textId="77777777" w:rsidR="00E17E4B" w:rsidRDefault="00E17E4B" w:rsidP="00E17E4B">
      <w:pPr>
        <w:pStyle w:val="ListParagraph"/>
        <w:numPr>
          <w:ilvl w:val="0"/>
          <w:numId w:val="5"/>
        </w:numPr>
        <w:overflowPunct w:val="0"/>
        <w:autoSpaceDE w:val="0"/>
        <w:autoSpaceDN w:val="0"/>
        <w:adjustRightInd w:val="0"/>
        <w:textAlignment w:val="baseline"/>
      </w:pPr>
      <w:r>
        <w:lastRenderedPageBreak/>
        <w:t>solicită o guvernanță și o finanțare mai puternice, care să integreze prioritățile SMR în principalele programe ale UE. Sunt necesare consolidarea competențelor locale și a parteneriatelor și implicarea activă a societății civile și a tinerilor;</w:t>
      </w:r>
    </w:p>
    <w:p w14:paraId="4FBA83B6" w14:textId="77777777" w:rsidR="00E17E4B" w:rsidRDefault="00E17E4B" w:rsidP="00E17E4B">
      <w:pPr>
        <w:pStyle w:val="ListParagraph"/>
        <w:numPr>
          <w:ilvl w:val="0"/>
          <w:numId w:val="5"/>
        </w:numPr>
        <w:overflowPunct w:val="0"/>
        <w:autoSpaceDE w:val="0"/>
        <w:autoSpaceDN w:val="0"/>
        <w:adjustRightInd w:val="0"/>
        <w:textAlignment w:val="baseline"/>
      </w:pPr>
      <w:r>
        <w:t xml:space="preserve">consideră că noul cadru financiar multianual (2028-2034) prezintă riscuri pentru buna funcționare a strategiilor </w:t>
      </w:r>
      <w:proofErr w:type="spellStart"/>
      <w:r>
        <w:t>macroregionale</w:t>
      </w:r>
      <w:proofErr w:type="spellEnd"/>
      <w:r>
        <w:t>. Prin urmare, este esențial ca prioritățile privind SMR să fie incluse în planurile de parteneriat;</w:t>
      </w:r>
    </w:p>
    <w:p w14:paraId="415BCF3C" w14:textId="77777777" w:rsidR="00E17E4B" w:rsidRDefault="00E17E4B" w:rsidP="00E17E4B">
      <w:pPr>
        <w:pStyle w:val="ListParagraph"/>
        <w:numPr>
          <w:ilvl w:val="0"/>
          <w:numId w:val="5"/>
        </w:numPr>
        <w:overflowPunct w:val="0"/>
        <w:autoSpaceDE w:val="0"/>
        <w:autoSpaceDN w:val="0"/>
        <w:adjustRightInd w:val="0"/>
        <w:textAlignment w:val="baseline"/>
      </w:pPr>
      <w:r>
        <w:t xml:space="preserve">subliniază necesitatea unei guvernanțe transparente, responsabile și lipsite de corupție în instituțiile implicate în strategiile </w:t>
      </w:r>
      <w:proofErr w:type="spellStart"/>
      <w:r>
        <w:t>macroregionale</w:t>
      </w:r>
      <w:proofErr w:type="spellEnd"/>
      <w:r>
        <w:t>;</w:t>
      </w:r>
    </w:p>
    <w:p w14:paraId="7A29FCC5" w14:textId="77777777" w:rsidR="00E17E4B" w:rsidRPr="00D12508" w:rsidRDefault="00E17E4B" w:rsidP="00E17E4B">
      <w:pPr>
        <w:pStyle w:val="ListParagraph"/>
        <w:numPr>
          <w:ilvl w:val="0"/>
          <w:numId w:val="5"/>
        </w:numPr>
        <w:overflowPunct w:val="0"/>
        <w:autoSpaceDE w:val="0"/>
        <w:autoSpaceDN w:val="0"/>
        <w:adjustRightInd w:val="0"/>
        <w:textAlignment w:val="baseline"/>
        <w:rPr>
          <w:bCs/>
          <w:iCs/>
        </w:rPr>
      </w:pPr>
      <w:r>
        <w:t>solicită crearea unei noi macroregiuni în Mediterana, pentru a aborda provocări comune, cum ar fi schimbările climatice, fluxurile de migrație, tranziția energetică și durabilitatea albastră.</w:t>
      </w:r>
    </w:p>
    <w:p w14:paraId="37D318D0" w14:textId="77777777" w:rsidR="00E17E4B" w:rsidRPr="00DE6065" w:rsidRDefault="00E17E4B" w:rsidP="00D12508">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479"/>
      </w:tblGrid>
      <w:tr w:rsidR="00E17E4B" w:rsidRPr="00A6689B" w14:paraId="58D95966" w14:textId="77777777" w:rsidTr="000F1571">
        <w:tc>
          <w:tcPr>
            <w:tcW w:w="1843" w:type="dxa"/>
          </w:tcPr>
          <w:p w14:paraId="386BB828" w14:textId="77777777" w:rsidR="00E17E4B" w:rsidRPr="00A6689B" w:rsidRDefault="00E17E4B" w:rsidP="00EC0053">
            <w:pPr>
              <w:rPr>
                <w:i/>
              </w:rPr>
            </w:pPr>
            <w:r>
              <w:rPr>
                <w:b/>
                <w:i/>
              </w:rPr>
              <w:t>Date de contact:</w:t>
            </w:r>
          </w:p>
        </w:tc>
        <w:tc>
          <w:tcPr>
            <w:tcW w:w="7479" w:type="dxa"/>
          </w:tcPr>
          <w:p w14:paraId="1784B325" w14:textId="77777777" w:rsidR="00E17E4B" w:rsidRPr="00165B52" w:rsidRDefault="00E17E4B" w:rsidP="00EC0053">
            <w:pPr>
              <w:rPr>
                <w:i/>
              </w:rPr>
            </w:pPr>
            <w:r>
              <w:rPr>
                <w:i/>
              </w:rPr>
              <w:t>Georgios MELEAS</w:t>
            </w:r>
          </w:p>
        </w:tc>
      </w:tr>
      <w:tr w:rsidR="00E17E4B" w:rsidRPr="00A6689B" w14:paraId="4F3DA5E9" w14:textId="77777777" w:rsidTr="000F1571">
        <w:tc>
          <w:tcPr>
            <w:tcW w:w="1843" w:type="dxa"/>
          </w:tcPr>
          <w:p w14:paraId="2547786C" w14:textId="77777777" w:rsidR="00E17E4B" w:rsidRPr="00A6689B" w:rsidRDefault="00E17E4B" w:rsidP="00EC0053">
            <w:pPr>
              <w:rPr>
                <w:i/>
              </w:rPr>
            </w:pPr>
            <w:r>
              <w:rPr>
                <w:i/>
              </w:rPr>
              <w:t>Tel.:</w:t>
            </w:r>
          </w:p>
        </w:tc>
        <w:tc>
          <w:tcPr>
            <w:tcW w:w="7479" w:type="dxa"/>
          </w:tcPr>
          <w:p w14:paraId="41E37CF5" w14:textId="77777777" w:rsidR="00E17E4B" w:rsidRPr="00A6689B" w:rsidRDefault="00E17E4B" w:rsidP="00EC0053">
            <w:pPr>
              <w:rPr>
                <w:i/>
              </w:rPr>
            </w:pPr>
            <w:r>
              <w:rPr>
                <w:i/>
              </w:rPr>
              <w:t>+32 2</w:t>
            </w:r>
            <w:r>
              <w:t xml:space="preserve"> </w:t>
            </w:r>
            <w:r>
              <w:rPr>
                <w:i/>
              </w:rPr>
              <w:t>546 9795</w:t>
            </w:r>
          </w:p>
        </w:tc>
      </w:tr>
      <w:tr w:rsidR="00E17E4B" w:rsidRPr="00A6689B" w14:paraId="7A03F45A" w14:textId="77777777" w:rsidTr="000F1571">
        <w:tc>
          <w:tcPr>
            <w:tcW w:w="1843" w:type="dxa"/>
          </w:tcPr>
          <w:p w14:paraId="0B12AC7F" w14:textId="77777777" w:rsidR="00E17E4B" w:rsidRPr="00A6689B" w:rsidRDefault="00E17E4B" w:rsidP="00EC0053">
            <w:pPr>
              <w:rPr>
                <w:i/>
              </w:rPr>
            </w:pPr>
            <w:r>
              <w:rPr>
                <w:i/>
              </w:rPr>
              <w:t>E-mail:</w:t>
            </w:r>
          </w:p>
        </w:tc>
        <w:tc>
          <w:tcPr>
            <w:tcW w:w="7479" w:type="dxa"/>
          </w:tcPr>
          <w:p w14:paraId="6670373C" w14:textId="77777777" w:rsidR="00E17E4B" w:rsidRPr="00D12508" w:rsidRDefault="00443888" w:rsidP="00EC0053">
            <w:pPr>
              <w:rPr>
                <w:i/>
                <w:iCs/>
              </w:rPr>
            </w:pPr>
            <w:hyperlink r:id="rId16" w:history="1">
              <w:r w:rsidR="00E17E4B">
                <w:rPr>
                  <w:rStyle w:val="Hyperlink"/>
                  <w:i/>
                </w:rPr>
                <w:t>Georgios.Meleas@eesc.europa.eu</w:t>
              </w:r>
            </w:hyperlink>
          </w:p>
        </w:tc>
      </w:tr>
    </w:tbl>
    <w:p w14:paraId="4982DD96" w14:textId="77777777" w:rsidR="004D7AC0" w:rsidRDefault="004D7AC0" w:rsidP="004D7AC0">
      <w:pPr>
        <w:pStyle w:val="ListParagraph"/>
        <w:ind w:left="0"/>
      </w:pPr>
    </w:p>
    <w:p w14:paraId="5915F442" w14:textId="77777777" w:rsidR="002226CE" w:rsidRDefault="00612898" w:rsidP="00054C58">
      <w:pPr>
        <w:spacing w:after="160" w:line="259" w:lineRule="auto"/>
        <w:jc w:val="left"/>
      </w:pPr>
      <w:r>
        <w:br w:type="page"/>
      </w:r>
    </w:p>
    <w:p w14:paraId="269F0275" w14:textId="6C15C05D" w:rsidR="002226CE" w:rsidRPr="004A0D54" w:rsidRDefault="002226CE" w:rsidP="004A0D54">
      <w:pPr>
        <w:widowControl w:val="0"/>
        <w:spacing w:line="240" w:lineRule="auto"/>
        <w:jc w:val="center"/>
        <w:rPr>
          <w:bCs/>
          <w:iCs/>
          <w:sz w:val="16"/>
          <w:szCs w:val="16"/>
        </w:rPr>
      </w:pPr>
      <w:r>
        <w:rPr>
          <w:noProof/>
          <w:sz w:val="20"/>
        </w:rPr>
        <w:lastRenderedPageBreak/>
        <mc:AlternateContent>
          <mc:Choice Requires="wps">
            <w:drawing>
              <wp:anchor distT="0" distB="0" distL="114300" distR="114300" simplePos="0" relativeHeight="251663360" behindDoc="1" locked="0" layoutInCell="0" allowOverlap="1" wp14:anchorId="2FF889FF" wp14:editId="1981B157">
                <wp:simplePos x="0" y="0"/>
                <wp:positionH relativeFrom="page">
                  <wp:posOffset>6769100</wp:posOffset>
                </wp:positionH>
                <wp:positionV relativeFrom="page">
                  <wp:posOffset>10081260</wp:posOffset>
                </wp:positionV>
                <wp:extent cx="647700" cy="396240"/>
                <wp:effectExtent l="0" t="3810" r="317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F37F" w14:textId="3C065A9E" w:rsidR="002226CE" w:rsidRPr="00C215C3" w:rsidRDefault="002226CE">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89FF" id="_x0000_s1027" type="#_x0000_t202"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MM5NzH0AQAAzQMAAA4AAAAAAAAAAAAAAAAALgIAAGRy&#10;cy9lMm9Eb2MueG1sUEsBAi0AFAAGAAgAAAAhAOtUMVreAAAADwEAAA8AAAAAAAAAAAAAAAAATgQA&#10;AGRycy9kb3ducmV2LnhtbFBLBQYAAAAABAAEAPMAAABZBQAAAAA=&#10;" o:allowincell="f" filled="f" stroked="f">
                <v:textbox>
                  <w:txbxContent>
                    <w:p w14:paraId="7364F37F" w14:textId="3C065A9E" w:rsidR="002226CE" w:rsidRPr="00C215C3" w:rsidRDefault="002226CE">
                      <w:pPr>
                        <w:jc w:val="center"/>
                        <w:rPr>
                          <w:rFonts w:ascii="Arial" w:hAnsi="Arial" w:cs="Arial"/>
                          <w:b/>
                          <w:bCs/>
                          <w:color w:val="FFFFFF" w:themeColor="background1"/>
                          <w:sz w:val="48"/>
                        </w:rPr>
                      </w:pPr>
                    </w:p>
                  </w:txbxContent>
                </v:textbox>
                <w10:wrap anchorx="page" anchory="page"/>
              </v:shape>
            </w:pict>
          </mc:Fallback>
        </mc:AlternateContent>
      </w:r>
    </w:p>
    <w:p w14:paraId="3D2E00FF" w14:textId="18CA3081" w:rsidR="002226CE" w:rsidRDefault="00443888" w:rsidP="002226CE">
      <w:pPr>
        <w:widowControl w:val="0"/>
        <w:numPr>
          <w:ilvl w:val="0"/>
          <w:numId w:val="4"/>
        </w:numPr>
        <w:overflowPunct w:val="0"/>
        <w:autoSpaceDE w:val="0"/>
        <w:autoSpaceDN w:val="0"/>
        <w:adjustRightInd w:val="0"/>
        <w:ind w:left="425" w:right="-142" w:hanging="425"/>
        <w:textAlignment w:val="baseline"/>
        <w:rPr>
          <w:b/>
          <w:i/>
          <w:iCs/>
          <w:sz w:val="28"/>
          <w:szCs w:val="28"/>
        </w:rPr>
      </w:pPr>
      <w:hyperlink r:id="rId17" w:history="1">
        <w:r w:rsidR="002226CE">
          <w:rPr>
            <w:rStyle w:val="Hyperlink"/>
            <w:b/>
            <w:i/>
            <w:sz w:val="28"/>
          </w:rPr>
          <w:t>Instituirea Fondului european de dezvoltare regională, inclusiv pentru cooperare teritorială europeană (</w:t>
        </w:r>
        <w:proofErr w:type="spellStart"/>
        <w:r w:rsidR="002226CE">
          <w:rPr>
            <w:rStyle w:val="Hyperlink"/>
            <w:b/>
            <w:i/>
            <w:sz w:val="28"/>
          </w:rPr>
          <w:t>Interreg</w:t>
        </w:r>
        <w:proofErr w:type="spellEnd"/>
        <w:r w:rsidR="002226CE">
          <w:rPr>
            <w:rStyle w:val="Hyperlink"/>
            <w:b/>
            <w:i/>
            <w:sz w:val="28"/>
          </w:rPr>
          <w:t>), și a Fondului de coeziune</w:t>
        </w:r>
      </w:hyperlink>
    </w:p>
    <w:p w14:paraId="28E913D9" w14:textId="77777777" w:rsidR="002226CE" w:rsidRPr="004A0D54" w:rsidRDefault="002226CE" w:rsidP="00164A50">
      <w:pPr>
        <w:widowControl w:val="0"/>
        <w:spacing w:line="240" w:lineRule="auto"/>
        <w:ind w:left="284"/>
        <w:rPr>
          <w:b/>
          <w:i/>
          <w:iCs/>
          <w:sz w:val="16"/>
          <w:szCs w:val="16"/>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226CE" w:rsidRPr="00A6689B" w14:paraId="1891F71C" w14:textId="77777777" w:rsidTr="00EC0053">
        <w:tc>
          <w:tcPr>
            <w:tcW w:w="1701" w:type="dxa"/>
          </w:tcPr>
          <w:p w14:paraId="10AB442D" w14:textId="77777777" w:rsidR="002226CE" w:rsidRPr="00A6689B" w:rsidRDefault="002226CE" w:rsidP="00EC0053">
            <w:pPr>
              <w:tabs>
                <w:tab w:val="center" w:pos="284"/>
              </w:tabs>
              <w:ind w:left="266" w:hanging="266"/>
              <w:rPr>
                <w:b/>
              </w:rPr>
            </w:pPr>
            <w:r>
              <w:rPr>
                <w:b/>
                <w:bCs/>
              </w:rPr>
              <w:t>Raportor:</w:t>
            </w:r>
          </w:p>
        </w:tc>
        <w:tc>
          <w:tcPr>
            <w:tcW w:w="7621" w:type="dxa"/>
          </w:tcPr>
          <w:p w14:paraId="15632BBF" w14:textId="77777777" w:rsidR="002226CE" w:rsidRPr="00A37E38" w:rsidRDefault="002226CE" w:rsidP="00EC0053">
            <w:pPr>
              <w:tabs>
                <w:tab w:val="center" w:pos="284"/>
              </w:tabs>
              <w:ind w:left="266" w:hanging="266"/>
              <w:rPr>
                <w:bCs/>
              </w:rPr>
            </w:pPr>
            <w:r>
              <w:t>David SVENTEK (Grupul „Angajatori” – CZ)</w:t>
            </w:r>
          </w:p>
        </w:tc>
      </w:tr>
      <w:tr w:rsidR="002226CE" w:rsidRPr="009B5E14" w14:paraId="19E592F5" w14:textId="77777777" w:rsidTr="00EC0053">
        <w:tc>
          <w:tcPr>
            <w:tcW w:w="1701" w:type="dxa"/>
          </w:tcPr>
          <w:p w14:paraId="32C1B3E8" w14:textId="77777777" w:rsidR="002226CE" w:rsidRPr="00A6689B" w:rsidRDefault="002226CE" w:rsidP="00EC0053">
            <w:pPr>
              <w:tabs>
                <w:tab w:val="center" w:pos="284"/>
              </w:tabs>
              <w:ind w:left="266" w:hanging="266"/>
              <w:rPr>
                <w:b/>
              </w:rPr>
            </w:pPr>
            <w:r>
              <w:rPr>
                <w:b/>
              </w:rPr>
              <w:t>Referințe:</w:t>
            </w:r>
          </w:p>
        </w:tc>
        <w:tc>
          <w:tcPr>
            <w:tcW w:w="7621" w:type="dxa"/>
          </w:tcPr>
          <w:p w14:paraId="4C1F90BD" w14:textId="77777777" w:rsidR="002226CE" w:rsidRPr="00861FFD" w:rsidRDefault="002226CE" w:rsidP="00164A50">
            <w:pPr>
              <w:tabs>
                <w:tab w:val="center" w:pos="284"/>
              </w:tabs>
              <w:spacing w:line="240" w:lineRule="auto"/>
              <w:ind w:left="266" w:hanging="266"/>
            </w:pPr>
            <w:r>
              <w:t>COM(2025) 552 final</w:t>
            </w:r>
          </w:p>
          <w:p w14:paraId="72008B1C" w14:textId="77777777" w:rsidR="002226CE" w:rsidRPr="00861FFD" w:rsidRDefault="002226CE" w:rsidP="00164A50">
            <w:pPr>
              <w:tabs>
                <w:tab w:val="center" w:pos="284"/>
              </w:tabs>
              <w:spacing w:line="240" w:lineRule="auto"/>
              <w:ind w:left="266" w:hanging="266"/>
            </w:pPr>
            <w:r>
              <w:t>EESC-2025-03305-00-00-AC-TRA</w:t>
            </w:r>
          </w:p>
        </w:tc>
      </w:tr>
    </w:tbl>
    <w:p w14:paraId="17437622" w14:textId="3CC4830C" w:rsidR="002226CE" w:rsidRDefault="002226CE" w:rsidP="00EC0053">
      <w:pPr>
        <w:keepNext/>
        <w:keepLines/>
        <w:tabs>
          <w:tab w:val="center" w:pos="284"/>
        </w:tabs>
        <w:spacing w:before="120"/>
        <w:ind w:left="266" w:hanging="266"/>
        <w:rPr>
          <w:b/>
          <w:lang w:val="en-US"/>
        </w:rPr>
      </w:pPr>
      <w:r>
        <w:rPr>
          <w:b/>
        </w:rPr>
        <w:t>Punctele principale</w:t>
      </w:r>
      <w:r>
        <w:rPr>
          <w:b/>
          <w:lang w:val="en-US"/>
        </w:rPr>
        <w:t>:</w:t>
      </w:r>
    </w:p>
    <w:p w14:paraId="59E4369A" w14:textId="77777777" w:rsidR="005E7185" w:rsidRPr="004A0D54" w:rsidRDefault="005E7185" w:rsidP="004A0D54">
      <w:pPr>
        <w:keepNext/>
        <w:keepLines/>
        <w:tabs>
          <w:tab w:val="center" w:pos="284"/>
        </w:tabs>
        <w:spacing w:before="120" w:line="240" w:lineRule="auto"/>
        <w:ind w:left="266" w:hanging="266"/>
        <w:rPr>
          <w:b/>
          <w:sz w:val="16"/>
          <w:szCs w:val="16"/>
          <w:lang w:val="en-US"/>
        </w:rPr>
      </w:pPr>
    </w:p>
    <w:p w14:paraId="1217A183" w14:textId="77777777" w:rsidR="002226CE" w:rsidRDefault="002226CE" w:rsidP="00EC0053">
      <w:pPr>
        <w:rPr>
          <w:bCs/>
          <w:iCs/>
        </w:rPr>
      </w:pPr>
      <w:r>
        <w:t>CESE:</w:t>
      </w:r>
    </w:p>
    <w:p w14:paraId="2F9BEA0B" w14:textId="77777777" w:rsidR="002226CE" w:rsidRDefault="002226CE" w:rsidP="002226CE">
      <w:pPr>
        <w:pStyle w:val="ListParagraph"/>
        <w:numPr>
          <w:ilvl w:val="0"/>
          <w:numId w:val="5"/>
        </w:numPr>
        <w:overflowPunct w:val="0"/>
        <w:autoSpaceDE w:val="0"/>
        <w:autoSpaceDN w:val="0"/>
        <w:adjustRightInd w:val="0"/>
        <w:textAlignment w:val="baseline"/>
      </w:pPr>
      <w:r>
        <w:t>subliniază că necesitatea de a reduce disparitățile regionale și teritoriale rămâne una dintre principalele prioritățile ale integrării UE și că utilizarea instrumentelor tradiționale, dovedite și eficace ale politicii de coeziune reprezintă calea corectă de urmat pentru a sprijini prosperitatea sustenabilă în toate regiunile UE;</w:t>
      </w:r>
    </w:p>
    <w:p w14:paraId="0B6E7E78" w14:textId="77777777" w:rsidR="002226CE" w:rsidRDefault="002226CE" w:rsidP="002226CE">
      <w:pPr>
        <w:pStyle w:val="ListParagraph"/>
        <w:numPr>
          <w:ilvl w:val="0"/>
          <w:numId w:val="5"/>
        </w:numPr>
        <w:overflowPunct w:val="0"/>
        <w:autoSpaceDE w:val="0"/>
        <w:autoSpaceDN w:val="0"/>
        <w:adjustRightInd w:val="0"/>
        <w:textAlignment w:val="baseline"/>
      </w:pPr>
      <w:r>
        <w:t>recomandă clarificarea rolului FEDR și al Fondului de coeziune în cadrul Fondului pentru parteneriate naționale și regionale (FPNR), nu doar prin obiective generale și specifice, ci și prin elaborarea specifică în cadrul regulamentului. CESE ar considera salutar ca proiectul de regulament la care se referă prezentul aviz să fie elaborat și completat cel puțin cu o anexă care să ofere orientări cu privire la modul în care FEDR și Fondul de coeziune pot fi integrate efectiv în FPNR;</w:t>
      </w:r>
    </w:p>
    <w:p w14:paraId="28F6663C" w14:textId="77777777" w:rsidR="002226CE" w:rsidRDefault="002226CE" w:rsidP="002226CE">
      <w:pPr>
        <w:pStyle w:val="ListParagraph"/>
        <w:numPr>
          <w:ilvl w:val="0"/>
          <w:numId w:val="5"/>
        </w:numPr>
        <w:overflowPunct w:val="0"/>
        <w:autoSpaceDE w:val="0"/>
        <w:autoSpaceDN w:val="0"/>
        <w:adjustRightInd w:val="0"/>
        <w:textAlignment w:val="baseline"/>
      </w:pPr>
      <w:r>
        <w:t>insistă că noile mecanisme nu ar trebui să ducă la o reducere a importanței și a misiunii FEDR și a Fondului de coeziune, în special în ceea ce privește sprijinirea dezvoltării regiunilor rămase în urmă și a transformării zonelor industriale. CESE subliniază importanța principiului parteneriatului în conceperea viitoarelor programe;</w:t>
      </w:r>
    </w:p>
    <w:p w14:paraId="0FBCDED2" w14:textId="77777777" w:rsidR="002226CE" w:rsidRDefault="002226CE" w:rsidP="002226CE">
      <w:pPr>
        <w:pStyle w:val="ListParagraph"/>
        <w:numPr>
          <w:ilvl w:val="0"/>
          <w:numId w:val="5"/>
        </w:numPr>
        <w:overflowPunct w:val="0"/>
        <w:autoSpaceDE w:val="0"/>
        <w:autoSpaceDN w:val="0"/>
        <w:adjustRightInd w:val="0"/>
        <w:textAlignment w:val="baseline"/>
      </w:pPr>
      <w:r>
        <w:t xml:space="preserve">aprobă conținutul și orientarea tematică a viitorului program </w:t>
      </w:r>
      <w:proofErr w:type="spellStart"/>
      <w:r>
        <w:t>Interreg</w:t>
      </w:r>
      <w:proofErr w:type="spellEnd"/>
      <w:r>
        <w:t xml:space="preserve"> și </w:t>
      </w:r>
      <w:proofErr w:type="spellStart"/>
      <w:r>
        <w:t>sinergiile</w:t>
      </w:r>
      <w:proofErr w:type="spellEnd"/>
      <w:r>
        <w:t xml:space="preserve"> acestuia cu Instrumentul „Europa globală” în cazurile specifice propuse;</w:t>
      </w:r>
    </w:p>
    <w:p w14:paraId="5BBCDBA7" w14:textId="77777777" w:rsidR="002226CE" w:rsidRDefault="002226CE" w:rsidP="002226CE">
      <w:pPr>
        <w:pStyle w:val="ListParagraph"/>
        <w:numPr>
          <w:ilvl w:val="0"/>
          <w:numId w:val="5"/>
        </w:numPr>
        <w:overflowPunct w:val="0"/>
        <w:autoSpaceDE w:val="0"/>
        <w:autoSpaceDN w:val="0"/>
        <w:adjustRightInd w:val="0"/>
        <w:textAlignment w:val="baseline"/>
      </w:pPr>
      <w:r>
        <w:t xml:space="preserve">este, în general, de acord cu abordarea inovatoare a propunerii privind viitorul programului </w:t>
      </w:r>
      <w:proofErr w:type="spellStart"/>
      <w:r>
        <w:t>Interreg</w:t>
      </w:r>
      <w:proofErr w:type="spellEnd"/>
      <w:r>
        <w:t xml:space="preserve"> deja consacrat, în special în ceea ce privește acceptarea structurii de punere în aplicare la nivelul capitolelor individuale ale planului </w:t>
      </w:r>
      <w:proofErr w:type="spellStart"/>
      <w:r>
        <w:t>Interreg</w:t>
      </w:r>
      <w:proofErr w:type="spellEnd"/>
      <w:r>
        <w:t>;</w:t>
      </w:r>
    </w:p>
    <w:p w14:paraId="77438CCD" w14:textId="672CC7A5" w:rsidR="002226CE" w:rsidRDefault="002226CE" w:rsidP="002226CE">
      <w:pPr>
        <w:pStyle w:val="ListParagraph"/>
        <w:numPr>
          <w:ilvl w:val="0"/>
          <w:numId w:val="5"/>
        </w:numPr>
        <w:overflowPunct w:val="0"/>
        <w:autoSpaceDE w:val="0"/>
        <w:autoSpaceDN w:val="0"/>
        <w:adjustRightInd w:val="0"/>
        <w:textAlignment w:val="baseline"/>
      </w:pPr>
      <w:r>
        <w:t>atrage atenția asupra riscului ca actorii relevanți de la nivel transfrontalier regional să nu poată ajunge la un acord, având în vedere că proiectul de regulament nu este foarte detaliat. CESE</w:t>
      </w:r>
      <w:r w:rsidR="004A0D54">
        <w:t> </w:t>
      </w:r>
      <w:r>
        <w:t>recomandă adoptarea actului de punere în aplicare imediat după adoptarea regulamentului;</w:t>
      </w:r>
    </w:p>
    <w:p w14:paraId="757D8D54" w14:textId="77777777" w:rsidR="002226CE" w:rsidRDefault="002226CE" w:rsidP="002226CE">
      <w:pPr>
        <w:pStyle w:val="ListParagraph"/>
        <w:numPr>
          <w:ilvl w:val="0"/>
          <w:numId w:val="5"/>
        </w:numPr>
        <w:overflowPunct w:val="0"/>
        <w:autoSpaceDE w:val="0"/>
        <w:autoSpaceDN w:val="0"/>
        <w:adjustRightInd w:val="0"/>
        <w:textAlignment w:val="baseline"/>
      </w:pPr>
      <w:r>
        <w:t>recomandă să se garanteze că interpretarea și punerea în aplicare a fondurilor la nivelul statelor membre sunt comparabile și că nu există diferențe semnificative între statele membre;</w:t>
      </w:r>
    </w:p>
    <w:p w14:paraId="6CA3CF44" w14:textId="77777777" w:rsidR="002226CE" w:rsidRDefault="002226CE" w:rsidP="002226CE">
      <w:pPr>
        <w:pStyle w:val="ListParagraph"/>
        <w:numPr>
          <w:ilvl w:val="0"/>
          <w:numId w:val="5"/>
        </w:numPr>
        <w:overflowPunct w:val="0"/>
        <w:autoSpaceDE w:val="0"/>
        <w:autoSpaceDN w:val="0"/>
        <w:adjustRightInd w:val="0"/>
        <w:textAlignment w:val="baseline"/>
      </w:pPr>
      <w:r>
        <w:t>sprijină simplificarea proceselor administrative și de punere în aplicare pentru o utilizare mai eficientă a fondurilor;</w:t>
      </w:r>
    </w:p>
    <w:p w14:paraId="6353585D" w14:textId="77777777" w:rsidR="002226CE" w:rsidRPr="00F124CF" w:rsidRDefault="002226CE" w:rsidP="002226CE">
      <w:pPr>
        <w:pStyle w:val="ListParagraph"/>
        <w:numPr>
          <w:ilvl w:val="0"/>
          <w:numId w:val="5"/>
        </w:numPr>
        <w:overflowPunct w:val="0"/>
        <w:autoSpaceDE w:val="0"/>
        <w:autoSpaceDN w:val="0"/>
        <w:adjustRightInd w:val="0"/>
        <w:spacing w:after="60"/>
        <w:ind w:left="357" w:hanging="357"/>
        <w:textAlignment w:val="baseline"/>
        <w:rPr>
          <w:bCs/>
          <w:iCs/>
        </w:rPr>
      </w:pPr>
      <w:r>
        <w:t xml:space="preserve">apreciază faptul că propunerea de regulament privind FEDR și Fondul de coeziune prevede, de asemenea, posibilitatea de a sprijini dezvoltarea urbană durabilă și, în acest cadru, strategii integrate de dezvoltare urbană și teritorială axate pe dezvoltarea durabilă și pe abordarea provocărilor din domenii, precum mediul, energia și clima, tranziția echitabilă către o economie curată, neutră din punct de vedere climatic și </w:t>
      </w:r>
      <w:proofErr w:type="spellStart"/>
      <w:r>
        <w:t>rezilientă</w:t>
      </w:r>
      <w:proofErr w:type="spellEnd"/>
      <w:r>
        <w:t>, acordând o atenție deosebită locuințelor la prețuri accesibile, sărăciei, patrimoniului cultural și utilizării potențialului tehnologiilor digitale pentru inovare și eficiență energetică.</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479"/>
      </w:tblGrid>
      <w:tr w:rsidR="002226CE" w:rsidRPr="00A6689B" w14:paraId="177199CC" w14:textId="77777777" w:rsidTr="00164A50">
        <w:tc>
          <w:tcPr>
            <w:tcW w:w="1843" w:type="dxa"/>
          </w:tcPr>
          <w:p w14:paraId="0F71E0F3" w14:textId="77777777" w:rsidR="002226CE" w:rsidRPr="00A6689B" w:rsidRDefault="002226CE" w:rsidP="00164A50">
            <w:pPr>
              <w:spacing w:line="240" w:lineRule="auto"/>
              <w:rPr>
                <w:i/>
              </w:rPr>
            </w:pPr>
            <w:r>
              <w:rPr>
                <w:b/>
                <w:i/>
              </w:rPr>
              <w:t>Date de contact:</w:t>
            </w:r>
          </w:p>
        </w:tc>
        <w:tc>
          <w:tcPr>
            <w:tcW w:w="7479" w:type="dxa"/>
          </w:tcPr>
          <w:p w14:paraId="1ECF72BE" w14:textId="77777777" w:rsidR="002226CE" w:rsidRPr="00165B52" w:rsidRDefault="002226CE" w:rsidP="00164A50">
            <w:pPr>
              <w:spacing w:line="240" w:lineRule="auto"/>
              <w:rPr>
                <w:i/>
              </w:rPr>
            </w:pPr>
            <w:r>
              <w:rPr>
                <w:i/>
              </w:rPr>
              <w:t>Georgios MELEAS</w:t>
            </w:r>
          </w:p>
        </w:tc>
      </w:tr>
      <w:tr w:rsidR="002226CE" w:rsidRPr="00A6689B" w14:paraId="2596F519" w14:textId="77777777" w:rsidTr="00164A50">
        <w:tc>
          <w:tcPr>
            <w:tcW w:w="1843" w:type="dxa"/>
          </w:tcPr>
          <w:p w14:paraId="7C25F87A" w14:textId="77777777" w:rsidR="002226CE" w:rsidRPr="00A6689B" w:rsidRDefault="002226CE" w:rsidP="00164A50">
            <w:pPr>
              <w:spacing w:line="240" w:lineRule="auto"/>
              <w:rPr>
                <w:i/>
              </w:rPr>
            </w:pPr>
            <w:r>
              <w:rPr>
                <w:i/>
              </w:rPr>
              <w:t>Tel.:</w:t>
            </w:r>
          </w:p>
        </w:tc>
        <w:tc>
          <w:tcPr>
            <w:tcW w:w="7479" w:type="dxa"/>
          </w:tcPr>
          <w:p w14:paraId="57BA6A90" w14:textId="77777777" w:rsidR="002226CE" w:rsidRPr="00A6689B" w:rsidRDefault="002226CE" w:rsidP="00164A50">
            <w:pPr>
              <w:spacing w:line="240" w:lineRule="auto"/>
              <w:rPr>
                <w:i/>
              </w:rPr>
            </w:pPr>
            <w:r>
              <w:rPr>
                <w:i/>
              </w:rPr>
              <w:t>+32 2</w:t>
            </w:r>
            <w:r>
              <w:t xml:space="preserve"> </w:t>
            </w:r>
            <w:r>
              <w:rPr>
                <w:i/>
              </w:rPr>
              <w:t>546 9795</w:t>
            </w:r>
          </w:p>
        </w:tc>
      </w:tr>
      <w:tr w:rsidR="002226CE" w:rsidRPr="00A6689B" w14:paraId="1B9011BF" w14:textId="77777777" w:rsidTr="00164A50">
        <w:tc>
          <w:tcPr>
            <w:tcW w:w="1843" w:type="dxa"/>
          </w:tcPr>
          <w:p w14:paraId="2B45914E" w14:textId="77777777" w:rsidR="002226CE" w:rsidRPr="00A6689B" w:rsidRDefault="002226CE" w:rsidP="00164A50">
            <w:pPr>
              <w:spacing w:line="240" w:lineRule="auto"/>
              <w:rPr>
                <w:i/>
              </w:rPr>
            </w:pPr>
            <w:r>
              <w:rPr>
                <w:i/>
              </w:rPr>
              <w:t>E-mail:</w:t>
            </w:r>
          </w:p>
        </w:tc>
        <w:tc>
          <w:tcPr>
            <w:tcW w:w="7479" w:type="dxa"/>
          </w:tcPr>
          <w:p w14:paraId="26E43348" w14:textId="77777777" w:rsidR="002226CE" w:rsidRPr="009B5E14" w:rsidRDefault="00443888" w:rsidP="00164A50">
            <w:pPr>
              <w:spacing w:line="240" w:lineRule="auto"/>
              <w:rPr>
                <w:i/>
                <w:iCs/>
              </w:rPr>
            </w:pPr>
            <w:hyperlink r:id="rId18" w:history="1">
              <w:r w:rsidR="002226CE">
                <w:rPr>
                  <w:rStyle w:val="Hyperlink"/>
                  <w:i/>
                </w:rPr>
                <w:t>Georgios.Meleas@eesc.europa.eu</w:t>
              </w:r>
            </w:hyperlink>
          </w:p>
        </w:tc>
      </w:tr>
    </w:tbl>
    <w:p w14:paraId="793E3B3E" w14:textId="72C48275" w:rsidR="008A0752" w:rsidRDefault="008A0752" w:rsidP="008A0752">
      <w:pPr>
        <w:pStyle w:val="Heading1"/>
        <w:numPr>
          <w:ilvl w:val="0"/>
          <w:numId w:val="0"/>
        </w:numPr>
        <w:ind w:left="567"/>
        <w:rPr>
          <w:b/>
        </w:rPr>
      </w:pPr>
      <w:bookmarkStart w:id="1" w:name="_Toc75527081"/>
      <w:bookmarkStart w:id="2" w:name="_Toc216795107"/>
      <w:r>
        <w:rPr>
          <w:b/>
        </w:rPr>
        <w:br w:type="page"/>
      </w:r>
    </w:p>
    <w:p w14:paraId="77CDA87A" w14:textId="77777777" w:rsidR="008A0752" w:rsidRDefault="008A0752" w:rsidP="008A0752">
      <w:pPr>
        <w:pStyle w:val="Heading1"/>
        <w:numPr>
          <w:ilvl w:val="0"/>
          <w:numId w:val="0"/>
        </w:numPr>
        <w:ind w:left="567"/>
        <w:rPr>
          <w:b/>
        </w:rPr>
      </w:pPr>
    </w:p>
    <w:p w14:paraId="50C4D033" w14:textId="77777777" w:rsidR="008A0752" w:rsidRDefault="008A0752" w:rsidP="008A0752">
      <w:pPr>
        <w:pStyle w:val="Heading1"/>
        <w:numPr>
          <w:ilvl w:val="0"/>
          <w:numId w:val="0"/>
        </w:numPr>
        <w:ind w:left="567"/>
        <w:rPr>
          <w:b/>
        </w:rPr>
      </w:pPr>
    </w:p>
    <w:p w14:paraId="4982DD99" w14:textId="48ED4033" w:rsidR="004D7AC0" w:rsidRDefault="004D7AC0" w:rsidP="004D7AC0">
      <w:pPr>
        <w:pStyle w:val="Heading1"/>
        <w:rPr>
          <w:b/>
        </w:rPr>
      </w:pPr>
      <w:r>
        <w:rPr>
          <w:b/>
        </w:rPr>
        <w:t>SECȚIUNEA PENTRU OCUPAREA FORȚEI DE MUNCĂ, AFACERI SOCIALE ȘI CETĂȚENIE</w:t>
      </w:r>
      <w:bookmarkEnd w:id="1"/>
      <w:bookmarkEnd w:id="2"/>
    </w:p>
    <w:p w14:paraId="3F6E2330" w14:textId="77777777" w:rsidR="0096642D" w:rsidRDefault="0096642D" w:rsidP="0096642D">
      <w:pPr>
        <w:widowControl w:val="0"/>
        <w:spacing w:line="276" w:lineRule="auto"/>
        <w:jc w:val="center"/>
        <w:rPr>
          <w:bCs/>
          <w:iCs/>
        </w:rPr>
      </w:pPr>
    </w:p>
    <w:p w14:paraId="592B682F" w14:textId="1F1D49F9" w:rsidR="002226CE" w:rsidRPr="0096642D" w:rsidRDefault="002226CE" w:rsidP="002C2AF2">
      <w:pPr>
        <w:pStyle w:val="ListParagraph"/>
        <w:widowControl w:val="0"/>
        <w:numPr>
          <w:ilvl w:val="0"/>
          <w:numId w:val="36"/>
        </w:numPr>
        <w:spacing w:line="276" w:lineRule="auto"/>
        <w:ind w:left="0" w:firstLine="0"/>
        <w:jc w:val="center"/>
        <w:rPr>
          <w:rStyle w:val="Hyperlink"/>
          <w:b/>
        </w:rPr>
      </w:pPr>
      <w:r>
        <w:rPr>
          <w:noProof/>
          <w:sz w:val="20"/>
        </w:rPr>
        <mc:AlternateContent>
          <mc:Choice Requires="wps">
            <w:drawing>
              <wp:anchor distT="0" distB="0" distL="114300" distR="114300" simplePos="0" relativeHeight="251665408" behindDoc="1" locked="0" layoutInCell="0" allowOverlap="1" wp14:anchorId="1C28460E" wp14:editId="6F1B2DDF">
                <wp:simplePos x="0" y="0"/>
                <wp:positionH relativeFrom="page">
                  <wp:posOffset>6769100</wp:posOffset>
                </wp:positionH>
                <wp:positionV relativeFrom="page">
                  <wp:posOffset>10081260</wp:posOffset>
                </wp:positionV>
                <wp:extent cx="647700" cy="396240"/>
                <wp:effectExtent l="0" t="3810" r="3175"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3FA08" w14:textId="0949C2F7" w:rsidR="002226CE" w:rsidRPr="0096642D" w:rsidRDefault="002226CE">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8460E" id="_x0000_s1028" type="#_x0000_t202" style="position:absolute;left:0;text-align:left;margin-left:533pt;margin-top:793.8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wL9QEAAM0DAAAOAAAAZHJzL2Uyb0RvYy54bWysU9tu2zAMfR+wfxD0vtjJsmQ1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uMrwL9QEAAM0DAAAOAAAAAAAAAAAAAAAAAC4CAABk&#10;cnMvZTJvRG9jLnhtbFBLAQItABQABgAIAAAAIQDrVDFa3gAAAA8BAAAPAAAAAAAAAAAAAAAAAE8E&#10;AABkcnMvZG93bnJldi54bWxQSwUGAAAAAAQABADzAAAAWgUAAAAA&#10;" o:allowincell="f" filled="f" stroked="f">
                <v:textbox>
                  <w:txbxContent>
                    <w:p w14:paraId="44C3FA08" w14:textId="0949C2F7" w:rsidR="002226CE" w:rsidRPr="0096642D" w:rsidRDefault="002226CE">
                      <w:pPr>
                        <w:jc w:val="center"/>
                        <w:rPr>
                          <w:rFonts w:ascii="Arial" w:hAnsi="Arial" w:cs="Arial"/>
                          <w:b/>
                          <w:bCs/>
                          <w:color w:val="FFFFFF" w:themeColor="background1"/>
                          <w:sz w:val="48"/>
                        </w:rPr>
                      </w:pPr>
                    </w:p>
                  </w:txbxContent>
                </v:textbox>
                <w10:wrap anchorx="page" anchory="page"/>
              </v:shape>
            </w:pict>
          </mc:Fallback>
        </mc:AlternateContent>
      </w:r>
      <w:hyperlink r:id="rId19" w:history="1">
        <w:r w:rsidR="00C215C3" w:rsidRPr="0096642D">
          <w:rPr>
            <w:rStyle w:val="Hyperlink"/>
            <w:b/>
            <w:i/>
            <w:sz w:val="28"/>
          </w:rPr>
          <w:t>Drepturile de muncă ale jurnaliștilor și ale profesioniștilor din domeniul mass-mediei ca garanție a independenței și a informațiilor veridice</w:t>
        </w:r>
      </w:hyperlink>
    </w:p>
    <w:p w14:paraId="7148BB86" w14:textId="77777777" w:rsidR="002226CE" w:rsidRPr="0096642D" w:rsidRDefault="002226CE" w:rsidP="0096642D">
      <w:pPr>
        <w:tabs>
          <w:tab w:val="center" w:pos="284"/>
        </w:tabs>
        <w:spacing w:line="276" w:lineRule="auto"/>
        <w:ind w:left="567" w:hanging="567"/>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2226CE" w:rsidRPr="00C67392" w14:paraId="36DD2899" w14:textId="77777777" w:rsidTr="0096642D">
        <w:tc>
          <w:tcPr>
            <w:tcW w:w="1701" w:type="dxa"/>
          </w:tcPr>
          <w:p w14:paraId="0E4EE577" w14:textId="77777777" w:rsidR="002226CE" w:rsidRDefault="002226CE" w:rsidP="00D25A3F">
            <w:pPr>
              <w:tabs>
                <w:tab w:val="center" w:pos="284"/>
              </w:tabs>
              <w:spacing w:line="264" w:lineRule="auto"/>
              <w:ind w:left="567" w:hanging="567"/>
              <w:rPr>
                <w:b/>
              </w:rPr>
            </w:pPr>
            <w:r>
              <w:rPr>
                <w:b/>
                <w:bCs/>
              </w:rPr>
              <w:t>Raportor:</w:t>
            </w:r>
          </w:p>
          <w:p w14:paraId="03C5BB5C" w14:textId="77777777" w:rsidR="002226CE" w:rsidRPr="00A6689B" w:rsidRDefault="002226CE" w:rsidP="00D25A3F">
            <w:pPr>
              <w:tabs>
                <w:tab w:val="center" w:pos="284"/>
              </w:tabs>
              <w:spacing w:line="264" w:lineRule="auto"/>
              <w:ind w:left="567" w:hanging="567"/>
              <w:rPr>
                <w:b/>
              </w:rPr>
            </w:pPr>
            <w:r>
              <w:rPr>
                <w:b/>
              </w:rPr>
              <w:t>Coraportor:</w:t>
            </w:r>
          </w:p>
        </w:tc>
        <w:tc>
          <w:tcPr>
            <w:tcW w:w="6946" w:type="dxa"/>
          </w:tcPr>
          <w:p w14:paraId="53B16394" w14:textId="77777777" w:rsidR="002226CE" w:rsidRDefault="002226CE" w:rsidP="00D25A3F">
            <w:pPr>
              <w:spacing w:line="264" w:lineRule="auto"/>
              <w:ind w:left="567" w:hanging="567"/>
            </w:pPr>
            <w:r>
              <w:t>José Antonio MORENO DÍAZ (Grupul „Lucrători” – ES)</w:t>
            </w:r>
          </w:p>
          <w:p w14:paraId="3BB2A34E" w14:textId="77777777" w:rsidR="0096642D" w:rsidRDefault="002226CE" w:rsidP="00D25A3F">
            <w:pPr>
              <w:spacing w:line="264" w:lineRule="auto"/>
              <w:ind w:left="567" w:hanging="567"/>
            </w:pPr>
            <w:r>
              <w:t>Christian MOOS (Grupul „Organizații ale societății civile” – DE)</w:t>
            </w:r>
          </w:p>
          <w:p w14:paraId="57461695" w14:textId="2316C5E5" w:rsidR="0096642D" w:rsidRPr="00C67392" w:rsidRDefault="0096642D" w:rsidP="00D25A3F">
            <w:pPr>
              <w:spacing w:line="264" w:lineRule="auto"/>
              <w:ind w:left="567" w:hanging="567"/>
            </w:pPr>
          </w:p>
        </w:tc>
      </w:tr>
      <w:tr w:rsidR="002226CE" w:rsidRPr="00CA1E86" w14:paraId="7BD6BE51" w14:textId="77777777" w:rsidTr="0096642D">
        <w:tc>
          <w:tcPr>
            <w:tcW w:w="1701" w:type="dxa"/>
            <w:vMerge w:val="restart"/>
          </w:tcPr>
          <w:p w14:paraId="5D6B4095" w14:textId="77777777" w:rsidR="002226CE" w:rsidRPr="00A6689B" w:rsidRDefault="002226CE" w:rsidP="00D25A3F">
            <w:pPr>
              <w:tabs>
                <w:tab w:val="center" w:pos="284"/>
              </w:tabs>
              <w:spacing w:line="264" w:lineRule="auto"/>
              <w:ind w:left="567" w:hanging="567"/>
              <w:rPr>
                <w:b/>
              </w:rPr>
            </w:pPr>
            <w:r>
              <w:rPr>
                <w:b/>
              </w:rPr>
              <w:t>Referință:</w:t>
            </w:r>
          </w:p>
        </w:tc>
        <w:tc>
          <w:tcPr>
            <w:tcW w:w="6946" w:type="dxa"/>
          </w:tcPr>
          <w:p w14:paraId="2A0ABAA9" w14:textId="77777777" w:rsidR="0096642D" w:rsidRDefault="0096642D" w:rsidP="00D25A3F">
            <w:pPr>
              <w:tabs>
                <w:tab w:val="center" w:pos="284"/>
              </w:tabs>
              <w:spacing w:line="264" w:lineRule="auto"/>
              <w:ind w:left="567" w:hanging="567"/>
            </w:pPr>
            <w:r w:rsidRPr="0096642D">
              <w:t>(aviz din proprie inițiativă)</w:t>
            </w:r>
          </w:p>
          <w:p w14:paraId="4BBAE8D8" w14:textId="77777777" w:rsidR="002226CE" w:rsidRDefault="002226CE" w:rsidP="00D25A3F">
            <w:pPr>
              <w:tabs>
                <w:tab w:val="center" w:pos="284"/>
              </w:tabs>
              <w:spacing w:line="264" w:lineRule="auto"/>
              <w:ind w:left="567" w:hanging="567"/>
            </w:pPr>
            <w:r>
              <w:t>EESC-2025-01400-00-00-AC-TRA</w:t>
            </w:r>
          </w:p>
          <w:p w14:paraId="76998D82" w14:textId="26E574B4" w:rsidR="008A0752" w:rsidRPr="00A04AFA" w:rsidRDefault="008A0752" w:rsidP="00D25A3F">
            <w:pPr>
              <w:tabs>
                <w:tab w:val="center" w:pos="284"/>
              </w:tabs>
              <w:spacing w:line="264" w:lineRule="auto"/>
              <w:ind w:left="567" w:hanging="567"/>
            </w:pPr>
          </w:p>
        </w:tc>
      </w:tr>
      <w:tr w:rsidR="002226CE" w:rsidRPr="00CA1E86" w14:paraId="7EA15659" w14:textId="77777777" w:rsidTr="0096642D">
        <w:tc>
          <w:tcPr>
            <w:tcW w:w="1701" w:type="dxa"/>
            <w:vMerge/>
          </w:tcPr>
          <w:p w14:paraId="785020A2" w14:textId="77777777" w:rsidR="002226CE" w:rsidRPr="00A04AFA" w:rsidRDefault="002226CE" w:rsidP="00D25A3F">
            <w:pPr>
              <w:tabs>
                <w:tab w:val="center" w:pos="284"/>
              </w:tabs>
              <w:spacing w:line="264" w:lineRule="auto"/>
              <w:ind w:left="266" w:hanging="266"/>
              <w:rPr>
                <w:b/>
                <w:lang w:val="pt-PT"/>
              </w:rPr>
            </w:pPr>
          </w:p>
        </w:tc>
        <w:tc>
          <w:tcPr>
            <w:tcW w:w="6946" w:type="dxa"/>
          </w:tcPr>
          <w:p w14:paraId="3500E6C1" w14:textId="77777777" w:rsidR="002226CE" w:rsidRPr="00D25A3F" w:rsidRDefault="002226CE" w:rsidP="00D25A3F">
            <w:pPr>
              <w:tabs>
                <w:tab w:val="center" w:pos="284"/>
              </w:tabs>
              <w:spacing w:line="264" w:lineRule="auto"/>
              <w:ind w:left="266" w:hanging="266"/>
              <w:rPr>
                <w:sz w:val="8"/>
                <w:szCs w:val="8"/>
                <w:lang w:val="pt-PT"/>
              </w:rPr>
            </w:pPr>
          </w:p>
        </w:tc>
      </w:tr>
    </w:tbl>
    <w:p w14:paraId="51B3DE28" w14:textId="77777777" w:rsidR="0096642D" w:rsidRPr="0096642D" w:rsidRDefault="0096642D" w:rsidP="0096642D">
      <w:pPr>
        <w:keepNext/>
        <w:keepLines/>
        <w:tabs>
          <w:tab w:val="center" w:pos="284"/>
        </w:tabs>
        <w:spacing w:line="276" w:lineRule="auto"/>
        <w:ind w:left="266" w:hanging="266"/>
        <w:rPr>
          <w:b/>
        </w:rPr>
      </w:pPr>
    </w:p>
    <w:p w14:paraId="0E7A852D" w14:textId="6484B22A" w:rsidR="002226CE" w:rsidRDefault="002226CE" w:rsidP="00D25A3F">
      <w:pPr>
        <w:keepNext/>
        <w:keepLines/>
        <w:tabs>
          <w:tab w:val="center" w:pos="284"/>
        </w:tabs>
        <w:spacing w:line="276" w:lineRule="auto"/>
        <w:ind w:left="266" w:hanging="266"/>
        <w:rPr>
          <w:b/>
        </w:rPr>
      </w:pPr>
      <w:r>
        <w:rPr>
          <w:b/>
        </w:rPr>
        <w:t>Punctele principale:</w:t>
      </w:r>
    </w:p>
    <w:p w14:paraId="0D53D81B" w14:textId="77777777" w:rsidR="002226CE" w:rsidRPr="0096642D" w:rsidRDefault="002226CE" w:rsidP="0096642D">
      <w:pPr>
        <w:keepNext/>
        <w:keepLines/>
        <w:tabs>
          <w:tab w:val="center" w:pos="284"/>
        </w:tabs>
        <w:spacing w:line="276" w:lineRule="auto"/>
        <w:ind w:left="266" w:hanging="266"/>
        <w:rPr>
          <w:b/>
        </w:rPr>
      </w:pPr>
    </w:p>
    <w:p w14:paraId="64964598" w14:textId="77777777" w:rsidR="002226CE" w:rsidRPr="00443B69" w:rsidRDefault="002226CE" w:rsidP="00D25A3F">
      <w:pPr>
        <w:keepNext/>
        <w:keepLines/>
        <w:tabs>
          <w:tab w:val="center" w:pos="284"/>
        </w:tabs>
        <w:spacing w:line="276" w:lineRule="auto"/>
        <w:ind w:left="266" w:hanging="266"/>
        <w:rPr>
          <w:b/>
          <w:bCs/>
        </w:rPr>
      </w:pPr>
      <w:r>
        <w:t>CESE:</w:t>
      </w:r>
    </w:p>
    <w:p w14:paraId="73F8C47D" w14:textId="77777777" w:rsidR="002226CE" w:rsidRPr="00220959" w:rsidRDefault="002226CE" w:rsidP="0096642D">
      <w:pPr>
        <w:pStyle w:val="ListParagraph"/>
        <w:numPr>
          <w:ilvl w:val="0"/>
          <w:numId w:val="5"/>
        </w:numPr>
        <w:overflowPunct w:val="0"/>
        <w:autoSpaceDE w:val="0"/>
        <w:autoSpaceDN w:val="0"/>
        <w:adjustRightInd w:val="0"/>
        <w:spacing w:after="60"/>
        <w:ind w:left="357" w:hanging="357"/>
        <w:textAlignment w:val="baseline"/>
      </w:pPr>
      <w:r>
        <w:t>îndeamnă autoritățile să adopte măsuri urgente de protecție împotriva insecurității tot mai mari a jurnaliștilor, și solicită aplicarea deplină a Regulamentului european privind libertatea mass-mediei. Solicită, de asemenea, instituirea unui sprijin independent pentru organele mass-media, în plus față de subvențiile existente, pentru a asigura sustenabilitatea sectorului mass-mediei europene, precum și o creștere considerabilă a fondurilor pentru protejarea unui ecosistem de informații solid;</w:t>
      </w:r>
    </w:p>
    <w:p w14:paraId="2996DB4F" w14:textId="350FA93E" w:rsidR="002226CE" w:rsidRPr="00443B69" w:rsidRDefault="002226CE" w:rsidP="0096642D">
      <w:pPr>
        <w:pStyle w:val="ListParagraph"/>
        <w:numPr>
          <w:ilvl w:val="0"/>
          <w:numId w:val="5"/>
        </w:numPr>
        <w:overflowPunct w:val="0"/>
        <w:autoSpaceDE w:val="0"/>
        <w:autoSpaceDN w:val="0"/>
        <w:adjustRightInd w:val="0"/>
        <w:spacing w:after="60"/>
        <w:ind w:left="357" w:hanging="357"/>
        <w:textAlignment w:val="baseline"/>
        <w:rPr>
          <w:bCs/>
        </w:rPr>
      </w:pPr>
      <w:r>
        <w:t>invită Comisia Europeană să prezinte un pachet ambițios de măsuri de politică și investiții, astfel încât să sprijine locurile de muncă de calitate în sectorul mass-mediei, și invită guvernele să promoveze dialogul social și negocierile colective pentru toți jurnaliștii, inclusiv pentru liber</w:t>
      </w:r>
      <w:r w:rsidR="0096642D">
        <w:noBreakHyphen/>
      </w:r>
      <w:r>
        <w:t>profesioniști, prin transpunerea Directivei privind salariile minime adecvate, dacă este cazul,</w:t>
      </w:r>
      <w:r w:rsidRPr="00220959">
        <w:rPr>
          <w:sz w:val="24"/>
          <w:szCs w:val="24"/>
          <w:vertAlign w:val="superscript"/>
        </w:rPr>
        <w:footnoteReference w:id="1"/>
      </w:r>
      <w:r>
        <w:t xml:space="preserve"> și a Orientărilor privind aplicarea legislației Uniunii în materie de concurență în cazul contractelor colective de muncă ale persoanelor care desfășoară o activitate independentă fără angajați</w:t>
      </w:r>
      <w:r w:rsidRPr="00220959">
        <w:rPr>
          <w:sz w:val="24"/>
          <w:szCs w:val="24"/>
          <w:vertAlign w:val="superscript"/>
        </w:rPr>
        <w:footnoteReference w:id="2"/>
      </w:r>
      <w:r>
        <w:t>. Totodată, solicită Comisiei Europene și statelor membre să combată activitatea independentă fictivă.</w:t>
      </w:r>
    </w:p>
    <w:p w14:paraId="1B682EC2" w14:textId="77777777" w:rsidR="002226CE" w:rsidRPr="00E351AA" w:rsidRDefault="002226CE" w:rsidP="0096642D">
      <w:pPr>
        <w:pStyle w:val="ListParagraph"/>
        <w:numPr>
          <w:ilvl w:val="0"/>
          <w:numId w:val="5"/>
        </w:numPr>
        <w:overflowPunct w:val="0"/>
        <w:autoSpaceDE w:val="0"/>
        <w:autoSpaceDN w:val="0"/>
        <w:adjustRightInd w:val="0"/>
        <w:spacing w:after="60"/>
        <w:ind w:left="357" w:hanging="357"/>
        <w:textAlignment w:val="baseline"/>
      </w:pPr>
      <w:r>
        <w:t>solicită Comisiei Europene să dea curs Recomandării privind protecția, siguranța și capacitarea jurnaliștilor</w:t>
      </w:r>
      <w:r w:rsidRPr="00220959">
        <w:rPr>
          <w:sz w:val="24"/>
          <w:szCs w:val="24"/>
          <w:vertAlign w:val="superscript"/>
        </w:rPr>
        <w:footnoteReference w:id="3"/>
      </w:r>
      <w:r>
        <w:t>, și subliniază că este nevoie de o interacțiune mai profundă cu organizațiile de jurnaliști pentru a construi structuri care pot proteja siguranța jurnaliștilor. Jurnaliștii sunt lucrători expuși semnificativ la stres, la sindromul de epuizare profesională, la hărțuire online și la supraîncărcare digitală. Ar fi util ca Comisia să analizeze modalitățile de a da curs Rezoluției Parlamentului European din 10 martie 2022, prin care se solicită adoptarea unei directive privind riscurile psihosociale. CESE este pregătit să elaboreze un aviz pe această temă</w:t>
      </w:r>
      <w:r w:rsidRPr="00C510E4">
        <w:rPr>
          <w:rStyle w:val="FootnoteReference"/>
        </w:rPr>
        <w:footnoteReference w:id="4"/>
      </w:r>
      <w:r>
        <w:t>;</w:t>
      </w:r>
    </w:p>
    <w:p w14:paraId="06D67FC7" w14:textId="77777777" w:rsidR="002226CE" w:rsidRDefault="002226CE" w:rsidP="0096642D">
      <w:pPr>
        <w:pStyle w:val="ListParagraph"/>
        <w:numPr>
          <w:ilvl w:val="0"/>
          <w:numId w:val="5"/>
        </w:numPr>
        <w:overflowPunct w:val="0"/>
        <w:autoSpaceDE w:val="0"/>
        <w:autoSpaceDN w:val="0"/>
        <w:adjustRightInd w:val="0"/>
        <w:spacing w:after="60"/>
        <w:ind w:left="357" w:hanging="357"/>
        <w:textAlignment w:val="baseline"/>
      </w:pPr>
      <w:r>
        <w:t xml:space="preserve">solicită Comisiei Europene să monitorizeze aplicarea cadrului legislativ al UE privind utilizarea inteligenței artificiale (IA) pentru a asigura protecția jurnaliștilor, și încurajează sindicatele jurnaliștilor și organizațiile mass-media să abordeze, în cadrul dialogului social, problemele legate de utilizarea IA. De asemenea, solicită finanțare pentru proiecte care dezvoltă formarea în domeniul </w:t>
      </w:r>
      <w:r>
        <w:lastRenderedPageBreak/>
        <w:t>inteligenței artificiale a jurnaliștilor, luarea în considerare a posibilităților de cofinanțare a „Academiilor Europene de Jurnalism”, precum și formarea jurnaliștilor și, eventual, subvenții pentru salariile tinerilor jurnaliști din partea întreprinderilor mass-media care îndeplinesc standarde ridicate în ceea ce privește jurnalismul de calitate și condițiile de muncă.</w:t>
      </w:r>
    </w:p>
    <w:p w14:paraId="6DF0AAB7" w14:textId="77777777" w:rsidR="002226CE" w:rsidRPr="00D25A3F" w:rsidRDefault="002226CE" w:rsidP="00E15E37">
      <w:pPr>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02"/>
      </w:tblGrid>
      <w:tr w:rsidR="002226CE" w:rsidRPr="00A6689B" w14:paraId="2BD994B9" w14:textId="77777777" w:rsidTr="00D25A3F">
        <w:tc>
          <w:tcPr>
            <w:tcW w:w="1701" w:type="dxa"/>
          </w:tcPr>
          <w:p w14:paraId="44D21BE0" w14:textId="77777777" w:rsidR="002226CE" w:rsidRPr="00A6689B" w:rsidRDefault="002226CE" w:rsidP="00567876">
            <w:pPr>
              <w:spacing w:line="240" w:lineRule="auto"/>
              <w:rPr>
                <w:i/>
              </w:rPr>
            </w:pPr>
            <w:r>
              <w:rPr>
                <w:b/>
                <w:i/>
              </w:rPr>
              <w:t>Date de contact:</w:t>
            </w:r>
          </w:p>
        </w:tc>
        <w:tc>
          <w:tcPr>
            <w:tcW w:w="4002" w:type="dxa"/>
          </w:tcPr>
          <w:p w14:paraId="4B8441B5" w14:textId="77777777" w:rsidR="002226CE" w:rsidRPr="00A6689B" w:rsidRDefault="002226CE" w:rsidP="00661C7E">
            <w:pPr>
              <w:spacing w:line="240" w:lineRule="auto"/>
              <w:ind w:hanging="12"/>
              <w:rPr>
                <w:i/>
              </w:rPr>
            </w:pPr>
            <w:r>
              <w:rPr>
                <w:i/>
              </w:rPr>
              <w:t xml:space="preserve">June </w:t>
            </w:r>
            <w:proofErr w:type="spellStart"/>
            <w:r>
              <w:rPr>
                <w:i/>
              </w:rPr>
              <w:t>Bedaton</w:t>
            </w:r>
            <w:proofErr w:type="spellEnd"/>
          </w:p>
        </w:tc>
      </w:tr>
      <w:tr w:rsidR="002226CE" w:rsidRPr="00A6689B" w14:paraId="1BE81781" w14:textId="77777777" w:rsidTr="00D25A3F">
        <w:tc>
          <w:tcPr>
            <w:tcW w:w="1701" w:type="dxa"/>
          </w:tcPr>
          <w:p w14:paraId="552B3A1F" w14:textId="77777777" w:rsidR="002226CE" w:rsidRPr="00A6689B" w:rsidRDefault="002226CE" w:rsidP="00567876">
            <w:pPr>
              <w:spacing w:line="240" w:lineRule="auto"/>
              <w:rPr>
                <w:i/>
              </w:rPr>
            </w:pPr>
            <w:r>
              <w:rPr>
                <w:i/>
              </w:rPr>
              <w:t>Tel.:</w:t>
            </w:r>
          </w:p>
        </w:tc>
        <w:tc>
          <w:tcPr>
            <w:tcW w:w="4002" w:type="dxa"/>
          </w:tcPr>
          <w:p w14:paraId="7661AAF3" w14:textId="77777777" w:rsidR="002226CE" w:rsidRPr="00A6689B" w:rsidRDefault="002226CE" w:rsidP="00CE0F5B">
            <w:pPr>
              <w:spacing w:line="240" w:lineRule="auto"/>
              <w:rPr>
                <w:i/>
              </w:rPr>
            </w:pPr>
            <w:r>
              <w:rPr>
                <w:i/>
              </w:rPr>
              <w:t>+32 25468134</w:t>
            </w:r>
          </w:p>
        </w:tc>
      </w:tr>
      <w:tr w:rsidR="002226CE" w:rsidRPr="00A6689B" w14:paraId="04A5E31F" w14:textId="77777777" w:rsidTr="00D25A3F">
        <w:tc>
          <w:tcPr>
            <w:tcW w:w="1701" w:type="dxa"/>
          </w:tcPr>
          <w:p w14:paraId="31DA60A5" w14:textId="77777777" w:rsidR="002226CE" w:rsidRPr="00A6689B" w:rsidRDefault="002226CE" w:rsidP="00567876">
            <w:pPr>
              <w:spacing w:line="240" w:lineRule="auto"/>
              <w:rPr>
                <w:i/>
              </w:rPr>
            </w:pPr>
            <w:r>
              <w:rPr>
                <w:i/>
              </w:rPr>
              <w:t>E-mail:</w:t>
            </w:r>
          </w:p>
        </w:tc>
        <w:tc>
          <w:tcPr>
            <w:tcW w:w="4002" w:type="dxa"/>
          </w:tcPr>
          <w:p w14:paraId="21BA56EF" w14:textId="77777777" w:rsidR="002226CE" w:rsidRPr="00A153DB" w:rsidRDefault="00443888" w:rsidP="003568AD">
            <w:pPr>
              <w:spacing w:line="240" w:lineRule="auto"/>
              <w:rPr>
                <w:i/>
                <w:iCs/>
              </w:rPr>
            </w:pPr>
            <w:hyperlink r:id="rId20" w:history="1">
              <w:r w:rsidR="002226CE">
                <w:rPr>
                  <w:rStyle w:val="Hyperlink"/>
                  <w:i/>
                </w:rPr>
                <w:t>june.bedaton@eesc.europa.eu</w:t>
              </w:r>
            </w:hyperlink>
            <w:r w:rsidR="002226CE">
              <w:rPr>
                <w:i/>
              </w:rPr>
              <w:t xml:space="preserve"> </w:t>
            </w:r>
          </w:p>
        </w:tc>
      </w:tr>
    </w:tbl>
    <w:p w14:paraId="736D2A68" w14:textId="77777777" w:rsidR="002226CE" w:rsidRPr="002226CE" w:rsidRDefault="004D7AC0" w:rsidP="0096642D">
      <w:pPr>
        <w:widowControl w:val="0"/>
        <w:overflowPunct w:val="0"/>
        <w:autoSpaceDE w:val="0"/>
        <w:autoSpaceDN w:val="0"/>
        <w:adjustRightInd w:val="0"/>
        <w:textAlignment w:val="baseline"/>
        <w:rPr>
          <w:b/>
        </w:rPr>
      </w:pPr>
      <w:r>
        <w:br w:type="page"/>
      </w:r>
    </w:p>
    <w:p w14:paraId="74758C1C" w14:textId="215D79C9" w:rsidR="002226CE" w:rsidRDefault="002226CE" w:rsidP="00567876">
      <w:pPr>
        <w:widowControl w:val="0"/>
        <w:jc w:val="center"/>
        <w:rPr>
          <w:bCs/>
          <w:iCs/>
        </w:rPr>
      </w:pPr>
      <w:r>
        <w:rPr>
          <w:noProof/>
          <w:sz w:val="20"/>
        </w:rPr>
        <w:lastRenderedPageBreak/>
        <mc:AlternateContent>
          <mc:Choice Requires="wps">
            <w:drawing>
              <wp:anchor distT="0" distB="0" distL="114300" distR="114300" simplePos="0" relativeHeight="251667456" behindDoc="1" locked="0" layoutInCell="0" allowOverlap="1" wp14:anchorId="5A2C2A87" wp14:editId="1A15E65E">
                <wp:simplePos x="0" y="0"/>
                <wp:positionH relativeFrom="page">
                  <wp:posOffset>6769100</wp:posOffset>
                </wp:positionH>
                <wp:positionV relativeFrom="page">
                  <wp:posOffset>10081260</wp:posOffset>
                </wp:positionV>
                <wp:extent cx="647700" cy="396240"/>
                <wp:effectExtent l="0" t="3810" r="317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8F2F8" w14:textId="6FCEF27F" w:rsidR="002226CE" w:rsidRPr="00CF30AC" w:rsidRDefault="002226CE">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2A87" id="_x0000_s1029" type="#_x0000_t202" style="position:absolute;left:0;text-align:left;margin-left:533pt;margin-top:793.8pt;width:51pt;height:3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9GGFmvYBAADNAwAADgAAAAAAAAAAAAAAAAAuAgAA&#10;ZHJzL2Uyb0RvYy54bWxQSwECLQAUAAYACAAAACEA61QxWt4AAAAPAQAADwAAAAAAAAAAAAAAAABQ&#10;BAAAZHJzL2Rvd25yZXYueG1sUEsFBgAAAAAEAAQA8wAAAFsFAAAAAA==&#10;" o:allowincell="f" filled="f" stroked="f">
                <v:textbox>
                  <w:txbxContent>
                    <w:p w14:paraId="7498F2F8" w14:textId="6FCEF27F" w:rsidR="002226CE" w:rsidRPr="00CF30AC" w:rsidRDefault="002226CE">
                      <w:pPr>
                        <w:jc w:val="center"/>
                        <w:rPr>
                          <w:rFonts w:ascii="Arial" w:hAnsi="Arial" w:cs="Arial"/>
                          <w:b/>
                          <w:bCs/>
                          <w:color w:val="FFFFFF" w:themeColor="background1"/>
                          <w:sz w:val="48"/>
                        </w:rPr>
                      </w:pPr>
                    </w:p>
                  </w:txbxContent>
                </v:textbox>
                <w10:wrap anchorx="page" anchory="page"/>
              </v:shape>
            </w:pict>
          </mc:Fallback>
        </mc:AlternateContent>
      </w:r>
    </w:p>
    <w:p w14:paraId="5C8CF306" w14:textId="6317891A" w:rsidR="002226CE" w:rsidRPr="00A04AFA" w:rsidRDefault="00443888" w:rsidP="002226CE">
      <w:pPr>
        <w:widowControl w:val="0"/>
        <w:numPr>
          <w:ilvl w:val="0"/>
          <w:numId w:val="6"/>
        </w:numPr>
        <w:overflowPunct w:val="0"/>
        <w:autoSpaceDE w:val="0"/>
        <w:autoSpaceDN w:val="0"/>
        <w:adjustRightInd w:val="0"/>
        <w:ind w:left="567" w:hanging="567"/>
        <w:textAlignment w:val="baseline"/>
        <w:rPr>
          <w:rStyle w:val="Hyperlink"/>
          <w:b/>
        </w:rPr>
      </w:pPr>
      <w:hyperlink r:id="rId21" w:history="1">
        <w:r w:rsidR="002226CE">
          <w:rPr>
            <w:rStyle w:val="Hyperlink"/>
            <w:b/>
            <w:i/>
            <w:sz w:val="28"/>
          </w:rPr>
          <w:t>Programele „</w:t>
        </w:r>
        <w:proofErr w:type="spellStart"/>
        <w:r w:rsidR="002226CE">
          <w:rPr>
            <w:rStyle w:val="Hyperlink"/>
            <w:b/>
            <w:i/>
            <w:sz w:val="28"/>
          </w:rPr>
          <w:t>AgoraEU</w:t>
        </w:r>
        <w:proofErr w:type="spellEnd"/>
        <w:r w:rsidR="002226CE">
          <w:rPr>
            <w:rStyle w:val="Hyperlink"/>
            <w:b/>
            <w:i/>
            <w:sz w:val="28"/>
          </w:rPr>
          <w:t>” și „Justiție”</w:t>
        </w:r>
      </w:hyperlink>
    </w:p>
    <w:p w14:paraId="265419E7" w14:textId="77777777" w:rsidR="002226CE" w:rsidRPr="00CF30AC" w:rsidRDefault="002226CE" w:rsidP="00EA299E">
      <w:pPr>
        <w:tabs>
          <w:tab w:val="center" w:pos="284"/>
        </w:tabs>
        <w:ind w:left="567" w:hanging="567"/>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7546"/>
      </w:tblGrid>
      <w:tr w:rsidR="002226CE" w:rsidRPr="00003787" w14:paraId="7F8B39CB" w14:textId="77777777" w:rsidTr="00612FA0">
        <w:tc>
          <w:tcPr>
            <w:tcW w:w="1701" w:type="dxa"/>
          </w:tcPr>
          <w:p w14:paraId="03727BE7" w14:textId="77777777" w:rsidR="002226CE" w:rsidRPr="00A6689B" w:rsidRDefault="002226CE" w:rsidP="00EA299E">
            <w:pPr>
              <w:tabs>
                <w:tab w:val="center" w:pos="284"/>
              </w:tabs>
              <w:ind w:left="567" w:hanging="567"/>
              <w:rPr>
                <w:b/>
              </w:rPr>
            </w:pPr>
            <w:r>
              <w:rPr>
                <w:b/>
                <w:bCs/>
              </w:rPr>
              <w:t>Raportor:</w:t>
            </w:r>
          </w:p>
        </w:tc>
        <w:tc>
          <w:tcPr>
            <w:tcW w:w="7905" w:type="dxa"/>
          </w:tcPr>
          <w:p w14:paraId="5A07FD3F" w14:textId="77777777" w:rsidR="002226CE" w:rsidRPr="00003787" w:rsidRDefault="002226CE" w:rsidP="00175210">
            <w:pPr>
              <w:ind w:left="567" w:hanging="567"/>
            </w:pPr>
            <w:r>
              <w:t>Ionuț SIBIAN (Grupul „Organizații ale societății civile” – RO)</w:t>
            </w:r>
          </w:p>
        </w:tc>
      </w:tr>
      <w:tr w:rsidR="002226CE" w:rsidRPr="00CA1E86" w14:paraId="794AEBE5" w14:textId="77777777" w:rsidTr="00612FA0">
        <w:tc>
          <w:tcPr>
            <w:tcW w:w="1701" w:type="dxa"/>
            <w:vMerge w:val="restart"/>
          </w:tcPr>
          <w:p w14:paraId="1B350DC5" w14:textId="77777777" w:rsidR="002226CE" w:rsidRPr="00A6689B" w:rsidRDefault="002226CE" w:rsidP="00EA299E">
            <w:pPr>
              <w:tabs>
                <w:tab w:val="center" w:pos="284"/>
              </w:tabs>
              <w:ind w:left="567" w:hanging="567"/>
              <w:rPr>
                <w:b/>
              </w:rPr>
            </w:pPr>
            <w:r>
              <w:rPr>
                <w:b/>
                <w:bCs/>
              </w:rPr>
              <w:t>Referințe:</w:t>
            </w:r>
          </w:p>
        </w:tc>
        <w:tc>
          <w:tcPr>
            <w:tcW w:w="7905" w:type="dxa"/>
          </w:tcPr>
          <w:p w14:paraId="79C4CE86" w14:textId="77777777" w:rsidR="002226CE" w:rsidRDefault="002226CE" w:rsidP="00EA299E">
            <w:pPr>
              <w:tabs>
                <w:tab w:val="center" w:pos="284"/>
              </w:tabs>
              <w:ind w:left="567" w:hanging="567"/>
            </w:pPr>
            <w:r>
              <w:t>COM(2025) 463 final</w:t>
            </w:r>
          </w:p>
          <w:p w14:paraId="43735E6A" w14:textId="77777777" w:rsidR="002226CE" w:rsidRDefault="002226CE" w:rsidP="00EA299E">
            <w:pPr>
              <w:tabs>
                <w:tab w:val="center" w:pos="284"/>
              </w:tabs>
              <w:ind w:left="567" w:hanging="567"/>
            </w:pPr>
            <w:r>
              <w:t>COM(2025) 550 final</w:t>
            </w:r>
          </w:p>
          <w:p w14:paraId="0E33EE55" w14:textId="3BF9D0E4" w:rsidR="008A0752" w:rsidRPr="00A04AFA" w:rsidRDefault="008A0752" w:rsidP="00EA299E">
            <w:pPr>
              <w:tabs>
                <w:tab w:val="center" w:pos="284"/>
              </w:tabs>
              <w:ind w:left="567" w:hanging="567"/>
            </w:pPr>
            <w:r w:rsidRPr="008D0052">
              <w:rPr>
                <w:lang w:val="pt-PT"/>
              </w:rPr>
              <w:t>EESC-2025-02823-00-00-AC</w:t>
            </w:r>
          </w:p>
        </w:tc>
      </w:tr>
      <w:tr w:rsidR="002226CE" w:rsidRPr="00AF7F99" w14:paraId="4DAB0262" w14:textId="77777777" w:rsidTr="00612FA0">
        <w:tc>
          <w:tcPr>
            <w:tcW w:w="1701" w:type="dxa"/>
            <w:vMerge/>
          </w:tcPr>
          <w:p w14:paraId="4A48B929" w14:textId="77777777" w:rsidR="002226CE" w:rsidRPr="00A04AFA" w:rsidRDefault="002226CE" w:rsidP="00A6689B">
            <w:pPr>
              <w:tabs>
                <w:tab w:val="center" w:pos="284"/>
              </w:tabs>
              <w:ind w:left="266" w:hanging="266"/>
              <w:rPr>
                <w:b/>
                <w:lang w:val="pt-PT"/>
              </w:rPr>
            </w:pPr>
          </w:p>
        </w:tc>
        <w:tc>
          <w:tcPr>
            <w:tcW w:w="7905" w:type="dxa"/>
          </w:tcPr>
          <w:p w14:paraId="62F4353B" w14:textId="77777777" w:rsidR="002226CE" w:rsidRPr="00AF7F99" w:rsidRDefault="002226CE" w:rsidP="00A6689B">
            <w:pPr>
              <w:tabs>
                <w:tab w:val="center" w:pos="284"/>
              </w:tabs>
              <w:ind w:left="266" w:hanging="266"/>
              <w:rPr>
                <w:sz w:val="2"/>
                <w:szCs w:val="2"/>
                <w:lang w:val="pt-PT"/>
              </w:rPr>
            </w:pPr>
          </w:p>
        </w:tc>
      </w:tr>
    </w:tbl>
    <w:p w14:paraId="34873D4C" w14:textId="77777777" w:rsidR="002226CE" w:rsidRDefault="002226CE" w:rsidP="00D34DDF">
      <w:pPr>
        <w:keepNext/>
        <w:keepLines/>
        <w:tabs>
          <w:tab w:val="center" w:pos="284"/>
        </w:tabs>
        <w:ind w:left="266" w:hanging="266"/>
        <w:rPr>
          <w:b/>
        </w:rPr>
      </w:pPr>
    </w:p>
    <w:p w14:paraId="43476254" w14:textId="77777777" w:rsidR="002226CE" w:rsidRDefault="002226CE" w:rsidP="00D34DDF">
      <w:pPr>
        <w:keepNext/>
        <w:keepLines/>
        <w:tabs>
          <w:tab w:val="center" w:pos="284"/>
        </w:tabs>
        <w:ind w:left="266" w:hanging="266"/>
        <w:rPr>
          <w:b/>
        </w:rPr>
      </w:pPr>
      <w:r>
        <w:rPr>
          <w:b/>
        </w:rPr>
        <w:t>Punctele principale:</w:t>
      </w:r>
    </w:p>
    <w:p w14:paraId="24940290" w14:textId="77777777" w:rsidR="002226CE" w:rsidRDefault="002226CE" w:rsidP="00D34DDF">
      <w:pPr>
        <w:keepNext/>
        <w:keepLines/>
        <w:tabs>
          <w:tab w:val="center" w:pos="284"/>
        </w:tabs>
        <w:ind w:left="266" w:hanging="266"/>
        <w:rPr>
          <w:b/>
        </w:rPr>
      </w:pPr>
    </w:p>
    <w:p w14:paraId="5D33242E" w14:textId="77777777" w:rsidR="002226CE" w:rsidRPr="002010CB" w:rsidRDefault="002226CE" w:rsidP="002010CB">
      <w:pPr>
        <w:pStyle w:val="NormalWeb"/>
        <w:spacing w:before="0" w:beforeAutospacing="0" w:after="0" w:afterAutospacing="0" w:line="288" w:lineRule="auto"/>
        <w:rPr>
          <w:sz w:val="22"/>
          <w:szCs w:val="22"/>
        </w:rPr>
      </w:pPr>
      <w:r>
        <w:rPr>
          <w:rStyle w:val="Strong"/>
          <w:sz w:val="22"/>
        </w:rPr>
        <w:t>CESE:</w:t>
      </w:r>
    </w:p>
    <w:p w14:paraId="0DFFD8B3"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salută propunerile Comisiei privind programele „</w:t>
      </w:r>
      <w:proofErr w:type="spellStart"/>
      <w:r>
        <w:rPr>
          <w:sz w:val="22"/>
        </w:rPr>
        <w:t>AgoraEU</w:t>
      </w:r>
      <w:proofErr w:type="spellEnd"/>
      <w:r>
        <w:rPr>
          <w:sz w:val="22"/>
        </w:rPr>
        <w:t>” și „Justiție”, și îndeamnă Parlamentul European și Consiliul să aprobe aceste propuneri fără a reduce pachetul financiar propus;</w:t>
      </w:r>
    </w:p>
    <w:p w14:paraId="2B28F24B"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solicită recunoașterea explicită a susținerii și promovării ca parte esențială a activității organizațiilor societății civile (OSC) și a rolului acestora în procesul de elaborare a politicilor pentru a consolida democrația și reziliența;</w:t>
      </w:r>
    </w:p>
    <w:p w14:paraId="5CE3E19D"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recomandă introducerea unor granturi de funcționare în toate componentele programului „</w:t>
      </w:r>
      <w:proofErr w:type="spellStart"/>
      <w:r>
        <w:rPr>
          <w:sz w:val="22"/>
        </w:rPr>
        <w:t>AgoraEU</w:t>
      </w:r>
      <w:proofErr w:type="spellEnd"/>
      <w:r>
        <w:rPr>
          <w:sz w:val="22"/>
        </w:rPr>
        <w:t>” pentru a consolida stabilitatea instituțională a OSC, și solicită extinderea granturilor de funcționare din cadrul programului „Justiție” la organizațiile non-profit de interes european general;</w:t>
      </w:r>
    </w:p>
    <w:p w14:paraId="2D5330FB"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sprijină menținerea sprijinului financiar acordat terților prin organizațiile intermediare, ca mijloc de a ajunge la grupuri mai mici sau locale, și solicită să se asigure independența intermediarilor și conformitatea metodelor lor de guvernanță cu Carta drepturilor fundamentale a UE ca criterii de eligibilitate esențiale în selectarea lor. CESE solicită, de asemenea, claritate în ceea ce privește ratele de cofinanțare, propunând o finanțare din partea UE de până la 100 % pentru intermediarii și beneficiarii finali care pun în aplicare activități delegate;</w:t>
      </w:r>
    </w:p>
    <w:p w14:paraId="6B8AEB11"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ia act de necesitatea de a adapta mandatul și resursele birourilor „Europa creativă” pentru a sprijini în mod eficace domeniul de aplicare mai larg al programului „</w:t>
      </w:r>
      <w:proofErr w:type="spellStart"/>
      <w:r>
        <w:rPr>
          <w:sz w:val="22"/>
        </w:rPr>
        <w:t>AgoraEU</w:t>
      </w:r>
      <w:proofErr w:type="spellEnd"/>
      <w:r>
        <w:rPr>
          <w:sz w:val="22"/>
        </w:rPr>
        <w:t>” în domeniile cultural, mediatic și civic;</w:t>
      </w:r>
    </w:p>
    <w:p w14:paraId="4B68DBDE"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solicită flexibilitate și garanții (de exemplu, indexare, mecanisme corective) în ceea ce privește sumele forfetare și granturile multianuale, pentru a preveni presiunea financiară asupra beneficiarilor;</w:t>
      </w:r>
    </w:p>
    <w:p w14:paraId="10C7B4AF"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solicită claritate în ceea ce privește </w:t>
      </w:r>
      <w:proofErr w:type="spellStart"/>
      <w:r>
        <w:rPr>
          <w:sz w:val="22"/>
        </w:rPr>
        <w:t>sinergiile</w:t>
      </w:r>
      <w:proofErr w:type="spellEnd"/>
      <w:r>
        <w:rPr>
          <w:sz w:val="22"/>
        </w:rPr>
        <w:t xml:space="preserve"> dintre Fondul european pentru competitivitate (CEC) și componenta Media+ a programului „</w:t>
      </w:r>
      <w:proofErr w:type="spellStart"/>
      <w:r>
        <w:rPr>
          <w:sz w:val="22"/>
        </w:rPr>
        <w:t>AgoraEU</w:t>
      </w:r>
      <w:proofErr w:type="spellEnd"/>
      <w:r>
        <w:rPr>
          <w:sz w:val="22"/>
        </w:rPr>
        <w:t>”, și invită Comisia să interconecteze beneficiarii de granturi și să elaboreze un plan de acțiune pentru a face operaționale dispozițiile privind finanțarea combinată și cumulativă din ambele regulamente, inclusiv cererile de propuneri comune, cooperarea dintre DG și monitorizarea performanței;</w:t>
      </w:r>
    </w:p>
    <w:p w14:paraId="586B59AA"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recomandă ca programul „Justiție” să pună un accent mai mare pe drepturile victimelor și pe accesul la justiție, inclusiv prin finanțarea rețelelor de sprijin, prin formarea practicienilor și prin asistența judiciară transfrontalieră;</w:t>
      </w:r>
    </w:p>
    <w:p w14:paraId="295BC286"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solicită abordarea dezechilibrelor de finanțare care există în interiorul UE, în special a decalajului est</w:t>
      </w:r>
      <w:r>
        <w:rPr>
          <w:sz w:val="22"/>
        </w:rPr>
        <w:noBreakHyphen/>
        <w:t>vest, în cadrul ambelor programe;</w:t>
      </w:r>
    </w:p>
    <w:p w14:paraId="40425A82" w14:textId="77777777" w:rsidR="002226CE" w:rsidRPr="002010CB"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regretă eliminarea din regulamentul privind programul „</w:t>
      </w:r>
      <w:proofErr w:type="spellStart"/>
      <w:r>
        <w:rPr>
          <w:sz w:val="22"/>
        </w:rPr>
        <w:t>AgoraEU</w:t>
      </w:r>
      <w:proofErr w:type="spellEnd"/>
      <w:r>
        <w:rPr>
          <w:sz w:val="22"/>
        </w:rPr>
        <w:t>” a Grupului de lucru pentru dialogul civil și solicită reinstituirea acestuia;</w:t>
      </w:r>
    </w:p>
    <w:p w14:paraId="4C97002C" w14:textId="77777777" w:rsidR="002226CE" w:rsidRPr="00612FA0" w:rsidRDefault="002226CE" w:rsidP="002226CE">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lastRenderedPageBreak/>
        <w:t>subliniază că impactul programului depinde de existența unei infrastructuri și a unei cofinanțări adecvate la nivel național, și propune ca accesul la fondurile UE cu gestiune partajată să depindă de capacitatea statelor membre de a demonstra angajamentul lor în favoarea obiectivelor programelor „</w:t>
      </w:r>
      <w:proofErr w:type="spellStart"/>
      <w:r>
        <w:rPr>
          <w:sz w:val="22"/>
        </w:rPr>
        <w:t>AgoraEU</w:t>
      </w:r>
      <w:proofErr w:type="spellEnd"/>
      <w:r>
        <w:rPr>
          <w:sz w:val="22"/>
        </w:rPr>
        <w:t>” și „Justiție”.</w:t>
      </w:r>
    </w:p>
    <w:p w14:paraId="57EE74BF" w14:textId="77777777" w:rsidR="002226CE" w:rsidRPr="002010CB" w:rsidRDefault="002226CE" w:rsidP="00612FA0">
      <w:pPr>
        <w:pStyle w:val="NormalWeb"/>
        <w:spacing w:before="0" w:beforeAutospacing="0" w:after="0" w:afterAutospacing="0" w:line="288" w:lineRule="auto"/>
        <w:ind w:left="567"/>
        <w:jc w:val="both"/>
        <w:rPr>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94"/>
      </w:tblGrid>
      <w:tr w:rsidR="002226CE" w:rsidRPr="00A6689B" w14:paraId="0C4B84A2" w14:textId="77777777" w:rsidTr="00612FA0">
        <w:tc>
          <w:tcPr>
            <w:tcW w:w="1701" w:type="dxa"/>
          </w:tcPr>
          <w:p w14:paraId="72019847" w14:textId="77777777" w:rsidR="002226CE" w:rsidRPr="00A6689B" w:rsidRDefault="002226CE" w:rsidP="00567876">
            <w:pPr>
              <w:spacing w:line="240" w:lineRule="auto"/>
              <w:rPr>
                <w:i/>
              </w:rPr>
            </w:pPr>
            <w:r>
              <w:rPr>
                <w:b/>
                <w:i/>
              </w:rPr>
              <w:t>Date de contact:</w:t>
            </w:r>
          </w:p>
        </w:tc>
        <w:tc>
          <w:tcPr>
            <w:tcW w:w="3894" w:type="dxa"/>
          </w:tcPr>
          <w:p w14:paraId="423BD447" w14:textId="0CFC5233" w:rsidR="002226CE" w:rsidRPr="00A6689B" w:rsidRDefault="002226CE" w:rsidP="00661C7E">
            <w:pPr>
              <w:spacing w:line="240" w:lineRule="auto"/>
              <w:ind w:hanging="12"/>
              <w:rPr>
                <w:i/>
              </w:rPr>
            </w:pPr>
            <w:proofErr w:type="spellStart"/>
            <w:r>
              <w:rPr>
                <w:i/>
              </w:rPr>
              <w:t>Alessia</w:t>
            </w:r>
            <w:proofErr w:type="spellEnd"/>
            <w:r>
              <w:rPr>
                <w:i/>
              </w:rPr>
              <w:t xml:space="preserve"> </w:t>
            </w:r>
            <w:r w:rsidR="00CF30AC">
              <w:rPr>
                <w:i/>
              </w:rPr>
              <w:t>COVA</w:t>
            </w:r>
          </w:p>
        </w:tc>
      </w:tr>
      <w:tr w:rsidR="002226CE" w:rsidRPr="00A6689B" w14:paraId="055FDBE1" w14:textId="77777777" w:rsidTr="00612FA0">
        <w:tc>
          <w:tcPr>
            <w:tcW w:w="1701" w:type="dxa"/>
          </w:tcPr>
          <w:p w14:paraId="482BF05A" w14:textId="77777777" w:rsidR="002226CE" w:rsidRPr="00A6689B" w:rsidRDefault="002226CE" w:rsidP="00567876">
            <w:pPr>
              <w:spacing w:line="240" w:lineRule="auto"/>
              <w:rPr>
                <w:i/>
              </w:rPr>
            </w:pPr>
            <w:r>
              <w:rPr>
                <w:i/>
              </w:rPr>
              <w:t>Tel.:</w:t>
            </w:r>
          </w:p>
        </w:tc>
        <w:tc>
          <w:tcPr>
            <w:tcW w:w="3894" w:type="dxa"/>
          </w:tcPr>
          <w:p w14:paraId="58B07AB2" w14:textId="77777777" w:rsidR="002226CE" w:rsidRPr="00A6689B" w:rsidRDefault="002226CE" w:rsidP="00CE0F5B">
            <w:pPr>
              <w:spacing w:line="240" w:lineRule="auto"/>
              <w:rPr>
                <w:i/>
              </w:rPr>
            </w:pPr>
            <w:r>
              <w:rPr>
                <w:i/>
              </w:rPr>
              <w:t>+32 25469426</w:t>
            </w:r>
          </w:p>
        </w:tc>
      </w:tr>
      <w:tr w:rsidR="002226CE" w:rsidRPr="00A6689B" w14:paraId="64EE573E" w14:textId="77777777" w:rsidTr="00612FA0">
        <w:tc>
          <w:tcPr>
            <w:tcW w:w="1701" w:type="dxa"/>
          </w:tcPr>
          <w:p w14:paraId="4982F8B7" w14:textId="77777777" w:rsidR="002226CE" w:rsidRPr="00A6689B" w:rsidRDefault="002226CE" w:rsidP="00567876">
            <w:pPr>
              <w:spacing w:line="240" w:lineRule="auto"/>
              <w:rPr>
                <w:i/>
              </w:rPr>
            </w:pPr>
            <w:r>
              <w:rPr>
                <w:i/>
              </w:rPr>
              <w:t>E-mail:</w:t>
            </w:r>
          </w:p>
        </w:tc>
        <w:tc>
          <w:tcPr>
            <w:tcW w:w="3894" w:type="dxa"/>
          </w:tcPr>
          <w:p w14:paraId="408C643D" w14:textId="77777777" w:rsidR="002226CE" w:rsidRPr="00A153DB" w:rsidRDefault="00443888" w:rsidP="003568AD">
            <w:pPr>
              <w:spacing w:line="240" w:lineRule="auto"/>
              <w:rPr>
                <w:i/>
                <w:iCs/>
              </w:rPr>
            </w:pPr>
            <w:hyperlink r:id="rId22" w:history="1">
              <w:r w:rsidR="002226CE">
                <w:rPr>
                  <w:rStyle w:val="Hyperlink"/>
                  <w:i/>
                </w:rPr>
                <w:t>Alessia.Cova@eesc.europa.eu</w:t>
              </w:r>
            </w:hyperlink>
          </w:p>
        </w:tc>
      </w:tr>
    </w:tbl>
    <w:p w14:paraId="2695D29F" w14:textId="77777777" w:rsidR="002226CE" w:rsidRDefault="002226CE" w:rsidP="007B6368">
      <w:pPr>
        <w:jc w:val="center"/>
      </w:pPr>
    </w:p>
    <w:p w14:paraId="4982DDC5" w14:textId="1CF6CB42" w:rsidR="00CF30AC" w:rsidRDefault="00CF30AC" w:rsidP="004D7AC0">
      <w:pPr>
        <w:spacing w:after="160" w:line="259" w:lineRule="auto"/>
        <w:jc w:val="left"/>
      </w:pPr>
      <w:r>
        <w:br w:type="page"/>
      </w:r>
    </w:p>
    <w:p w14:paraId="42E053FB" w14:textId="77777777" w:rsidR="004D7AC0" w:rsidRDefault="004D7AC0" w:rsidP="004D7AC0">
      <w:pPr>
        <w:spacing w:after="160" w:line="259" w:lineRule="auto"/>
        <w:jc w:val="left"/>
      </w:pPr>
    </w:p>
    <w:p w14:paraId="4982DDC6" w14:textId="77777777" w:rsidR="004D7AC0" w:rsidRDefault="004D7AC0" w:rsidP="004D7AC0">
      <w:pPr>
        <w:pStyle w:val="Heading1"/>
        <w:rPr>
          <w:b/>
        </w:rPr>
      </w:pPr>
      <w:bookmarkStart w:id="3" w:name="_Toc24617160"/>
      <w:bookmarkStart w:id="4" w:name="_Toc75527082"/>
      <w:bookmarkStart w:id="5" w:name="_Toc216795112"/>
      <w:r>
        <w:rPr>
          <w:b/>
        </w:rPr>
        <w:t>SECȚIUNEA PENTRU TRANSPORTURI, ENERGIE, INFRASTRUCTURĂ ȘI SOCIETATEA INFORMAȚIONALĂ</w:t>
      </w:r>
      <w:bookmarkEnd w:id="3"/>
      <w:bookmarkEnd w:id="4"/>
      <w:bookmarkEnd w:id="5"/>
    </w:p>
    <w:p w14:paraId="4982DDC7" w14:textId="55336F86" w:rsidR="004D7AC0" w:rsidRDefault="004D7AC0" w:rsidP="004D7AC0"/>
    <w:p w14:paraId="0EE10299" w14:textId="77777777" w:rsidR="002226CE" w:rsidRPr="00AC7B06" w:rsidRDefault="002226CE" w:rsidP="00567876">
      <w:pPr>
        <w:widowControl w:val="0"/>
        <w:jc w:val="center"/>
        <w:rPr>
          <w:bCs/>
          <w:iCs/>
        </w:rPr>
      </w:pPr>
      <w:r>
        <w:rPr>
          <w:noProof/>
          <w:sz w:val="20"/>
        </w:rPr>
        <mc:AlternateContent>
          <mc:Choice Requires="wps">
            <w:drawing>
              <wp:anchor distT="0" distB="0" distL="114300" distR="114300" simplePos="0" relativeHeight="251669504" behindDoc="1" locked="0" layoutInCell="0" allowOverlap="1" wp14:anchorId="3D6CF0D4" wp14:editId="175FC32B">
                <wp:simplePos x="0" y="0"/>
                <wp:positionH relativeFrom="page">
                  <wp:posOffset>6769100</wp:posOffset>
                </wp:positionH>
                <wp:positionV relativeFrom="page">
                  <wp:posOffset>10081260</wp:posOffset>
                </wp:positionV>
                <wp:extent cx="647700" cy="396240"/>
                <wp:effectExtent l="0" t="3810" r="3175"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02609" w14:textId="27AEE2DD" w:rsidR="002226CE" w:rsidRPr="00822F79" w:rsidRDefault="002226CE">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CF0D4" id="_x0000_s1030" type="#_x0000_t202" style="position:absolute;left:0;text-align:left;margin-left:533pt;margin-top:793.8pt;width:51pt;height:3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HIOn49QEAAM4DAAAOAAAAAAAAAAAAAAAAAC4CAABk&#10;cnMvZTJvRG9jLnhtbFBLAQItABQABgAIAAAAIQDrVDFa3gAAAA8BAAAPAAAAAAAAAAAAAAAAAE8E&#10;AABkcnMvZG93bnJldi54bWxQSwUGAAAAAAQABADzAAAAWgUAAAAA&#10;" o:allowincell="f" filled="f" stroked="f">
                <v:textbox>
                  <w:txbxContent>
                    <w:p w14:paraId="7F202609" w14:textId="27AEE2DD" w:rsidR="002226CE" w:rsidRPr="00822F79" w:rsidRDefault="002226CE">
                      <w:pPr>
                        <w:jc w:val="center"/>
                        <w:rPr>
                          <w:rFonts w:ascii="Arial" w:hAnsi="Arial" w:cs="Arial"/>
                          <w:b/>
                          <w:bCs/>
                          <w:color w:val="FFFFFF" w:themeColor="background1"/>
                          <w:sz w:val="48"/>
                        </w:rPr>
                      </w:pPr>
                    </w:p>
                  </w:txbxContent>
                </v:textbox>
                <w10:wrap anchorx="page" anchory="page"/>
              </v:shape>
            </w:pict>
          </mc:Fallback>
        </mc:AlternateContent>
      </w:r>
    </w:p>
    <w:p w14:paraId="692D5729" w14:textId="680BA412" w:rsidR="002226CE" w:rsidRPr="00327164" w:rsidRDefault="00443888" w:rsidP="002226CE">
      <w:pPr>
        <w:widowControl w:val="0"/>
        <w:numPr>
          <w:ilvl w:val="0"/>
          <w:numId w:val="4"/>
        </w:numPr>
        <w:overflowPunct w:val="0"/>
        <w:autoSpaceDE w:val="0"/>
        <w:autoSpaceDN w:val="0"/>
        <w:adjustRightInd w:val="0"/>
        <w:ind w:hanging="567"/>
        <w:textAlignment w:val="baseline"/>
        <w:rPr>
          <w:rStyle w:val="Hyperlink"/>
          <w:sz w:val="20"/>
        </w:rPr>
      </w:pPr>
      <w:hyperlink r:id="rId23" w:history="1">
        <w:r w:rsidR="002226CE">
          <w:rPr>
            <w:rStyle w:val="Hyperlink"/>
            <w:b/>
            <w:i/>
            <w:sz w:val="28"/>
          </w:rPr>
          <w:t>Clasa de emisii de CO</w:t>
        </w:r>
        <w:r w:rsidR="002226CE">
          <w:rPr>
            <w:rStyle w:val="Hyperlink"/>
            <w:b/>
            <w:i/>
            <w:sz w:val="28"/>
            <w:vertAlign w:val="subscript"/>
          </w:rPr>
          <w:t>2</w:t>
        </w:r>
        <w:r w:rsidR="002226CE">
          <w:rPr>
            <w:rStyle w:val="Hyperlink"/>
            <w:b/>
            <w:i/>
            <w:sz w:val="28"/>
          </w:rPr>
          <w:t xml:space="preserve"> a vehiculelor grele cu remorci</w:t>
        </w:r>
      </w:hyperlink>
    </w:p>
    <w:p w14:paraId="0B75A6D9" w14:textId="77777777" w:rsidR="002226CE" w:rsidRPr="00AC7B06" w:rsidRDefault="002226CE" w:rsidP="00E02533">
      <w:pPr>
        <w:widowControl w:val="0"/>
        <w:ind w:left="567"/>
        <w:rPr>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226CE" w:rsidRPr="00E454A2" w14:paraId="5EBE035F" w14:textId="77777777" w:rsidTr="00603EF6">
        <w:tc>
          <w:tcPr>
            <w:tcW w:w="1701" w:type="dxa"/>
          </w:tcPr>
          <w:p w14:paraId="09A4AEC3" w14:textId="77777777" w:rsidR="002226CE" w:rsidRPr="00AC7B06" w:rsidRDefault="002226CE" w:rsidP="006676E2">
            <w:pPr>
              <w:tabs>
                <w:tab w:val="center" w:pos="284"/>
              </w:tabs>
              <w:ind w:left="596" w:hanging="709"/>
              <w:rPr>
                <w:b/>
              </w:rPr>
            </w:pPr>
            <w:r>
              <w:rPr>
                <w:b/>
              </w:rPr>
              <w:t>Referințe:</w:t>
            </w:r>
          </w:p>
        </w:tc>
        <w:tc>
          <w:tcPr>
            <w:tcW w:w="7621" w:type="dxa"/>
          </w:tcPr>
          <w:p w14:paraId="0F4F8D94" w14:textId="77777777" w:rsidR="00A323CA" w:rsidRDefault="00776487" w:rsidP="00CF30AC">
            <w:pPr>
              <w:tabs>
                <w:tab w:val="center" w:pos="284"/>
              </w:tabs>
              <w:overflowPunct w:val="0"/>
              <w:autoSpaceDE w:val="0"/>
              <w:autoSpaceDN w:val="0"/>
              <w:adjustRightInd w:val="0"/>
              <w:ind w:left="720" w:hanging="720"/>
              <w:textAlignment w:val="baseline"/>
            </w:pPr>
            <w:r>
              <w:t>Aviz de categoria C</w:t>
            </w:r>
          </w:p>
          <w:p w14:paraId="68328E7B" w14:textId="79F71BE3" w:rsidR="00CF30AC" w:rsidRPr="00BC676C" w:rsidRDefault="00CF30AC" w:rsidP="00CF30AC">
            <w:pPr>
              <w:tabs>
                <w:tab w:val="center" w:pos="284"/>
              </w:tabs>
              <w:overflowPunct w:val="0"/>
              <w:autoSpaceDE w:val="0"/>
              <w:autoSpaceDN w:val="0"/>
              <w:adjustRightInd w:val="0"/>
              <w:ind w:left="720" w:hanging="720"/>
              <w:textAlignment w:val="baseline"/>
              <w:rPr>
                <w:bCs/>
                <w:lang w:val="pt-PT"/>
              </w:rPr>
            </w:pPr>
            <w:r w:rsidRPr="00BC676C">
              <w:rPr>
                <w:bCs/>
                <w:lang w:val="pt-PT"/>
              </w:rPr>
              <w:t xml:space="preserve">COM(2025) 589 final </w:t>
            </w:r>
          </w:p>
          <w:p w14:paraId="291326A3" w14:textId="77777777" w:rsidR="002226CE" w:rsidRPr="00AC7B06" w:rsidRDefault="002226CE" w:rsidP="00603EF6">
            <w:pPr>
              <w:tabs>
                <w:tab w:val="center" w:pos="284"/>
              </w:tabs>
              <w:ind w:left="720" w:hanging="720"/>
            </w:pPr>
            <w:r>
              <w:t>EESC-2023-03779-00-AC</w:t>
            </w:r>
          </w:p>
        </w:tc>
      </w:tr>
    </w:tbl>
    <w:p w14:paraId="3A942A48" w14:textId="77777777" w:rsidR="002226CE" w:rsidRDefault="002226CE" w:rsidP="000875D6">
      <w:pPr>
        <w:keepNext/>
        <w:keepLines/>
        <w:tabs>
          <w:tab w:val="center" w:pos="284"/>
        </w:tabs>
        <w:ind w:left="720" w:hanging="720"/>
        <w:rPr>
          <w:b/>
        </w:rPr>
      </w:pPr>
    </w:p>
    <w:p w14:paraId="6126CCAB" w14:textId="77777777" w:rsidR="002226CE" w:rsidRPr="00AC7B06" w:rsidRDefault="002226CE" w:rsidP="000875D6">
      <w:pPr>
        <w:keepNext/>
        <w:keepLines/>
        <w:tabs>
          <w:tab w:val="center" w:pos="284"/>
        </w:tabs>
        <w:ind w:left="720" w:hanging="720"/>
        <w:rPr>
          <w:b/>
        </w:rPr>
      </w:pPr>
      <w:r>
        <w:rPr>
          <w:b/>
        </w:rPr>
        <w:t>Punctele principale:</w:t>
      </w:r>
    </w:p>
    <w:p w14:paraId="2886A506" w14:textId="77777777" w:rsidR="002226CE" w:rsidRPr="00AC7B06" w:rsidRDefault="002226CE" w:rsidP="000875D6">
      <w:pPr>
        <w:keepNext/>
        <w:keepLines/>
        <w:tabs>
          <w:tab w:val="center" w:pos="284"/>
        </w:tabs>
        <w:ind w:left="720" w:hanging="720"/>
        <w:rPr>
          <w:b/>
        </w:rPr>
      </w:pPr>
    </w:p>
    <w:p w14:paraId="5075960B" w14:textId="77777777" w:rsidR="002226CE" w:rsidRPr="00603EF6" w:rsidRDefault="002226CE" w:rsidP="002226CE">
      <w:pPr>
        <w:widowControl w:val="0"/>
        <w:numPr>
          <w:ilvl w:val="0"/>
          <w:numId w:val="4"/>
        </w:numPr>
        <w:overflowPunct w:val="0"/>
        <w:autoSpaceDE w:val="0"/>
        <w:autoSpaceDN w:val="0"/>
        <w:adjustRightInd w:val="0"/>
        <w:ind w:hanging="567"/>
        <w:textAlignment w:val="baseline"/>
        <w:rPr>
          <w:bCs/>
          <w:iCs/>
        </w:rPr>
      </w:pPr>
      <w:r>
        <w:t>Întrucât s-a pronunțat deja cu privire la conținutul propunerii respective în avizul său TEN/815 privind clasa de emisii de CO</w:t>
      </w:r>
      <w:r>
        <w:rPr>
          <w:vertAlign w:val="subscript"/>
        </w:rPr>
        <w:t>2</w:t>
      </w:r>
      <w:r>
        <w:t xml:space="preserve"> a vehiculelor grele cu remorci [</w:t>
      </w:r>
      <w:hyperlink r:id="rId24" w:history="1">
        <w:r>
          <w:rPr>
            <w:rStyle w:val="Hyperlink"/>
          </w:rPr>
          <w:t>C/2023/874</w:t>
        </w:r>
      </w:hyperlink>
      <w:r>
        <w:t>], adoptat la 20.9.2023, Comitetul a hotărât să nu elaboreze un nou aviz pe această temă, ci să facă trimitere la poziția pe care a adoptat-o în documentul menționat anterior.</w:t>
      </w:r>
    </w:p>
    <w:p w14:paraId="4A0A0D0C" w14:textId="77777777" w:rsidR="002226CE" w:rsidRPr="00AC7B06" w:rsidRDefault="002226CE" w:rsidP="000875D6">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7652"/>
      </w:tblGrid>
      <w:tr w:rsidR="002226CE" w:rsidRPr="00AC7B06" w14:paraId="7393F9F0" w14:textId="77777777" w:rsidTr="00603EF6">
        <w:tc>
          <w:tcPr>
            <w:tcW w:w="1418" w:type="dxa"/>
          </w:tcPr>
          <w:p w14:paraId="7EA35228" w14:textId="77777777" w:rsidR="002226CE" w:rsidRPr="00AC7B06" w:rsidRDefault="002226CE" w:rsidP="000875D6">
            <w:pPr>
              <w:ind w:left="720" w:hanging="720"/>
              <w:rPr>
                <w:i/>
              </w:rPr>
            </w:pPr>
            <w:r>
              <w:rPr>
                <w:b/>
                <w:i/>
              </w:rPr>
              <w:t>Date de contact:</w:t>
            </w:r>
          </w:p>
        </w:tc>
        <w:tc>
          <w:tcPr>
            <w:tcW w:w="7904" w:type="dxa"/>
          </w:tcPr>
          <w:p w14:paraId="5A93CFB3" w14:textId="77777777" w:rsidR="002226CE" w:rsidRPr="00AC7B06" w:rsidRDefault="002226CE" w:rsidP="000875D6">
            <w:pPr>
              <w:ind w:left="720" w:hanging="720"/>
              <w:rPr>
                <w:i/>
              </w:rPr>
            </w:pPr>
            <w:r>
              <w:rPr>
                <w:i/>
              </w:rPr>
              <w:t>Maja RADMAN</w:t>
            </w:r>
          </w:p>
        </w:tc>
      </w:tr>
      <w:tr w:rsidR="002226CE" w:rsidRPr="00AC7B06" w14:paraId="06B2D13E" w14:textId="77777777" w:rsidTr="00603EF6">
        <w:tc>
          <w:tcPr>
            <w:tcW w:w="1418" w:type="dxa"/>
          </w:tcPr>
          <w:p w14:paraId="0EE86C51" w14:textId="77777777" w:rsidR="002226CE" w:rsidRPr="00AC7B06" w:rsidRDefault="002226CE" w:rsidP="000875D6">
            <w:pPr>
              <w:ind w:left="720" w:hanging="720"/>
              <w:rPr>
                <w:i/>
              </w:rPr>
            </w:pPr>
            <w:r>
              <w:rPr>
                <w:i/>
              </w:rPr>
              <w:t>Tel.:</w:t>
            </w:r>
          </w:p>
        </w:tc>
        <w:tc>
          <w:tcPr>
            <w:tcW w:w="7904" w:type="dxa"/>
          </w:tcPr>
          <w:p w14:paraId="05902A48" w14:textId="77777777" w:rsidR="002226CE" w:rsidRPr="00AC7B06" w:rsidRDefault="002226CE" w:rsidP="000875D6">
            <w:pPr>
              <w:ind w:left="720" w:hanging="720"/>
              <w:rPr>
                <w:i/>
              </w:rPr>
            </w:pPr>
            <w:r>
              <w:rPr>
                <w:i/>
              </w:rPr>
              <w:t>+32 254690</w:t>
            </w:r>
            <w:r>
              <w:t>51</w:t>
            </w:r>
          </w:p>
        </w:tc>
      </w:tr>
      <w:tr w:rsidR="002226CE" w:rsidRPr="00A6689B" w14:paraId="2EF5296A" w14:textId="77777777" w:rsidTr="00603EF6">
        <w:tc>
          <w:tcPr>
            <w:tcW w:w="1418" w:type="dxa"/>
          </w:tcPr>
          <w:p w14:paraId="1511FD23" w14:textId="77777777" w:rsidR="002226CE" w:rsidRPr="00AC7B06" w:rsidRDefault="002226CE" w:rsidP="000875D6">
            <w:pPr>
              <w:ind w:left="720" w:hanging="720"/>
              <w:rPr>
                <w:i/>
              </w:rPr>
            </w:pPr>
            <w:r>
              <w:rPr>
                <w:i/>
              </w:rPr>
              <w:t>E-mail:</w:t>
            </w:r>
          </w:p>
        </w:tc>
        <w:tc>
          <w:tcPr>
            <w:tcW w:w="7904" w:type="dxa"/>
          </w:tcPr>
          <w:p w14:paraId="6E28D15F" w14:textId="77777777" w:rsidR="002226CE" w:rsidRPr="00A6689B" w:rsidRDefault="00443888" w:rsidP="000875D6">
            <w:pPr>
              <w:ind w:left="720" w:hanging="720"/>
              <w:rPr>
                <w:i/>
              </w:rPr>
            </w:pPr>
            <w:hyperlink r:id="rId25" w:history="1">
              <w:r w:rsidR="002226CE">
                <w:rPr>
                  <w:rStyle w:val="Hyperlink"/>
                  <w:i/>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61384AE0" w14:textId="171A3DEE" w:rsidR="00A2727F" w:rsidRDefault="00A2727F" w:rsidP="00567876">
      <w:pPr>
        <w:widowControl w:val="0"/>
        <w:jc w:val="center"/>
        <w:rPr>
          <w:bCs/>
          <w:iCs/>
        </w:rPr>
      </w:pPr>
    </w:p>
    <w:p w14:paraId="479D6232" w14:textId="77777777" w:rsidR="00A2727F" w:rsidRPr="000D0411" w:rsidRDefault="00A2727F" w:rsidP="00567876">
      <w:pPr>
        <w:widowControl w:val="0"/>
        <w:jc w:val="center"/>
        <w:rPr>
          <w:bCs/>
          <w:iCs/>
          <w:sz w:val="14"/>
          <w:szCs w:val="14"/>
        </w:rPr>
      </w:pPr>
      <w:r>
        <w:rPr>
          <w:noProof/>
          <w:sz w:val="12"/>
        </w:rPr>
        <mc:AlternateContent>
          <mc:Choice Requires="wps">
            <w:drawing>
              <wp:anchor distT="0" distB="0" distL="114300" distR="114300" simplePos="0" relativeHeight="251671552" behindDoc="1" locked="0" layoutInCell="0" allowOverlap="1" wp14:anchorId="5AB35979" wp14:editId="2D7C5D76">
                <wp:simplePos x="0" y="0"/>
                <wp:positionH relativeFrom="page">
                  <wp:posOffset>6769100</wp:posOffset>
                </wp:positionH>
                <wp:positionV relativeFrom="page">
                  <wp:posOffset>10081260</wp:posOffset>
                </wp:positionV>
                <wp:extent cx="647700" cy="396240"/>
                <wp:effectExtent l="0" t="3810" r="3175"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2DE9" w14:textId="30FF8612" w:rsidR="00A2727F" w:rsidRPr="00C82692" w:rsidRDefault="00A2727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35979" id="_x0000_s1031" type="#_x0000_t202" style="position:absolute;left:0;text-align:left;margin-left:533pt;margin-top:793.8pt;width:51pt;height:3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vBaWM9QEAAM4DAAAOAAAAAAAAAAAAAAAAAC4CAABk&#10;cnMvZTJvRG9jLnhtbFBLAQItABQABgAIAAAAIQDrVDFa3gAAAA8BAAAPAAAAAAAAAAAAAAAAAE8E&#10;AABkcnMvZG93bnJldi54bWxQSwUGAAAAAAQABADzAAAAWgUAAAAA&#10;" o:allowincell="f" filled="f" stroked="f">
                <v:textbox>
                  <w:txbxContent>
                    <w:p w14:paraId="12762DE9" w14:textId="30FF8612" w:rsidR="00A2727F" w:rsidRPr="00C82692" w:rsidRDefault="00A2727F">
                      <w:pPr>
                        <w:jc w:val="center"/>
                        <w:rPr>
                          <w:rFonts w:ascii="Arial" w:hAnsi="Arial" w:cs="Arial"/>
                          <w:b/>
                          <w:bCs/>
                          <w:color w:val="FFFFFF" w:themeColor="background1"/>
                          <w:sz w:val="48"/>
                        </w:rPr>
                      </w:pPr>
                    </w:p>
                  </w:txbxContent>
                </v:textbox>
                <w10:wrap anchorx="page" anchory="page"/>
              </v:shape>
            </w:pict>
          </mc:Fallback>
        </mc:AlternateContent>
      </w:r>
    </w:p>
    <w:p w14:paraId="7BCCE470" w14:textId="6B182321" w:rsidR="00A2727F" w:rsidRPr="003211C3" w:rsidRDefault="00A2727F" w:rsidP="00A2727F">
      <w:pPr>
        <w:widowControl w:val="0"/>
        <w:numPr>
          <w:ilvl w:val="0"/>
          <w:numId w:val="4"/>
        </w:numPr>
        <w:overflowPunct w:val="0"/>
        <w:autoSpaceDE w:val="0"/>
        <w:autoSpaceDN w:val="0"/>
        <w:adjustRightInd w:val="0"/>
        <w:ind w:hanging="567"/>
        <w:textAlignment w:val="baseline"/>
        <w:rPr>
          <w:rStyle w:val="Hyperlink"/>
          <w:sz w:val="24"/>
          <w:szCs w:val="24"/>
        </w:rPr>
      </w:pPr>
      <w:r>
        <w:rPr>
          <w:b/>
          <w:i/>
          <w:sz w:val="28"/>
        </w:rPr>
        <w:fldChar w:fldCharType="begin"/>
      </w:r>
      <w:r>
        <w:rPr>
          <w:b/>
          <w:i/>
          <w:sz w:val="28"/>
        </w:rPr>
        <w:instrText xml:space="preserve"> HYPERLINK "https://www.eesc.europa.eu/ro/our-work/opinions-information-reports/opinions/eu-space-act" </w:instrText>
      </w:r>
      <w:r>
        <w:rPr>
          <w:b/>
          <w:i/>
          <w:sz w:val="28"/>
        </w:rPr>
        <w:fldChar w:fldCharType="separate"/>
      </w:r>
      <w:r>
        <w:rPr>
          <w:rStyle w:val="Hyperlink"/>
          <w:b/>
          <w:i/>
          <w:sz w:val="28"/>
        </w:rPr>
        <w:t>Actul legislativ al UE privind spațiul</w:t>
      </w:r>
    </w:p>
    <w:p w14:paraId="7E649971" w14:textId="77777777" w:rsidR="00A2727F" w:rsidRPr="000D0411" w:rsidRDefault="00A2727F" w:rsidP="00D34DDF">
      <w:pPr>
        <w:tabs>
          <w:tab w:val="center" w:pos="284"/>
        </w:tabs>
        <w:ind w:left="266" w:hanging="266"/>
        <w:rPr>
          <w:b/>
          <w:sz w:val="14"/>
        </w:rPr>
      </w:pPr>
      <w:r>
        <w:rPr>
          <w:b/>
          <w:i/>
          <w:sz w:val="28"/>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A2727F" w:rsidRPr="0083314C" w14:paraId="3F354C90" w14:textId="77777777" w:rsidTr="00C52A53">
        <w:tc>
          <w:tcPr>
            <w:tcW w:w="1701" w:type="dxa"/>
          </w:tcPr>
          <w:p w14:paraId="745F6E85" w14:textId="77777777" w:rsidR="00A2727F" w:rsidRPr="00A6689B" w:rsidRDefault="00A2727F" w:rsidP="00A6689B">
            <w:pPr>
              <w:tabs>
                <w:tab w:val="center" w:pos="284"/>
              </w:tabs>
              <w:ind w:left="266" w:hanging="266"/>
              <w:rPr>
                <w:b/>
              </w:rPr>
            </w:pPr>
            <w:r>
              <w:rPr>
                <w:b/>
                <w:bCs/>
              </w:rPr>
              <w:t>Raportor:</w:t>
            </w:r>
          </w:p>
        </w:tc>
        <w:tc>
          <w:tcPr>
            <w:tcW w:w="5387" w:type="dxa"/>
          </w:tcPr>
          <w:p w14:paraId="0C1FE8DE" w14:textId="77777777" w:rsidR="00A2727F" w:rsidRPr="0083314C" w:rsidRDefault="00A2727F" w:rsidP="00A6689B">
            <w:pPr>
              <w:tabs>
                <w:tab w:val="center" w:pos="284"/>
              </w:tabs>
              <w:ind w:left="266" w:hanging="266"/>
            </w:pPr>
            <w:proofErr w:type="spellStart"/>
            <w:r>
              <w:t>Angelo</w:t>
            </w:r>
            <w:proofErr w:type="spellEnd"/>
            <w:r>
              <w:t xml:space="preserve"> PAGLIARA (Grupul „Lucrători” – IT)</w:t>
            </w:r>
          </w:p>
        </w:tc>
      </w:tr>
      <w:tr w:rsidR="00A2727F" w:rsidRPr="00A6689B" w14:paraId="40842FD9" w14:textId="77777777" w:rsidTr="00C52A53">
        <w:tc>
          <w:tcPr>
            <w:tcW w:w="7088" w:type="dxa"/>
            <w:gridSpan w:val="2"/>
          </w:tcPr>
          <w:p w14:paraId="7AC707D3" w14:textId="77777777" w:rsidR="00A2727F" w:rsidRPr="0083314C" w:rsidRDefault="00A2727F" w:rsidP="00EE75BE">
            <w:pPr>
              <w:tabs>
                <w:tab w:val="center" w:pos="284"/>
              </w:tabs>
              <w:spacing w:line="160" w:lineRule="exact"/>
              <w:ind w:left="266" w:hanging="266"/>
              <w:rPr>
                <w:lang w:val="en-US"/>
              </w:rPr>
            </w:pPr>
          </w:p>
        </w:tc>
      </w:tr>
      <w:tr w:rsidR="00A2727F" w:rsidRPr="00A6689B" w14:paraId="13159EFE" w14:textId="77777777" w:rsidTr="00C52A53">
        <w:tc>
          <w:tcPr>
            <w:tcW w:w="1701" w:type="dxa"/>
            <w:vMerge w:val="restart"/>
          </w:tcPr>
          <w:p w14:paraId="2A2C7DF6" w14:textId="77777777" w:rsidR="00A2727F" w:rsidRPr="00A6689B" w:rsidRDefault="00A2727F" w:rsidP="00A6689B">
            <w:pPr>
              <w:tabs>
                <w:tab w:val="center" w:pos="284"/>
              </w:tabs>
              <w:ind w:left="266" w:hanging="266"/>
              <w:rPr>
                <w:b/>
              </w:rPr>
            </w:pPr>
            <w:r>
              <w:rPr>
                <w:b/>
              </w:rPr>
              <w:t xml:space="preserve">Referințe: </w:t>
            </w:r>
          </w:p>
        </w:tc>
        <w:tc>
          <w:tcPr>
            <w:tcW w:w="5387" w:type="dxa"/>
          </w:tcPr>
          <w:p w14:paraId="07E90FF3" w14:textId="124DEFCB" w:rsidR="00A2727F" w:rsidRPr="0083314C" w:rsidRDefault="00A2727F" w:rsidP="00A6689B">
            <w:pPr>
              <w:tabs>
                <w:tab w:val="center" w:pos="284"/>
              </w:tabs>
              <w:ind w:left="266" w:hanging="266"/>
            </w:pPr>
            <w:r>
              <w:t>COM(2025)335 final</w:t>
            </w:r>
          </w:p>
        </w:tc>
      </w:tr>
      <w:tr w:rsidR="00A2727F" w:rsidRPr="00A6689B" w14:paraId="5C665DE5" w14:textId="77777777" w:rsidTr="00C52A53">
        <w:tc>
          <w:tcPr>
            <w:tcW w:w="1701" w:type="dxa"/>
            <w:vMerge/>
          </w:tcPr>
          <w:p w14:paraId="3F813537" w14:textId="77777777" w:rsidR="00A2727F" w:rsidRPr="00A6689B" w:rsidRDefault="00A2727F" w:rsidP="00A6689B">
            <w:pPr>
              <w:tabs>
                <w:tab w:val="center" w:pos="284"/>
              </w:tabs>
              <w:ind w:left="266" w:hanging="266"/>
              <w:rPr>
                <w:b/>
                <w:lang w:val="en-US"/>
              </w:rPr>
            </w:pPr>
          </w:p>
        </w:tc>
        <w:tc>
          <w:tcPr>
            <w:tcW w:w="5387" w:type="dxa"/>
          </w:tcPr>
          <w:p w14:paraId="5AE348A2" w14:textId="77777777" w:rsidR="00A2727F" w:rsidRPr="0083314C" w:rsidRDefault="00A2727F" w:rsidP="00A6689B">
            <w:pPr>
              <w:tabs>
                <w:tab w:val="center" w:pos="284"/>
              </w:tabs>
              <w:ind w:left="266" w:hanging="266"/>
            </w:pPr>
            <w:r>
              <w:t>EESC-2024-00225-00-00-AC</w:t>
            </w:r>
          </w:p>
        </w:tc>
      </w:tr>
    </w:tbl>
    <w:p w14:paraId="5E2CFB5F" w14:textId="77777777" w:rsidR="00A2727F" w:rsidRPr="000D0411" w:rsidRDefault="00A2727F" w:rsidP="004F3EB7">
      <w:pPr>
        <w:tabs>
          <w:tab w:val="center" w:pos="284"/>
        </w:tabs>
        <w:ind w:left="266" w:hanging="266"/>
        <w:rPr>
          <w:sz w:val="14"/>
          <w:szCs w:val="14"/>
        </w:rPr>
      </w:pPr>
    </w:p>
    <w:p w14:paraId="7EB45BE7" w14:textId="77777777" w:rsidR="00A2727F" w:rsidRPr="004F3EB7" w:rsidRDefault="00A2727F" w:rsidP="004F3EB7">
      <w:pPr>
        <w:keepNext/>
        <w:keepLines/>
        <w:tabs>
          <w:tab w:val="center" w:pos="284"/>
        </w:tabs>
        <w:ind w:left="266" w:hanging="266"/>
        <w:rPr>
          <w:b/>
        </w:rPr>
      </w:pPr>
      <w:r>
        <w:rPr>
          <w:b/>
        </w:rPr>
        <w:t>Punctele principale:</w:t>
      </w:r>
    </w:p>
    <w:p w14:paraId="68369870" w14:textId="77777777" w:rsidR="00A2727F" w:rsidRPr="004F3EB7" w:rsidRDefault="00A2727F" w:rsidP="004F3EB7">
      <w:pPr>
        <w:keepNext/>
        <w:keepLines/>
        <w:tabs>
          <w:tab w:val="center" w:pos="284"/>
        </w:tabs>
        <w:ind w:left="266" w:hanging="266"/>
        <w:rPr>
          <w:b/>
        </w:rPr>
      </w:pPr>
    </w:p>
    <w:p w14:paraId="1182F3B5" w14:textId="77777777" w:rsidR="00A2727F" w:rsidRPr="004F3EB7" w:rsidRDefault="00A2727F" w:rsidP="004F3EB7">
      <w:pPr>
        <w:rPr>
          <w:bCs/>
          <w:iCs/>
        </w:rPr>
      </w:pPr>
      <w:r>
        <w:t>CESE:</w:t>
      </w:r>
    </w:p>
    <w:p w14:paraId="67CC1342" w14:textId="77777777" w:rsidR="00A2727F" w:rsidRPr="004F3EB7" w:rsidRDefault="00A2727F" w:rsidP="004F3EB7">
      <w:pPr>
        <w:rPr>
          <w:bCs/>
          <w:iCs/>
        </w:rPr>
      </w:pPr>
    </w:p>
    <w:p w14:paraId="1B0BC723" w14:textId="77777777" w:rsidR="00A2727F" w:rsidRPr="004F3EB7" w:rsidRDefault="00A2727F" w:rsidP="00A2727F">
      <w:pPr>
        <w:numPr>
          <w:ilvl w:val="0"/>
          <w:numId w:val="4"/>
        </w:numPr>
        <w:ind w:hanging="567"/>
      </w:pPr>
      <w:r>
        <w:t xml:space="preserve">recomandă </w:t>
      </w:r>
      <w:r>
        <w:rPr>
          <w:b/>
        </w:rPr>
        <w:t>consolidarea structurală și imediată a investițiilor publice europene în spațiu</w:t>
      </w:r>
      <w:r>
        <w:t xml:space="preserve"> și creșterea investițiilor în spațiu </w:t>
      </w:r>
      <w:r>
        <w:rPr>
          <w:b/>
        </w:rPr>
        <w:t>la cel puțin 0,2 % din PIB până în 2030</w:t>
      </w:r>
      <w:r>
        <w:t>;</w:t>
      </w:r>
    </w:p>
    <w:p w14:paraId="2DE33C5E" w14:textId="77777777" w:rsidR="00A2727F" w:rsidRPr="004F3EB7" w:rsidRDefault="00A2727F" w:rsidP="00A2727F">
      <w:pPr>
        <w:numPr>
          <w:ilvl w:val="0"/>
          <w:numId w:val="4"/>
        </w:numPr>
        <w:ind w:hanging="567"/>
      </w:pPr>
      <w:r>
        <w:t xml:space="preserve">recomandă </w:t>
      </w:r>
      <w:r>
        <w:rPr>
          <w:b/>
        </w:rPr>
        <w:t>clarificarea modului în care articolul 114 din Tratat poate servi drept temei juridic pentru piața internă a produselor, serviciilor și datelor legate de spațiu</w:t>
      </w:r>
      <w:r>
        <w:t xml:space="preserve"> și sugerează să se stipuleze că dispozițiile Actului privind spațiul trebuie interpretate în lumina </w:t>
      </w:r>
      <w:r>
        <w:rPr>
          <w:b/>
        </w:rPr>
        <w:t>obligațiilor internaționale deja asumate de statele membre</w:t>
      </w:r>
      <w:r>
        <w:t>;</w:t>
      </w:r>
    </w:p>
    <w:p w14:paraId="018FB3E6" w14:textId="77777777" w:rsidR="00A2727F" w:rsidRPr="004F3EB7" w:rsidRDefault="00A2727F" w:rsidP="00A2727F">
      <w:pPr>
        <w:numPr>
          <w:ilvl w:val="0"/>
          <w:numId w:val="4"/>
        </w:numPr>
        <w:ind w:hanging="567"/>
      </w:pPr>
      <w:r>
        <w:t xml:space="preserve">recomandă </w:t>
      </w:r>
      <w:r>
        <w:rPr>
          <w:b/>
        </w:rPr>
        <w:t>clarificarea motivului pentru care titlul I se referă exclusiv la criteriul statului membru de stabilire al operatorului</w:t>
      </w:r>
      <w:r>
        <w:t xml:space="preserve"> sau al operatorului spațial dintr-o țară terță, fără nicio referire la statul de cetățenie, și recomandă </w:t>
      </w:r>
      <w:r>
        <w:rPr>
          <w:b/>
        </w:rPr>
        <w:t>clarificarea articolului 6 alineatul (3), pentru a asigura o mai bună coordonare cu legislațiile spațiale naționale</w:t>
      </w:r>
      <w:r>
        <w:t xml:space="preserve"> care identifică operatorii ce au obligația de a obține o autorizație pe baza cetățeniei sau a teritoriului de unde se desfășoară activitatea spațială;</w:t>
      </w:r>
    </w:p>
    <w:p w14:paraId="00F5388E" w14:textId="77777777" w:rsidR="00A2727F" w:rsidRPr="004F3EB7" w:rsidRDefault="00A2727F" w:rsidP="00A2727F">
      <w:pPr>
        <w:numPr>
          <w:ilvl w:val="0"/>
          <w:numId w:val="4"/>
        </w:numPr>
        <w:ind w:hanging="567"/>
      </w:pPr>
      <w:r>
        <w:t xml:space="preserve">recomandă să se </w:t>
      </w:r>
      <w:r>
        <w:rPr>
          <w:b/>
        </w:rPr>
        <w:t>clarifice, în Titlul II, funcționarea derogărilor și a flexibilității procesului de autorizare</w:t>
      </w:r>
      <w:r>
        <w:t>, specificând termenele de prelucrare, aplicabilitatea în cazul misiunilor necomerciale, competențele de inspecție ale Comisiei și rolul operațional al Agenției Spațiale Europene (ESA) și al Agenției Uniunii Europene pentru Programul spațial (EUSPA);</w:t>
      </w:r>
    </w:p>
    <w:p w14:paraId="5A874354" w14:textId="77777777" w:rsidR="00A2727F" w:rsidRPr="004F3EB7" w:rsidRDefault="00A2727F" w:rsidP="00A2727F">
      <w:pPr>
        <w:numPr>
          <w:ilvl w:val="0"/>
          <w:numId w:val="4"/>
        </w:numPr>
        <w:ind w:hanging="567"/>
      </w:pPr>
      <w:r>
        <w:t xml:space="preserve">recomandă definirea precisă a </w:t>
      </w:r>
      <w:r>
        <w:rPr>
          <w:b/>
        </w:rPr>
        <w:t>limitelor în care statele membre pot impune cerințe mai stricte</w:t>
      </w:r>
      <w:r>
        <w:t xml:space="preserve"> privind libera circulație a datelor spațiale și a serviciilor spațiale în Uniune;</w:t>
      </w:r>
    </w:p>
    <w:p w14:paraId="122EC525" w14:textId="77777777" w:rsidR="00A2727F" w:rsidRPr="004F3EB7" w:rsidRDefault="00A2727F" w:rsidP="00A2727F">
      <w:pPr>
        <w:numPr>
          <w:ilvl w:val="0"/>
          <w:numId w:val="4"/>
        </w:numPr>
        <w:ind w:hanging="567"/>
      </w:pPr>
      <w:r>
        <w:t xml:space="preserve">subliniază necesitatea de a </w:t>
      </w:r>
      <w:r>
        <w:rPr>
          <w:b/>
        </w:rPr>
        <w:t>consolida recunoașterea reciprocă și normele comune pentru a evita fragmentarea</w:t>
      </w:r>
      <w:r>
        <w:t xml:space="preserve"> și obstacolele birocratice;</w:t>
      </w:r>
    </w:p>
    <w:p w14:paraId="274DDC95" w14:textId="77777777" w:rsidR="00A2727F" w:rsidRPr="004F3EB7" w:rsidRDefault="00A2727F" w:rsidP="00A2727F">
      <w:pPr>
        <w:numPr>
          <w:ilvl w:val="0"/>
          <w:numId w:val="4"/>
        </w:numPr>
        <w:ind w:hanging="567"/>
      </w:pPr>
      <w:r>
        <w:t xml:space="preserve">recomandă </w:t>
      </w:r>
      <w:r>
        <w:rPr>
          <w:b/>
        </w:rPr>
        <w:t>corelarea strategiei spațiale europene cu autonomia strategică europeană</w:t>
      </w:r>
      <w:r>
        <w:t xml:space="preserve"> și încurajarea </w:t>
      </w:r>
      <w:r>
        <w:rPr>
          <w:b/>
        </w:rPr>
        <w:t>ecosistemelor complementare și a efectului multiplicator al economiei spațiale</w:t>
      </w:r>
      <w:r>
        <w:t xml:space="preserve"> în sprijinul unor sectoare specifice;</w:t>
      </w:r>
    </w:p>
    <w:p w14:paraId="7114062F" w14:textId="77777777" w:rsidR="00A2727F" w:rsidRPr="004F3EB7" w:rsidRDefault="00A2727F" w:rsidP="00A2727F">
      <w:pPr>
        <w:numPr>
          <w:ilvl w:val="0"/>
          <w:numId w:val="4"/>
        </w:numPr>
        <w:ind w:hanging="567"/>
      </w:pPr>
      <w:r>
        <w:t xml:space="preserve">recomandă elaborarea unei </w:t>
      </w:r>
      <w:r>
        <w:rPr>
          <w:b/>
        </w:rPr>
        <w:t>strategii integrate pentru competențe și locuri de muncă</w:t>
      </w:r>
      <w:r>
        <w:t xml:space="preserve"> în domeniul spațial și adoptarea unei </w:t>
      </w:r>
      <w:r>
        <w:rPr>
          <w:b/>
        </w:rPr>
        <w:t>agende europene pentru competențe în domeniul spațial</w:t>
      </w:r>
      <w:r>
        <w:t>;</w:t>
      </w:r>
    </w:p>
    <w:p w14:paraId="283E32E9" w14:textId="20556C7A" w:rsidR="00A2727F" w:rsidRPr="000D0411" w:rsidRDefault="00A2727F" w:rsidP="00A2727F">
      <w:pPr>
        <w:numPr>
          <w:ilvl w:val="0"/>
          <w:numId w:val="4"/>
        </w:numPr>
        <w:ind w:hanging="567"/>
      </w:pPr>
      <w:r>
        <w:t xml:space="preserve">solicită să se asigure resurse suficiente pentru </w:t>
      </w:r>
      <w:r>
        <w:rPr>
          <w:b/>
        </w:rPr>
        <w:t>consolidarea operațională a EUSPA</w:t>
      </w:r>
      <w:r>
        <w:t xml:space="preserve"> în următorul cadru financiar multianual 2028-2034</w:t>
      </w:r>
      <w:r w:rsidR="00C82692">
        <w:t>.</w:t>
      </w:r>
    </w:p>
    <w:p w14:paraId="7533D59B" w14:textId="77777777" w:rsidR="00A2727F" w:rsidRPr="000D0411" w:rsidRDefault="00A2727F">
      <w:pPr>
        <w:widowControl w:val="0"/>
        <w:ind w:left="709"/>
        <w:rPr>
          <w:sz w:val="14"/>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A2727F" w:rsidRPr="004F3EB7" w14:paraId="4BC38072" w14:textId="77777777" w:rsidTr="000B1F71">
        <w:tc>
          <w:tcPr>
            <w:tcW w:w="1701" w:type="dxa"/>
          </w:tcPr>
          <w:p w14:paraId="609687A7" w14:textId="77777777" w:rsidR="00A2727F" w:rsidRPr="004F3EB7" w:rsidRDefault="00A2727F" w:rsidP="000D0411">
            <w:pPr>
              <w:rPr>
                <w:i/>
              </w:rPr>
            </w:pPr>
            <w:r>
              <w:rPr>
                <w:b/>
                <w:i/>
              </w:rPr>
              <w:t>Date de contact:</w:t>
            </w:r>
          </w:p>
        </w:tc>
        <w:tc>
          <w:tcPr>
            <w:tcW w:w="5387" w:type="dxa"/>
          </w:tcPr>
          <w:p w14:paraId="09DF04B0" w14:textId="18736827" w:rsidR="00A2727F" w:rsidRPr="004F3EB7" w:rsidRDefault="00A2727F" w:rsidP="000D0411">
            <w:pPr>
              <w:rPr>
                <w:i/>
              </w:rPr>
            </w:pPr>
            <w:proofErr w:type="spellStart"/>
            <w:r>
              <w:rPr>
                <w:i/>
              </w:rPr>
              <w:t>Giorgia</w:t>
            </w:r>
            <w:proofErr w:type="spellEnd"/>
            <w:r>
              <w:rPr>
                <w:i/>
              </w:rPr>
              <w:t xml:space="preserve"> </w:t>
            </w:r>
            <w:r w:rsidR="00C82692">
              <w:rPr>
                <w:i/>
              </w:rPr>
              <w:t>BORDIGNON</w:t>
            </w:r>
          </w:p>
        </w:tc>
      </w:tr>
      <w:tr w:rsidR="00A2727F" w:rsidRPr="004F3EB7" w14:paraId="746E8DCF" w14:textId="77777777" w:rsidTr="000B1F71">
        <w:tc>
          <w:tcPr>
            <w:tcW w:w="1701" w:type="dxa"/>
          </w:tcPr>
          <w:p w14:paraId="26236B35" w14:textId="77777777" w:rsidR="00A2727F" w:rsidRPr="004F3EB7" w:rsidRDefault="00A2727F" w:rsidP="000D0411">
            <w:pPr>
              <w:rPr>
                <w:i/>
              </w:rPr>
            </w:pPr>
            <w:r>
              <w:rPr>
                <w:i/>
              </w:rPr>
              <w:t>Tel.:</w:t>
            </w:r>
          </w:p>
        </w:tc>
        <w:tc>
          <w:tcPr>
            <w:tcW w:w="5387" w:type="dxa"/>
          </w:tcPr>
          <w:p w14:paraId="37D4A945" w14:textId="77777777" w:rsidR="00A2727F" w:rsidRPr="004F3EB7" w:rsidRDefault="00A2727F" w:rsidP="000D0411">
            <w:pPr>
              <w:rPr>
                <w:i/>
              </w:rPr>
            </w:pPr>
            <w:r>
              <w:rPr>
                <w:i/>
              </w:rPr>
              <w:t>+32 25468</w:t>
            </w:r>
            <w:r>
              <w:t>535</w:t>
            </w:r>
          </w:p>
        </w:tc>
      </w:tr>
      <w:tr w:rsidR="00A2727F" w:rsidRPr="004F3EB7" w14:paraId="0B7F52FA" w14:textId="77777777" w:rsidTr="000B1F71">
        <w:tc>
          <w:tcPr>
            <w:tcW w:w="1701" w:type="dxa"/>
          </w:tcPr>
          <w:p w14:paraId="504344EB" w14:textId="77777777" w:rsidR="00A2727F" w:rsidRPr="004F3EB7" w:rsidRDefault="00A2727F" w:rsidP="000D0411">
            <w:pPr>
              <w:rPr>
                <w:i/>
              </w:rPr>
            </w:pPr>
            <w:r>
              <w:rPr>
                <w:i/>
              </w:rPr>
              <w:t>E-mail:</w:t>
            </w:r>
          </w:p>
        </w:tc>
        <w:tc>
          <w:tcPr>
            <w:tcW w:w="5387" w:type="dxa"/>
          </w:tcPr>
          <w:p w14:paraId="3FB7DBFD" w14:textId="77777777" w:rsidR="00A2727F" w:rsidRPr="004F3EB7" w:rsidRDefault="00443888" w:rsidP="000D0411">
            <w:pPr>
              <w:rPr>
                <w:i/>
              </w:rPr>
            </w:pPr>
            <w:hyperlink r:id="rId26" w:history="1">
              <w:r w:rsidR="00A2727F">
                <w:rPr>
                  <w:rStyle w:val="Hyperlink"/>
                  <w:i/>
                </w:rPr>
                <w:t>GiorgiaAndrea.Bordignon@eesc.europa.eu</w:t>
              </w:r>
            </w:hyperlink>
            <w:r w:rsidR="00A2727F">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026C6DFF" w14:textId="1F4775F3" w:rsidR="00A2727F" w:rsidRDefault="00A2727F" w:rsidP="00BC3658">
      <w:pPr>
        <w:widowControl w:val="0"/>
        <w:jc w:val="center"/>
        <w:rPr>
          <w:bCs/>
          <w:iCs/>
        </w:rPr>
      </w:pPr>
    </w:p>
    <w:p w14:paraId="14C4831E" w14:textId="77777777" w:rsidR="00A2727F" w:rsidRDefault="00A2727F" w:rsidP="00BC3658">
      <w:pPr>
        <w:widowControl w:val="0"/>
        <w:jc w:val="center"/>
        <w:rPr>
          <w:bCs/>
          <w:iCs/>
        </w:rPr>
      </w:pPr>
      <w:r>
        <w:rPr>
          <w:noProof/>
          <w:sz w:val="20"/>
        </w:rPr>
        <mc:AlternateContent>
          <mc:Choice Requires="wps">
            <w:drawing>
              <wp:anchor distT="0" distB="0" distL="114300" distR="114300" simplePos="0" relativeHeight="251673600" behindDoc="1" locked="0" layoutInCell="0" allowOverlap="1" wp14:anchorId="2DFFCB27" wp14:editId="4921585B">
                <wp:simplePos x="0" y="0"/>
                <wp:positionH relativeFrom="page">
                  <wp:posOffset>6769100</wp:posOffset>
                </wp:positionH>
                <wp:positionV relativeFrom="page">
                  <wp:posOffset>10081260</wp:posOffset>
                </wp:positionV>
                <wp:extent cx="647700" cy="396240"/>
                <wp:effectExtent l="0" t="3810" r="3175"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C9AD8" w14:textId="61D4FF14" w:rsidR="00A2727F" w:rsidRPr="00C82692" w:rsidRDefault="00A2727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CB27" id="_x0000_s1032" type="#_x0000_t202" style="position:absolute;left:0;text-align:left;margin-left:533pt;margin-top:793.8pt;width:51pt;height:3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EQ9QEAAM4DAAAOAAAAZHJzL2Uyb0RvYy54bWysU9uO0zAQfUfiHyy/06Sl27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AXa3EQ9QEAAM4DAAAOAAAAAAAAAAAAAAAAAC4CAABk&#10;cnMvZTJvRG9jLnhtbFBLAQItABQABgAIAAAAIQDrVDFa3gAAAA8BAAAPAAAAAAAAAAAAAAAAAE8E&#10;AABkcnMvZG93bnJldi54bWxQSwUGAAAAAAQABADzAAAAWgUAAAAA&#10;" o:allowincell="f" filled="f" stroked="f">
                <v:textbox>
                  <w:txbxContent>
                    <w:p w14:paraId="59DC9AD8" w14:textId="61D4FF14" w:rsidR="00A2727F" w:rsidRPr="00C82692" w:rsidRDefault="00A2727F">
                      <w:pPr>
                        <w:jc w:val="center"/>
                        <w:rPr>
                          <w:rFonts w:ascii="Arial" w:hAnsi="Arial" w:cs="Arial"/>
                          <w:b/>
                          <w:bCs/>
                          <w:color w:val="FFFFFF" w:themeColor="background1"/>
                          <w:sz w:val="48"/>
                        </w:rPr>
                      </w:pPr>
                    </w:p>
                  </w:txbxContent>
                </v:textbox>
                <w10:wrap anchorx="page" anchory="page"/>
              </v:shape>
            </w:pict>
          </mc:Fallback>
        </mc:AlternateContent>
      </w:r>
    </w:p>
    <w:p w14:paraId="51E6C135" w14:textId="577C97B6" w:rsidR="00A2727F" w:rsidRPr="001424C7" w:rsidRDefault="00443888" w:rsidP="00A2727F">
      <w:pPr>
        <w:widowControl w:val="0"/>
        <w:numPr>
          <w:ilvl w:val="0"/>
          <w:numId w:val="4"/>
        </w:numPr>
        <w:overflowPunct w:val="0"/>
        <w:autoSpaceDE w:val="0"/>
        <w:autoSpaceDN w:val="0"/>
        <w:adjustRightInd w:val="0"/>
        <w:ind w:hanging="567"/>
        <w:textAlignment w:val="baseline"/>
        <w:rPr>
          <w:sz w:val="20"/>
        </w:rPr>
      </w:pPr>
      <w:hyperlink r:id="rId27" w:history="1">
        <w:r w:rsidR="00A2727F">
          <w:rPr>
            <w:rStyle w:val="Hyperlink"/>
            <w:b/>
            <w:i/>
            <w:sz w:val="28"/>
          </w:rPr>
          <w:t>Programul nuclear cu caracter informativ</w:t>
        </w:r>
      </w:hyperlink>
    </w:p>
    <w:p w14:paraId="1C8EFEA6" w14:textId="77777777" w:rsidR="00A2727F" w:rsidRPr="00A6689B" w:rsidRDefault="00A2727F" w:rsidP="00BC3658">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2727F" w:rsidRPr="00A6689B" w14:paraId="56CCD11A" w14:textId="77777777" w:rsidTr="00BC3658">
        <w:tc>
          <w:tcPr>
            <w:tcW w:w="1951" w:type="dxa"/>
          </w:tcPr>
          <w:p w14:paraId="34CBEB77" w14:textId="77777777" w:rsidR="00A2727F" w:rsidRPr="00A6689B" w:rsidRDefault="00A2727F" w:rsidP="00BC3658">
            <w:pPr>
              <w:tabs>
                <w:tab w:val="center" w:pos="284"/>
              </w:tabs>
              <w:ind w:left="266" w:hanging="266"/>
              <w:rPr>
                <w:b/>
              </w:rPr>
            </w:pPr>
            <w:r>
              <w:rPr>
                <w:b/>
                <w:bCs/>
              </w:rPr>
              <w:t>Raportor:</w:t>
            </w:r>
          </w:p>
        </w:tc>
        <w:tc>
          <w:tcPr>
            <w:tcW w:w="7229" w:type="dxa"/>
          </w:tcPr>
          <w:p w14:paraId="0E1500D0" w14:textId="77777777" w:rsidR="00A2727F" w:rsidRPr="00A6689B" w:rsidRDefault="00A2727F" w:rsidP="00BC3658">
            <w:pPr>
              <w:tabs>
                <w:tab w:val="center" w:pos="284"/>
              </w:tabs>
              <w:ind w:left="266" w:hanging="266"/>
            </w:pPr>
            <w:r>
              <w:t>Dumitru FORNEA (Grupul „Lucrători” – RO)</w:t>
            </w:r>
          </w:p>
        </w:tc>
      </w:tr>
      <w:tr w:rsidR="00A2727F" w:rsidRPr="00A6689B" w14:paraId="7E392114" w14:textId="77777777" w:rsidTr="00BC3658">
        <w:tc>
          <w:tcPr>
            <w:tcW w:w="1951" w:type="dxa"/>
          </w:tcPr>
          <w:p w14:paraId="0A7EAC5D" w14:textId="77777777" w:rsidR="00A2727F" w:rsidRPr="00A6689B" w:rsidRDefault="00A2727F" w:rsidP="00BC3658">
            <w:pPr>
              <w:tabs>
                <w:tab w:val="center" w:pos="284"/>
              </w:tabs>
              <w:ind w:left="266" w:hanging="266"/>
              <w:rPr>
                <w:b/>
              </w:rPr>
            </w:pPr>
            <w:r>
              <w:rPr>
                <w:b/>
              </w:rPr>
              <w:t>Coraportoare:</w:t>
            </w:r>
          </w:p>
        </w:tc>
        <w:tc>
          <w:tcPr>
            <w:tcW w:w="7229" w:type="dxa"/>
          </w:tcPr>
          <w:p w14:paraId="38A71E10" w14:textId="77777777" w:rsidR="00A2727F" w:rsidRPr="00A6689B" w:rsidRDefault="00A2727F" w:rsidP="00BC3658">
            <w:pPr>
              <w:tabs>
                <w:tab w:val="center" w:pos="284"/>
              </w:tabs>
              <w:ind w:left="266" w:hanging="266"/>
            </w:pPr>
            <w:r>
              <w:t>Alena MASTANTUONO (Grupul „Angajatori” – CZ)</w:t>
            </w:r>
          </w:p>
        </w:tc>
      </w:tr>
      <w:tr w:rsidR="00A2727F" w:rsidRPr="00D25C71" w14:paraId="3578354B" w14:textId="77777777" w:rsidTr="00BC3658">
        <w:tc>
          <w:tcPr>
            <w:tcW w:w="1951" w:type="dxa"/>
          </w:tcPr>
          <w:p w14:paraId="70B6F13A" w14:textId="77777777" w:rsidR="00A2727F" w:rsidRPr="00A6689B" w:rsidRDefault="00A2727F" w:rsidP="00BC3658">
            <w:pPr>
              <w:tabs>
                <w:tab w:val="center" w:pos="284"/>
              </w:tabs>
              <w:ind w:left="266" w:hanging="266"/>
              <w:rPr>
                <w:b/>
              </w:rPr>
            </w:pPr>
            <w:r>
              <w:rPr>
                <w:b/>
                <w:bCs/>
              </w:rPr>
              <w:t>Referințe:</w:t>
            </w:r>
          </w:p>
        </w:tc>
        <w:tc>
          <w:tcPr>
            <w:tcW w:w="7229" w:type="dxa"/>
          </w:tcPr>
          <w:p w14:paraId="35512CBE" w14:textId="77777777" w:rsidR="00A2727F" w:rsidRPr="00947EE1" w:rsidRDefault="00A2727F" w:rsidP="00BC3658">
            <w:pPr>
              <w:tabs>
                <w:tab w:val="center" w:pos="284"/>
              </w:tabs>
              <w:ind w:left="266" w:hanging="266"/>
            </w:pPr>
            <w:r>
              <w:t>COM(2025) 315 final</w:t>
            </w:r>
          </w:p>
          <w:p w14:paraId="062E3371" w14:textId="77777777" w:rsidR="00A2727F" w:rsidRPr="00947EE1" w:rsidRDefault="00A2727F" w:rsidP="00BC3658">
            <w:pPr>
              <w:tabs>
                <w:tab w:val="center" w:pos="284"/>
              </w:tabs>
              <w:ind w:left="266" w:hanging="266"/>
            </w:pPr>
            <w:r>
              <w:t>EESC-2025-02173-00-00-AC</w:t>
            </w:r>
          </w:p>
        </w:tc>
      </w:tr>
    </w:tbl>
    <w:p w14:paraId="5FA13D69" w14:textId="77777777" w:rsidR="00A2727F" w:rsidRPr="00947EE1" w:rsidRDefault="00A2727F" w:rsidP="00BC3658">
      <w:pPr>
        <w:tabs>
          <w:tab w:val="center" w:pos="284"/>
        </w:tabs>
        <w:ind w:left="266" w:hanging="266"/>
        <w:rPr>
          <w:lang w:val="pt-PT"/>
        </w:rPr>
      </w:pPr>
    </w:p>
    <w:p w14:paraId="47BDC3B4" w14:textId="77777777" w:rsidR="00A2727F" w:rsidRPr="00A6689B" w:rsidRDefault="00A2727F" w:rsidP="00BC3658">
      <w:pPr>
        <w:keepNext/>
        <w:keepLines/>
        <w:tabs>
          <w:tab w:val="center" w:pos="284"/>
        </w:tabs>
        <w:ind w:left="266" w:hanging="266"/>
        <w:rPr>
          <w:b/>
        </w:rPr>
      </w:pPr>
      <w:r>
        <w:rPr>
          <w:b/>
        </w:rPr>
        <w:t>Punctele principale:</w:t>
      </w:r>
    </w:p>
    <w:p w14:paraId="5609B312" w14:textId="77777777" w:rsidR="00A2727F" w:rsidRPr="00A6689B" w:rsidRDefault="00A2727F" w:rsidP="00BC3658">
      <w:pPr>
        <w:keepNext/>
        <w:keepLines/>
        <w:tabs>
          <w:tab w:val="center" w:pos="284"/>
        </w:tabs>
        <w:ind w:left="266" w:hanging="266"/>
        <w:rPr>
          <w:b/>
        </w:rPr>
      </w:pPr>
    </w:p>
    <w:p w14:paraId="4D279BD8" w14:textId="77777777" w:rsidR="00A2727F" w:rsidRDefault="00A2727F" w:rsidP="00BC3658">
      <w:r>
        <w:t>CESE:</w:t>
      </w:r>
    </w:p>
    <w:p w14:paraId="0392934D" w14:textId="77777777" w:rsidR="00A2727F" w:rsidRPr="00A6689B" w:rsidRDefault="00A2727F" w:rsidP="00BC3658">
      <w:pPr>
        <w:rPr>
          <w:bCs/>
          <w:iCs/>
        </w:rPr>
      </w:pPr>
    </w:p>
    <w:p w14:paraId="29299EAE" w14:textId="77777777" w:rsidR="00A2727F" w:rsidRPr="00947EE1" w:rsidRDefault="00A2727F" w:rsidP="00A2727F">
      <w:pPr>
        <w:widowControl w:val="0"/>
        <w:numPr>
          <w:ilvl w:val="0"/>
          <w:numId w:val="4"/>
        </w:numPr>
        <w:overflowPunct w:val="0"/>
        <w:autoSpaceDE w:val="0"/>
        <w:autoSpaceDN w:val="0"/>
        <w:adjustRightInd w:val="0"/>
        <w:ind w:hanging="567"/>
        <w:textAlignment w:val="baseline"/>
        <w:rPr>
          <w:bCs/>
          <w:iCs/>
        </w:rPr>
      </w:pPr>
      <w:r>
        <w:t>consideră că energia nucleară are și va continua să aibă un rol crucial în decarbonizarea continentului european și în consolidarea autonomiei strategice a acestuia în domeniile energiei și tehnologiei;</w:t>
      </w:r>
    </w:p>
    <w:p w14:paraId="3CB94B68" w14:textId="77777777" w:rsidR="00A2727F" w:rsidRPr="00A6689B" w:rsidRDefault="00A2727F" w:rsidP="00A2727F">
      <w:pPr>
        <w:widowControl w:val="0"/>
        <w:numPr>
          <w:ilvl w:val="0"/>
          <w:numId w:val="4"/>
        </w:numPr>
        <w:overflowPunct w:val="0"/>
        <w:autoSpaceDE w:val="0"/>
        <w:autoSpaceDN w:val="0"/>
        <w:adjustRightInd w:val="0"/>
        <w:ind w:hanging="567"/>
        <w:textAlignment w:val="baseline"/>
        <w:rPr>
          <w:bCs/>
          <w:iCs/>
        </w:rPr>
      </w:pPr>
      <w:r>
        <w:t>recomandă ca investițiile în sectorul energiei nucleare să fie realizate în aceleași condiții în care au loc investițiile în surse regenerabile de energie;</w:t>
      </w:r>
    </w:p>
    <w:p w14:paraId="2B8EB896" w14:textId="77777777" w:rsidR="00A2727F" w:rsidRPr="00A6689B" w:rsidRDefault="00A2727F" w:rsidP="00A2727F">
      <w:pPr>
        <w:widowControl w:val="0"/>
        <w:numPr>
          <w:ilvl w:val="0"/>
          <w:numId w:val="4"/>
        </w:numPr>
        <w:overflowPunct w:val="0"/>
        <w:autoSpaceDE w:val="0"/>
        <w:autoSpaceDN w:val="0"/>
        <w:adjustRightInd w:val="0"/>
        <w:ind w:hanging="567"/>
        <w:textAlignment w:val="baseline"/>
        <w:rPr>
          <w:bCs/>
          <w:iCs/>
        </w:rPr>
      </w:pPr>
      <w:r>
        <w:t>recomandă accelerarea investițiilor prin măsuri financiare și normative specifice, cum ar fi un proces simplificat de acordare a ajutoarelor de stat, acces la fondurile UE, finanțare durabilă, procese de acordare a licențelor și un proces decizional mai rapid la nivelul UE și la nivel național;</w:t>
      </w:r>
    </w:p>
    <w:p w14:paraId="1D4C2A3C" w14:textId="77777777" w:rsidR="00A2727F" w:rsidRDefault="00A2727F" w:rsidP="00A2727F">
      <w:pPr>
        <w:widowControl w:val="0"/>
        <w:numPr>
          <w:ilvl w:val="0"/>
          <w:numId w:val="4"/>
        </w:numPr>
        <w:overflowPunct w:val="0"/>
        <w:autoSpaceDE w:val="0"/>
        <w:autoSpaceDN w:val="0"/>
        <w:adjustRightInd w:val="0"/>
        <w:ind w:hanging="567"/>
        <w:textAlignment w:val="baseline"/>
        <w:rPr>
          <w:bCs/>
          <w:iCs/>
        </w:rPr>
      </w:pPr>
      <w:r>
        <w:t>consideră că dialogul cu societatea civilă este esențial pentru consolidarea încrederii, a asumării responsabilității și a acceptării acestui demers de către societate;</w:t>
      </w:r>
    </w:p>
    <w:p w14:paraId="0DFD0E2D" w14:textId="77777777" w:rsidR="00A2727F" w:rsidRPr="00A6689B" w:rsidRDefault="00A2727F" w:rsidP="00A2727F">
      <w:pPr>
        <w:widowControl w:val="0"/>
        <w:numPr>
          <w:ilvl w:val="0"/>
          <w:numId w:val="4"/>
        </w:numPr>
        <w:overflowPunct w:val="0"/>
        <w:autoSpaceDE w:val="0"/>
        <w:autoSpaceDN w:val="0"/>
        <w:adjustRightInd w:val="0"/>
        <w:ind w:hanging="567"/>
        <w:textAlignment w:val="baseline"/>
        <w:rPr>
          <w:bCs/>
          <w:iCs/>
        </w:rPr>
      </w:pPr>
      <w:r>
        <w:t>cere să se consolideze cooperarea statelor membre în materie de reglementare;</w:t>
      </w:r>
    </w:p>
    <w:p w14:paraId="401587AD" w14:textId="77777777" w:rsidR="00A2727F" w:rsidRPr="0040261B" w:rsidRDefault="00A2727F" w:rsidP="00A2727F">
      <w:pPr>
        <w:widowControl w:val="0"/>
        <w:numPr>
          <w:ilvl w:val="0"/>
          <w:numId w:val="4"/>
        </w:numPr>
        <w:overflowPunct w:val="0"/>
        <w:autoSpaceDE w:val="0"/>
        <w:autoSpaceDN w:val="0"/>
        <w:adjustRightInd w:val="0"/>
        <w:ind w:hanging="567"/>
        <w:textAlignment w:val="baseline"/>
      </w:pPr>
      <w:r>
        <w:t>recomandă să se ia în considerare rolul energiei nucleare în stabilizarea rețelei și solicită includerea în PINC a unui calcul al costurilor sistemice evitate datorită energiei nucleare.</w:t>
      </w:r>
    </w:p>
    <w:p w14:paraId="1502BB96" w14:textId="77777777" w:rsidR="00A2727F" w:rsidRPr="000624A9" w:rsidRDefault="00A2727F" w:rsidP="00BC3658">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A2727F" w:rsidRPr="00A6689B" w14:paraId="3A2C6839" w14:textId="77777777" w:rsidTr="00BC3658">
        <w:tc>
          <w:tcPr>
            <w:tcW w:w="1951" w:type="dxa"/>
          </w:tcPr>
          <w:p w14:paraId="24E324C3" w14:textId="77777777" w:rsidR="00A2727F" w:rsidRPr="00A6689B" w:rsidRDefault="00A2727F" w:rsidP="00BC3658">
            <w:pPr>
              <w:rPr>
                <w:i/>
              </w:rPr>
            </w:pPr>
            <w:r>
              <w:rPr>
                <w:b/>
                <w:i/>
              </w:rPr>
              <w:t>Date de contact:</w:t>
            </w:r>
          </w:p>
        </w:tc>
        <w:tc>
          <w:tcPr>
            <w:tcW w:w="7229" w:type="dxa"/>
          </w:tcPr>
          <w:p w14:paraId="39061A51" w14:textId="77777777" w:rsidR="00A2727F" w:rsidRPr="00A6689B" w:rsidRDefault="00A2727F" w:rsidP="00BC3658">
            <w:pPr>
              <w:rPr>
                <w:i/>
              </w:rPr>
            </w:pPr>
            <w:r>
              <w:rPr>
                <w:i/>
              </w:rPr>
              <w:t>Albert PRECUP</w:t>
            </w:r>
          </w:p>
        </w:tc>
      </w:tr>
      <w:tr w:rsidR="00A2727F" w:rsidRPr="00A6689B" w14:paraId="5EFF14DE" w14:textId="77777777" w:rsidTr="00BC3658">
        <w:tc>
          <w:tcPr>
            <w:tcW w:w="1951" w:type="dxa"/>
          </w:tcPr>
          <w:p w14:paraId="54A72188" w14:textId="77777777" w:rsidR="00A2727F" w:rsidRPr="00A6689B" w:rsidRDefault="00A2727F" w:rsidP="00BC3658">
            <w:pPr>
              <w:rPr>
                <w:i/>
              </w:rPr>
            </w:pPr>
            <w:r>
              <w:rPr>
                <w:i/>
              </w:rPr>
              <w:t>Tel.:</w:t>
            </w:r>
          </w:p>
        </w:tc>
        <w:tc>
          <w:tcPr>
            <w:tcW w:w="7229" w:type="dxa"/>
          </w:tcPr>
          <w:p w14:paraId="2ABE3B8B" w14:textId="77777777" w:rsidR="00A2727F" w:rsidRPr="00A6689B" w:rsidRDefault="00A2727F" w:rsidP="00BC3658">
            <w:pPr>
              <w:rPr>
                <w:i/>
              </w:rPr>
            </w:pPr>
            <w:r>
              <w:rPr>
                <w:i/>
              </w:rPr>
              <w:t>+32 25469326</w:t>
            </w:r>
          </w:p>
        </w:tc>
      </w:tr>
      <w:tr w:rsidR="00A2727F" w:rsidRPr="00A6689B" w14:paraId="4146975E" w14:textId="77777777" w:rsidTr="00BC3658">
        <w:tc>
          <w:tcPr>
            <w:tcW w:w="1951" w:type="dxa"/>
          </w:tcPr>
          <w:p w14:paraId="7AD06C86" w14:textId="77777777" w:rsidR="00A2727F" w:rsidRPr="00A6689B" w:rsidRDefault="00A2727F" w:rsidP="00BC3658">
            <w:pPr>
              <w:rPr>
                <w:i/>
              </w:rPr>
            </w:pPr>
            <w:r>
              <w:rPr>
                <w:i/>
              </w:rPr>
              <w:t>E-mail:</w:t>
            </w:r>
          </w:p>
        </w:tc>
        <w:tc>
          <w:tcPr>
            <w:tcW w:w="7229" w:type="dxa"/>
          </w:tcPr>
          <w:p w14:paraId="28E055C1" w14:textId="77777777" w:rsidR="00A2727F" w:rsidRPr="00A6689B" w:rsidRDefault="00443888" w:rsidP="00BC3658">
            <w:pPr>
              <w:rPr>
                <w:i/>
              </w:rPr>
            </w:pPr>
            <w:hyperlink r:id="rId28" w:history="1">
              <w:r w:rsidR="00A2727F">
                <w:rPr>
                  <w:rStyle w:val="Hyperlink"/>
                  <w:i/>
                </w:rPr>
                <w:t>Albert.Precup@eesc.europa.eu</w:t>
              </w:r>
            </w:hyperlink>
          </w:p>
        </w:tc>
      </w:tr>
    </w:tbl>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6" w:name="_Toc75527083"/>
      <w:bookmarkStart w:id="7" w:name="_Toc216795113"/>
      <w:r>
        <w:rPr>
          <w:b/>
        </w:rPr>
        <w:t>SECȚIUNEA PENTRU PIAȚA UNICĂ, PRODUCȚIE ȘI CONSUM</w:t>
      </w:r>
      <w:bookmarkEnd w:id="6"/>
      <w:bookmarkEnd w:id="7"/>
    </w:p>
    <w:p w14:paraId="2AB32DC5" w14:textId="77777777" w:rsidR="00675DD6" w:rsidRDefault="00675DD6" w:rsidP="00567876">
      <w:pPr>
        <w:widowControl w:val="0"/>
        <w:jc w:val="center"/>
        <w:rPr>
          <w:bCs/>
          <w:iCs/>
        </w:rPr>
      </w:pPr>
      <w:r>
        <w:rPr>
          <w:noProof/>
          <w:sz w:val="20"/>
        </w:rPr>
        <mc:AlternateContent>
          <mc:Choice Requires="wps">
            <w:drawing>
              <wp:anchor distT="0" distB="0" distL="114300" distR="114300" simplePos="0" relativeHeight="251675648" behindDoc="1" locked="0" layoutInCell="0" allowOverlap="1" wp14:anchorId="2C57D214" wp14:editId="4023238E">
                <wp:simplePos x="0" y="0"/>
                <wp:positionH relativeFrom="page">
                  <wp:posOffset>6769100</wp:posOffset>
                </wp:positionH>
                <wp:positionV relativeFrom="page">
                  <wp:posOffset>10081260</wp:posOffset>
                </wp:positionV>
                <wp:extent cx="647700" cy="396240"/>
                <wp:effectExtent l="0" t="381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B4871" w14:textId="377B75F6" w:rsidR="00675DD6" w:rsidRPr="0005753A" w:rsidRDefault="00675DD6">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D214" id="_x0000_s1033" type="#_x0000_t202" style="position:absolute;left:0;text-align:left;margin-left:533pt;margin-top:793.8pt;width:51pt;height:3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v049ZPMBAADOAwAADgAAAAAAAAAAAAAAAAAuAgAAZHJz&#10;L2Uyb0RvYy54bWxQSwECLQAUAAYACAAAACEA61QxWt4AAAAPAQAADwAAAAAAAAAAAAAAAABNBAAA&#10;ZHJzL2Rvd25yZXYueG1sUEsFBgAAAAAEAAQA8wAAAFgFAAAAAA==&#10;" o:allowincell="f" filled="f" stroked="f">
                <v:textbox>
                  <w:txbxContent>
                    <w:p w14:paraId="497B4871" w14:textId="377B75F6" w:rsidR="00675DD6" w:rsidRPr="0005753A" w:rsidRDefault="00675DD6">
                      <w:pPr>
                        <w:jc w:val="center"/>
                        <w:rPr>
                          <w:rFonts w:ascii="Arial" w:hAnsi="Arial" w:cs="Arial"/>
                          <w:b/>
                          <w:bCs/>
                          <w:color w:val="FFFFFF" w:themeColor="background1"/>
                          <w:sz w:val="48"/>
                        </w:rPr>
                      </w:pPr>
                    </w:p>
                  </w:txbxContent>
                </v:textbox>
                <w10:wrap anchorx="page" anchory="page"/>
              </v:shape>
            </w:pict>
          </mc:Fallback>
        </mc:AlternateContent>
      </w:r>
    </w:p>
    <w:p w14:paraId="36EF9B69" w14:textId="2365F4BF" w:rsidR="00675DD6" w:rsidRPr="002D0E5D" w:rsidRDefault="00443888" w:rsidP="00675DD6">
      <w:pPr>
        <w:widowControl w:val="0"/>
        <w:numPr>
          <w:ilvl w:val="0"/>
          <w:numId w:val="4"/>
        </w:numPr>
        <w:overflowPunct w:val="0"/>
        <w:autoSpaceDE w:val="0"/>
        <w:autoSpaceDN w:val="0"/>
        <w:adjustRightInd w:val="0"/>
        <w:ind w:hanging="567"/>
        <w:textAlignment w:val="baseline"/>
        <w:rPr>
          <w:sz w:val="20"/>
        </w:rPr>
      </w:pPr>
      <w:hyperlink r:id="rId29" w:history="1">
        <w:r w:rsidR="00675DD6" w:rsidRPr="002D0E5D">
          <w:rPr>
            <w:rStyle w:val="Hyperlink"/>
            <w:b/>
            <w:i/>
            <w:sz w:val="28"/>
          </w:rPr>
          <w:t>Strategia privind piața unică</w:t>
        </w:r>
      </w:hyperlink>
    </w:p>
    <w:p w14:paraId="2129D181" w14:textId="77777777" w:rsidR="00675DD6" w:rsidRPr="00A6689B" w:rsidRDefault="00675DD6" w:rsidP="00D34DDF">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675DD6" w:rsidRPr="00A6689B" w14:paraId="69161FCD" w14:textId="77777777" w:rsidTr="005B6F98">
        <w:tc>
          <w:tcPr>
            <w:tcW w:w="1701" w:type="dxa"/>
          </w:tcPr>
          <w:p w14:paraId="5C570AD8" w14:textId="77777777" w:rsidR="00675DD6" w:rsidRPr="00A6689B" w:rsidRDefault="00675DD6" w:rsidP="00A6689B">
            <w:pPr>
              <w:tabs>
                <w:tab w:val="center" w:pos="284"/>
              </w:tabs>
              <w:ind w:left="266" w:hanging="266"/>
              <w:rPr>
                <w:b/>
              </w:rPr>
            </w:pPr>
            <w:r>
              <w:rPr>
                <w:b/>
              </w:rPr>
              <w:t>Raportori:</w:t>
            </w:r>
          </w:p>
        </w:tc>
        <w:tc>
          <w:tcPr>
            <w:tcW w:w="6521" w:type="dxa"/>
          </w:tcPr>
          <w:p w14:paraId="1247D72A" w14:textId="77777777" w:rsidR="00675DD6" w:rsidRPr="00A6689B" w:rsidRDefault="00675DD6" w:rsidP="00A6689B">
            <w:pPr>
              <w:tabs>
                <w:tab w:val="center" w:pos="284"/>
              </w:tabs>
              <w:ind w:left="266" w:hanging="266"/>
            </w:pPr>
            <w:proofErr w:type="spellStart"/>
            <w:r>
              <w:t>Emilie</w:t>
            </w:r>
            <w:proofErr w:type="spellEnd"/>
            <w:r>
              <w:t xml:space="preserve"> PROUZET (Grupul „Angajatori” – FR)</w:t>
            </w:r>
          </w:p>
        </w:tc>
      </w:tr>
      <w:tr w:rsidR="00675DD6" w:rsidRPr="00A6689B" w14:paraId="1E1E1A26" w14:textId="77777777" w:rsidTr="005B6F98">
        <w:tc>
          <w:tcPr>
            <w:tcW w:w="1701" w:type="dxa"/>
          </w:tcPr>
          <w:p w14:paraId="10CEE87F" w14:textId="77777777" w:rsidR="00675DD6" w:rsidRPr="00A6689B" w:rsidRDefault="00675DD6" w:rsidP="00A6689B">
            <w:pPr>
              <w:tabs>
                <w:tab w:val="center" w:pos="284"/>
              </w:tabs>
              <w:ind w:left="266" w:hanging="266"/>
              <w:rPr>
                <w:b/>
                <w:lang w:val="en-US"/>
              </w:rPr>
            </w:pPr>
          </w:p>
        </w:tc>
        <w:tc>
          <w:tcPr>
            <w:tcW w:w="6521" w:type="dxa"/>
          </w:tcPr>
          <w:p w14:paraId="6CBA0EA0" w14:textId="77777777" w:rsidR="00675DD6" w:rsidRDefault="00675DD6" w:rsidP="00A6689B">
            <w:pPr>
              <w:tabs>
                <w:tab w:val="center" w:pos="284"/>
              </w:tabs>
              <w:ind w:left="266" w:hanging="266"/>
            </w:pPr>
            <w:proofErr w:type="spellStart"/>
            <w:r>
              <w:t>Angelo</w:t>
            </w:r>
            <w:proofErr w:type="spellEnd"/>
            <w:r>
              <w:t xml:space="preserve"> PAGLIARA (Grupul „Lucrători” – IT)</w:t>
            </w:r>
          </w:p>
          <w:p w14:paraId="38CFFCB2" w14:textId="77777777" w:rsidR="00675DD6" w:rsidRPr="000F7665" w:rsidRDefault="00675DD6" w:rsidP="005B6F98">
            <w:pPr>
              <w:tabs>
                <w:tab w:val="center" w:pos="284"/>
              </w:tabs>
              <w:ind w:left="266" w:hanging="266"/>
            </w:pPr>
            <w:r>
              <w:t>Giuseppe GUERINI (Grupul „Organizații ale societății civile” – IT)</w:t>
            </w:r>
          </w:p>
        </w:tc>
      </w:tr>
      <w:tr w:rsidR="00675DD6" w:rsidRPr="00A6689B" w14:paraId="72678201" w14:textId="77777777" w:rsidTr="005B6F98">
        <w:tc>
          <w:tcPr>
            <w:tcW w:w="8222" w:type="dxa"/>
            <w:gridSpan w:val="2"/>
          </w:tcPr>
          <w:p w14:paraId="03DDE359" w14:textId="77777777" w:rsidR="00675DD6" w:rsidRPr="00A6689B" w:rsidRDefault="00675DD6" w:rsidP="00EE75BE">
            <w:pPr>
              <w:tabs>
                <w:tab w:val="center" w:pos="284"/>
              </w:tabs>
              <w:spacing w:line="160" w:lineRule="exact"/>
              <w:ind w:left="266" w:hanging="266"/>
              <w:rPr>
                <w:lang w:val="en-US"/>
              </w:rPr>
            </w:pPr>
          </w:p>
        </w:tc>
      </w:tr>
      <w:tr w:rsidR="00675DD6" w:rsidRPr="00A6689B" w14:paraId="5BA20A61" w14:textId="77777777" w:rsidTr="005B6F98">
        <w:tc>
          <w:tcPr>
            <w:tcW w:w="1701" w:type="dxa"/>
            <w:vMerge w:val="restart"/>
          </w:tcPr>
          <w:p w14:paraId="07F354CE" w14:textId="77777777" w:rsidR="00675DD6" w:rsidRPr="00A6689B" w:rsidRDefault="00675DD6" w:rsidP="00A6689B">
            <w:pPr>
              <w:tabs>
                <w:tab w:val="center" w:pos="284"/>
              </w:tabs>
              <w:ind w:left="266" w:hanging="266"/>
              <w:rPr>
                <w:b/>
              </w:rPr>
            </w:pPr>
            <w:r>
              <w:rPr>
                <w:b/>
              </w:rPr>
              <w:t>Referințe:</w:t>
            </w:r>
          </w:p>
        </w:tc>
        <w:tc>
          <w:tcPr>
            <w:tcW w:w="6521" w:type="dxa"/>
          </w:tcPr>
          <w:p w14:paraId="1D0920CE" w14:textId="77777777" w:rsidR="00675DD6" w:rsidRPr="0018587A" w:rsidRDefault="00675DD6" w:rsidP="00A6689B">
            <w:pPr>
              <w:tabs>
                <w:tab w:val="center" w:pos="284"/>
              </w:tabs>
              <w:ind w:left="266" w:hanging="266"/>
            </w:pPr>
            <w:r>
              <w:t>COM(2025) 500 final</w:t>
            </w:r>
          </w:p>
          <w:p w14:paraId="023C3AA2" w14:textId="77777777" w:rsidR="00675DD6" w:rsidRPr="00A6689B" w:rsidRDefault="00675DD6" w:rsidP="00A6689B">
            <w:pPr>
              <w:tabs>
                <w:tab w:val="center" w:pos="284"/>
              </w:tabs>
              <w:ind w:left="266" w:hanging="266"/>
            </w:pPr>
            <w:r>
              <w:t>EESC-2025-01859-00-00-AC</w:t>
            </w:r>
          </w:p>
        </w:tc>
      </w:tr>
      <w:tr w:rsidR="00675DD6" w:rsidRPr="00A6689B" w14:paraId="00E76C6B" w14:textId="77777777" w:rsidTr="005B6F98">
        <w:tc>
          <w:tcPr>
            <w:tcW w:w="1701" w:type="dxa"/>
            <w:vMerge/>
          </w:tcPr>
          <w:p w14:paraId="7275078D" w14:textId="77777777" w:rsidR="00675DD6" w:rsidRPr="00A6689B" w:rsidRDefault="00675DD6" w:rsidP="00A6689B">
            <w:pPr>
              <w:tabs>
                <w:tab w:val="center" w:pos="284"/>
              </w:tabs>
              <w:ind w:left="266" w:hanging="266"/>
              <w:rPr>
                <w:b/>
                <w:lang w:val="en-US"/>
              </w:rPr>
            </w:pPr>
          </w:p>
        </w:tc>
        <w:tc>
          <w:tcPr>
            <w:tcW w:w="6521" w:type="dxa"/>
          </w:tcPr>
          <w:p w14:paraId="0EAF94AD" w14:textId="77777777" w:rsidR="00675DD6" w:rsidRPr="00A6689B" w:rsidRDefault="00675DD6" w:rsidP="00A6689B">
            <w:pPr>
              <w:tabs>
                <w:tab w:val="center" w:pos="284"/>
              </w:tabs>
              <w:ind w:left="266" w:hanging="266"/>
              <w:rPr>
                <w:lang w:val="en-US"/>
              </w:rPr>
            </w:pPr>
          </w:p>
        </w:tc>
      </w:tr>
    </w:tbl>
    <w:p w14:paraId="493707DB" w14:textId="77777777" w:rsidR="00675DD6" w:rsidRPr="00A6689B" w:rsidRDefault="00675DD6" w:rsidP="00D34DDF">
      <w:pPr>
        <w:keepNext/>
        <w:keepLines/>
        <w:tabs>
          <w:tab w:val="center" w:pos="284"/>
        </w:tabs>
        <w:ind w:left="266" w:hanging="266"/>
        <w:rPr>
          <w:b/>
        </w:rPr>
      </w:pPr>
      <w:r>
        <w:rPr>
          <w:b/>
        </w:rPr>
        <w:t>Punctele principale:</w:t>
      </w:r>
    </w:p>
    <w:p w14:paraId="5F35453C" w14:textId="77777777" w:rsidR="00675DD6" w:rsidRPr="00A6689B" w:rsidRDefault="00675DD6" w:rsidP="00D34DDF">
      <w:pPr>
        <w:keepNext/>
        <w:keepLines/>
        <w:tabs>
          <w:tab w:val="center" w:pos="284"/>
        </w:tabs>
        <w:ind w:left="266" w:hanging="266"/>
        <w:rPr>
          <w:b/>
        </w:rPr>
      </w:pPr>
    </w:p>
    <w:p w14:paraId="19ADEA96" w14:textId="77777777" w:rsidR="00675DD6" w:rsidRDefault="00675DD6" w:rsidP="0012491C">
      <w:pPr>
        <w:rPr>
          <w:bCs/>
          <w:iCs/>
        </w:rPr>
      </w:pPr>
      <w:r>
        <w:t>CESE:</w:t>
      </w:r>
    </w:p>
    <w:p w14:paraId="400D4386" w14:textId="77777777" w:rsidR="00675DD6" w:rsidRPr="00A6689B" w:rsidRDefault="00675DD6" w:rsidP="0012491C">
      <w:pPr>
        <w:rPr>
          <w:bCs/>
          <w:iCs/>
        </w:rPr>
      </w:pPr>
    </w:p>
    <w:p w14:paraId="6C6B440E" w14:textId="14E0334E" w:rsidR="00675DD6" w:rsidRPr="0005753A" w:rsidRDefault="00675DD6" w:rsidP="0005753A">
      <w:pPr>
        <w:widowControl w:val="0"/>
        <w:numPr>
          <w:ilvl w:val="0"/>
          <w:numId w:val="4"/>
        </w:numPr>
        <w:overflowPunct w:val="0"/>
        <w:autoSpaceDE w:val="0"/>
        <w:autoSpaceDN w:val="0"/>
        <w:adjustRightInd w:val="0"/>
        <w:ind w:hanging="567"/>
        <w:textAlignment w:val="baseline"/>
        <w:rPr>
          <w:bCs/>
          <w:iCs/>
        </w:rPr>
      </w:pPr>
      <w:r>
        <w:t>sprijină pe deplin prioritățile identificate de Comisie, care răspund provocărilor semnalate de părțile interesate;</w:t>
      </w:r>
    </w:p>
    <w:p w14:paraId="3660D38D" w14:textId="77B47DAF"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reiterează faptul că simplificarea reglementărilor trebuie să aibă loc cu respectarea deplină a drepturilor sociale și ale lucrătorilor. Prin urmare, este esențial ca Parlamentul European, parlamentele naționale și partenerii sociali să fie implicați în mod structural încă din primele etape ale procesului legislativ;</w:t>
      </w:r>
    </w:p>
    <w:p w14:paraId="1A5C89AC" w14:textId="44B02618"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intenționează să contribuie mai activ la guvernanța pieței unice, inclusiv prin asumarea unui rol consolidat în cadrul procesului Grupului operativ pentru asigurarea respectării normelor privind piața unică (SMET);</w:t>
      </w:r>
    </w:p>
    <w:p w14:paraId="695E4FFE" w14:textId="7F42EF35"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invită Comisia să prezinte propuneri legislative pentru a aborda constrângerile teritoriale în materie de aprovizionare și pentru a armoniza etichetarea produselor;</w:t>
      </w:r>
    </w:p>
    <w:p w14:paraId="5C45BE2F" w14:textId="5EDB108D"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salută anunțarea de către Comisie a unei propuneri privind un „al 28-lea regim” opțional pentru întreprinderi, dar subliniază necesitatea unor garanții eficace împotriva eventualelor abuzuri;</w:t>
      </w:r>
    </w:p>
    <w:p w14:paraId="16F9684E" w14:textId="7B5271F5"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recunoaște rolul esențial al standardizării ca catalizator al integrării și inovării, dar subliniază principiile transparenței, incluziunii și participării structurate;</w:t>
      </w:r>
    </w:p>
    <w:p w14:paraId="55549C3C" w14:textId="74FAFB34"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sprijină simplificarea recunoașterii calificărilor profesionale, inclusiv pentru resortisanții țărilor terțe, dar subliniază că aceste calificări trebuie să fie clar definite, verificabile și de calitate dovedită;</w:t>
      </w:r>
    </w:p>
    <w:p w14:paraId="0A8D5668" w14:textId="007CAC17" w:rsidR="00675DD6" w:rsidRPr="0005753A" w:rsidRDefault="00675DD6" w:rsidP="00260B52">
      <w:pPr>
        <w:widowControl w:val="0"/>
        <w:numPr>
          <w:ilvl w:val="0"/>
          <w:numId w:val="4"/>
        </w:numPr>
        <w:overflowPunct w:val="0"/>
        <w:autoSpaceDE w:val="0"/>
        <w:autoSpaceDN w:val="0"/>
        <w:adjustRightInd w:val="0"/>
        <w:ind w:hanging="567"/>
        <w:textAlignment w:val="baseline"/>
        <w:rPr>
          <w:bCs/>
          <w:iCs/>
        </w:rPr>
      </w:pPr>
      <w:r>
        <w:t>sprijină consolidarea Autorității Europene a Muncii (ELA);</w:t>
      </w:r>
    </w:p>
    <w:p w14:paraId="7510E4F8" w14:textId="59233A2B" w:rsidR="00675DD6" w:rsidRPr="0005753A" w:rsidRDefault="00675DD6" w:rsidP="0005753A">
      <w:pPr>
        <w:widowControl w:val="0"/>
        <w:numPr>
          <w:ilvl w:val="0"/>
          <w:numId w:val="4"/>
        </w:numPr>
        <w:overflowPunct w:val="0"/>
        <w:autoSpaceDE w:val="0"/>
        <w:autoSpaceDN w:val="0"/>
        <w:adjustRightInd w:val="0"/>
        <w:ind w:hanging="567"/>
        <w:textAlignment w:val="baseline"/>
        <w:rPr>
          <w:bCs/>
          <w:iCs/>
        </w:rPr>
      </w:pPr>
      <w:r>
        <w:t xml:space="preserve">solicită ca domeniul de aplicare al pieței unice să fie extins la sectoare strategice, cum ar fi energia și finanțele. Subliniază necesitatea unui model de guvernanță incluziv și solicită revizuirea legislației privind achizițiile publice. În același timp, ar trebui găsite modalități adecvate pentru a ține seama de obiectivele sociale, de mediu și de inovare. </w:t>
      </w:r>
    </w:p>
    <w:p w14:paraId="242CFE4C" w14:textId="77777777" w:rsidR="00675DD6" w:rsidRPr="000624A9" w:rsidRDefault="00675DD6" w:rsidP="00EE75BE">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tblGrid>
      <w:tr w:rsidR="00675DD6" w:rsidRPr="00A6689B" w14:paraId="48A3FD20" w14:textId="77777777" w:rsidTr="002D0E5D">
        <w:tc>
          <w:tcPr>
            <w:tcW w:w="1843" w:type="dxa"/>
          </w:tcPr>
          <w:p w14:paraId="6D247B5B" w14:textId="77777777" w:rsidR="00675DD6" w:rsidRPr="00A6689B" w:rsidRDefault="00675DD6" w:rsidP="00567876">
            <w:pPr>
              <w:spacing w:line="240" w:lineRule="auto"/>
              <w:rPr>
                <w:i/>
              </w:rPr>
            </w:pPr>
            <w:r>
              <w:rPr>
                <w:b/>
                <w:i/>
              </w:rPr>
              <w:t>Date de contact:</w:t>
            </w:r>
          </w:p>
        </w:tc>
        <w:tc>
          <w:tcPr>
            <w:tcW w:w="5245" w:type="dxa"/>
          </w:tcPr>
          <w:p w14:paraId="2B9D326B" w14:textId="1356B136" w:rsidR="00675DD6" w:rsidRPr="00A6689B" w:rsidRDefault="00675DD6" w:rsidP="00567876">
            <w:pPr>
              <w:spacing w:line="240" w:lineRule="auto"/>
              <w:rPr>
                <w:i/>
              </w:rPr>
            </w:pPr>
            <w:proofErr w:type="spellStart"/>
            <w:r>
              <w:rPr>
                <w:i/>
              </w:rPr>
              <w:t>Annalisa</w:t>
            </w:r>
            <w:proofErr w:type="spellEnd"/>
            <w:r>
              <w:rPr>
                <w:i/>
              </w:rPr>
              <w:t xml:space="preserve"> </w:t>
            </w:r>
            <w:r w:rsidR="0005753A">
              <w:rPr>
                <w:i/>
              </w:rPr>
              <w:t>TESSAROLO</w:t>
            </w:r>
          </w:p>
        </w:tc>
      </w:tr>
      <w:tr w:rsidR="00675DD6" w:rsidRPr="00A6689B" w14:paraId="3F5080FB" w14:textId="77777777" w:rsidTr="002D0E5D">
        <w:tc>
          <w:tcPr>
            <w:tcW w:w="1843" w:type="dxa"/>
          </w:tcPr>
          <w:p w14:paraId="56328EB0" w14:textId="77777777" w:rsidR="00675DD6" w:rsidRPr="00A6689B" w:rsidRDefault="00675DD6" w:rsidP="00567876">
            <w:pPr>
              <w:spacing w:line="240" w:lineRule="auto"/>
              <w:rPr>
                <w:i/>
              </w:rPr>
            </w:pPr>
            <w:r>
              <w:rPr>
                <w:i/>
              </w:rPr>
              <w:t>Tel.:</w:t>
            </w:r>
          </w:p>
        </w:tc>
        <w:tc>
          <w:tcPr>
            <w:tcW w:w="5245" w:type="dxa"/>
            <w:shd w:val="clear" w:color="auto" w:fill="auto"/>
          </w:tcPr>
          <w:p w14:paraId="6C98DC83" w14:textId="77777777" w:rsidR="00675DD6" w:rsidRPr="00A6689B" w:rsidRDefault="00675DD6" w:rsidP="00567876">
            <w:pPr>
              <w:spacing w:line="240" w:lineRule="auto"/>
              <w:rPr>
                <w:i/>
              </w:rPr>
            </w:pPr>
            <w:r>
              <w:rPr>
                <w:i/>
              </w:rPr>
              <w:t>+ 32 25469732</w:t>
            </w:r>
          </w:p>
        </w:tc>
      </w:tr>
      <w:tr w:rsidR="00675DD6" w:rsidRPr="00A6689B" w14:paraId="2FDE05E5" w14:textId="77777777" w:rsidTr="002D0E5D">
        <w:tc>
          <w:tcPr>
            <w:tcW w:w="1843" w:type="dxa"/>
          </w:tcPr>
          <w:p w14:paraId="0E70EC89" w14:textId="16693F41" w:rsidR="00675DD6" w:rsidRPr="00A6689B" w:rsidRDefault="00675DD6" w:rsidP="00567876">
            <w:pPr>
              <w:spacing w:line="240" w:lineRule="auto"/>
              <w:rPr>
                <w:i/>
              </w:rPr>
            </w:pPr>
            <w:r>
              <w:rPr>
                <w:i/>
              </w:rPr>
              <w:t>E-mail</w:t>
            </w:r>
            <w:r w:rsidR="0005753A">
              <w:rPr>
                <w:i/>
              </w:rPr>
              <w:t>:</w:t>
            </w:r>
          </w:p>
        </w:tc>
        <w:tc>
          <w:tcPr>
            <w:tcW w:w="5245" w:type="dxa"/>
          </w:tcPr>
          <w:p w14:paraId="1D2F04F6" w14:textId="77777777" w:rsidR="00675DD6" w:rsidRPr="00A6689B" w:rsidRDefault="00443888" w:rsidP="00567876">
            <w:pPr>
              <w:spacing w:line="240" w:lineRule="auto"/>
              <w:rPr>
                <w:i/>
              </w:rPr>
            </w:pPr>
            <w:hyperlink r:id="rId30" w:history="1">
              <w:r w:rsidR="00675DD6">
                <w:rPr>
                  <w:rStyle w:val="Hyperlink"/>
                  <w:i/>
                </w:rPr>
                <w:t>Annalisa.Tessarolo@eesc.europa.eu</w:t>
              </w:r>
            </w:hyperlink>
          </w:p>
        </w:tc>
      </w:tr>
    </w:tbl>
    <w:p w14:paraId="4982DE1C" w14:textId="2C7D6502" w:rsidR="00465162" w:rsidRDefault="00465162" w:rsidP="004D7AC0">
      <w:pPr>
        <w:pStyle w:val="ListParagraph"/>
        <w:ind w:left="0"/>
      </w:pPr>
    </w:p>
    <w:p w14:paraId="2BF6ADD9" w14:textId="77777777" w:rsidR="005625FB" w:rsidRPr="005625FB"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p>
    <w:p w14:paraId="3663425A" w14:textId="77777777" w:rsidR="005625FB" w:rsidRDefault="005625FB" w:rsidP="00567876">
      <w:pPr>
        <w:widowControl w:val="0"/>
        <w:jc w:val="center"/>
        <w:rPr>
          <w:bCs/>
          <w:iCs/>
        </w:rPr>
      </w:pPr>
      <w:r>
        <w:rPr>
          <w:noProof/>
          <w:sz w:val="20"/>
        </w:rPr>
        <w:lastRenderedPageBreak/>
        <mc:AlternateContent>
          <mc:Choice Requires="wps">
            <w:drawing>
              <wp:anchor distT="0" distB="0" distL="114300" distR="114300" simplePos="0" relativeHeight="251677696" behindDoc="1" locked="0" layoutInCell="0" allowOverlap="1" wp14:anchorId="5E969530" wp14:editId="51E62DB3">
                <wp:simplePos x="0" y="0"/>
                <wp:positionH relativeFrom="page">
                  <wp:posOffset>6769100</wp:posOffset>
                </wp:positionH>
                <wp:positionV relativeFrom="page">
                  <wp:posOffset>10081260</wp:posOffset>
                </wp:positionV>
                <wp:extent cx="647700" cy="396240"/>
                <wp:effectExtent l="0" t="3810" r="3175"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EB2B0" w14:textId="0AA4EB7F" w:rsidR="005625FB" w:rsidRPr="00A327DB" w:rsidRDefault="005625FB">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69530" id="_x0000_s1034" type="#_x0000_t202" style="position:absolute;left:0;text-align:left;margin-left:533pt;margin-top:793.8pt;width:51pt;height:3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otzG+PYBAADOAwAADgAAAAAAAAAAAAAAAAAuAgAA&#10;ZHJzL2Uyb0RvYy54bWxQSwECLQAUAAYACAAAACEA61QxWt4AAAAPAQAADwAAAAAAAAAAAAAAAABQ&#10;BAAAZHJzL2Rvd25yZXYueG1sUEsFBgAAAAAEAAQA8wAAAFsFAAAAAA==&#10;" o:allowincell="f" filled="f" stroked="f">
                <v:textbox>
                  <w:txbxContent>
                    <w:p w14:paraId="1B5EB2B0" w14:textId="0AA4EB7F" w:rsidR="005625FB" w:rsidRPr="00A327DB" w:rsidRDefault="005625FB">
                      <w:pPr>
                        <w:jc w:val="center"/>
                        <w:rPr>
                          <w:rFonts w:ascii="Arial" w:hAnsi="Arial" w:cs="Arial"/>
                          <w:b/>
                          <w:bCs/>
                          <w:color w:val="FFFFFF" w:themeColor="background1"/>
                          <w:sz w:val="48"/>
                        </w:rPr>
                      </w:pPr>
                    </w:p>
                  </w:txbxContent>
                </v:textbox>
                <w10:wrap anchorx="page" anchory="page"/>
              </v:shape>
            </w:pict>
          </mc:Fallback>
        </mc:AlternateContent>
      </w:r>
    </w:p>
    <w:p w14:paraId="18F53DF4" w14:textId="71BEA251" w:rsidR="005625FB" w:rsidRPr="0003586F" w:rsidRDefault="00443888" w:rsidP="005625FB">
      <w:pPr>
        <w:widowControl w:val="0"/>
        <w:numPr>
          <w:ilvl w:val="0"/>
          <w:numId w:val="4"/>
        </w:numPr>
        <w:overflowPunct w:val="0"/>
        <w:autoSpaceDE w:val="0"/>
        <w:autoSpaceDN w:val="0"/>
        <w:adjustRightInd w:val="0"/>
        <w:ind w:left="284" w:hanging="284"/>
        <w:textAlignment w:val="baseline"/>
        <w:rPr>
          <w:sz w:val="20"/>
        </w:rPr>
      </w:pPr>
      <w:hyperlink r:id="rId31" w:tgtFrame="_blank" w:history="1">
        <w:r w:rsidR="005625FB">
          <w:rPr>
            <w:rStyle w:val="Hyperlink"/>
            <w:b/>
            <w:i/>
            <w:sz w:val="28"/>
          </w:rPr>
          <w:t>Raport privind politica în domeniul concurenței pentru anul 2024</w:t>
        </w:r>
      </w:hyperlink>
    </w:p>
    <w:p w14:paraId="13568984" w14:textId="77777777" w:rsidR="005625FB" w:rsidRPr="00A6689B" w:rsidRDefault="005625FB" w:rsidP="00D34DDF">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5625FB" w:rsidRPr="00A6689B" w14:paraId="75D18A08" w14:textId="77777777" w:rsidTr="00C52A53">
        <w:tc>
          <w:tcPr>
            <w:tcW w:w="1701" w:type="dxa"/>
          </w:tcPr>
          <w:p w14:paraId="79E6588D" w14:textId="77777777" w:rsidR="005625FB" w:rsidRPr="00A6689B" w:rsidRDefault="005625FB" w:rsidP="00A6689B">
            <w:pPr>
              <w:tabs>
                <w:tab w:val="center" w:pos="284"/>
              </w:tabs>
              <w:ind w:left="266" w:hanging="266"/>
              <w:rPr>
                <w:b/>
              </w:rPr>
            </w:pPr>
            <w:r>
              <w:rPr>
                <w:b/>
                <w:bCs/>
              </w:rPr>
              <w:t>Raportor:</w:t>
            </w:r>
          </w:p>
        </w:tc>
        <w:tc>
          <w:tcPr>
            <w:tcW w:w="5387" w:type="dxa"/>
          </w:tcPr>
          <w:p w14:paraId="14E023FE" w14:textId="77777777" w:rsidR="005625FB" w:rsidRPr="00A6689B" w:rsidRDefault="005625FB" w:rsidP="00A6689B">
            <w:pPr>
              <w:tabs>
                <w:tab w:val="center" w:pos="284"/>
              </w:tabs>
              <w:ind w:left="266" w:hanging="266"/>
            </w:pPr>
            <w:r>
              <w:t>Andrea MONE (Grupul „Lucrători” – IT)</w:t>
            </w:r>
          </w:p>
        </w:tc>
      </w:tr>
      <w:tr w:rsidR="005625FB" w:rsidRPr="00A6689B" w14:paraId="344A0F78" w14:textId="77777777" w:rsidTr="00C52A53">
        <w:tc>
          <w:tcPr>
            <w:tcW w:w="7088" w:type="dxa"/>
            <w:gridSpan w:val="2"/>
          </w:tcPr>
          <w:p w14:paraId="02A94F0B" w14:textId="77777777" w:rsidR="005625FB" w:rsidRPr="00A6689B" w:rsidRDefault="005625FB" w:rsidP="00EE75BE">
            <w:pPr>
              <w:tabs>
                <w:tab w:val="center" w:pos="284"/>
              </w:tabs>
              <w:spacing w:line="160" w:lineRule="exact"/>
              <w:ind w:left="266" w:hanging="266"/>
              <w:rPr>
                <w:lang w:val="en-US"/>
              </w:rPr>
            </w:pPr>
          </w:p>
        </w:tc>
      </w:tr>
      <w:tr w:rsidR="005625FB" w:rsidRPr="00A6689B" w14:paraId="3078025F" w14:textId="77777777" w:rsidTr="00C52A53">
        <w:tc>
          <w:tcPr>
            <w:tcW w:w="1701" w:type="dxa"/>
            <w:vMerge w:val="restart"/>
          </w:tcPr>
          <w:p w14:paraId="18404A76" w14:textId="77777777" w:rsidR="005625FB" w:rsidRPr="00A6689B" w:rsidRDefault="005625FB" w:rsidP="00A6689B">
            <w:pPr>
              <w:tabs>
                <w:tab w:val="center" w:pos="284"/>
              </w:tabs>
              <w:ind w:left="266" w:hanging="266"/>
              <w:rPr>
                <w:b/>
              </w:rPr>
            </w:pPr>
            <w:r>
              <w:rPr>
                <w:b/>
              </w:rPr>
              <w:t>Referințe:</w:t>
            </w:r>
          </w:p>
        </w:tc>
        <w:tc>
          <w:tcPr>
            <w:tcW w:w="5387" w:type="dxa"/>
          </w:tcPr>
          <w:p w14:paraId="75754F81" w14:textId="77777777" w:rsidR="005625FB" w:rsidRPr="008749CA" w:rsidRDefault="005625FB" w:rsidP="00A6689B">
            <w:pPr>
              <w:tabs>
                <w:tab w:val="center" w:pos="284"/>
              </w:tabs>
              <w:ind w:left="266" w:hanging="266"/>
            </w:pPr>
            <w:r>
              <w:t>COM(2025) 181 final</w:t>
            </w:r>
          </w:p>
        </w:tc>
      </w:tr>
      <w:tr w:rsidR="005625FB" w:rsidRPr="00A6689B" w14:paraId="74744669" w14:textId="77777777" w:rsidTr="00C52A53">
        <w:tc>
          <w:tcPr>
            <w:tcW w:w="1701" w:type="dxa"/>
            <w:vMerge/>
          </w:tcPr>
          <w:p w14:paraId="06FFCFC1" w14:textId="77777777" w:rsidR="005625FB" w:rsidRPr="00A6689B" w:rsidRDefault="005625FB" w:rsidP="00A6689B">
            <w:pPr>
              <w:tabs>
                <w:tab w:val="center" w:pos="284"/>
              </w:tabs>
              <w:ind w:left="266" w:hanging="266"/>
              <w:rPr>
                <w:b/>
                <w:lang w:val="en-US"/>
              </w:rPr>
            </w:pPr>
          </w:p>
        </w:tc>
        <w:tc>
          <w:tcPr>
            <w:tcW w:w="5387" w:type="dxa"/>
          </w:tcPr>
          <w:p w14:paraId="1ED1DF67" w14:textId="77777777" w:rsidR="005625FB" w:rsidRPr="00A6689B" w:rsidRDefault="005625FB" w:rsidP="00A6689B">
            <w:pPr>
              <w:tabs>
                <w:tab w:val="center" w:pos="284"/>
              </w:tabs>
              <w:ind w:left="266" w:hanging="266"/>
              <w:rPr>
                <w:lang w:val="en-US"/>
              </w:rPr>
            </w:pPr>
            <w:r>
              <w:t>EESC-2025-02299-00-00-AC</w:t>
            </w:r>
          </w:p>
        </w:tc>
      </w:tr>
    </w:tbl>
    <w:p w14:paraId="2BBE1BBD" w14:textId="77777777" w:rsidR="005625FB" w:rsidRPr="00A6689B" w:rsidRDefault="005625FB" w:rsidP="00246D0A">
      <w:pPr>
        <w:tabs>
          <w:tab w:val="center" w:pos="284"/>
        </w:tabs>
        <w:ind w:left="266" w:hanging="266"/>
      </w:pPr>
    </w:p>
    <w:p w14:paraId="373AE339" w14:textId="77777777" w:rsidR="005625FB" w:rsidRPr="00A6689B" w:rsidRDefault="005625FB" w:rsidP="00246D0A">
      <w:pPr>
        <w:keepNext/>
        <w:keepLines/>
        <w:tabs>
          <w:tab w:val="center" w:pos="284"/>
        </w:tabs>
        <w:ind w:left="266" w:hanging="266"/>
        <w:rPr>
          <w:b/>
        </w:rPr>
      </w:pPr>
      <w:r>
        <w:rPr>
          <w:b/>
        </w:rPr>
        <w:t>Punctele principale:</w:t>
      </w:r>
    </w:p>
    <w:p w14:paraId="692BD912" w14:textId="77777777" w:rsidR="005625FB" w:rsidRPr="00A6689B" w:rsidRDefault="005625FB" w:rsidP="00246D0A">
      <w:pPr>
        <w:keepNext/>
        <w:keepLines/>
        <w:tabs>
          <w:tab w:val="center" w:pos="284"/>
        </w:tabs>
        <w:ind w:left="266" w:hanging="266"/>
        <w:rPr>
          <w:b/>
        </w:rPr>
      </w:pPr>
    </w:p>
    <w:p w14:paraId="52337FCC" w14:textId="77777777" w:rsidR="005625FB" w:rsidRDefault="005625FB" w:rsidP="00246D0A">
      <w:pPr>
        <w:rPr>
          <w:bCs/>
          <w:iCs/>
        </w:rPr>
      </w:pPr>
      <w:r>
        <w:t>CESE:</w:t>
      </w:r>
    </w:p>
    <w:p w14:paraId="1CBAA368" w14:textId="77777777" w:rsidR="005625FB" w:rsidRPr="0065464E" w:rsidRDefault="005625FB" w:rsidP="00246D0A">
      <w:pPr>
        <w:rPr>
          <w:bCs/>
          <w:iCs/>
        </w:rPr>
      </w:pPr>
    </w:p>
    <w:p w14:paraId="1F3C1CD2" w14:textId="3A5840D2" w:rsidR="005625FB" w:rsidRPr="00A327DB" w:rsidRDefault="005625FB" w:rsidP="000377C8">
      <w:pPr>
        <w:numPr>
          <w:ilvl w:val="0"/>
          <w:numId w:val="8"/>
        </w:numPr>
        <w:tabs>
          <w:tab w:val="clear" w:pos="720"/>
        </w:tabs>
        <w:ind w:left="567" w:hanging="567"/>
      </w:pPr>
      <w:r>
        <w:t xml:space="preserve">salută </w:t>
      </w:r>
      <w:r>
        <w:rPr>
          <w:b/>
        </w:rPr>
        <w:t>abordarea adoptată de Comisie în 2024 în materie de asigurare a respectării legislației</w:t>
      </w:r>
      <w:r>
        <w:t>, prin care politica în domeniul concurenței este aliniată la obiectivele de digitalizare, înverzire și reziliență ale UE, garantându-se în același timp o piață internă funcțională și competitivă;</w:t>
      </w:r>
    </w:p>
    <w:p w14:paraId="558C73D2" w14:textId="3C7C9037" w:rsidR="005625FB" w:rsidRPr="00A327DB" w:rsidRDefault="005625FB" w:rsidP="000377C8">
      <w:pPr>
        <w:numPr>
          <w:ilvl w:val="0"/>
          <w:numId w:val="8"/>
        </w:numPr>
        <w:tabs>
          <w:tab w:val="clear" w:pos="720"/>
        </w:tabs>
        <w:ind w:left="567" w:hanging="567"/>
      </w:pPr>
      <w:r>
        <w:t xml:space="preserve">sprijină eforturile depuse de Comisie pentru mai multă </w:t>
      </w:r>
      <w:r>
        <w:rPr>
          <w:b/>
        </w:rPr>
        <w:t>eficacitate și previzibilitate a normelor în materie de concurență</w:t>
      </w:r>
      <w:r>
        <w:t>, eforturi printre care se numără elaborarea de noi orientări privind practicile de excludere abuzivă ale întreprinderilor în poziție dominantă, modernizarea Comunicării privind definirea pieței și îmbunătățirea instrumentelor de evaluare a impactului asupra bunăstării consumatorilor;</w:t>
      </w:r>
    </w:p>
    <w:p w14:paraId="37905825" w14:textId="21A96485" w:rsidR="005625FB" w:rsidRPr="00A327DB" w:rsidRDefault="005625FB" w:rsidP="000377C8">
      <w:pPr>
        <w:numPr>
          <w:ilvl w:val="0"/>
          <w:numId w:val="8"/>
        </w:numPr>
        <w:tabs>
          <w:tab w:val="clear" w:pos="720"/>
        </w:tabs>
        <w:ind w:left="567" w:hanging="567"/>
      </w:pPr>
      <w:r>
        <w:t xml:space="preserve">subliniază că este important să se abordeze provocările în materie de concurență pe </w:t>
      </w:r>
      <w:r>
        <w:rPr>
          <w:b/>
        </w:rPr>
        <w:t>piețele digitale</w:t>
      </w:r>
      <w:r>
        <w:t xml:space="preserve"> și încurajează Comisia să continue să consolideze aplicarea normelor în materie de concurență, atât a celor tradiționale, cât și a celor cuprinse în Regulamentul privind piețele digitale, având în vedere caracteristicile structurale ale modelelor de afaceri bazate pe platforme, cum ar fi crearea de poziții dominante și de bariere la intrare;</w:t>
      </w:r>
    </w:p>
    <w:p w14:paraId="0287C20F" w14:textId="006F907D" w:rsidR="005625FB" w:rsidRPr="00A327DB" w:rsidRDefault="005625FB" w:rsidP="000377C8">
      <w:pPr>
        <w:numPr>
          <w:ilvl w:val="0"/>
          <w:numId w:val="8"/>
        </w:numPr>
        <w:tabs>
          <w:tab w:val="clear" w:pos="720"/>
        </w:tabs>
        <w:ind w:left="567" w:hanging="567"/>
      </w:pPr>
      <w:r>
        <w:t xml:space="preserve">cere să se asigure un </w:t>
      </w:r>
      <w:r>
        <w:rPr>
          <w:b/>
        </w:rPr>
        <w:t>control mai strict al concentrărilor economice</w:t>
      </w:r>
      <w:r>
        <w:t xml:space="preserve">, inclusiv printr-un cadru de examinare a achizițiilor care nu ating pragul de notificare, dar care pot dăuna concurenței (de exemplu, achizițiile făcute cu scopul de a elimina concurența), și insistă să se acorde </w:t>
      </w:r>
      <w:r>
        <w:rPr>
          <w:b/>
        </w:rPr>
        <w:t>mai multă atenție atât efectelor asupra pieței forței de muncă, cât și aspectelor de inovare</w:t>
      </w:r>
      <w:r>
        <w:t xml:space="preserve"> la evaluarea concentrărilor economice;</w:t>
      </w:r>
    </w:p>
    <w:p w14:paraId="2D2C771E" w14:textId="77777777" w:rsidR="005625FB" w:rsidRPr="0065464E" w:rsidRDefault="005625FB" w:rsidP="005625FB">
      <w:pPr>
        <w:numPr>
          <w:ilvl w:val="0"/>
          <w:numId w:val="8"/>
        </w:numPr>
        <w:tabs>
          <w:tab w:val="clear" w:pos="720"/>
        </w:tabs>
        <w:ind w:left="567" w:hanging="567"/>
      </w:pPr>
      <w:r>
        <w:t xml:space="preserve">subliniază ca prin </w:t>
      </w:r>
      <w:r>
        <w:rPr>
          <w:b/>
        </w:rPr>
        <w:t>normele privind ajutoarele de stat</w:t>
      </w:r>
      <w:r>
        <w:t xml:space="preserve"> – în special prin noul Cadru privind ajutoarele de stat în contextul Pactului pentru o industrie curată și prin procesele aferente proiectelor importante de interes european comun – să se promoveze </w:t>
      </w:r>
      <w:r>
        <w:rPr>
          <w:b/>
        </w:rPr>
        <w:t>participarea transfrontalieră, reducerea fragmentării și sprijinirea investițiilor strategice</w:t>
      </w:r>
      <w:r>
        <w:t xml:space="preserve"> esențiale pentru Pactul pentru o industrie curată, asigurându-se în același timp coeziunea și condiții de concurență echitabile între statele membre.</w:t>
      </w:r>
    </w:p>
    <w:p w14:paraId="1DE28030" w14:textId="77777777" w:rsidR="005625FB" w:rsidRPr="000624A9" w:rsidRDefault="005625FB">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5625FB" w:rsidRPr="00A6689B" w14:paraId="716FFDCD" w14:textId="77777777" w:rsidTr="008749CA">
        <w:tc>
          <w:tcPr>
            <w:tcW w:w="1701" w:type="dxa"/>
          </w:tcPr>
          <w:p w14:paraId="155C6418" w14:textId="77777777" w:rsidR="005625FB" w:rsidRPr="00A6689B" w:rsidRDefault="005625FB" w:rsidP="00567876">
            <w:pPr>
              <w:spacing w:line="240" w:lineRule="auto"/>
              <w:rPr>
                <w:i/>
              </w:rPr>
            </w:pPr>
            <w:r>
              <w:rPr>
                <w:b/>
                <w:i/>
              </w:rPr>
              <w:t>Date de contact:</w:t>
            </w:r>
          </w:p>
        </w:tc>
        <w:tc>
          <w:tcPr>
            <w:tcW w:w="5387" w:type="dxa"/>
          </w:tcPr>
          <w:p w14:paraId="1478981B" w14:textId="450C79AE" w:rsidR="005625FB" w:rsidRPr="00A6689B" w:rsidRDefault="005625FB" w:rsidP="00567876">
            <w:pPr>
              <w:spacing w:line="240" w:lineRule="auto"/>
              <w:rPr>
                <w:i/>
              </w:rPr>
            </w:pPr>
            <w:r>
              <w:rPr>
                <w:i/>
              </w:rPr>
              <w:t xml:space="preserve">Silvia </w:t>
            </w:r>
            <w:r w:rsidR="00A327DB">
              <w:rPr>
                <w:i/>
              </w:rPr>
              <w:t>STAFFA</w:t>
            </w:r>
          </w:p>
        </w:tc>
      </w:tr>
      <w:tr w:rsidR="005625FB" w:rsidRPr="00A6689B" w14:paraId="62AB399C" w14:textId="77777777" w:rsidTr="008749CA">
        <w:tc>
          <w:tcPr>
            <w:tcW w:w="1701" w:type="dxa"/>
          </w:tcPr>
          <w:p w14:paraId="706891F0" w14:textId="77777777" w:rsidR="005625FB" w:rsidRPr="00A6689B" w:rsidRDefault="005625FB" w:rsidP="00567876">
            <w:pPr>
              <w:spacing w:line="240" w:lineRule="auto"/>
              <w:rPr>
                <w:i/>
              </w:rPr>
            </w:pPr>
            <w:r>
              <w:rPr>
                <w:i/>
              </w:rPr>
              <w:t>Tel.:</w:t>
            </w:r>
          </w:p>
        </w:tc>
        <w:tc>
          <w:tcPr>
            <w:tcW w:w="5387" w:type="dxa"/>
            <w:shd w:val="clear" w:color="auto" w:fill="auto"/>
          </w:tcPr>
          <w:p w14:paraId="76B396C0" w14:textId="77777777" w:rsidR="005625FB" w:rsidRPr="00A6689B" w:rsidRDefault="005625FB" w:rsidP="00567876">
            <w:pPr>
              <w:spacing w:line="240" w:lineRule="auto"/>
              <w:rPr>
                <w:i/>
              </w:rPr>
            </w:pPr>
            <w:r>
              <w:rPr>
                <w:i/>
              </w:rPr>
              <w:t>+ 32 25468378</w:t>
            </w:r>
          </w:p>
        </w:tc>
      </w:tr>
      <w:tr w:rsidR="005625FB" w:rsidRPr="00A6689B" w14:paraId="29DB5D47" w14:textId="77777777" w:rsidTr="008749CA">
        <w:tc>
          <w:tcPr>
            <w:tcW w:w="1701" w:type="dxa"/>
          </w:tcPr>
          <w:p w14:paraId="5DCE0B3C" w14:textId="77777777" w:rsidR="005625FB" w:rsidRPr="00A6689B" w:rsidRDefault="005625FB" w:rsidP="00567876">
            <w:pPr>
              <w:spacing w:line="240" w:lineRule="auto"/>
              <w:rPr>
                <w:i/>
              </w:rPr>
            </w:pPr>
            <w:r>
              <w:rPr>
                <w:i/>
              </w:rPr>
              <w:t>E-mail:</w:t>
            </w:r>
          </w:p>
        </w:tc>
        <w:tc>
          <w:tcPr>
            <w:tcW w:w="5387" w:type="dxa"/>
          </w:tcPr>
          <w:p w14:paraId="4491D669" w14:textId="77777777" w:rsidR="005625FB" w:rsidRPr="00A6689B" w:rsidRDefault="00443888" w:rsidP="00567876">
            <w:pPr>
              <w:spacing w:line="240" w:lineRule="auto"/>
              <w:rPr>
                <w:i/>
              </w:rPr>
            </w:pPr>
            <w:hyperlink r:id="rId32" w:history="1">
              <w:r w:rsidR="005625FB">
                <w:rPr>
                  <w:rStyle w:val="Hyperlink"/>
                  <w:i/>
                </w:rPr>
                <w:t>Silvia.Staffa@eesc.europa.eu</w:t>
              </w:r>
            </w:hyperlink>
          </w:p>
        </w:tc>
      </w:tr>
    </w:tbl>
    <w:p w14:paraId="4982DE1D" w14:textId="77777777" w:rsidR="004D7AC0" w:rsidRDefault="004D7AC0" w:rsidP="004D7AC0">
      <w:pPr>
        <w:pStyle w:val="ListParagraph"/>
        <w:ind w:left="0"/>
      </w:pPr>
    </w:p>
    <w:p w14:paraId="6DB59894" w14:textId="77777777" w:rsidR="005625FB" w:rsidRPr="005625FB"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p>
    <w:p w14:paraId="4E012FA5" w14:textId="77777777" w:rsidR="005625FB" w:rsidRDefault="005625FB" w:rsidP="00601171">
      <w:pPr>
        <w:widowControl w:val="0"/>
        <w:jc w:val="center"/>
        <w:rPr>
          <w:bCs/>
          <w:iCs/>
        </w:rPr>
      </w:pPr>
      <w:r>
        <w:rPr>
          <w:noProof/>
          <w:sz w:val="20"/>
        </w:rPr>
        <w:lastRenderedPageBreak/>
        <mc:AlternateContent>
          <mc:Choice Requires="wps">
            <w:drawing>
              <wp:anchor distT="0" distB="0" distL="114300" distR="114300" simplePos="0" relativeHeight="251679744" behindDoc="1" locked="0" layoutInCell="0" allowOverlap="1" wp14:anchorId="3F431F9E" wp14:editId="0D20BAA8">
                <wp:simplePos x="0" y="0"/>
                <wp:positionH relativeFrom="page">
                  <wp:posOffset>6769100</wp:posOffset>
                </wp:positionH>
                <wp:positionV relativeFrom="page">
                  <wp:posOffset>10081260</wp:posOffset>
                </wp:positionV>
                <wp:extent cx="647700" cy="396240"/>
                <wp:effectExtent l="0" t="3810" r="3175"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09AD7" w14:textId="09094DBB" w:rsidR="005625FB" w:rsidRPr="00A327DB" w:rsidRDefault="005625FB">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31F9E" id="_x0000_s1035" type="#_x0000_t202" style="position:absolute;left:0;text-align:left;margin-left:533pt;margin-top:793.8pt;width:51pt;height:3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wHor9QEAAM4DAAAOAAAAAAAAAAAAAAAAAC4CAABk&#10;cnMvZTJvRG9jLnhtbFBLAQItABQABgAIAAAAIQDrVDFa3gAAAA8BAAAPAAAAAAAAAAAAAAAAAE8E&#10;AABkcnMvZG93bnJldi54bWxQSwUGAAAAAAQABADzAAAAWgUAAAAA&#10;" o:allowincell="f" filled="f" stroked="f">
                <v:textbox>
                  <w:txbxContent>
                    <w:p w14:paraId="76209AD7" w14:textId="09094DBB" w:rsidR="005625FB" w:rsidRPr="00A327DB" w:rsidRDefault="005625FB">
                      <w:pPr>
                        <w:jc w:val="center"/>
                        <w:rPr>
                          <w:rFonts w:ascii="Arial" w:hAnsi="Arial" w:cs="Arial"/>
                          <w:b/>
                          <w:bCs/>
                          <w:color w:val="FFFFFF" w:themeColor="background1"/>
                          <w:sz w:val="48"/>
                        </w:rPr>
                      </w:pPr>
                    </w:p>
                  </w:txbxContent>
                </v:textbox>
                <w10:wrap anchorx="page" anchory="page"/>
              </v:shape>
            </w:pict>
          </mc:Fallback>
        </mc:AlternateContent>
      </w:r>
    </w:p>
    <w:p w14:paraId="1E8DA270" w14:textId="68D054E8" w:rsidR="005625FB" w:rsidRPr="0055472D" w:rsidRDefault="00443888" w:rsidP="005625FB">
      <w:pPr>
        <w:widowControl w:val="0"/>
        <w:numPr>
          <w:ilvl w:val="0"/>
          <w:numId w:val="4"/>
        </w:numPr>
        <w:overflowPunct w:val="0"/>
        <w:autoSpaceDE w:val="0"/>
        <w:autoSpaceDN w:val="0"/>
        <w:adjustRightInd w:val="0"/>
        <w:ind w:hanging="567"/>
        <w:textAlignment w:val="baseline"/>
        <w:rPr>
          <w:i/>
          <w:iCs/>
          <w:sz w:val="28"/>
          <w:szCs w:val="28"/>
        </w:rPr>
      </w:pPr>
      <w:hyperlink r:id="rId33" w:history="1">
        <w:r w:rsidR="005625FB">
          <w:rPr>
            <w:rStyle w:val="Hyperlink"/>
            <w:b/>
            <w:i/>
            <w:sz w:val="28"/>
          </w:rPr>
          <w:t>Fondul pentru competitivitate</w:t>
        </w:r>
      </w:hyperlink>
    </w:p>
    <w:p w14:paraId="3A9D5FD4" w14:textId="77777777" w:rsidR="005625FB" w:rsidRPr="006F46D1" w:rsidRDefault="005625FB" w:rsidP="00601171">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7088"/>
      </w:tblGrid>
      <w:tr w:rsidR="005625FB" w:rsidRPr="00A6689B" w14:paraId="0CA32495" w14:textId="77777777" w:rsidTr="00601171">
        <w:trPr>
          <w:trHeight w:val="406"/>
        </w:trPr>
        <w:tc>
          <w:tcPr>
            <w:tcW w:w="1108" w:type="pct"/>
          </w:tcPr>
          <w:p w14:paraId="42722A3F" w14:textId="77777777" w:rsidR="005625FB" w:rsidRPr="00A6689B" w:rsidRDefault="005625FB" w:rsidP="00601171">
            <w:pPr>
              <w:tabs>
                <w:tab w:val="center" w:pos="284"/>
              </w:tabs>
              <w:ind w:left="266" w:hanging="266"/>
              <w:rPr>
                <w:b/>
              </w:rPr>
            </w:pPr>
            <w:r>
              <w:rPr>
                <w:b/>
                <w:bCs/>
              </w:rPr>
              <w:t>Raportoare:</w:t>
            </w:r>
          </w:p>
        </w:tc>
        <w:tc>
          <w:tcPr>
            <w:tcW w:w="3892" w:type="pct"/>
          </w:tcPr>
          <w:p w14:paraId="30CB91BF" w14:textId="77777777" w:rsidR="005625FB" w:rsidRPr="009E78F1" w:rsidRDefault="005625FB" w:rsidP="00601171">
            <w:pPr>
              <w:tabs>
                <w:tab w:val="center" w:pos="0"/>
              </w:tabs>
              <w:ind w:left="266" w:hanging="266"/>
            </w:pPr>
            <w:r>
              <w:t>Milena ANGELOVA (Grupul „Angajatori” – BG)</w:t>
            </w:r>
          </w:p>
        </w:tc>
      </w:tr>
      <w:tr w:rsidR="005625FB" w:rsidRPr="0004565E" w14:paraId="585557EE" w14:textId="77777777" w:rsidTr="00601171">
        <w:tc>
          <w:tcPr>
            <w:tcW w:w="1108" w:type="pct"/>
          </w:tcPr>
          <w:p w14:paraId="69BF1396" w14:textId="77777777" w:rsidR="005625FB" w:rsidRPr="00CB5569" w:rsidRDefault="005625FB" w:rsidP="00601171">
            <w:pPr>
              <w:tabs>
                <w:tab w:val="center" w:pos="284"/>
              </w:tabs>
              <w:ind w:left="266" w:hanging="266"/>
              <w:rPr>
                <w:b/>
              </w:rPr>
            </w:pPr>
            <w:r>
              <w:rPr>
                <w:b/>
              </w:rPr>
              <w:t>Referințe:</w:t>
            </w:r>
          </w:p>
        </w:tc>
        <w:tc>
          <w:tcPr>
            <w:tcW w:w="3892" w:type="pct"/>
          </w:tcPr>
          <w:p w14:paraId="625F48D1" w14:textId="231573D4" w:rsidR="005625FB" w:rsidRPr="00AF47F8" w:rsidRDefault="005625FB" w:rsidP="00601171">
            <w:pPr>
              <w:tabs>
                <w:tab w:val="center" w:pos="284"/>
              </w:tabs>
              <w:ind w:left="266" w:hanging="266"/>
            </w:pPr>
            <w:r>
              <w:t>COM(2025) 555 final</w:t>
            </w:r>
          </w:p>
          <w:p w14:paraId="7C796645" w14:textId="77777777" w:rsidR="005625FB" w:rsidRPr="00AF47F8" w:rsidRDefault="005625FB" w:rsidP="00601171">
            <w:pPr>
              <w:tabs>
                <w:tab w:val="center" w:pos="284"/>
              </w:tabs>
              <w:ind w:left="266" w:hanging="266"/>
            </w:pPr>
            <w:r>
              <w:t>EESC-2025-02576-00-00-AC</w:t>
            </w:r>
          </w:p>
        </w:tc>
      </w:tr>
    </w:tbl>
    <w:p w14:paraId="5D1B30D5" w14:textId="77777777" w:rsidR="005625FB" w:rsidRPr="00AF47F8" w:rsidRDefault="005625FB" w:rsidP="00601171">
      <w:pPr>
        <w:keepNext/>
        <w:keepLines/>
        <w:tabs>
          <w:tab w:val="center" w:pos="284"/>
        </w:tabs>
        <w:ind w:left="266" w:hanging="266"/>
        <w:rPr>
          <w:b/>
          <w:lang w:val="pt-PT"/>
        </w:rPr>
      </w:pPr>
    </w:p>
    <w:p w14:paraId="772D4061" w14:textId="77777777" w:rsidR="005625FB" w:rsidRPr="00CB5569" w:rsidRDefault="005625FB" w:rsidP="00601171">
      <w:pPr>
        <w:keepNext/>
        <w:keepLines/>
        <w:tabs>
          <w:tab w:val="center" w:pos="284"/>
        </w:tabs>
        <w:ind w:left="266" w:hanging="266"/>
        <w:rPr>
          <w:b/>
        </w:rPr>
      </w:pPr>
      <w:r>
        <w:rPr>
          <w:b/>
        </w:rPr>
        <w:t>Punctele principale:</w:t>
      </w:r>
    </w:p>
    <w:p w14:paraId="1E0BC3C0" w14:textId="77777777" w:rsidR="005625FB" w:rsidRPr="00601171" w:rsidRDefault="005625FB" w:rsidP="00601171">
      <w:pPr>
        <w:keepNext/>
        <w:keepLines/>
        <w:tabs>
          <w:tab w:val="center" w:pos="284"/>
        </w:tabs>
        <w:ind w:left="266" w:hanging="266"/>
        <w:rPr>
          <w:bCs/>
        </w:rPr>
      </w:pPr>
    </w:p>
    <w:p w14:paraId="44614FA0" w14:textId="77777777" w:rsidR="005625FB" w:rsidRDefault="005625FB" w:rsidP="00601171">
      <w:r>
        <w:t>CESE:</w:t>
      </w:r>
    </w:p>
    <w:p w14:paraId="643893C6" w14:textId="77777777" w:rsidR="005625FB" w:rsidRPr="00601171" w:rsidRDefault="005625FB" w:rsidP="00601171">
      <w:pPr>
        <w:rPr>
          <w:bCs/>
          <w:iCs/>
        </w:rPr>
      </w:pPr>
    </w:p>
    <w:p w14:paraId="698A0D49" w14:textId="77777777" w:rsidR="005625FB" w:rsidRPr="00601171" w:rsidRDefault="005625FB" w:rsidP="005625FB">
      <w:pPr>
        <w:numPr>
          <w:ilvl w:val="0"/>
          <w:numId w:val="9"/>
        </w:numPr>
        <w:overflowPunct w:val="0"/>
        <w:autoSpaceDE w:val="0"/>
        <w:autoSpaceDN w:val="0"/>
        <w:adjustRightInd w:val="0"/>
        <w:ind w:left="567" w:hanging="567"/>
        <w:textAlignment w:val="baseline"/>
      </w:pPr>
      <w:r>
        <w:t xml:space="preserve">sprijină crearea Fondului european pentru competitivitate (FEC) ca piatră de temelie a următorului buget al UE și ca motor al inovării, rezilienței și securității, subliniind că </w:t>
      </w:r>
      <w:r>
        <w:rPr>
          <w:b/>
        </w:rPr>
        <w:t>finanțarea trebuie să rămână ferm aliniată la sustenabilitate și la economia socială de piață a UE</w:t>
      </w:r>
      <w:r>
        <w:t>;</w:t>
      </w:r>
    </w:p>
    <w:p w14:paraId="702C9B1C" w14:textId="77777777" w:rsidR="005625FB" w:rsidRPr="00601171" w:rsidRDefault="005625FB" w:rsidP="005625FB">
      <w:pPr>
        <w:numPr>
          <w:ilvl w:val="0"/>
          <w:numId w:val="9"/>
        </w:numPr>
        <w:overflowPunct w:val="0"/>
        <w:autoSpaceDE w:val="0"/>
        <w:autoSpaceDN w:val="0"/>
        <w:adjustRightInd w:val="0"/>
        <w:ind w:left="567" w:hanging="567"/>
        <w:textAlignment w:val="baseline"/>
      </w:pPr>
      <w:r>
        <w:rPr>
          <w:b/>
        </w:rPr>
        <w:t>solicită o selecție a proiectelor la nivelul UE, bazată pe merit</w:t>
      </w:r>
      <w:r>
        <w:t xml:space="preserve">, cu criterii clare, cum ar fi excelența, orientarea spre viitor și potențialul economic. Pentru </w:t>
      </w:r>
      <w:r>
        <w:rPr>
          <w:b/>
        </w:rPr>
        <w:t>a evita controlul accesului la nivel național</w:t>
      </w:r>
      <w:r>
        <w:t>, CESE solicită proceduri transparente, acces egal pentru solicitanți în toate statele membre și implicarea activă a partenerilor sociali și a societății civile în guvernanță;</w:t>
      </w:r>
    </w:p>
    <w:p w14:paraId="7A476918" w14:textId="77777777" w:rsidR="005625FB" w:rsidRPr="00601171" w:rsidRDefault="005625FB" w:rsidP="005625FB">
      <w:pPr>
        <w:numPr>
          <w:ilvl w:val="0"/>
          <w:numId w:val="9"/>
        </w:numPr>
        <w:overflowPunct w:val="0"/>
        <w:autoSpaceDE w:val="0"/>
        <w:autoSpaceDN w:val="0"/>
        <w:adjustRightInd w:val="0"/>
        <w:ind w:left="567" w:hanging="567"/>
        <w:textAlignment w:val="baseline"/>
      </w:pPr>
      <w:r>
        <w:rPr>
          <w:b/>
        </w:rPr>
        <w:t>recomandă introducerea unei „validări prin intermediul pieței”</w:t>
      </w:r>
      <w:r>
        <w:t>, care să impună ca proiectele care necesită finanțare suplimentară din partea UE, cum ar fi PIIEC sau alte investiții la scară largă, să mobilizeze mai întâi o parte din capitalul privat. Acest mecanism de testare a pieței ar contribui la validarea calității proiectelor, la reducerea deciziilor de finanțare politizate și la consolidarea legăturii dintre sprijinul public și competitivitatea reală;</w:t>
      </w:r>
    </w:p>
    <w:p w14:paraId="2097BB87" w14:textId="77777777" w:rsidR="005625FB" w:rsidRPr="00601171" w:rsidRDefault="005625FB" w:rsidP="005625FB">
      <w:pPr>
        <w:numPr>
          <w:ilvl w:val="0"/>
          <w:numId w:val="9"/>
        </w:numPr>
        <w:overflowPunct w:val="0"/>
        <w:autoSpaceDE w:val="0"/>
        <w:autoSpaceDN w:val="0"/>
        <w:adjustRightInd w:val="0"/>
        <w:ind w:left="567" w:hanging="567"/>
        <w:textAlignment w:val="baseline"/>
      </w:pPr>
      <w:r>
        <w:rPr>
          <w:b/>
        </w:rPr>
        <w:t>subliniază necesitatea unor instrumente solide de evaluare și prevenire a riscurilor</w:t>
      </w:r>
      <w:r>
        <w:t>, care să garanteze că resursele FEC sunt direcționate numai către proiecte care sporesc cu adevărat competitivitatea Europei și evită repetarea deficiențelor din trecut ale programelor de finanțare ale UE;</w:t>
      </w:r>
    </w:p>
    <w:p w14:paraId="7801DC9E" w14:textId="77777777" w:rsidR="005625FB" w:rsidRPr="00601171" w:rsidRDefault="005625FB" w:rsidP="005625FB">
      <w:pPr>
        <w:numPr>
          <w:ilvl w:val="0"/>
          <w:numId w:val="9"/>
        </w:numPr>
        <w:overflowPunct w:val="0"/>
        <w:autoSpaceDE w:val="0"/>
        <w:autoSpaceDN w:val="0"/>
        <w:adjustRightInd w:val="0"/>
        <w:ind w:left="567" w:hanging="567"/>
        <w:textAlignment w:val="baseline"/>
      </w:pPr>
      <w:r>
        <w:t xml:space="preserve">subliniază importanța </w:t>
      </w:r>
      <w:r>
        <w:rPr>
          <w:b/>
        </w:rPr>
        <w:t>sprijinirii IMM-urilor, a ecosistemelor de inovare regionale și transfrontaliere și a investițiilor în competențe și în muncă decentă</w:t>
      </w:r>
      <w:r>
        <w:t>, simplificând în același timp procedurile și asigurând o guvernanță transparentă, previzibilă și favorabilă incluziunii.</w:t>
      </w:r>
    </w:p>
    <w:p w14:paraId="7A798A89" w14:textId="77777777" w:rsidR="005625FB" w:rsidRPr="00601171" w:rsidRDefault="005625FB" w:rsidP="00601171">
      <w:pPr>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7343"/>
      </w:tblGrid>
      <w:tr w:rsidR="005625FB" w:rsidRPr="00A6689B" w14:paraId="52204681" w14:textId="77777777" w:rsidTr="008279DE">
        <w:tc>
          <w:tcPr>
            <w:tcW w:w="1016" w:type="pct"/>
          </w:tcPr>
          <w:p w14:paraId="23C4B4C3" w14:textId="77777777" w:rsidR="005625FB" w:rsidRPr="00A6689B" w:rsidRDefault="005625FB" w:rsidP="00601171">
            <w:pPr>
              <w:rPr>
                <w:i/>
              </w:rPr>
            </w:pPr>
            <w:r>
              <w:rPr>
                <w:b/>
                <w:i/>
              </w:rPr>
              <w:t>Date de contact:</w:t>
            </w:r>
          </w:p>
        </w:tc>
        <w:tc>
          <w:tcPr>
            <w:tcW w:w="3984" w:type="pct"/>
          </w:tcPr>
          <w:p w14:paraId="4C577495" w14:textId="77777777" w:rsidR="005625FB" w:rsidRPr="00A6689B" w:rsidRDefault="005625FB" w:rsidP="00601171">
            <w:pPr>
              <w:rPr>
                <w:i/>
              </w:rPr>
            </w:pPr>
            <w:r>
              <w:rPr>
                <w:i/>
              </w:rPr>
              <w:t>Silvia STAFFA</w:t>
            </w:r>
          </w:p>
        </w:tc>
      </w:tr>
      <w:tr w:rsidR="005625FB" w:rsidRPr="00A6689B" w14:paraId="67A4A66B" w14:textId="77777777" w:rsidTr="008279DE">
        <w:tc>
          <w:tcPr>
            <w:tcW w:w="1016" w:type="pct"/>
          </w:tcPr>
          <w:p w14:paraId="3B3D9C8E" w14:textId="77777777" w:rsidR="005625FB" w:rsidRPr="00A6689B" w:rsidRDefault="005625FB" w:rsidP="00601171">
            <w:pPr>
              <w:rPr>
                <w:i/>
              </w:rPr>
            </w:pPr>
            <w:r>
              <w:rPr>
                <w:i/>
              </w:rPr>
              <w:t>Tel.:</w:t>
            </w:r>
          </w:p>
        </w:tc>
        <w:tc>
          <w:tcPr>
            <w:tcW w:w="3984" w:type="pct"/>
          </w:tcPr>
          <w:p w14:paraId="45ABB752" w14:textId="77777777" w:rsidR="005625FB" w:rsidRPr="00A6689B" w:rsidRDefault="005625FB" w:rsidP="00601171">
            <w:pPr>
              <w:rPr>
                <w:i/>
              </w:rPr>
            </w:pPr>
            <w:r>
              <w:rPr>
                <w:i/>
              </w:rPr>
              <w:t>+32 254 68378</w:t>
            </w:r>
          </w:p>
        </w:tc>
      </w:tr>
      <w:tr w:rsidR="005625FB" w:rsidRPr="00A6689B" w14:paraId="1A05B1D6" w14:textId="77777777" w:rsidTr="008279DE">
        <w:tc>
          <w:tcPr>
            <w:tcW w:w="1016" w:type="pct"/>
          </w:tcPr>
          <w:p w14:paraId="32914AB6" w14:textId="77777777" w:rsidR="005625FB" w:rsidRPr="00A6689B" w:rsidRDefault="005625FB" w:rsidP="00601171">
            <w:pPr>
              <w:rPr>
                <w:i/>
              </w:rPr>
            </w:pPr>
            <w:r>
              <w:rPr>
                <w:i/>
              </w:rPr>
              <w:t>E-mail:</w:t>
            </w:r>
          </w:p>
        </w:tc>
        <w:tc>
          <w:tcPr>
            <w:tcW w:w="3984" w:type="pct"/>
          </w:tcPr>
          <w:p w14:paraId="0AEBFAEB" w14:textId="77777777" w:rsidR="005625FB" w:rsidRPr="00CB5569" w:rsidRDefault="00443888" w:rsidP="00601171">
            <w:pPr>
              <w:rPr>
                <w:i/>
                <w:iCs/>
                <w:sz w:val="20"/>
              </w:rPr>
            </w:pPr>
            <w:hyperlink r:id="rId34" w:history="1">
              <w:r w:rsidR="005625FB">
                <w:rPr>
                  <w:rStyle w:val="Hyperlink"/>
                  <w:i/>
                  <w:sz w:val="20"/>
                </w:rPr>
                <w:t>Silvia.Staffa@eesc.europa.eu</w:t>
              </w:r>
            </w:hyperlink>
          </w:p>
        </w:tc>
      </w:tr>
    </w:tbl>
    <w:p w14:paraId="44E8F8BF" w14:textId="77777777" w:rsidR="005625FB" w:rsidRPr="005625FB"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p>
    <w:p w14:paraId="710310AF" w14:textId="71129206" w:rsidR="005625FB" w:rsidRDefault="005625FB" w:rsidP="00183A58">
      <w:pPr>
        <w:widowControl w:val="0"/>
        <w:jc w:val="center"/>
        <w:rPr>
          <w:bCs/>
          <w:iCs/>
        </w:rPr>
      </w:pPr>
    </w:p>
    <w:p w14:paraId="1DA40030" w14:textId="77777777" w:rsidR="005625FB" w:rsidRDefault="005625FB" w:rsidP="00014E49">
      <w:pPr>
        <w:widowControl w:val="0"/>
        <w:spacing w:line="240" w:lineRule="auto"/>
        <w:rPr>
          <w:bCs/>
          <w:iCs/>
        </w:rPr>
      </w:pPr>
      <w:r>
        <w:rPr>
          <w:noProof/>
          <w:sz w:val="20"/>
        </w:rPr>
        <mc:AlternateContent>
          <mc:Choice Requires="wps">
            <w:drawing>
              <wp:anchor distT="0" distB="0" distL="114300" distR="114300" simplePos="0" relativeHeight="251681792" behindDoc="1" locked="0" layoutInCell="0" allowOverlap="1" wp14:anchorId="43EA8E4A" wp14:editId="18618AB2">
                <wp:simplePos x="0" y="0"/>
                <wp:positionH relativeFrom="page">
                  <wp:posOffset>6769100</wp:posOffset>
                </wp:positionH>
                <wp:positionV relativeFrom="page">
                  <wp:posOffset>10081260</wp:posOffset>
                </wp:positionV>
                <wp:extent cx="647700" cy="396240"/>
                <wp:effectExtent l="0" t="3810" r="317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DDDC" w14:textId="49A70F57" w:rsidR="005625FB" w:rsidRPr="00103C59" w:rsidRDefault="005625FB">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A8E4A" id="_x0000_s1036" type="#_x0000_t202" style="position:absolute;left:0;text-align:left;margin-left:533pt;margin-top:793.8pt;width:51pt;height:3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kg+RLvYBAADPAwAADgAAAAAAAAAAAAAAAAAuAgAA&#10;ZHJzL2Uyb0RvYy54bWxQSwECLQAUAAYACAAAACEA61QxWt4AAAAPAQAADwAAAAAAAAAAAAAAAABQ&#10;BAAAZHJzL2Rvd25yZXYueG1sUEsFBgAAAAAEAAQA8wAAAFsFAAAAAA==&#10;" o:allowincell="f" filled="f" stroked="f">
                <v:textbox>
                  <w:txbxContent>
                    <w:p w14:paraId="2F58DDDC" w14:textId="49A70F57" w:rsidR="005625FB" w:rsidRPr="00103C59" w:rsidRDefault="005625FB">
                      <w:pPr>
                        <w:jc w:val="center"/>
                        <w:rPr>
                          <w:rFonts w:ascii="Arial" w:hAnsi="Arial" w:cs="Arial"/>
                          <w:b/>
                          <w:bCs/>
                          <w:color w:val="FFFFFF" w:themeColor="background1"/>
                          <w:sz w:val="48"/>
                        </w:rPr>
                      </w:pPr>
                    </w:p>
                  </w:txbxContent>
                </v:textbox>
                <w10:wrap anchorx="page" anchory="page"/>
              </v:shape>
            </w:pict>
          </mc:Fallback>
        </mc:AlternateContent>
      </w:r>
    </w:p>
    <w:p w14:paraId="37A7F998" w14:textId="40D16ED8" w:rsidR="005625FB" w:rsidRPr="006F46D1" w:rsidRDefault="00443888" w:rsidP="005625FB">
      <w:pPr>
        <w:widowControl w:val="0"/>
        <w:numPr>
          <w:ilvl w:val="0"/>
          <w:numId w:val="4"/>
        </w:numPr>
        <w:overflowPunct w:val="0"/>
        <w:autoSpaceDE w:val="0"/>
        <w:autoSpaceDN w:val="0"/>
        <w:adjustRightInd w:val="0"/>
        <w:ind w:hanging="567"/>
        <w:textAlignment w:val="baseline"/>
        <w:rPr>
          <w:sz w:val="20"/>
        </w:rPr>
      </w:pPr>
      <w:hyperlink r:id="rId35" w:history="1">
        <w:r w:rsidR="005625FB">
          <w:rPr>
            <w:rStyle w:val="Hyperlink"/>
            <w:b/>
            <w:i/>
            <w:sz w:val="28"/>
          </w:rPr>
          <w:t>Revizuirea cadrului juridic european privind achizițiile publice</w:t>
        </w:r>
      </w:hyperlink>
    </w:p>
    <w:p w14:paraId="421F12FC" w14:textId="77777777" w:rsidR="005625FB" w:rsidRPr="00014E49" w:rsidRDefault="005625FB" w:rsidP="00014E49">
      <w:pPr>
        <w:tabs>
          <w:tab w:val="center" w:pos="284"/>
        </w:tabs>
        <w:spacing w:line="240" w:lineRule="auto"/>
        <w:ind w:left="266" w:hanging="266"/>
        <w:rPr>
          <w:b/>
          <w:sz w:val="16"/>
          <w:szCs w:val="16"/>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7088"/>
      </w:tblGrid>
      <w:tr w:rsidR="005625FB" w:rsidRPr="00A6689B" w14:paraId="45288994" w14:textId="77777777" w:rsidTr="00FC1593">
        <w:trPr>
          <w:trHeight w:val="406"/>
        </w:trPr>
        <w:tc>
          <w:tcPr>
            <w:tcW w:w="1108" w:type="pct"/>
          </w:tcPr>
          <w:p w14:paraId="3D28346D" w14:textId="77777777" w:rsidR="005625FB" w:rsidRPr="00A6689B" w:rsidRDefault="005625FB" w:rsidP="00183A58">
            <w:pPr>
              <w:tabs>
                <w:tab w:val="center" w:pos="284"/>
              </w:tabs>
              <w:ind w:left="266" w:hanging="266"/>
              <w:rPr>
                <w:b/>
              </w:rPr>
            </w:pPr>
            <w:r>
              <w:rPr>
                <w:b/>
              </w:rPr>
              <w:t>Raportor:</w:t>
            </w:r>
          </w:p>
        </w:tc>
        <w:tc>
          <w:tcPr>
            <w:tcW w:w="3892" w:type="pct"/>
          </w:tcPr>
          <w:p w14:paraId="4A6FFC22" w14:textId="77777777" w:rsidR="005625FB" w:rsidRPr="009E78F1" w:rsidRDefault="005625FB" w:rsidP="00183A58">
            <w:pPr>
              <w:tabs>
                <w:tab w:val="center" w:pos="0"/>
              </w:tabs>
              <w:ind w:left="266" w:hanging="266"/>
            </w:pPr>
            <w:r>
              <w:t>Philip VON BROCKDORFF (Grupul „Lucrători” – MT)</w:t>
            </w:r>
          </w:p>
        </w:tc>
      </w:tr>
      <w:tr w:rsidR="005625FB" w:rsidRPr="00CB5569" w14:paraId="4748EBCA" w14:textId="77777777" w:rsidTr="00FC1593">
        <w:tc>
          <w:tcPr>
            <w:tcW w:w="1108" w:type="pct"/>
          </w:tcPr>
          <w:p w14:paraId="3F32DBD1" w14:textId="77777777" w:rsidR="005625FB" w:rsidRPr="00CB5569" w:rsidRDefault="005625FB" w:rsidP="00183A58">
            <w:pPr>
              <w:tabs>
                <w:tab w:val="center" w:pos="284"/>
              </w:tabs>
              <w:ind w:left="266" w:hanging="266"/>
              <w:rPr>
                <w:b/>
              </w:rPr>
            </w:pPr>
            <w:r>
              <w:rPr>
                <w:b/>
              </w:rPr>
              <w:t>Referințe:</w:t>
            </w:r>
          </w:p>
        </w:tc>
        <w:tc>
          <w:tcPr>
            <w:tcW w:w="3892" w:type="pct"/>
          </w:tcPr>
          <w:p w14:paraId="1D27ADBB" w14:textId="73D296AD" w:rsidR="005625FB" w:rsidRPr="00CB5569" w:rsidRDefault="005625FB" w:rsidP="00183A58">
            <w:pPr>
              <w:tabs>
                <w:tab w:val="center" w:pos="284"/>
              </w:tabs>
              <w:ind w:left="266" w:hanging="266"/>
            </w:pPr>
            <w:r>
              <w:t>Aviz exploratoriu</w:t>
            </w:r>
            <w:r w:rsidR="00A327DB">
              <w:t xml:space="preserve"> </w:t>
            </w:r>
            <w:r w:rsidR="00A327DB" w:rsidRPr="00A327DB">
              <w:t>la solicitarea Comisiei Europene</w:t>
            </w:r>
          </w:p>
          <w:p w14:paraId="16409961" w14:textId="77777777" w:rsidR="005625FB" w:rsidRPr="00CB5569" w:rsidRDefault="005625FB" w:rsidP="00183A58">
            <w:pPr>
              <w:tabs>
                <w:tab w:val="center" w:pos="284"/>
              </w:tabs>
              <w:ind w:left="266" w:hanging="266"/>
            </w:pPr>
            <w:r>
              <w:t>EESC-2025-01402-00-00-AC</w:t>
            </w:r>
          </w:p>
        </w:tc>
      </w:tr>
    </w:tbl>
    <w:p w14:paraId="538A7E25" w14:textId="77777777" w:rsidR="005625FB" w:rsidRDefault="005625FB" w:rsidP="00183A58">
      <w:pPr>
        <w:keepNext/>
        <w:keepLines/>
        <w:tabs>
          <w:tab w:val="center" w:pos="284"/>
        </w:tabs>
        <w:ind w:left="266" w:hanging="266"/>
        <w:rPr>
          <w:b/>
        </w:rPr>
      </w:pPr>
    </w:p>
    <w:p w14:paraId="03164283" w14:textId="77777777" w:rsidR="005625FB" w:rsidRPr="00CB5569" w:rsidRDefault="005625FB" w:rsidP="00183A58">
      <w:pPr>
        <w:keepNext/>
        <w:keepLines/>
        <w:tabs>
          <w:tab w:val="center" w:pos="284"/>
        </w:tabs>
        <w:ind w:left="266" w:hanging="266"/>
        <w:rPr>
          <w:b/>
        </w:rPr>
      </w:pPr>
      <w:r>
        <w:rPr>
          <w:b/>
        </w:rPr>
        <w:t>Punctele principale:</w:t>
      </w:r>
    </w:p>
    <w:p w14:paraId="080252BE" w14:textId="77777777" w:rsidR="005625FB" w:rsidRPr="00014E49" w:rsidRDefault="005625FB" w:rsidP="00014E49">
      <w:pPr>
        <w:keepNext/>
        <w:keepLines/>
        <w:tabs>
          <w:tab w:val="center" w:pos="284"/>
        </w:tabs>
        <w:spacing w:line="240" w:lineRule="auto"/>
        <w:ind w:left="266" w:hanging="266"/>
        <w:rPr>
          <w:bCs/>
          <w:sz w:val="16"/>
          <w:szCs w:val="16"/>
        </w:rPr>
      </w:pPr>
    </w:p>
    <w:p w14:paraId="5C2CEA83" w14:textId="77777777" w:rsidR="005625FB" w:rsidRDefault="005625FB" w:rsidP="00183A58">
      <w:r>
        <w:t>CESE:</w:t>
      </w:r>
    </w:p>
    <w:p w14:paraId="422D89DC" w14:textId="77777777" w:rsidR="005625FB" w:rsidRPr="009234A4" w:rsidRDefault="005625FB" w:rsidP="005625FB">
      <w:pPr>
        <w:pStyle w:val="ListParagraph"/>
        <w:numPr>
          <w:ilvl w:val="0"/>
          <w:numId w:val="10"/>
        </w:numPr>
        <w:spacing w:line="276" w:lineRule="auto"/>
        <w:ind w:left="567" w:hanging="567"/>
      </w:pPr>
      <w:r>
        <w:t>este de acord cu nevoia unei revizuiri a legislației UE în vigoare pentru a se mări nivelul de simplificare, a se reduce costurile administrative și a se sprijini armonizarea în continuare a pieței unice;</w:t>
      </w:r>
    </w:p>
    <w:p w14:paraId="680E8527" w14:textId="77777777" w:rsidR="005625FB" w:rsidRPr="009234A4" w:rsidRDefault="005625FB" w:rsidP="005625FB">
      <w:pPr>
        <w:pStyle w:val="ListParagraph"/>
        <w:numPr>
          <w:ilvl w:val="0"/>
          <w:numId w:val="10"/>
        </w:numPr>
        <w:spacing w:line="276" w:lineRule="auto"/>
        <w:ind w:left="567" w:hanging="567"/>
      </w:pPr>
      <w:r>
        <w:t>consideră că o politică durabilă a UE în materie de achiziții publice poate să depășească paradigma limitată a disfuncționalităților pieței și astfel să permită achiziții publice strategice și orientate către bunăstarea publică, să consacre criteriile sociale, de inovare și de mediu ca obiective egale și să asigure accesul echitabil al operatorilor privați la achizițiile publice;</w:t>
      </w:r>
    </w:p>
    <w:p w14:paraId="101706E8" w14:textId="77777777" w:rsidR="005625FB" w:rsidRPr="00FC1593" w:rsidRDefault="005625FB" w:rsidP="005625FB">
      <w:pPr>
        <w:pStyle w:val="ListParagraph"/>
        <w:numPr>
          <w:ilvl w:val="0"/>
          <w:numId w:val="11"/>
        </w:numPr>
        <w:spacing w:line="276" w:lineRule="auto"/>
        <w:ind w:left="567" w:hanging="567"/>
      </w:pPr>
      <w:r>
        <w:t>consideră că contractele de achiziții trebuie atribuite pe baza criteriului celui mai mare avantaj economic, subliniind, în același timp, importanța criteriilor care nu au legătură cu prețul, cum ar fi considerațiile de calitate, inovare, mediu, durabilitate și dimensiune socială, cu precădere drepturile lucrătorilor și contractele colective de muncă;</w:t>
      </w:r>
    </w:p>
    <w:p w14:paraId="5E70AEAC" w14:textId="77777777" w:rsidR="005625FB" w:rsidRPr="00FC1593" w:rsidRDefault="005625FB" w:rsidP="005625FB">
      <w:pPr>
        <w:pStyle w:val="ListParagraph"/>
        <w:numPr>
          <w:ilvl w:val="0"/>
          <w:numId w:val="11"/>
        </w:numPr>
        <w:spacing w:line="276" w:lineRule="auto"/>
        <w:ind w:left="567" w:hanging="567"/>
      </w:pPr>
      <w:r>
        <w:t>solicită o abordare globală a politicilor privind serviciile de interes general;</w:t>
      </w:r>
    </w:p>
    <w:p w14:paraId="23E9E5C3" w14:textId="77777777" w:rsidR="005625FB" w:rsidRPr="00FC1593" w:rsidRDefault="005625FB" w:rsidP="005625FB">
      <w:pPr>
        <w:pStyle w:val="ListParagraph"/>
        <w:numPr>
          <w:ilvl w:val="0"/>
          <w:numId w:val="11"/>
        </w:numPr>
        <w:spacing w:line="276" w:lineRule="auto"/>
        <w:ind w:left="567" w:hanging="567"/>
      </w:pPr>
      <w:r>
        <w:t>este de părere că nu ar trebui să se atribuie contracte publice întreprinderilor care încalcă sistematic drepturile lucrătorilor sau contractele colective de muncă pe care sunt obligate să le respecte;</w:t>
      </w:r>
    </w:p>
    <w:p w14:paraId="5F20252E" w14:textId="77777777" w:rsidR="005625FB" w:rsidRPr="00FC1593" w:rsidRDefault="005625FB" w:rsidP="005625FB">
      <w:pPr>
        <w:pStyle w:val="ListParagraph"/>
        <w:numPr>
          <w:ilvl w:val="0"/>
          <w:numId w:val="11"/>
        </w:numPr>
        <w:spacing w:line="276" w:lineRule="auto"/>
        <w:ind w:left="567" w:hanging="567"/>
      </w:pPr>
      <w:r>
        <w:t>consideră că în cadrul revizuirii directivelor UE privind achizițiile publice ar trebui să se păstreze posibilitatea de utilizare a achizițiilor interne pentru entitățile juridice controlate de majoritate și posibilitatea de atribuire directă, cu condiția să se prevadă criterii juridice adecvate și să se reducă la minimum denaturarea concurenței;</w:t>
      </w:r>
    </w:p>
    <w:p w14:paraId="6F3F5084" w14:textId="77777777" w:rsidR="005625FB" w:rsidRPr="00FC1593" w:rsidRDefault="005625FB" w:rsidP="005625FB">
      <w:pPr>
        <w:pStyle w:val="ListParagraph"/>
        <w:numPr>
          <w:ilvl w:val="0"/>
          <w:numId w:val="11"/>
        </w:numPr>
        <w:spacing w:line="276" w:lineRule="auto"/>
        <w:ind w:left="567" w:hanging="567"/>
      </w:pPr>
      <w:r>
        <w:t>recomandă introducerea unei obligații legale de evaluare a efectelor pragurilor existente pentru contractele de servicii publice;</w:t>
      </w:r>
    </w:p>
    <w:p w14:paraId="6B00CCFD" w14:textId="77777777" w:rsidR="005625FB" w:rsidRPr="00FC1593" w:rsidRDefault="005625FB" w:rsidP="005625FB">
      <w:pPr>
        <w:pStyle w:val="ListParagraph"/>
        <w:numPr>
          <w:ilvl w:val="0"/>
          <w:numId w:val="11"/>
        </w:numPr>
        <w:spacing w:line="276" w:lineRule="auto"/>
        <w:ind w:left="567" w:hanging="567"/>
      </w:pPr>
      <w:r>
        <w:t xml:space="preserve">crede că achizițiile publice pot să vină în sprijinul unei Europe juste din punct de vedere social, durabile din punct de vedere ecologic și </w:t>
      </w:r>
      <w:proofErr w:type="spellStart"/>
      <w:r>
        <w:t>reziliente</w:t>
      </w:r>
      <w:proofErr w:type="spellEnd"/>
      <w:r>
        <w:t xml:space="preserve"> din punct de vedere economic, pentru binele comun;</w:t>
      </w:r>
    </w:p>
    <w:p w14:paraId="18C4FBA0" w14:textId="77777777" w:rsidR="005625FB" w:rsidRPr="009234A4" w:rsidRDefault="005625FB" w:rsidP="005625FB">
      <w:pPr>
        <w:pStyle w:val="ListParagraph"/>
        <w:numPr>
          <w:ilvl w:val="0"/>
          <w:numId w:val="11"/>
        </w:numPr>
        <w:spacing w:line="276" w:lineRule="auto"/>
        <w:ind w:left="567" w:hanging="567"/>
      </w:pPr>
      <w:r>
        <w:t>solicită introducerea obligatorie a unor clauze de revizuire a prețurilor, pentru a se ține seama de modificările salariale prevăzute în contractele colective de muncă și/sau în legislația muncii, de inflație și de alți factori relevanți, cum ar fi costurile energiei, care afectează executarea unui contract.</w:t>
      </w:r>
    </w:p>
    <w:p w14:paraId="57F5EA63" w14:textId="77777777" w:rsidR="005625FB" w:rsidRPr="00163218" w:rsidRDefault="005625FB" w:rsidP="00183A58">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199"/>
      </w:tblGrid>
      <w:tr w:rsidR="005625FB" w:rsidRPr="00A6689B" w14:paraId="0C1A7FEC" w14:textId="77777777" w:rsidTr="00014E49">
        <w:tc>
          <w:tcPr>
            <w:tcW w:w="1094" w:type="pct"/>
          </w:tcPr>
          <w:p w14:paraId="102DB9D3" w14:textId="77777777" w:rsidR="005625FB" w:rsidRPr="00A6689B" w:rsidRDefault="005625FB" w:rsidP="00183A58">
            <w:pPr>
              <w:spacing w:line="240" w:lineRule="auto"/>
              <w:rPr>
                <w:i/>
              </w:rPr>
            </w:pPr>
            <w:r>
              <w:rPr>
                <w:b/>
                <w:i/>
              </w:rPr>
              <w:t>Date de contact:</w:t>
            </w:r>
          </w:p>
        </w:tc>
        <w:tc>
          <w:tcPr>
            <w:tcW w:w="3906" w:type="pct"/>
          </w:tcPr>
          <w:p w14:paraId="453E8FAB" w14:textId="4705EB42" w:rsidR="005625FB" w:rsidRPr="00A6689B" w:rsidRDefault="005625FB" w:rsidP="00183A58">
            <w:pPr>
              <w:spacing w:line="240" w:lineRule="auto"/>
              <w:rPr>
                <w:i/>
              </w:rPr>
            </w:pPr>
            <w:proofErr w:type="spellStart"/>
            <w:r>
              <w:rPr>
                <w:i/>
              </w:rPr>
              <w:t>Annalisa</w:t>
            </w:r>
            <w:proofErr w:type="spellEnd"/>
            <w:r>
              <w:rPr>
                <w:i/>
              </w:rPr>
              <w:t xml:space="preserve"> </w:t>
            </w:r>
            <w:r w:rsidR="00103C59">
              <w:rPr>
                <w:i/>
              </w:rPr>
              <w:t>TESSAROLO</w:t>
            </w:r>
          </w:p>
        </w:tc>
      </w:tr>
      <w:tr w:rsidR="005625FB" w:rsidRPr="00A6689B" w14:paraId="50FECFDB" w14:textId="77777777" w:rsidTr="00014E49">
        <w:tc>
          <w:tcPr>
            <w:tcW w:w="1094" w:type="pct"/>
          </w:tcPr>
          <w:p w14:paraId="6FAA2A51" w14:textId="77777777" w:rsidR="005625FB" w:rsidRPr="00A6689B" w:rsidRDefault="005625FB" w:rsidP="00183A58">
            <w:pPr>
              <w:spacing w:line="240" w:lineRule="auto"/>
              <w:rPr>
                <w:i/>
              </w:rPr>
            </w:pPr>
            <w:r>
              <w:rPr>
                <w:i/>
              </w:rPr>
              <w:t>Tel.:</w:t>
            </w:r>
          </w:p>
        </w:tc>
        <w:tc>
          <w:tcPr>
            <w:tcW w:w="3906" w:type="pct"/>
          </w:tcPr>
          <w:p w14:paraId="6E265E5C" w14:textId="77777777" w:rsidR="005625FB" w:rsidRPr="00A6689B" w:rsidRDefault="005625FB" w:rsidP="00183A58">
            <w:pPr>
              <w:spacing w:line="240" w:lineRule="auto"/>
              <w:rPr>
                <w:i/>
              </w:rPr>
            </w:pPr>
            <w:r>
              <w:rPr>
                <w:i/>
              </w:rPr>
              <w:t>+ 32 25469732</w:t>
            </w:r>
          </w:p>
        </w:tc>
      </w:tr>
      <w:tr w:rsidR="005625FB" w:rsidRPr="00A6689B" w14:paraId="0F1E7DA5" w14:textId="77777777" w:rsidTr="00014E49">
        <w:tc>
          <w:tcPr>
            <w:tcW w:w="1094" w:type="pct"/>
          </w:tcPr>
          <w:p w14:paraId="5A78D5B4" w14:textId="77777777" w:rsidR="005625FB" w:rsidRPr="00A6689B" w:rsidRDefault="005625FB" w:rsidP="00183A58">
            <w:pPr>
              <w:spacing w:line="240" w:lineRule="auto"/>
              <w:rPr>
                <w:i/>
              </w:rPr>
            </w:pPr>
            <w:r>
              <w:rPr>
                <w:i/>
              </w:rPr>
              <w:t>E-mail:</w:t>
            </w:r>
          </w:p>
        </w:tc>
        <w:tc>
          <w:tcPr>
            <w:tcW w:w="3906" w:type="pct"/>
          </w:tcPr>
          <w:p w14:paraId="68AB4FBA" w14:textId="77777777" w:rsidR="005625FB" w:rsidRPr="00CB5569" w:rsidRDefault="00443888" w:rsidP="00183A58">
            <w:pPr>
              <w:spacing w:line="240" w:lineRule="auto"/>
              <w:rPr>
                <w:i/>
                <w:iCs/>
                <w:sz w:val="20"/>
              </w:rPr>
            </w:pPr>
            <w:hyperlink r:id="rId36" w:history="1">
              <w:r w:rsidR="005625FB">
                <w:rPr>
                  <w:rStyle w:val="Hyperlink"/>
                  <w:i/>
                  <w:sz w:val="20"/>
                </w:rPr>
                <w:t>Annalisa.Tessarolo@eesc.europa.eu</w:t>
              </w:r>
            </w:hyperlink>
          </w:p>
        </w:tc>
      </w:tr>
    </w:tbl>
    <w:p w14:paraId="1E327181" w14:textId="77777777" w:rsidR="00685A3A" w:rsidRDefault="00685A3A">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8" w:name="_Toc70322234"/>
      <w:bookmarkStart w:id="9" w:name="_Toc75527084"/>
      <w:bookmarkStart w:id="10" w:name="_Toc216795114"/>
      <w:r>
        <w:rPr>
          <w:b/>
        </w:rPr>
        <w:t>SECȚIUNEA PENTRU AGRICULTURĂ, DEZVOLTARE RURALĂ ȘI PROTECȚIA MEDIULUI</w:t>
      </w:r>
      <w:bookmarkEnd w:id="8"/>
      <w:bookmarkEnd w:id="9"/>
      <w:bookmarkEnd w:id="10"/>
    </w:p>
    <w:p w14:paraId="78EF2CF9" w14:textId="77777777" w:rsidR="005625FB" w:rsidRDefault="005625FB" w:rsidP="00F51B63">
      <w:pPr>
        <w:widowControl w:val="0"/>
        <w:jc w:val="center"/>
        <w:rPr>
          <w:bCs/>
          <w:iCs/>
        </w:rPr>
      </w:pPr>
      <w:r>
        <w:rPr>
          <w:noProof/>
          <w:sz w:val="20"/>
        </w:rPr>
        <mc:AlternateContent>
          <mc:Choice Requires="wps">
            <w:drawing>
              <wp:anchor distT="0" distB="0" distL="114300" distR="114300" simplePos="0" relativeHeight="251683840" behindDoc="1" locked="0" layoutInCell="0" allowOverlap="1" wp14:anchorId="26415F86" wp14:editId="34FA4D1B">
                <wp:simplePos x="0" y="0"/>
                <wp:positionH relativeFrom="page">
                  <wp:posOffset>6769100</wp:posOffset>
                </wp:positionH>
                <wp:positionV relativeFrom="page">
                  <wp:posOffset>10081260</wp:posOffset>
                </wp:positionV>
                <wp:extent cx="647700" cy="396240"/>
                <wp:effectExtent l="0" t="3810" r="3175"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BA6C" w14:textId="739DA664" w:rsidR="005625FB" w:rsidRPr="00103C59" w:rsidRDefault="005625FB">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15F86" id="_x0000_s1037" type="#_x0000_t202" style="position:absolute;left:0;text-align:left;margin-left:533pt;margin-top:793.8pt;width:51pt;height:3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a3AnzPYBAADPAwAADgAAAAAAAAAAAAAAAAAuAgAA&#10;ZHJzL2Uyb0RvYy54bWxQSwECLQAUAAYACAAAACEA61QxWt4AAAAPAQAADwAAAAAAAAAAAAAAAABQ&#10;BAAAZHJzL2Rvd25yZXYueG1sUEsFBgAAAAAEAAQA8wAAAFsFAAAAAA==&#10;" o:allowincell="f" filled="f" stroked="f">
                <v:textbox>
                  <w:txbxContent>
                    <w:p w14:paraId="687EBA6C" w14:textId="739DA664" w:rsidR="005625FB" w:rsidRPr="00103C59" w:rsidRDefault="005625FB">
                      <w:pPr>
                        <w:jc w:val="center"/>
                        <w:rPr>
                          <w:rFonts w:ascii="Arial" w:hAnsi="Arial" w:cs="Arial"/>
                          <w:b/>
                          <w:bCs/>
                          <w:color w:val="FFFFFF" w:themeColor="background1"/>
                          <w:sz w:val="48"/>
                        </w:rPr>
                      </w:pPr>
                    </w:p>
                  </w:txbxContent>
                </v:textbox>
                <w10:wrap anchorx="page" anchory="page"/>
              </v:shape>
            </w:pict>
          </mc:Fallback>
        </mc:AlternateContent>
      </w:r>
    </w:p>
    <w:p w14:paraId="0A9D52F5" w14:textId="65A3FD15" w:rsidR="005625FB" w:rsidRPr="00801D9D" w:rsidRDefault="00443888" w:rsidP="005625FB">
      <w:pPr>
        <w:widowControl w:val="0"/>
        <w:numPr>
          <w:ilvl w:val="0"/>
          <w:numId w:val="4"/>
        </w:numPr>
        <w:overflowPunct w:val="0"/>
        <w:autoSpaceDE w:val="0"/>
        <w:autoSpaceDN w:val="0"/>
        <w:adjustRightInd w:val="0"/>
        <w:ind w:hanging="567"/>
        <w:textAlignment w:val="baseline"/>
        <w:rPr>
          <w:b/>
        </w:rPr>
      </w:pPr>
      <w:hyperlink r:id="rId37" w:history="1">
        <w:r w:rsidR="005625FB">
          <w:rPr>
            <w:rStyle w:val="Hyperlink"/>
            <w:b/>
            <w:i/>
            <w:sz w:val="28"/>
          </w:rPr>
          <w:t>Modificarea Regulamentului (UE) 2023/1115 privind defrișările</w:t>
        </w:r>
      </w:hyperlink>
      <w:r w:rsidR="005625FB">
        <w:rPr>
          <w:b/>
          <w:i/>
          <w:sz w:val="28"/>
        </w:rPr>
        <w:t xml:space="preserve"> </w:t>
      </w:r>
    </w:p>
    <w:p w14:paraId="50843647" w14:textId="77777777" w:rsidR="005625FB" w:rsidRDefault="005625FB" w:rsidP="00801D9D">
      <w:pPr>
        <w:widowControl w:val="0"/>
        <w:ind w:left="266"/>
        <w:rPr>
          <w:b/>
          <w:bCs/>
          <w:i/>
          <w:iCs/>
          <w:sz w:val="28"/>
          <w:szCs w:val="28"/>
        </w:rPr>
      </w:pPr>
    </w:p>
    <w:p w14:paraId="7B232140" w14:textId="77777777" w:rsidR="005625FB" w:rsidRPr="00801D9D" w:rsidRDefault="005625FB" w:rsidP="00801D9D">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5625FB" w:rsidRPr="00A6689B" w14:paraId="0157B4D9" w14:textId="77777777" w:rsidTr="00F51B63">
        <w:tc>
          <w:tcPr>
            <w:tcW w:w="1077" w:type="pct"/>
            <w:vMerge w:val="restart"/>
          </w:tcPr>
          <w:p w14:paraId="0DBF7DD4" w14:textId="77777777" w:rsidR="005625FB" w:rsidRPr="00A6689B" w:rsidRDefault="005625FB" w:rsidP="00F51B63">
            <w:pPr>
              <w:tabs>
                <w:tab w:val="center" w:pos="284"/>
              </w:tabs>
              <w:ind w:left="266" w:hanging="266"/>
              <w:rPr>
                <w:b/>
              </w:rPr>
            </w:pPr>
            <w:r>
              <w:rPr>
                <w:b/>
              </w:rPr>
              <w:t>Referințe:</w:t>
            </w:r>
          </w:p>
        </w:tc>
        <w:tc>
          <w:tcPr>
            <w:tcW w:w="3923" w:type="pct"/>
          </w:tcPr>
          <w:p w14:paraId="5B9E8685" w14:textId="49ED81B7" w:rsidR="005625FB" w:rsidRDefault="005625FB" w:rsidP="00F51B63">
            <w:pPr>
              <w:tabs>
                <w:tab w:val="center" w:pos="284"/>
              </w:tabs>
              <w:ind w:left="266" w:right="-3091" w:hanging="266"/>
            </w:pPr>
            <w:r>
              <w:t xml:space="preserve">Aviz de categoria C </w:t>
            </w:r>
          </w:p>
          <w:p w14:paraId="064ADEF3" w14:textId="75A1CF67" w:rsidR="005625FB" w:rsidRPr="00A6689B" w:rsidRDefault="005625FB" w:rsidP="00F51B63">
            <w:pPr>
              <w:tabs>
                <w:tab w:val="center" w:pos="284"/>
              </w:tabs>
              <w:ind w:left="266" w:right="-3091" w:hanging="266"/>
            </w:pPr>
            <w:r>
              <w:t>COM(2025) 652 final</w:t>
            </w:r>
          </w:p>
        </w:tc>
      </w:tr>
      <w:tr w:rsidR="005625FB" w:rsidRPr="00A6689B" w14:paraId="41938985" w14:textId="77777777" w:rsidTr="00F51B63">
        <w:tc>
          <w:tcPr>
            <w:tcW w:w="1077" w:type="pct"/>
            <w:vMerge/>
          </w:tcPr>
          <w:p w14:paraId="1CC18E86" w14:textId="77777777" w:rsidR="005625FB" w:rsidRPr="00A6689B" w:rsidRDefault="005625FB" w:rsidP="00F51B63">
            <w:pPr>
              <w:tabs>
                <w:tab w:val="center" w:pos="284"/>
              </w:tabs>
              <w:ind w:left="266" w:hanging="266"/>
              <w:rPr>
                <w:b/>
                <w:lang w:val="en-US"/>
              </w:rPr>
            </w:pPr>
          </w:p>
        </w:tc>
        <w:tc>
          <w:tcPr>
            <w:tcW w:w="3923" w:type="pct"/>
          </w:tcPr>
          <w:p w14:paraId="48856C2B" w14:textId="77777777" w:rsidR="005625FB" w:rsidRPr="00A6689B" w:rsidRDefault="005625FB" w:rsidP="00F51B63">
            <w:pPr>
              <w:tabs>
                <w:tab w:val="center" w:pos="284"/>
              </w:tabs>
              <w:ind w:left="266" w:right="-3091" w:hanging="266"/>
            </w:pPr>
            <w:r>
              <w:t>EESC-2025-03869-00-00-AC-TRA</w:t>
            </w:r>
          </w:p>
        </w:tc>
      </w:tr>
    </w:tbl>
    <w:p w14:paraId="540F9805" w14:textId="77777777" w:rsidR="005625FB" w:rsidRDefault="005625FB" w:rsidP="00F51B63">
      <w:pPr>
        <w:tabs>
          <w:tab w:val="center" w:pos="284"/>
        </w:tabs>
        <w:ind w:left="266" w:hanging="266"/>
        <w:rPr>
          <w:b/>
        </w:rPr>
      </w:pPr>
    </w:p>
    <w:p w14:paraId="7547D673" w14:textId="5F30F115" w:rsidR="005625FB" w:rsidRPr="00A6689B" w:rsidRDefault="005625FB" w:rsidP="00F51B63">
      <w:pPr>
        <w:keepNext/>
        <w:keepLines/>
        <w:tabs>
          <w:tab w:val="center" w:pos="284"/>
        </w:tabs>
        <w:ind w:left="266" w:hanging="266"/>
        <w:rPr>
          <w:b/>
        </w:rPr>
      </w:pPr>
      <w:r>
        <w:rPr>
          <w:b/>
        </w:rPr>
        <w:t>Punctele principale</w:t>
      </w:r>
      <w:r w:rsidR="00103C59">
        <w:rPr>
          <w:b/>
        </w:rPr>
        <w:t>:</w:t>
      </w:r>
    </w:p>
    <w:p w14:paraId="5FFAE36D" w14:textId="77777777" w:rsidR="005625FB" w:rsidRPr="00A6689B" w:rsidRDefault="005625FB" w:rsidP="00F51B63">
      <w:pPr>
        <w:keepNext/>
        <w:keepLines/>
        <w:tabs>
          <w:tab w:val="center" w:pos="284"/>
        </w:tabs>
        <w:ind w:left="266" w:hanging="266"/>
        <w:rPr>
          <w:b/>
        </w:rPr>
      </w:pPr>
    </w:p>
    <w:p w14:paraId="36F3AAEF" w14:textId="77777777" w:rsidR="005625FB" w:rsidRDefault="005625FB" w:rsidP="00F51B63">
      <w:pPr>
        <w:rPr>
          <w:bCs/>
          <w:iCs/>
        </w:rPr>
      </w:pPr>
      <w:r>
        <w:t>CESE:</w:t>
      </w:r>
    </w:p>
    <w:p w14:paraId="3CF1609A" w14:textId="77777777" w:rsidR="005625FB" w:rsidRPr="00A6689B" w:rsidRDefault="005625FB" w:rsidP="00F51B63">
      <w:pPr>
        <w:rPr>
          <w:bCs/>
          <w:iCs/>
        </w:rPr>
      </w:pPr>
    </w:p>
    <w:p w14:paraId="1313BC41" w14:textId="77777777" w:rsidR="005625FB" w:rsidRPr="00A6689B" w:rsidRDefault="005625FB" w:rsidP="005625FB">
      <w:pPr>
        <w:widowControl w:val="0"/>
        <w:numPr>
          <w:ilvl w:val="0"/>
          <w:numId w:val="4"/>
        </w:numPr>
        <w:overflowPunct w:val="0"/>
        <w:autoSpaceDE w:val="0"/>
        <w:autoSpaceDN w:val="0"/>
        <w:adjustRightInd w:val="0"/>
        <w:ind w:hanging="567"/>
        <w:textAlignment w:val="baseline"/>
        <w:rPr>
          <w:bCs/>
          <w:iCs/>
        </w:rPr>
      </w:pPr>
      <w:r>
        <w:t>s-a pronunțat deja cu privire la conținutul propunerii respective în avizele sale EESC-2024-01183-00-00-AC-TRA, adoptat la 19/9/2024</w:t>
      </w:r>
      <w:r w:rsidRPr="004B31EB">
        <w:rPr>
          <w:rStyle w:val="FootnoteReference"/>
          <w:sz w:val="18"/>
          <w:szCs w:val="14"/>
        </w:rPr>
        <w:footnoteReference w:id="5"/>
      </w:r>
      <w:r>
        <w:t>, și, respectiv, EESC-2021-05690-00-00-AC-TRA, adoptat la 23/2/2022</w:t>
      </w:r>
      <w:r w:rsidRPr="004B31EB">
        <w:rPr>
          <w:rStyle w:val="FootnoteReference"/>
          <w:sz w:val="18"/>
          <w:szCs w:val="14"/>
        </w:rPr>
        <w:footnoteReference w:id="6"/>
      </w:r>
      <w:r>
        <w:t>, și a hotărât să nu elaboreze un nou aviz pe această temă, ci să facă trimitere la poziția adoptată în documentele menționate anterior.</w:t>
      </w:r>
    </w:p>
    <w:p w14:paraId="7729C7F3" w14:textId="77777777" w:rsidR="005625FB" w:rsidRPr="00EE75BE" w:rsidRDefault="005625FB" w:rsidP="007E12F2">
      <w:pPr>
        <w:widowControl w:val="0"/>
        <w:ind w:left="567"/>
        <w:rPr>
          <w:rFonts w:asciiTheme="minorHAnsi" w:hAnsiTheme="minorHAnsi"/>
        </w:rPr>
      </w:pPr>
    </w:p>
    <w:p w14:paraId="18E8BA47" w14:textId="77777777" w:rsidR="005625FB" w:rsidRPr="000624A9" w:rsidRDefault="005625FB" w:rsidP="00F51B63">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7230"/>
      </w:tblGrid>
      <w:tr w:rsidR="005625FB" w:rsidRPr="00A6689B" w14:paraId="3A3C55DF" w14:textId="77777777" w:rsidTr="007E12F2">
        <w:tc>
          <w:tcPr>
            <w:tcW w:w="1078" w:type="pct"/>
          </w:tcPr>
          <w:p w14:paraId="333EF928" w14:textId="77777777" w:rsidR="005625FB" w:rsidRPr="00A6689B" w:rsidRDefault="005625FB" w:rsidP="007E12F2">
            <w:pPr>
              <w:rPr>
                <w:i/>
              </w:rPr>
            </w:pPr>
            <w:r>
              <w:rPr>
                <w:b/>
                <w:i/>
              </w:rPr>
              <w:t>Date de contact:</w:t>
            </w:r>
          </w:p>
        </w:tc>
        <w:tc>
          <w:tcPr>
            <w:tcW w:w="3922" w:type="pct"/>
          </w:tcPr>
          <w:p w14:paraId="11E93253" w14:textId="77777777" w:rsidR="005625FB" w:rsidRPr="00A6689B" w:rsidRDefault="005625FB" w:rsidP="007E12F2">
            <w:pPr>
              <w:rPr>
                <w:i/>
              </w:rPr>
            </w:pPr>
            <w:proofErr w:type="spellStart"/>
            <w:r>
              <w:rPr>
                <w:i/>
              </w:rPr>
              <w:t>Martine</w:t>
            </w:r>
            <w:proofErr w:type="spellEnd"/>
            <w:r>
              <w:rPr>
                <w:i/>
              </w:rPr>
              <w:t xml:space="preserve"> DELANOY</w:t>
            </w:r>
          </w:p>
        </w:tc>
      </w:tr>
      <w:tr w:rsidR="005625FB" w:rsidRPr="00A6689B" w14:paraId="087DFE0D" w14:textId="77777777" w:rsidTr="007E12F2">
        <w:tc>
          <w:tcPr>
            <w:tcW w:w="1078" w:type="pct"/>
          </w:tcPr>
          <w:p w14:paraId="37B71CEF" w14:textId="77777777" w:rsidR="005625FB" w:rsidRPr="00A6689B" w:rsidRDefault="005625FB" w:rsidP="007E12F2">
            <w:pPr>
              <w:rPr>
                <w:i/>
              </w:rPr>
            </w:pPr>
            <w:r>
              <w:rPr>
                <w:i/>
              </w:rPr>
              <w:t>Tel.:</w:t>
            </w:r>
          </w:p>
        </w:tc>
        <w:tc>
          <w:tcPr>
            <w:tcW w:w="3922" w:type="pct"/>
          </w:tcPr>
          <w:p w14:paraId="06DDDD43" w14:textId="77777777" w:rsidR="005625FB" w:rsidRPr="00A6689B" w:rsidRDefault="005625FB" w:rsidP="007E12F2">
            <w:pPr>
              <w:rPr>
                <w:i/>
              </w:rPr>
            </w:pPr>
            <w:r>
              <w:rPr>
                <w:i/>
              </w:rPr>
              <w:t>+32 25469</w:t>
            </w:r>
            <w:r>
              <w:t>802</w:t>
            </w:r>
          </w:p>
        </w:tc>
      </w:tr>
      <w:tr w:rsidR="005625FB" w:rsidRPr="00A6689B" w14:paraId="5E58FDF5" w14:textId="77777777" w:rsidTr="007E12F2">
        <w:tc>
          <w:tcPr>
            <w:tcW w:w="1078" w:type="pct"/>
          </w:tcPr>
          <w:p w14:paraId="648800BA" w14:textId="77777777" w:rsidR="005625FB" w:rsidRPr="00A6689B" w:rsidRDefault="005625FB" w:rsidP="007E12F2">
            <w:pPr>
              <w:rPr>
                <w:i/>
              </w:rPr>
            </w:pPr>
            <w:r>
              <w:rPr>
                <w:i/>
              </w:rPr>
              <w:t>E-mail:</w:t>
            </w:r>
          </w:p>
        </w:tc>
        <w:tc>
          <w:tcPr>
            <w:tcW w:w="3922" w:type="pct"/>
          </w:tcPr>
          <w:p w14:paraId="5090CEC3" w14:textId="77777777" w:rsidR="005625FB" w:rsidRPr="00A6689B" w:rsidRDefault="00443888" w:rsidP="007E12F2">
            <w:pPr>
              <w:rPr>
                <w:i/>
              </w:rPr>
            </w:pPr>
            <w:hyperlink r:id="rId38" w:history="1">
              <w:r w:rsidR="005625FB">
                <w:rPr>
                  <w:rStyle w:val="Hyperlink"/>
                  <w:i/>
                </w:rPr>
                <w:t>Martine.Delanoy@eesc.europa.eu</w:t>
              </w:r>
            </w:hyperlink>
          </w:p>
        </w:tc>
      </w:tr>
    </w:tbl>
    <w:p w14:paraId="17138828" w14:textId="77777777" w:rsidR="005625FB" w:rsidRPr="00F5568E" w:rsidRDefault="005625FB" w:rsidP="00F51B63">
      <w:pPr>
        <w:jc w:val="center"/>
        <w:rPr>
          <w:lang w:val="en-US"/>
        </w:rPr>
      </w:pPr>
    </w:p>
    <w:p w14:paraId="7B893721" w14:textId="77777777" w:rsidR="00673B8C" w:rsidRDefault="00673B8C">
      <w:pPr>
        <w:spacing w:after="160" w:line="259" w:lineRule="auto"/>
        <w:jc w:val="left"/>
      </w:pPr>
    </w:p>
    <w:p w14:paraId="336191D8" w14:textId="77777777" w:rsidR="005625FB" w:rsidRPr="005625FB" w:rsidRDefault="007F5784" w:rsidP="005625FB">
      <w:pPr>
        <w:widowControl w:val="0"/>
        <w:numPr>
          <w:ilvl w:val="0"/>
          <w:numId w:val="12"/>
        </w:numPr>
        <w:overflowPunct w:val="0"/>
        <w:autoSpaceDE w:val="0"/>
        <w:autoSpaceDN w:val="0"/>
        <w:adjustRightInd w:val="0"/>
        <w:ind w:left="567" w:hanging="567"/>
        <w:rPr>
          <w:sz w:val="20"/>
          <w:szCs w:val="20"/>
        </w:rPr>
      </w:pPr>
      <w:r>
        <w:br w:type="page"/>
      </w:r>
    </w:p>
    <w:p w14:paraId="560B39D8" w14:textId="77777777" w:rsidR="005625FB" w:rsidRDefault="005625FB" w:rsidP="00C51CCB">
      <w:pPr>
        <w:widowControl w:val="0"/>
        <w:spacing w:line="240" w:lineRule="auto"/>
        <w:jc w:val="center"/>
        <w:rPr>
          <w:bCs/>
          <w:iCs/>
        </w:rPr>
      </w:pPr>
      <w:r>
        <w:rPr>
          <w:noProof/>
          <w:sz w:val="20"/>
        </w:rPr>
        <w:lastRenderedPageBreak/>
        <mc:AlternateContent>
          <mc:Choice Requires="wps">
            <w:drawing>
              <wp:anchor distT="0" distB="0" distL="114300" distR="114300" simplePos="0" relativeHeight="251685888" behindDoc="1" locked="0" layoutInCell="0" allowOverlap="1" wp14:anchorId="475BE6C5" wp14:editId="2BB0F640">
                <wp:simplePos x="0" y="0"/>
                <wp:positionH relativeFrom="page">
                  <wp:posOffset>6769100</wp:posOffset>
                </wp:positionH>
                <wp:positionV relativeFrom="page">
                  <wp:posOffset>10081260</wp:posOffset>
                </wp:positionV>
                <wp:extent cx="647700" cy="396240"/>
                <wp:effectExtent l="0" t="3810" r="3175"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9B0E" w14:textId="0D4E9D50" w:rsidR="005625FB" w:rsidRPr="00DF62FF" w:rsidRDefault="005625FB">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BE6C5" id="_x0000_s1038" type="#_x0000_t202" style="position:absolute;left:0;text-align:left;margin-left:533pt;margin-top:793.8pt;width:51pt;height:3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RTOACfYBAADPAwAADgAAAAAAAAAAAAAAAAAuAgAA&#10;ZHJzL2Uyb0RvYy54bWxQSwECLQAUAAYACAAAACEA61QxWt4AAAAPAQAADwAAAAAAAAAAAAAAAABQ&#10;BAAAZHJzL2Rvd25yZXYueG1sUEsFBgAAAAAEAAQA8wAAAFsFAAAAAA==&#10;" o:allowincell="f" filled="f" stroked="f">
                <v:textbox>
                  <w:txbxContent>
                    <w:p w14:paraId="551B9B0E" w14:textId="0D4E9D50" w:rsidR="005625FB" w:rsidRPr="00DF62FF" w:rsidRDefault="005625FB">
                      <w:pPr>
                        <w:jc w:val="center"/>
                        <w:rPr>
                          <w:rFonts w:ascii="Arial" w:hAnsi="Arial" w:cs="Arial"/>
                          <w:b/>
                          <w:bCs/>
                          <w:color w:val="FFFFFF" w:themeColor="background1"/>
                          <w:sz w:val="48"/>
                        </w:rPr>
                      </w:pPr>
                    </w:p>
                  </w:txbxContent>
                </v:textbox>
                <w10:wrap anchorx="page" anchory="page"/>
              </v:shape>
            </w:pict>
          </mc:Fallback>
        </mc:AlternateContent>
      </w:r>
    </w:p>
    <w:p w14:paraId="07B6F09C" w14:textId="7683E650" w:rsidR="005625FB" w:rsidRPr="0003586F" w:rsidRDefault="00443888" w:rsidP="005625FB">
      <w:pPr>
        <w:widowControl w:val="0"/>
        <w:numPr>
          <w:ilvl w:val="0"/>
          <w:numId w:val="17"/>
        </w:numPr>
        <w:overflowPunct w:val="0"/>
        <w:autoSpaceDE w:val="0"/>
        <w:autoSpaceDN w:val="0"/>
        <w:adjustRightInd w:val="0"/>
        <w:ind w:left="567" w:hanging="567"/>
        <w:textAlignment w:val="baseline"/>
        <w:rPr>
          <w:sz w:val="20"/>
        </w:rPr>
      </w:pPr>
      <w:hyperlink r:id="rId39">
        <w:r w:rsidR="005625FB">
          <w:rPr>
            <w:rStyle w:val="Hyperlink"/>
            <w:b/>
            <w:i/>
            <w:sz w:val="28"/>
          </w:rPr>
          <w:t>Revizuirea mecanismului de protecție civilă al Uniunii</w:t>
        </w:r>
      </w:hyperlink>
    </w:p>
    <w:p w14:paraId="10393BAF" w14:textId="77777777" w:rsidR="005625FB" w:rsidRPr="00DF62FF" w:rsidRDefault="005625FB" w:rsidP="00DF62FF">
      <w:pPr>
        <w:tabs>
          <w:tab w:val="center" w:pos="284"/>
        </w:tabs>
        <w:spacing w:line="240" w:lineRule="auto"/>
        <w:ind w:left="266" w:hanging="266"/>
        <w:rPr>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5625FB" w:rsidRPr="00A6689B" w14:paraId="632BD96E" w14:textId="77777777" w:rsidTr="00F51B63">
        <w:tc>
          <w:tcPr>
            <w:tcW w:w="1077" w:type="pct"/>
          </w:tcPr>
          <w:p w14:paraId="7EB36616" w14:textId="77777777" w:rsidR="005625FB" w:rsidRPr="00A6689B" w:rsidRDefault="005625FB" w:rsidP="00F51B63">
            <w:pPr>
              <w:tabs>
                <w:tab w:val="center" w:pos="284"/>
              </w:tabs>
              <w:ind w:left="266" w:hanging="266"/>
              <w:rPr>
                <w:b/>
              </w:rPr>
            </w:pPr>
            <w:r>
              <w:rPr>
                <w:b/>
                <w:bCs/>
              </w:rPr>
              <w:t>Raportor:</w:t>
            </w:r>
          </w:p>
        </w:tc>
        <w:tc>
          <w:tcPr>
            <w:tcW w:w="3923" w:type="pct"/>
          </w:tcPr>
          <w:p w14:paraId="43605F11" w14:textId="6EB70ED4" w:rsidR="005625FB" w:rsidRPr="00A6689B" w:rsidRDefault="005625FB" w:rsidP="00F51B63">
            <w:pPr>
              <w:tabs>
                <w:tab w:val="center" w:pos="284"/>
              </w:tabs>
              <w:ind w:left="266" w:right="-3091" w:hanging="266"/>
            </w:pPr>
            <w:r>
              <w:t>Florian MARIN</w:t>
            </w:r>
            <w:r w:rsidR="000D6B77">
              <w:t xml:space="preserve"> </w:t>
            </w:r>
            <w:r w:rsidR="000D6B77" w:rsidRPr="000D6B77">
              <w:t>(Grupul „Lucrători”</w:t>
            </w:r>
            <w:r w:rsidR="000D6B77">
              <w:t>–</w:t>
            </w:r>
            <w:r w:rsidR="000D6B77" w:rsidRPr="000D6B77">
              <w:t xml:space="preserve"> RO)</w:t>
            </w:r>
          </w:p>
        </w:tc>
      </w:tr>
      <w:tr w:rsidR="005625FB" w:rsidRPr="00A6689B" w14:paraId="245EBE81" w14:textId="77777777" w:rsidTr="00F51B63">
        <w:tc>
          <w:tcPr>
            <w:tcW w:w="1077" w:type="pct"/>
          </w:tcPr>
          <w:p w14:paraId="24412B07" w14:textId="77777777" w:rsidR="005625FB" w:rsidRPr="00A6689B" w:rsidRDefault="005625FB" w:rsidP="00F51B63">
            <w:pPr>
              <w:tabs>
                <w:tab w:val="center" w:pos="284"/>
              </w:tabs>
              <w:ind w:left="266" w:hanging="266"/>
              <w:rPr>
                <w:b/>
              </w:rPr>
            </w:pPr>
            <w:r>
              <w:rPr>
                <w:b/>
              </w:rPr>
              <w:t>Referință:</w:t>
            </w:r>
          </w:p>
        </w:tc>
        <w:tc>
          <w:tcPr>
            <w:tcW w:w="3923" w:type="pct"/>
          </w:tcPr>
          <w:p w14:paraId="063AD7E6" w14:textId="77777777" w:rsidR="00D212BF" w:rsidRDefault="00D212BF" w:rsidP="00F51B63">
            <w:pPr>
              <w:tabs>
                <w:tab w:val="center" w:pos="284"/>
              </w:tabs>
              <w:ind w:left="266" w:right="-3091" w:hanging="266"/>
            </w:pPr>
            <w:r>
              <w:rPr>
                <w:lang w:val="en-GB"/>
              </w:rPr>
              <w:t>COM(2025) 548 final</w:t>
            </w:r>
            <w:r>
              <w:t xml:space="preserve"> </w:t>
            </w:r>
          </w:p>
          <w:p w14:paraId="731C6BC1" w14:textId="3FE318CA" w:rsidR="005625FB" w:rsidRPr="00A6689B" w:rsidRDefault="005625FB" w:rsidP="00F51B63">
            <w:pPr>
              <w:tabs>
                <w:tab w:val="center" w:pos="284"/>
              </w:tabs>
              <w:ind w:left="266" w:right="-3091" w:hanging="266"/>
            </w:pPr>
            <w:r>
              <w:t>EESC-2025-03573-00-00-AC</w:t>
            </w:r>
          </w:p>
        </w:tc>
      </w:tr>
    </w:tbl>
    <w:p w14:paraId="61BF2A36" w14:textId="77777777" w:rsidR="005625FB" w:rsidRPr="00DF62FF" w:rsidRDefault="005625FB" w:rsidP="00DF62FF">
      <w:pPr>
        <w:tabs>
          <w:tab w:val="center" w:pos="284"/>
        </w:tabs>
        <w:spacing w:line="240" w:lineRule="auto"/>
        <w:ind w:left="266" w:hanging="266"/>
        <w:rPr>
          <w:b/>
          <w:sz w:val="20"/>
          <w:szCs w:val="20"/>
        </w:rPr>
      </w:pPr>
    </w:p>
    <w:p w14:paraId="7DC3412A" w14:textId="5FB71287" w:rsidR="005625FB" w:rsidRPr="00A6689B" w:rsidRDefault="005625FB" w:rsidP="00DF62FF">
      <w:pPr>
        <w:keepNext/>
        <w:keepLines/>
        <w:tabs>
          <w:tab w:val="center" w:pos="284"/>
          <w:tab w:val="left" w:pos="2241"/>
        </w:tabs>
        <w:ind w:left="266" w:hanging="266"/>
        <w:rPr>
          <w:b/>
        </w:rPr>
      </w:pPr>
      <w:r>
        <w:rPr>
          <w:b/>
        </w:rPr>
        <w:t>Punctele principale</w:t>
      </w:r>
      <w:r w:rsidR="00DF62FF">
        <w:rPr>
          <w:b/>
        </w:rPr>
        <w:t xml:space="preserve">: </w:t>
      </w:r>
    </w:p>
    <w:p w14:paraId="46A7E982" w14:textId="77777777" w:rsidR="005625FB" w:rsidRPr="00DF62FF" w:rsidRDefault="005625FB" w:rsidP="00DF62FF">
      <w:pPr>
        <w:keepNext/>
        <w:keepLines/>
        <w:tabs>
          <w:tab w:val="center" w:pos="284"/>
        </w:tabs>
        <w:spacing w:line="240" w:lineRule="auto"/>
        <w:ind w:left="266" w:hanging="266"/>
        <w:rPr>
          <w:b/>
          <w:sz w:val="20"/>
          <w:szCs w:val="20"/>
        </w:rPr>
      </w:pPr>
    </w:p>
    <w:p w14:paraId="32B606CE" w14:textId="77777777" w:rsidR="005625FB" w:rsidRPr="00A6689B" w:rsidRDefault="005625FB" w:rsidP="182E22E7">
      <w:r>
        <w:t>CESE recomandă:</w:t>
      </w:r>
    </w:p>
    <w:p w14:paraId="0C2FD9DE"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mai multă ambiție în termeni de abordare a chestiunii reducerii și prevenirii riscurilor de dezastre, în loc ca accentul să fie pus mai ales pe capacități de răspuns. Instituirea unui mecanism eficient și integrat de protecție civilă al Uniunii (UCPM) trebuie să includă un </w:t>
      </w:r>
      <w:r>
        <w:rPr>
          <w:b/>
        </w:rPr>
        <w:t>cadru cuprinzător pentru politicile de reducere a riscurilor</w:t>
      </w:r>
      <w:r>
        <w:t xml:space="preserve"> în întreaga UE și un accent sporit pe prevenirea dezastrelor </w:t>
      </w:r>
      <w:proofErr w:type="spellStart"/>
      <w:r>
        <w:rPr>
          <w:b/>
        </w:rPr>
        <w:t>transsectoriale</w:t>
      </w:r>
      <w:proofErr w:type="spellEnd"/>
      <w:r>
        <w:rPr>
          <w:b/>
        </w:rPr>
        <w:t xml:space="preserve"> și transfrontaliere</w:t>
      </w:r>
      <w:r>
        <w:t>, toate acestea fiind puse în aplicare în cadrul unui sistem global de gestionare a riscurilor;</w:t>
      </w:r>
    </w:p>
    <w:p w14:paraId="22C5C2A3"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rPr>
          <w:b/>
        </w:rPr>
        <w:t>să se reducă sarcinile administrative</w:t>
      </w:r>
      <w:r>
        <w:t xml:space="preserve">, să fie eliminate suprapunerile și actualizate datele și sistemele de sprijin inadecvate, suplimentând resursele umane instruite și investițiile în capacități interoperabile bazate pe standarde comune și pe parcursuri de formare, asigurând totodată </w:t>
      </w:r>
      <w:r>
        <w:rPr>
          <w:b/>
        </w:rPr>
        <w:t>condiții de muncă de înaltă calitate</w:t>
      </w:r>
      <w:r>
        <w:t xml:space="preserve"> ca premise pentru a consolida reziliența societății în cadrul unei abordări a crizelor la nivelul întregii societăți;</w:t>
      </w:r>
    </w:p>
    <w:p w14:paraId="17C8A868"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fie </w:t>
      </w:r>
      <w:r>
        <w:rPr>
          <w:b/>
        </w:rPr>
        <w:t>mai bine anticipate și înțelese</w:t>
      </w:r>
      <w:r>
        <w:t xml:space="preserve"> dezastrele și crizele, ținând seama totodată de rolul propagandei și al dezinformării în amplificarea stresului social;</w:t>
      </w:r>
    </w:p>
    <w:p w14:paraId="07F1524F"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fie consolidat UCPM prin </w:t>
      </w:r>
      <w:r>
        <w:rPr>
          <w:b/>
        </w:rPr>
        <w:t>finanțare suplimentară</w:t>
      </w:r>
      <w:r>
        <w:t xml:space="preserve">, în special cu privire la grupurile și regiunile vulnerabile, inclusiv regiunile </w:t>
      </w:r>
      <w:proofErr w:type="spellStart"/>
      <w:r>
        <w:t>ultraperiferice</w:t>
      </w:r>
      <w:proofErr w:type="spellEnd"/>
      <w:r>
        <w:t xml:space="preserve"> și regiunile din proximitatea războiului;</w:t>
      </w:r>
    </w:p>
    <w:p w14:paraId="4FEF60D6"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se asigure </w:t>
      </w:r>
      <w:r>
        <w:rPr>
          <w:b/>
        </w:rPr>
        <w:t>coerența cu planurile de parteneriat național și regional</w:t>
      </w:r>
      <w:r>
        <w:t xml:space="preserve"> (PPNR) propuse pentru perioada de programare 2028-2034;</w:t>
      </w:r>
    </w:p>
    <w:p w14:paraId="2D62DE2A"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să fie promovate</w:t>
      </w:r>
      <w:r>
        <w:rPr>
          <w:b/>
        </w:rPr>
        <w:t xml:space="preserve"> complementarități mai mari</w:t>
      </w:r>
      <w:r>
        <w:t xml:space="preserve"> între instrumentele existente, cum ar fi Acțiunea pentru securitatea Europei, Corpul european de solidaritate și UCPM;</w:t>
      </w:r>
    </w:p>
    <w:p w14:paraId="44F1C4BA"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se asigure o </w:t>
      </w:r>
      <w:r>
        <w:rPr>
          <w:b/>
        </w:rPr>
        <w:t>finanțare suficientă și stabilă pentru pompierii profesioniști și personalul medical</w:t>
      </w:r>
      <w:r>
        <w:t xml:space="preserve"> pentru a menține eficiența și răspunsul rapid în cadrul UCPM, consolidând în același timp rolul voluntarilor;</w:t>
      </w:r>
    </w:p>
    <w:p w14:paraId="0A14FAC0"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ca</w:t>
      </w:r>
      <w:r>
        <w:rPr>
          <w:b/>
        </w:rPr>
        <w:t xml:space="preserve"> UCPM să se bazeze pe flexibilitate</w:t>
      </w:r>
      <w:r>
        <w:t xml:space="preserve">, pentru a respecta diversitatea sistemelor naționale de gestionare a dezastrelor, </w:t>
      </w:r>
      <w:r>
        <w:rPr>
          <w:b/>
        </w:rPr>
        <w:t>asigurând totodată cooperarea și coordonarea transfrontalieră</w:t>
      </w:r>
      <w:r>
        <w:t xml:space="preserve"> pentru un răspuns prompt și eficace la dezastrele care nu cunosc frontiere, cu implicarea deplină a societății civile organizate;</w:t>
      </w:r>
    </w:p>
    <w:p w14:paraId="61E44FCB"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fie adaptate normele pentru achiziții publice pentru a </w:t>
      </w:r>
      <w:r>
        <w:rPr>
          <w:b/>
        </w:rPr>
        <w:t>garanta furnizarea rapidă și eficace de bunuri și servicii critice</w:t>
      </w:r>
      <w:r>
        <w:t xml:space="preserve"> în perioade de criză;</w:t>
      </w:r>
    </w:p>
    <w:p w14:paraId="0ED619DB" w14:textId="77777777" w:rsidR="005625FB" w:rsidRDefault="005625FB" w:rsidP="005625FB">
      <w:pPr>
        <w:widowControl w:val="0"/>
        <w:numPr>
          <w:ilvl w:val="0"/>
          <w:numId w:val="17"/>
        </w:numPr>
        <w:overflowPunct w:val="0"/>
        <w:autoSpaceDE w:val="0"/>
        <w:autoSpaceDN w:val="0"/>
        <w:adjustRightInd w:val="0"/>
        <w:ind w:left="567" w:hanging="567"/>
        <w:textAlignment w:val="baseline"/>
      </w:pPr>
      <w:r>
        <w:t xml:space="preserve">să fie stabilit un </w:t>
      </w:r>
      <w:r>
        <w:rPr>
          <w:b/>
        </w:rPr>
        <w:t>formular standardizat pentru a raporta dezastrele</w:t>
      </w:r>
      <w:r>
        <w:t>, care să fie utilizat de toate statele membre.</w:t>
      </w:r>
    </w:p>
    <w:p w14:paraId="46AAAABE" w14:textId="77777777" w:rsidR="005625FB" w:rsidRPr="00DF62FF" w:rsidRDefault="005625FB" w:rsidP="00DF62FF">
      <w:pPr>
        <w:widowControl w:val="0"/>
        <w:spacing w:line="240" w:lineRule="auto"/>
        <w:ind w:left="709"/>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5625FB" w:rsidRPr="00A6689B" w14:paraId="40BE22FE" w14:textId="77777777" w:rsidTr="182E22E7">
        <w:tc>
          <w:tcPr>
            <w:tcW w:w="1077" w:type="pct"/>
          </w:tcPr>
          <w:p w14:paraId="1C65201B" w14:textId="77777777" w:rsidR="005625FB" w:rsidRPr="00A6689B" w:rsidRDefault="005625FB" w:rsidP="182E22E7">
            <w:pPr>
              <w:rPr>
                <w:i/>
                <w:iCs/>
              </w:rPr>
            </w:pPr>
            <w:r>
              <w:rPr>
                <w:b/>
                <w:i/>
              </w:rPr>
              <w:t>Date de contact:</w:t>
            </w:r>
          </w:p>
        </w:tc>
        <w:tc>
          <w:tcPr>
            <w:tcW w:w="3923" w:type="pct"/>
          </w:tcPr>
          <w:p w14:paraId="6E8D608E" w14:textId="77777777" w:rsidR="005625FB" w:rsidRPr="00A6689B" w:rsidRDefault="005625FB" w:rsidP="182E22E7">
            <w:pPr>
              <w:rPr>
                <w:i/>
                <w:iCs/>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5625FB" w:rsidRPr="00A6689B" w14:paraId="07AA2F76" w14:textId="77777777" w:rsidTr="182E22E7">
        <w:tc>
          <w:tcPr>
            <w:tcW w:w="1077" w:type="pct"/>
          </w:tcPr>
          <w:p w14:paraId="59514A68" w14:textId="77777777" w:rsidR="005625FB" w:rsidRPr="00A6689B" w:rsidRDefault="005625FB" w:rsidP="00F51B63">
            <w:pPr>
              <w:rPr>
                <w:i/>
              </w:rPr>
            </w:pPr>
            <w:r>
              <w:rPr>
                <w:i/>
              </w:rPr>
              <w:t>Tel.:</w:t>
            </w:r>
          </w:p>
        </w:tc>
        <w:tc>
          <w:tcPr>
            <w:tcW w:w="3923" w:type="pct"/>
          </w:tcPr>
          <w:p w14:paraId="1EA05359" w14:textId="77777777" w:rsidR="005625FB" w:rsidRPr="00A6689B" w:rsidRDefault="005625FB" w:rsidP="00F51B63">
            <w:pPr>
              <w:rPr>
                <w:i/>
              </w:rPr>
            </w:pPr>
            <w:r>
              <w:rPr>
                <w:i/>
              </w:rPr>
              <w:t>+32 25468768</w:t>
            </w:r>
          </w:p>
        </w:tc>
      </w:tr>
      <w:tr w:rsidR="005625FB" w:rsidRPr="00A6689B" w14:paraId="25E143FF" w14:textId="77777777" w:rsidTr="182E22E7">
        <w:tc>
          <w:tcPr>
            <w:tcW w:w="1077" w:type="pct"/>
          </w:tcPr>
          <w:p w14:paraId="26EB8933" w14:textId="77777777" w:rsidR="005625FB" w:rsidRPr="00A6689B" w:rsidRDefault="005625FB" w:rsidP="00F51B63">
            <w:pPr>
              <w:rPr>
                <w:i/>
              </w:rPr>
            </w:pPr>
            <w:r>
              <w:rPr>
                <w:i/>
              </w:rPr>
              <w:t>E-mail:</w:t>
            </w:r>
          </w:p>
        </w:tc>
        <w:tc>
          <w:tcPr>
            <w:tcW w:w="3923" w:type="pct"/>
          </w:tcPr>
          <w:p w14:paraId="34FB405F" w14:textId="77777777" w:rsidR="005625FB" w:rsidRPr="00A6689B" w:rsidRDefault="00443888" w:rsidP="00F51B63">
            <w:pPr>
              <w:rPr>
                <w:i/>
              </w:rPr>
            </w:pPr>
            <w:hyperlink r:id="rId40" w:history="1">
              <w:r w:rsidR="005625FB">
                <w:rPr>
                  <w:rStyle w:val="Hyperlink"/>
                  <w:i/>
                </w:rPr>
                <w:t>Arturo.Iniguez@eesc.europa.eu</w:t>
              </w:r>
            </w:hyperlink>
          </w:p>
        </w:tc>
      </w:tr>
    </w:tbl>
    <w:p w14:paraId="715DB2BD" w14:textId="599992C3" w:rsidR="00395794" w:rsidRPr="00DF62FF" w:rsidRDefault="00395794" w:rsidP="00DF62FF">
      <w:pPr>
        <w:spacing w:after="160" w:line="240" w:lineRule="auto"/>
        <w:jc w:val="left"/>
        <w:rPr>
          <w:sz w:val="20"/>
          <w:szCs w:val="20"/>
        </w:rPr>
      </w:pPr>
    </w:p>
    <w:p w14:paraId="73A0193B" w14:textId="77777777" w:rsidR="00395794" w:rsidRDefault="00395794">
      <w:pPr>
        <w:spacing w:after="160" w:line="259" w:lineRule="auto"/>
        <w:jc w:val="left"/>
      </w:pPr>
      <w:r>
        <w:br w:type="page"/>
      </w:r>
    </w:p>
    <w:p w14:paraId="0B0F00AD" w14:textId="77777777" w:rsidR="007F5784" w:rsidRDefault="007F5784">
      <w:pPr>
        <w:spacing w:after="160" w:line="259" w:lineRule="auto"/>
        <w:jc w:val="left"/>
      </w:pPr>
    </w:p>
    <w:p w14:paraId="14026A78" w14:textId="79164600" w:rsidR="007F5784" w:rsidRDefault="007F5784" w:rsidP="007F5784">
      <w:pPr>
        <w:pStyle w:val="Heading1"/>
        <w:rPr>
          <w:b/>
        </w:rPr>
      </w:pPr>
      <w:bookmarkStart w:id="11" w:name="_Toc216795115"/>
      <w:r>
        <w:rPr>
          <w:b/>
        </w:rPr>
        <w:t>SECȚIUNEA PENTRU RELAȚII EXTERNE</w:t>
      </w:r>
      <w:bookmarkEnd w:id="11"/>
    </w:p>
    <w:p w14:paraId="3C61834E" w14:textId="0F2EE152" w:rsidR="00DF62FF" w:rsidRPr="00C733BA" w:rsidRDefault="00DF62FF" w:rsidP="00C733BA">
      <w:pPr>
        <w:widowControl w:val="0"/>
        <w:jc w:val="center"/>
        <w:rPr>
          <w:bCs/>
          <w:iCs/>
          <w:sz w:val="28"/>
          <w:szCs w:val="28"/>
        </w:rPr>
      </w:pPr>
      <w:r>
        <w:rPr>
          <w:noProof/>
          <w:sz w:val="28"/>
        </w:rPr>
        <mc:AlternateContent>
          <mc:Choice Requires="wps">
            <w:drawing>
              <wp:anchor distT="0" distB="0" distL="114300" distR="114300" simplePos="0" relativeHeight="251687936" behindDoc="1" locked="0" layoutInCell="0" allowOverlap="1" wp14:anchorId="0AD728A2" wp14:editId="1486BE2A">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84E2" w14:textId="1F6F4C5C" w:rsidR="00DF62FF" w:rsidRPr="00DF62FF" w:rsidRDefault="00DF62F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28A2" id="_x0000_s1039" type="#_x0000_t202" style="position:absolute;left:0;text-align:left;margin-left:533pt;margin-top:793.8pt;width:51pt;height:31.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C5VVAPYBAADOAwAADgAAAAAAAAAAAAAAAAAuAgAA&#10;ZHJzL2Uyb0RvYy54bWxQSwECLQAUAAYACAAAACEA61QxWt4AAAAPAQAADwAAAAAAAAAAAAAAAABQ&#10;BAAAZHJzL2Rvd25yZXYueG1sUEsFBgAAAAAEAAQA8wAAAFsFAAAAAA==&#10;" o:allowincell="f" filled="f" stroked="f">
                <v:textbox>
                  <w:txbxContent>
                    <w:p w14:paraId="3D4F84E2" w14:textId="1F6F4C5C" w:rsidR="00DF62FF" w:rsidRPr="00DF62FF" w:rsidRDefault="00DF62FF">
                      <w:pPr>
                        <w:jc w:val="center"/>
                        <w:rPr>
                          <w:rFonts w:ascii="Arial" w:hAnsi="Arial" w:cs="Arial"/>
                          <w:b/>
                          <w:bCs/>
                          <w:color w:val="FFFFFF" w:themeColor="background1"/>
                          <w:sz w:val="48"/>
                        </w:rPr>
                      </w:pPr>
                    </w:p>
                  </w:txbxContent>
                </v:textbox>
                <w10:wrap anchorx="page" anchory="page"/>
              </v:shape>
            </w:pict>
          </mc:Fallback>
        </mc:AlternateContent>
      </w:r>
    </w:p>
    <w:p w14:paraId="03F70DEC" w14:textId="5ED4A949" w:rsidR="00DF62FF" w:rsidRPr="00C733BA" w:rsidRDefault="00DF62FF" w:rsidP="00DF62FF">
      <w:pPr>
        <w:pStyle w:val="ListParagraph"/>
        <w:widowControl w:val="0"/>
        <w:numPr>
          <w:ilvl w:val="0"/>
          <w:numId w:val="15"/>
        </w:numPr>
        <w:spacing w:line="240" w:lineRule="auto"/>
        <w:ind w:left="567" w:hanging="567"/>
        <w:rPr>
          <w:sz w:val="28"/>
          <w:szCs w:val="28"/>
        </w:rPr>
      </w:pPr>
      <w:r w:rsidRPr="00C733BA">
        <w:rPr>
          <w:b/>
          <w:i/>
          <w:sz w:val="28"/>
          <w:lang w:eastAsia="zh-CN"/>
        </w:rPr>
        <w:fldChar w:fldCharType="begin"/>
      </w:r>
      <w:r w:rsidRPr="00C733BA">
        <w:rPr>
          <w:b/>
          <w:i/>
          <w:sz w:val="28"/>
        </w:rPr>
        <w:instrText>HYPERLINK "https://www.eesc.europa.eu/ro/our-work/opinions-information-reports/opinions/european-unions-strategic-approach-black-sea-region"</w:instrText>
      </w:r>
      <w:r w:rsidRPr="00C733BA">
        <w:rPr>
          <w:b/>
          <w:i/>
          <w:sz w:val="28"/>
          <w:lang w:eastAsia="zh-CN"/>
        </w:rPr>
        <w:fldChar w:fldCharType="separate"/>
      </w:r>
      <w:r>
        <w:rPr>
          <w:rStyle w:val="Hyperlink"/>
          <w:b/>
          <w:i/>
          <w:sz w:val="28"/>
        </w:rPr>
        <w:t>Abordarea strategică a Uniunii Europene cu privire la regiunea Mării Negre</w:t>
      </w:r>
    </w:p>
    <w:p w14:paraId="37DDCE42" w14:textId="77777777" w:rsidR="00DF62FF" w:rsidRPr="00A6689B" w:rsidRDefault="00DF62FF" w:rsidP="00DF62FF">
      <w:pPr>
        <w:tabs>
          <w:tab w:val="center" w:pos="284"/>
        </w:tabs>
        <w:spacing w:line="240" w:lineRule="auto"/>
        <w:ind w:left="266" w:hanging="266"/>
        <w:rPr>
          <w:b/>
        </w:rPr>
      </w:pPr>
      <w:r w:rsidRPr="00C733BA">
        <w:rPr>
          <w:b/>
          <w:i/>
          <w:sz w:val="28"/>
        </w:rPr>
        <w:fldChar w:fldCharType="end"/>
      </w: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22"/>
      </w:tblGrid>
      <w:tr w:rsidR="00DF62FF" w:rsidRPr="00A6689B" w14:paraId="1817499B" w14:textId="77777777" w:rsidTr="00D54F85">
        <w:trPr>
          <w:trHeight w:val="445"/>
        </w:trPr>
        <w:tc>
          <w:tcPr>
            <w:tcW w:w="1350" w:type="pct"/>
          </w:tcPr>
          <w:p w14:paraId="533E844E" w14:textId="77777777" w:rsidR="00DF62FF" w:rsidRPr="00A6689B" w:rsidRDefault="00DF62FF" w:rsidP="00C733BA">
            <w:pPr>
              <w:tabs>
                <w:tab w:val="center" w:pos="284"/>
              </w:tabs>
              <w:ind w:left="266" w:hanging="266"/>
              <w:rPr>
                <w:b/>
              </w:rPr>
            </w:pPr>
            <w:r>
              <w:rPr>
                <w:b/>
              </w:rPr>
              <w:t>Raportoare:</w:t>
            </w:r>
          </w:p>
        </w:tc>
        <w:tc>
          <w:tcPr>
            <w:tcW w:w="3650" w:type="pct"/>
          </w:tcPr>
          <w:p w14:paraId="2066855F" w14:textId="77777777" w:rsidR="00DF62FF" w:rsidRPr="00C733BA" w:rsidRDefault="00DF62FF" w:rsidP="00C733BA">
            <w:pPr>
              <w:tabs>
                <w:tab w:val="center" w:pos="284"/>
              </w:tabs>
              <w:ind w:left="266" w:hanging="266"/>
            </w:pPr>
            <w:r>
              <w:t>Milena ANGELOVA (Grupul „Angajatori” – BG)</w:t>
            </w:r>
          </w:p>
        </w:tc>
      </w:tr>
      <w:tr w:rsidR="00DF62FF" w:rsidRPr="00A6689B" w14:paraId="61362FDC" w14:textId="77777777" w:rsidTr="00D54F85">
        <w:tc>
          <w:tcPr>
            <w:tcW w:w="1350" w:type="pct"/>
          </w:tcPr>
          <w:p w14:paraId="506F8CB5" w14:textId="77777777" w:rsidR="00DF62FF" w:rsidRPr="00A6689B" w:rsidRDefault="00DF62FF" w:rsidP="00C733BA">
            <w:pPr>
              <w:tabs>
                <w:tab w:val="center" w:pos="284"/>
              </w:tabs>
              <w:ind w:left="266" w:hanging="266"/>
              <w:rPr>
                <w:b/>
              </w:rPr>
            </w:pPr>
            <w:r>
              <w:rPr>
                <w:b/>
              </w:rPr>
              <w:t>Referință:</w:t>
            </w:r>
          </w:p>
        </w:tc>
        <w:tc>
          <w:tcPr>
            <w:tcW w:w="3650" w:type="pct"/>
          </w:tcPr>
          <w:p w14:paraId="6456E65B" w14:textId="77777777" w:rsidR="00DF62FF" w:rsidRDefault="00DF62FF" w:rsidP="00C733BA">
            <w:pPr>
              <w:tabs>
                <w:tab w:val="center" w:pos="284"/>
              </w:tabs>
              <w:ind w:left="266" w:hanging="266"/>
            </w:pPr>
            <w:r>
              <w:t xml:space="preserve">JOIN(2025) 135 final </w:t>
            </w:r>
          </w:p>
          <w:p w14:paraId="6275EDF1" w14:textId="1FF064C7" w:rsidR="00DF62FF" w:rsidRPr="00A6689B" w:rsidRDefault="00DF62FF" w:rsidP="00C733BA">
            <w:pPr>
              <w:tabs>
                <w:tab w:val="center" w:pos="284"/>
              </w:tabs>
              <w:ind w:left="266" w:hanging="266"/>
            </w:pPr>
            <w:r>
              <w:t>EESC-2025-02608-00-00-AC</w:t>
            </w:r>
          </w:p>
        </w:tc>
      </w:tr>
    </w:tbl>
    <w:p w14:paraId="76D6E7AE" w14:textId="77777777" w:rsidR="00DF62FF" w:rsidRPr="00DF62FF" w:rsidRDefault="00DF62FF" w:rsidP="00DF62FF">
      <w:pPr>
        <w:keepNext/>
        <w:keepLines/>
        <w:tabs>
          <w:tab w:val="center" w:pos="284"/>
        </w:tabs>
        <w:spacing w:line="240" w:lineRule="auto"/>
        <w:ind w:left="266" w:hanging="266"/>
        <w:rPr>
          <w:b/>
          <w:sz w:val="18"/>
          <w:szCs w:val="18"/>
        </w:rPr>
      </w:pPr>
    </w:p>
    <w:p w14:paraId="2D82F978" w14:textId="77777777" w:rsidR="00DF62FF" w:rsidRPr="00A6689B" w:rsidRDefault="00DF62FF" w:rsidP="00C733BA">
      <w:pPr>
        <w:keepNext/>
        <w:keepLines/>
        <w:tabs>
          <w:tab w:val="center" w:pos="284"/>
        </w:tabs>
        <w:ind w:left="266" w:hanging="266"/>
        <w:rPr>
          <w:b/>
        </w:rPr>
      </w:pPr>
      <w:r>
        <w:rPr>
          <w:b/>
        </w:rPr>
        <w:t>Punctele principale:</w:t>
      </w:r>
    </w:p>
    <w:p w14:paraId="14A942CB" w14:textId="77777777" w:rsidR="00DF62FF" w:rsidRPr="00DF62FF" w:rsidRDefault="00DF62FF" w:rsidP="00DF62FF">
      <w:pPr>
        <w:keepNext/>
        <w:keepLines/>
        <w:tabs>
          <w:tab w:val="center" w:pos="284"/>
        </w:tabs>
        <w:spacing w:line="240" w:lineRule="auto"/>
        <w:ind w:left="266" w:hanging="266"/>
        <w:rPr>
          <w:b/>
          <w:sz w:val="18"/>
          <w:szCs w:val="18"/>
        </w:rPr>
      </w:pPr>
    </w:p>
    <w:p w14:paraId="3C742330" w14:textId="77777777" w:rsidR="00DF62FF" w:rsidRPr="00FC4BF3" w:rsidRDefault="00DF62FF" w:rsidP="00C733BA">
      <w:pPr>
        <w:rPr>
          <w:bCs/>
          <w:iCs/>
        </w:rPr>
      </w:pPr>
      <w:r>
        <w:t>CESE:</w:t>
      </w:r>
    </w:p>
    <w:p w14:paraId="4E76C02E" w14:textId="77777777" w:rsidR="00DF62FF" w:rsidRPr="00E24C2F" w:rsidRDefault="00DF62FF" w:rsidP="00DF62FF">
      <w:pPr>
        <w:pStyle w:val="ListParagraph"/>
        <w:numPr>
          <w:ilvl w:val="0"/>
          <w:numId w:val="14"/>
        </w:numPr>
        <w:ind w:left="567" w:hanging="567"/>
        <w:rPr>
          <w:bCs/>
          <w:iCs/>
        </w:rPr>
      </w:pPr>
      <w:r>
        <w:t xml:space="preserve">salută </w:t>
      </w:r>
      <w:r>
        <w:rPr>
          <w:b/>
        </w:rPr>
        <w:t>mult-așteptata inițiativă</w:t>
      </w:r>
      <w:r>
        <w:t xml:space="preserve"> de a acorda o </w:t>
      </w:r>
      <w:r>
        <w:rPr>
          <w:b/>
        </w:rPr>
        <w:t>atenție deosebită regiunii Mării Negre</w:t>
      </w:r>
      <w:r>
        <w:t xml:space="preserve">, propunând o abordare strategică a Uniunii Europene, dar constată că aceasta vine cu </w:t>
      </w:r>
      <w:r>
        <w:rPr>
          <w:b/>
        </w:rPr>
        <w:t>o anumită întârziere</w:t>
      </w:r>
      <w:r>
        <w:t xml:space="preserve"> și, prin urmare, solicită </w:t>
      </w:r>
      <w:r>
        <w:rPr>
          <w:b/>
        </w:rPr>
        <w:t>acțiuni rapide și decisive pentru a o pune în aplicare</w:t>
      </w:r>
      <w:r>
        <w:t xml:space="preserve"> și pentru </w:t>
      </w:r>
      <w:r>
        <w:rPr>
          <w:b/>
          <w:bCs/>
        </w:rPr>
        <w:t>a o dota cu resurse suficiente</w:t>
      </w:r>
      <w:r>
        <w:t>;</w:t>
      </w:r>
    </w:p>
    <w:p w14:paraId="3CB77316" w14:textId="77777777" w:rsidR="00DF62FF" w:rsidRPr="00E24C2F" w:rsidRDefault="00DF62FF" w:rsidP="00DF62FF">
      <w:pPr>
        <w:pStyle w:val="ListParagraph"/>
        <w:numPr>
          <w:ilvl w:val="0"/>
          <w:numId w:val="14"/>
        </w:numPr>
        <w:ind w:left="567" w:hanging="567"/>
        <w:rPr>
          <w:bCs/>
          <w:iCs/>
        </w:rPr>
      </w:pPr>
      <w:r>
        <w:t xml:space="preserve">subliniază că, </w:t>
      </w:r>
      <w:r>
        <w:rPr>
          <w:b/>
          <w:bCs/>
        </w:rPr>
        <w:t>deși toate țările din regiune suportă consecințele negative ale ostilităților militare, nu tuturor li s-a acordat un sprijin social și economic specific, proporțional cu eforturile și sacrificiile făcute</w:t>
      </w:r>
      <w:r>
        <w:t>;</w:t>
      </w:r>
    </w:p>
    <w:p w14:paraId="64C6ECAE" w14:textId="6B634C10" w:rsidR="00DF62FF" w:rsidRPr="00E24C2F" w:rsidRDefault="00DF62FF" w:rsidP="00DF62FF">
      <w:pPr>
        <w:pStyle w:val="ListParagraph"/>
        <w:numPr>
          <w:ilvl w:val="0"/>
          <w:numId w:val="14"/>
        </w:numPr>
        <w:ind w:left="567" w:hanging="567"/>
        <w:rPr>
          <w:bCs/>
          <w:iCs/>
        </w:rPr>
      </w:pPr>
      <w:r>
        <w:t xml:space="preserve">îndeamnă Comisia ca, în consultare cu statele membre ale UE, cu țările din regiunea Mării Negre și cu toate părțile interesate, </w:t>
      </w:r>
      <w:r>
        <w:rPr>
          <w:b/>
        </w:rPr>
        <w:t>să pregătească rapid</w:t>
      </w:r>
      <w:r>
        <w:t>, în mod ideal până la sfârșitul anului</w:t>
      </w:r>
      <w:r w:rsidR="00686B90">
        <w:t> </w:t>
      </w:r>
      <w:r>
        <w:t xml:space="preserve">2025, </w:t>
      </w:r>
      <w:r>
        <w:rPr>
          <w:b/>
        </w:rPr>
        <w:t>o strategie pragmatică și finanțată corespunzător pentru dezvoltarea regiunii</w:t>
      </w:r>
      <w:r>
        <w:t>;</w:t>
      </w:r>
    </w:p>
    <w:p w14:paraId="3E72B94F" w14:textId="77777777" w:rsidR="00DF62FF" w:rsidRPr="00E24C2F" w:rsidRDefault="00DF62FF" w:rsidP="00DF62FF">
      <w:pPr>
        <w:pStyle w:val="ListParagraph"/>
        <w:numPr>
          <w:ilvl w:val="0"/>
          <w:numId w:val="14"/>
        </w:numPr>
        <w:ind w:left="567" w:hanging="567"/>
        <w:rPr>
          <w:bCs/>
          <w:iCs/>
        </w:rPr>
      </w:pPr>
      <w:r>
        <w:t xml:space="preserve">regretă că </w:t>
      </w:r>
      <w:r>
        <w:rPr>
          <w:b/>
          <w:bCs/>
        </w:rPr>
        <w:t>politica-cadru anterioară a UE</w:t>
      </w:r>
      <w:r>
        <w:t xml:space="preserve"> [Sinergia Mării Negre din 2007] pentru regiune nu acoperea </w:t>
      </w:r>
      <w:r>
        <w:rPr>
          <w:b/>
          <w:bCs/>
        </w:rPr>
        <w:t>dimensiunea de securitate</w:t>
      </w:r>
      <w:r>
        <w:t xml:space="preserve"> și subliniază </w:t>
      </w:r>
      <w:r>
        <w:rPr>
          <w:b/>
        </w:rPr>
        <w:t>necesitatea ca inițiativele UE în materie de securitate în regiunea Mării Negre să producă rezultate tangibile</w:t>
      </w:r>
      <w:r>
        <w:t>;</w:t>
      </w:r>
    </w:p>
    <w:p w14:paraId="523BED54" w14:textId="77777777" w:rsidR="00DF62FF" w:rsidRPr="00E24C2F" w:rsidRDefault="00DF62FF" w:rsidP="00DF62FF">
      <w:pPr>
        <w:pStyle w:val="ListParagraph"/>
        <w:numPr>
          <w:ilvl w:val="0"/>
          <w:numId w:val="14"/>
        </w:numPr>
        <w:ind w:left="567" w:hanging="567"/>
        <w:rPr>
          <w:bCs/>
          <w:iCs/>
        </w:rPr>
      </w:pPr>
      <w:r>
        <w:t xml:space="preserve">subliniază că </w:t>
      </w:r>
      <w:r>
        <w:rPr>
          <w:b/>
          <w:bCs/>
        </w:rPr>
        <w:t>obținerea unei păci durabile</w:t>
      </w:r>
      <w:r>
        <w:t xml:space="preserve"> este o </w:t>
      </w:r>
      <w:r>
        <w:rPr>
          <w:b/>
          <w:bCs/>
        </w:rPr>
        <w:t>condiție prealabilă necesară și esențială pentru o dezvoltare economică sustenabilă</w:t>
      </w:r>
      <w:r>
        <w:t xml:space="preserve"> și constată cu regret că acest aspect nu este inclus drept obiectiv în document;</w:t>
      </w:r>
    </w:p>
    <w:p w14:paraId="600CA35A" w14:textId="77777777" w:rsidR="00DF62FF" w:rsidRPr="00E24C2F" w:rsidRDefault="00DF62FF" w:rsidP="00DF62FF">
      <w:pPr>
        <w:pStyle w:val="ListParagraph"/>
        <w:numPr>
          <w:ilvl w:val="0"/>
          <w:numId w:val="14"/>
        </w:numPr>
        <w:ind w:left="567" w:hanging="567"/>
        <w:rPr>
          <w:bCs/>
          <w:iCs/>
        </w:rPr>
      </w:pPr>
      <w:r>
        <w:t xml:space="preserve">consideră că </w:t>
      </w:r>
      <w:r>
        <w:rPr>
          <w:b/>
          <w:bCs/>
        </w:rPr>
        <w:t>principala constrângere în abordarea strategică</w:t>
      </w:r>
      <w:r>
        <w:t xml:space="preserve"> este că se bazează în întregime pe </w:t>
      </w:r>
      <w:r>
        <w:rPr>
          <w:b/>
          <w:bCs/>
        </w:rPr>
        <w:t>instrumentele financiare și resursele bugetare existente incluse în cadrul financiar multianual 2021-2027</w:t>
      </w:r>
      <w:r>
        <w:t xml:space="preserve">; solicită ca </w:t>
      </w:r>
      <w:r>
        <w:rPr>
          <w:b/>
          <w:bCs/>
        </w:rPr>
        <w:t>instrumentele să fie simplificate, consolidate și ierarhizate în ordinea priorității</w:t>
      </w:r>
      <w:r>
        <w:t>, pentru a produce un efect imediat și vizibil;</w:t>
      </w:r>
    </w:p>
    <w:p w14:paraId="5FE3ACDA" w14:textId="77777777" w:rsidR="00DF62FF" w:rsidRPr="00E24C2F" w:rsidRDefault="00DF62FF" w:rsidP="00DF62FF">
      <w:pPr>
        <w:pStyle w:val="ListParagraph"/>
        <w:numPr>
          <w:ilvl w:val="0"/>
          <w:numId w:val="14"/>
        </w:numPr>
        <w:ind w:left="567" w:hanging="567"/>
        <w:rPr>
          <w:bCs/>
          <w:iCs/>
        </w:rPr>
      </w:pPr>
      <w:r>
        <w:t xml:space="preserve">recomandă să se efectueze o </w:t>
      </w:r>
      <w:r>
        <w:rPr>
          <w:b/>
          <w:bCs/>
        </w:rPr>
        <w:t>analiză aprofundată a impactului tuturor instrumentelor existente</w:t>
      </w:r>
      <w:r>
        <w:t xml:space="preserve"> până în prezent și, pe această bază, să se formuleze </w:t>
      </w:r>
      <w:r>
        <w:rPr>
          <w:b/>
          <w:bCs/>
        </w:rPr>
        <w:t>angajamente mai specifice și mai clare</w:t>
      </w:r>
      <w:r>
        <w:t xml:space="preserve"> cu privire la utilizarea lor în viitor;</w:t>
      </w:r>
    </w:p>
    <w:p w14:paraId="3C6B1C62" w14:textId="77777777" w:rsidR="00DF62FF" w:rsidRPr="00E24C2F" w:rsidRDefault="00DF62FF" w:rsidP="00DF62FF">
      <w:pPr>
        <w:pStyle w:val="ListParagraph"/>
        <w:widowControl w:val="0"/>
        <w:numPr>
          <w:ilvl w:val="0"/>
          <w:numId w:val="13"/>
        </w:numPr>
        <w:ind w:left="567" w:hanging="567"/>
      </w:pPr>
      <w:r>
        <w:t xml:space="preserve">consideră că ar trebui să se acorde mai multă atenție </w:t>
      </w:r>
      <w:r>
        <w:rPr>
          <w:b/>
          <w:bCs/>
        </w:rPr>
        <w:t>combaterii amenințărilor hibride</w:t>
      </w:r>
      <w:r>
        <w:t xml:space="preserve"> și </w:t>
      </w:r>
      <w:r>
        <w:rPr>
          <w:b/>
          <w:bCs/>
        </w:rPr>
        <w:t>disfuncționalităților în materie de guvernanță</w:t>
      </w:r>
      <w:r>
        <w:t>, care amenință să submineze stabilitatea regională.</w:t>
      </w:r>
    </w:p>
    <w:p w14:paraId="742CB8BC" w14:textId="77777777" w:rsidR="00DF62FF" w:rsidRPr="00FC4BF3" w:rsidRDefault="00DF62FF" w:rsidP="00DF62FF">
      <w:pPr>
        <w:widowControl w:val="0"/>
        <w:spacing w:line="240" w:lineRule="auto"/>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206"/>
      </w:tblGrid>
      <w:tr w:rsidR="00DF62FF" w:rsidRPr="00A6689B" w14:paraId="7213978B" w14:textId="77777777" w:rsidTr="00C733BA">
        <w:tc>
          <w:tcPr>
            <w:tcW w:w="1090" w:type="pct"/>
          </w:tcPr>
          <w:p w14:paraId="72B7FC08" w14:textId="77777777" w:rsidR="00DF62FF" w:rsidRPr="00A6689B" w:rsidRDefault="00DF62FF" w:rsidP="00C733BA">
            <w:pPr>
              <w:rPr>
                <w:i/>
              </w:rPr>
            </w:pPr>
            <w:r>
              <w:rPr>
                <w:b/>
                <w:i/>
              </w:rPr>
              <w:t>Date de contact:</w:t>
            </w:r>
          </w:p>
        </w:tc>
        <w:tc>
          <w:tcPr>
            <w:tcW w:w="3910" w:type="pct"/>
          </w:tcPr>
          <w:p w14:paraId="174CA2F0" w14:textId="084D19B6" w:rsidR="00DF62FF" w:rsidRPr="00A6689B" w:rsidRDefault="00DF62FF" w:rsidP="00C733BA">
            <w:pPr>
              <w:rPr>
                <w:i/>
                <w:iCs/>
              </w:rPr>
            </w:pPr>
            <w:proofErr w:type="spellStart"/>
            <w:r>
              <w:t>Marie</w:t>
            </w:r>
            <w:proofErr w:type="spellEnd"/>
            <w:r>
              <w:t xml:space="preserve">-Laurence </w:t>
            </w:r>
            <w:r w:rsidR="00686B90">
              <w:t>DRILLON</w:t>
            </w:r>
          </w:p>
        </w:tc>
      </w:tr>
      <w:tr w:rsidR="00DF62FF" w:rsidRPr="00A6689B" w14:paraId="5F7655D5" w14:textId="77777777" w:rsidTr="00C733BA">
        <w:tc>
          <w:tcPr>
            <w:tcW w:w="1090" w:type="pct"/>
          </w:tcPr>
          <w:p w14:paraId="74A99ED6" w14:textId="77777777" w:rsidR="00DF62FF" w:rsidRPr="00A6689B" w:rsidRDefault="00DF62FF" w:rsidP="00C733BA">
            <w:pPr>
              <w:rPr>
                <w:i/>
              </w:rPr>
            </w:pPr>
            <w:r>
              <w:rPr>
                <w:i/>
              </w:rPr>
              <w:t>Tel.:</w:t>
            </w:r>
          </w:p>
        </w:tc>
        <w:tc>
          <w:tcPr>
            <w:tcW w:w="3910" w:type="pct"/>
          </w:tcPr>
          <w:p w14:paraId="2A3F74F3" w14:textId="77777777" w:rsidR="00DF62FF" w:rsidRPr="00A6689B" w:rsidRDefault="00DF62FF" w:rsidP="00C733BA">
            <w:pPr>
              <w:rPr>
                <w:i/>
              </w:rPr>
            </w:pPr>
            <w:r>
              <w:rPr>
                <w:i/>
              </w:rPr>
              <w:t>+32 2 546 8320</w:t>
            </w:r>
          </w:p>
        </w:tc>
      </w:tr>
      <w:tr w:rsidR="00DF62FF" w:rsidRPr="00A6689B" w14:paraId="48D242B6" w14:textId="77777777" w:rsidTr="00C733BA">
        <w:tc>
          <w:tcPr>
            <w:tcW w:w="1090" w:type="pct"/>
          </w:tcPr>
          <w:p w14:paraId="59C7B820" w14:textId="77777777" w:rsidR="00DF62FF" w:rsidRPr="00A6689B" w:rsidRDefault="00DF62FF" w:rsidP="00C733BA">
            <w:pPr>
              <w:rPr>
                <w:i/>
              </w:rPr>
            </w:pPr>
            <w:r>
              <w:rPr>
                <w:i/>
              </w:rPr>
              <w:t>E-mail:</w:t>
            </w:r>
          </w:p>
        </w:tc>
        <w:tc>
          <w:tcPr>
            <w:tcW w:w="3910" w:type="pct"/>
          </w:tcPr>
          <w:p w14:paraId="5DEF851B" w14:textId="77777777" w:rsidR="00DF62FF" w:rsidRPr="00A6689B" w:rsidRDefault="00443888" w:rsidP="00C733BA">
            <w:pPr>
              <w:rPr>
                <w:i/>
              </w:rPr>
            </w:pPr>
            <w:hyperlink r:id="rId41" w:history="1">
              <w:r w:rsidR="00DF62FF">
                <w:rPr>
                  <w:rStyle w:val="Hyperlink"/>
                  <w:i/>
                </w:rPr>
                <w:t>Marie-Laurence.Drillon@eesc.europa.eu</w:t>
              </w:r>
            </w:hyperlink>
          </w:p>
        </w:tc>
      </w:tr>
    </w:tbl>
    <w:p w14:paraId="3BBB3E68" w14:textId="77777777" w:rsidR="007F5784" w:rsidRPr="00DF62FF" w:rsidRDefault="007F5784" w:rsidP="00DF62FF">
      <w:pPr>
        <w:spacing w:line="240" w:lineRule="auto"/>
        <w:rPr>
          <w:sz w:val="20"/>
          <w:szCs w:val="20"/>
        </w:rPr>
      </w:pPr>
    </w:p>
    <w:p w14:paraId="7D5D9D3E" w14:textId="77777777" w:rsidR="00686B90" w:rsidRPr="00686B90"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p>
    <w:p w14:paraId="1C567FB7" w14:textId="77777777" w:rsidR="00B912B6" w:rsidRDefault="00B912B6" w:rsidP="00F51B63">
      <w:pPr>
        <w:widowControl w:val="0"/>
        <w:jc w:val="center"/>
        <w:rPr>
          <w:bCs/>
          <w:iCs/>
        </w:rPr>
      </w:pPr>
      <w:r>
        <w:rPr>
          <w:noProof/>
          <w:sz w:val="20"/>
        </w:rPr>
        <w:lastRenderedPageBreak/>
        <mc:AlternateContent>
          <mc:Choice Requires="wps">
            <w:drawing>
              <wp:anchor distT="0" distB="0" distL="114300" distR="114300" simplePos="0" relativeHeight="251689984" behindDoc="1" locked="0" layoutInCell="0" allowOverlap="1" wp14:anchorId="0F75EE19" wp14:editId="3A3BDB99">
                <wp:simplePos x="0" y="0"/>
                <wp:positionH relativeFrom="page">
                  <wp:posOffset>6769100</wp:posOffset>
                </wp:positionH>
                <wp:positionV relativeFrom="page">
                  <wp:posOffset>10081260</wp:posOffset>
                </wp:positionV>
                <wp:extent cx="647700" cy="396240"/>
                <wp:effectExtent l="0" t="3810" r="317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2D24" w14:textId="3B96F9BE" w:rsidR="00B912B6" w:rsidRPr="00F705FF" w:rsidRDefault="00B912B6">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EE19" id="_x0000_s1040" type="#_x0000_t202" style="position:absolute;left:0;text-align:left;margin-left:533pt;margin-top:793.8pt;width:51pt;height:31.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zz5QE/YBAADOAwAADgAAAAAAAAAAAAAAAAAuAgAA&#10;ZHJzL2Uyb0RvYy54bWxQSwECLQAUAAYACAAAACEA61QxWt4AAAAPAQAADwAAAAAAAAAAAAAAAABQ&#10;BAAAZHJzL2Rvd25yZXYueG1sUEsFBgAAAAAEAAQA8wAAAFsFAAAAAA==&#10;" o:allowincell="f" filled="f" stroked="f">
                <v:textbox>
                  <w:txbxContent>
                    <w:p w14:paraId="09902D24" w14:textId="3B96F9BE" w:rsidR="00B912B6" w:rsidRPr="00F705FF" w:rsidRDefault="00B912B6">
                      <w:pPr>
                        <w:jc w:val="center"/>
                        <w:rPr>
                          <w:rFonts w:ascii="Arial" w:hAnsi="Arial" w:cs="Arial"/>
                          <w:b/>
                          <w:bCs/>
                          <w:color w:val="FFFFFF" w:themeColor="background1"/>
                          <w:sz w:val="48"/>
                        </w:rPr>
                      </w:pPr>
                    </w:p>
                  </w:txbxContent>
                </v:textbox>
                <w10:wrap anchorx="page" anchory="page"/>
              </v:shape>
            </w:pict>
          </mc:Fallback>
        </mc:AlternateContent>
      </w:r>
    </w:p>
    <w:p w14:paraId="3D6E5191" w14:textId="062B15FD" w:rsidR="00B912B6" w:rsidRPr="0003586F" w:rsidRDefault="00443888" w:rsidP="00B912B6">
      <w:pPr>
        <w:widowControl w:val="0"/>
        <w:numPr>
          <w:ilvl w:val="0"/>
          <w:numId w:val="4"/>
        </w:numPr>
        <w:overflowPunct w:val="0"/>
        <w:autoSpaceDE w:val="0"/>
        <w:autoSpaceDN w:val="0"/>
        <w:adjustRightInd w:val="0"/>
        <w:ind w:hanging="567"/>
        <w:textAlignment w:val="baseline"/>
        <w:rPr>
          <w:sz w:val="20"/>
        </w:rPr>
      </w:pPr>
      <w:hyperlink r:id="rId42" w:history="1">
        <w:r w:rsidR="00B912B6">
          <w:rPr>
            <w:rStyle w:val="Hyperlink"/>
            <w:b/>
            <w:i/>
            <w:sz w:val="28"/>
          </w:rPr>
          <w:t>Instrumentul „Europa globală” (propunere din pachetul privind cadrul financiar multianual)</w:t>
        </w:r>
      </w:hyperlink>
    </w:p>
    <w:p w14:paraId="4C3C0975" w14:textId="77777777" w:rsidR="00B912B6" w:rsidRPr="00151637" w:rsidRDefault="00B912B6" w:rsidP="00151637">
      <w:pPr>
        <w:tabs>
          <w:tab w:val="center" w:pos="284"/>
        </w:tabs>
        <w:spacing w:line="264" w:lineRule="auto"/>
        <w:ind w:left="266" w:hanging="266"/>
        <w:rPr>
          <w:b/>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B912B6" w:rsidRPr="00A6689B" w14:paraId="01ED98AD" w14:textId="77777777" w:rsidTr="00F51B63">
        <w:tc>
          <w:tcPr>
            <w:tcW w:w="1077" w:type="pct"/>
          </w:tcPr>
          <w:p w14:paraId="3643A8EB" w14:textId="77777777" w:rsidR="00B912B6" w:rsidRPr="00A6689B" w:rsidRDefault="00B912B6" w:rsidP="00151637">
            <w:pPr>
              <w:tabs>
                <w:tab w:val="center" w:pos="284"/>
              </w:tabs>
              <w:spacing w:line="264" w:lineRule="auto"/>
              <w:ind w:left="266" w:hanging="266"/>
              <w:rPr>
                <w:b/>
              </w:rPr>
            </w:pPr>
            <w:r>
              <w:rPr>
                <w:b/>
                <w:bCs/>
              </w:rPr>
              <w:t>Raportor:</w:t>
            </w:r>
          </w:p>
        </w:tc>
        <w:tc>
          <w:tcPr>
            <w:tcW w:w="3923" w:type="pct"/>
          </w:tcPr>
          <w:p w14:paraId="5CB409EC" w14:textId="77777777" w:rsidR="00B912B6" w:rsidRPr="00A6689B" w:rsidRDefault="00B912B6" w:rsidP="00151637">
            <w:pPr>
              <w:tabs>
                <w:tab w:val="center" w:pos="284"/>
              </w:tabs>
              <w:spacing w:line="264" w:lineRule="auto"/>
              <w:ind w:left="266" w:right="-3091" w:hanging="266"/>
            </w:pPr>
            <w:proofErr w:type="spellStart"/>
            <w:r>
              <w:t>Mateusz</w:t>
            </w:r>
            <w:proofErr w:type="spellEnd"/>
            <w:r>
              <w:t xml:space="preserve"> SZYMAŃSKI (Grupul „Lucrători” – PL)</w:t>
            </w:r>
          </w:p>
        </w:tc>
      </w:tr>
      <w:tr w:rsidR="00B912B6" w:rsidRPr="00A6689B" w14:paraId="4F161583" w14:textId="77777777" w:rsidTr="00F51B63">
        <w:tc>
          <w:tcPr>
            <w:tcW w:w="1077" w:type="pct"/>
          </w:tcPr>
          <w:p w14:paraId="1306D494" w14:textId="77777777" w:rsidR="00B912B6" w:rsidRPr="00A6689B" w:rsidRDefault="00B912B6" w:rsidP="00151637">
            <w:pPr>
              <w:tabs>
                <w:tab w:val="center" w:pos="284"/>
              </w:tabs>
              <w:spacing w:line="264" w:lineRule="auto"/>
              <w:ind w:left="266" w:hanging="266"/>
              <w:rPr>
                <w:b/>
              </w:rPr>
            </w:pPr>
            <w:r>
              <w:rPr>
                <w:b/>
              </w:rPr>
              <w:t>Coraportor:</w:t>
            </w:r>
          </w:p>
        </w:tc>
        <w:tc>
          <w:tcPr>
            <w:tcW w:w="3923" w:type="pct"/>
          </w:tcPr>
          <w:p w14:paraId="0816004C" w14:textId="77777777" w:rsidR="00B912B6" w:rsidRPr="00A6689B" w:rsidRDefault="00B912B6" w:rsidP="00151637">
            <w:pPr>
              <w:tabs>
                <w:tab w:val="center" w:pos="284"/>
              </w:tabs>
              <w:spacing w:line="264" w:lineRule="auto"/>
              <w:ind w:left="266" w:right="-3091" w:hanging="266"/>
            </w:pPr>
            <w:r>
              <w:t>Luca JAHIER (Grupul „Organizații ale societății civile” – IT)</w:t>
            </w:r>
          </w:p>
        </w:tc>
      </w:tr>
      <w:tr w:rsidR="00B912B6" w:rsidRPr="00A6689B" w14:paraId="6D844AC5" w14:textId="77777777" w:rsidTr="00F51B63">
        <w:tc>
          <w:tcPr>
            <w:tcW w:w="1077" w:type="pct"/>
          </w:tcPr>
          <w:p w14:paraId="1D441B62" w14:textId="77777777" w:rsidR="00B912B6" w:rsidRPr="00A6689B" w:rsidRDefault="00B912B6" w:rsidP="00151637">
            <w:pPr>
              <w:tabs>
                <w:tab w:val="center" w:pos="284"/>
              </w:tabs>
              <w:spacing w:line="264" w:lineRule="auto"/>
              <w:ind w:left="266" w:hanging="266"/>
              <w:rPr>
                <w:b/>
              </w:rPr>
            </w:pPr>
            <w:r>
              <w:rPr>
                <w:b/>
                <w:bCs/>
              </w:rPr>
              <w:t>Referințe:</w:t>
            </w:r>
          </w:p>
        </w:tc>
        <w:tc>
          <w:tcPr>
            <w:tcW w:w="3923" w:type="pct"/>
          </w:tcPr>
          <w:p w14:paraId="60951B99" w14:textId="77777777" w:rsidR="00B912B6" w:rsidRDefault="00B912B6" w:rsidP="00151637">
            <w:pPr>
              <w:tabs>
                <w:tab w:val="center" w:pos="284"/>
              </w:tabs>
              <w:spacing w:line="264" w:lineRule="auto"/>
              <w:ind w:left="266" w:right="-3091" w:hanging="266"/>
            </w:pPr>
            <w:r>
              <w:t xml:space="preserve">COM(2025) 551 final </w:t>
            </w:r>
          </w:p>
          <w:p w14:paraId="58DB3B71" w14:textId="6D0B2B9D" w:rsidR="00B912B6" w:rsidRPr="00A6689B" w:rsidRDefault="00B912B6" w:rsidP="00151637">
            <w:pPr>
              <w:tabs>
                <w:tab w:val="center" w:pos="284"/>
              </w:tabs>
              <w:spacing w:line="264" w:lineRule="auto"/>
              <w:ind w:left="266" w:right="-3091" w:hanging="266"/>
            </w:pPr>
            <w:r>
              <w:t>EESC-2025-02605-00-00-AC-TRA</w:t>
            </w:r>
          </w:p>
        </w:tc>
      </w:tr>
    </w:tbl>
    <w:p w14:paraId="073556EA" w14:textId="77777777" w:rsidR="00B912B6" w:rsidRPr="00151637" w:rsidRDefault="00B912B6" w:rsidP="00151637">
      <w:pPr>
        <w:tabs>
          <w:tab w:val="center" w:pos="284"/>
        </w:tabs>
        <w:spacing w:line="264" w:lineRule="auto"/>
        <w:ind w:left="266" w:hanging="266"/>
        <w:rPr>
          <w:b/>
          <w:sz w:val="18"/>
          <w:szCs w:val="18"/>
        </w:rPr>
      </w:pPr>
    </w:p>
    <w:p w14:paraId="2453FF7D" w14:textId="53509645" w:rsidR="00B912B6" w:rsidRPr="00A6689B" w:rsidRDefault="00B912B6" w:rsidP="00151637">
      <w:pPr>
        <w:keepNext/>
        <w:keepLines/>
        <w:tabs>
          <w:tab w:val="center" w:pos="284"/>
        </w:tabs>
        <w:spacing w:line="264" w:lineRule="auto"/>
        <w:ind w:left="266" w:hanging="266"/>
        <w:rPr>
          <w:b/>
        </w:rPr>
      </w:pPr>
      <w:r>
        <w:rPr>
          <w:b/>
        </w:rPr>
        <w:t>Punctele principale:</w:t>
      </w:r>
    </w:p>
    <w:p w14:paraId="457D25E4" w14:textId="77777777" w:rsidR="00B912B6" w:rsidRPr="00151637" w:rsidRDefault="00B912B6" w:rsidP="00151637">
      <w:pPr>
        <w:keepNext/>
        <w:keepLines/>
        <w:tabs>
          <w:tab w:val="center" w:pos="284"/>
        </w:tabs>
        <w:spacing w:line="264" w:lineRule="auto"/>
        <w:ind w:left="266" w:hanging="266"/>
        <w:rPr>
          <w:b/>
          <w:sz w:val="18"/>
          <w:szCs w:val="18"/>
        </w:rPr>
      </w:pPr>
    </w:p>
    <w:p w14:paraId="6D23809B" w14:textId="77777777" w:rsidR="00B912B6" w:rsidRPr="00A6689B" w:rsidRDefault="00B912B6" w:rsidP="00151637">
      <w:pPr>
        <w:spacing w:line="264" w:lineRule="auto"/>
        <w:rPr>
          <w:bCs/>
          <w:iCs/>
        </w:rPr>
      </w:pPr>
      <w:r>
        <w:t>CESE:</w:t>
      </w:r>
    </w:p>
    <w:p w14:paraId="06099FEA" w14:textId="77777777" w:rsidR="00B912B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salută propunerea Comisiei de a majora cheltuielile cu politicile externe ale UE în următorul cadru financiar multianual (CFM) prin instrumentul „Europa globală”, care cuprinde și o rezervă pentru Ucraina, și consideră că această majorare este esențială dacă UE vrea să își afirme rolul de actor mondial și valorile și să își consolideze autonomia strategică;</w:t>
      </w:r>
    </w:p>
    <w:p w14:paraId="3A48932C"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 xml:space="preserve">consideră că UE ar trebui să joace un rol de frunte atât în eforturile de dezvoltare și de ajutor umanitar, cât și pentru revitalizarea sistemului ONU, folosind ca principal instrument strategia „Global Gateway”; </w:t>
      </w:r>
    </w:p>
    <w:p w14:paraId="0D42DD8C"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 xml:space="preserve">atrage atenția că Consiliul consultativ al strategiei „Global Gateway” alcătuit din reprezentanți ai organizațiilor societății civile și ai autorităților locale este decuplat de procesul decizional și că dialogul pe care l-a creat este fragmentat; cere să se asigure o participare constructivă, inclusiv a CESE și a </w:t>
      </w:r>
      <w:proofErr w:type="spellStart"/>
      <w:r>
        <w:t>CoR</w:t>
      </w:r>
      <w:proofErr w:type="spellEnd"/>
      <w:r>
        <w:t>;</w:t>
      </w:r>
    </w:p>
    <w:p w14:paraId="593A002D" w14:textId="77777777" w:rsidR="00B912B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pune în evidență că pentru realizarea unei dezvoltări durabile și a rezilienței economice este nevoie de o coerență solidă între politica externă, dezvoltare, comerț și Fondul european pentru competitivitate;</w:t>
      </w:r>
    </w:p>
    <w:p w14:paraId="2125A0A8"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deși flexibilitatea propusă pentru acțiunea externă a fost evaluată pozitiv, se așteaptă la transparență deplină și la asumarea răspunderii în cheltuirea fondurilor;</w:t>
      </w:r>
    </w:p>
    <w:p w14:paraId="3B910C7F"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 xml:space="preserve">cere ca indicatorul Comisiei privind inegalitatea să fie utilizat și pentru proiectele strategiei „Global Gateway”; </w:t>
      </w:r>
    </w:p>
    <w:p w14:paraId="46993835"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 xml:space="preserve">se așteaptă ca organismele existente, cum ar fi platformele societății civile, să fie implicate mai frecvent în eforturile de întreținere a relațiilor cu organizații din țări partenere; </w:t>
      </w:r>
    </w:p>
    <w:p w14:paraId="7F0E1B72"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sprijină toate eforturile de consolidare a prosperității și a securității în vecinătatea noastră și, prin urmare, în UE și susține ideea unei noi extinderi a UE;</w:t>
      </w:r>
    </w:p>
    <w:p w14:paraId="5B3FEE95"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insistă că organizațiile societății civile au nevoie de finanțarea previzibilă și stabilă, în special pentru a consolida democrația, spațiul civic și egalitatea de gen;</w:t>
      </w:r>
    </w:p>
    <w:p w14:paraId="3EB0A1DF" w14:textId="77777777" w:rsidR="00B912B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 xml:space="preserve">se așteaptă ca obiectivele de cooperare economică și de </w:t>
      </w:r>
      <w:proofErr w:type="spellStart"/>
      <w:r>
        <w:t>antreprenoriat</w:t>
      </w:r>
      <w:proofErr w:type="spellEnd"/>
      <w:r>
        <w:t xml:space="preserve"> să fie însoțite de garanții ambițioase pe plan social și în ceea ce privește drepturile omului și mediul;</w:t>
      </w:r>
    </w:p>
    <w:p w14:paraId="193EB664" w14:textId="77777777" w:rsidR="00B912B6" w:rsidRPr="004541E6" w:rsidRDefault="00B912B6" w:rsidP="00B912B6">
      <w:pPr>
        <w:widowControl w:val="0"/>
        <w:numPr>
          <w:ilvl w:val="0"/>
          <w:numId w:val="4"/>
        </w:numPr>
        <w:overflowPunct w:val="0"/>
        <w:autoSpaceDE w:val="0"/>
        <w:autoSpaceDN w:val="0"/>
        <w:adjustRightInd w:val="0"/>
        <w:spacing w:line="264" w:lineRule="auto"/>
        <w:ind w:hanging="567"/>
        <w:textAlignment w:val="baseline"/>
        <w:rPr>
          <w:bCs/>
          <w:iCs/>
        </w:rPr>
      </w:pPr>
      <w:r>
        <w:t>se opune abordării de suspendare a plăților în contextul politicii din domeniul migrației, punând în vedere că este nevoie de stimulente pozitive pentru atingerea obiectivelor declarate.</w:t>
      </w:r>
    </w:p>
    <w:p w14:paraId="15E7CDA8" w14:textId="77777777" w:rsidR="00B912B6" w:rsidRPr="00151637" w:rsidRDefault="00B912B6" w:rsidP="00151637">
      <w:pPr>
        <w:widowControl w:val="0"/>
        <w:spacing w:line="264" w:lineRule="auto"/>
        <w:ind w:left="709"/>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B912B6" w:rsidRPr="00A6689B" w14:paraId="1EAE904C" w14:textId="77777777" w:rsidTr="00F51B63">
        <w:tc>
          <w:tcPr>
            <w:tcW w:w="1077" w:type="pct"/>
          </w:tcPr>
          <w:p w14:paraId="78C969C3" w14:textId="77777777" w:rsidR="00B912B6" w:rsidRPr="00A6689B" w:rsidRDefault="00B912B6" w:rsidP="00151637">
            <w:pPr>
              <w:spacing w:line="264" w:lineRule="auto"/>
              <w:rPr>
                <w:i/>
              </w:rPr>
            </w:pPr>
            <w:r>
              <w:rPr>
                <w:b/>
                <w:i/>
              </w:rPr>
              <w:t>Date de contact:</w:t>
            </w:r>
          </w:p>
        </w:tc>
        <w:tc>
          <w:tcPr>
            <w:tcW w:w="3923" w:type="pct"/>
          </w:tcPr>
          <w:p w14:paraId="61EB65D5" w14:textId="02B86D49" w:rsidR="00B912B6" w:rsidRPr="00A6689B" w:rsidRDefault="00B912B6" w:rsidP="00151637">
            <w:pPr>
              <w:spacing w:line="264" w:lineRule="auto"/>
              <w:rPr>
                <w:i/>
              </w:rPr>
            </w:pPr>
            <w:r>
              <w:rPr>
                <w:i/>
              </w:rPr>
              <w:t xml:space="preserve">Daniele </w:t>
            </w:r>
            <w:r w:rsidR="00096163">
              <w:rPr>
                <w:i/>
              </w:rPr>
              <w:t>VITALI</w:t>
            </w:r>
            <w:r>
              <w:rPr>
                <w:i/>
              </w:rPr>
              <w:t xml:space="preserve"> </w:t>
            </w:r>
          </w:p>
        </w:tc>
      </w:tr>
      <w:tr w:rsidR="00B912B6" w:rsidRPr="00A6689B" w14:paraId="47D65142" w14:textId="77777777" w:rsidTr="00F51B63">
        <w:tc>
          <w:tcPr>
            <w:tcW w:w="1077" w:type="pct"/>
          </w:tcPr>
          <w:p w14:paraId="29E26703" w14:textId="77777777" w:rsidR="00B912B6" w:rsidRPr="00A6689B" w:rsidRDefault="00B912B6" w:rsidP="00151637">
            <w:pPr>
              <w:spacing w:line="264" w:lineRule="auto"/>
              <w:rPr>
                <w:i/>
              </w:rPr>
            </w:pPr>
            <w:r>
              <w:rPr>
                <w:i/>
              </w:rPr>
              <w:t>Tel.:</w:t>
            </w:r>
          </w:p>
        </w:tc>
        <w:tc>
          <w:tcPr>
            <w:tcW w:w="3923" w:type="pct"/>
          </w:tcPr>
          <w:p w14:paraId="6D96A8CA" w14:textId="77777777" w:rsidR="00B912B6" w:rsidRPr="00A6689B" w:rsidRDefault="00B912B6" w:rsidP="00151637">
            <w:pPr>
              <w:spacing w:line="264" w:lineRule="auto"/>
              <w:rPr>
                <w:i/>
              </w:rPr>
            </w:pPr>
            <w:r>
              <w:rPr>
                <w:i/>
              </w:rPr>
              <w:t>+32 2 546 8817</w:t>
            </w:r>
          </w:p>
        </w:tc>
      </w:tr>
      <w:tr w:rsidR="00B912B6" w:rsidRPr="00A6689B" w14:paraId="46374977" w14:textId="77777777" w:rsidTr="00F51B63">
        <w:tc>
          <w:tcPr>
            <w:tcW w:w="1077" w:type="pct"/>
          </w:tcPr>
          <w:p w14:paraId="03F81ED5" w14:textId="77777777" w:rsidR="00B912B6" w:rsidRPr="00A6689B" w:rsidRDefault="00B912B6" w:rsidP="00151637">
            <w:pPr>
              <w:spacing w:line="264" w:lineRule="auto"/>
              <w:rPr>
                <w:i/>
              </w:rPr>
            </w:pPr>
            <w:r>
              <w:rPr>
                <w:i/>
              </w:rPr>
              <w:t>E-mail:</w:t>
            </w:r>
          </w:p>
        </w:tc>
        <w:tc>
          <w:tcPr>
            <w:tcW w:w="3923" w:type="pct"/>
          </w:tcPr>
          <w:p w14:paraId="60C37A4A" w14:textId="77777777" w:rsidR="00B912B6" w:rsidRPr="00A6689B" w:rsidRDefault="00443888" w:rsidP="00151637">
            <w:pPr>
              <w:spacing w:line="264" w:lineRule="auto"/>
              <w:rPr>
                <w:i/>
              </w:rPr>
            </w:pPr>
            <w:hyperlink r:id="rId43" w:history="1">
              <w:r w:rsidR="00B912B6">
                <w:rPr>
                  <w:rStyle w:val="Hyperlink"/>
                  <w:i/>
                </w:rPr>
                <w:t>Daniele.Vitali@eesc.europa.eu</w:t>
              </w:r>
            </w:hyperlink>
          </w:p>
        </w:tc>
      </w:tr>
    </w:tbl>
    <w:p w14:paraId="370712C7" w14:textId="77777777" w:rsidR="00096163" w:rsidRPr="00096163" w:rsidRDefault="00C913CA" w:rsidP="00F705FF">
      <w:pPr>
        <w:widowControl w:val="0"/>
        <w:numPr>
          <w:ilvl w:val="0"/>
          <w:numId w:val="4"/>
        </w:numPr>
        <w:overflowPunct w:val="0"/>
        <w:autoSpaceDE w:val="0"/>
        <w:autoSpaceDN w:val="0"/>
        <w:adjustRightInd w:val="0"/>
        <w:ind w:hanging="567"/>
        <w:textAlignment w:val="baseline"/>
        <w:rPr>
          <w:sz w:val="20"/>
          <w:szCs w:val="20"/>
        </w:rPr>
      </w:pPr>
      <w:r>
        <w:br w:type="page"/>
      </w:r>
    </w:p>
    <w:p w14:paraId="28F7AC51" w14:textId="2AADF47B" w:rsidR="00096163" w:rsidRDefault="00096163" w:rsidP="00F51B63">
      <w:pPr>
        <w:widowControl w:val="0"/>
        <w:jc w:val="center"/>
        <w:rPr>
          <w:bCs/>
          <w:iCs/>
        </w:rPr>
      </w:pPr>
    </w:p>
    <w:p w14:paraId="409A58AC" w14:textId="77777777" w:rsidR="00096163" w:rsidRDefault="00096163" w:rsidP="00F51B63">
      <w:pPr>
        <w:widowControl w:val="0"/>
        <w:jc w:val="center"/>
        <w:rPr>
          <w:bCs/>
          <w:iCs/>
        </w:rPr>
      </w:pPr>
      <w:r>
        <w:rPr>
          <w:noProof/>
          <w:sz w:val="20"/>
        </w:rPr>
        <mc:AlternateContent>
          <mc:Choice Requires="wps">
            <w:drawing>
              <wp:anchor distT="0" distB="0" distL="114300" distR="114300" simplePos="0" relativeHeight="251692032" behindDoc="1" locked="0" layoutInCell="0" allowOverlap="1" wp14:anchorId="20119422" wp14:editId="5D6C9C1D">
                <wp:simplePos x="0" y="0"/>
                <wp:positionH relativeFrom="page">
                  <wp:posOffset>6769100</wp:posOffset>
                </wp:positionH>
                <wp:positionV relativeFrom="page">
                  <wp:posOffset>10081260</wp:posOffset>
                </wp:positionV>
                <wp:extent cx="647700" cy="396240"/>
                <wp:effectExtent l="0" t="3810" r="3175"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D4F18" w14:textId="76DFDFD3" w:rsidR="00096163" w:rsidRPr="00096163" w:rsidRDefault="00096163">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19422" id="_x0000_s1041" type="#_x0000_t202" style="position:absolute;left:0;text-align:left;margin-left:533pt;margin-top:793.8pt;width:51pt;height:3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Ncy2MPYBAADOAwAADgAAAAAAAAAAAAAAAAAuAgAA&#10;ZHJzL2Uyb0RvYy54bWxQSwECLQAUAAYACAAAACEA61QxWt4AAAAPAQAADwAAAAAAAAAAAAAAAABQ&#10;BAAAZHJzL2Rvd25yZXYueG1sUEsFBgAAAAAEAAQA8wAAAFsFAAAAAA==&#10;" o:allowincell="f" filled="f" stroked="f">
                <v:textbox>
                  <w:txbxContent>
                    <w:p w14:paraId="082D4F18" w14:textId="76DFDFD3" w:rsidR="00096163" w:rsidRPr="00096163" w:rsidRDefault="00096163">
                      <w:pPr>
                        <w:jc w:val="center"/>
                        <w:rPr>
                          <w:rFonts w:ascii="Arial" w:hAnsi="Arial" w:cs="Arial"/>
                          <w:b/>
                          <w:bCs/>
                          <w:color w:val="FFFFFF" w:themeColor="background1"/>
                          <w:sz w:val="48"/>
                        </w:rPr>
                      </w:pPr>
                    </w:p>
                  </w:txbxContent>
                </v:textbox>
                <w10:wrap anchorx="page" anchory="page"/>
              </v:shape>
            </w:pict>
          </mc:Fallback>
        </mc:AlternateContent>
      </w:r>
    </w:p>
    <w:p w14:paraId="7C488FA1" w14:textId="2594FCAD" w:rsidR="00096163" w:rsidRPr="001D72B0" w:rsidRDefault="00443888" w:rsidP="00096163">
      <w:pPr>
        <w:widowControl w:val="0"/>
        <w:numPr>
          <w:ilvl w:val="0"/>
          <w:numId w:val="4"/>
        </w:numPr>
        <w:overflowPunct w:val="0"/>
        <w:autoSpaceDE w:val="0"/>
        <w:autoSpaceDN w:val="0"/>
        <w:adjustRightInd w:val="0"/>
        <w:ind w:hanging="567"/>
        <w:textAlignment w:val="baseline"/>
        <w:rPr>
          <w:sz w:val="20"/>
        </w:rPr>
      </w:pPr>
      <w:hyperlink r:id="rId44" w:history="1">
        <w:r w:rsidR="00096163">
          <w:rPr>
            <w:rStyle w:val="Hyperlink"/>
            <w:b/>
            <w:i/>
            <w:sz w:val="28"/>
          </w:rPr>
          <w:t>O cale de urmat europeană previzibilă și comună pentru ucraineni în UE</w:t>
        </w:r>
      </w:hyperlink>
    </w:p>
    <w:p w14:paraId="06BB08D4" w14:textId="77777777" w:rsidR="00096163" w:rsidRPr="001D72B0" w:rsidRDefault="00096163" w:rsidP="00F51B63">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096163" w:rsidRPr="00A6689B" w14:paraId="246D4C70" w14:textId="77777777" w:rsidTr="00F51B63">
        <w:tc>
          <w:tcPr>
            <w:tcW w:w="1077" w:type="pct"/>
          </w:tcPr>
          <w:p w14:paraId="504E71E0" w14:textId="77777777" w:rsidR="00096163" w:rsidRPr="00A6689B" w:rsidRDefault="00096163" w:rsidP="00F51B63">
            <w:pPr>
              <w:tabs>
                <w:tab w:val="center" w:pos="284"/>
              </w:tabs>
              <w:ind w:left="266" w:hanging="266"/>
              <w:rPr>
                <w:b/>
              </w:rPr>
            </w:pPr>
            <w:r>
              <w:rPr>
                <w:b/>
              </w:rPr>
              <w:t xml:space="preserve">Raportor: </w:t>
            </w:r>
          </w:p>
        </w:tc>
        <w:tc>
          <w:tcPr>
            <w:tcW w:w="3923" w:type="pct"/>
          </w:tcPr>
          <w:p w14:paraId="6C737570" w14:textId="77777777" w:rsidR="00096163" w:rsidRPr="00A6689B" w:rsidRDefault="00096163" w:rsidP="00F51B63">
            <w:pPr>
              <w:tabs>
                <w:tab w:val="center" w:pos="284"/>
              </w:tabs>
              <w:ind w:left="266" w:right="-3091" w:hanging="266"/>
            </w:pPr>
            <w:proofErr w:type="spellStart"/>
            <w:r>
              <w:t>Mateusz</w:t>
            </w:r>
            <w:proofErr w:type="spellEnd"/>
            <w:r>
              <w:t xml:space="preserve"> SZYMAŃSKI (Grupul „Lucrători” – PL)</w:t>
            </w:r>
          </w:p>
        </w:tc>
      </w:tr>
      <w:tr w:rsidR="00096163" w:rsidRPr="00A6689B" w14:paraId="635EDDD6" w14:textId="77777777" w:rsidTr="00F51B63">
        <w:tc>
          <w:tcPr>
            <w:tcW w:w="1077" w:type="pct"/>
          </w:tcPr>
          <w:p w14:paraId="101A3D2E" w14:textId="77777777" w:rsidR="00096163" w:rsidRPr="00A6689B" w:rsidRDefault="00096163" w:rsidP="00F51B63">
            <w:pPr>
              <w:tabs>
                <w:tab w:val="center" w:pos="284"/>
              </w:tabs>
              <w:ind w:left="266" w:hanging="266"/>
              <w:rPr>
                <w:b/>
              </w:rPr>
            </w:pPr>
            <w:r>
              <w:rPr>
                <w:b/>
              </w:rPr>
              <w:t>Coraportor:</w:t>
            </w:r>
          </w:p>
        </w:tc>
        <w:tc>
          <w:tcPr>
            <w:tcW w:w="3923" w:type="pct"/>
          </w:tcPr>
          <w:p w14:paraId="59A9D50B" w14:textId="77777777" w:rsidR="00096163" w:rsidRPr="00A6689B" w:rsidRDefault="00096163" w:rsidP="00F51B63">
            <w:pPr>
              <w:tabs>
                <w:tab w:val="center" w:pos="284"/>
              </w:tabs>
              <w:ind w:left="266" w:right="-3091" w:hanging="266"/>
            </w:pPr>
            <w:proofErr w:type="spellStart"/>
            <w:r>
              <w:t>Krzysztof</w:t>
            </w:r>
            <w:proofErr w:type="spellEnd"/>
            <w:r>
              <w:t xml:space="preserve"> BALON (Grupul „Organizații ale societății civile” – PL)</w:t>
            </w:r>
          </w:p>
        </w:tc>
      </w:tr>
      <w:tr w:rsidR="00096163" w:rsidRPr="00A6689B" w14:paraId="3B2447AB" w14:textId="77777777" w:rsidTr="00F51B63">
        <w:tc>
          <w:tcPr>
            <w:tcW w:w="1077" w:type="pct"/>
          </w:tcPr>
          <w:p w14:paraId="49714896" w14:textId="77777777" w:rsidR="00096163" w:rsidRPr="00156DC6" w:rsidRDefault="00096163" w:rsidP="00F51B63">
            <w:pPr>
              <w:tabs>
                <w:tab w:val="center" w:pos="284"/>
              </w:tabs>
              <w:ind w:left="266" w:hanging="266"/>
              <w:rPr>
                <w:b/>
              </w:rPr>
            </w:pPr>
            <w:r>
              <w:rPr>
                <w:b/>
              </w:rPr>
              <w:t>Referință:</w:t>
            </w:r>
          </w:p>
        </w:tc>
        <w:tc>
          <w:tcPr>
            <w:tcW w:w="3923" w:type="pct"/>
          </w:tcPr>
          <w:p w14:paraId="110BEE0E" w14:textId="11B84629" w:rsidR="00096163" w:rsidRDefault="00096163" w:rsidP="00F51B63">
            <w:pPr>
              <w:tabs>
                <w:tab w:val="center" w:pos="284"/>
              </w:tabs>
              <w:ind w:left="266" w:right="-3091" w:hanging="266"/>
            </w:pPr>
            <w:r>
              <w:t>COM(2025) 649 final</w:t>
            </w:r>
          </w:p>
          <w:p w14:paraId="19FA8746" w14:textId="77BFB83D" w:rsidR="00096163" w:rsidRPr="00156DC6" w:rsidRDefault="00096163" w:rsidP="00F51B63">
            <w:pPr>
              <w:tabs>
                <w:tab w:val="center" w:pos="284"/>
              </w:tabs>
              <w:ind w:left="266" w:right="-3091" w:hanging="266"/>
            </w:pPr>
            <w:r>
              <w:t>EESC-2025-02613-00-00-AC</w:t>
            </w:r>
          </w:p>
        </w:tc>
      </w:tr>
    </w:tbl>
    <w:p w14:paraId="79DE50A5" w14:textId="77777777" w:rsidR="00096163" w:rsidRDefault="00096163" w:rsidP="00F51B63">
      <w:pPr>
        <w:tabs>
          <w:tab w:val="center" w:pos="284"/>
        </w:tabs>
        <w:ind w:left="266" w:hanging="266"/>
        <w:rPr>
          <w:b/>
        </w:rPr>
      </w:pPr>
    </w:p>
    <w:p w14:paraId="60C8CEDD" w14:textId="5DC61225" w:rsidR="00096163" w:rsidRPr="00A6689B" w:rsidRDefault="00096163" w:rsidP="00F51B63">
      <w:pPr>
        <w:keepNext/>
        <w:keepLines/>
        <w:tabs>
          <w:tab w:val="center" w:pos="284"/>
        </w:tabs>
        <w:ind w:left="266" w:hanging="266"/>
        <w:rPr>
          <w:b/>
        </w:rPr>
      </w:pPr>
      <w:r>
        <w:rPr>
          <w:b/>
        </w:rPr>
        <w:t>Punctele principale:</w:t>
      </w:r>
    </w:p>
    <w:p w14:paraId="12B4D71E" w14:textId="77777777" w:rsidR="00096163" w:rsidRPr="00A6689B" w:rsidRDefault="00096163" w:rsidP="00F51B63">
      <w:pPr>
        <w:keepNext/>
        <w:keepLines/>
        <w:tabs>
          <w:tab w:val="center" w:pos="284"/>
        </w:tabs>
        <w:ind w:left="266" w:hanging="266"/>
        <w:rPr>
          <w:b/>
        </w:rPr>
      </w:pPr>
    </w:p>
    <w:p w14:paraId="3EAD63C7" w14:textId="77777777" w:rsidR="00096163" w:rsidRPr="00A6689B" w:rsidRDefault="00096163" w:rsidP="00F51B63">
      <w:pPr>
        <w:rPr>
          <w:bCs/>
          <w:iCs/>
        </w:rPr>
      </w:pPr>
      <w:r>
        <w:t>CESE:</w:t>
      </w:r>
    </w:p>
    <w:p w14:paraId="1CD9A6E2" w14:textId="77777777" w:rsidR="00096163" w:rsidRDefault="00096163" w:rsidP="00096163">
      <w:pPr>
        <w:widowControl w:val="0"/>
        <w:numPr>
          <w:ilvl w:val="0"/>
          <w:numId w:val="4"/>
        </w:numPr>
        <w:overflowPunct w:val="0"/>
        <w:autoSpaceDE w:val="0"/>
        <w:autoSpaceDN w:val="0"/>
        <w:adjustRightInd w:val="0"/>
        <w:ind w:hanging="567"/>
        <w:textAlignment w:val="baseline"/>
        <w:rPr>
          <w:bCs/>
          <w:iCs/>
        </w:rPr>
      </w:pPr>
      <w:r>
        <w:t>își reiterează solidaritatea cu poporul ucrainean și reamintește că agresiunea Rusiei împotriva Ucrainei a determinat milioane de ucraineni să fugă din calea pericolului și subliniază rolul jucat de organizațiile societății civile atunci când a avut loc cel mai mare aflux de persoane strămutate din Ucraina;</w:t>
      </w:r>
    </w:p>
    <w:p w14:paraId="64E3DA8E" w14:textId="77777777" w:rsidR="00096163" w:rsidRPr="00B348D7" w:rsidRDefault="00096163" w:rsidP="00096163">
      <w:pPr>
        <w:widowControl w:val="0"/>
        <w:numPr>
          <w:ilvl w:val="0"/>
          <w:numId w:val="4"/>
        </w:numPr>
        <w:overflowPunct w:val="0"/>
        <w:autoSpaceDE w:val="0"/>
        <w:autoSpaceDN w:val="0"/>
        <w:adjustRightInd w:val="0"/>
        <w:ind w:hanging="567"/>
        <w:textAlignment w:val="baseline"/>
        <w:rPr>
          <w:bCs/>
          <w:iCs/>
        </w:rPr>
      </w:pPr>
      <w:r>
        <w:t>ia act de faptul că protecția temporară s-a dovedit a fi o soluție benefică pentru persoanele strămutate din Ucraina, deși condițiile pentru întoarcerea în Ucraina nu există încă din cauza agresiunii în curs, și salută decizia de a prelungi protecția temporară pentru o perioadă suplimentară;</w:t>
      </w:r>
    </w:p>
    <w:p w14:paraId="14446B1B" w14:textId="77777777" w:rsidR="00096163" w:rsidRPr="00A6689B" w:rsidRDefault="00096163" w:rsidP="00096163">
      <w:pPr>
        <w:widowControl w:val="0"/>
        <w:numPr>
          <w:ilvl w:val="0"/>
          <w:numId w:val="4"/>
        </w:numPr>
        <w:overflowPunct w:val="0"/>
        <w:autoSpaceDE w:val="0"/>
        <w:autoSpaceDN w:val="0"/>
        <w:adjustRightInd w:val="0"/>
        <w:ind w:hanging="567"/>
        <w:textAlignment w:val="baseline"/>
        <w:rPr>
          <w:bCs/>
          <w:iCs/>
        </w:rPr>
      </w:pPr>
      <w:r>
        <w:t>subliniază necesitatea unei perspective pe termen lung pentru persoanele care beneficiază de protecție temporară și invită Comisia Europeană și statele membre să ia măsuri pentru a facilita o tranziție ușoară către o bază cu caracter mai permanent pentru ședere și o renunțare treptată la protecția temporară;</w:t>
      </w:r>
    </w:p>
    <w:p w14:paraId="1FCDA568" w14:textId="77777777" w:rsidR="00096163" w:rsidRPr="00A6689B" w:rsidRDefault="00096163" w:rsidP="00096163">
      <w:pPr>
        <w:widowControl w:val="0"/>
        <w:numPr>
          <w:ilvl w:val="0"/>
          <w:numId w:val="4"/>
        </w:numPr>
        <w:overflowPunct w:val="0"/>
        <w:autoSpaceDE w:val="0"/>
        <w:autoSpaceDN w:val="0"/>
        <w:adjustRightInd w:val="0"/>
        <w:ind w:hanging="567"/>
        <w:textAlignment w:val="baseline"/>
        <w:rPr>
          <w:bCs/>
          <w:iCs/>
        </w:rPr>
      </w:pPr>
      <w:r>
        <w:t>subliniază că situația legată de sosirea ucrainenilor în UE a sporit presiunea asupra sistemelor de servicii publice ale statelor membre și subliniază necesitatea de a crește investițiile în servicii de interes general de înaltă calitate, inclusiv în locuințe, care ar trebui să fie disponibile în condiții de egalitate pentru toate persoanele care își au reședința legală în UE;</w:t>
      </w:r>
    </w:p>
    <w:p w14:paraId="2F4F3BE8" w14:textId="77777777" w:rsidR="00096163" w:rsidRPr="00A6689B" w:rsidRDefault="00096163" w:rsidP="00096163">
      <w:pPr>
        <w:widowControl w:val="0"/>
        <w:numPr>
          <w:ilvl w:val="0"/>
          <w:numId w:val="4"/>
        </w:numPr>
        <w:overflowPunct w:val="0"/>
        <w:autoSpaceDE w:val="0"/>
        <w:autoSpaceDN w:val="0"/>
        <w:adjustRightInd w:val="0"/>
        <w:ind w:hanging="567"/>
        <w:textAlignment w:val="baseline"/>
      </w:pPr>
      <w:r>
        <w:t>ia act de faptul că ar trebui depuse eforturi pentru a asigura integrarea cu succes a ucrainenilor în UE prin cursuri de limbă, sprijin pentru inițiativele comunităților locale, educația copiilor ucraineni în statele membre și combaterea dezinformării și a activităților serviciilor de informații ruse, precum și prin implicarea cetățenilor ucraineni în organizații care își desfășoară activitatea în comunitățile lor locale;</w:t>
      </w:r>
    </w:p>
    <w:p w14:paraId="0DBA04CE" w14:textId="77777777" w:rsidR="00096163" w:rsidRPr="00B348D7" w:rsidRDefault="00096163" w:rsidP="00096163">
      <w:pPr>
        <w:widowControl w:val="0"/>
        <w:numPr>
          <w:ilvl w:val="0"/>
          <w:numId w:val="4"/>
        </w:numPr>
        <w:overflowPunct w:val="0"/>
        <w:autoSpaceDE w:val="0"/>
        <w:autoSpaceDN w:val="0"/>
        <w:adjustRightInd w:val="0"/>
        <w:ind w:hanging="567"/>
        <w:textAlignment w:val="baseline"/>
      </w:pPr>
      <w:r>
        <w:t>subliniază importanța stabilirii unor condiții de muncă echitabile pentru ucraineni, atât în cadrul UE, cât și în Ucraina – este de așteptat ca statele membre să combată exploatarea și tratamentul inegal al ucrainenilor la locul de muncă, în timp ce se preconizează că guvernul ucrainean va restabili soluții favorabile pentru lucrători și activitățile sindicale prin dialog social.</w:t>
      </w:r>
    </w:p>
    <w:p w14:paraId="34571E4A" w14:textId="77777777" w:rsidR="00096163" w:rsidRPr="000624A9" w:rsidRDefault="00096163" w:rsidP="00F51B63">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096163" w:rsidRPr="00A6689B" w14:paraId="6C231C0C" w14:textId="77777777" w:rsidTr="00F51B63">
        <w:tc>
          <w:tcPr>
            <w:tcW w:w="1077" w:type="pct"/>
          </w:tcPr>
          <w:p w14:paraId="0D31D35A" w14:textId="77777777" w:rsidR="00096163" w:rsidRPr="00A6689B" w:rsidRDefault="00096163" w:rsidP="00F51B63">
            <w:pPr>
              <w:rPr>
                <w:i/>
              </w:rPr>
            </w:pPr>
            <w:r>
              <w:rPr>
                <w:b/>
                <w:i/>
              </w:rPr>
              <w:t>Date de contact:</w:t>
            </w:r>
          </w:p>
        </w:tc>
        <w:tc>
          <w:tcPr>
            <w:tcW w:w="3923" w:type="pct"/>
          </w:tcPr>
          <w:p w14:paraId="4B85EEB3" w14:textId="77777777" w:rsidR="00096163" w:rsidRPr="00A6689B" w:rsidRDefault="00096163" w:rsidP="00F51B63">
            <w:pPr>
              <w:rPr>
                <w:i/>
              </w:rPr>
            </w:pPr>
            <w:proofErr w:type="spellStart"/>
            <w:r>
              <w:rPr>
                <w:i/>
              </w:rPr>
              <w:t>Katarína</w:t>
            </w:r>
            <w:proofErr w:type="spellEnd"/>
            <w:r>
              <w:rPr>
                <w:i/>
              </w:rPr>
              <w:t xml:space="preserve"> GRZESZCZYK ALBRECHTOVÁ</w:t>
            </w:r>
          </w:p>
        </w:tc>
      </w:tr>
      <w:tr w:rsidR="00096163" w:rsidRPr="00A6689B" w14:paraId="5EF6B75A" w14:textId="77777777" w:rsidTr="00F51B63">
        <w:tc>
          <w:tcPr>
            <w:tcW w:w="1077" w:type="pct"/>
          </w:tcPr>
          <w:p w14:paraId="19F7DC17" w14:textId="77777777" w:rsidR="00096163" w:rsidRPr="00A6689B" w:rsidRDefault="00096163" w:rsidP="00F51B63">
            <w:pPr>
              <w:rPr>
                <w:i/>
              </w:rPr>
            </w:pPr>
            <w:r>
              <w:rPr>
                <w:i/>
              </w:rPr>
              <w:t>Tel.:</w:t>
            </w:r>
          </w:p>
        </w:tc>
        <w:tc>
          <w:tcPr>
            <w:tcW w:w="3923" w:type="pct"/>
          </w:tcPr>
          <w:p w14:paraId="54C32F34" w14:textId="77777777" w:rsidR="00096163" w:rsidRPr="00A6689B" w:rsidRDefault="00096163" w:rsidP="00F51B63">
            <w:pPr>
              <w:rPr>
                <w:i/>
              </w:rPr>
            </w:pPr>
            <w:r>
              <w:rPr>
                <w:i/>
              </w:rPr>
              <w:t>+32 2 546 9460</w:t>
            </w:r>
          </w:p>
        </w:tc>
      </w:tr>
      <w:tr w:rsidR="00096163" w:rsidRPr="00A6689B" w14:paraId="132C593E" w14:textId="77777777" w:rsidTr="00F51B63">
        <w:tc>
          <w:tcPr>
            <w:tcW w:w="1077" w:type="pct"/>
          </w:tcPr>
          <w:p w14:paraId="39E4F341" w14:textId="77777777" w:rsidR="00096163" w:rsidRPr="00A6689B" w:rsidRDefault="00096163" w:rsidP="00F51B63">
            <w:pPr>
              <w:rPr>
                <w:i/>
              </w:rPr>
            </w:pPr>
            <w:r>
              <w:rPr>
                <w:i/>
              </w:rPr>
              <w:t>E-mail:</w:t>
            </w:r>
          </w:p>
        </w:tc>
        <w:tc>
          <w:tcPr>
            <w:tcW w:w="3923" w:type="pct"/>
          </w:tcPr>
          <w:p w14:paraId="1F54CC3F" w14:textId="77777777" w:rsidR="00096163" w:rsidRPr="00A6689B" w:rsidRDefault="00443888" w:rsidP="00F51B63">
            <w:pPr>
              <w:rPr>
                <w:i/>
              </w:rPr>
            </w:pPr>
            <w:hyperlink r:id="rId45" w:history="1">
              <w:r w:rsidR="00096163">
                <w:rPr>
                  <w:rStyle w:val="Hyperlink"/>
                  <w:i/>
                </w:rPr>
                <w:t>Katarina.Albrechtova@eesc.europa.eu</w:t>
              </w:r>
            </w:hyperlink>
            <w:r w:rsidR="00096163">
              <w:rPr>
                <w:i/>
              </w:rPr>
              <w:t xml:space="preserve"> </w:t>
            </w:r>
          </w:p>
        </w:tc>
      </w:tr>
    </w:tbl>
    <w:p w14:paraId="28C69286" w14:textId="77777777" w:rsidR="004503DC" w:rsidRDefault="004503DC">
      <w:pPr>
        <w:spacing w:after="160" w:line="259" w:lineRule="auto"/>
        <w:jc w:val="left"/>
      </w:pPr>
      <w:r>
        <w:br w:type="page"/>
      </w:r>
    </w:p>
    <w:p w14:paraId="0913C385" w14:textId="5A1378C6" w:rsidR="00777DE6" w:rsidRPr="00777DE6" w:rsidRDefault="006D2C8A" w:rsidP="006D2C8A">
      <w:pPr>
        <w:pStyle w:val="Heading1"/>
        <w:rPr>
          <w:b/>
        </w:rPr>
      </w:pPr>
      <w:bookmarkStart w:id="12" w:name="_Toc216795116"/>
      <w:r>
        <w:rPr>
          <w:b/>
          <w:color w:val="222A35" w:themeColor="text2" w:themeShade="80"/>
        </w:rPr>
        <w:lastRenderedPageBreak/>
        <w:t>COMISIA CONSULTATIVĂ PENTRU MUTAȚII INDUSTRIALE</w:t>
      </w:r>
      <w:bookmarkEnd w:id="12"/>
    </w:p>
    <w:p w14:paraId="7F60BF0B" w14:textId="0D599714" w:rsidR="00777DE6" w:rsidRDefault="00777DE6" w:rsidP="00F248E5">
      <w:pPr>
        <w:widowControl w:val="0"/>
        <w:jc w:val="center"/>
        <w:rPr>
          <w:bCs/>
          <w:iCs/>
        </w:rPr>
      </w:pPr>
      <w:r>
        <w:rPr>
          <w:noProof/>
          <w:sz w:val="20"/>
        </w:rPr>
        <mc:AlternateContent>
          <mc:Choice Requires="wps">
            <w:drawing>
              <wp:anchor distT="0" distB="0" distL="114300" distR="114300" simplePos="0" relativeHeight="251694080" behindDoc="1" locked="0" layoutInCell="0" allowOverlap="1" wp14:anchorId="06A3BF6D" wp14:editId="41059E3A">
                <wp:simplePos x="0" y="0"/>
                <wp:positionH relativeFrom="page">
                  <wp:posOffset>6769100</wp:posOffset>
                </wp:positionH>
                <wp:positionV relativeFrom="page">
                  <wp:posOffset>10081260</wp:posOffset>
                </wp:positionV>
                <wp:extent cx="647700" cy="396240"/>
                <wp:effectExtent l="0" t="3810" r="3175"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09A8" w14:textId="5E947170" w:rsidR="00777DE6" w:rsidRPr="00777DE6" w:rsidRDefault="00777DE6">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3BF6D" id="_x0000_s1042" type="#_x0000_t202" style="position:absolute;left:0;text-align:left;margin-left:533pt;margin-top:793.8pt;width:51pt;height:3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XN9QEAAM8DAAAOAAAAZHJzL2Uyb0RvYy54bWysU9tu2zAMfR+wfxD0vtjJsmQ1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ALDaXN9QEAAM8DAAAOAAAAAAAAAAAAAAAAAC4CAABk&#10;cnMvZTJvRG9jLnhtbFBLAQItABQABgAIAAAAIQDrVDFa3gAAAA8BAAAPAAAAAAAAAAAAAAAAAE8E&#10;AABkcnMvZG93bnJldi54bWxQSwUGAAAAAAQABADzAAAAWgUAAAAA&#10;" o:allowincell="f" filled="f" stroked="f">
                <v:textbox>
                  <w:txbxContent>
                    <w:p w14:paraId="46B509A8" w14:textId="5E947170" w:rsidR="00777DE6" w:rsidRPr="00777DE6" w:rsidRDefault="00777DE6">
                      <w:pPr>
                        <w:jc w:val="center"/>
                        <w:rPr>
                          <w:rFonts w:ascii="Arial" w:hAnsi="Arial" w:cs="Arial"/>
                          <w:b/>
                          <w:bCs/>
                          <w:color w:val="FFFFFF" w:themeColor="background1"/>
                          <w:sz w:val="48"/>
                        </w:rPr>
                      </w:pPr>
                    </w:p>
                  </w:txbxContent>
                </v:textbox>
                <w10:wrap anchorx="page" anchory="page"/>
              </v:shape>
            </w:pict>
          </mc:Fallback>
        </mc:AlternateContent>
      </w:r>
    </w:p>
    <w:p w14:paraId="3D8E00CF" w14:textId="00615F5D" w:rsidR="00777DE6" w:rsidRDefault="00443888" w:rsidP="00777DE6">
      <w:pPr>
        <w:widowControl w:val="0"/>
        <w:numPr>
          <w:ilvl w:val="0"/>
          <w:numId w:val="4"/>
        </w:numPr>
        <w:overflowPunct w:val="0"/>
        <w:autoSpaceDE w:val="0"/>
        <w:autoSpaceDN w:val="0"/>
        <w:adjustRightInd w:val="0"/>
        <w:ind w:hanging="567"/>
        <w:textAlignment w:val="baseline"/>
        <w:rPr>
          <w:sz w:val="20"/>
        </w:rPr>
      </w:pPr>
      <w:hyperlink r:id="rId46" w:history="1">
        <w:r w:rsidR="00777DE6">
          <w:rPr>
            <w:rStyle w:val="Hyperlink"/>
            <w:b/>
            <w:i/>
            <w:sz w:val="28"/>
          </w:rPr>
          <w:t>Dezvoltarea potențialului materialelor permanente în economia circulară a UE</w:t>
        </w:r>
      </w:hyperlink>
    </w:p>
    <w:p w14:paraId="0BC1C9C3" w14:textId="77777777" w:rsidR="00777DE6" w:rsidRPr="005E713A" w:rsidRDefault="00777DE6" w:rsidP="005E713A">
      <w:pPr>
        <w:widowControl w:val="0"/>
        <w:spacing w:line="240" w:lineRule="auto"/>
        <w:ind w:left="567"/>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777DE6" w:rsidRPr="008630AF" w14:paraId="2BCB6D36" w14:textId="77777777" w:rsidTr="00F51B63">
        <w:tc>
          <w:tcPr>
            <w:tcW w:w="1077" w:type="pct"/>
          </w:tcPr>
          <w:p w14:paraId="2465F909" w14:textId="77777777" w:rsidR="00777DE6" w:rsidRPr="00A6689B" w:rsidRDefault="00777DE6" w:rsidP="00F248E5">
            <w:pPr>
              <w:tabs>
                <w:tab w:val="center" w:pos="284"/>
              </w:tabs>
              <w:ind w:left="266" w:hanging="266"/>
              <w:rPr>
                <w:b/>
              </w:rPr>
            </w:pPr>
            <w:r>
              <w:rPr>
                <w:b/>
                <w:bCs/>
              </w:rPr>
              <w:t>Raportor:</w:t>
            </w:r>
          </w:p>
        </w:tc>
        <w:tc>
          <w:tcPr>
            <w:tcW w:w="3923" w:type="pct"/>
          </w:tcPr>
          <w:p w14:paraId="770F94C6" w14:textId="77777777" w:rsidR="00777DE6" w:rsidRPr="00C86E1C" w:rsidRDefault="00777DE6" w:rsidP="00F248E5">
            <w:pPr>
              <w:tabs>
                <w:tab w:val="center" w:pos="284"/>
              </w:tabs>
              <w:ind w:left="266" w:right="-3091" w:hanging="266"/>
            </w:pPr>
            <w:r>
              <w:t>Andrea MONE (Grupul „Lucrători” – IT)</w:t>
            </w:r>
          </w:p>
        </w:tc>
      </w:tr>
      <w:tr w:rsidR="00777DE6" w:rsidRPr="00A6689B" w14:paraId="2426C45C" w14:textId="77777777" w:rsidTr="00F51B63">
        <w:tc>
          <w:tcPr>
            <w:tcW w:w="1077" w:type="pct"/>
          </w:tcPr>
          <w:p w14:paraId="36297F11" w14:textId="77777777" w:rsidR="00777DE6" w:rsidRPr="00A6689B" w:rsidRDefault="00777DE6" w:rsidP="00F248E5">
            <w:pPr>
              <w:tabs>
                <w:tab w:val="center" w:pos="284"/>
              </w:tabs>
              <w:ind w:left="266" w:hanging="266"/>
              <w:rPr>
                <w:b/>
              </w:rPr>
            </w:pPr>
            <w:r>
              <w:rPr>
                <w:b/>
              </w:rPr>
              <w:t>Coraportor</w:t>
            </w:r>
            <w:r>
              <w:rPr>
                <w:b/>
                <w:bCs/>
              </w:rPr>
              <w:t>:</w:t>
            </w:r>
          </w:p>
        </w:tc>
        <w:tc>
          <w:tcPr>
            <w:tcW w:w="3923" w:type="pct"/>
          </w:tcPr>
          <w:p w14:paraId="70FC8FD5" w14:textId="77777777" w:rsidR="00777DE6" w:rsidRPr="00D97375" w:rsidRDefault="00777DE6" w:rsidP="00F248E5">
            <w:pPr>
              <w:tabs>
                <w:tab w:val="center" w:pos="284"/>
              </w:tabs>
              <w:ind w:left="266" w:right="-3091" w:hanging="266"/>
            </w:pPr>
            <w:r>
              <w:t>Michal PINTÉR (Grupul „Angajatori” – SK)</w:t>
            </w:r>
          </w:p>
        </w:tc>
      </w:tr>
      <w:tr w:rsidR="00777DE6" w:rsidRPr="00A6689B" w14:paraId="4593BF6F" w14:textId="77777777" w:rsidTr="00F51B63">
        <w:tc>
          <w:tcPr>
            <w:tcW w:w="1077" w:type="pct"/>
          </w:tcPr>
          <w:p w14:paraId="7E47B923" w14:textId="77777777" w:rsidR="00777DE6" w:rsidRPr="00A6689B" w:rsidRDefault="00777DE6" w:rsidP="00F248E5">
            <w:pPr>
              <w:tabs>
                <w:tab w:val="center" w:pos="284"/>
              </w:tabs>
              <w:ind w:left="266" w:hanging="266"/>
              <w:rPr>
                <w:b/>
              </w:rPr>
            </w:pPr>
            <w:r>
              <w:rPr>
                <w:b/>
              </w:rPr>
              <w:t>Referință:</w:t>
            </w:r>
          </w:p>
        </w:tc>
        <w:tc>
          <w:tcPr>
            <w:tcW w:w="3923" w:type="pct"/>
          </w:tcPr>
          <w:p w14:paraId="6A07D960" w14:textId="77777777" w:rsidR="00A56746" w:rsidRDefault="00A56746" w:rsidP="00F248E5">
            <w:pPr>
              <w:tabs>
                <w:tab w:val="center" w:pos="284"/>
              </w:tabs>
              <w:ind w:left="266" w:right="-3091" w:hanging="266"/>
            </w:pPr>
            <w:r w:rsidRPr="0096642D">
              <w:t>(aviz din proprie inițiativă)</w:t>
            </w:r>
          </w:p>
          <w:p w14:paraId="20966B01" w14:textId="226DD16C" w:rsidR="00777DE6" w:rsidRPr="00A6689B" w:rsidRDefault="00777DE6" w:rsidP="00F248E5">
            <w:pPr>
              <w:tabs>
                <w:tab w:val="center" w:pos="284"/>
              </w:tabs>
              <w:ind w:left="266" w:right="-3091" w:hanging="266"/>
            </w:pPr>
            <w:r>
              <w:t>EESC-2025-02364-00-00-AC</w:t>
            </w:r>
          </w:p>
        </w:tc>
      </w:tr>
    </w:tbl>
    <w:p w14:paraId="5023D665" w14:textId="77777777" w:rsidR="00777DE6" w:rsidRPr="005E713A" w:rsidRDefault="00777DE6" w:rsidP="005E713A">
      <w:pPr>
        <w:tabs>
          <w:tab w:val="center" w:pos="284"/>
        </w:tabs>
        <w:spacing w:line="240" w:lineRule="auto"/>
        <w:ind w:left="266" w:hanging="266"/>
        <w:rPr>
          <w:b/>
          <w:sz w:val="16"/>
          <w:szCs w:val="16"/>
        </w:rPr>
      </w:pPr>
    </w:p>
    <w:p w14:paraId="09E4CF10" w14:textId="77777777" w:rsidR="00777DE6" w:rsidRPr="00A6689B" w:rsidRDefault="00777DE6" w:rsidP="00F248E5">
      <w:pPr>
        <w:keepNext/>
        <w:keepLines/>
        <w:tabs>
          <w:tab w:val="center" w:pos="284"/>
        </w:tabs>
        <w:ind w:left="266" w:hanging="266"/>
        <w:rPr>
          <w:b/>
        </w:rPr>
      </w:pPr>
      <w:r>
        <w:rPr>
          <w:b/>
        </w:rPr>
        <w:t>Punctele principale:</w:t>
      </w:r>
    </w:p>
    <w:p w14:paraId="29E861A5" w14:textId="77777777" w:rsidR="00777DE6" w:rsidRPr="005E713A" w:rsidRDefault="00777DE6" w:rsidP="005E713A">
      <w:pPr>
        <w:keepNext/>
        <w:keepLines/>
        <w:tabs>
          <w:tab w:val="center" w:pos="284"/>
        </w:tabs>
        <w:spacing w:line="240" w:lineRule="auto"/>
        <w:ind w:left="266" w:hanging="266"/>
        <w:rPr>
          <w:b/>
          <w:sz w:val="16"/>
          <w:szCs w:val="16"/>
        </w:rPr>
      </w:pPr>
    </w:p>
    <w:p w14:paraId="52F6BFB2" w14:textId="77777777" w:rsidR="00777DE6" w:rsidRPr="00A6689B" w:rsidRDefault="00777DE6" w:rsidP="00F248E5">
      <w:pPr>
        <w:rPr>
          <w:bCs/>
          <w:iCs/>
        </w:rPr>
      </w:pPr>
      <w:r>
        <w:t>CESE:</w:t>
      </w:r>
    </w:p>
    <w:p w14:paraId="5F24F7D0" w14:textId="77777777" w:rsidR="00777DE6" w:rsidRPr="00965E9C" w:rsidRDefault="00777DE6" w:rsidP="00777DE6">
      <w:pPr>
        <w:pStyle w:val="NormalWeb"/>
        <w:numPr>
          <w:ilvl w:val="0"/>
          <w:numId w:val="4"/>
        </w:numPr>
        <w:spacing w:before="0" w:beforeAutospacing="0" w:after="0" w:afterAutospacing="0" w:line="288" w:lineRule="auto"/>
        <w:ind w:hanging="567"/>
        <w:jc w:val="both"/>
        <w:rPr>
          <w:spacing w:val="-4"/>
          <w:sz w:val="22"/>
          <w:szCs w:val="22"/>
        </w:rPr>
      </w:pPr>
      <w:r w:rsidRPr="00965E9C">
        <w:rPr>
          <w:b/>
          <w:bCs/>
          <w:spacing w:val="-4"/>
          <w:sz w:val="22"/>
        </w:rPr>
        <w:t>recunoaște rolul esențial al materialelor permanente</w:t>
      </w:r>
      <w:r w:rsidRPr="00965E9C">
        <w:rPr>
          <w:spacing w:val="-4"/>
          <w:sz w:val="22"/>
        </w:rPr>
        <w:t xml:space="preserve"> în promovarea unei economii circulare veritabile, în special în sectorul ambalajelor, și solicită </w:t>
      </w:r>
      <w:r w:rsidRPr="00965E9C">
        <w:rPr>
          <w:b/>
          <w:bCs/>
          <w:spacing w:val="-4"/>
          <w:sz w:val="22"/>
        </w:rPr>
        <w:t>recunoașterea lor explicită în legislația UE</w:t>
      </w:r>
      <w:r w:rsidRPr="00965E9C">
        <w:rPr>
          <w:spacing w:val="-4"/>
          <w:sz w:val="22"/>
        </w:rPr>
        <w:t>;</w:t>
      </w:r>
    </w:p>
    <w:p w14:paraId="2843D2D6" w14:textId="77777777" w:rsidR="00777DE6" w:rsidRPr="001D3475"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sprijină ambiția UE de a atinge o rată de colectare separată de 90 % pentru deșeurile de ambalaje până în 2030</w:t>
      </w:r>
      <w:r>
        <w:rPr>
          <w:sz w:val="22"/>
        </w:rPr>
        <w:t>, subliniind că sistemele avansate și bine finanțate de colectare, sortare și reciclare de înaltă calitate sunt esențiale pentru a maximiza conservarea materialelor și a permite reciclarea în circuit închis a materialelor permanente;</w:t>
      </w:r>
    </w:p>
    <w:p w14:paraId="4CFC2146" w14:textId="77777777" w:rsidR="00777DE6" w:rsidRPr="001D3475"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solicită consolidarea și armonizarea schemelor de răspundere extinsă a producătorilor</w:t>
      </w:r>
      <w:r>
        <w:rPr>
          <w:sz w:val="22"/>
        </w:rPr>
        <w:t xml:space="preserve"> în toate statele membre. Această măsură include aplicarea unor </w:t>
      </w:r>
      <w:r>
        <w:rPr>
          <w:b/>
          <w:bCs/>
          <w:sz w:val="22"/>
        </w:rPr>
        <w:t xml:space="preserve">taxe </w:t>
      </w:r>
      <w:proofErr w:type="spellStart"/>
      <w:r>
        <w:rPr>
          <w:b/>
          <w:bCs/>
          <w:sz w:val="22"/>
        </w:rPr>
        <w:t>ecomodulate</w:t>
      </w:r>
      <w:proofErr w:type="spellEnd"/>
      <w:r>
        <w:rPr>
          <w:b/>
          <w:bCs/>
          <w:sz w:val="22"/>
        </w:rPr>
        <w:t xml:space="preserve"> bazate pe criterii transparente și coerente</w:t>
      </w:r>
      <w:r>
        <w:rPr>
          <w:sz w:val="22"/>
        </w:rPr>
        <w:t xml:space="preserve">, asigurarea unor structuri proporționale ale taxelor și </w:t>
      </w:r>
      <w:r>
        <w:rPr>
          <w:b/>
          <w:bCs/>
          <w:sz w:val="22"/>
        </w:rPr>
        <w:t>delimitarea veniturilor provenite din schemele de răspundere extinsă a producătorilor,</w:t>
      </w:r>
      <w:r>
        <w:rPr>
          <w:sz w:val="22"/>
        </w:rPr>
        <w:t xml:space="preserve"> pentru a asigura reinvestirea în același flux de materiale;</w:t>
      </w:r>
    </w:p>
    <w:p w14:paraId="7F9569D8" w14:textId="77777777" w:rsidR="00777DE6" w:rsidRPr="001D3475"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constată că este necesar să se acorde prioritate investițiilor</w:t>
      </w:r>
      <w:r>
        <w:rPr>
          <w:sz w:val="22"/>
        </w:rPr>
        <w:t xml:space="preserve"> în infrastructură modernă pentru colectarea separată, sortarea și reciclarea deșeurilor de ambalaje. Subliniază că </w:t>
      </w:r>
      <w:r>
        <w:rPr>
          <w:b/>
          <w:bCs/>
          <w:sz w:val="22"/>
        </w:rPr>
        <w:t>sprijinul suplimentar ar trebui să se concentreze pe regiunile cu performanțe mai scăzute sau pe cele cu o capacitate de investiții limitată</w:t>
      </w:r>
      <w:r>
        <w:rPr>
          <w:sz w:val="22"/>
        </w:rPr>
        <w:t>, astfel încât toate statele membre să poată îndeplini obiectivele economiei circulare;</w:t>
      </w:r>
    </w:p>
    <w:p w14:paraId="220A877F" w14:textId="77777777" w:rsidR="00777DE6" w:rsidRPr="001D3475"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recomandă o evaluare cuprinzătoare la nivelul UE a comportamentelor cetățenilor în materie de reciclare</w:t>
      </w:r>
      <w:r>
        <w:rPr>
          <w:sz w:val="22"/>
        </w:rPr>
        <w:t>, pentru a identifica deficiențe, obstacole și bune practici. Pe baza acestei evaluări, CESE solicită măsuri de consolidare a participării consumatorilor la colectarea separată a deșeurilor de ambalaje, recunoscând că sortarea în gospodării este prima etapă esențială a reciclării eficace;</w:t>
      </w:r>
    </w:p>
    <w:p w14:paraId="08FCC8B7" w14:textId="686485AE" w:rsidR="00777DE6" w:rsidRPr="001D3475"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 xml:space="preserve">subliniază importanța unei tranziții sustenabile din punct de vedere social </w:t>
      </w:r>
      <w:r>
        <w:rPr>
          <w:sz w:val="22"/>
        </w:rPr>
        <w:t>către o economie circulară și îndeamnă să se anticipe</w:t>
      </w:r>
      <w:r w:rsidR="00BA227E">
        <w:rPr>
          <w:sz w:val="22"/>
        </w:rPr>
        <w:t>ze</w:t>
      </w:r>
      <w:r>
        <w:rPr>
          <w:sz w:val="22"/>
        </w:rPr>
        <w:t xml:space="preserve"> impactul asupra pieței forței de muncă. Comitetul solicită garantarea accesului la </w:t>
      </w:r>
      <w:r>
        <w:rPr>
          <w:b/>
          <w:bCs/>
          <w:sz w:val="22"/>
        </w:rPr>
        <w:t>oportunități de perfecționare și recalificare</w:t>
      </w:r>
      <w:r>
        <w:rPr>
          <w:sz w:val="22"/>
        </w:rPr>
        <w:t xml:space="preserve"> pentru a sprijini tranziția de la un loc de muncă la altul, astfel încât lucrătorii să poată beneficia pe deplin de economia circulară aflată în evoluție și să poată contribui la aceasta;</w:t>
      </w:r>
    </w:p>
    <w:p w14:paraId="64ACC315" w14:textId="42C16E51" w:rsidR="00777DE6" w:rsidRPr="005E713A" w:rsidRDefault="00777DE6" w:rsidP="00777DE6">
      <w:pPr>
        <w:pStyle w:val="NormalWeb"/>
        <w:numPr>
          <w:ilvl w:val="0"/>
          <w:numId w:val="4"/>
        </w:numPr>
        <w:spacing w:before="0" w:beforeAutospacing="0" w:after="0" w:afterAutospacing="0" w:line="288" w:lineRule="auto"/>
        <w:ind w:hanging="567"/>
        <w:jc w:val="both"/>
        <w:rPr>
          <w:sz w:val="22"/>
          <w:szCs w:val="22"/>
        </w:rPr>
      </w:pPr>
      <w:r>
        <w:rPr>
          <w:b/>
          <w:bCs/>
          <w:sz w:val="22"/>
        </w:rPr>
        <w:t>pledează pentru consolidarea dialogului social și a negocierilor colective la toate nivelurile</w:t>
      </w:r>
      <w:r>
        <w:rPr>
          <w:sz w:val="22"/>
        </w:rPr>
        <w:t>, inclusiv la nivel de întreprindere, pentru a garanta că lucrătorii sunt informați, consultați și implicați în tranziția către modele de afaceri circulare.</w:t>
      </w:r>
    </w:p>
    <w:p w14:paraId="11B1ECF9" w14:textId="77777777" w:rsidR="005E713A" w:rsidRPr="001D3475" w:rsidRDefault="005E713A" w:rsidP="003A7A30">
      <w:pPr>
        <w:pStyle w:val="NormalWeb"/>
        <w:spacing w:before="0" w:beforeAutospacing="0" w:after="0" w:afterAutospacing="0" w:line="288" w:lineRule="auto"/>
        <w:ind w:left="567"/>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777DE6" w:rsidRPr="00A6689B" w14:paraId="182071BC" w14:textId="77777777" w:rsidTr="00F51B63">
        <w:tc>
          <w:tcPr>
            <w:tcW w:w="1077" w:type="pct"/>
          </w:tcPr>
          <w:p w14:paraId="6A078A57" w14:textId="77777777" w:rsidR="00777DE6" w:rsidRPr="00A6689B" w:rsidRDefault="00777DE6" w:rsidP="00F248E5">
            <w:pPr>
              <w:rPr>
                <w:i/>
              </w:rPr>
            </w:pPr>
            <w:r>
              <w:rPr>
                <w:b/>
                <w:i/>
              </w:rPr>
              <w:t>Date de contact:</w:t>
            </w:r>
          </w:p>
        </w:tc>
        <w:tc>
          <w:tcPr>
            <w:tcW w:w="3923" w:type="pct"/>
          </w:tcPr>
          <w:p w14:paraId="3E532E35" w14:textId="77777777" w:rsidR="00777DE6" w:rsidRPr="00A6689B" w:rsidRDefault="00777DE6" w:rsidP="00F248E5">
            <w:pPr>
              <w:rPr>
                <w:i/>
              </w:rPr>
            </w:pPr>
            <w:r>
              <w:rPr>
                <w:i/>
              </w:rPr>
              <w:t>Adam DORYWALSKI</w:t>
            </w:r>
          </w:p>
        </w:tc>
      </w:tr>
      <w:tr w:rsidR="00777DE6" w:rsidRPr="00A6689B" w14:paraId="16564781" w14:textId="77777777" w:rsidTr="00F51B63">
        <w:tc>
          <w:tcPr>
            <w:tcW w:w="1077" w:type="pct"/>
          </w:tcPr>
          <w:p w14:paraId="2FB801E7" w14:textId="77777777" w:rsidR="00777DE6" w:rsidRPr="00A6689B" w:rsidRDefault="00777DE6" w:rsidP="00F248E5">
            <w:pPr>
              <w:rPr>
                <w:i/>
              </w:rPr>
            </w:pPr>
            <w:r>
              <w:rPr>
                <w:i/>
              </w:rPr>
              <w:t>Tel.:</w:t>
            </w:r>
          </w:p>
        </w:tc>
        <w:tc>
          <w:tcPr>
            <w:tcW w:w="3923" w:type="pct"/>
          </w:tcPr>
          <w:p w14:paraId="412DD522" w14:textId="77777777" w:rsidR="00777DE6" w:rsidRPr="00A6689B" w:rsidRDefault="00777DE6" w:rsidP="00F248E5">
            <w:pPr>
              <w:rPr>
                <w:i/>
              </w:rPr>
            </w:pPr>
            <w:r>
              <w:rPr>
                <w:i/>
              </w:rPr>
              <w:t>+32 2 546 9397</w:t>
            </w:r>
          </w:p>
        </w:tc>
      </w:tr>
      <w:tr w:rsidR="00777DE6" w:rsidRPr="00A6689B" w14:paraId="11BD43EE" w14:textId="77777777" w:rsidTr="00F51B63">
        <w:tc>
          <w:tcPr>
            <w:tcW w:w="1077" w:type="pct"/>
          </w:tcPr>
          <w:p w14:paraId="0701E4A7" w14:textId="77777777" w:rsidR="00777DE6" w:rsidRPr="00A6689B" w:rsidRDefault="00777DE6" w:rsidP="00F248E5">
            <w:pPr>
              <w:rPr>
                <w:i/>
              </w:rPr>
            </w:pPr>
            <w:r>
              <w:rPr>
                <w:i/>
              </w:rPr>
              <w:t>E-mail:</w:t>
            </w:r>
          </w:p>
        </w:tc>
        <w:tc>
          <w:tcPr>
            <w:tcW w:w="3923" w:type="pct"/>
          </w:tcPr>
          <w:p w14:paraId="6EAD8467" w14:textId="77777777" w:rsidR="00777DE6" w:rsidRPr="00A6689B" w:rsidRDefault="00443888" w:rsidP="00F248E5">
            <w:pPr>
              <w:rPr>
                <w:i/>
              </w:rPr>
            </w:pPr>
            <w:hyperlink r:id="rId47" w:history="1">
              <w:r w:rsidR="00777DE6">
                <w:rPr>
                  <w:rStyle w:val="Hyperlink"/>
                  <w:i/>
                </w:rPr>
                <w:t>Adam.Dorywalski@eesc.europa.eu</w:t>
              </w:r>
            </w:hyperlink>
          </w:p>
        </w:tc>
      </w:tr>
    </w:tbl>
    <w:p w14:paraId="1D4DBE8E" w14:textId="77777777" w:rsidR="00ED76AC" w:rsidRDefault="00ED76AC">
      <w:pPr>
        <w:spacing w:after="160" w:line="259" w:lineRule="auto"/>
        <w:jc w:val="left"/>
      </w:pPr>
      <w:r>
        <w:br w:type="page"/>
      </w:r>
    </w:p>
    <w:p w14:paraId="5FA092F6" w14:textId="77777777" w:rsidR="003A7A30" w:rsidRDefault="003A7A30" w:rsidP="00F51B63">
      <w:pPr>
        <w:widowControl w:val="0"/>
        <w:jc w:val="center"/>
        <w:rPr>
          <w:bCs/>
          <w:iCs/>
        </w:rPr>
      </w:pPr>
      <w:r>
        <w:rPr>
          <w:noProof/>
          <w:sz w:val="20"/>
        </w:rPr>
        <w:lastRenderedPageBreak/>
        <mc:AlternateContent>
          <mc:Choice Requires="wps">
            <w:drawing>
              <wp:anchor distT="0" distB="0" distL="114300" distR="114300" simplePos="0" relativeHeight="251696128" behindDoc="1" locked="0" layoutInCell="0" allowOverlap="1" wp14:anchorId="2FFA03A8" wp14:editId="256B225E">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BC17" w14:textId="77777777" w:rsidR="003A7A30" w:rsidRPr="003A7A30" w:rsidRDefault="003A7A30">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03A8" id="_x0000_s1043" type="#_x0000_t202" style="position:absolute;left:0;text-align:left;margin-left:533pt;margin-top:793.8pt;width:51pt;height:3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IW4++/0AQAAzgMAAA4AAAAAAAAAAAAAAAAALgIAAGRy&#10;cy9lMm9Eb2MueG1sUEsBAi0AFAAGAAgAAAAhAOtUMVreAAAADwEAAA8AAAAAAAAAAAAAAAAATgQA&#10;AGRycy9kb3ducmV2LnhtbFBLBQYAAAAABAAEAPMAAABZBQAAAAA=&#10;" o:allowincell="f" filled="f" stroked="f">
                <v:textbox>
                  <w:txbxContent>
                    <w:p w14:paraId="54F5BC17" w14:textId="77777777" w:rsidR="003A7A30" w:rsidRPr="003A7A30" w:rsidRDefault="003A7A30">
                      <w:pPr>
                        <w:jc w:val="center"/>
                        <w:rPr>
                          <w:rFonts w:ascii="Arial" w:hAnsi="Arial" w:cs="Arial"/>
                          <w:b/>
                          <w:bCs/>
                          <w:color w:val="FFFFFF" w:themeColor="background1"/>
                          <w:sz w:val="48"/>
                        </w:rPr>
                      </w:pPr>
                    </w:p>
                  </w:txbxContent>
                </v:textbox>
                <w10:wrap anchorx="page" anchory="page"/>
              </v:shape>
            </w:pict>
          </mc:Fallback>
        </mc:AlternateContent>
      </w:r>
    </w:p>
    <w:p w14:paraId="2E32E1CD" w14:textId="027CCCE1" w:rsidR="003A7A30" w:rsidRPr="002743B1" w:rsidRDefault="00443888" w:rsidP="003A7A30">
      <w:pPr>
        <w:widowControl w:val="0"/>
        <w:numPr>
          <w:ilvl w:val="0"/>
          <w:numId w:val="4"/>
        </w:numPr>
        <w:overflowPunct w:val="0"/>
        <w:autoSpaceDE w:val="0"/>
        <w:autoSpaceDN w:val="0"/>
        <w:adjustRightInd w:val="0"/>
        <w:ind w:hanging="567"/>
        <w:textAlignment w:val="baseline"/>
        <w:rPr>
          <w:sz w:val="20"/>
        </w:rPr>
      </w:pPr>
      <w:hyperlink r:id="rId48" w:history="1">
        <w:r w:rsidR="003A7A30" w:rsidRPr="002743B1">
          <w:rPr>
            <w:rStyle w:val="Hyperlink"/>
            <w:b/>
            <w:i/>
            <w:sz w:val="28"/>
          </w:rPr>
          <w:t>Cooperativele industriale</w:t>
        </w:r>
      </w:hyperlink>
      <w:r w:rsidR="003A7A30">
        <w:rPr>
          <w:rStyle w:val="Hyperlink"/>
          <w:b/>
          <w:i/>
          <w:sz w:val="28"/>
        </w:rPr>
        <w:t xml:space="preserve">: </w:t>
      </w:r>
      <w:r w:rsidR="003A7A30" w:rsidRPr="003A7A30">
        <w:rPr>
          <w:rStyle w:val="Hyperlink"/>
          <w:b/>
          <w:i/>
          <w:sz w:val="28"/>
        </w:rPr>
        <w:t>un instrument pentru provocarea reprezentată de competitivitatea durabilă și favorabilă incluziunii</w:t>
      </w:r>
    </w:p>
    <w:p w14:paraId="710D47AB" w14:textId="77777777" w:rsidR="003A7A30" w:rsidRPr="00A6689B" w:rsidRDefault="003A7A30" w:rsidP="00F51B63">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3A7A30" w:rsidRPr="008630AF" w14:paraId="3FEE537B" w14:textId="77777777" w:rsidTr="00F51B63">
        <w:tc>
          <w:tcPr>
            <w:tcW w:w="1077" w:type="pct"/>
          </w:tcPr>
          <w:p w14:paraId="25834EED" w14:textId="77777777" w:rsidR="003A7A30" w:rsidRPr="00A6689B" w:rsidRDefault="003A7A30" w:rsidP="00F51B63">
            <w:pPr>
              <w:tabs>
                <w:tab w:val="center" w:pos="284"/>
              </w:tabs>
              <w:ind w:left="266" w:hanging="266"/>
              <w:rPr>
                <w:b/>
              </w:rPr>
            </w:pPr>
            <w:r>
              <w:rPr>
                <w:b/>
                <w:bCs/>
              </w:rPr>
              <w:t>Raportor:</w:t>
            </w:r>
          </w:p>
        </w:tc>
        <w:tc>
          <w:tcPr>
            <w:tcW w:w="3923" w:type="pct"/>
          </w:tcPr>
          <w:p w14:paraId="3977B1D7" w14:textId="77777777" w:rsidR="003A7A30" w:rsidRPr="0027488D" w:rsidRDefault="003A7A30" w:rsidP="00F51B63">
            <w:pPr>
              <w:tabs>
                <w:tab w:val="center" w:pos="284"/>
              </w:tabs>
              <w:ind w:left="266" w:right="-3091" w:hanging="266"/>
            </w:pPr>
            <w:r>
              <w:t>Giuseppe GUERINI (Grupul „Organizații ale societății civile” – IT)</w:t>
            </w:r>
          </w:p>
        </w:tc>
      </w:tr>
      <w:tr w:rsidR="003A7A30" w:rsidRPr="00A6689B" w14:paraId="70DC374D" w14:textId="77777777" w:rsidTr="00F51B63">
        <w:tc>
          <w:tcPr>
            <w:tcW w:w="1077" w:type="pct"/>
          </w:tcPr>
          <w:p w14:paraId="35056F60" w14:textId="77777777" w:rsidR="003A7A30" w:rsidRPr="00A6689B" w:rsidRDefault="003A7A30" w:rsidP="00F51B63">
            <w:pPr>
              <w:tabs>
                <w:tab w:val="center" w:pos="284"/>
              </w:tabs>
              <w:ind w:left="266" w:hanging="266"/>
              <w:rPr>
                <w:b/>
              </w:rPr>
            </w:pPr>
            <w:r>
              <w:rPr>
                <w:b/>
              </w:rPr>
              <w:t>Coraportor:</w:t>
            </w:r>
          </w:p>
        </w:tc>
        <w:tc>
          <w:tcPr>
            <w:tcW w:w="3923" w:type="pct"/>
          </w:tcPr>
          <w:p w14:paraId="2C8E799D" w14:textId="77777777" w:rsidR="003A7A30" w:rsidRPr="00D97375" w:rsidRDefault="003A7A30" w:rsidP="00F51B63">
            <w:pPr>
              <w:tabs>
                <w:tab w:val="center" w:pos="284"/>
              </w:tabs>
              <w:ind w:left="266" w:right="-3091" w:hanging="266"/>
            </w:pPr>
            <w:r>
              <w:t>Michal PINTÉR (Grupul „Angajatori” – SK)</w:t>
            </w:r>
          </w:p>
        </w:tc>
      </w:tr>
      <w:tr w:rsidR="003A7A30" w:rsidRPr="00A6689B" w14:paraId="3397D5FD" w14:textId="77777777" w:rsidTr="00F51B63">
        <w:tc>
          <w:tcPr>
            <w:tcW w:w="1077" w:type="pct"/>
          </w:tcPr>
          <w:p w14:paraId="4B4278D0" w14:textId="77777777" w:rsidR="003A7A30" w:rsidRPr="00A6689B" w:rsidRDefault="003A7A30" w:rsidP="00F51B63">
            <w:pPr>
              <w:tabs>
                <w:tab w:val="center" w:pos="284"/>
              </w:tabs>
              <w:ind w:left="266" w:hanging="266"/>
              <w:rPr>
                <w:b/>
              </w:rPr>
            </w:pPr>
            <w:r>
              <w:rPr>
                <w:b/>
              </w:rPr>
              <w:t>Referință:</w:t>
            </w:r>
          </w:p>
        </w:tc>
        <w:tc>
          <w:tcPr>
            <w:tcW w:w="3923" w:type="pct"/>
          </w:tcPr>
          <w:p w14:paraId="75D001ED" w14:textId="77777777" w:rsidR="00481459" w:rsidRDefault="00481459" w:rsidP="00481459">
            <w:pPr>
              <w:tabs>
                <w:tab w:val="center" w:pos="284"/>
              </w:tabs>
              <w:ind w:left="266" w:right="-3091" w:hanging="266"/>
            </w:pPr>
            <w:r w:rsidRPr="0096642D">
              <w:t>(aviz din proprie inițiativă)</w:t>
            </w:r>
          </w:p>
          <w:p w14:paraId="50219682" w14:textId="77777777" w:rsidR="003A7A30" w:rsidRPr="00A6689B" w:rsidRDefault="003A7A30" w:rsidP="00F51B63">
            <w:pPr>
              <w:tabs>
                <w:tab w:val="center" w:pos="284"/>
              </w:tabs>
              <w:ind w:left="266" w:right="-3091" w:hanging="266"/>
            </w:pPr>
            <w:r>
              <w:t>EESC-2025-01083-00-00-AC</w:t>
            </w:r>
          </w:p>
        </w:tc>
      </w:tr>
    </w:tbl>
    <w:p w14:paraId="62F91FCD" w14:textId="77777777" w:rsidR="003A7A30" w:rsidRDefault="003A7A30" w:rsidP="00F51B63">
      <w:pPr>
        <w:tabs>
          <w:tab w:val="center" w:pos="284"/>
        </w:tabs>
        <w:ind w:left="266" w:hanging="266"/>
        <w:rPr>
          <w:b/>
        </w:rPr>
      </w:pPr>
    </w:p>
    <w:p w14:paraId="0A45F3F6" w14:textId="77777777" w:rsidR="003A7A30" w:rsidRPr="00A6689B" w:rsidRDefault="003A7A30" w:rsidP="00F51B63">
      <w:pPr>
        <w:keepNext/>
        <w:keepLines/>
        <w:tabs>
          <w:tab w:val="center" w:pos="284"/>
        </w:tabs>
        <w:ind w:left="266" w:hanging="266"/>
        <w:rPr>
          <w:b/>
        </w:rPr>
      </w:pPr>
      <w:r>
        <w:rPr>
          <w:b/>
        </w:rPr>
        <w:t>Punctele principale:</w:t>
      </w:r>
    </w:p>
    <w:p w14:paraId="38ACDAD7" w14:textId="77777777" w:rsidR="003A7A30" w:rsidRPr="00A6689B" w:rsidRDefault="003A7A30" w:rsidP="00F51B63">
      <w:pPr>
        <w:keepNext/>
        <w:keepLines/>
        <w:tabs>
          <w:tab w:val="center" w:pos="284"/>
        </w:tabs>
        <w:ind w:left="266" w:hanging="266"/>
        <w:rPr>
          <w:b/>
        </w:rPr>
      </w:pPr>
    </w:p>
    <w:p w14:paraId="5A5445F7" w14:textId="77777777" w:rsidR="003A7A30" w:rsidRPr="00A6689B" w:rsidRDefault="003A7A30" w:rsidP="00F51B63">
      <w:pPr>
        <w:rPr>
          <w:bCs/>
          <w:iCs/>
        </w:rPr>
      </w:pPr>
      <w:r>
        <w:t>CESE:</w:t>
      </w:r>
    </w:p>
    <w:p w14:paraId="6E0D0917" w14:textId="77777777" w:rsidR="003A7A30" w:rsidRDefault="003A7A30" w:rsidP="003A7A30">
      <w:pPr>
        <w:widowControl w:val="0"/>
        <w:numPr>
          <w:ilvl w:val="0"/>
          <w:numId w:val="4"/>
        </w:numPr>
        <w:overflowPunct w:val="0"/>
        <w:autoSpaceDE w:val="0"/>
        <w:autoSpaceDN w:val="0"/>
        <w:adjustRightInd w:val="0"/>
        <w:ind w:hanging="567"/>
        <w:textAlignment w:val="baseline"/>
        <w:rPr>
          <w:bCs/>
          <w:iCs/>
        </w:rPr>
      </w:pPr>
      <w:r>
        <w:t>ia act de faptul că Organizația Națiunilor Unite a proclamat anul 2025 Anul internațional al cooperativelor cu tema „Cooperativele construiesc o lume mai bună”, reflectând recunoașterea internațională tot mai mare a modelului cooperativelor în toate sectoarele;</w:t>
      </w:r>
    </w:p>
    <w:p w14:paraId="0522BAEF" w14:textId="77777777" w:rsidR="003A7A30" w:rsidRDefault="003A7A30" w:rsidP="003A7A30">
      <w:pPr>
        <w:widowControl w:val="0"/>
        <w:numPr>
          <w:ilvl w:val="0"/>
          <w:numId w:val="4"/>
        </w:numPr>
        <w:overflowPunct w:val="0"/>
        <w:autoSpaceDE w:val="0"/>
        <w:autoSpaceDN w:val="0"/>
        <w:adjustRightInd w:val="0"/>
        <w:ind w:hanging="567"/>
        <w:textAlignment w:val="baseline"/>
        <w:rPr>
          <w:bCs/>
          <w:iCs/>
        </w:rPr>
      </w:pPr>
      <w:r>
        <w:t xml:space="preserve">recomandă integrarea educației antreprenoriale cooperative în </w:t>
      </w:r>
      <w:proofErr w:type="spellStart"/>
      <w:r>
        <w:t>antreprenoriatul</w:t>
      </w:r>
      <w:proofErr w:type="spellEnd"/>
      <w:r>
        <w:t xml:space="preserve"> tradițional și în formarea profesională, inclusiv activități de sensibilizare pentru instituțiile financiare și oportunități în cadrul programului Erasmus+;</w:t>
      </w:r>
    </w:p>
    <w:p w14:paraId="206A14CE" w14:textId="77777777" w:rsidR="003A7A30" w:rsidRPr="00277EB3" w:rsidRDefault="003A7A30" w:rsidP="003A7A30">
      <w:pPr>
        <w:widowControl w:val="0"/>
        <w:numPr>
          <w:ilvl w:val="0"/>
          <w:numId w:val="4"/>
        </w:numPr>
        <w:overflowPunct w:val="0"/>
        <w:autoSpaceDE w:val="0"/>
        <w:autoSpaceDN w:val="0"/>
        <w:adjustRightInd w:val="0"/>
        <w:ind w:hanging="567"/>
        <w:textAlignment w:val="baseline"/>
        <w:rPr>
          <w:bCs/>
          <w:iCs/>
        </w:rPr>
      </w:pPr>
      <w:r>
        <w:t>consideră că cooperativele ar trebui promovate în mod activ în rândul întreprinderilor nou-înființate și al tinerilor antreprenori;</w:t>
      </w:r>
    </w:p>
    <w:p w14:paraId="20ACDC3C" w14:textId="77777777" w:rsidR="003A7A30" w:rsidRPr="00277EB3" w:rsidRDefault="003A7A30" w:rsidP="003A7A30">
      <w:pPr>
        <w:widowControl w:val="0"/>
        <w:numPr>
          <w:ilvl w:val="0"/>
          <w:numId w:val="4"/>
        </w:numPr>
        <w:overflowPunct w:val="0"/>
        <w:autoSpaceDE w:val="0"/>
        <w:autoSpaceDN w:val="0"/>
        <w:adjustRightInd w:val="0"/>
        <w:ind w:hanging="567"/>
        <w:textAlignment w:val="baseline"/>
        <w:rPr>
          <w:bCs/>
          <w:iCs/>
        </w:rPr>
      </w:pPr>
      <w:r>
        <w:t>solicită recunoașterea cooperativelor industriale ca actori economici esențiali și stimulente financiare specifice la nivelul UE, la nivel național și regional (facilități fiscale, granturi, finanțare cu dobândă redusă) pentru a sprijini simbioza industrială și circularitatea;</w:t>
      </w:r>
    </w:p>
    <w:p w14:paraId="2289A285" w14:textId="77777777" w:rsidR="003A7A30" w:rsidRPr="00277EB3" w:rsidRDefault="003A7A30" w:rsidP="003A7A30">
      <w:pPr>
        <w:widowControl w:val="0"/>
        <w:numPr>
          <w:ilvl w:val="0"/>
          <w:numId w:val="4"/>
        </w:numPr>
        <w:overflowPunct w:val="0"/>
        <w:autoSpaceDE w:val="0"/>
        <w:autoSpaceDN w:val="0"/>
        <w:adjustRightInd w:val="0"/>
        <w:textAlignment w:val="baseline"/>
        <w:rPr>
          <w:bCs/>
          <w:iCs/>
        </w:rPr>
      </w:pPr>
      <w:r>
        <w:t xml:space="preserve">încurajează investițiile în parcuri industriale comune, zone </w:t>
      </w:r>
      <w:proofErr w:type="spellStart"/>
      <w:r>
        <w:t>ecoindustriale</w:t>
      </w:r>
      <w:proofErr w:type="spellEnd"/>
      <w:r>
        <w:t xml:space="preserve"> și platforme cooperative de schimb de cunoștințe pentru a consolida localizarea cooperativă și producția durabilă;</w:t>
      </w:r>
    </w:p>
    <w:p w14:paraId="152C8F0D" w14:textId="77777777" w:rsidR="003A7A30" w:rsidRPr="00277EB3" w:rsidRDefault="003A7A30" w:rsidP="003A7A30">
      <w:pPr>
        <w:widowControl w:val="0"/>
        <w:numPr>
          <w:ilvl w:val="0"/>
          <w:numId w:val="4"/>
        </w:numPr>
        <w:overflowPunct w:val="0"/>
        <w:autoSpaceDE w:val="0"/>
        <w:autoSpaceDN w:val="0"/>
        <w:adjustRightInd w:val="0"/>
        <w:ind w:hanging="567"/>
        <w:textAlignment w:val="baseline"/>
        <w:rPr>
          <w:bCs/>
          <w:iCs/>
        </w:rPr>
      </w:pPr>
      <w:r>
        <w:t>solicită includerea unor măsuri de politică specifice cooperativelor în programele de coeziune ale UE și în strategiile de dezvoltare regională, acordând prioritate inițiativelor conduse de cooperative pentru a stimula reziliența și sustenabilitatea regională;</w:t>
      </w:r>
    </w:p>
    <w:p w14:paraId="6978AB2E" w14:textId="77777777" w:rsidR="003A7A30" w:rsidRPr="00277EB3" w:rsidRDefault="003A7A30" w:rsidP="003A7A30">
      <w:pPr>
        <w:widowControl w:val="0"/>
        <w:numPr>
          <w:ilvl w:val="0"/>
          <w:numId w:val="4"/>
        </w:numPr>
        <w:overflowPunct w:val="0"/>
        <w:autoSpaceDE w:val="0"/>
        <w:autoSpaceDN w:val="0"/>
        <w:adjustRightInd w:val="0"/>
        <w:ind w:hanging="567"/>
        <w:textAlignment w:val="baseline"/>
        <w:rPr>
          <w:bCs/>
          <w:iCs/>
        </w:rPr>
      </w:pPr>
      <w:r>
        <w:t>subliniază importanța strategică tot mai mare a cooperativelor bazate pe date și invită UE și autoritățile naționale să sprijine inițiativele colective pentru gestionarea și schimbul de date industriale;</w:t>
      </w:r>
    </w:p>
    <w:p w14:paraId="554BEC29" w14:textId="77777777" w:rsidR="003A7A30" w:rsidRPr="00A6689B" w:rsidRDefault="003A7A30" w:rsidP="003A7A30">
      <w:pPr>
        <w:widowControl w:val="0"/>
        <w:numPr>
          <w:ilvl w:val="0"/>
          <w:numId w:val="4"/>
        </w:numPr>
        <w:overflowPunct w:val="0"/>
        <w:autoSpaceDE w:val="0"/>
        <w:autoSpaceDN w:val="0"/>
        <w:adjustRightInd w:val="0"/>
        <w:ind w:hanging="567"/>
        <w:textAlignment w:val="baseline"/>
        <w:rPr>
          <w:bCs/>
          <w:iCs/>
        </w:rPr>
      </w:pPr>
      <w:r>
        <w:t>subliniază că modelul de cooperare oferă o valoare adăugată unică prin guvernanța democratică, distribuirea echitabilă a bogăției, implicarea comunității și o adaptabilitate puternică, consolidând autonomia strategică a UE.</w:t>
      </w:r>
    </w:p>
    <w:p w14:paraId="5DCC4242" w14:textId="77777777" w:rsidR="003A7A30" w:rsidRPr="000624A9" w:rsidRDefault="003A7A30" w:rsidP="002743B1">
      <w:pPr>
        <w:widowControl w:val="0"/>
        <w:ind w:left="567"/>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30"/>
      </w:tblGrid>
      <w:tr w:rsidR="003A7A30" w:rsidRPr="00A6689B" w14:paraId="1406934D" w14:textId="77777777" w:rsidTr="00F51B63">
        <w:tc>
          <w:tcPr>
            <w:tcW w:w="1077" w:type="pct"/>
          </w:tcPr>
          <w:p w14:paraId="0016CEE6" w14:textId="77777777" w:rsidR="003A7A30" w:rsidRPr="00A6689B" w:rsidRDefault="003A7A30" w:rsidP="00F51B63">
            <w:pPr>
              <w:rPr>
                <w:i/>
              </w:rPr>
            </w:pPr>
            <w:r>
              <w:rPr>
                <w:b/>
                <w:i/>
              </w:rPr>
              <w:t>Date de contact:</w:t>
            </w:r>
          </w:p>
        </w:tc>
        <w:tc>
          <w:tcPr>
            <w:tcW w:w="3923" w:type="pct"/>
          </w:tcPr>
          <w:p w14:paraId="060BF6C5" w14:textId="77777777" w:rsidR="003A7A30" w:rsidRPr="00A6689B" w:rsidRDefault="003A7A30" w:rsidP="00F51B63">
            <w:pPr>
              <w:rPr>
                <w:i/>
              </w:rPr>
            </w:pPr>
            <w:r>
              <w:rPr>
                <w:i/>
              </w:rPr>
              <w:t>Adam DORYWALSKI</w:t>
            </w:r>
          </w:p>
        </w:tc>
      </w:tr>
      <w:tr w:rsidR="003A7A30" w:rsidRPr="00A6689B" w14:paraId="3F18FF3B" w14:textId="77777777" w:rsidTr="00F51B63">
        <w:tc>
          <w:tcPr>
            <w:tcW w:w="1077" w:type="pct"/>
          </w:tcPr>
          <w:p w14:paraId="5B4DA6CA" w14:textId="77777777" w:rsidR="003A7A30" w:rsidRPr="00A6689B" w:rsidRDefault="003A7A30" w:rsidP="00F51B63">
            <w:pPr>
              <w:rPr>
                <w:i/>
              </w:rPr>
            </w:pPr>
            <w:r>
              <w:rPr>
                <w:i/>
              </w:rPr>
              <w:t>Tel.:</w:t>
            </w:r>
          </w:p>
        </w:tc>
        <w:tc>
          <w:tcPr>
            <w:tcW w:w="3923" w:type="pct"/>
          </w:tcPr>
          <w:p w14:paraId="4D047568" w14:textId="77777777" w:rsidR="003A7A30" w:rsidRPr="00A6689B" w:rsidRDefault="003A7A30" w:rsidP="00F51B63">
            <w:pPr>
              <w:rPr>
                <w:i/>
              </w:rPr>
            </w:pPr>
            <w:r>
              <w:rPr>
                <w:i/>
              </w:rPr>
              <w:t>+32 25469397</w:t>
            </w:r>
          </w:p>
        </w:tc>
      </w:tr>
      <w:tr w:rsidR="003A7A30" w:rsidRPr="00A6689B" w14:paraId="57D43E3E" w14:textId="77777777" w:rsidTr="00F51B63">
        <w:tc>
          <w:tcPr>
            <w:tcW w:w="1077" w:type="pct"/>
          </w:tcPr>
          <w:p w14:paraId="3D045C37" w14:textId="77777777" w:rsidR="003A7A30" w:rsidRPr="00A6689B" w:rsidRDefault="003A7A30" w:rsidP="00F51B63">
            <w:pPr>
              <w:rPr>
                <w:i/>
              </w:rPr>
            </w:pPr>
            <w:r>
              <w:rPr>
                <w:i/>
              </w:rPr>
              <w:t>E-mail:</w:t>
            </w:r>
          </w:p>
        </w:tc>
        <w:tc>
          <w:tcPr>
            <w:tcW w:w="3923" w:type="pct"/>
          </w:tcPr>
          <w:p w14:paraId="6B528564" w14:textId="77777777" w:rsidR="003A7A30" w:rsidRPr="00A6689B" w:rsidRDefault="00443888" w:rsidP="00F51B63">
            <w:pPr>
              <w:rPr>
                <w:i/>
              </w:rPr>
            </w:pPr>
            <w:hyperlink r:id="rId49" w:history="1">
              <w:r w:rsidR="003A7A30">
                <w:rPr>
                  <w:rStyle w:val="Hyperlink"/>
                  <w:i/>
                </w:rPr>
                <w:t>Adam.Dorywalski@eesc.europa.eu</w:t>
              </w:r>
            </w:hyperlink>
          </w:p>
        </w:tc>
      </w:tr>
    </w:tbl>
    <w:p w14:paraId="0464C68A" w14:textId="08CC844C" w:rsidR="003A7A30" w:rsidRPr="00631EB5" w:rsidRDefault="003A7A30" w:rsidP="00F51B63">
      <w:pPr>
        <w:jc w:val="center"/>
      </w:pPr>
    </w:p>
    <w:p w14:paraId="2E43B304" w14:textId="77777777" w:rsidR="003A7A30" w:rsidRPr="003A7A30" w:rsidRDefault="003A7A30" w:rsidP="003A7A30">
      <w:pPr>
        <w:widowControl w:val="0"/>
        <w:overflowPunct w:val="0"/>
        <w:autoSpaceDE w:val="0"/>
        <w:autoSpaceDN w:val="0"/>
        <w:adjustRightInd w:val="0"/>
        <w:ind w:left="567"/>
        <w:textAlignment w:val="baseline"/>
        <w:rPr>
          <w:sz w:val="20"/>
          <w:szCs w:val="20"/>
        </w:rPr>
      </w:pPr>
    </w:p>
    <w:p w14:paraId="2E28EF19" w14:textId="3B368787" w:rsidR="000D394D" w:rsidRDefault="00EB462E" w:rsidP="00054C58">
      <w:pPr>
        <w:spacing w:after="160" w:line="259" w:lineRule="auto"/>
        <w:jc w:val="center"/>
      </w:pPr>
      <w:r>
        <w:t>______________</w:t>
      </w:r>
    </w:p>
    <w:sectPr w:rsidR="000D394D" w:rsidSect="002C2AF2">
      <w:headerReference w:type="even" r:id="rId50"/>
      <w:headerReference w:type="default" r:id="rId51"/>
      <w:footerReference w:type="even" r:id="rId52"/>
      <w:footerReference w:type="default" r:id="rId53"/>
      <w:headerReference w:type="first" r:id="rId54"/>
      <w:footerReference w:type="first" r:id="rId55"/>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443888">
      <w:fldChar w:fldCharType="begin"/>
    </w:r>
    <w:r w:rsidR="00443888">
      <w:instrText xml:space="preserve"> NUMPAGES </w:instrText>
    </w:r>
    <w:r w:rsidR="00443888">
      <w:fldChar w:fldCharType="separate"/>
    </w:r>
    <w:r w:rsidR="008541DE">
      <w:t>1</w:t>
    </w:r>
    <w:r w:rsidR="0044388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443888">
      <w:fldChar w:fldCharType="begin"/>
    </w:r>
    <w:r w:rsidR="00443888">
      <w:instrText xml:space="preserve"> NUMPAGES </w:instrText>
    </w:r>
    <w:r w:rsidR="00443888">
      <w:fldChar w:fldCharType="separate"/>
    </w:r>
    <w:r w:rsidR="008541DE">
      <w:t>16</w:t>
    </w:r>
    <w:r w:rsidR="0044388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366771D6" w14:textId="77777777" w:rsidR="002226CE" w:rsidRDefault="002226CE" w:rsidP="00D25A3F">
      <w:pPr>
        <w:keepLines/>
        <w:spacing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https://eur-lex.europa.eu/legal-content/RO/TXT/?uri=legissum:4623532</w:t>
        </w:r>
      </w:hyperlink>
      <w:r>
        <w:t>.</w:t>
      </w:r>
    </w:p>
  </w:footnote>
  <w:footnote w:id="2">
    <w:p w14:paraId="3986DDAF" w14:textId="77777777" w:rsidR="002226CE" w:rsidRPr="00ED3E39" w:rsidRDefault="002226CE" w:rsidP="00D25A3F">
      <w:pPr>
        <w:keepLines/>
        <w:spacing w:line="240" w:lineRule="auto"/>
        <w:ind w:left="567" w:hanging="567"/>
      </w:pPr>
      <w:r>
        <w:rPr>
          <w:rStyle w:val="FootnoteReference"/>
        </w:rPr>
        <w:footnoteRef/>
      </w:r>
      <w:r>
        <w:rPr>
          <w:sz w:val="16"/>
        </w:rPr>
        <w:tab/>
      </w:r>
      <w:hyperlink r:id="rId2">
        <w:r>
          <w:rPr>
            <w:color w:val="0000FF"/>
            <w:sz w:val="16"/>
            <w:u w:val="single"/>
          </w:rPr>
          <w:t>https://eur-lex.europa.eu/legal-content/RO/TXT/?uri=CELEX%3A52022XC0930%2802%29</w:t>
        </w:r>
      </w:hyperlink>
      <w:r>
        <w:t>.</w:t>
      </w:r>
    </w:p>
  </w:footnote>
  <w:footnote w:id="3">
    <w:p w14:paraId="05F34C3C" w14:textId="77777777" w:rsidR="002226CE" w:rsidRPr="0023267D" w:rsidRDefault="002226CE" w:rsidP="00D25A3F">
      <w:pPr>
        <w:keepLines/>
        <w:spacing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https://digital-strategy.ec.europa.eu/ro/library/recommendation-protection-safety-and-empowerment-journalists</w:t>
        </w:r>
      </w:hyperlink>
      <w:r>
        <w:rPr>
          <w:sz w:val="16"/>
        </w:rPr>
        <w:t>.</w:t>
      </w:r>
    </w:p>
  </w:footnote>
  <w:footnote w:id="4">
    <w:p w14:paraId="61C03C1D" w14:textId="6270ED42" w:rsidR="002226CE" w:rsidRPr="0096642D" w:rsidRDefault="002226CE" w:rsidP="00D25A3F">
      <w:pPr>
        <w:keepLines/>
        <w:spacing w:line="240" w:lineRule="auto"/>
        <w:ind w:left="567" w:hanging="567"/>
      </w:pPr>
      <w:r>
        <w:rPr>
          <w:rStyle w:val="FootnoteReference"/>
        </w:rPr>
        <w:footnoteRef/>
      </w:r>
      <w:r>
        <w:tab/>
      </w:r>
      <w:r w:rsidRPr="00D25A3F">
        <w:rPr>
          <w:sz w:val="16"/>
          <w:szCs w:val="14"/>
        </w:rPr>
        <w:t xml:space="preserve">JO C, C/2025/114, 10.1.2025, ELI: </w:t>
      </w:r>
      <w:hyperlink r:id="rId4" w:history="1">
        <w:r>
          <w:rPr>
            <w:rStyle w:val="Hyperlink"/>
            <w:sz w:val="16"/>
          </w:rPr>
          <w:t>http://data.europa.eu/eli/C/2025/114/oj</w:t>
        </w:r>
      </w:hyperlink>
      <w:r w:rsidR="0096642D">
        <w:rPr>
          <w:rStyle w:val="Hyperlink"/>
          <w:color w:val="auto"/>
          <w:sz w:val="16"/>
          <w:u w:val="none"/>
        </w:rPr>
        <w:t>.</w:t>
      </w:r>
    </w:p>
  </w:footnote>
  <w:footnote w:id="5">
    <w:p w14:paraId="016CCBD8" w14:textId="09BB9671" w:rsidR="005625FB" w:rsidRPr="00360DD3" w:rsidRDefault="005625FB" w:rsidP="007E12F2">
      <w:pPr>
        <w:pStyle w:val="FootnoteText"/>
      </w:pPr>
      <w:r>
        <w:rPr>
          <w:rStyle w:val="FootnoteReference"/>
        </w:rPr>
        <w:footnoteRef/>
      </w:r>
      <w:r>
        <w:tab/>
        <w:t xml:space="preserve">Avizul din proprie inițiativă al CESE pe tema </w:t>
      </w:r>
      <w:hyperlink r:id="rId5" w:anchor=":~:text=The%20only%20reliable%20way%20to%20preserve%20the%20rainforests%20is%20through" w:history="1">
        <w:r>
          <w:rPr>
            <w:rStyle w:val="Hyperlink"/>
            <w:i/>
          </w:rPr>
          <w:t>„Defrișarea pădurii tropicale amazoniene – impactul asupra schimbărilor climatice și a mediului la nivel mondial; consecințe pentru întreprinderi, lucrători și populație”</w:t>
        </w:r>
      </w:hyperlink>
      <w:r>
        <w:t xml:space="preserve">, </w:t>
      </w:r>
      <w:hyperlink r:id="rId6" w:history="1">
        <w:r>
          <w:rPr>
            <w:rStyle w:val="Hyperlink"/>
          </w:rPr>
          <w:t>JO C/2024/6882, 28.11.2024</w:t>
        </w:r>
      </w:hyperlink>
      <w:r>
        <w:t>.</w:t>
      </w:r>
    </w:p>
  </w:footnote>
  <w:footnote w:id="6">
    <w:p w14:paraId="45D4D870" w14:textId="0A1EB134" w:rsidR="005625FB" w:rsidRPr="00360DD3" w:rsidRDefault="005625FB" w:rsidP="007E12F2">
      <w:pPr>
        <w:pStyle w:val="FootnoteText"/>
      </w:pPr>
      <w:r>
        <w:rPr>
          <w:rStyle w:val="FootnoteReference"/>
        </w:rPr>
        <w:footnoteRef/>
      </w:r>
      <w:r>
        <w:tab/>
        <w:t xml:space="preserve">Avizul CESE pe tema </w:t>
      </w:r>
      <w:hyperlink r:id="rId7" w:history="1">
        <w:r>
          <w:rPr>
            <w:rStyle w:val="Hyperlink"/>
            <w:i/>
          </w:rPr>
          <w:t>„Reducerea la minimum a riscului de defrișare și de degradare a pădurilor asociat produselor introduse pe piața UE”</w:t>
        </w:r>
      </w:hyperlink>
      <w:r>
        <w:t xml:space="preserve">, </w:t>
      </w:r>
      <w:hyperlink r:id="rId8" w:history="1">
        <w:r>
          <w:rPr>
            <w:rStyle w:val="Hyperlink"/>
          </w:rPr>
          <w:t>JO C 275, 18.7.2022, p.</w:t>
        </w:r>
        <w:r w:rsidR="000D6B77">
          <w:rPr>
            <w:rStyle w:val="Hyperlink"/>
          </w:rPr>
          <w:t> </w:t>
        </w:r>
        <w:r>
          <w:rPr>
            <w:rStyle w:val="Hyperlink"/>
          </w:rPr>
          <w:t>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3E8077B"/>
    <w:multiLevelType w:val="hybridMultilevel"/>
    <w:tmpl w:val="DF8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9"/>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30"/>
  </w:num>
  <w:num w:numId="22">
    <w:abstractNumId w:val="12"/>
  </w:num>
  <w:num w:numId="23">
    <w:abstractNumId w:val="32"/>
  </w:num>
  <w:num w:numId="24">
    <w:abstractNumId w:val="28"/>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22F3"/>
    <w:rsid w:val="00034990"/>
    <w:rsid w:val="0005334D"/>
    <w:rsid w:val="00054433"/>
    <w:rsid w:val="00054C58"/>
    <w:rsid w:val="00056F0F"/>
    <w:rsid w:val="0005753A"/>
    <w:rsid w:val="00063DFF"/>
    <w:rsid w:val="00085AF6"/>
    <w:rsid w:val="00096163"/>
    <w:rsid w:val="000A1597"/>
    <w:rsid w:val="000C7C8B"/>
    <w:rsid w:val="000D394D"/>
    <w:rsid w:val="000D6B77"/>
    <w:rsid w:val="000E7346"/>
    <w:rsid w:val="00103C59"/>
    <w:rsid w:val="001307DF"/>
    <w:rsid w:val="00145DF7"/>
    <w:rsid w:val="00194E7D"/>
    <w:rsid w:val="001A7442"/>
    <w:rsid w:val="001E391D"/>
    <w:rsid w:val="002226CE"/>
    <w:rsid w:val="00237C67"/>
    <w:rsid w:val="002A5636"/>
    <w:rsid w:val="002B0636"/>
    <w:rsid w:val="002B5AEF"/>
    <w:rsid w:val="002B7981"/>
    <w:rsid w:val="002C2AF2"/>
    <w:rsid w:val="002D3663"/>
    <w:rsid w:val="003066BE"/>
    <w:rsid w:val="003227CC"/>
    <w:rsid w:val="00326313"/>
    <w:rsid w:val="00340927"/>
    <w:rsid w:val="0034591B"/>
    <w:rsid w:val="003666CD"/>
    <w:rsid w:val="00366C6A"/>
    <w:rsid w:val="00381A92"/>
    <w:rsid w:val="00384191"/>
    <w:rsid w:val="00395794"/>
    <w:rsid w:val="003A7A30"/>
    <w:rsid w:val="003C16C3"/>
    <w:rsid w:val="003D4EDF"/>
    <w:rsid w:val="003F190C"/>
    <w:rsid w:val="003F326D"/>
    <w:rsid w:val="003F79EF"/>
    <w:rsid w:val="0040402B"/>
    <w:rsid w:val="0043191A"/>
    <w:rsid w:val="00443888"/>
    <w:rsid w:val="00446882"/>
    <w:rsid w:val="004503DC"/>
    <w:rsid w:val="00463600"/>
    <w:rsid w:val="00465162"/>
    <w:rsid w:val="00481459"/>
    <w:rsid w:val="004A0D54"/>
    <w:rsid w:val="004A5CD7"/>
    <w:rsid w:val="004A6CE5"/>
    <w:rsid w:val="004D7AC0"/>
    <w:rsid w:val="004E64BE"/>
    <w:rsid w:val="00505C80"/>
    <w:rsid w:val="00515DDF"/>
    <w:rsid w:val="00532089"/>
    <w:rsid w:val="00537F29"/>
    <w:rsid w:val="005625FB"/>
    <w:rsid w:val="005650A9"/>
    <w:rsid w:val="00586B4B"/>
    <w:rsid w:val="00591A62"/>
    <w:rsid w:val="00593110"/>
    <w:rsid w:val="005A0BDA"/>
    <w:rsid w:val="005A2512"/>
    <w:rsid w:val="005B225E"/>
    <w:rsid w:val="005B6DD4"/>
    <w:rsid w:val="005E713A"/>
    <w:rsid w:val="005E7185"/>
    <w:rsid w:val="005E7651"/>
    <w:rsid w:val="00601DF4"/>
    <w:rsid w:val="00612898"/>
    <w:rsid w:val="00625CA3"/>
    <w:rsid w:val="00635AF7"/>
    <w:rsid w:val="00641262"/>
    <w:rsid w:val="006559C7"/>
    <w:rsid w:val="00665929"/>
    <w:rsid w:val="00673B8C"/>
    <w:rsid w:val="00675DD6"/>
    <w:rsid w:val="0068013D"/>
    <w:rsid w:val="00685A3A"/>
    <w:rsid w:val="00686B90"/>
    <w:rsid w:val="006D249E"/>
    <w:rsid w:val="006D2C8A"/>
    <w:rsid w:val="006D2D64"/>
    <w:rsid w:val="006E6F14"/>
    <w:rsid w:val="007068C8"/>
    <w:rsid w:val="00707689"/>
    <w:rsid w:val="00720A0E"/>
    <w:rsid w:val="0072769B"/>
    <w:rsid w:val="00736B6C"/>
    <w:rsid w:val="00740A23"/>
    <w:rsid w:val="007417EF"/>
    <w:rsid w:val="00754027"/>
    <w:rsid w:val="00766B1A"/>
    <w:rsid w:val="0076787A"/>
    <w:rsid w:val="00776487"/>
    <w:rsid w:val="00777DE6"/>
    <w:rsid w:val="007B245D"/>
    <w:rsid w:val="007B326F"/>
    <w:rsid w:val="007E15CB"/>
    <w:rsid w:val="007F5784"/>
    <w:rsid w:val="00802750"/>
    <w:rsid w:val="00803D75"/>
    <w:rsid w:val="0080647A"/>
    <w:rsid w:val="00811D4F"/>
    <w:rsid w:val="00822F79"/>
    <w:rsid w:val="00836765"/>
    <w:rsid w:val="00845F24"/>
    <w:rsid w:val="008541DE"/>
    <w:rsid w:val="00871818"/>
    <w:rsid w:val="0088219D"/>
    <w:rsid w:val="00896BC8"/>
    <w:rsid w:val="008A0752"/>
    <w:rsid w:val="008A27AD"/>
    <w:rsid w:val="008A6059"/>
    <w:rsid w:val="008C414B"/>
    <w:rsid w:val="008D0052"/>
    <w:rsid w:val="009041AE"/>
    <w:rsid w:val="00926A3C"/>
    <w:rsid w:val="00946B15"/>
    <w:rsid w:val="0096642D"/>
    <w:rsid w:val="009679E7"/>
    <w:rsid w:val="00973F68"/>
    <w:rsid w:val="009A7784"/>
    <w:rsid w:val="009E1915"/>
    <w:rsid w:val="009E4148"/>
    <w:rsid w:val="009F1AE3"/>
    <w:rsid w:val="00A20E9D"/>
    <w:rsid w:val="00A23E40"/>
    <w:rsid w:val="00A2727F"/>
    <w:rsid w:val="00A272B2"/>
    <w:rsid w:val="00A323CA"/>
    <w:rsid w:val="00A327DB"/>
    <w:rsid w:val="00A44608"/>
    <w:rsid w:val="00A50553"/>
    <w:rsid w:val="00A51688"/>
    <w:rsid w:val="00A56746"/>
    <w:rsid w:val="00A96C92"/>
    <w:rsid w:val="00AA5007"/>
    <w:rsid w:val="00AA61BE"/>
    <w:rsid w:val="00B203DA"/>
    <w:rsid w:val="00B3176C"/>
    <w:rsid w:val="00B518C9"/>
    <w:rsid w:val="00B679DC"/>
    <w:rsid w:val="00B730AD"/>
    <w:rsid w:val="00B77DA7"/>
    <w:rsid w:val="00B8543B"/>
    <w:rsid w:val="00B912B6"/>
    <w:rsid w:val="00B94F6D"/>
    <w:rsid w:val="00BA227E"/>
    <w:rsid w:val="00BA2A2C"/>
    <w:rsid w:val="00BC676C"/>
    <w:rsid w:val="00BE54B3"/>
    <w:rsid w:val="00BF235F"/>
    <w:rsid w:val="00C008B4"/>
    <w:rsid w:val="00C1207D"/>
    <w:rsid w:val="00C17ABD"/>
    <w:rsid w:val="00C2078A"/>
    <w:rsid w:val="00C215C3"/>
    <w:rsid w:val="00C24C34"/>
    <w:rsid w:val="00C26C67"/>
    <w:rsid w:val="00C61F36"/>
    <w:rsid w:val="00C62A6C"/>
    <w:rsid w:val="00C7741D"/>
    <w:rsid w:val="00C821A5"/>
    <w:rsid w:val="00C82692"/>
    <w:rsid w:val="00C82E34"/>
    <w:rsid w:val="00C913CA"/>
    <w:rsid w:val="00CC18D0"/>
    <w:rsid w:val="00CF30AC"/>
    <w:rsid w:val="00D07777"/>
    <w:rsid w:val="00D212BF"/>
    <w:rsid w:val="00D40BB6"/>
    <w:rsid w:val="00D43613"/>
    <w:rsid w:val="00D6499D"/>
    <w:rsid w:val="00D7076A"/>
    <w:rsid w:val="00D81F5E"/>
    <w:rsid w:val="00D92269"/>
    <w:rsid w:val="00D961D8"/>
    <w:rsid w:val="00DB01BE"/>
    <w:rsid w:val="00DB1B79"/>
    <w:rsid w:val="00DE176A"/>
    <w:rsid w:val="00DF03F8"/>
    <w:rsid w:val="00DF62FF"/>
    <w:rsid w:val="00E00A6B"/>
    <w:rsid w:val="00E13363"/>
    <w:rsid w:val="00E17E4B"/>
    <w:rsid w:val="00E22D43"/>
    <w:rsid w:val="00E51B01"/>
    <w:rsid w:val="00E77899"/>
    <w:rsid w:val="00E82D3E"/>
    <w:rsid w:val="00E95CBE"/>
    <w:rsid w:val="00E972B2"/>
    <w:rsid w:val="00EA023B"/>
    <w:rsid w:val="00EB462E"/>
    <w:rsid w:val="00ED76AC"/>
    <w:rsid w:val="00EE6F0B"/>
    <w:rsid w:val="00EF2BEB"/>
    <w:rsid w:val="00F104CA"/>
    <w:rsid w:val="00F2608E"/>
    <w:rsid w:val="00F26C84"/>
    <w:rsid w:val="00F41BE1"/>
    <w:rsid w:val="00F424D9"/>
    <w:rsid w:val="00F65006"/>
    <w:rsid w:val="00F705FF"/>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666CD"/>
    <w:pPr>
      <w:tabs>
        <w:tab w:val="left" w:pos="440"/>
        <w:tab w:val="right" w:leader="dot" w:pos="9063"/>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E51B01"/>
    <w:pPr>
      <w:spacing w:after="100"/>
      <w:ind w:left="220"/>
    </w:pPr>
  </w:style>
  <w:style w:type="paragraph" w:styleId="NormalWeb">
    <w:name w:val="Normal (Web)"/>
    <w:basedOn w:val="Normal"/>
    <w:uiPriority w:val="99"/>
    <w:unhideWhenUsed/>
    <w:rsid w:val="002226CE"/>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2226CE"/>
    <w:rPr>
      <w:b/>
      <w:bCs/>
    </w:rPr>
  </w:style>
  <w:style w:type="character" w:customStyle="1" w:styleId="ListParagraphChar">
    <w:name w:val="List Paragraph Char"/>
    <w:link w:val="ListParagraph"/>
    <w:uiPriority w:val="34"/>
    <w:locked/>
    <w:rsid w:val="005625FB"/>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21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Georgios.Meleas@eesc.europa.eu" TargetMode="External"/><Relationship Id="rId26" Type="http://schemas.openxmlformats.org/officeDocument/2006/relationships/hyperlink" Target="mailto:GiorgiaAndrea.Bordignon@eesc.europa.eu" TargetMode="External"/><Relationship Id="rId39" Type="http://schemas.openxmlformats.org/officeDocument/2006/relationships/hyperlink" Target="https://www.eesc.europa.eu/ro/our-work/opinions-information-reports/opinions/revision-union-civil-protection-mechanism" TargetMode="External"/><Relationship Id="rId21" Type="http://schemas.openxmlformats.org/officeDocument/2006/relationships/hyperlink" Target="https://www.eesc.europa.eu/ro/our-work/opinions-information-reports/opinions/agoraeu-and-justice-programmes" TargetMode="External"/><Relationship Id="rId34" Type="http://schemas.openxmlformats.org/officeDocument/2006/relationships/hyperlink" Target="mailto:Silvia.Staffa@eesc.europa.eu" TargetMode="External"/><Relationship Id="rId42" Type="http://schemas.openxmlformats.org/officeDocument/2006/relationships/hyperlink" Target="https://www.eesc.europa.eu/ro/our-work/opinions-information-reports/opinions/global-europe-multiannual-financial-framework-proposal" TargetMode="External"/><Relationship Id="rId47" Type="http://schemas.openxmlformats.org/officeDocument/2006/relationships/hyperlink" Target="mailto:Adam.Dorywalski@eesc.europa.eu" TargetMode="External"/><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hyperlink" Target="https://www.eesc.europa.eu/ro/our-work/opinions-information-reports/opinions/establishing-european-fund-regional-development-including-european-territorial-cooperation-interreg-and-cohesion-fund" TargetMode="External"/><Relationship Id="rId25" Type="http://schemas.openxmlformats.org/officeDocument/2006/relationships/hyperlink" Target="mailto:Maja.Radman@eesc.europa.eu" TargetMode="External"/><Relationship Id="rId33" Type="http://schemas.openxmlformats.org/officeDocument/2006/relationships/hyperlink" Target="https://www.eesc.europa.eu/ro/our-work/opinions-information-reports/opinions/competitiveness-fund" TargetMode="External"/><Relationship Id="rId38" Type="http://schemas.openxmlformats.org/officeDocument/2006/relationships/hyperlink" Target="mailto:Martine.Delanoy@eesc.europa.eu" TargetMode="External"/><Relationship Id="rId46" Type="http://schemas.openxmlformats.org/officeDocument/2006/relationships/hyperlink" Target="https://www.eesc.europa.eu/ro/our-work/opinions-information-reports/opinions/facilitating-potential-permanent-materials-eu-circular-economy" TargetMode="External"/><Relationship Id="rId2" Type="http://schemas.openxmlformats.org/officeDocument/2006/relationships/customXml" Target="../customXml/item2.xml"/><Relationship Id="rId16" Type="http://schemas.openxmlformats.org/officeDocument/2006/relationships/hyperlink" Target="mailto:Georgios.Meleas@eesc.europa.eu" TargetMode="External"/><Relationship Id="rId20" Type="http://schemas.openxmlformats.org/officeDocument/2006/relationships/hyperlink" Target="mailto:june.bedaton@eesc.europa.eu" TargetMode="External"/><Relationship Id="rId29" Type="http://schemas.openxmlformats.org/officeDocument/2006/relationships/hyperlink" Target="https://www.eesc.europa.eu/ro/our-work/opinions-information-reports/opinions/single-market-strategy" TargetMode="External"/><Relationship Id="rId41" Type="http://schemas.openxmlformats.org/officeDocument/2006/relationships/hyperlink" Target="mailto:Marie-Laurence.Drillon@eesc.europa.eu"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lex.europa.eu/eli/C/2023/874/oj" TargetMode="External"/><Relationship Id="rId32" Type="http://schemas.openxmlformats.org/officeDocument/2006/relationships/hyperlink" Target="mailto:Silvia.Staffa@eesc.europa.eu" TargetMode="External"/><Relationship Id="rId37" Type="http://schemas.openxmlformats.org/officeDocument/2006/relationships/hyperlink" Target="https://www.eesc.europa.eu/ro/our-work/opinions-information-reports/opinions/amendment-deforestation-regulation-eu-20231115" TargetMode="External"/><Relationship Id="rId40" Type="http://schemas.openxmlformats.org/officeDocument/2006/relationships/hyperlink" Target="mailto:Arturo.Iniguez@eesc.europa.eu" TargetMode="External"/><Relationship Id="rId45" Type="http://schemas.openxmlformats.org/officeDocument/2006/relationships/hyperlink" Target="mailto:Katarina.Albrechtova@eesc.europa.eu"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esc.europa.eu/en/our-work/opinions-information-reports/opinions/implementation-eu-macro-regional-strategies-5th-report" TargetMode="External"/><Relationship Id="rId23" Type="http://schemas.openxmlformats.org/officeDocument/2006/relationships/hyperlink" Target="https://www.eesc.europa.eu/ro/our-work/opinions-information-reports/opinions/co2-emission-class-heavy-duty-vehicles-trailers-0" TargetMode="External"/><Relationship Id="rId28" Type="http://schemas.openxmlformats.org/officeDocument/2006/relationships/hyperlink" Target="mailto:Albert.Precup@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mailto:Adam.Dorywalski@eesc.europa.eu"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esc.europa.eu/en/our-work/opinions-information-reports/opinions/labour-rights-journalists-and-media-professionals-safeguard-independence-and-truthful-information" TargetMode="External"/><Relationship Id="rId31" Type="http://schemas.openxmlformats.org/officeDocument/2006/relationships/hyperlink" Target="https://www.eesc.europa.eu/ro/our-work/opinions-information-reports/opinions/report-competition-policy-2024" TargetMode="External"/><Relationship Id="rId44" Type="http://schemas.openxmlformats.org/officeDocument/2006/relationships/hyperlink" Target="https://www.eesc.europa.eu/ro/our-work/opinions-information-reports/opinions/predictable-and-common-european-way-forward-ukrainians-eu"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lessia.Cova@eesc.europa.eu" TargetMode="External"/><Relationship Id="rId27" Type="http://schemas.openxmlformats.org/officeDocument/2006/relationships/hyperlink" Target="https://www.eesc.europa.eu/ro/our-work/opinions-information-reports/opinions/nuclear-illustrative-programme-1" TargetMode="External"/><Relationship Id="rId30" Type="http://schemas.openxmlformats.org/officeDocument/2006/relationships/hyperlink" Target="mailto:Annalisa.Tessarolo@eesc.europa.eu" TargetMode="External"/><Relationship Id="rId35" Type="http://schemas.openxmlformats.org/officeDocument/2006/relationships/hyperlink" Target="https://www.eesc.europa.eu/ro/our-work/opinions-information-reports/opinions/review-european-public-procurement-legal-framework" TargetMode="External"/><Relationship Id="rId43" Type="http://schemas.openxmlformats.org/officeDocument/2006/relationships/hyperlink" Target="mailto:Daniele.Vitali@eesc.europa.eu" TargetMode="External"/><Relationship Id="rId48" Type="http://schemas.openxmlformats.org/officeDocument/2006/relationships/hyperlink" Target="https://www.eesc.europa.eu/ro/our-work/opinions-information-reports/opinions/industrial-cooperatives-tool-challenge-inclusive-and-sustainable-competitivenes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uri=uriserv%3AOJ.C_.2022.275.01.0088.01.RON&amp;toc=OJ%3AC%3A2022%3A275%3ATOC" TargetMode="External"/><Relationship Id="rId3" Type="http://schemas.openxmlformats.org/officeDocument/2006/relationships/hyperlink" Target="https://digital-strategy.ec.europa.eu/ro/library/recommendation-protection-safety-and-empowerment-journalists" TargetMode="External"/><Relationship Id="rId7" Type="http://schemas.openxmlformats.org/officeDocument/2006/relationships/hyperlink" Target="https://www.eesc.europa.eu/ro/our-work/opinions-information-reports/opinions/minimising-risk-deforestation-and-forest-degradation-associated-products-placed-eu-market" TargetMode="External"/><Relationship Id="rId2" Type="http://schemas.openxmlformats.org/officeDocument/2006/relationships/hyperlink" Target="https://eur-lex.europa.eu/legal-content/RO/TXT/?uri=CELEX%3A52022XC0930%2802%29" TargetMode="External"/><Relationship Id="rId1" Type="http://schemas.openxmlformats.org/officeDocument/2006/relationships/hyperlink" Target="https://eur-lex.europa.eu/legal-content/RO/TXT/?uri=legissum:4623532" TargetMode="External"/><Relationship Id="rId6" Type="http://schemas.openxmlformats.org/officeDocument/2006/relationships/hyperlink" Target="https://eur-lex.europa.eu/legal-content/RO/TXT/?uri=OJ:C_202406882" TargetMode="External"/><Relationship Id="rId5" Type="http://schemas.openxmlformats.org/officeDocument/2006/relationships/hyperlink" Target="https://www.eesc.europa.eu/en/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A6WAAD5KZT2Q-284857674-6420</_dlc_DocId>
    <_dlc_DocIdUrl xmlns="1a33af13-4045-4f88-9d7b-618e30f79918">
      <Url>http://dm/eesc/2025/_layouts/15/DocIdRedir.aspx?ID=A6WAAD5KZT2Q-284857674-6420</Url>
      <Description>A6WAAD5KZT2Q-284857674-6420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Ion Irina-Ioana</DisplayName>
        <AccountId>1499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01E7E43C-30A7-4581-B56B-5860F66C50D8}"/>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7256</Words>
  <Characters>41363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Sumarul avizelor - cea de-a 601-a sesiune plenară - decembrie 2025</dc:title>
  <dc:subject>ADMIN</dc:subject>
  <dc:creator/>
  <cp:keywords>COR-EESC-2022-02583-00-00-ADMIN-TRA-EN</cp:keywords>
  <dc:description>Rapporteur:  - Original language: EN - Date of document: 20/05/2022 - Date of meeting:  - External documents:  - Administrator:  SUCIU Serban</dc:description>
  <cp:lastModifiedBy/>
  <cp:revision>2</cp:revision>
  <dcterms:created xsi:type="dcterms:W3CDTF">2025-12-17T15:50:00Z</dcterms:created>
  <dcterms:modified xsi:type="dcterms:W3CDTF">2025-12-19T17:04:00Z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c20d16ef-164c-4ce7-936e-ae605dd061b2</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34;#IT|0774613c-01ed-4e5d-a25d-11d2388de825;#33;#PT|50ccc04a-eadd-42ae-a0cb-acaf45f812ba;#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36;#RO|feb747a2-64cd-4299-af12-4833ddc30497</vt:lpwstr>
  </property>
  <property fmtid="{D5CDD505-2E9C-101B-9397-08002B2CF9AE}" pid="33" name="AvailableTranslations_0">
    <vt:lpwstr>LT|a7ff5ce7-6123-4f68-865a-a57c31810414;SV|c2ed69e7-a339-43d7-8f22-d93680a92aa0;NL|55c6556c-b4f4-441d-9acf-c498d4f838bd;EN|f2175f21-25d7-44a3-96da-d6a61b075e1b;DA|5d49c027-8956-412b-aa16-e85a0f96ad0e;EL|6d4f4d51-af9b-4650-94b4-4276bee85c91;IT|0774613c-01ed-4e5d-a25d-11d2388de825;FR|d2afafd3-4c81-4f60-8f52-ee33f2f54ff3;HR|2f555653-ed1a-4fe6-8362-9082d95989e5;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