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270C2B20" w:rsidR="004D7AC0" w:rsidRDefault="00645EDF" w:rsidP="004D7AC0">
      <w:pPr>
        <w:jc w:val="center"/>
      </w:pPr>
      <w:r>
        <w:rPr>
          <w:noProof/>
        </w:rPr>
        <w:drawing>
          <wp:inline distT="0" distB="0" distL="0" distR="0" wp14:anchorId="138211A3" wp14:editId="02202A87">
            <wp:extent cx="1792605" cy="1239520"/>
            <wp:effectExtent l="0" t="0" r="0" b="0"/>
            <wp:docPr id="1" name="Picture 1" title="EESCLogo_PT"/>
            <wp:cNvGraphicFramePr/>
            <a:graphic xmlns:a="http://schemas.openxmlformats.org/drawingml/2006/main">
              <a:graphicData uri="http://schemas.openxmlformats.org/drawingml/2006/picture">
                <pic:pic xmlns:pic="http://schemas.openxmlformats.org/drawingml/2006/picture">
                  <pic:nvPicPr>
                    <pic:cNvPr id="1" name="Picture 1" title="EESCLogo_P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anchorId="4982DE48" wp14:editId="18DF394E">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PT</w:t>
                      </w:r>
                    </w:p>
                  </w:txbxContent>
                </v:textbox>
                <w10:wrap anchorx="page" anchory="page"/>
              </v:shape>
            </w:pict>
          </mc:Fallback>
        </mc:AlternateContent>
      </w:r>
    </w:p>
    <w:p w14:paraId="4982DD4E" w14:textId="77777777" w:rsidR="004D7AC0" w:rsidRDefault="004D7AC0" w:rsidP="004D7AC0"/>
    <w:p w14:paraId="4982DD4F" w14:textId="583AC3F3" w:rsidR="004D7AC0" w:rsidRDefault="004D7AC0" w:rsidP="004D7AC0">
      <w:pPr>
        <w:jc w:val="right"/>
      </w:pPr>
      <w:r>
        <w:t>Bruxelas, 17 de dezembro de 2025</w:t>
      </w:r>
    </w:p>
    <w:p w14:paraId="4982DD50" w14:textId="77777777" w:rsidR="004D7AC0" w:rsidRDefault="004D7AC0" w:rsidP="004D7AC0"/>
    <w:p w14:paraId="4982DD51" w14:textId="77777777" w:rsidR="004D7AC0" w:rsidRDefault="004D7AC0" w:rsidP="004D7AC0"/>
    <w:p w14:paraId="4982DD52" w14:textId="77777777" w:rsidR="004D7AC0" w:rsidRDefault="004D7AC0" w:rsidP="004D7AC0"/>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02802AB8" w:rsidR="003066BE" w:rsidRDefault="00340927" w:rsidP="00600C84">
            <w:pPr>
              <w:snapToGrid w:val="0"/>
              <w:jc w:val="center"/>
              <w:rPr>
                <w:b/>
                <w:sz w:val="32"/>
                <w:szCs w:val="32"/>
              </w:rPr>
            </w:pPr>
            <w:r>
              <w:rPr>
                <w:b/>
                <w:sz w:val="32"/>
              </w:rPr>
              <w:t>601.ª REUNIÃO PLENÁRIA</w:t>
            </w:r>
          </w:p>
          <w:p w14:paraId="4982DD54" w14:textId="77777777" w:rsidR="003066BE" w:rsidRDefault="003066BE" w:rsidP="00600C84">
            <w:pPr>
              <w:snapToGrid w:val="0"/>
              <w:jc w:val="center"/>
              <w:rPr>
                <w:b/>
                <w:sz w:val="32"/>
                <w:szCs w:val="32"/>
              </w:rPr>
            </w:pPr>
          </w:p>
          <w:p w14:paraId="4982DD55" w14:textId="2F334972" w:rsidR="003066BE" w:rsidRDefault="00340927" w:rsidP="00600C84">
            <w:pPr>
              <w:snapToGrid w:val="0"/>
              <w:jc w:val="center"/>
              <w:rPr>
                <w:b/>
                <w:sz w:val="32"/>
                <w:szCs w:val="32"/>
              </w:rPr>
            </w:pPr>
            <w:r>
              <w:rPr>
                <w:b/>
                <w:sz w:val="32"/>
              </w:rPr>
              <w:t>3 e 4 de dezembro de 2025</w:t>
            </w:r>
          </w:p>
          <w:p w14:paraId="4982DD56" w14:textId="77777777" w:rsidR="003066BE" w:rsidRDefault="003066BE" w:rsidP="00600C84">
            <w:pPr>
              <w:snapToGrid w:val="0"/>
              <w:jc w:val="center"/>
              <w:rPr>
                <w:b/>
                <w:sz w:val="32"/>
                <w:szCs w:val="32"/>
              </w:rPr>
            </w:pPr>
          </w:p>
          <w:p w14:paraId="4982DD57" w14:textId="5A35E792" w:rsidR="004D7AC0" w:rsidRPr="0081153B" w:rsidRDefault="00754027" w:rsidP="00600C84">
            <w:pPr>
              <w:snapToGrid w:val="0"/>
              <w:jc w:val="center"/>
              <w:rPr>
                <w:rFonts w:eastAsia="MS Mincho"/>
                <w:b/>
                <w:sz w:val="32"/>
                <w:szCs w:val="32"/>
              </w:rPr>
            </w:pPr>
            <w:r>
              <w:rPr>
                <w:b/>
                <w:sz w:val="32"/>
              </w:rPr>
              <w:t>SÍNTESE DOS PARECERES, RESOLUÇÕES E RELATÓRIOS DE INFORMAÇÃO E AVALIAÇÃO ADOTADOS</w:t>
            </w:r>
          </w:p>
          <w:p w14:paraId="4982DD58" w14:textId="77777777" w:rsidR="004D7AC0" w:rsidRDefault="004D7AC0" w:rsidP="00600C84">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2DF7D883" w:rsidR="004D7AC0" w:rsidRPr="0081153B" w:rsidRDefault="004D7AC0" w:rsidP="00600C84">
            <w:pPr>
              <w:snapToGrid w:val="0"/>
              <w:jc w:val="center"/>
            </w:pPr>
            <w:r>
              <w:t>O presente documento pode ser consultado nas línguas oficiais da União Europeia no sítio Web do CESE, no seguinte endereço:</w:t>
            </w:r>
            <w:r>
              <w:br/>
            </w:r>
            <w:r>
              <w:br/>
            </w:r>
            <w:hyperlink r:id="rId13" w:history="1">
              <w:r>
                <w:rPr>
                  <w:rStyle w:val="Hyperlink"/>
                </w:rPr>
                <w:t>https://www.eesc.europa.eu/pt/our-work/opinions-information-reports/plenary-session-summaries</w:t>
              </w:r>
            </w:hyperlink>
          </w:p>
          <w:p w14:paraId="4982DD5B" w14:textId="77777777" w:rsidR="004D7AC0" w:rsidRPr="0081153B" w:rsidRDefault="004D7AC0" w:rsidP="00600C84">
            <w:pPr>
              <w:snapToGrid w:val="0"/>
              <w:jc w:val="center"/>
            </w:pPr>
          </w:p>
          <w:p w14:paraId="4982DD5C" w14:textId="77777777" w:rsidR="004D7AC0" w:rsidRPr="0081153B" w:rsidRDefault="004D7AC0" w:rsidP="00600C84">
            <w:pPr>
              <w:snapToGrid w:val="0"/>
              <w:jc w:val="center"/>
              <w:rPr>
                <w:rFonts w:eastAsia="SimSun"/>
              </w:rPr>
            </w:pPr>
          </w:p>
          <w:p w14:paraId="4982DD5D" w14:textId="77777777" w:rsidR="004D7AC0" w:rsidRPr="00044561" w:rsidRDefault="004D7AC0" w:rsidP="00600C84">
            <w:pPr>
              <w:snapToGrid w:val="0"/>
              <w:jc w:val="center"/>
            </w:pPr>
            <w:r>
              <w:t xml:space="preserve">Os pareceres mencionados podem ser consultados em linha através do motor de busca do CESE: </w:t>
            </w:r>
            <w:r>
              <w:br/>
            </w:r>
            <w:r>
              <w:br/>
            </w:r>
            <w:hyperlink r:id="rId14" w:history="1">
              <w:r>
                <w:rPr>
                  <w:rStyle w:val="Hyperlink"/>
                </w:rPr>
                <w:t>https://dmsearch.eesc.europa.eu/s</w:t>
              </w:r>
              <w:r>
                <w:rPr>
                  <w:rStyle w:val="Hyperlink"/>
                </w:rPr>
                <w:t>e</w:t>
              </w:r>
              <w:r>
                <w:rPr>
                  <w:rStyle w:val="Hyperlink"/>
                </w:rPr>
                <w:t>arch/opinion</w:t>
              </w:r>
            </w:hyperlink>
          </w:p>
          <w:p w14:paraId="4982DD5E" w14:textId="77777777" w:rsidR="004D7AC0" w:rsidRPr="00044561" w:rsidRDefault="004D7AC0" w:rsidP="00600C84">
            <w:pPr>
              <w:snapToGrid w:val="0"/>
              <w:jc w:val="center"/>
            </w:pPr>
          </w:p>
        </w:tc>
      </w:tr>
    </w:tbl>
    <w:p w14:paraId="4982DD60" w14:textId="77777777" w:rsidR="004D7AC0" w:rsidRDefault="004D7AC0" w:rsidP="004D7AC0"/>
    <w:p w14:paraId="4982DD61" w14:textId="77777777" w:rsidR="004D7AC0" w:rsidRDefault="004D7AC0" w:rsidP="004D7AC0"/>
    <w:p w14:paraId="4982DD62" w14:textId="77777777" w:rsidR="004D7AC0" w:rsidRDefault="004D7AC0" w:rsidP="004D7AC0">
      <w:pPr>
        <w:sectPr w:rsidR="004D7AC0" w:rsidSect="00EE6F0B">
          <w:footerReference w:type="default" r:id="rId15"/>
          <w:pgSz w:w="11907" w:h="16839"/>
          <w:pgMar w:top="1417" w:right="1417" w:bottom="1417" w:left="1417" w:header="709" w:footer="709" w:gutter="0"/>
          <w:pgNumType w:start="1"/>
          <w:cols w:space="708"/>
          <w:docGrid w:linePitch="360"/>
        </w:sectPr>
      </w:pPr>
    </w:p>
    <w:p w14:paraId="4982DD63" w14:textId="77777777" w:rsidR="004D7AC0" w:rsidRPr="00A81AFE" w:rsidRDefault="004D7AC0" w:rsidP="004D7AC0">
      <w:pPr>
        <w:rPr>
          <w:b/>
        </w:rPr>
      </w:pPr>
      <w:r>
        <w:rPr>
          <w:b/>
        </w:rPr>
        <w:lastRenderedPageBreak/>
        <w:t>Índice</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3E2C4A56" w14:textId="118F8DD4" w:rsidR="00743627" w:rsidRPr="00743627" w:rsidRDefault="00743627" w:rsidP="00743627">
          <w:pPr>
            <w:pStyle w:val="TOCHeading"/>
            <w:rPr>
              <w:rFonts w:ascii="Times New Roman" w:eastAsia="Times New Roman" w:hAnsi="Times New Roman" w:cs="Times New Roman"/>
              <w:color w:val="auto"/>
              <w:sz w:val="22"/>
              <w:szCs w:val="22"/>
            </w:rPr>
          </w:pPr>
        </w:p>
        <w:p w14:paraId="590CB1AD" w14:textId="721DEA64" w:rsidR="00743627" w:rsidRDefault="004D7AC0">
          <w:pPr>
            <w:pStyle w:val="TOC1"/>
            <w:tabs>
              <w:tab w:val="left" w:pos="440"/>
              <w:tab w:val="right" w:leader="dot" w:pos="9063"/>
            </w:tabs>
            <w:rPr>
              <w:rFonts w:asciiTheme="minorHAnsi" w:eastAsiaTheme="minorEastAsia" w:hAnsiTheme="minorHAnsi"/>
              <w:noProof/>
              <w:szCs w:val="20"/>
              <w:lang w:eastAsia="pt-PT" w:bidi="hi-x-bh-SDL"/>
            </w:rPr>
          </w:pPr>
          <w:r>
            <w:fldChar w:fldCharType="begin"/>
          </w:r>
          <w:r>
            <w:instrText xml:space="preserve"> TOC \o "1-3" \h \z \u </w:instrText>
          </w:r>
          <w:r>
            <w:fldChar w:fldCharType="separate"/>
          </w:r>
          <w:hyperlink w:anchor="_Toc217055910" w:history="1">
            <w:r w:rsidR="00743627" w:rsidRPr="00541BF7">
              <w:rPr>
                <w:rStyle w:val="Hyperlink"/>
                <w:b/>
                <w:noProof/>
              </w:rPr>
              <w:t>1.</w:t>
            </w:r>
            <w:r w:rsidR="00743627">
              <w:rPr>
                <w:rFonts w:asciiTheme="minorHAnsi" w:eastAsiaTheme="minorEastAsia" w:hAnsiTheme="minorHAnsi"/>
                <w:noProof/>
                <w:szCs w:val="20"/>
                <w:lang w:eastAsia="pt-PT" w:bidi="hi-x-bh-SDL"/>
              </w:rPr>
              <w:tab/>
            </w:r>
            <w:r w:rsidR="00743627" w:rsidRPr="00541BF7">
              <w:rPr>
                <w:rStyle w:val="Hyperlink"/>
                <w:b/>
                <w:noProof/>
              </w:rPr>
              <w:t>UNIÃO ECONÓMICA E MONETÁRIA E COESÃO ECONÓMICA E SOCIAL</w:t>
            </w:r>
            <w:r w:rsidR="00743627">
              <w:rPr>
                <w:noProof/>
                <w:webHidden/>
              </w:rPr>
              <w:tab/>
            </w:r>
            <w:r w:rsidR="00743627">
              <w:rPr>
                <w:noProof/>
                <w:webHidden/>
              </w:rPr>
              <w:fldChar w:fldCharType="begin"/>
            </w:r>
            <w:r w:rsidR="00743627">
              <w:rPr>
                <w:noProof/>
                <w:webHidden/>
              </w:rPr>
              <w:instrText xml:space="preserve"> PAGEREF _Toc217055910 \h </w:instrText>
            </w:r>
            <w:r w:rsidR="00743627">
              <w:rPr>
                <w:noProof/>
                <w:webHidden/>
              </w:rPr>
            </w:r>
            <w:r w:rsidR="00743627">
              <w:rPr>
                <w:noProof/>
                <w:webHidden/>
              </w:rPr>
              <w:fldChar w:fldCharType="separate"/>
            </w:r>
            <w:r w:rsidR="006F0C49">
              <w:rPr>
                <w:noProof/>
                <w:webHidden/>
              </w:rPr>
              <w:t>3</w:t>
            </w:r>
            <w:r w:rsidR="00743627">
              <w:rPr>
                <w:noProof/>
                <w:webHidden/>
              </w:rPr>
              <w:fldChar w:fldCharType="end"/>
            </w:r>
          </w:hyperlink>
        </w:p>
        <w:p w14:paraId="570930D5" w14:textId="5CB10A17" w:rsidR="00743627" w:rsidRDefault="00743627">
          <w:pPr>
            <w:pStyle w:val="TOC1"/>
            <w:tabs>
              <w:tab w:val="left" w:pos="440"/>
              <w:tab w:val="right" w:leader="dot" w:pos="9063"/>
            </w:tabs>
            <w:rPr>
              <w:rFonts w:asciiTheme="minorHAnsi" w:eastAsiaTheme="minorEastAsia" w:hAnsiTheme="minorHAnsi"/>
              <w:noProof/>
              <w:szCs w:val="20"/>
              <w:lang w:eastAsia="pt-PT" w:bidi="hi-x-bh-SDL"/>
            </w:rPr>
          </w:pPr>
          <w:hyperlink w:anchor="_Toc217055911" w:history="1">
            <w:r w:rsidRPr="00541BF7">
              <w:rPr>
                <w:rStyle w:val="Hyperlink"/>
                <w:b/>
                <w:noProof/>
              </w:rPr>
              <w:t>2.</w:t>
            </w:r>
            <w:r>
              <w:rPr>
                <w:rFonts w:asciiTheme="minorHAnsi" w:eastAsiaTheme="minorEastAsia" w:hAnsiTheme="minorHAnsi"/>
                <w:noProof/>
                <w:szCs w:val="20"/>
                <w:lang w:eastAsia="pt-PT" w:bidi="hi-x-bh-SDL"/>
              </w:rPr>
              <w:tab/>
            </w:r>
            <w:r w:rsidRPr="00541BF7">
              <w:rPr>
                <w:rStyle w:val="Hyperlink"/>
                <w:b/>
                <w:noProof/>
              </w:rPr>
              <w:t>EMPREGO, ASSUNTOS SOCIAIS E CIDADANIA</w:t>
            </w:r>
            <w:r>
              <w:rPr>
                <w:noProof/>
                <w:webHidden/>
              </w:rPr>
              <w:tab/>
            </w:r>
            <w:r>
              <w:rPr>
                <w:noProof/>
                <w:webHidden/>
              </w:rPr>
              <w:fldChar w:fldCharType="begin"/>
            </w:r>
            <w:r>
              <w:rPr>
                <w:noProof/>
                <w:webHidden/>
              </w:rPr>
              <w:instrText xml:space="preserve"> PAGEREF _Toc217055911 \h </w:instrText>
            </w:r>
            <w:r>
              <w:rPr>
                <w:noProof/>
                <w:webHidden/>
              </w:rPr>
            </w:r>
            <w:r>
              <w:rPr>
                <w:noProof/>
                <w:webHidden/>
              </w:rPr>
              <w:fldChar w:fldCharType="separate"/>
            </w:r>
            <w:r w:rsidR="006F0C49">
              <w:rPr>
                <w:noProof/>
                <w:webHidden/>
              </w:rPr>
              <w:t>7</w:t>
            </w:r>
            <w:r>
              <w:rPr>
                <w:noProof/>
                <w:webHidden/>
              </w:rPr>
              <w:fldChar w:fldCharType="end"/>
            </w:r>
          </w:hyperlink>
        </w:p>
        <w:p w14:paraId="303C198D" w14:textId="50B2C2DF" w:rsidR="00743627" w:rsidRDefault="00743627">
          <w:pPr>
            <w:pStyle w:val="TOC1"/>
            <w:tabs>
              <w:tab w:val="left" w:pos="440"/>
              <w:tab w:val="right" w:leader="dot" w:pos="9063"/>
            </w:tabs>
            <w:rPr>
              <w:rFonts w:asciiTheme="minorHAnsi" w:eastAsiaTheme="minorEastAsia" w:hAnsiTheme="minorHAnsi"/>
              <w:noProof/>
              <w:szCs w:val="20"/>
              <w:lang w:eastAsia="pt-PT" w:bidi="hi-x-bh-SDL"/>
            </w:rPr>
          </w:pPr>
          <w:hyperlink w:anchor="_Toc217055916" w:history="1">
            <w:r w:rsidRPr="00541BF7">
              <w:rPr>
                <w:rStyle w:val="Hyperlink"/>
                <w:b/>
                <w:noProof/>
              </w:rPr>
              <w:t>3.</w:t>
            </w:r>
            <w:r>
              <w:rPr>
                <w:rFonts w:asciiTheme="minorHAnsi" w:eastAsiaTheme="minorEastAsia" w:hAnsiTheme="minorHAnsi"/>
                <w:noProof/>
                <w:szCs w:val="20"/>
                <w:lang w:eastAsia="pt-PT" w:bidi="hi-x-bh-SDL"/>
              </w:rPr>
              <w:tab/>
            </w:r>
            <w:r w:rsidRPr="00541BF7">
              <w:rPr>
                <w:rStyle w:val="Hyperlink"/>
                <w:b/>
                <w:noProof/>
              </w:rPr>
              <w:t>TRANSPORTES, ENERGIA, INFRAESTRUTURAS E SOCIEDADE DA INFORMAÇÃO</w:t>
            </w:r>
            <w:r>
              <w:rPr>
                <w:noProof/>
                <w:webHidden/>
              </w:rPr>
              <w:tab/>
            </w:r>
            <w:r>
              <w:rPr>
                <w:noProof/>
                <w:webHidden/>
              </w:rPr>
              <w:fldChar w:fldCharType="begin"/>
            </w:r>
            <w:r>
              <w:rPr>
                <w:noProof/>
                <w:webHidden/>
              </w:rPr>
              <w:instrText xml:space="preserve"> PAGEREF _Toc217055916 \h </w:instrText>
            </w:r>
            <w:r>
              <w:rPr>
                <w:noProof/>
                <w:webHidden/>
              </w:rPr>
            </w:r>
            <w:r>
              <w:rPr>
                <w:noProof/>
                <w:webHidden/>
              </w:rPr>
              <w:fldChar w:fldCharType="separate"/>
            </w:r>
            <w:r w:rsidR="006F0C49">
              <w:rPr>
                <w:noProof/>
                <w:webHidden/>
              </w:rPr>
              <w:t>11</w:t>
            </w:r>
            <w:r>
              <w:rPr>
                <w:noProof/>
                <w:webHidden/>
              </w:rPr>
              <w:fldChar w:fldCharType="end"/>
            </w:r>
          </w:hyperlink>
        </w:p>
        <w:p w14:paraId="0CACF085" w14:textId="6DE4B4A4" w:rsidR="00743627" w:rsidRDefault="00743627">
          <w:pPr>
            <w:pStyle w:val="TOC1"/>
            <w:tabs>
              <w:tab w:val="left" w:pos="440"/>
              <w:tab w:val="right" w:leader="dot" w:pos="9063"/>
            </w:tabs>
            <w:rPr>
              <w:rFonts w:asciiTheme="minorHAnsi" w:eastAsiaTheme="minorEastAsia" w:hAnsiTheme="minorHAnsi"/>
              <w:noProof/>
              <w:szCs w:val="20"/>
              <w:lang w:eastAsia="pt-PT" w:bidi="hi-x-bh-SDL"/>
            </w:rPr>
          </w:pPr>
          <w:hyperlink w:anchor="_Toc217055917" w:history="1">
            <w:r w:rsidRPr="00541BF7">
              <w:rPr>
                <w:rStyle w:val="Hyperlink"/>
                <w:b/>
                <w:noProof/>
              </w:rPr>
              <w:t>4.</w:t>
            </w:r>
            <w:r>
              <w:rPr>
                <w:rFonts w:asciiTheme="minorHAnsi" w:eastAsiaTheme="minorEastAsia" w:hAnsiTheme="minorHAnsi"/>
                <w:noProof/>
                <w:szCs w:val="20"/>
                <w:lang w:eastAsia="pt-PT" w:bidi="hi-x-bh-SDL"/>
              </w:rPr>
              <w:tab/>
            </w:r>
            <w:r w:rsidRPr="00541BF7">
              <w:rPr>
                <w:rStyle w:val="Hyperlink"/>
                <w:b/>
                <w:noProof/>
              </w:rPr>
              <w:t>MERCADO ÚNICO, PRODUÇÃO E CONSUMO</w:t>
            </w:r>
            <w:r>
              <w:rPr>
                <w:noProof/>
                <w:webHidden/>
              </w:rPr>
              <w:tab/>
            </w:r>
            <w:r>
              <w:rPr>
                <w:noProof/>
                <w:webHidden/>
              </w:rPr>
              <w:fldChar w:fldCharType="begin"/>
            </w:r>
            <w:r>
              <w:rPr>
                <w:noProof/>
                <w:webHidden/>
              </w:rPr>
              <w:instrText xml:space="preserve"> PAGEREF _Toc217055917 \h </w:instrText>
            </w:r>
            <w:r>
              <w:rPr>
                <w:noProof/>
                <w:webHidden/>
              </w:rPr>
            </w:r>
            <w:r>
              <w:rPr>
                <w:noProof/>
                <w:webHidden/>
              </w:rPr>
              <w:fldChar w:fldCharType="separate"/>
            </w:r>
            <w:r w:rsidR="006F0C49">
              <w:rPr>
                <w:noProof/>
                <w:webHidden/>
              </w:rPr>
              <w:t>14</w:t>
            </w:r>
            <w:r>
              <w:rPr>
                <w:noProof/>
                <w:webHidden/>
              </w:rPr>
              <w:fldChar w:fldCharType="end"/>
            </w:r>
          </w:hyperlink>
        </w:p>
        <w:p w14:paraId="6193DDEE" w14:textId="7455BC3C" w:rsidR="00743627" w:rsidRDefault="00743627">
          <w:pPr>
            <w:pStyle w:val="TOC1"/>
            <w:tabs>
              <w:tab w:val="left" w:pos="440"/>
              <w:tab w:val="right" w:leader="dot" w:pos="9063"/>
            </w:tabs>
            <w:rPr>
              <w:rFonts w:asciiTheme="minorHAnsi" w:eastAsiaTheme="minorEastAsia" w:hAnsiTheme="minorHAnsi"/>
              <w:noProof/>
              <w:szCs w:val="20"/>
              <w:lang w:eastAsia="pt-PT" w:bidi="hi-x-bh-SDL"/>
            </w:rPr>
          </w:pPr>
          <w:hyperlink w:anchor="_Toc217055918" w:history="1">
            <w:r w:rsidRPr="00541BF7">
              <w:rPr>
                <w:rStyle w:val="Hyperlink"/>
                <w:b/>
                <w:noProof/>
              </w:rPr>
              <w:t>5.</w:t>
            </w:r>
            <w:r>
              <w:rPr>
                <w:rFonts w:asciiTheme="minorHAnsi" w:eastAsiaTheme="minorEastAsia" w:hAnsiTheme="minorHAnsi"/>
                <w:noProof/>
                <w:szCs w:val="20"/>
                <w:lang w:eastAsia="pt-PT" w:bidi="hi-x-bh-SDL"/>
              </w:rPr>
              <w:tab/>
            </w:r>
            <w:r w:rsidRPr="00541BF7">
              <w:rPr>
                <w:rStyle w:val="Hyperlink"/>
                <w:b/>
                <w:noProof/>
              </w:rPr>
              <w:t>AGRICULTURA, DESENVOLVIMENTO RURAL E AMBIENTE</w:t>
            </w:r>
            <w:r>
              <w:rPr>
                <w:noProof/>
                <w:webHidden/>
              </w:rPr>
              <w:tab/>
            </w:r>
            <w:r>
              <w:rPr>
                <w:noProof/>
                <w:webHidden/>
              </w:rPr>
              <w:fldChar w:fldCharType="begin"/>
            </w:r>
            <w:r>
              <w:rPr>
                <w:noProof/>
                <w:webHidden/>
              </w:rPr>
              <w:instrText xml:space="preserve"> PAGEREF _Toc217055918 \h </w:instrText>
            </w:r>
            <w:r>
              <w:rPr>
                <w:noProof/>
                <w:webHidden/>
              </w:rPr>
            </w:r>
            <w:r>
              <w:rPr>
                <w:noProof/>
                <w:webHidden/>
              </w:rPr>
              <w:fldChar w:fldCharType="separate"/>
            </w:r>
            <w:r w:rsidR="006F0C49">
              <w:rPr>
                <w:noProof/>
                <w:webHidden/>
              </w:rPr>
              <w:t>18</w:t>
            </w:r>
            <w:r>
              <w:rPr>
                <w:noProof/>
                <w:webHidden/>
              </w:rPr>
              <w:fldChar w:fldCharType="end"/>
            </w:r>
          </w:hyperlink>
        </w:p>
        <w:p w14:paraId="00B5D579" w14:textId="1B3CC65F" w:rsidR="00743627" w:rsidRDefault="00743627">
          <w:pPr>
            <w:pStyle w:val="TOC1"/>
            <w:tabs>
              <w:tab w:val="left" w:pos="440"/>
              <w:tab w:val="right" w:leader="dot" w:pos="9063"/>
            </w:tabs>
            <w:rPr>
              <w:rFonts w:asciiTheme="minorHAnsi" w:eastAsiaTheme="minorEastAsia" w:hAnsiTheme="minorHAnsi"/>
              <w:noProof/>
              <w:szCs w:val="20"/>
              <w:lang w:eastAsia="pt-PT" w:bidi="hi-x-bh-SDL"/>
            </w:rPr>
          </w:pPr>
          <w:hyperlink w:anchor="_Toc217055919" w:history="1">
            <w:r w:rsidRPr="00541BF7">
              <w:rPr>
                <w:rStyle w:val="Hyperlink"/>
                <w:b/>
                <w:noProof/>
              </w:rPr>
              <w:t>6.</w:t>
            </w:r>
            <w:r>
              <w:rPr>
                <w:rFonts w:asciiTheme="minorHAnsi" w:eastAsiaTheme="minorEastAsia" w:hAnsiTheme="minorHAnsi"/>
                <w:noProof/>
                <w:szCs w:val="20"/>
                <w:lang w:eastAsia="pt-PT" w:bidi="hi-x-bh-SDL"/>
              </w:rPr>
              <w:tab/>
            </w:r>
            <w:r w:rsidRPr="00541BF7">
              <w:rPr>
                <w:rStyle w:val="Hyperlink"/>
                <w:b/>
                <w:noProof/>
              </w:rPr>
              <w:t>RELAÇÕES EXTERNAS</w:t>
            </w:r>
            <w:r>
              <w:rPr>
                <w:noProof/>
                <w:webHidden/>
              </w:rPr>
              <w:tab/>
            </w:r>
            <w:r>
              <w:rPr>
                <w:noProof/>
                <w:webHidden/>
              </w:rPr>
              <w:fldChar w:fldCharType="begin"/>
            </w:r>
            <w:r>
              <w:rPr>
                <w:noProof/>
                <w:webHidden/>
              </w:rPr>
              <w:instrText xml:space="preserve"> PAGEREF _Toc217055919 \h </w:instrText>
            </w:r>
            <w:r>
              <w:rPr>
                <w:noProof/>
                <w:webHidden/>
              </w:rPr>
            </w:r>
            <w:r>
              <w:rPr>
                <w:noProof/>
                <w:webHidden/>
              </w:rPr>
              <w:fldChar w:fldCharType="separate"/>
            </w:r>
            <w:r w:rsidR="006F0C49">
              <w:rPr>
                <w:noProof/>
                <w:webHidden/>
              </w:rPr>
              <w:t>21</w:t>
            </w:r>
            <w:r>
              <w:rPr>
                <w:noProof/>
                <w:webHidden/>
              </w:rPr>
              <w:fldChar w:fldCharType="end"/>
            </w:r>
          </w:hyperlink>
        </w:p>
        <w:p w14:paraId="5ACB268C" w14:textId="7206FA4A" w:rsidR="00743627" w:rsidRDefault="00743627">
          <w:pPr>
            <w:pStyle w:val="TOC1"/>
            <w:tabs>
              <w:tab w:val="left" w:pos="440"/>
              <w:tab w:val="right" w:leader="dot" w:pos="9063"/>
            </w:tabs>
            <w:rPr>
              <w:rFonts w:asciiTheme="minorHAnsi" w:eastAsiaTheme="minorEastAsia" w:hAnsiTheme="minorHAnsi"/>
              <w:noProof/>
              <w:szCs w:val="20"/>
              <w:lang w:eastAsia="pt-PT" w:bidi="hi-x-bh-SDL"/>
            </w:rPr>
          </w:pPr>
          <w:hyperlink w:anchor="_Toc217055920" w:history="1">
            <w:r w:rsidRPr="00541BF7">
              <w:rPr>
                <w:rStyle w:val="Hyperlink"/>
                <w:b/>
                <w:noProof/>
              </w:rPr>
              <w:t>7.</w:t>
            </w:r>
            <w:r>
              <w:rPr>
                <w:rFonts w:asciiTheme="minorHAnsi" w:eastAsiaTheme="minorEastAsia" w:hAnsiTheme="minorHAnsi"/>
                <w:noProof/>
                <w:szCs w:val="20"/>
                <w:lang w:eastAsia="pt-PT" w:bidi="hi-x-bh-SDL"/>
              </w:rPr>
              <w:tab/>
            </w:r>
            <w:r w:rsidRPr="00541BF7">
              <w:rPr>
                <w:rStyle w:val="Hyperlink"/>
                <w:b/>
                <w:noProof/>
              </w:rPr>
              <w:t>COMISSÃO CONSULTIVA DAS MUTAÇÕES INDUSTRIAIS</w:t>
            </w:r>
            <w:r>
              <w:rPr>
                <w:noProof/>
                <w:webHidden/>
              </w:rPr>
              <w:tab/>
            </w:r>
            <w:r>
              <w:rPr>
                <w:noProof/>
                <w:webHidden/>
              </w:rPr>
              <w:fldChar w:fldCharType="begin"/>
            </w:r>
            <w:r>
              <w:rPr>
                <w:noProof/>
                <w:webHidden/>
              </w:rPr>
              <w:instrText xml:space="preserve"> PAGEREF _Toc217055920 \h </w:instrText>
            </w:r>
            <w:r>
              <w:rPr>
                <w:noProof/>
                <w:webHidden/>
              </w:rPr>
            </w:r>
            <w:r>
              <w:rPr>
                <w:noProof/>
                <w:webHidden/>
              </w:rPr>
              <w:fldChar w:fldCharType="separate"/>
            </w:r>
            <w:r w:rsidR="006F0C49">
              <w:rPr>
                <w:noProof/>
                <w:webHidden/>
              </w:rPr>
              <w:t>24</w:t>
            </w:r>
            <w:r>
              <w:rPr>
                <w:noProof/>
                <w:webHidden/>
              </w:rPr>
              <w:fldChar w:fldCharType="end"/>
            </w:r>
          </w:hyperlink>
        </w:p>
        <w:p w14:paraId="4982DD6A" w14:textId="3E92AD6A" w:rsidR="004D7AC0" w:rsidRDefault="004D7AC0" w:rsidP="004D7AC0">
          <w:r>
            <w:rPr>
              <w:b/>
            </w:rPr>
            <w:fldChar w:fldCharType="end"/>
          </w:r>
        </w:p>
      </w:sdtContent>
    </w:sdt>
    <w:p w14:paraId="4982DD6B" w14:textId="77777777" w:rsidR="004D7AC0" w:rsidRDefault="004D7AC0" w:rsidP="004D7AC0"/>
    <w:p w14:paraId="4982DD6C" w14:textId="77777777" w:rsidR="004D7AC0" w:rsidRDefault="004D7AC0" w:rsidP="004D7AC0">
      <w:pPr>
        <w:spacing w:after="160" w:line="259" w:lineRule="auto"/>
        <w:jc w:val="left"/>
      </w:pPr>
      <w:r>
        <w:br w:type="page"/>
      </w:r>
    </w:p>
    <w:p w14:paraId="4982DD6D" w14:textId="77777777" w:rsidR="004D7AC0" w:rsidRDefault="004D7AC0" w:rsidP="004D7AC0">
      <w:pPr>
        <w:pStyle w:val="Heading1"/>
        <w:rPr>
          <w:b/>
        </w:rPr>
      </w:pPr>
      <w:bookmarkStart w:id="0" w:name="_Toc217055910"/>
      <w:r>
        <w:rPr>
          <w:b/>
        </w:rPr>
        <w:lastRenderedPageBreak/>
        <w:t>UNIÃO ECONÓMICA E MONETÁRIA E COESÃO ECONÓMICA E SOCIAL</w:t>
      </w:r>
      <w:bookmarkEnd w:id="0"/>
    </w:p>
    <w:p w14:paraId="4982DD6E" w14:textId="77777777" w:rsidR="004D7AC0" w:rsidRDefault="004D7AC0" w:rsidP="004D7AC0"/>
    <w:p w14:paraId="7E506423" w14:textId="4B34D16E" w:rsidR="00612898" w:rsidRPr="00612898" w:rsidRDefault="001D1405" w:rsidP="00612898">
      <w:pPr>
        <w:widowControl w:val="0"/>
        <w:numPr>
          <w:ilvl w:val="0"/>
          <w:numId w:val="4"/>
        </w:numPr>
        <w:overflowPunct w:val="0"/>
        <w:autoSpaceDE w:val="0"/>
        <w:autoSpaceDN w:val="0"/>
        <w:adjustRightInd w:val="0"/>
        <w:spacing w:after="120"/>
        <w:ind w:hanging="567"/>
        <w:textAlignment w:val="baseline"/>
        <w:rPr>
          <w:b/>
          <w:i/>
          <w:iCs/>
          <w:sz w:val="28"/>
          <w:szCs w:val="28"/>
        </w:rPr>
      </w:pPr>
      <w:hyperlink r:id="rId16" w:history="1">
        <w:r w:rsidR="00645EDF">
          <w:rPr>
            <w:b/>
            <w:i/>
            <w:color w:val="0000FF"/>
            <w:sz w:val="28"/>
            <w:u w:val="single"/>
          </w:rPr>
          <w:t>Aplicaç</w:t>
        </w:r>
        <w:r w:rsidR="00645EDF">
          <w:rPr>
            <w:b/>
            <w:i/>
            <w:color w:val="0000FF"/>
            <w:sz w:val="28"/>
            <w:u w:val="single"/>
          </w:rPr>
          <w:t>ã</w:t>
        </w:r>
        <w:r w:rsidR="00645EDF">
          <w:rPr>
            <w:b/>
            <w:i/>
            <w:color w:val="0000FF"/>
            <w:sz w:val="28"/>
            <w:u w:val="single"/>
          </w:rPr>
          <w:t>o</w:t>
        </w:r>
        <w:r w:rsidR="00645EDF">
          <w:rPr>
            <w:b/>
            <w:i/>
            <w:color w:val="0000FF"/>
            <w:sz w:val="28"/>
            <w:u w:val="single"/>
          </w:rPr>
          <w:t xml:space="preserve"> </w:t>
        </w:r>
        <w:r w:rsidR="00645EDF">
          <w:rPr>
            <w:b/>
            <w:i/>
            <w:color w:val="0000FF"/>
            <w:sz w:val="28"/>
            <w:u w:val="single"/>
          </w:rPr>
          <w:t>das estraté</w:t>
        </w:r>
        <w:r w:rsidR="00645EDF">
          <w:rPr>
            <w:b/>
            <w:i/>
            <w:color w:val="0000FF"/>
            <w:sz w:val="28"/>
            <w:u w:val="single"/>
          </w:rPr>
          <w:t>g</w:t>
        </w:r>
        <w:r w:rsidR="00645EDF">
          <w:rPr>
            <w:b/>
            <w:i/>
            <w:color w:val="0000FF"/>
            <w:sz w:val="28"/>
            <w:u w:val="single"/>
          </w:rPr>
          <w:t>ias macrorregionais da UE – 5.º relatório</w:t>
        </w:r>
      </w:hyperlink>
    </w:p>
    <w:p w14:paraId="6D1E8521" w14:textId="77777777" w:rsidR="00612898" w:rsidRPr="00F5540C" w:rsidRDefault="00612898" w:rsidP="00612898">
      <w:pPr>
        <w:widowControl w:val="0"/>
        <w:overflowPunct w:val="0"/>
        <w:autoSpaceDE w:val="0"/>
        <w:autoSpaceDN w:val="0"/>
        <w:adjustRightInd w:val="0"/>
        <w:ind w:left="284"/>
        <w:textAlignment w:val="baseline"/>
        <w:rPr>
          <w:b/>
          <w:i/>
          <w:iCs/>
          <w:sz w:val="20"/>
          <w:szCs w:val="20"/>
        </w:rPr>
      </w:pPr>
    </w:p>
    <w:tbl>
      <w:tblPr>
        <w:tblStyle w:val="TableGrid1"/>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7621"/>
      </w:tblGrid>
      <w:tr w:rsidR="00612898" w:rsidRPr="00612898" w14:paraId="05AE56A5" w14:textId="77777777" w:rsidTr="00F5540C">
        <w:tc>
          <w:tcPr>
            <w:tcW w:w="1593" w:type="dxa"/>
          </w:tcPr>
          <w:p w14:paraId="46E62AEA" w14:textId="77777777" w:rsidR="00612898" w:rsidRPr="00612898" w:rsidRDefault="00612898" w:rsidP="00054C58">
            <w:pPr>
              <w:tabs>
                <w:tab w:val="center" w:pos="284"/>
              </w:tabs>
              <w:overflowPunct w:val="0"/>
              <w:autoSpaceDE w:val="0"/>
              <w:autoSpaceDN w:val="0"/>
              <w:adjustRightInd w:val="0"/>
              <w:ind w:left="266" w:hanging="376"/>
              <w:textAlignment w:val="baseline"/>
              <w:rPr>
                <w:b/>
              </w:rPr>
            </w:pPr>
            <w:r w:rsidRPr="00F5540C">
              <w:rPr>
                <w:b/>
                <w:sz w:val="22"/>
                <w:szCs w:val="22"/>
              </w:rPr>
              <w:t>Relator</w:t>
            </w:r>
          </w:p>
        </w:tc>
        <w:tc>
          <w:tcPr>
            <w:tcW w:w="7621" w:type="dxa"/>
          </w:tcPr>
          <w:p w14:paraId="28CBAA45" w14:textId="4453529C" w:rsidR="00612898" w:rsidRDefault="00612898">
            <w:pPr>
              <w:tabs>
                <w:tab w:val="center" w:pos="284"/>
              </w:tabs>
              <w:overflowPunct w:val="0"/>
              <w:autoSpaceDE w:val="0"/>
              <w:autoSpaceDN w:val="0"/>
              <w:adjustRightInd w:val="0"/>
              <w:ind w:left="266" w:hanging="376"/>
              <w:textAlignment w:val="baseline"/>
            </w:pPr>
            <w:r w:rsidRPr="00F5540C">
              <w:rPr>
                <w:sz w:val="22"/>
                <w:szCs w:val="22"/>
              </w:rPr>
              <w:t>Stefano Palmieri (IT-Grupo dos Trabalhadores)</w:t>
            </w:r>
          </w:p>
          <w:p w14:paraId="07092A74" w14:textId="4FEAC4CC" w:rsidR="008C414B" w:rsidRPr="00612898" w:rsidRDefault="008C414B" w:rsidP="00054C58">
            <w:pPr>
              <w:tabs>
                <w:tab w:val="center" w:pos="284"/>
              </w:tabs>
              <w:overflowPunct w:val="0"/>
              <w:autoSpaceDE w:val="0"/>
              <w:autoSpaceDN w:val="0"/>
              <w:adjustRightInd w:val="0"/>
              <w:ind w:left="266" w:hanging="376"/>
              <w:textAlignment w:val="baseline"/>
              <w:rPr>
                <w:bCs/>
              </w:rPr>
            </w:pPr>
          </w:p>
        </w:tc>
      </w:tr>
      <w:tr w:rsidR="00612898" w:rsidRPr="00C62A6C" w14:paraId="257F78E5" w14:textId="77777777" w:rsidTr="00F5540C">
        <w:tc>
          <w:tcPr>
            <w:tcW w:w="1593" w:type="dxa"/>
          </w:tcPr>
          <w:p w14:paraId="0C3EBBC1" w14:textId="77777777" w:rsidR="00612898" w:rsidRPr="00612898" w:rsidRDefault="00612898" w:rsidP="00054C58">
            <w:pPr>
              <w:tabs>
                <w:tab w:val="center" w:pos="284"/>
              </w:tabs>
              <w:overflowPunct w:val="0"/>
              <w:autoSpaceDE w:val="0"/>
              <w:autoSpaceDN w:val="0"/>
              <w:adjustRightInd w:val="0"/>
              <w:ind w:left="266" w:hanging="376"/>
              <w:textAlignment w:val="baseline"/>
              <w:rPr>
                <w:b/>
              </w:rPr>
            </w:pPr>
            <w:r w:rsidRPr="00F5540C">
              <w:rPr>
                <w:b/>
                <w:sz w:val="22"/>
                <w:szCs w:val="22"/>
              </w:rPr>
              <w:t>Referências</w:t>
            </w:r>
          </w:p>
        </w:tc>
        <w:tc>
          <w:tcPr>
            <w:tcW w:w="7621" w:type="dxa"/>
          </w:tcPr>
          <w:p w14:paraId="58F0DB08" w14:textId="4B9508DB" w:rsidR="00896BC8" w:rsidRPr="00F5540C" w:rsidRDefault="00612898">
            <w:pPr>
              <w:tabs>
                <w:tab w:val="center" w:pos="284"/>
              </w:tabs>
              <w:overflowPunct w:val="0"/>
              <w:autoSpaceDE w:val="0"/>
              <w:autoSpaceDN w:val="0"/>
              <w:adjustRightInd w:val="0"/>
              <w:ind w:left="266" w:hanging="376"/>
              <w:textAlignment w:val="baseline"/>
              <w:rPr>
                <w:sz w:val="22"/>
                <w:szCs w:val="22"/>
              </w:rPr>
            </w:pPr>
            <w:r w:rsidRPr="00F5540C">
              <w:rPr>
                <w:sz w:val="22"/>
                <w:szCs w:val="22"/>
              </w:rPr>
              <w:t>COM(2025) 191 final</w:t>
            </w:r>
          </w:p>
          <w:p w14:paraId="5DB59D59" w14:textId="2F819FC3" w:rsidR="00612898" w:rsidRPr="00F5540C" w:rsidRDefault="00612898" w:rsidP="00054C58">
            <w:pPr>
              <w:tabs>
                <w:tab w:val="center" w:pos="284"/>
              </w:tabs>
              <w:overflowPunct w:val="0"/>
              <w:autoSpaceDE w:val="0"/>
              <w:autoSpaceDN w:val="0"/>
              <w:adjustRightInd w:val="0"/>
              <w:ind w:left="266" w:hanging="376"/>
              <w:textAlignment w:val="baseline"/>
              <w:rPr>
                <w:sz w:val="22"/>
                <w:szCs w:val="22"/>
              </w:rPr>
            </w:pPr>
            <w:r w:rsidRPr="00F5540C">
              <w:rPr>
                <w:sz w:val="22"/>
                <w:szCs w:val="22"/>
              </w:rPr>
              <w:t>COM(2025) 196 final</w:t>
            </w:r>
          </w:p>
          <w:p w14:paraId="4E715312" w14:textId="77777777" w:rsidR="00612898" w:rsidRDefault="00612898" w:rsidP="00054C58">
            <w:pPr>
              <w:tabs>
                <w:tab w:val="center" w:pos="284"/>
              </w:tabs>
              <w:overflowPunct w:val="0"/>
              <w:autoSpaceDE w:val="0"/>
              <w:autoSpaceDN w:val="0"/>
              <w:adjustRightInd w:val="0"/>
              <w:ind w:left="266" w:hanging="376"/>
              <w:textAlignment w:val="baseline"/>
              <w:rPr>
                <w:sz w:val="22"/>
                <w:szCs w:val="22"/>
              </w:rPr>
            </w:pPr>
            <w:r w:rsidRPr="00F5540C">
              <w:rPr>
                <w:sz w:val="22"/>
                <w:szCs w:val="22"/>
              </w:rPr>
              <w:t>EESC-2025-02216-00-00-AC</w:t>
            </w:r>
          </w:p>
          <w:p w14:paraId="1B624F0D" w14:textId="043DB5BA" w:rsidR="00F5540C" w:rsidRPr="00612898" w:rsidRDefault="00F5540C" w:rsidP="00054C58">
            <w:pPr>
              <w:tabs>
                <w:tab w:val="center" w:pos="284"/>
              </w:tabs>
              <w:overflowPunct w:val="0"/>
              <w:autoSpaceDE w:val="0"/>
              <w:autoSpaceDN w:val="0"/>
              <w:adjustRightInd w:val="0"/>
              <w:ind w:left="266" w:hanging="376"/>
              <w:textAlignment w:val="baseline"/>
            </w:pPr>
          </w:p>
        </w:tc>
      </w:tr>
    </w:tbl>
    <w:p w14:paraId="264DB47F" w14:textId="77777777" w:rsidR="00612898" w:rsidRDefault="00612898" w:rsidP="00612898">
      <w:pPr>
        <w:keepNext/>
        <w:keepLines/>
        <w:tabs>
          <w:tab w:val="center" w:pos="284"/>
        </w:tabs>
        <w:overflowPunct w:val="0"/>
        <w:autoSpaceDE w:val="0"/>
        <w:autoSpaceDN w:val="0"/>
        <w:adjustRightInd w:val="0"/>
        <w:spacing w:before="120"/>
        <w:ind w:left="266" w:hanging="266"/>
        <w:textAlignment w:val="baseline"/>
        <w:rPr>
          <w:b/>
        </w:rPr>
      </w:pPr>
      <w:r>
        <w:rPr>
          <w:b/>
        </w:rPr>
        <w:t>Pontos principais</w:t>
      </w:r>
    </w:p>
    <w:p w14:paraId="7E8CAAEB" w14:textId="77777777" w:rsidR="004A6CE5" w:rsidRPr="00F5540C" w:rsidRDefault="004A6CE5" w:rsidP="00612898">
      <w:pPr>
        <w:keepNext/>
        <w:keepLines/>
        <w:tabs>
          <w:tab w:val="center" w:pos="284"/>
        </w:tabs>
        <w:overflowPunct w:val="0"/>
        <w:autoSpaceDE w:val="0"/>
        <w:autoSpaceDN w:val="0"/>
        <w:adjustRightInd w:val="0"/>
        <w:spacing w:before="120"/>
        <w:ind w:left="266" w:hanging="266"/>
        <w:textAlignment w:val="baseline"/>
        <w:rPr>
          <w:b/>
        </w:rPr>
      </w:pPr>
    </w:p>
    <w:p w14:paraId="0E1234AC" w14:textId="77777777" w:rsidR="00612898" w:rsidRDefault="00612898" w:rsidP="00612898">
      <w:pPr>
        <w:overflowPunct w:val="0"/>
        <w:autoSpaceDE w:val="0"/>
        <w:autoSpaceDN w:val="0"/>
        <w:adjustRightInd w:val="0"/>
        <w:textAlignment w:val="baseline"/>
        <w:rPr>
          <w:bCs/>
          <w:iCs/>
        </w:rPr>
      </w:pPr>
      <w:r>
        <w:t>O Comité Económico e Social Europeu:</w:t>
      </w:r>
    </w:p>
    <w:p w14:paraId="1B6220CA" w14:textId="77777777" w:rsidR="004A6CE5" w:rsidRPr="00F5540C" w:rsidRDefault="004A6CE5" w:rsidP="00612898">
      <w:pPr>
        <w:overflowPunct w:val="0"/>
        <w:autoSpaceDE w:val="0"/>
        <w:autoSpaceDN w:val="0"/>
        <w:adjustRightInd w:val="0"/>
        <w:textAlignment w:val="baseline"/>
        <w:rPr>
          <w:bCs/>
          <w:iCs/>
        </w:rPr>
      </w:pPr>
    </w:p>
    <w:p w14:paraId="6B7B575D" w14:textId="56DFD5EB" w:rsidR="00612898" w:rsidRPr="00612898" w:rsidRDefault="00612898" w:rsidP="00054C58">
      <w:pPr>
        <w:numPr>
          <w:ilvl w:val="0"/>
          <w:numId w:val="18"/>
        </w:numPr>
        <w:overflowPunct w:val="0"/>
        <w:autoSpaceDE w:val="0"/>
        <w:autoSpaceDN w:val="0"/>
        <w:adjustRightInd w:val="0"/>
        <w:contextualSpacing/>
        <w:textAlignment w:val="baseline"/>
        <w:rPr>
          <w:szCs w:val="20"/>
        </w:rPr>
      </w:pPr>
      <w:r>
        <w:t>reconhece o papel das estratégias macrorregionais na criação de sinergias a vários níveis entre políticas, programas e intervenientes. Estas estratégias apoiaram a transição ecológica e digital e desenvolveram uma importante capacidade de resiliência e solidariedade durante a pandemia e as crises atuais;</w:t>
      </w:r>
    </w:p>
    <w:p w14:paraId="75D3836B" w14:textId="641E7E0C" w:rsidR="00612898" w:rsidRPr="00612898" w:rsidRDefault="00612898" w:rsidP="00054C58">
      <w:pPr>
        <w:numPr>
          <w:ilvl w:val="0"/>
          <w:numId w:val="18"/>
        </w:numPr>
        <w:overflowPunct w:val="0"/>
        <w:autoSpaceDE w:val="0"/>
        <w:autoSpaceDN w:val="0"/>
        <w:adjustRightInd w:val="0"/>
        <w:contextualSpacing/>
        <w:textAlignment w:val="baseline"/>
        <w:rPr>
          <w:szCs w:val="20"/>
        </w:rPr>
      </w:pPr>
      <w:r>
        <w:t>preconiza o reforço da governação a vários níveis vertical e horizontal, assegurando a participação das estruturas locais;</w:t>
      </w:r>
    </w:p>
    <w:p w14:paraId="4E658ACB" w14:textId="00D67EDC" w:rsidR="00612898" w:rsidRPr="00612898" w:rsidRDefault="00612898" w:rsidP="00054C58">
      <w:pPr>
        <w:numPr>
          <w:ilvl w:val="0"/>
          <w:numId w:val="18"/>
        </w:numPr>
        <w:overflowPunct w:val="0"/>
        <w:autoSpaceDE w:val="0"/>
        <w:autoSpaceDN w:val="0"/>
        <w:adjustRightInd w:val="0"/>
        <w:contextualSpacing/>
        <w:textAlignment w:val="baseline"/>
        <w:rPr>
          <w:szCs w:val="20"/>
        </w:rPr>
      </w:pPr>
      <w:r>
        <w:t>acolhe com agrado os processos de revisão e apela ao reforço da dimensão social, da participação cívica (incluindo a dos jovens) e da cooperação inter-regional; as estratégias macrorregionais devem servir de laboratórios para a inclusão e a inovação social, apoiando a fiscalidade verde e o capital humano;</w:t>
      </w:r>
    </w:p>
    <w:p w14:paraId="288A6F61" w14:textId="77777777" w:rsidR="00612898" w:rsidRPr="00612898" w:rsidRDefault="00612898" w:rsidP="00054C58">
      <w:pPr>
        <w:numPr>
          <w:ilvl w:val="0"/>
          <w:numId w:val="18"/>
        </w:numPr>
        <w:overflowPunct w:val="0"/>
        <w:autoSpaceDE w:val="0"/>
        <w:autoSpaceDN w:val="0"/>
        <w:adjustRightInd w:val="0"/>
        <w:contextualSpacing/>
        <w:textAlignment w:val="baseline"/>
        <w:rPr>
          <w:szCs w:val="20"/>
        </w:rPr>
      </w:pPr>
      <w:r>
        <w:t>toma nota dos resultados da Estratégia da UE para a Região do Mar Báltico (EUSBSR), que promoveu a sustentabilidade e as ligações no mar Báltico. A revisão de 2021 reforçou a cooperação e a gestão, mediante a criação do mecanismo de serviço da estratégia. Apesar de as relações com a Rússia e a Bielorrússia terem sido suspensas, a estratégia permanece válida;</w:t>
      </w:r>
    </w:p>
    <w:p w14:paraId="61DFA9B6" w14:textId="3FCD71FF" w:rsidR="00612898" w:rsidRPr="00612898" w:rsidRDefault="00612898" w:rsidP="00054C58">
      <w:pPr>
        <w:numPr>
          <w:ilvl w:val="0"/>
          <w:numId w:val="18"/>
        </w:numPr>
        <w:overflowPunct w:val="0"/>
        <w:autoSpaceDE w:val="0"/>
        <w:autoSpaceDN w:val="0"/>
        <w:adjustRightInd w:val="0"/>
        <w:contextualSpacing/>
        <w:textAlignment w:val="baseline"/>
        <w:rPr>
          <w:szCs w:val="20"/>
        </w:rPr>
      </w:pPr>
      <w:r>
        <w:t>destaca os progressos da Estratégia da UE para a Região do Danúbio (EUSDR). A revisão de 2020 reforçou a coerência com as prioridades da UE, bem como a participação dos jovens, embora com disparidades e um empenho político desigual. As presidências relançaram a inovação e a governação;</w:t>
      </w:r>
    </w:p>
    <w:p w14:paraId="5C7EA446" w14:textId="479B26B1" w:rsidR="00612898" w:rsidRPr="00612898" w:rsidRDefault="00612898" w:rsidP="00054C58">
      <w:pPr>
        <w:numPr>
          <w:ilvl w:val="0"/>
          <w:numId w:val="18"/>
        </w:numPr>
        <w:overflowPunct w:val="0"/>
        <w:autoSpaceDE w:val="0"/>
        <w:autoSpaceDN w:val="0"/>
        <w:adjustRightInd w:val="0"/>
        <w:contextualSpacing/>
        <w:textAlignment w:val="baseline"/>
        <w:rPr>
          <w:szCs w:val="20"/>
        </w:rPr>
      </w:pPr>
      <w:r>
        <w:t>sublinha os resultados da Estratégia da UE para a Região Adriática e Jónica (EUSAIR), cujo plano de ação foi atualizado recentemente mediante a introdução de um quinto pilar social. A estratégia integra o alargamento, a economia circular e a digitalização, reforçando as parcerias e a resiliência;</w:t>
      </w:r>
    </w:p>
    <w:p w14:paraId="0171069F" w14:textId="26283E8D" w:rsidR="00612898" w:rsidRPr="00612898" w:rsidRDefault="00612898" w:rsidP="00054C58">
      <w:pPr>
        <w:numPr>
          <w:ilvl w:val="0"/>
          <w:numId w:val="18"/>
        </w:numPr>
        <w:overflowPunct w:val="0"/>
        <w:autoSpaceDE w:val="0"/>
        <w:autoSpaceDN w:val="0"/>
        <w:adjustRightInd w:val="0"/>
        <w:contextualSpacing/>
        <w:textAlignment w:val="baseline"/>
        <w:rPr>
          <w:szCs w:val="20"/>
        </w:rPr>
      </w:pPr>
      <w:r>
        <w:t>congratula-se com a Estratégia da UE para a Região Alpina (EUSALP), que reforçou a cooperação e uma governação estável, com uma abertura aos países terceiros. A revisão integra prioridades em matéria de digitalização, energia, recursos hídricos e economia circular;</w:t>
      </w:r>
    </w:p>
    <w:p w14:paraId="6817B888" w14:textId="70F4706D" w:rsidR="00612898" w:rsidRPr="00612898" w:rsidRDefault="00612898" w:rsidP="00054C58">
      <w:pPr>
        <w:numPr>
          <w:ilvl w:val="0"/>
          <w:numId w:val="18"/>
        </w:numPr>
        <w:overflowPunct w:val="0"/>
        <w:autoSpaceDE w:val="0"/>
        <w:autoSpaceDN w:val="0"/>
        <w:adjustRightInd w:val="0"/>
        <w:contextualSpacing/>
        <w:textAlignment w:val="baseline"/>
        <w:rPr>
          <w:szCs w:val="20"/>
        </w:rPr>
      </w:pPr>
      <w:r>
        <w:t>observa que o alargamento aos Balcãs Ocidentais, à Ucrânia e à Moldávia é uma prioridade estratégica e que as estratégias macrorregionais têm potencial para reforçar a cooperação e as capacidades institucionais;</w:t>
      </w:r>
    </w:p>
    <w:p w14:paraId="710F3124" w14:textId="6C89F131" w:rsidR="00612898" w:rsidRPr="00612898" w:rsidRDefault="00612898" w:rsidP="00054C58">
      <w:pPr>
        <w:numPr>
          <w:ilvl w:val="0"/>
          <w:numId w:val="18"/>
        </w:numPr>
        <w:overflowPunct w:val="0"/>
        <w:autoSpaceDE w:val="0"/>
        <w:autoSpaceDN w:val="0"/>
        <w:adjustRightInd w:val="0"/>
        <w:contextualSpacing/>
        <w:textAlignment w:val="baseline"/>
        <w:rPr>
          <w:szCs w:val="20"/>
        </w:rPr>
      </w:pPr>
      <w:r>
        <w:t>assinala que a agressão militar da Rússia contra a Ucrânia confirmou o papel das estratégias macrorregionais enquanto instrumentos de solidariedade e resiliência;</w:t>
      </w:r>
    </w:p>
    <w:p w14:paraId="6EDD216B" w14:textId="02F6DEB7" w:rsidR="00612898" w:rsidRPr="00612898" w:rsidRDefault="00612898" w:rsidP="00054C58">
      <w:pPr>
        <w:numPr>
          <w:ilvl w:val="0"/>
          <w:numId w:val="18"/>
        </w:numPr>
        <w:overflowPunct w:val="0"/>
        <w:autoSpaceDE w:val="0"/>
        <w:autoSpaceDN w:val="0"/>
        <w:adjustRightInd w:val="0"/>
        <w:contextualSpacing/>
        <w:textAlignment w:val="baseline"/>
        <w:rPr>
          <w:szCs w:val="20"/>
        </w:rPr>
      </w:pPr>
      <w:r>
        <w:lastRenderedPageBreak/>
        <w:t>considera que a abordagem de base local das estratégias macrorregionais é fundamental, dado que adapta as prioridades europeias às especificidades territoriais e fomenta a coesão através de instrumentos como o desenvolvimento local de base comunitária e iniciativas inovadoras para promover a participação cívica e a participação dos jovens;</w:t>
      </w:r>
    </w:p>
    <w:p w14:paraId="34580314" w14:textId="53CAB3F9" w:rsidR="00612898" w:rsidRPr="00612898" w:rsidRDefault="00612898" w:rsidP="00054C58">
      <w:pPr>
        <w:numPr>
          <w:ilvl w:val="0"/>
          <w:numId w:val="18"/>
        </w:numPr>
        <w:overflowPunct w:val="0"/>
        <w:autoSpaceDE w:val="0"/>
        <w:autoSpaceDN w:val="0"/>
        <w:adjustRightInd w:val="0"/>
        <w:contextualSpacing/>
        <w:textAlignment w:val="baseline"/>
        <w:rPr>
          <w:szCs w:val="20"/>
        </w:rPr>
      </w:pPr>
      <w:r>
        <w:t>preconiza o reforço da governação e do financiamento, mediante a integração das prioridades das estratégias macrorregionais nos principais programas da UE. Importa reforçar as competências locais, consolidar as parcerias e associar ativamente a sociedade civil e os jovens;</w:t>
      </w:r>
    </w:p>
    <w:p w14:paraId="2F7ADDD3" w14:textId="226738B8" w:rsidR="00612898" w:rsidRPr="00612898" w:rsidRDefault="003C16C3" w:rsidP="00054C58">
      <w:pPr>
        <w:numPr>
          <w:ilvl w:val="0"/>
          <w:numId w:val="18"/>
        </w:numPr>
        <w:overflowPunct w:val="0"/>
        <w:autoSpaceDE w:val="0"/>
        <w:autoSpaceDN w:val="0"/>
        <w:adjustRightInd w:val="0"/>
        <w:contextualSpacing/>
        <w:textAlignment w:val="baseline"/>
        <w:rPr>
          <w:szCs w:val="20"/>
        </w:rPr>
      </w:pPr>
      <w:r>
        <w:t>entende que o novo Quadro Financeiro Plurianual (2028-2034) acarreta riscos para o bom funcionamento das estratégias macrorregionais. Considera, portanto, essencial incluir as prioridades das estratégias macrorregionais nos planos de parceria;</w:t>
      </w:r>
    </w:p>
    <w:p w14:paraId="179CAD0A" w14:textId="6CF7AC7B" w:rsidR="00612898" w:rsidRPr="00612898" w:rsidRDefault="00612898" w:rsidP="00054C58">
      <w:pPr>
        <w:numPr>
          <w:ilvl w:val="0"/>
          <w:numId w:val="18"/>
        </w:numPr>
        <w:overflowPunct w:val="0"/>
        <w:autoSpaceDE w:val="0"/>
        <w:autoSpaceDN w:val="0"/>
        <w:adjustRightInd w:val="0"/>
        <w:contextualSpacing/>
        <w:textAlignment w:val="baseline"/>
        <w:rPr>
          <w:szCs w:val="20"/>
        </w:rPr>
      </w:pPr>
      <w:r>
        <w:t>salienta a necessidade de uma governação transparente, responsável e isenta de corrupção das instituições associadas às estratégias macrorregionais;</w:t>
      </w:r>
    </w:p>
    <w:p w14:paraId="70A713C0" w14:textId="77777777" w:rsidR="00612898" w:rsidRPr="00612898" w:rsidRDefault="00612898" w:rsidP="00054C58">
      <w:pPr>
        <w:numPr>
          <w:ilvl w:val="0"/>
          <w:numId w:val="18"/>
        </w:numPr>
        <w:overflowPunct w:val="0"/>
        <w:autoSpaceDE w:val="0"/>
        <w:autoSpaceDN w:val="0"/>
        <w:adjustRightInd w:val="0"/>
        <w:contextualSpacing/>
        <w:textAlignment w:val="baseline"/>
        <w:rPr>
          <w:bCs/>
          <w:iCs/>
        </w:rPr>
      </w:pPr>
      <w:r>
        <w:t>solicita a criação de uma nova macrorregião no Mediterrâneo para enfrentar desafios comuns como as alterações climáticas, os fluxos migratórios, a transição energética e a sustentabilidade azul.</w:t>
      </w:r>
    </w:p>
    <w:p w14:paraId="54AD92A7" w14:textId="77777777" w:rsidR="00612898" w:rsidRPr="00F5540C" w:rsidRDefault="00612898" w:rsidP="00612898">
      <w:pPr>
        <w:overflowPunct w:val="0"/>
        <w:autoSpaceDE w:val="0"/>
        <w:autoSpaceDN w:val="0"/>
        <w:adjustRightInd w:val="0"/>
        <w:ind w:left="360"/>
        <w:contextualSpacing/>
        <w:textAlignment w:val="baseline"/>
        <w:rPr>
          <w:bCs/>
          <w:iCs/>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229"/>
      </w:tblGrid>
      <w:tr w:rsidR="00612898" w:rsidRPr="00612898" w14:paraId="242A4532" w14:textId="77777777" w:rsidTr="00F5540C">
        <w:tc>
          <w:tcPr>
            <w:tcW w:w="2093" w:type="dxa"/>
          </w:tcPr>
          <w:p w14:paraId="21DFEBB5" w14:textId="77777777" w:rsidR="00612898" w:rsidRPr="00F5540C" w:rsidRDefault="00612898" w:rsidP="00612898">
            <w:pPr>
              <w:overflowPunct w:val="0"/>
              <w:autoSpaceDE w:val="0"/>
              <w:autoSpaceDN w:val="0"/>
              <w:adjustRightInd w:val="0"/>
              <w:textAlignment w:val="baseline"/>
              <w:rPr>
                <w:i/>
                <w:sz w:val="22"/>
                <w:szCs w:val="22"/>
              </w:rPr>
            </w:pPr>
            <w:r w:rsidRPr="00F5540C">
              <w:rPr>
                <w:b/>
                <w:i/>
                <w:sz w:val="22"/>
                <w:szCs w:val="22"/>
              </w:rPr>
              <w:t>Contacto</w:t>
            </w:r>
          </w:p>
        </w:tc>
        <w:tc>
          <w:tcPr>
            <w:tcW w:w="7229" w:type="dxa"/>
          </w:tcPr>
          <w:p w14:paraId="26624CD5" w14:textId="0E28249F" w:rsidR="00612898" w:rsidRPr="00F5540C" w:rsidRDefault="00612898" w:rsidP="00612898">
            <w:pPr>
              <w:overflowPunct w:val="0"/>
              <w:autoSpaceDE w:val="0"/>
              <w:autoSpaceDN w:val="0"/>
              <w:adjustRightInd w:val="0"/>
              <w:textAlignment w:val="baseline"/>
              <w:rPr>
                <w:i/>
                <w:sz w:val="22"/>
                <w:szCs w:val="22"/>
              </w:rPr>
            </w:pPr>
            <w:r w:rsidRPr="00F5540C">
              <w:rPr>
                <w:i/>
                <w:sz w:val="22"/>
                <w:szCs w:val="22"/>
              </w:rPr>
              <w:t>Georgios Meleas</w:t>
            </w:r>
          </w:p>
        </w:tc>
      </w:tr>
      <w:tr w:rsidR="00612898" w:rsidRPr="00612898" w14:paraId="169FB5DD" w14:textId="77777777" w:rsidTr="00F5540C">
        <w:tc>
          <w:tcPr>
            <w:tcW w:w="2093" w:type="dxa"/>
          </w:tcPr>
          <w:p w14:paraId="04AD6363" w14:textId="77777777" w:rsidR="00612898" w:rsidRPr="00F5540C" w:rsidRDefault="00612898" w:rsidP="00612898">
            <w:pPr>
              <w:overflowPunct w:val="0"/>
              <w:autoSpaceDE w:val="0"/>
              <w:autoSpaceDN w:val="0"/>
              <w:adjustRightInd w:val="0"/>
              <w:textAlignment w:val="baseline"/>
              <w:rPr>
                <w:i/>
                <w:sz w:val="22"/>
                <w:szCs w:val="22"/>
              </w:rPr>
            </w:pPr>
            <w:r w:rsidRPr="00F5540C">
              <w:rPr>
                <w:i/>
                <w:sz w:val="22"/>
                <w:szCs w:val="22"/>
              </w:rPr>
              <w:t>Tel.</w:t>
            </w:r>
          </w:p>
        </w:tc>
        <w:tc>
          <w:tcPr>
            <w:tcW w:w="7229" w:type="dxa"/>
          </w:tcPr>
          <w:p w14:paraId="0ACA86BD" w14:textId="440EC30D" w:rsidR="00612898" w:rsidRPr="00F5540C" w:rsidRDefault="00612898" w:rsidP="00612898">
            <w:pPr>
              <w:overflowPunct w:val="0"/>
              <w:autoSpaceDE w:val="0"/>
              <w:autoSpaceDN w:val="0"/>
              <w:adjustRightInd w:val="0"/>
              <w:textAlignment w:val="baseline"/>
              <w:rPr>
                <w:i/>
                <w:sz w:val="22"/>
                <w:szCs w:val="22"/>
              </w:rPr>
            </w:pPr>
            <w:r w:rsidRPr="00F5540C">
              <w:rPr>
                <w:i/>
                <w:sz w:val="22"/>
                <w:szCs w:val="22"/>
              </w:rPr>
              <w:t>+32 2</w:t>
            </w:r>
            <w:r w:rsidR="00F5540C">
              <w:rPr>
                <w:i/>
                <w:sz w:val="22"/>
                <w:szCs w:val="22"/>
              </w:rPr>
              <w:t xml:space="preserve"> </w:t>
            </w:r>
            <w:r w:rsidRPr="00F5540C">
              <w:rPr>
                <w:i/>
                <w:sz w:val="22"/>
                <w:szCs w:val="22"/>
              </w:rPr>
              <w:t>546</w:t>
            </w:r>
            <w:r w:rsidR="00F5540C">
              <w:rPr>
                <w:i/>
                <w:sz w:val="22"/>
                <w:szCs w:val="22"/>
              </w:rPr>
              <w:t xml:space="preserve"> </w:t>
            </w:r>
            <w:r w:rsidRPr="00F5540C">
              <w:rPr>
                <w:i/>
                <w:sz w:val="22"/>
                <w:szCs w:val="22"/>
              </w:rPr>
              <w:t>97</w:t>
            </w:r>
            <w:r w:rsidR="00F5540C">
              <w:rPr>
                <w:i/>
                <w:sz w:val="22"/>
                <w:szCs w:val="22"/>
              </w:rPr>
              <w:t xml:space="preserve"> </w:t>
            </w:r>
            <w:r w:rsidRPr="00F5540C">
              <w:rPr>
                <w:i/>
                <w:sz w:val="22"/>
                <w:szCs w:val="22"/>
              </w:rPr>
              <w:t>95</w:t>
            </w:r>
          </w:p>
        </w:tc>
      </w:tr>
      <w:tr w:rsidR="00612898" w:rsidRPr="00612898" w14:paraId="74BB4CF2" w14:textId="77777777" w:rsidTr="00F5540C">
        <w:tc>
          <w:tcPr>
            <w:tcW w:w="2093" w:type="dxa"/>
          </w:tcPr>
          <w:p w14:paraId="0810916A" w14:textId="77777777" w:rsidR="00612898" w:rsidRPr="00F5540C" w:rsidRDefault="00612898" w:rsidP="00612898">
            <w:pPr>
              <w:overflowPunct w:val="0"/>
              <w:autoSpaceDE w:val="0"/>
              <w:autoSpaceDN w:val="0"/>
              <w:adjustRightInd w:val="0"/>
              <w:textAlignment w:val="baseline"/>
              <w:rPr>
                <w:i/>
                <w:sz w:val="22"/>
                <w:szCs w:val="22"/>
              </w:rPr>
            </w:pPr>
            <w:r w:rsidRPr="00F5540C">
              <w:rPr>
                <w:i/>
                <w:sz w:val="22"/>
                <w:szCs w:val="22"/>
              </w:rPr>
              <w:t>Endereço eletrónico</w:t>
            </w:r>
          </w:p>
        </w:tc>
        <w:tc>
          <w:tcPr>
            <w:tcW w:w="7229" w:type="dxa"/>
          </w:tcPr>
          <w:p w14:paraId="7EA756D6" w14:textId="77777777" w:rsidR="00612898" w:rsidRPr="00F5540C" w:rsidRDefault="001D1405" w:rsidP="00612898">
            <w:pPr>
              <w:overflowPunct w:val="0"/>
              <w:autoSpaceDE w:val="0"/>
              <w:autoSpaceDN w:val="0"/>
              <w:adjustRightInd w:val="0"/>
              <w:textAlignment w:val="baseline"/>
              <w:rPr>
                <w:i/>
                <w:iCs/>
                <w:sz w:val="22"/>
                <w:szCs w:val="22"/>
              </w:rPr>
            </w:pPr>
            <w:hyperlink r:id="rId17" w:history="1">
              <w:r w:rsidR="00645EDF" w:rsidRPr="00F5540C">
                <w:rPr>
                  <w:i/>
                  <w:color w:val="0000FF"/>
                  <w:sz w:val="22"/>
                  <w:szCs w:val="22"/>
                  <w:u w:val="single"/>
                </w:rPr>
                <w:t>Georgios.Meleas@eesc.europa.eu</w:t>
              </w:r>
            </w:hyperlink>
          </w:p>
        </w:tc>
      </w:tr>
    </w:tbl>
    <w:p w14:paraId="4982DD96" w14:textId="77777777" w:rsidR="004D7AC0" w:rsidRDefault="004D7AC0" w:rsidP="004D7AC0">
      <w:pPr>
        <w:pStyle w:val="ListParagraph"/>
        <w:ind w:left="0"/>
      </w:pPr>
    </w:p>
    <w:p w14:paraId="4B3225FD" w14:textId="3BDF030E" w:rsidR="00C82E34" w:rsidRPr="00F5540C" w:rsidRDefault="00612898" w:rsidP="00F5540C">
      <w:pPr>
        <w:pStyle w:val="ListParagraph"/>
        <w:numPr>
          <w:ilvl w:val="0"/>
          <w:numId w:val="36"/>
        </w:numPr>
        <w:spacing w:after="160" w:line="259" w:lineRule="auto"/>
        <w:jc w:val="left"/>
        <w:rPr>
          <w:b/>
          <w:i/>
          <w:iCs/>
          <w:sz w:val="28"/>
          <w:szCs w:val="28"/>
        </w:rPr>
      </w:pPr>
      <w:r>
        <w:br w:type="page"/>
      </w:r>
      <w:r w:rsidR="00F5540C">
        <w:lastRenderedPageBreak/>
        <w:tab/>
      </w:r>
      <w:hyperlink r:id="rId18" w:history="1">
        <w:r w:rsidRPr="00F5540C">
          <w:rPr>
            <w:b/>
            <w:i/>
            <w:color w:val="0000FF"/>
            <w:sz w:val="28"/>
            <w:u w:val="single"/>
          </w:rPr>
          <w:t>Criação do Fundo Eu</w:t>
        </w:r>
        <w:r w:rsidRPr="00F5540C">
          <w:rPr>
            <w:b/>
            <w:i/>
            <w:color w:val="0000FF"/>
            <w:sz w:val="28"/>
            <w:u w:val="single"/>
          </w:rPr>
          <w:t>r</w:t>
        </w:r>
        <w:r w:rsidRPr="00F5540C">
          <w:rPr>
            <w:b/>
            <w:i/>
            <w:color w:val="0000FF"/>
            <w:sz w:val="28"/>
            <w:u w:val="single"/>
          </w:rPr>
          <w:t xml:space="preserve">opeu de Desenvolvimento Regional, incluindo a </w:t>
        </w:r>
        <w:r w:rsidR="00F5540C" w:rsidRPr="00F5540C">
          <w:rPr>
            <w:b/>
            <w:i/>
            <w:color w:val="0000FF"/>
            <w:sz w:val="28"/>
          </w:rPr>
          <w:tab/>
        </w:r>
        <w:r w:rsidRPr="00F5540C">
          <w:rPr>
            <w:b/>
            <w:i/>
            <w:color w:val="0000FF"/>
            <w:sz w:val="28"/>
            <w:u w:val="single"/>
          </w:rPr>
          <w:t>Cooperação Territorial Europeia (Interreg) e o Fundo de Coesão</w:t>
        </w:r>
      </w:hyperlink>
    </w:p>
    <w:p w14:paraId="5DE846E1" w14:textId="77777777" w:rsidR="00C82E34" w:rsidRPr="00F5540C" w:rsidRDefault="00C82E34" w:rsidP="00C82E34">
      <w:pPr>
        <w:widowControl w:val="0"/>
        <w:overflowPunct w:val="0"/>
        <w:autoSpaceDE w:val="0"/>
        <w:autoSpaceDN w:val="0"/>
        <w:adjustRightInd w:val="0"/>
        <w:ind w:left="284"/>
        <w:textAlignment w:val="baseline"/>
        <w:rPr>
          <w:b/>
          <w:i/>
          <w:iCs/>
          <w:sz w:val="20"/>
          <w:szCs w:val="20"/>
        </w:rPr>
      </w:pPr>
    </w:p>
    <w:tbl>
      <w:tblPr>
        <w:tblStyle w:val="TableGrid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C82E34" w:rsidRPr="00C82E34" w14:paraId="2D50146C" w14:textId="77777777" w:rsidTr="0036489A">
        <w:tc>
          <w:tcPr>
            <w:tcW w:w="1701" w:type="dxa"/>
          </w:tcPr>
          <w:p w14:paraId="32F41C20" w14:textId="77777777" w:rsidR="00C82E34" w:rsidRPr="00F5540C" w:rsidRDefault="00C82E34" w:rsidP="00C82E34">
            <w:pPr>
              <w:tabs>
                <w:tab w:val="center" w:pos="284"/>
              </w:tabs>
              <w:overflowPunct w:val="0"/>
              <w:autoSpaceDE w:val="0"/>
              <w:autoSpaceDN w:val="0"/>
              <w:adjustRightInd w:val="0"/>
              <w:ind w:left="266" w:hanging="266"/>
              <w:textAlignment w:val="baseline"/>
              <w:rPr>
                <w:b/>
                <w:sz w:val="22"/>
                <w:szCs w:val="22"/>
              </w:rPr>
            </w:pPr>
            <w:r w:rsidRPr="00F5540C">
              <w:rPr>
                <w:b/>
                <w:sz w:val="22"/>
                <w:szCs w:val="22"/>
              </w:rPr>
              <w:t>Relator</w:t>
            </w:r>
          </w:p>
        </w:tc>
        <w:tc>
          <w:tcPr>
            <w:tcW w:w="7621" w:type="dxa"/>
          </w:tcPr>
          <w:p w14:paraId="297CD7E5" w14:textId="4AF34C53" w:rsidR="00C82E34" w:rsidRPr="00F5540C" w:rsidRDefault="00C82E34" w:rsidP="00C82E34">
            <w:pPr>
              <w:tabs>
                <w:tab w:val="center" w:pos="284"/>
              </w:tabs>
              <w:overflowPunct w:val="0"/>
              <w:autoSpaceDE w:val="0"/>
              <w:autoSpaceDN w:val="0"/>
              <w:adjustRightInd w:val="0"/>
              <w:ind w:left="266" w:hanging="266"/>
              <w:textAlignment w:val="baseline"/>
              <w:rPr>
                <w:sz w:val="22"/>
                <w:szCs w:val="22"/>
              </w:rPr>
            </w:pPr>
            <w:r w:rsidRPr="00F5540C">
              <w:rPr>
                <w:sz w:val="22"/>
                <w:szCs w:val="22"/>
              </w:rPr>
              <w:t>David Sventek (CZ</w:t>
            </w:r>
            <w:r w:rsidR="00F5540C">
              <w:rPr>
                <w:sz w:val="22"/>
                <w:szCs w:val="22"/>
              </w:rPr>
              <w:t>-</w:t>
            </w:r>
            <w:r w:rsidRPr="00F5540C">
              <w:rPr>
                <w:sz w:val="22"/>
                <w:szCs w:val="22"/>
              </w:rPr>
              <w:t>Grupo dos Empregadores)</w:t>
            </w:r>
          </w:p>
          <w:p w14:paraId="59E7D12A" w14:textId="53E0EAA6" w:rsidR="00446882" w:rsidRPr="00F5540C" w:rsidRDefault="00446882" w:rsidP="00C82E34">
            <w:pPr>
              <w:tabs>
                <w:tab w:val="center" w:pos="284"/>
              </w:tabs>
              <w:overflowPunct w:val="0"/>
              <w:autoSpaceDE w:val="0"/>
              <w:autoSpaceDN w:val="0"/>
              <w:adjustRightInd w:val="0"/>
              <w:ind w:left="266" w:hanging="266"/>
              <w:textAlignment w:val="baseline"/>
              <w:rPr>
                <w:bCs/>
                <w:sz w:val="22"/>
                <w:szCs w:val="22"/>
              </w:rPr>
            </w:pPr>
          </w:p>
        </w:tc>
      </w:tr>
      <w:tr w:rsidR="00C82E34" w:rsidRPr="00C82E34" w14:paraId="4B15388C" w14:textId="77777777" w:rsidTr="0036489A">
        <w:tc>
          <w:tcPr>
            <w:tcW w:w="1701" w:type="dxa"/>
          </w:tcPr>
          <w:p w14:paraId="742C36BE" w14:textId="77777777" w:rsidR="00C82E34" w:rsidRPr="00F5540C" w:rsidRDefault="00C82E34" w:rsidP="00C82E34">
            <w:pPr>
              <w:tabs>
                <w:tab w:val="center" w:pos="284"/>
              </w:tabs>
              <w:overflowPunct w:val="0"/>
              <w:autoSpaceDE w:val="0"/>
              <w:autoSpaceDN w:val="0"/>
              <w:adjustRightInd w:val="0"/>
              <w:ind w:left="266" w:hanging="266"/>
              <w:textAlignment w:val="baseline"/>
              <w:rPr>
                <w:b/>
                <w:sz w:val="22"/>
                <w:szCs w:val="22"/>
              </w:rPr>
            </w:pPr>
            <w:r w:rsidRPr="00F5540C">
              <w:rPr>
                <w:b/>
                <w:sz w:val="22"/>
                <w:szCs w:val="22"/>
              </w:rPr>
              <w:t>Referências</w:t>
            </w:r>
          </w:p>
        </w:tc>
        <w:tc>
          <w:tcPr>
            <w:tcW w:w="7621" w:type="dxa"/>
          </w:tcPr>
          <w:p w14:paraId="5F3D0A1D" w14:textId="77777777" w:rsidR="00C82E34" w:rsidRPr="00F5540C" w:rsidRDefault="00C82E34" w:rsidP="00C82E34">
            <w:pPr>
              <w:tabs>
                <w:tab w:val="center" w:pos="284"/>
              </w:tabs>
              <w:overflowPunct w:val="0"/>
              <w:autoSpaceDE w:val="0"/>
              <w:autoSpaceDN w:val="0"/>
              <w:adjustRightInd w:val="0"/>
              <w:ind w:left="266" w:hanging="266"/>
              <w:textAlignment w:val="baseline"/>
              <w:rPr>
                <w:sz w:val="22"/>
                <w:szCs w:val="22"/>
              </w:rPr>
            </w:pPr>
            <w:r w:rsidRPr="00F5540C">
              <w:rPr>
                <w:sz w:val="22"/>
                <w:szCs w:val="22"/>
              </w:rPr>
              <w:t>COM(2025) 552 final</w:t>
            </w:r>
          </w:p>
          <w:p w14:paraId="75C2CCB0" w14:textId="77777777" w:rsidR="00C82E34" w:rsidRDefault="00C82E34" w:rsidP="00C82E34">
            <w:pPr>
              <w:tabs>
                <w:tab w:val="center" w:pos="284"/>
              </w:tabs>
              <w:overflowPunct w:val="0"/>
              <w:autoSpaceDE w:val="0"/>
              <w:autoSpaceDN w:val="0"/>
              <w:adjustRightInd w:val="0"/>
              <w:ind w:left="266" w:hanging="266"/>
              <w:textAlignment w:val="baseline"/>
              <w:rPr>
                <w:sz w:val="22"/>
                <w:szCs w:val="22"/>
              </w:rPr>
            </w:pPr>
            <w:r w:rsidRPr="00F5540C">
              <w:rPr>
                <w:sz w:val="22"/>
                <w:szCs w:val="22"/>
              </w:rPr>
              <w:t>EESC-2025-03305-00-00-AC</w:t>
            </w:r>
          </w:p>
          <w:p w14:paraId="43B9D460" w14:textId="055DAD02" w:rsidR="00F5540C" w:rsidRPr="00F5540C" w:rsidRDefault="00F5540C" w:rsidP="00C82E34">
            <w:pPr>
              <w:tabs>
                <w:tab w:val="center" w:pos="284"/>
              </w:tabs>
              <w:overflowPunct w:val="0"/>
              <w:autoSpaceDE w:val="0"/>
              <w:autoSpaceDN w:val="0"/>
              <w:adjustRightInd w:val="0"/>
              <w:ind w:left="266" w:hanging="266"/>
              <w:textAlignment w:val="baseline"/>
              <w:rPr>
                <w:sz w:val="22"/>
                <w:szCs w:val="22"/>
              </w:rPr>
            </w:pPr>
          </w:p>
        </w:tc>
      </w:tr>
    </w:tbl>
    <w:p w14:paraId="08272C41" w14:textId="77777777" w:rsidR="00C82E34" w:rsidRDefault="00C82E34" w:rsidP="00C82E34">
      <w:pPr>
        <w:keepNext/>
        <w:keepLines/>
        <w:tabs>
          <w:tab w:val="center" w:pos="284"/>
        </w:tabs>
        <w:overflowPunct w:val="0"/>
        <w:autoSpaceDE w:val="0"/>
        <w:autoSpaceDN w:val="0"/>
        <w:adjustRightInd w:val="0"/>
        <w:spacing w:before="120"/>
        <w:ind w:left="266" w:hanging="266"/>
        <w:textAlignment w:val="baseline"/>
        <w:rPr>
          <w:b/>
        </w:rPr>
      </w:pPr>
      <w:r>
        <w:rPr>
          <w:b/>
        </w:rPr>
        <w:t>Pontos principais</w:t>
      </w:r>
    </w:p>
    <w:p w14:paraId="61DEFF14" w14:textId="77777777" w:rsidR="00C2078A" w:rsidRPr="00C82E34" w:rsidRDefault="00C2078A" w:rsidP="00C82E34">
      <w:pPr>
        <w:keepNext/>
        <w:keepLines/>
        <w:tabs>
          <w:tab w:val="center" w:pos="284"/>
        </w:tabs>
        <w:overflowPunct w:val="0"/>
        <w:autoSpaceDE w:val="0"/>
        <w:autoSpaceDN w:val="0"/>
        <w:adjustRightInd w:val="0"/>
        <w:spacing w:before="120"/>
        <w:ind w:left="266" w:hanging="266"/>
        <w:textAlignment w:val="baseline"/>
        <w:rPr>
          <w:b/>
          <w:lang w:val="en-GB"/>
        </w:rPr>
      </w:pPr>
    </w:p>
    <w:p w14:paraId="61D96179" w14:textId="24AA66DB" w:rsidR="00C82E34" w:rsidRDefault="00C82E34" w:rsidP="00C82E34">
      <w:pPr>
        <w:overflowPunct w:val="0"/>
        <w:autoSpaceDE w:val="0"/>
        <w:autoSpaceDN w:val="0"/>
        <w:adjustRightInd w:val="0"/>
        <w:textAlignment w:val="baseline"/>
      </w:pPr>
      <w:r>
        <w:t>O Comité Económico e Social Europeu:</w:t>
      </w:r>
    </w:p>
    <w:p w14:paraId="3838AED5" w14:textId="77777777" w:rsidR="00F5540C" w:rsidRDefault="00F5540C" w:rsidP="00C82E34">
      <w:pPr>
        <w:overflowPunct w:val="0"/>
        <w:autoSpaceDE w:val="0"/>
        <w:autoSpaceDN w:val="0"/>
        <w:adjustRightInd w:val="0"/>
        <w:textAlignment w:val="baseline"/>
        <w:rPr>
          <w:bCs/>
          <w:iCs/>
        </w:rPr>
      </w:pPr>
    </w:p>
    <w:p w14:paraId="6B7D5112"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salienta que a redução necessária das disparidades regionais e territoriais continua a ser uma das prioridades principais da integração na União Europeia (UE) e que a utilização de instrumentos tradicionais, comprovados e eficazes da política de coesão é a via certa para apoiar a prosperidade sustentável em todas as regiões da UE;</w:t>
      </w:r>
    </w:p>
    <w:p w14:paraId="419C11E1"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recomenda que se clarifique o papel do Fundo Europeu de Desenvolvimento Regional (FEDER) e do Fundo de Coesão no âmbito do Fundo para as Parcerias Nacionais e Regionais (Fundo PNR), não só através de objetivos gerais e específicos, mas também de disposições aprofundadas no regulamento; defende que a proposta de regulamento em apreço seja aprofundada e completada, pelo menos, por um anexo que forneça orientações sobre a forma de integrar eficazmente o FEDER e o Fundo de Coesão no Fundo PNR;</w:t>
      </w:r>
    </w:p>
    <w:p w14:paraId="1B66C5C6"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reitera que as novas disposições não devem conduzir a uma redução da importância e da missão do FEDER e do Fundo de Coesão, nomeadamente no apoio ao desenvolvimento das regiões menos desenvolvidas e à transformação das zonas industriais; salienta igualmente a importância do princípio da parceria na conceção dos futuros programas;</w:t>
      </w:r>
    </w:p>
    <w:p w14:paraId="50BDF906"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aprova o conteúdo e a orientação temática do futuro programa Interreg e as suas sinergias com o instrumento Europa Global nos casos específicos propostos;</w:t>
      </w:r>
    </w:p>
    <w:p w14:paraId="23072895"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concorda, de um modo geral, com a abordagem inovadora da proposta relativamente ao futuro do programa Interreg já estabelecido, nomeadamente no que respeita à aceitação da estrutura de execução ao nível dos capítulos individuais do Plano Interreg;</w:t>
      </w:r>
    </w:p>
    <w:p w14:paraId="64ACA7F4"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chama a atenção para o risco de os intervenientes pertinentes a nível das regiões transfronteiriças não conseguirem chegar a acordo, devido ao facto de o projeto de regulamento não ser muito pormenorizado; recomenda igualmente que o ato de execução seja adotado imediatamente após a adoção do regulamento;</w:t>
      </w:r>
    </w:p>
    <w:p w14:paraId="4EB434F3"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recomenda que se assegure uma interpretação e uma execução comparáveis dos fundos a nível dos Estados-Membros e que se evitem diferenças significativas entre os Estados-Membros;</w:t>
      </w:r>
    </w:p>
    <w:p w14:paraId="72602B09"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apoia a simplificação dos processos administrativos e de execução para assegurar uma utilização mais eficiente dos fundos;</w:t>
      </w:r>
    </w:p>
    <w:p w14:paraId="6E5FF386" w14:textId="77777777" w:rsidR="00C82E34" w:rsidRPr="00056F0F" w:rsidRDefault="00C82E34" w:rsidP="00C2078A">
      <w:pPr>
        <w:numPr>
          <w:ilvl w:val="0"/>
          <w:numId w:val="19"/>
        </w:numPr>
        <w:overflowPunct w:val="0"/>
        <w:autoSpaceDE w:val="0"/>
        <w:autoSpaceDN w:val="0"/>
        <w:adjustRightInd w:val="0"/>
        <w:ind w:left="284" w:hanging="284"/>
        <w:contextualSpacing/>
        <w:textAlignment w:val="baseline"/>
        <w:rPr>
          <w:bCs/>
          <w:iCs/>
        </w:rPr>
      </w:pPr>
      <w:r>
        <w:t xml:space="preserve">congratula-se com o facto de a proposta de regulamento relativo ao FEDER e ao Fundo de Coesão prever igualmente a possibilidade de apoiar o desenvolvimento urbano sustentável e, nesse contexto, estratégias integradas de desenvolvimento urbano e territorial centradas no desenvolvimento sustentável e na resposta aos desafios nos domínios do ambiente, da energia e do clima, bem como na transição justa para uma economia limpa, com impacto neutro no clima e </w:t>
      </w:r>
      <w:r>
        <w:lastRenderedPageBreak/>
        <w:t>resiliente, prestando especial atenção à habitação a preços acessíveis, à pobreza, ao património cultural e à utilização do potencial das tecnologias digitais para a inovação e a eficiência energética.</w:t>
      </w:r>
    </w:p>
    <w:p w14:paraId="63EC4849" w14:textId="77777777" w:rsidR="00056F0F" w:rsidRPr="00F5540C" w:rsidRDefault="00056F0F" w:rsidP="00054C58">
      <w:pPr>
        <w:overflowPunct w:val="0"/>
        <w:autoSpaceDE w:val="0"/>
        <w:autoSpaceDN w:val="0"/>
        <w:adjustRightInd w:val="0"/>
        <w:ind w:left="284"/>
        <w:contextualSpacing/>
        <w:textAlignment w:val="baseline"/>
        <w:rPr>
          <w:bCs/>
          <w:iCs/>
        </w:rPr>
      </w:pPr>
    </w:p>
    <w:tbl>
      <w:tblPr>
        <w:tblStyle w:val="TableGrid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229"/>
      </w:tblGrid>
      <w:tr w:rsidR="00C82E34" w:rsidRPr="00C82E34" w14:paraId="04833A6C" w14:textId="77777777" w:rsidTr="00F5540C">
        <w:tc>
          <w:tcPr>
            <w:tcW w:w="2093" w:type="dxa"/>
          </w:tcPr>
          <w:p w14:paraId="720E543D" w14:textId="77777777" w:rsidR="00C82E34" w:rsidRPr="00F5540C" w:rsidRDefault="00C82E34" w:rsidP="00C82E34">
            <w:pPr>
              <w:overflowPunct w:val="0"/>
              <w:autoSpaceDE w:val="0"/>
              <w:autoSpaceDN w:val="0"/>
              <w:adjustRightInd w:val="0"/>
              <w:textAlignment w:val="baseline"/>
              <w:rPr>
                <w:i/>
                <w:sz w:val="22"/>
                <w:szCs w:val="22"/>
              </w:rPr>
            </w:pPr>
            <w:r w:rsidRPr="00F5540C">
              <w:rPr>
                <w:b/>
                <w:i/>
                <w:sz w:val="22"/>
                <w:szCs w:val="22"/>
              </w:rPr>
              <w:t>Contacto</w:t>
            </w:r>
          </w:p>
        </w:tc>
        <w:tc>
          <w:tcPr>
            <w:tcW w:w="7229" w:type="dxa"/>
          </w:tcPr>
          <w:p w14:paraId="2AC28C0B" w14:textId="5FFF53BD" w:rsidR="00C82E34" w:rsidRPr="00F5540C" w:rsidRDefault="00C82E34" w:rsidP="00C82E34">
            <w:pPr>
              <w:overflowPunct w:val="0"/>
              <w:autoSpaceDE w:val="0"/>
              <w:autoSpaceDN w:val="0"/>
              <w:adjustRightInd w:val="0"/>
              <w:textAlignment w:val="baseline"/>
              <w:rPr>
                <w:i/>
                <w:sz w:val="22"/>
                <w:szCs w:val="22"/>
              </w:rPr>
            </w:pPr>
            <w:r w:rsidRPr="00F5540C">
              <w:rPr>
                <w:i/>
                <w:sz w:val="22"/>
                <w:szCs w:val="22"/>
              </w:rPr>
              <w:t>Georgios Meleas</w:t>
            </w:r>
          </w:p>
        </w:tc>
      </w:tr>
      <w:tr w:rsidR="00C82E34" w:rsidRPr="00C82E34" w14:paraId="06EB7C5A" w14:textId="77777777" w:rsidTr="00F5540C">
        <w:tc>
          <w:tcPr>
            <w:tcW w:w="2093" w:type="dxa"/>
          </w:tcPr>
          <w:p w14:paraId="3964EC18" w14:textId="77777777" w:rsidR="00C82E34" w:rsidRPr="00F5540C" w:rsidRDefault="00C82E34" w:rsidP="00C82E34">
            <w:pPr>
              <w:overflowPunct w:val="0"/>
              <w:autoSpaceDE w:val="0"/>
              <w:autoSpaceDN w:val="0"/>
              <w:adjustRightInd w:val="0"/>
              <w:textAlignment w:val="baseline"/>
              <w:rPr>
                <w:i/>
                <w:sz w:val="22"/>
                <w:szCs w:val="22"/>
              </w:rPr>
            </w:pPr>
            <w:r w:rsidRPr="00F5540C">
              <w:rPr>
                <w:i/>
                <w:sz w:val="22"/>
                <w:szCs w:val="22"/>
              </w:rPr>
              <w:t>Tel.</w:t>
            </w:r>
          </w:p>
        </w:tc>
        <w:tc>
          <w:tcPr>
            <w:tcW w:w="7229" w:type="dxa"/>
          </w:tcPr>
          <w:p w14:paraId="6FC22AA9" w14:textId="549BCFDB" w:rsidR="00C82E34" w:rsidRPr="00F5540C" w:rsidRDefault="00C82E34" w:rsidP="00C82E34">
            <w:pPr>
              <w:overflowPunct w:val="0"/>
              <w:autoSpaceDE w:val="0"/>
              <w:autoSpaceDN w:val="0"/>
              <w:adjustRightInd w:val="0"/>
              <w:textAlignment w:val="baseline"/>
              <w:rPr>
                <w:i/>
                <w:sz w:val="22"/>
                <w:szCs w:val="22"/>
              </w:rPr>
            </w:pPr>
            <w:r w:rsidRPr="00F5540C">
              <w:rPr>
                <w:i/>
                <w:sz w:val="22"/>
                <w:szCs w:val="22"/>
              </w:rPr>
              <w:t>+32 2</w:t>
            </w:r>
            <w:r w:rsidR="00F5540C">
              <w:rPr>
                <w:i/>
                <w:sz w:val="22"/>
                <w:szCs w:val="22"/>
              </w:rPr>
              <w:t xml:space="preserve"> </w:t>
            </w:r>
            <w:r w:rsidRPr="00F5540C">
              <w:rPr>
                <w:i/>
                <w:sz w:val="22"/>
                <w:szCs w:val="22"/>
              </w:rPr>
              <w:t>546</w:t>
            </w:r>
            <w:r w:rsidR="00F5540C">
              <w:rPr>
                <w:i/>
                <w:sz w:val="22"/>
                <w:szCs w:val="22"/>
              </w:rPr>
              <w:t xml:space="preserve"> </w:t>
            </w:r>
            <w:r w:rsidRPr="00F5540C">
              <w:rPr>
                <w:i/>
                <w:sz w:val="22"/>
                <w:szCs w:val="22"/>
              </w:rPr>
              <w:t>97</w:t>
            </w:r>
            <w:r w:rsidR="00F5540C">
              <w:rPr>
                <w:i/>
                <w:sz w:val="22"/>
                <w:szCs w:val="22"/>
              </w:rPr>
              <w:t xml:space="preserve"> </w:t>
            </w:r>
            <w:r w:rsidRPr="00F5540C">
              <w:rPr>
                <w:i/>
                <w:sz w:val="22"/>
                <w:szCs w:val="22"/>
              </w:rPr>
              <w:t>95</w:t>
            </w:r>
          </w:p>
        </w:tc>
      </w:tr>
      <w:tr w:rsidR="00C82E34" w:rsidRPr="00C82E34" w14:paraId="03D8EF0B" w14:textId="77777777" w:rsidTr="00F5540C">
        <w:tc>
          <w:tcPr>
            <w:tcW w:w="2093" w:type="dxa"/>
          </w:tcPr>
          <w:p w14:paraId="130E2BFD" w14:textId="77777777" w:rsidR="00C82E34" w:rsidRPr="00F5540C" w:rsidRDefault="00C82E34" w:rsidP="00C82E34">
            <w:pPr>
              <w:overflowPunct w:val="0"/>
              <w:autoSpaceDE w:val="0"/>
              <w:autoSpaceDN w:val="0"/>
              <w:adjustRightInd w:val="0"/>
              <w:textAlignment w:val="baseline"/>
              <w:rPr>
                <w:i/>
                <w:sz w:val="22"/>
                <w:szCs w:val="22"/>
              </w:rPr>
            </w:pPr>
            <w:r w:rsidRPr="00F5540C">
              <w:rPr>
                <w:i/>
                <w:sz w:val="22"/>
                <w:szCs w:val="22"/>
              </w:rPr>
              <w:t>Endereço eletrónico</w:t>
            </w:r>
          </w:p>
        </w:tc>
        <w:tc>
          <w:tcPr>
            <w:tcW w:w="7229" w:type="dxa"/>
          </w:tcPr>
          <w:p w14:paraId="3D770788" w14:textId="77777777" w:rsidR="00C82E34" w:rsidRPr="00F5540C" w:rsidRDefault="001D1405" w:rsidP="00C82E34">
            <w:pPr>
              <w:overflowPunct w:val="0"/>
              <w:autoSpaceDE w:val="0"/>
              <w:autoSpaceDN w:val="0"/>
              <w:adjustRightInd w:val="0"/>
              <w:textAlignment w:val="baseline"/>
              <w:rPr>
                <w:sz w:val="22"/>
                <w:szCs w:val="22"/>
              </w:rPr>
            </w:pPr>
            <w:hyperlink r:id="rId19" w:history="1">
              <w:r w:rsidR="00645EDF" w:rsidRPr="00F5540C">
                <w:rPr>
                  <w:i/>
                  <w:color w:val="0000FF"/>
                  <w:sz w:val="22"/>
                  <w:szCs w:val="22"/>
                  <w:u w:val="single"/>
                </w:rPr>
                <w:t>Georgios.Meleas@eesc.europa.eu</w:t>
              </w:r>
            </w:hyperlink>
          </w:p>
          <w:p w14:paraId="21BA5198" w14:textId="77777777" w:rsidR="00D6499D" w:rsidRPr="00F5540C" w:rsidRDefault="00D6499D" w:rsidP="00C82E34">
            <w:pPr>
              <w:overflowPunct w:val="0"/>
              <w:autoSpaceDE w:val="0"/>
              <w:autoSpaceDN w:val="0"/>
              <w:adjustRightInd w:val="0"/>
              <w:textAlignment w:val="baseline"/>
              <w:rPr>
                <w:i/>
                <w:iCs/>
                <w:sz w:val="22"/>
                <w:szCs w:val="22"/>
                <w:lang w:val="en-GB"/>
              </w:rPr>
            </w:pPr>
          </w:p>
        </w:tc>
      </w:tr>
    </w:tbl>
    <w:p w14:paraId="7EAAA42F" w14:textId="4289B3AA" w:rsidR="00F5540C" w:rsidRDefault="00F5540C"/>
    <w:p w14:paraId="37BE65B0" w14:textId="77777777" w:rsidR="00F5540C" w:rsidRDefault="00F5540C">
      <w:pPr>
        <w:spacing w:after="160" w:line="259" w:lineRule="auto"/>
        <w:jc w:val="left"/>
      </w:pPr>
      <w:r>
        <w:br w:type="page"/>
      </w:r>
    </w:p>
    <w:p w14:paraId="4982DD99" w14:textId="77777777" w:rsidR="004D7AC0" w:rsidRDefault="004D7AC0" w:rsidP="004D7AC0">
      <w:pPr>
        <w:pStyle w:val="Heading1"/>
        <w:rPr>
          <w:b/>
        </w:rPr>
      </w:pPr>
      <w:bookmarkStart w:id="1" w:name="_Toc75527081"/>
      <w:bookmarkStart w:id="2" w:name="_Toc217055911"/>
      <w:r>
        <w:rPr>
          <w:b/>
        </w:rPr>
        <w:lastRenderedPageBreak/>
        <w:t>EMPREGO, ASSUNTOS SOCIAIS E CIDADANIA</w:t>
      </w:r>
      <w:bookmarkEnd w:id="1"/>
      <w:bookmarkEnd w:id="2"/>
    </w:p>
    <w:p w14:paraId="4982DD9A" w14:textId="77777777" w:rsidR="004D7AC0" w:rsidRDefault="004D7AC0" w:rsidP="004D7AC0"/>
    <w:p w14:paraId="0203F323" w14:textId="77777777" w:rsidR="00C24C34" w:rsidRDefault="00C24C34" w:rsidP="004D7AC0"/>
    <w:p w14:paraId="0D85C8AE" w14:textId="4B607989" w:rsidR="00E972B2" w:rsidRPr="008050F3" w:rsidRDefault="001D1405" w:rsidP="00E972B2">
      <w:pPr>
        <w:widowControl w:val="0"/>
        <w:numPr>
          <w:ilvl w:val="0"/>
          <w:numId w:val="6"/>
        </w:numPr>
        <w:overflowPunct w:val="0"/>
        <w:autoSpaceDE w:val="0"/>
        <w:autoSpaceDN w:val="0"/>
        <w:adjustRightInd w:val="0"/>
        <w:ind w:left="567" w:hanging="567"/>
        <w:textAlignment w:val="baseline"/>
        <w:rPr>
          <w:b/>
          <w:sz w:val="28"/>
          <w:szCs w:val="28"/>
        </w:rPr>
      </w:pPr>
      <w:hyperlink r:id="rId20" w:history="1">
        <w:r w:rsidR="00E972B2" w:rsidRPr="008050F3">
          <w:rPr>
            <w:rStyle w:val="Hyperlink"/>
            <w:b/>
            <w:i/>
            <w:sz w:val="28"/>
            <w:szCs w:val="28"/>
          </w:rPr>
          <w:t>Direito</w:t>
        </w:r>
        <w:r w:rsidR="00E972B2" w:rsidRPr="008050F3">
          <w:rPr>
            <w:rStyle w:val="Hyperlink"/>
            <w:b/>
            <w:i/>
            <w:sz w:val="28"/>
            <w:szCs w:val="28"/>
          </w:rPr>
          <w:t>s</w:t>
        </w:r>
        <w:r w:rsidR="00E972B2" w:rsidRPr="008050F3">
          <w:rPr>
            <w:rStyle w:val="Hyperlink"/>
            <w:b/>
            <w:i/>
            <w:sz w:val="28"/>
            <w:szCs w:val="28"/>
          </w:rPr>
          <w:t xml:space="preserve"> laborais dos jornalistas e dos profissionais da comunicação social enquanto salvaguarda da independência e de informações verdadeiras</w:t>
        </w:r>
      </w:hyperlink>
    </w:p>
    <w:p w14:paraId="60707368" w14:textId="77777777" w:rsidR="00E972B2" w:rsidRDefault="00E972B2" w:rsidP="00E972B2">
      <w:pPr>
        <w:tabs>
          <w:tab w:val="center" w:pos="284"/>
        </w:tabs>
        <w:overflowPunct w:val="0"/>
        <w:autoSpaceDE w:val="0"/>
        <w:autoSpaceDN w:val="0"/>
        <w:adjustRightInd w:val="0"/>
        <w:ind w:left="567" w:hanging="567"/>
        <w:textAlignment w:val="baseline"/>
        <w:rPr>
          <w:sz w:val="16"/>
          <w:szCs w:val="16"/>
        </w:rPr>
      </w:pPr>
    </w:p>
    <w:p w14:paraId="6F01FD8F" w14:textId="77777777" w:rsidR="00DB1B79" w:rsidRDefault="00DB1B79" w:rsidP="00E972B2">
      <w:pPr>
        <w:tabs>
          <w:tab w:val="center" w:pos="284"/>
        </w:tabs>
        <w:overflowPunct w:val="0"/>
        <w:autoSpaceDE w:val="0"/>
        <w:autoSpaceDN w:val="0"/>
        <w:adjustRightInd w:val="0"/>
        <w:ind w:left="567" w:hanging="567"/>
        <w:textAlignment w:val="baseline"/>
        <w:rPr>
          <w:sz w:val="16"/>
          <w:szCs w:val="16"/>
        </w:rPr>
      </w:pPr>
    </w:p>
    <w:p w14:paraId="0ABA41B8" w14:textId="77777777" w:rsidR="000C7C8B" w:rsidRDefault="000C7C8B" w:rsidP="00E972B2">
      <w:pPr>
        <w:tabs>
          <w:tab w:val="center" w:pos="284"/>
        </w:tabs>
        <w:overflowPunct w:val="0"/>
        <w:autoSpaceDE w:val="0"/>
        <w:autoSpaceDN w:val="0"/>
        <w:adjustRightInd w:val="0"/>
        <w:ind w:left="567" w:hanging="567"/>
        <w:textAlignment w:val="baseline"/>
        <w:rPr>
          <w:sz w:val="16"/>
          <w:szCs w:val="16"/>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E972B2" w:rsidRPr="00E972B2" w14:paraId="7386250C" w14:textId="77777777" w:rsidTr="0036489A">
        <w:tc>
          <w:tcPr>
            <w:tcW w:w="1701" w:type="dxa"/>
          </w:tcPr>
          <w:p w14:paraId="55083F76" w14:textId="77777777" w:rsidR="00E972B2" w:rsidRPr="00F5540C" w:rsidRDefault="00E972B2" w:rsidP="00E972B2">
            <w:pPr>
              <w:tabs>
                <w:tab w:val="center" w:pos="284"/>
              </w:tabs>
              <w:overflowPunct w:val="0"/>
              <w:autoSpaceDE w:val="0"/>
              <w:autoSpaceDN w:val="0"/>
              <w:adjustRightInd w:val="0"/>
              <w:ind w:left="567" w:hanging="567"/>
              <w:textAlignment w:val="baseline"/>
              <w:rPr>
                <w:b/>
                <w:sz w:val="22"/>
                <w:szCs w:val="22"/>
              </w:rPr>
            </w:pPr>
            <w:r w:rsidRPr="00F5540C">
              <w:rPr>
                <w:b/>
                <w:sz w:val="22"/>
                <w:szCs w:val="22"/>
              </w:rPr>
              <w:t>Relator</w:t>
            </w:r>
          </w:p>
          <w:p w14:paraId="3877742D" w14:textId="77777777" w:rsidR="00E972B2" w:rsidRPr="00F5540C" w:rsidRDefault="00E972B2" w:rsidP="00E972B2">
            <w:pPr>
              <w:tabs>
                <w:tab w:val="center" w:pos="284"/>
              </w:tabs>
              <w:overflowPunct w:val="0"/>
              <w:autoSpaceDE w:val="0"/>
              <w:autoSpaceDN w:val="0"/>
              <w:adjustRightInd w:val="0"/>
              <w:ind w:left="567" w:hanging="567"/>
              <w:textAlignment w:val="baseline"/>
              <w:rPr>
                <w:b/>
                <w:sz w:val="22"/>
                <w:szCs w:val="22"/>
              </w:rPr>
            </w:pPr>
            <w:r w:rsidRPr="00F5540C">
              <w:rPr>
                <w:b/>
                <w:sz w:val="22"/>
                <w:szCs w:val="22"/>
              </w:rPr>
              <w:t>Correlator</w:t>
            </w:r>
          </w:p>
        </w:tc>
        <w:tc>
          <w:tcPr>
            <w:tcW w:w="6237" w:type="dxa"/>
          </w:tcPr>
          <w:p w14:paraId="59B0A1D0" w14:textId="3518B0BA" w:rsidR="00E972B2" w:rsidRPr="00F5540C" w:rsidRDefault="00E972B2" w:rsidP="00E972B2">
            <w:pPr>
              <w:overflowPunct w:val="0"/>
              <w:autoSpaceDE w:val="0"/>
              <w:autoSpaceDN w:val="0"/>
              <w:adjustRightInd w:val="0"/>
              <w:ind w:left="567" w:hanging="567"/>
              <w:textAlignment w:val="baseline"/>
              <w:rPr>
                <w:sz w:val="22"/>
                <w:szCs w:val="22"/>
              </w:rPr>
            </w:pPr>
            <w:r w:rsidRPr="00F5540C">
              <w:rPr>
                <w:sz w:val="22"/>
                <w:szCs w:val="22"/>
              </w:rPr>
              <w:t>José Antonio Moreno Díaz (ES</w:t>
            </w:r>
            <w:r w:rsidR="00F5540C">
              <w:rPr>
                <w:sz w:val="22"/>
                <w:szCs w:val="22"/>
              </w:rPr>
              <w:t>-</w:t>
            </w:r>
            <w:r w:rsidRPr="00F5540C">
              <w:rPr>
                <w:sz w:val="22"/>
                <w:szCs w:val="22"/>
              </w:rPr>
              <w:t>Grupo dos Trabalhadores)</w:t>
            </w:r>
          </w:p>
          <w:p w14:paraId="683C7CA1" w14:textId="4F234B12" w:rsidR="00E972B2" w:rsidRPr="00F5540C" w:rsidRDefault="00E972B2" w:rsidP="00E972B2">
            <w:pPr>
              <w:overflowPunct w:val="0"/>
              <w:autoSpaceDE w:val="0"/>
              <w:autoSpaceDN w:val="0"/>
              <w:adjustRightInd w:val="0"/>
              <w:ind w:left="567" w:hanging="567"/>
              <w:textAlignment w:val="baseline"/>
              <w:rPr>
                <w:sz w:val="22"/>
                <w:szCs w:val="22"/>
              </w:rPr>
            </w:pPr>
            <w:r w:rsidRPr="00F5540C">
              <w:rPr>
                <w:sz w:val="22"/>
                <w:szCs w:val="22"/>
              </w:rPr>
              <w:t>Christian Moos (DE-Grupo das Organizações da Sociedade Civil)</w:t>
            </w:r>
          </w:p>
        </w:tc>
      </w:tr>
      <w:tr w:rsidR="00E972B2" w:rsidRPr="00E972B2" w14:paraId="403DF22C" w14:textId="77777777" w:rsidTr="0036489A">
        <w:tc>
          <w:tcPr>
            <w:tcW w:w="1701" w:type="dxa"/>
            <w:vMerge w:val="restart"/>
          </w:tcPr>
          <w:p w14:paraId="7C482129" w14:textId="77777777" w:rsidR="00E972B2" w:rsidRPr="00F5540C" w:rsidRDefault="00E972B2" w:rsidP="00E972B2">
            <w:pPr>
              <w:tabs>
                <w:tab w:val="center" w:pos="284"/>
              </w:tabs>
              <w:overflowPunct w:val="0"/>
              <w:autoSpaceDE w:val="0"/>
              <w:autoSpaceDN w:val="0"/>
              <w:adjustRightInd w:val="0"/>
              <w:ind w:left="567" w:hanging="567"/>
              <w:textAlignment w:val="baseline"/>
              <w:rPr>
                <w:b/>
                <w:sz w:val="22"/>
                <w:szCs w:val="22"/>
              </w:rPr>
            </w:pPr>
          </w:p>
          <w:p w14:paraId="762D1FFF" w14:textId="77777777" w:rsidR="00E972B2" w:rsidRPr="00F5540C" w:rsidRDefault="00E972B2" w:rsidP="00E972B2">
            <w:pPr>
              <w:tabs>
                <w:tab w:val="center" w:pos="284"/>
              </w:tabs>
              <w:overflowPunct w:val="0"/>
              <w:autoSpaceDE w:val="0"/>
              <w:autoSpaceDN w:val="0"/>
              <w:adjustRightInd w:val="0"/>
              <w:ind w:left="567" w:hanging="567"/>
              <w:textAlignment w:val="baseline"/>
              <w:rPr>
                <w:b/>
                <w:sz w:val="22"/>
                <w:szCs w:val="22"/>
              </w:rPr>
            </w:pPr>
            <w:r w:rsidRPr="00F5540C">
              <w:rPr>
                <w:b/>
                <w:sz w:val="22"/>
                <w:szCs w:val="22"/>
              </w:rPr>
              <w:t>Referência</w:t>
            </w:r>
          </w:p>
        </w:tc>
        <w:tc>
          <w:tcPr>
            <w:tcW w:w="6237" w:type="dxa"/>
          </w:tcPr>
          <w:p w14:paraId="3C316E73" w14:textId="77777777" w:rsidR="00E972B2" w:rsidRPr="00F5540C" w:rsidRDefault="00E972B2" w:rsidP="00E972B2">
            <w:pPr>
              <w:tabs>
                <w:tab w:val="center" w:pos="284"/>
              </w:tabs>
              <w:overflowPunct w:val="0"/>
              <w:autoSpaceDE w:val="0"/>
              <w:autoSpaceDN w:val="0"/>
              <w:adjustRightInd w:val="0"/>
              <w:ind w:left="567" w:hanging="567"/>
              <w:textAlignment w:val="baseline"/>
              <w:rPr>
                <w:sz w:val="22"/>
                <w:szCs w:val="22"/>
              </w:rPr>
            </w:pPr>
          </w:p>
          <w:p w14:paraId="29981116" w14:textId="11CD9731" w:rsidR="00DB1B79" w:rsidRPr="00F5540C" w:rsidRDefault="00DB1B79" w:rsidP="00E972B2">
            <w:pPr>
              <w:tabs>
                <w:tab w:val="center" w:pos="284"/>
              </w:tabs>
              <w:overflowPunct w:val="0"/>
              <w:autoSpaceDE w:val="0"/>
              <w:autoSpaceDN w:val="0"/>
              <w:adjustRightInd w:val="0"/>
              <w:ind w:left="567" w:hanging="567"/>
              <w:textAlignment w:val="baseline"/>
              <w:rPr>
                <w:sz w:val="22"/>
                <w:szCs w:val="22"/>
              </w:rPr>
            </w:pPr>
            <w:r w:rsidRPr="00F5540C">
              <w:rPr>
                <w:sz w:val="22"/>
                <w:szCs w:val="22"/>
              </w:rPr>
              <w:t>Parecer de iniciativa</w:t>
            </w:r>
          </w:p>
          <w:p w14:paraId="4F671282" w14:textId="1803C443" w:rsidR="00E972B2" w:rsidRPr="00F5540C" w:rsidRDefault="00E972B2" w:rsidP="00E972B2">
            <w:pPr>
              <w:tabs>
                <w:tab w:val="center" w:pos="284"/>
              </w:tabs>
              <w:overflowPunct w:val="0"/>
              <w:autoSpaceDE w:val="0"/>
              <w:autoSpaceDN w:val="0"/>
              <w:adjustRightInd w:val="0"/>
              <w:ind w:left="567" w:hanging="567"/>
              <w:textAlignment w:val="baseline"/>
              <w:rPr>
                <w:sz w:val="22"/>
                <w:szCs w:val="22"/>
              </w:rPr>
            </w:pPr>
            <w:r w:rsidRPr="00F5540C">
              <w:rPr>
                <w:sz w:val="22"/>
                <w:szCs w:val="22"/>
              </w:rPr>
              <w:t>EESC-2025-01400-00-00-AC</w:t>
            </w:r>
          </w:p>
        </w:tc>
      </w:tr>
      <w:tr w:rsidR="00E972B2" w:rsidRPr="00E972B2" w14:paraId="5DAEC2A3" w14:textId="77777777" w:rsidTr="0036489A">
        <w:tc>
          <w:tcPr>
            <w:tcW w:w="1701" w:type="dxa"/>
            <w:vMerge/>
          </w:tcPr>
          <w:p w14:paraId="23805FDF" w14:textId="77777777" w:rsidR="00E972B2" w:rsidRPr="00F5540C" w:rsidRDefault="00E972B2" w:rsidP="00E972B2">
            <w:pPr>
              <w:tabs>
                <w:tab w:val="center" w:pos="284"/>
              </w:tabs>
              <w:overflowPunct w:val="0"/>
              <w:autoSpaceDE w:val="0"/>
              <w:autoSpaceDN w:val="0"/>
              <w:adjustRightInd w:val="0"/>
              <w:ind w:left="266" w:hanging="266"/>
              <w:textAlignment w:val="baseline"/>
              <w:rPr>
                <w:b/>
              </w:rPr>
            </w:pPr>
          </w:p>
        </w:tc>
        <w:tc>
          <w:tcPr>
            <w:tcW w:w="6237" w:type="dxa"/>
          </w:tcPr>
          <w:p w14:paraId="0EEAB858" w14:textId="77777777" w:rsidR="00E972B2" w:rsidRPr="00F5540C" w:rsidRDefault="00E972B2" w:rsidP="00E972B2">
            <w:pPr>
              <w:tabs>
                <w:tab w:val="center" w:pos="284"/>
              </w:tabs>
              <w:overflowPunct w:val="0"/>
              <w:autoSpaceDE w:val="0"/>
              <w:autoSpaceDN w:val="0"/>
              <w:adjustRightInd w:val="0"/>
              <w:ind w:left="266" w:hanging="266"/>
              <w:textAlignment w:val="baseline"/>
              <w:rPr>
                <w:sz w:val="16"/>
                <w:szCs w:val="16"/>
              </w:rPr>
            </w:pPr>
          </w:p>
        </w:tc>
      </w:tr>
    </w:tbl>
    <w:p w14:paraId="770A689E" w14:textId="77777777" w:rsidR="00C24C34" w:rsidRPr="00F5540C" w:rsidRDefault="00C24C34" w:rsidP="00E972B2">
      <w:pPr>
        <w:keepNext/>
        <w:keepLines/>
        <w:tabs>
          <w:tab w:val="center" w:pos="284"/>
        </w:tabs>
        <w:overflowPunct w:val="0"/>
        <w:autoSpaceDE w:val="0"/>
        <w:autoSpaceDN w:val="0"/>
        <w:adjustRightInd w:val="0"/>
        <w:ind w:left="266" w:hanging="266"/>
        <w:textAlignment w:val="baseline"/>
        <w:rPr>
          <w:b/>
        </w:rPr>
      </w:pPr>
    </w:p>
    <w:p w14:paraId="146DC9AC" w14:textId="5044B617" w:rsidR="00E972B2" w:rsidRPr="00E972B2" w:rsidRDefault="00E972B2" w:rsidP="00E972B2">
      <w:pPr>
        <w:keepNext/>
        <w:keepLines/>
        <w:tabs>
          <w:tab w:val="center" w:pos="284"/>
        </w:tabs>
        <w:overflowPunct w:val="0"/>
        <w:autoSpaceDE w:val="0"/>
        <w:autoSpaceDN w:val="0"/>
        <w:adjustRightInd w:val="0"/>
        <w:ind w:left="266" w:hanging="266"/>
        <w:textAlignment w:val="baseline"/>
        <w:rPr>
          <w:b/>
        </w:rPr>
      </w:pPr>
      <w:r>
        <w:rPr>
          <w:b/>
        </w:rPr>
        <w:t>Pontos principais</w:t>
      </w:r>
    </w:p>
    <w:p w14:paraId="7CEC89B2" w14:textId="77777777" w:rsidR="00C24C34" w:rsidRPr="00F5540C" w:rsidRDefault="00C24C34" w:rsidP="00E972B2">
      <w:pPr>
        <w:keepNext/>
        <w:keepLines/>
        <w:tabs>
          <w:tab w:val="center" w:pos="284"/>
        </w:tabs>
        <w:overflowPunct w:val="0"/>
        <w:autoSpaceDE w:val="0"/>
        <w:autoSpaceDN w:val="0"/>
        <w:adjustRightInd w:val="0"/>
        <w:ind w:left="266" w:hanging="266"/>
        <w:textAlignment w:val="baseline"/>
        <w:rPr>
          <w:b/>
        </w:rPr>
      </w:pPr>
    </w:p>
    <w:p w14:paraId="409C084B" w14:textId="11E1ED7F" w:rsidR="00E972B2" w:rsidRDefault="00E972B2" w:rsidP="00E972B2">
      <w:pPr>
        <w:keepNext/>
        <w:keepLines/>
        <w:tabs>
          <w:tab w:val="center" w:pos="284"/>
        </w:tabs>
        <w:overflowPunct w:val="0"/>
        <w:autoSpaceDE w:val="0"/>
        <w:autoSpaceDN w:val="0"/>
        <w:adjustRightInd w:val="0"/>
        <w:ind w:left="266" w:hanging="266"/>
        <w:textAlignment w:val="baseline"/>
        <w:rPr>
          <w:szCs w:val="20"/>
        </w:rPr>
      </w:pPr>
      <w:r>
        <w:t>O Comité Económico e Social Europeu:</w:t>
      </w:r>
    </w:p>
    <w:p w14:paraId="466A1A93" w14:textId="77777777" w:rsidR="00C24C34" w:rsidRPr="00F5540C" w:rsidRDefault="00C24C34" w:rsidP="00E972B2">
      <w:pPr>
        <w:keepNext/>
        <w:keepLines/>
        <w:tabs>
          <w:tab w:val="center" w:pos="284"/>
        </w:tabs>
        <w:overflowPunct w:val="0"/>
        <w:autoSpaceDE w:val="0"/>
        <w:autoSpaceDN w:val="0"/>
        <w:adjustRightInd w:val="0"/>
        <w:ind w:left="266" w:hanging="266"/>
        <w:textAlignment w:val="baseline"/>
        <w:rPr>
          <w:szCs w:val="20"/>
        </w:rPr>
      </w:pPr>
    </w:p>
    <w:p w14:paraId="3CF6F831" w14:textId="77777777" w:rsidR="00E972B2" w:rsidRPr="00E972B2" w:rsidRDefault="00E972B2" w:rsidP="00054C58">
      <w:pPr>
        <w:numPr>
          <w:ilvl w:val="1"/>
          <w:numId w:val="20"/>
        </w:numPr>
        <w:overflowPunct w:val="0"/>
        <w:autoSpaceDE w:val="0"/>
        <w:autoSpaceDN w:val="0"/>
        <w:adjustRightInd w:val="0"/>
        <w:spacing w:line="276" w:lineRule="auto"/>
        <w:textAlignment w:val="baseline"/>
        <w:outlineLvl w:val="1"/>
        <w:rPr>
          <w:szCs w:val="20"/>
        </w:rPr>
      </w:pPr>
      <w:bookmarkStart w:id="3" w:name="_Toc217053379"/>
      <w:bookmarkStart w:id="4" w:name="_Toc217055912"/>
      <w:r>
        <w:t>insta os poderes públicos a tomarem medidas de proteção urgentes contra a crescente insegurança dos jornalistas e solicita a plena aplicação do Regulamento Liberdade dos Meios de Comunicação Social. Solicita também a criação de um instrumento independente de apoio aos meios de comunicação social, que complemente os subsídios existentes, para assegurar a sustentabilidade do setor europeu dos meios de comunicação social, e apela para um aumento considerável dos fundos para a salvaguarda de um ecossistema de informação sólido;</w:t>
      </w:r>
      <w:bookmarkEnd w:id="3"/>
      <w:bookmarkEnd w:id="4"/>
    </w:p>
    <w:p w14:paraId="699C4C8F" w14:textId="77777777" w:rsidR="00E972B2" w:rsidRPr="00E972B2" w:rsidRDefault="00E972B2" w:rsidP="00054C58">
      <w:pPr>
        <w:numPr>
          <w:ilvl w:val="1"/>
          <w:numId w:val="20"/>
        </w:numPr>
        <w:overflowPunct w:val="0"/>
        <w:autoSpaceDE w:val="0"/>
        <w:autoSpaceDN w:val="0"/>
        <w:adjustRightInd w:val="0"/>
        <w:spacing w:line="276" w:lineRule="auto"/>
        <w:textAlignment w:val="baseline"/>
        <w:outlineLvl w:val="1"/>
        <w:rPr>
          <w:bCs/>
          <w:szCs w:val="20"/>
        </w:rPr>
      </w:pPr>
      <w:bookmarkStart w:id="5" w:name="_Toc217053380"/>
      <w:bookmarkStart w:id="6" w:name="_Toc217055913"/>
      <w:r>
        <w:t>insta a Comissão Europeia a apresentar um pacote ambicioso de medidas políticas e investimentos destinados a apoiar empregos de qualidade no setor dos meios de comunicação social. Insta os governos a promoverem o diálogo social e a negociação coletiva para todos os jornalistas, incluindo os independentes, através da transposição da diretiva relativa a salários mínimos adequados</w:t>
      </w:r>
      <w:r w:rsidRPr="00E972B2">
        <w:rPr>
          <w:sz w:val="24"/>
          <w:szCs w:val="24"/>
          <w:vertAlign w:val="superscript"/>
          <w:lang w:val="en-GB"/>
        </w:rPr>
        <w:footnoteReference w:id="1"/>
      </w:r>
      <w:r>
        <w:t>, se for caso disso, e das orientações sobre a aplicação do direito da concorrência da União às convenções coletivas relativas às condições de trabalho dos trabalhadores independentes individuais</w:t>
      </w:r>
      <w:r w:rsidRPr="00E972B2">
        <w:rPr>
          <w:sz w:val="24"/>
          <w:szCs w:val="24"/>
          <w:vertAlign w:val="superscript"/>
          <w:lang w:val="en-GB"/>
        </w:rPr>
        <w:footnoteReference w:id="2"/>
      </w:r>
      <w:r>
        <w:t>. Insta ainda a Comissão Europeia e os Estados-Membros a combaterem o falso trabalho por conta própria;</w:t>
      </w:r>
      <w:bookmarkEnd w:id="5"/>
      <w:bookmarkEnd w:id="6"/>
    </w:p>
    <w:p w14:paraId="2C320535" w14:textId="77777777" w:rsidR="00E972B2" w:rsidRDefault="00E972B2" w:rsidP="00446882">
      <w:pPr>
        <w:numPr>
          <w:ilvl w:val="1"/>
          <w:numId w:val="20"/>
        </w:numPr>
        <w:overflowPunct w:val="0"/>
        <w:autoSpaceDE w:val="0"/>
        <w:autoSpaceDN w:val="0"/>
        <w:adjustRightInd w:val="0"/>
        <w:spacing w:line="276" w:lineRule="auto"/>
        <w:textAlignment w:val="baseline"/>
        <w:outlineLvl w:val="1"/>
        <w:rPr>
          <w:szCs w:val="20"/>
        </w:rPr>
      </w:pPr>
      <w:bookmarkStart w:id="7" w:name="_Toc217053381"/>
      <w:bookmarkStart w:id="8" w:name="_Toc217055914"/>
      <w:r>
        <w:t>insta a Comissão Europeia a dar seguimento à Recomendação relativa à garantia de proteção, segurança e capacitação dos jornalistas</w:t>
      </w:r>
      <w:r w:rsidRPr="00E972B2">
        <w:rPr>
          <w:sz w:val="24"/>
          <w:szCs w:val="24"/>
          <w:vertAlign w:val="superscript"/>
          <w:lang w:val="en-GB"/>
        </w:rPr>
        <w:footnoteReference w:id="3"/>
      </w:r>
      <w:r>
        <w:t xml:space="preserve">. Salienta que é necessário um diálogo mais estreito com as organizações de jornalistas, a fim de criar estruturas capazes de salvaguardar a segurança dos jornalistas. Os jornalistas são trabalhadores com uma exposição significativa ao </w:t>
      </w:r>
      <w:r>
        <w:rPr>
          <w:i/>
        </w:rPr>
        <w:t>stress</w:t>
      </w:r>
      <w:r>
        <w:t xml:space="preserve">, ao esgotamento profissional, ao ciberassédio e à sobrecarga digital. Seria útil que a Comissão ponderasse a forma de dar seguimento à resolução do Parlamento Europeu, de 10 de março de </w:t>
      </w:r>
      <w:r>
        <w:lastRenderedPageBreak/>
        <w:t>2022, que apela à adoção de uma diretiva relativa aos riscos psicossociais. O CESE está disposto a elaborar um parecer sobre esta matéria</w:t>
      </w:r>
      <w:r w:rsidRPr="00E972B2">
        <w:rPr>
          <w:sz w:val="24"/>
          <w:szCs w:val="20"/>
          <w:vertAlign w:val="superscript"/>
          <w:lang w:val="en-GB"/>
        </w:rPr>
        <w:footnoteReference w:id="4"/>
      </w:r>
      <w:r>
        <w:t>;</w:t>
      </w:r>
      <w:bookmarkEnd w:id="7"/>
      <w:bookmarkEnd w:id="8"/>
    </w:p>
    <w:p w14:paraId="15FE9461" w14:textId="77777777" w:rsidR="00E972B2" w:rsidRPr="00E972B2" w:rsidRDefault="00E972B2" w:rsidP="00054C58">
      <w:pPr>
        <w:numPr>
          <w:ilvl w:val="1"/>
          <w:numId w:val="20"/>
        </w:numPr>
        <w:pBdr>
          <w:top w:val="nil"/>
          <w:left w:val="nil"/>
          <w:bottom w:val="nil"/>
          <w:right w:val="nil"/>
          <w:between w:val="nil"/>
        </w:pBdr>
        <w:overflowPunct w:val="0"/>
        <w:autoSpaceDE w:val="0"/>
        <w:autoSpaceDN w:val="0"/>
        <w:adjustRightInd w:val="0"/>
        <w:spacing w:line="276" w:lineRule="auto"/>
        <w:textAlignment w:val="baseline"/>
        <w:outlineLvl w:val="1"/>
        <w:rPr>
          <w:szCs w:val="20"/>
        </w:rPr>
      </w:pPr>
      <w:bookmarkStart w:id="9" w:name="_Toc217053382"/>
      <w:bookmarkStart w:id="10" w:name="_Toc217055915"/>
      <w:r>
        <w:t>insta a Comissão Europeia a acompanhar a aplicação do quadro legislativo da UE relativo à utilização da inteligência artificial (IA), a fim de salvaguardar a proteção dos jornalistas e incentiva os sindicatos de jornalistas e as organizações de comunicação a abordarem a utilização da IA nas redações, no âmbito do diálogo social. Insta também ao financiamento de projetos que desenvolvam a literacia em IA dos jornalistas e a que se pondere a possibilidade de cofinanciar as «academias europeias de jornalismo», a formação e eventualmente parte dos salários dos jovens jornalistas de empresas de comunicação social com elevados padrões em matéria de jornalismo de qualidade e de condições de trabalho.</w:t>
      </w:r>
      <w:bookmarkEnd w:id="9"/>
      <w:bookmarkEnd w:id="10"/>
    </w:p>
    <w:p w14:paraId="628F03B6" w14:textId="77777777" w:rsidR="00E972B2" w:rsidRPr="00F5540C" w:rsidRDefault="00E972B2" w:rsidP="00E972B2">
      <w:pPr>
        <w:overflowPunct w:val="0"/>
        <w:autoSpaceDE w:val="0"/>
        <w:autoSpaceDN w:val="0"/>
        <w:adjustRightInd w:val="0"/>
        <w:textAlignment w:val="baseline"/>
        <w:rPr>
          <w:szCs w:val="20"/>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610"/>
      </w:tblGrid>
      <w:tr w:rsidR="00E972B2" w:rsidRPr="00E972B2" w14:paraId="2A48BF49" w14:textId="77777777" w:rsidTr="00294DE8">
        <w:tc>
          <w:tcPr>
            <w:tcW w:w="2093" w:type="dxa"/>
          </w:tcPr>
          <w:p w14:paraId="238E38FB" w14:textId="77777777" w:rsidR="00E972B2" w:rsidRPr="00A37D46" w:rsidRDefault="00E972B2" w:rsidP="00E972B2">
            <w:pPr>
              <w:overflowPunct w:val="0"/>
              <w:autoSpaceDE w:val="0"/>
              <w:autoSpaceDN w:val="0"/>
              <w:adjustRightInd w:val="0"/>
              <w:spacing w:line="240" w:lineRule="auto"/>
              <w:textAlignment w:val="baseline"/>
              <w:rPr>
                <w:i/>
                <w:sz w:val="22"/>
                <w:szCs w:val="22"/>
              </w:rPr>
            </w:pPr>
            <w:r w:rsidRPr="00A37D46">
              <w:rPr>
                <w:b/>
                <w:i/>
                <w:sz w:val="22"/>
                <w:szCs w:val="22"/>
              </w:rPr>
              <w:t>Contacto</w:t>
            </w:r>
          </w:p>
        </w:tc>
        <w:tc>
          <w:tcPr>
            <w:tcW w:w="3610" w:type="dxa"/>
          </w:tcPr>
          <w:p w14:paraId="222CC330" w14:textId="77777777" w:rsidR="00E972B2" w:rsidRPr="00A37D46" w:rsidRDefault="00E972B2" w:rsidP="00E972B2">
            <w:pPr>
              <w:overflowPunct w:val="0"/>
              <w:autoSpaceDE w:val="0"/>
              <w:autoSpaceDN w:val="0"/>
              <w:adjustRightInd w:val="0"/>
              <w:spacing w:line="240" w:lineRule="auto"/>
              <w:ind w:hanging="12"/>
              <w:textAlignment w:val="baseline"/>
              <w:rPr>
                <w:i/>
                <w:sz w:val="22"/>
                <w:szCs w:val="22"/>
              </w:rPr>
            </w:pPr>
            <w:r w:rsidRPr="00A37D46">
              <w:rPr>
                <w:i/>
                <w:sz w:val="22"/>
                <w:szCs w:val="22"/>
              </w:rPr>
              <w:t>June Bedaton</w:t>
            </w:r>
          </w:p>
        </w:tc>
      </w:tr>
      <w:tr w:rsidR="00E972B2" w:rsidRPr="00E972B2" w14:paraId="6AAFD04B" w14:textId="77777777" w:rsidTr="00294DE8">
        <w:tc>
          <w:tcPr>
            <w:tcW w:w="2093" w:type="dxa"/>
          </w:tcPr>
          <w:p w14:paraId="43DF2BDC" w14:textId="77777777" w:rsidR="00E972B2" w:rsidRPr="00A37D46" w:rsidRDefault="00E972B2" w:rsidP="00E972B2">
            <w:pPr>
              <w:overflowPunct w:val="0"/>
              <w:autoSpaceDE w:val="0"/>
              <w:autoSpaceDN w:val="0"/>
              <w:adjustRightInd w:val="0"/>
              <w:spacing w:line="240" w:lineRule="auto"/>
              <w:textAlignment w:val="baseline"/>
              <w:rPr>
                <w:i/>
                <w:sz w:val="22"/>
                <w:szCs w:val="22"/>
              </w:rPr>
            </w:pPr>
            <w:r w:rsidRPr="00A37D46">
              <w:rPr>
                <w:i/>
                <w:sz w:val="22"/>
                <w:szCs w:val="22"/>
              </w:rPr>
              <w:t>Tel.</w:t>
            </w:r>
          </w:p>
        </w:tc>
        <w:tc>
          <w:tcPr>
            <w:tcW w:w="3610" w:type="dxa"/>
          </w:tcPr>
          <w:p w14:paraId="63A276AE" w14:textId="64FD0871" w:rsidR="00E972B2" w:rsidRPr="00A37D46" w:rsidRDefault="00E972B2" w:rsidP="00E972B2">
            <w:pPr>
              <w:overflowPunct w:val="0"/>
              <w:autoSpaceDE w:val="0"/>
              <w:autoSpaceDN w:val="0"/>
              <w:adjustRightInd w:val="0"/>
              <w:spacing w:line="240" w:lineRule="auto"/>
              <w:textAlignment w:val="baseline"/>
              <w:rPr>
                <w:i/>
                <w:sz w:val="22"/>
                <w:szCs w:val="22"/>
              </w:rPr>
            </w:pPr>
            <w:r w:rsidRPr="00A37D46">
              <w:rPr>
                <w:i/>
                <w:sz w:val="22"/>
                <w:szCs w:val="22"/>
              </w:rPr>
              <w:t>+32 2</w:t>
            </w:r>
            <w:r w:rsidR="00294DE8" w:rsidRPr="00A37D46">
              <w:rPr>
                <w:i/>
                <w:sz w:val="22"/>
                <w:szCs w:val="22"/>
              </w:rPr>
              <w:t xml:space="preserve"> </w:t>
            </w:r>
            <w:r w:rsidRPr="00A37D46">
              <w:rPr>
                <w:i/>
                <w:sz w:val="22"/>
                <w:szCs w:val="22"/>
              </w:rPr>
              <w:t>546</w:t>
            </w:r>
            <w:r w:rsidR="00294DE8" w:rsidRPr="00A37D46">
              <w:rPr>
                <w:i/>
                <w:sz w:val="22"/>
                <w:szCs w:val="22"/>
              </w:rPr>
              <w:t xml:space="preserve"> </w:t>
            </w:r>
            <w:r w:rsidRPr="00A37D46">
              <w:rPr>
                <w:i/>
                <w:sz w:val="22"/>
                <w:szCs w:val="22"/>
              </w:rPr>
              <w:t>81</w:t>
            </w:r>
            <w:r w:rsidR="00294DE8" w:rsidRPr="00A37D46">
              <w:rPr>
                <w:i/>
                <w:sz w:val="22"/>
                <w:szCs w:val="22"/>
              </w:rPr>
              <w:t xml:space="preserve"> </w:t>
            </w:r>
            <w:r w:rsidRPr="00A37D46">
              <w:rPr>
                <w:i/>
                <w:sz w:val="22"/>
                <w:szCs w:val="22"/>
              </w:rPr>
              <w:t>34</w:t>
            </w:r>
          </w:p>
        </w:tc>
      </w:tr>
      <w:tr w:rsidR="00E972B2" w:rsidRPr="00E972B2" w14:paraId="20D34920" w14:textId="77777777" w:rsidTr="00294DE8">
        <w:tc>
          <w:tcPr>
            <w:tcW w:w="2093" w:type="dxa"/>
          </w:tcPr>
          <w:p w14:paraId="75D6BA57" w14:textId="77777777" w:rsidR="00E972B2" w:rsidRPr="00A37D46" w:rsidRDefault="00E972B2" w:rsidP="00E972B2">
            <w:pPr>
              <w:overflowPunct w:val="0"/>
              <w:autoSpaceDE w:val="0"/>
              <w:autoSpaceDN w:val="0"/>
              <w:adjustRightInd w:val="0"/>
              <w:spacing w:line="240" w:lineRule="auto"/>
              <w:textAlignment w:val="baseline"/>
              <w:rPr>
                <w:i/>
                <w:sz w:val="22"/>
                <w:szCs w:val="22"/>
              </w:rPr>
            </w:pPr>
            <w:r w:rsidRPr="00A37D46">
              <w:rPr>
                <w:i/>
                <w:sz w:val="22"/>
                <w:szCs w:val="22"/>
              </w:rPr>
              <w:t>Endereço eletrónico</w:t>
            </w:r>
          </w:p>
        </w:tc>
        <w:tc>
          <w:tcPr>
            <w:tcW w:w="3610" w:type="dxa"/>
          </w:tcPr>
          <w:p w14:paraId="49B7876D" w14:textId="09FA8A20" w:rsidR="00E972B2" w:rsidRPr="00A37D46" w:rsidRDefault="00A37D46" w:rsidP="00E972B2">
            <w:pPr>
              <w:overflowPunct w:val="0"/>
              <w:autoSpaceDE w:val="0"/>
              <w:autoSpaceDN w:val="0"/>
              <w:adjustRightInd w:val="0"/>
              <w:spacing w:line="240" w:lineRule="auto"/>
              <w:textAlignment w:val="baseline"/>
              <w:rPr>
                <w:i/>
                <w:iCs/>
                <w:sz w:val="22"/>
                <w:szCs w:val="22"/>
              </w:rPr>
            </w:pPr>
            <w:hyperlink r:id="rId21" w:history="1">
              <w:r w:rsidRPr="00A37D46">
                <w:rPr>
                  <w:rStyle w:val="Hyperlink"/>
                  <w:i/>
                  <w:sz w:val="22"/>
                  <w:szCs w:val="22"/>
                </w:rPr>
                <w:t>June.Bedaton@eesc.europa.eu</w:t>
              </w:r>
            </w:hyperlink>
            <w:r w:rsidR="00645EDF" w:rsidRPr="00A37D46">
              <w:rPr>
                <w:i/>
                <w:sz w:val="22"/>
                <w:szCs w:val="22"/>
              </w:rPr>
              <w:t xml:space="preserve"> </w:t>
            </w:r>
          </w:p>
        </w:tc>
      </w:tr>
    </w:tbl>
    <w:p w14:paraId="4982DDC2" w14:textId="77777777" w:rsidR="004D7AC0" w:rsidRDefault="004D7AC0" w:rsidP="004D7AC0">
      <w:pPr>
        <w:pStyle w:val="ListParagraph"/>
        <w:ind w:left="0"/>
      </w:pPr>
    </w:p>
    <w:p w14:paraId="4982DDC3" w14:textId="77777777" w:rsidR="004D7AC0" w:rsidRDefault="004D7AC0" w:rsidP="004D7AC0">
      <w:pPr>
        <w:pStyle w:val="ListParagraph"/>
        <w:ind w:left="0"/>
      </w:pPr>
    </w:p>
    <w:p w14:paraId="4982DDC4" w14:textId="77777777" w:rsidR="004D7AC0" w:rsidRPr="00803CA6" w:rsidRDefault="004D7AC0" w:rsidP="004D7AC0">
      <w:pPr>
        <w:pStyle w:val="ListParagraph"/>
        <w:ind w:left="0"/>
      </w:pPr>
    </w:p>
    <w:p w14:paraId="3BBEED3B" w14:textId="2A08F509" w:rsidR="008D0052" w:rsidRPr="008D0052" w:rsidRDefault="004D7AC0" w:rsidP="008D0052">
      <w:pPr>
        <w:widowControl w:val="0"/>
        <w:numPr>
          <w:ilvl w:val="0"/>
          <w:numId w:val="6"/>
        </w:numPr>
        <w:overflowPunct w:val="0"/>
        <w:autoSpaceDE w:val="0"/>
        <w:autoSpaceDN w:val="0"/>
        <w:adjustRightInd w:val="0"/>
        <w:ind w:left="567" w:hanging="567"/>
        <w:textAlignment w:val="baseline"/>
        <w:rPr>
          <w:b/>
        </w:rPr>
      </w:pPr>
      <w:r>
        <w:br w:type="page"/>
      </w:r>
      <w:hyperlink r:id="rId22" w:history="1">
        <w:r>
          <w:rPr>
            <w:b/>
            <w:i/>
            <w:color w:val="0000FF"/>
            <w:sz w:val="28"/>
            <w:u w:val="single"/>
          </w:rPr>
          <w:t>Programa AgoraEU e Programa Justiça</w:t>
        </w:r>
      </w:hyperlink>
    </w:p>
    <w:p w14:paraId="269FC09C" w14:textId="77777777" w:rsidR="008D0052" w:rsidRDefault="008D0052" w:rsidP="008D0052">
      <w:pPr>
        <w:tabs>
          <w:tab w:val="center" w:pos="284"/>
        </w:tabs>
        <w:overflowPunct w:val="0"/>
        <w:autoSpaceDE w:val="0"/>
        <w:autoSpaceDN w:val="0"/>
        <w:adjustRightInd w:val="0"/>
        <w:ind w:left="567" w:hanging="567"/>
        <w:textAlignment w:val="baseline"/>
        <w:rPr>
          <w:sz w:val="16"/>
          <w:szCs w:val="16"/>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8D0052" w:rsidRPr="008D0052" w14:paraId="439074D0" w14:textId="77777777" w:rsidTr="0036489A">
        <w:tc>
          <w:tcPr>
            <w:tcW w:w="1701" w:type="dxa"/>
          </w:tcPr>
          <w:p w14:paraId="59ACE1C9" w14:textId="77777777" w:rsidR="008D0052" w:rsidRPr="00D3145B" w:rsidRDefault="008D0052" w:rsidP="008D0052">
            <w:pPr>
              <w:tabs>
                <w:tab w:val="center" w:pos="284"/>
              </w:tabs>
              <w:overflowPunct w:val="0"/>
              <w:autoSpaceDE w:val="0"/>
              <w:autoSpaceDN w:val="0"/>
              <w:adjustRightInd w:val="0"/>
              <w:ind w:left="567" w:hanging="567"/>
              <w:textAlignment w:val="baseline"/>
              <w:rPr>
                <w:b/>
                <w:sz w:val="22"/>
                <w:szCs w:val="22"/>
              </w:rPr>
            </w:pPr>
            <w:r w:rsidRPr="00D3145B">
              <w:rPr>
                <w:b/>
                <w:sz w:val="22"/>
                <w:szCs w:val="22"/>
              </w:rPr>
              <w:t>Relator</w:t>
            </w:r>
          </w:p>
        </w:tc>
        <w:tc>
          <w:tcPr>
            <w:tcW w:w="6237" w:type="dxa"/>
          </w:tcPr>
          <w:p w14:paraId="585EAFF0" w14:textId="715820FC" w:rsidR="008D0052" w:rsidRPr="00D3145B" w:rsidRDefault="008D0052" w:rsidP="008D0052">
            <w:pPr>
              <w:overflowPunct w:val="0"/>
              <w:autoSpaceDE w:val="0"/>
              <w:autoSpaceDN w:val="0"/>
              <w:adjustRightInd w:val="0"/>
              <w:ind w:left="567" w:hanging="567"/>
              <w:textAlignment w:val="baseline"/>
              <w:rPr>
                <w:sz w:val="22"/>
                <w:szCs w:val="22"/>
              </w:rPr>
            </w:pPr>
            <w:r w:rsidRPr="00D3145B">
              <w:rPr>
                <w:sz w:val="22"/>
                <w:szCs w:val="22"/>
              </w:rPr>
              <w:t>Ionuț Sibian (RO</w:t>
            </w:r>
            <w:r w:rsidR="00D3145B">
              <w:rPr>
                <w:sz w:val="22"/>
                <w:szCs w:val="22"/>
              </w:rPr>
              <w:t>-</w:t>
            </w:r>
            <w:r w:rsidRPr="00D3145B">
              <w:rPr>
                <w:sz w:val="22"/>
                <w:szCs w:val="22"/>
              </w:rPr>
              <w:t>Grupo das Organizações da Sociedade Civil)</w:t>
            </w:r>
          </w:p>
        </w:tc>
      </w:tr>
      <w:tr w:rsidR="008D0052" w:rsidRPr="008D0052" w14:paraId="43DDD9C1" w14:textId="77777777" w:rsidTr="0036489A">
        <w:tc>
          <w:tcPr>
            <w:tcW w:w="1701" w:type="dxa"/>
            <w:vMerge w:val="restart"/>
          </w:tcPr>
          <w:p w14:paraId="17DE1540" w14:textId="77777777" w:rsidR="008D0052" w:rsidRPr="00D3145B" w:rsidRDefault="008D0052" w:rsidP="008D0052">
            <w:pPr>
              <w:tabs>
                <w:tab w:val="center" w:pos="284"/>
              </w:tabs>
              <w:overflowPunct w:val="0"/>
              <w:autoSpaceDE w:val="0"/>
              <w:autoSpaceDN w:val="0"/>
              <w:adjustRightInd w:val="0"/>
              <w:ind w:left="567" w:hanging="567"/>
              <w:textAlignment w:val="baseline"/>
              <w:rPr>
                <w:b/>
                <w:sz w:val="22"/>
                <w:szCs w:val="22"/>
              </w:rPr>
            </w:pPr>
          </w:p>
          <w:p w14:paraId="3DE1E8E1" w14:textId="77777777" w:rsidR="008D0052" w:rsidRPr="00D3145B" w:rsidRDefault="008D0052" w:rsidP="008D0052">
            <w:pPr>
              <w:tabs>
                <w:tab w:val="center" w:pos="284"/>
              </w:tabs>
              <w:overflowPunct w:val="0"/>
              <w:autoSpaceDE w:val="0"/>
              <w:autoSpaceDN w:val="0"/>
              <w:adjustRightInd w:val="0"/>
              <w:ind w:left="567" w:hanging="567"/>
              <w:textAlignment w:val="baseline"/>
              <w:rPr>
                <w:b/>
                <w:sz w:val="22"/>
                <w:szCs w:val="22"/>
              </w:rPr>
            </w:pPr>
            <w:r w:rsidRPr="00D3145B">
              <w:rPr>
                <w:b/>
                <w:sz w:val="22"/>
                <w:szCs w:val="22"/>
              </w:rPr>
              <w:t>Referências</w:t>
            </w:r>
          </w:p>
        </w:tc>
        <w:tc>
          <w:tcPr>
            <w:tcW w:w="6237" w:type="dxa"/>
          </w:tcPr>
          <w:p w14:paraId="1EAFD529" w14:textId="77777777" w:rsidR="008D0052" w:rsidRPr="00D3145B" w:rsidRDefault="008D0052" w:rsidP="008D0052">
            <w:pPr>
              <w:tabs>
                <w:tab w:val="center" w:pos="284"/>
              </w:tabs>
              <w:overflowPunct w:val="0"/>
              <w:autoSpaceDE w:val="0"/>
              <w:autoSpaceDN w:val="0"/>
              <w:adjustRightInd w:val="0"/>
              <w:ind w:left="567" w:hanging="567"/>
              <w:textAlignment w:val="baseline"/>
              <w:rPr>
                <w:sz w:val="22"/>
                <w:szCs w:val="22"/>
              </w:rPr>
            </w:pPr>
          </w:p>
          <w:p w14:paraId="5CB40F8B" w14:textId="72EE90C4" w:rsidR="00D6499D" w:rsidRPr="00D3145B" w:rsidRDefault="008D0052" w:rsidP="008D0052">
            <w:pPr>
              <w:tabs>
                <w:tab w:val="center" w:pos="284"/>
              </w:tabs>
              <w:overflowPunct w:val="0"/>
              <w:autoSpaceDE w:val="0"/>
              <w:autoSpaceDN w:val="0"/>
              <w:adjustRightInd w:val="0"/>
              <w:ind w:left="567" w:hanging="567"/>
              <w:textAlignment w:val="baseline"/>
              <w:rPr>
                <w:sz w:val="22"/>
                <w:szCs w:val="22"/>
              </w:rPr>
            </w:pPr>
            <w:r w:rsidRPr="00D3145B">
              <w:rPr>
                <w:sz w:val="22"/>
                <w:szCs w:val="22"/>
              </w:rPr>
              <w:t>COM(2025) 463 final</w:t>
            </w:r>
          </w:p>
          <w:p w14:paraId="1E0886B9" w14:textId="77777777" w:rsidR="008D0052" w:rsidRPr="00D3145B" w:rsidRDefault="008D0052" w:rsidP="008D0052">
            <w:pPr>
              <w:tabs>
                <w:tab w:val="center" w:pos="284"/>
              </w:tabs>
              <w:overflowPunct w:val="0"/>
              <w:autoSpaceDE w:val="0"/>
              <w:autoSpaceDN w:val="0"/>
              <w:adjustRightInd w:val="0"/>
              <w:ind w:left="567" w:hanging="567"/>
              <w:textAlignment w:val="baseline"/>
              <w:rPr>
                <w:sz w:val="22"/>
                <w:szCs w:val="22"/>
              </w:rPr>
            </w:pPr>
            <w:r w:rsidRPr="00D3145B">
              <w:rPr>
                <w:sz w:val="22"/>
                <w:szCs w:val="22"/>
              </w:rPr>
              <w:t>COM(2025) 550 final</w:t>
            </w:r>
          </w:p>
          <w:p w14:paraId="36D67FA6" w14:textId="77777777" w:rsidR="00F65006" w:rsidRPr="00D3145B" w:rsidRDefault="00F65006" w:rsidP="008D0052">
            <w:pPr>
              <w:tabs>
                <w:tab w:val="center" w:pos="284"/>
              </w:tabs>
              <w:overflowPunct w:val="0"/>
              <w:autoSpaceDE w:val="0"/>
              <w:autoSpaceDN w:val="0"/>
              <w:adjustRightInd w:val="0"/>
              <w:ind w:left="567" w:hanging="567"/>
              <w:textAlignment w:val="baseline"/>
              <w:rPr>
                <w:sz w:val="22"/>
                <w:szCs w:val="22"/>
              </w:rPr>
            </w:pPr>
            <w:r w:rsidRPr="00D3145B">
              <w:rPr>
                <w:sz w:val="22"/>
                <w:szCs w:val="22"/>
              </w:rPr>
              <w:t>EESC-2025-02823-00-00-AC</w:t>
            </w:r>
          </w:p>
          <w:p w14:paraId="53FD9F87" w14:textId="5EF766CA" w:rsidR="00AA61BE" w:rsidRPr="00D3145B" w:rsidRDefault="00AA61BE" w:rsidP="008D0052">
            <w:pPr>
              <w:tabs>
                <w:tab w:val="center" w:pos="284"/>
              </w:tabs>
              <w:overflowPunct w:val="0"/>
              <w:autoSpaceDE w:val="0"/>
              <w:autoSpaceDN w:val="0"/>
              <w:adjustRightInd w:val="0"/>
              <w:ind w:left="567" w:hanging="567"/>
              <w:textAlignment w:val="baseline"/>
              <w:rPr>
                <w:sz w:val="22"/>
                <w:szCs w:val="22"/>
              </w:rPr>
            </w:pPr>
          </w:p>
        </w:tc>
      </w:tr>
      <w:tr w:rsidR="008D0052" w:rsidRPr="008D0052" w14:paraId="53E4D815" w14:textId="77777777" w:rsidTr="0036489A">
        <w:tc>
          <w:tcPr>
            <w:tcW w:w="1701" w:type="dxa"/>
            <w:vMerge/>
          </w:tcPr>
          <w:p w14:paraId="30F7A78B" w14:textId="77777777" w:rsidR="008D0052" w:rsidRPr="008D0052" w:rsidRDefault="008D0052" w:rsidP="008D0052">
            <w:pPr>
              <w:tabs>
                <w:tab w:val="center" w:pos="284"/>
              </w:tabs>
              <w:overflowPunct w:val="0"/>
              <w:autoSpaceDE w:val="0"/>
              <w:autoSpaceDN w:val="0"/>
              <w:adjustRightInd w:val="0"/>
              <w:ind w:left="266" w:hanging="266"/>
              <w:textAlignment w:val="baseline"/>
              <w:rPr>
                <w:b/>
              </w:rPr>
            </w:pPr>
          </w:p>
        </w:tc>
        <w:tc>
          <w:tcPr>
            <w:tcW w:w="6237" w:type="dxa"/>
          </w:tcPr>
          <w:p w14:paraId="27E33E96" w14:textId="77777777" w:rsidR="008D0052" w:rsidRPr="008D0052" w:rsidRDefault="008D0052" w:rsidP="008D0052">
            <w:pPr>
              <w:tabs>
                <w:tab w:val="center" w:pos="284"/>
              </w:tabs>
              <w:overflowPunct w:val="0"/>
              <w:autoSpaceDE w:val="0"/>
              <w:autoSpaceDN w:val="0"/>
              <w:adjustRightInd w:val="0"/>
              <w:ind w:left="266" w:hanging="266"/>
              <w:textAlignment w:val="baseline"/>
              <w:rPr>
                <w:sz w:val="2"/>
                <w:szCs w:val="2"/>
              </w:rPr>
            </w:pPr>
          </w:p>
        </w:tc>
      </w:tr>
    </w:tbl>
    <w:p w14:paraId="0D42846F" w14:textId="77777777" w:rsidR="008D0052" w:rsidRPr="008D0052" w:rsidRDefault="008D0052" w:rsidP="008D0052">
      <w:pPr>
        <w:keepNext/>
        <w:keepLines/>
        <w:tabs>
          <w:tab w:val="center" w:pos="284"/>
        </w:tabs>
        <w:overflowPunct w:val="0"/>
        <w:autoSpaceDE w:val="0"/>
        <w:autoSpaceDN w:val="0"/>
        <w:adjustRightInd w:val="0"/>
        <w:ind w:left="266" w:hanging="266"/>
        <w:textAlignment w:val="baseline"/>
        <w:rPr>
          <w:b/>
        </w:rPr>
      </w:pPr>
      <w:r>
        <w:rPr>
          <w:b/>
        </w:rPr>
        <w:t>Pontos principais</w:t>
      </w:r>
    </w:p>
    <w:p w14:paraId="4BDF51E4" w14:textId="77777777" w:rsidR="008D0052" w:rsidRPr="00F5540C" w:rsidRDefault="008D0052" w:rsidP="008D0052">
      <w:pPr>
        <w:keepNext/>
        <w:keepLines/>
        <w:tabs>
          <w:tab w:val="center" w:pos="284"/>
        </w:tabs>
        <w:overflowPunct w:val="0"/>
        <w:autoSpaceDE w:val="0"/>
        <w:autoSpaceDN w:val="0"/>
        <w:adjustRightInd w:val="0"/>
        <w:ind w:left="266" w:hanging="266"/>
        <w:textAlignment w:val="baseline"/>
        <w:rPr>
          <w:b/>
        </w:rPr>
      </w:pPr>
    </w:p>
    <w:p w14:paraId="5155812D" w14:textId="77777777" w:rsidR="008D0052" w:rsidRDefault="008D0052" w:rsidP="008D0052">
      <w:pPr>
        <w:jc w:val="left"/>
        <w:rPr>
          <w:b/>
          <w:bCs/>
        </w:rPr>
      </w:pPr>
      <w:r>
        <w:rPr>
          <w:b/>
        </w:rPr>
        <w:t>O Comité Económico e Social Europeu:</w:t>
      </w:r>
    </w:p>
    <w:p w14:paraId="6CD2846B" w14:textId="77777777" w:rsidR="00F65006" w:rsidRPr="00F5540C" w:rsidRDefault="00F65006" w:rsidP="008D0052">
      <w:pPr>
        <w:jc w:val="left"/>
        <w:rPr>
          <w:lang w:eastAsia="fr-BE"/>
        </w:rPr>
      </w:pPr>
    </w:p>
    <w:p w14:paraId="58498405"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congratula-se com a proposta da Comissão de criar o Programa AgoraEU e o Programa Justiça e convida o Parlamento Europeu e o Conselho a aprovarem as propostas sem reduzirem a dotação financeira proposta;</w:t>
      </w:r>
    </w:p>
    <w:p w14:paraId="175AAA81"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encoraja o reconhecimento explícito do papel da defesa de causas enquanto parte fundamental do trabalho das organizações da sociedade civil e do papel destas na elaboração de políticas e no reforço da democracia e da resiliência;</w:t>
      </w:r>
    </w:p>
    <w:p w14:paraId="0C4BE5EB"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recomenda a introdução de subvenções de funcionamento em todas as vertentes do Programa AgoraEU, a fim de reforçar a resiliência institucional da sociedade civil e insta a que as subvenções de funcionamento ao abrigo do Programa Justiça sejam alargadas a instituições sem fins lucrativos que prossigam um objetivo de interesse geral europeu;</w:t>
      </w:r>
    </w:p>
    <w:p w14:paraId="56C00DAF"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concorda com a manutenção do apoio financeiro a terceiros através de organizações intermediárias, para chegar a organizações mais pequenas e de base, e insta a que se garanta a independência dos intermediários e a conformidade da sua governação com a Carta dos Direitos Fundamentais da UE enquanto critérios de elegibilidade fundamentais a aplicar aquando da sua seleção; solicita igualmente clareza no que toca às taxas de cofinanciamento, recomendando a concessão de financiamento da UE até 100% às organizações intermediárias e aos beneficiários finais que executem uma atividade delegada;</w:t>
      </w:r>
    </w:p>
    <w:p w14:paraId="20D9DDF3"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assinala a necessidade de adaptar a esfera de ação e os recursos dos balcões de informação do Programa Europa Criativa, a fim de apoiarem eficazmente os setores cultural, mediático e cívico abrangidos pelo Programa AgoraEU;</w:t>
      </w:r>
    </w:p>
    <w:p w14:paraId="612471EA"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solicita flexibilidade e salvaguardas (por exemplo, indexação e mecanismos de correção) na utilização de montantes fixos e subvenções plurianuais, para evitar pressão financeira sobre os beneficiários;</w:t>
      </w:r>
    </w:p>
    <w:p w14:paraId="4E331884"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solicita que se esclareça melhor as sinergias previstas entre o Fundo Europeu de Competitividade e a vertente «MEDIA+» do Programa AgoraEU, e insta a Comissão a interligar os beneficiários de subvenções e a elaborar um plano de ação para tornar operacionais o financiamento combinado e cumulativo previsto nas duas propostas de regulamento, incluindo convites à apresentação de propostas conjuntos, cooperação entre direções-gerais e acompanhamento do desempenho;</w:t>
      </w:r>
    </w:p>
    <w:p w14:paraId="1940591F"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recomenda que o Programa Justiça reforce o seu foco nos direitos das vítimas e no acesso à justiça, prevendo financiamento para as redes de apoio às vítimas, a formação para profissionais da justiça e o acesso transfronteiras à assistência judiciária;</w:t>
      </w:r>
    </w:p>
    <w:p w14:paraId="54A7B395"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insta à correção dos desequilíbrios de financiamento existentes dentro da UE, em particular a clivagem Este-Oeste, para os dois programas;</w:t>
      </w:r>
    </w:p>
    <w:p w14:paraId="40A1333F"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lastRenderedPageBreak/>
        <w:t>lamenta que o grupo de trabalho formal sobre o diálogo civil tenha sido eliminado do Regulamento AgoraEU e insta a que seja retomado;</w:t>
      </w:r>
    </w:p>
    <w:p w14:paraId="0337C2BE" w14:textId="24A9AF9E" w:rsidR="008D0052" w:rsidRDefault="008D0052" w:rsidP="00F65006">
      <w:pPr>
        <w:numPr>
          <w:ilvl w:val="0"/>
          <w:numId w:val="21"/>
        </w:numPr>
        <w:tabs>
          <w:tab w:val="clear" w:pos="720"/>
        </w:tabs>
        <w:overflowPunct w:val="0"/>
        <w:autoSpaceDE w:val="0"/>
        <w:autoSpaceDN w:val="0"/>
        <w:adjustRightInd w:val="0"/>
        <w:ind w:left="284" w:hanging="284"/>
        <w:textAlignment w:val="baseline"/>
      </w:pPr>
      <w:r>
        <w:t>salienta que o impacto do Programa AgoraEU e do Programa Justiça depende da existência de infraestruturas nacionais e quadros de cofinanciamento adequados e propõe que se associe o acesso aos fundos da UE em regime de gestão partilhada ao empenho demonstrado pelos Estados</w:t>
      </w:r>
      <w:r w:rsidR="001F2C88">
        <w:noBreakHyphen/>
      </w:r>
      <w:r>
        <w:t>Membros em apoiar os objetivos destes programas.</w:t>
      </w:r>
    </w:p>
    <w:p w14:paraId="1831EAE3" w14:textId="77777777" w:rsidR="00F65006" w:rsidRPr="008D0052" w:rsidRDefault="00F65006" w:rsidP="00054C58">
      <w:pPr>
        <w:overflowPunct w:val="0"/>
        <w:autoSpaceDE w:val="0"/>
        <w:autoSpaceDN w:val="0"/>
        <w:adjustRightInd w:val="0"/>
        <w:ind w:left="360"/>
        <w:textAlignment w:val="baseline"/>
        <w:rPr>
          <w:lang w:eastAsia="fr-BE"/>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610"/>
      </w:tblGrid>
      <w:tr w:rsidR="008D0052" w:rsidRPr="008D0052" w14:paraId="02CD12AD" w14:textId="77777777" w:rsidTr="008D2CCD">
        <w:tc>
          <w:tcPr>
            <w:tcW w:w="2093" w:type="dxa"/>
          </w:tcPr>
          <w:p w14:paraId="0D36B81C" w14:textId="77777777" w:rsidR="008D0052" w:rsidRPr="008D2CCD" w:rsidRDefault="008D0052" w:rsidP="008D0052">
            <w:pPr>
              <w:overflowPunct w:val="0"/>
              <w:autoSpaceDE w:val="0"/>
              <w:autoSpaceDN w:val="0"/>
              <w:adjustRightInd w:val="0"/>
              <w:spacing w:line="240" w:lineRule="auto"/>
              <w:textAlignment w:val="baseline"/>
              <w:rPr>
                <w:i/>
                <w:sz w:val="22"/>
                <w:szCs w:val="22"/>
              </w:rPr>
            </w:pPr>
            <w:r w:rsidRPr="008D2CCD">
              <w:rPr>
                <w:b/>
                <w:i/>
                <w:sz w:val="22"/>
                <w:szCs w:val="22"/>
              </w:rPr>
              <w:t>Contacto</w:t>
            </w:r>
          </w:p>
        </w:tc>
        <w:tc>
          <w:tcPr>
            <w:tcW w:w="3610" w:type="dxa"/>
          </w:tcPr>
          <w:p w14:paraId="0741CFC9" w14:textId="77777777" w:rsidR="008D0052" w:rsidRPr="008D2CCD" w:rsidRDefault="008D0052" w:rsidP="008D0052">
            <w:pPr>
              <w:overflowPunct w:val="0"/>
              <w:autoSpaceDE w:val="0"/>
              <w:autoSpaceDN w:val="0"/>
              <w:adjustRightInd w:val="0"/>
              <w:spacing w:line="240" w:lineRule="auto"/>
              <w:ind w:hanging="12"/>
              <w:textAlignment w:val="baseline"/>
              <w:rPr>
                <w:i/>
                <w:sz w:val="22"/>
                <w:szCs w:val="22"/>
              </w:rPr>
            </w:pPr>
            <w:r w:rsidRPr="008D2CCD">
              <w:rPr>
                <w:i/>
                <w:sz w:val="22"/>
                <w:szCs w:val="22"/>
              </w:rPr>
              <w:t>Alessia Cova</w:t>
            </w:r>
          </w:p>
        </w:tc>
      </w:tr>
      <w:tr w:rsidR="008D0052" w:rsidRPr="008D0052" w14:paraId="00343FBD" w14:textId="77777777" w:rsidTr="008D2CCD">
        <w:tc>
          <w:tcPr>
            <w:tcW w:w="2093" w:type="dxa"/>
          </w:tcPr>
          <w:p w14:paraId="10523811" w14:textId="77777777" w:rsidR="008D0052" w:rsidRPr="008D2CCD" w:rsidRDefault="008D0052" w:rsidP="008D0052">
            <w:pPr>
              <w:overflowPunct w:val="0"/>
              <w:autoSpaceDE w:val="0"/>
              <w:autoSpaceDN w:val="0"/>
              <w:adjustRightInd w:val="0"/>
              <w:spacing w:line="240" w:lineRule="auto"/>
              <w:textAlignment w:val="baseline"/>
              <w:rPr>
                <w:i/>
                <w:sz w:val="22"/>
                <w:szCs w:val="22"/>
              </w:rPr>
            </w:pPr>
            <w:r w:rsidRPr="008D2CCD">
              <w:rPr>
                <w:i/>
                <w:sz w:val="22"/>
                <w:szCs w:val="22"/>
              </w:rPr>
              <w:t>Tel.</w:t>
            </w:r>
          </w:p>
        </w:tc>
        <w:tc>
          <w:tcPr>
            <w:tcW w:w="3610" w:type="dxa"/>
          </w:tcPr>
          <w:p w14:paraId="3D3DA01D" w14:textId="77777777" w:rsidR="008D0052" w:rsidRPr="008D2CCD" w:rsidRDefault="008D0052" w:rsidP="008D0052">
            <w:pPr>
              <w:overflowPunct w:val="0"/>
              <w:autoSpaceDE w:val="0"/>
              <w:autoSpaceDN w:val="0"/>
              <w:adjustRightInd w:val="0"/>
              <w:spacing w:line="240" w:lineRule="auto"/>
              <w:textAlignment w:val="baseline"/>
              <w:rPr>
                <w:i/>
                <w:sz w:val="22"/>
                <w:szCs w:val="22"/>
              </w:rPr>
            </w:pPr>
            <w:r w:rsidRPr="008D2CCD">
              <w:rPr>
                <w:i/>
                <w:sz w:val="22"/>
                <w:szCs w:val="22"/>
              </w:rPr>
              <w:t>+32 2 546 94 26</w:t>
            </w:r>
          </w:p>
        </w:tc>
      </w:tr>
      <w:tr w:rsidR="008D0052" w:rsidRPr="008D0052" w14:paraId="6CB55D06" w14:textId="77777777" w:rsidTr="008D2CCD">
        <w:tc>
          <w:tcPr>
            <w:tcW w:w="2093" w:type="dxa"/>
          </w:tcPr>
          <w:p w14:paraId="6F7DF6B2" w14:textId="77777777" w:rsidR="008D0052" w:rsidRPr="008D2CCD" w:rsidRDefault="008D0052" w:rsidP="008D0052">
            <w:pPr>
              <w:overflowPunct w:val="0"/>
              <w:autoSpaceDE w:val="0"/>
              <w:autoSpaceDN w:val="0"/>
              <w:adjustRightInd w:val="0"/>
              <w:spacing w:line="240" w:lineRule="auto"/>
              <w:textAlignment w:val="baseline"/>
              <w:rPr>
                <w:i/>
                <w:sz w:val="22"/>
                <w:szCs w:val="22"/>
              </w:rPr>
            </w:pPr>
            <w:r w:rsidRPr="008D2CCD">
              <w:rPr>
                <w:i/>
                <w:sz w:val="22"/>
                <w:szCs w:val="22"/>
              </w:rPr>
              <w:t>Endereço eletrónico</w:t>
            </w:r>
          </w:p>
        </w:tc>
        <w:tc>
          <w:tcPr>
            <w:tcW w:w="3610" w:type="dxa"/>
          </w:tcPr>
          <w:p w14:paraId="4E6DFDFB" w14:textId="77777777" w:rsidR="008D0052" w:rsidRPr="008D2CCD" w:rsidRDefault="001D1405" w:rsidP="008D0052">
            <w:pPr>
              <w:overflowPunct w:val="0"/>
              <w:autoSpaceDE w:val="0"/>
              <w:autoSpaceDN w:val="0"/>
              <w:adjustRightInd w:val="0"/>
              <w:spacing w:line="240" w:lineRule="auto"/>
              <w:textAlignment w:val="baseline"/>
              <w:rPr>
                <w:i/>
                <w:iCs/>
                <w:sz w:val="22"/>
                <w:szCs w:val="22"/>
              </w:rPr>
            </w:pPr>
            <w:hyperlink r:id="rId23" w:history="1">
              <w:r w:rsidR="00645EDF" w:rsidRPr="008D2CCD">
                <w:rPr>
                  <w:i/>
                  <w:color w:val="0000FF"/>
                  <w:sz w:val="22"/>
                  <w:szCs w:val="22"/>
                  <w:u w:val="single"/>
                </w:rPr>
                <w:t>Alessia.Cova@eesc.europa.eu</w:t>
              </w:r>
            </w:hyperlink>
          </w:p>
        </w:tc>
      </w:tr>
    </w:tbl>
    <w:p w14:paraId="4982DDC5" w14:textId="52D9AB90" w:rsidR="008D2CCD" w:rsidRDefault="008D2CCD" w:rsidP="004D7AC0">
      <w:pPr>
        <w:spacing w:after="160" w:line="259" w:lineRule="auto"/>
        <w:jc w:val="left"/>
      </w:pPr>
    </w:p>
    <w:p w14:paraId="0397A116" w14:textId="77777777" w:rsidR="008D2CCD" w:rsidRDefault="008D2CCD">
      <w:pPr>
        <w:spacing w:after="160" w:line="259" w:lineRule="auto"/>
        <w:jc w:val="left"/>
      </w:pPr>
      <w:r>
        <w:br w:type="page"/>
      </w:r>
    </w:p>
    <w:p w14:paraId="4982DDC6" w14:textId="77777777" w:rsidR="004D7AC0" w:rsidRDefault="004D7AC0" w:rsidP="004D7AC0">
      <w:pPr>
        <w:pStyle w:val="Heading1"/>
        <w:rPr>
          <w:b/>
        </w:rPr>
      </w:pPr>
      <w:bookmarkStart w:id="11" w:name="_Toc24617160"/>
      <w:bookmarkStart w:id="12" w:name="_Toc75527082"/>
      <w:bookmarkStart w:id="13" w:name="_Toc217055916"/>
      <w:r>
        <w:rPr>
          <w:b/>
        </w:rPr>
        <w:lastRenderedPageBreak/>
        <w:t>TRANSPORTES, ENERGIA, INFRAESTRUTURAS E SOCIEDADE DA INFORMAÇÃO</w:t>
      </w:r>
      <w:bookmarkEnd w:id="11"/>
      <w:bookmarkEnd w:id="12"/>
      <w:bookmarkEnd w:id="13"/>
    </w:p>
    <w:p w14:paraId="4982DDC7" w14:textId="77777777" w:rsidR="004D7AC0" w:rsidRDefault="004D7AC0" w:rsidP="004D7AC0"/>
    <w:p w14:paraId="34EB6B62" w14:textId="6F247683" w:rsidR="00BC676C" w:rsidRPr="00BC676C" w:rsidRDefault="001D1405" w:rsidP="00BC676C">
      <w:pPr>
        <w:widowControl w:val="0"/>
        <w:numPr>
          <w:ilvl w:val="0"/>
          <w:numId w:val="4"/>
        </w:numPr>
        <w:overflowPunct w:val="0"/>
        <w:autoSpaceDE w:val="0"/>
        <w:autoSpaceDN w:val="0"/>
        <w:adjustRightInd w:val="0"/>
        <w:ind w:hanging="567"/>
        <w:textAlignment w:val="baseline"/>
        <w:rPr>
          <w:sz w:val="20"/>
          <w:szCs w:val="20"/>
        </w:rPr>
      </w:pPr>
      <w:hyperlink r:id="rId24" w:history="1">
        <w:r w:rsidR="00645EDF">
          <w:rPr>
            <w:b/>
            <w:i/>
            <w:color w:val="0000FF"/>
            <w:sz w:val="28"/>
            <w:u w:val="single"/>
          </w:rPr>
          <w:t xml:space="preserve">Classe de </w:t>
        </w:r>
        <w:r w:rsidR="00645EDF">
          <w:rPr>
            <w:b/>
            <w:i/>
            <w:color w:val="0000FF"/>
            <w:sz w:val="28"/>
            <w:u w:val="single"/>
          </w:rPr>
          <w:t>e</w:t>
        </w:r>
        <w:r w:rsidR="00645EDF">
          <w:rPr>
            <w:b/>
            <w:i/>
            <w:color w:val="0000FF"/>
            <w:sz w:val="28"/>
            <w:u w:val="single"/>
          </w:rPr>
          <w:t>mis</w:t>
        </w:r>
        <w:r w:rsidR="00645EDF">
          <w:rPr>
            <w:b/>
            <w:i/>
            <w:color w:val="0000FF"/>
            <w:sz w:val="28"/>
            <w:u w:val="single"/>
          </w:rPr>
          <w:t>s</w:t>
        </w:r>
        <w:r w:rsidR="00645EDF">
          <w:rPr>
            <w:b/>
            <w:i/>
            <w:color w:val="0000FF"/>
            <w:sz w:val="28"/>
            <w:u w:val="single"/>
          </w:rPr>
          <w:t>ões de CO</w:t>
        </w:r>
        <w:r w:rsidR="00645EDF">
          <w:rPr>
            <w:b/>
            <w:i/>
            <w:color w:val="0000FF"/>
            <w:sz w:val="28"/>
            <w:u w:val="single"/>
            <w:vertAlign w:val="subscript"/>
          </w:rPr>
          <w:t>2</w:t>
        </w:r>
        <w:r w:rsidR="00645EDF">
          <w:rPr>
            <w:b/>
            <w:i/>
            <w:color w:val="0000FF"/>
            <w:sz w:val="28"/>
            <w:u w:val="single"/>
          </w:rPr>
          <w:t xml:space="preserve"> dos veículos pesados com reboques</w:t>
        </w:r>
      </w:hyperlink>
    </w:p>
    <w:p w14:paraId="46836B10" w14:textId="77777777" w:rsidR="00BC676C" w:rsidRPr="00F5540C" w:rsidRDefault="00BC676C" w:rsidP="00BC676C">
      <w:pPr>
        <w:widowControl w:val="0"/>
        <w:overflowPunct w:val="0"/>
        <w:autoSpaceDE w:val="0"/>
        <w:autoSpaceDN w:val="0"/>
        <w:adjustRightInd w:val="0"/>
        <w:ind w:left="567"/>
        <w:textAlignment w:val="baseline"/>
        <w:rPr>
          <w:sz w:val="20"/>
          <w:szCs w:val="20"/>
        </w:rPr>
      </w:pPr>
    </w:p>
    <w:tbl>
      <w:tblPr>
        <w:tblStyle w:val="TableGrid5"/>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7621"/>
      </w:tblGrid>
      <w:tr w:rsidR="00BC676C" w:rsidRPr="00BC676C" w14:paraId="47E39230" w14:textId="77777777" w:rsidTr="008D2CCD">
        <w:tc>
          <w:tcPr>
            <w:tcW w:w="1593" w:type="dxa"/>
          </w:tcPr>
          <w:p w14:paraId="573F7BF1" w14:textId="77777777" w:rsidR="00BC676C" w:rsidRPr="008D2CCD" w:rsidRDefault="00BC676C" w:rsidP="00BC676C">
            <w:pPr>
              <w:tabs>
                <w:tab w:val="center" w:pos="284"/>
              </w:tabs>
              <w:overflowPunct w:val="0"/>
              <w:autoSpaceDE w:val="0"/>
              <w:autoSpaceDN w:val="0"/>
              <w:adjustRightInd w:val="0"/>
              <w:ind w:left="596" w:hanging="709"/>
              <w:textAlignment w:val="baseline"/>
              <w:rPr>
                <w:b/>
                <w:sz w:val="22"/>
                <w:szCs w:val="22"/>
              </w:rPr>
            </w:pPr>
            <w:r w:rsidRPr="008D2CCD">
              <w:rPr>
                <w:b/>
                <w:sz w:val="22"/>
                <w:szCs w:val="22"/>
              </w:rPr>
              <w:t>Referências</w:t>
            </w:r>
          </w:p>
        </w:tc>
        <w:tc>
          <w:tcPr>
            <w:tcW w:w="7621" w:type="dxa"/>
          </w:tcPr>
          <w:p w14:paraId="02FEC31D" w14:textId="2FEC81BF" w:rsidR="00F2608E" w:rsidRPr="008D2CCD" w:rsidRDefault="00F2608E" w:rsidP="00BC676C">
            <w:pPr>
              <w:tabs>
                <w:tab w:val="center" w:pos="284"/>
              </w:tabs>
              <w:overflowPunct w:val="0"/>
              <w:autoSpaceDE w:val="0"/>
              <w:autoSpaceDN w:val="0"/>
              <w:adjustRightInd w:val="0"/>
              <w:ind w:left="720" w:hanging="720"/>
              <w:textAlignment w:val="baseline"/>
              <w:rPr>
                <w:bCs/>
                <w:sz w:val="22"/>
                <w:szCs w:val="22"/>
              </w:rPr>
            </w:pPr>
            <w:r w:rsidRPr="008D2CCD">
              <w:rPr>
                <w:sz w:val="22"/>
                <w:szCs w:val="22"/>
              </w:rPr>
              <w:t>Parecer da categoria C</w:t>
            </w:r>
          </w:p>
          <w:p w14:paraId="3982A737" w14:textId="64E384F6" w:rsidR="00BC676C" w:rsidRPr="008D2CCD" w:rsidRDefault="00BC676C" w:rsidP="00BC676C">
            <w:pPr>
              <w:tabs>
                <w:tab w:val="center" w:pos="284"/>
              </w:tabs>
              <w:overflowPunct w:val="0"/>
              <w:autoSpaceDE w:val="0"/>
              <w:autoSpaceDN w:val="0"/>
              <w:adjustRightInd w:val="0"/>
              <w:ind w:left="720" w:hanging="720"/>
              <w:textAlignment w:val="baseline"/>
              <w:rPr>
                <w:bCs/>
                <w:sz w:val="22"/>
                <w:szCs w:val="22"/>
              </w:rPr>
            </w:pPr>
            <w:r w:rsidRPr="008D2CCD">
              <w:rPr>
                <w:sz w:val="22"/>
                <w:szCs w:val="22"/>
              </w:rPr>
              <w:t xml:space="preserve">COM(2025) 589 final </w:t>
            </w:r>
          </w:p>
          <w:p w14:paraId="6455BA93" w14:textId="77777777" w:rsidR="00BC676C" w:rsidRPr="008D2CCD" w:rsidRDefault="00BC676C" w:rsidP="00BC676C">
            <w:pPr>
              <w:tabs>
                <w:tab w:val="center" w:pos="284"/>
              </w:tabs>
              <w:overflowPunct w:val="0"/>
              <w:autoSpaceDE w:val="0"/>
              <w:autoSpaceDN w:val="0"/>
              <w:adjustRightInd w:val="0"/>
              <w:ind w:left="720" w:hanging="720"/>
              <w:textAlignment w:val="baseline"/>
              <w:rPr>
                <w:sz w:val="22"/>
                <w:szCs w:val="22"/>
              </w:rPr>
            </w:pPr>
            <w:r w:rsidRPr="008D2CCD">
              <w:rPr>
                <w:sz w:val="22"/>
                <w:szCs w:val="22"/>
              </w:rPr>
              <w:t>EESC-2023-03779-00-AC</w:t>
            </w:r>
          </w:p>
        </w:tc>
      </w:tr>
    </w:tbl>
    <w:p w14:paraId="006C0DCA" w14:textId="77777777" w:rsidR="00BC676C" w:rsidRPr="00BC676C" w:rsidRDefault="00BC676C" w:rsidP="00BC676C">
      <w:pPr>
        <w:keepNext/>
        <w:keepLines/>
        <w:tabs>
          <w:tab w:val="center" w:pos="284"/>
        </w:tabs>
        <w:overflowPunct w:val="0"/>
        <w:autoSpaceDE w:val="0"/>
        <w:autoSpaceDN w:val="0"/>
        <w:adjustRightInd w:val="0"/>
        <w:ind w:left="720" w:hanging="720"/>
        <w:textAlignment w:val="baseline"/>
        <w:rPr>
          <w:b/>
          <w:lang w:val="en-GB"/>
        </w:rPr>
      </w:pPr>
    </w:p>
    <w:p w14:paraId="4C59A366" w14:textId="77777777" w:rsidR="00BC676C" w:rsidRPr="00BC676C" w:rsidRDefault="00BC676C" w:rsidP="00BC676C">
      <w:pPr>
        <w:keepNext/>
        <w:keepLines/>
        <w:tabs>
          <w:tab w:val="center" w:pos="284"/>
        </w:tabs>
        <w:overflowPunct w:val="0"/>
        <w:autoSpaceDE w:val="0"/>
        <w:autoSpaceDN w:val="0"/>
        <w:adjustRightInd w:val="0"/>
        <w:ind w:left="720" w:hanging="720"/>
        <w:textAlignment w:val="baseline"/>
        <w:rPr>
          <w:b/>
        </w:rPr>
      </w:pPr>
      <w:r>
        <w:rPr>
          <w:b/>
        </w:rPr>
        <w:t>Pontos principais</w:t>
      </w:r>
    </w:p>
    <w:p w14:paraId="25DE4F8F" w14:textId="77777777" w:rsidR="00BC676C" w:rsidRPr="00BC676C" w:rsidRDefault="00BC676C" w:rsidP="00BC676C">
      <w:pPr>
        <w:keepNext/>
        <w:keepLines/>
        <w:tabs>
          <w:tab w:val="center" w:pos="284"/>
        </w:tabs>
        <w:overflowPunct w:val="0"/>
        <w:autoSpaceDE w:val="0"/>
        <w:autoSpaceDN w:val="0"/>
        <w:adjustRightInd w:val="0"/>
        <w:ind w:left="720" w:hanging="720"/>
        <w:textAlignment w:val="baseline"/>
        <w:rPr>
          <w:b/>
          <w:lang w:val="en-GB"/>
        </w:rPr>
      </w:pPr>
    </w:p>
    <w:p w14:paraId="5C9ED52C" w14:textId="77777777" w:rsidR="00BC676C" w:rsidRPr="00BC676C" w:rsidRDefault="00BC676C" w:rsidP="00BC676C">
      <w:pPr>
        <w:widowControl w:val="0"/>
        <w:numPr>
          <w:ilvl w:val="0"/>
          <w:numId w:val="4"/>
        </w:numPr>
        <w:overflowPunct w:val="0"/>
        <w:autoSpaceDE w:val="0"/>
        <w:autoSpaceDN w:val="0"/>
        <w:adjustRightInd w:val="0"/>
        <w:ind w:hanging="567"/>
        <w:textAlignment w:val="baseline"/>
        <w:rPr>
          <w:bCs/>
          <w:iCs/>
        </w:rPr>
      </w:pPr>
      <w:r>
        <w:t>Considerando que já se pronunciou sobre o conteúdo desta proposta no Parecer – Classe de emissões de CO</w:t>
      </w:r>
      <w:r>
        <w:rPr>
          <w:vertAlign w:val="subscript"/>
        </w:rPr>
        <w:t>2</w:t>
      </w:r>
      <w:r>
        <w:t xml:space="preserve"> dos veículos pesados com reboques (TEN/815, </w:t>
      </w:r>
      <w:hyperlink r:id="rId25" w:history="1">
        <w:r>
          <w:rPr>
            <w:color w:val="0000FF"/>
            <w:u w:val="single"/>
          </w:rPr>
          <w:t>C/2023/8</w:t>
        </w:r>
        <w:r>
          <w:rPr>
            <w:color w:val="0000FF"/>
            <w:u w:val="single"/>
          </w:rPr>
          <w:t>7</w:t>
        </w:r>
        <w:r>
          <w:rPr>
            <w:color w:val="0000FF"/>
            <w:u w:val="single"/>
          </w:rPr>
          <w:t>4</w:t>
        </w:r>
      </w:hyperlink>
      <w:r>
        <w:t>), adotado em 20 de setembro de 2023, o Comité decidiu não emitir parecer, remetendo para a posição defendida no documento mencionado.</w:t>
      </w:r>
    </w:p>
    <w:p w14:paraId="5464E9FA" w14:textId="77777777" w:rsidR="00BC676C" w:rsidRPr="00F5540C" w:rsidRDefault="00BC676C" w:rsidP="00BC676C">
      <w:pPr>
        <w:widowControl w:val="0"/>
        <w:overflowPunct w:val="0"/>
        <w:autoSpaceDE w:val="0"/>
        <w:autoSpaceDN w:val="0"/>
        <w:adjustRightInd w:val="0"/>
        <w:ind w:left="720" w:hanging="720"/>
        <w:textAlignment w:val="baseline"/>
        <w:rPr>
          <w:szCs w:val="20"/>
        </w:rPr>
      </w:pPr>
    </w:p>
    <w:tbl>
      <w:tblPr>
        <w:tblStyle w:val="TableGrid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229"/>
      </w:tblGrid>
      <w:tr w:rsidR="00BC676C" w:rsidRPr="00BC676C" w14:paraId="63E00060" w14:textId="77777777" w:rsidTr="008D2CCD">
        <w:tc>
          <w:tcPr>
            <w:tcW w:w="2093" w:type="dxa"/>
          </w:tcPr>
          <w:p w14:paraId="3E70F25D" w14:textId="77777777" w:rsidR="00BC676C" w:rsidRPr="008D2CCD" w:rsidRDefault="00BC676C" w:rsidP="00BC676C">
            <w:pPr>
              <w:overflowPunct w:val="0"/>
              <w:autoSpaceDE w:val="0"/>
              <w:autoSpaceDN w:val="0"/>
              <w:adjustRightInd w:val="0"/>
              <w:ind w:left="720" w:hanging="720"/>
              <w:textAlignment w:val="baseline"/>
              <w:rPr>
                <w:i/>
                <w:sz w:val="22"/>
                <w:szCs w:val="22"/>
              </w:rPr>
            </w:pPr>
            <w:r w:rsidRPr="008D2CCD">
              <w:rPr>
                <w:b/>
                <w:i/>
                <w:sz w:val="22"/>
                <w:szCs w:val="22"/>
              </w:rPr>
              <w:t>Contacto</w:t>
            </w:r>
          </w:p>
        </w:tc>
        <w:tc>
          <w:tcPr>
            <w:tcW w:w="7229" w:type="dxa"/>
          </w:tcPr>
          <w:p w14:paraId="0E0EABC3" w14:textId="609FD13C" w:rsidR="00BC676C" w:rsidRPr="008D2CCD" w:rsidRDefault="00BC676C" w:rsidP="00BC676C">
            <w:pPr>
              <w:overflowPunct w:val="0"/>
              <w:autoSpaceDE w:val="0"/>
              <w:autoSpaceDN w:val="0"/>
              <w:adjustRightInd w:val="0"/>
              <w:ind w:left="720" w:hanging="720"/>
              <w:textAlignment w:val="baseline"/>
              <w:rPr>
                <w:i/>
                <w:sz w:val="22"/>
                <w:szCs w:val="22"/>
              </w:rPr>
            </w:pPr>
            <w:r w:rsidRPr="008D2CCD">
              <w:rPr>
                <w:i/>
                <w:sz w:val="22"/>
                <w:szCs w:val="22"/>
              </w:rPr>
              <w:t>Maja Radman</w:t>
            </w:r>
          </w:p>
        </w:tc>
      </w:tr>
      <w:tr w:rsidR="00BC676C" w:rsidRPr="00BC676C" w14:paraId="10A1FE95" w14:textId="77777777" w:rsidTr="008D2CCD">
        <w:tc>
          <w:tcPr>
            <w:tcW w:w="2093" w:type="dxa"/>
          </w:tcPr>
          <w:p w14:paraId="237B46FB" w14:textId="77777777" w:rsidR="00BC676C" w:rsidRPr="008D2CCD" w:rsidRDefault="00BC676C" w:rsidP="00BC676C">
            <w:pPr>
              <w:overflowPunct w:val="0"/>
              <w:autoSpaceDE w:val="0"/>
              <w:autoSpaceDN w:val="0"/>
              <w:adjustRightInd w:val="0"/>
              <w:ind w:left="720" w:hanging="720"/>
              <w:textAlignment w:val="baseline"/>
              <w:rPr>
                <w:i/>
                <w:sz w:val="22"/>
                <w:szCs w:val="22"/>
              </w:rPr>
            </w:pPr>
            <w:r w:rsidRPr="008D2CCD">
              <w:rPr>
                <w:i/>
                <w:sz w:val="22"/>
                <w:szCs w:val="22"/>
              </w:rPr>
              <w:t>Tel.</w:t>
            </w:r>
          </w:p>
        </w:tc>
        <w:tc>
          <w:tcPr>
            <w:tcW w:w="7229" w:type="dxa"/>
          </w:tcPr>
          <w:p w14:paraId="4B5ED86F" w14:textId="1A85D926" w:rsidR="00BC676C" w:rsidRPr="008D2CCD" w:rsidRDefault="00BC676C" w:rsidP="00BC676C">
            <w:pPr>
              <w:overflowPunct w:val="0"/>
              <w:autoSpaceDE w:val="0"/>
              <w:autoSpaceDN w:val="0"/>
              <w:adjustRightInd w:val="0"/>
              <w:ind w:left="720" w:hanging="720"/>
              <w:textAlignment w:val="baseline"/>
              <w:rPr>
                <w:i/>
                <w:sz w:val="22"/>
                <w:szCs w:val="22"/>
              </w:rPr>
            </w:pPr>
            <w:r w:rsidRPr="008D2CCD">
              <w:rPr>
                <w:i/>
                <w:sz w:val="22"/>
                <w:szCs w:val="22"/>
              </w:rPr>
              <w:t>+32 2</w:t>
            </w:r>
            <w:r w:rsidR="008D2CCD">
              <w:rPr>
                <w:i/>
                <w:sz w:val="22"/>
                <w:szCs w:val="22"/>
              </w:rPr>
              <w:t xml:space="preserve"> </w:t>
            </w:r>
            <w:r w:rsidRPr="008D2CCD">
              <w:rPr>
                <w:i/>
                <w:sz w:val="22"/>
                <w:szCs w:val="22"/>
              </w:rPr>
              <w:t>546</w:t>
            </w:r>
            <w:r w:rsidR="008D2CCD">
              <w:rPr>
                <w:i/>
                <w:sz w:val="22"/>
                <w:szCs w:val="22"/>
              </w:rPr>
              <w:t xml:space="preserve"> </w:t>
            </w:r>
            <w:r w:rsidRPr="008D2CCD">
              <w:rPr>
                <w:i/>
                <w:sz w:val="22"/>
                <w:szCs w:val="22"/>
              </w:rPr>
              <w:t>90</w:t>
            </w:r>
            <w:r w:rsidR="008D2CCD">
              <w:rPr>
                <w:i/>
                <w:sz w:val="22"/>
                <w:szCs w:val="22"/>
              </w:rPr>
              <w:t xml:space="preserve"> </w:t>
            </w:r>
            <w:r w:rsidRPr="008D2CCD">
              <w:rPr>
                <w:sz w:val="22"/>
                <w:szCs w:val="22"/>
              </w:rPr>
              <w:t>51</w:t>
            </w:r>
          </w:p>
        </w:tc>
      </w:tr>
      <w:tr w:rsidR="00BC676C" w:rsidRPr="00BC676C" w14:paraId="31255C9B" w14:textId="77777777" w:rsidTr="008D2CCD">
        <w:tc>
          <w:tcPr>
            <w:tcW w:w="2093" w:type="dxa"/>
          </w:tcPr>
          <w:p w14:paraId="31B04EF4" w14:textId="77777777" w:rsidR="00BC676C" w:rsidRPr="008D2CCD" w:rsidRDefault="00BC676C" w:rsidP="00BC676C">
            <w:pPr>
              <w:overflowPunct w:val="0"/>
              <w:autoSpaceDE w:val="0"/>
              <w:autoSpaceDN w:val="0"/>
              <w:adjustRightInd w:val="0"/>
              <w:ind w:left="720" w:hanging="720"/>
              <w:textAlignment w:val="baseline"/>
              <w:rPr>
                <w:i/>
                <w:sz w:val="22"/>
                <w:szCs w:val="22"/>
              </w:rPr>
            </w:pPr>
            <w:r w:rsidRPr="008D2CCD">
              <w:rPr>
                <w:i/>
                <w:sz w:val="22"/>
                <w:szCs w:val="22"/>
              </w:rPr>
              <w:t>Endereço eletrónico</w:t>
            </w:r>
          </w:p>
        </w:tc>
        <w:tc>
          <w:tcPr>
            <w:tcW w:w="7229" w:type="dxa"/>
          </w:tcPr>
          <w:p w14:paraId="53D1C2A7" w14:textId="77777777" w:rsidR="00BC676C" w:rsidRPr="008D2CCD" w:rsidRDefault="001D1405" w:rsidP="00BC676C">
            <w:pPr>
              <w:overflowPunct w:val="0"/>
              <w:autoSpaceDE w:val="0"/>
              <w:autoSpaceDN w:val="0"/>
              <w:adjustRightInd w:val="0"/>
              <w:ind w:left="720" w:hanging="720"/>
              <w:textAlignment w:val="baseline"/>
              <w:rPr>
                <w:i/>
                <w:sz w:val="22"/>
                <w:szCs w:val="22"/>
              </w:rPr>
            </w:pPr>
            <w:hyperlink r:id="rId26" w:history="1">
              <w:r w:rsidR="00645EDF" w:rsidRPr="008D2CCD">
                <w:rPr>
                  <w:i/>
                  <w:color w:val="0000FF"/>
                  <w:sz w:val="22"/>
                  <w:szCs w:val="22"/>
                  <w:u w:val="single"/>
                </w:rPr>
                <w:t>Maja.Radman@eesc.europa.eu</w:t>
              </w:r>
            </w:hyperlink>
          </w:p>
        </w:tc>
      </w:tr>
    </w:tbl>
    <w:p w14:paraId="4982DDEF" w14:textId="77777777" w:rsidR="004D7AC0" w:rsidRDefault="004D7AC0" w:rsidP="004D7AC0">
      <w:pPr>
        <w:pStyle w:val="ListParagraph"/>
        <w:ind w:left="0"/>
      </w:pPr>
    </w:p>
    <w:p w14:paraId="4982DDF0" w14:textId="09A1E184" w:rsidR="0005334D" w:rsidRDefault="0005334D">
      <w:pPr>
        <w:spacing w:after="160" w:line="259" w:lineRule="auto"/>
        <w:jc w:val="left"/>
      </w:pPr>
      <w:r>
        <w:br w:type="page"/>
      </w:r>
    </w:p>
    <w:p w14:paraId="225530F0" w14:textId="77777777" w:rsidR="004D7AC0" w:rsidRDefault="004D7AC0" w:rsidP="004D7AC0">
      <w:pPr>
        <w:pStyle w:val="ListParagraph"/>
        <w:ind w:left="0"/>
      </w:pPr>
    </w:p>
    <w:p w14:paraId="15C6E6D3" w14:textId="0770B780" w:rsidR="0005334D" w:rsidRPr="0005334D" w:rsidRDefault="0005334D" w:rsidP="0005334D">
      <w:pPr>
        <w:widowControl w:val="0"/>
        <w:numPr>
          <w:ilvl w:val="0"/>
          <w:numId w:val="4"/>
        </w:numPr>
        <w:overflowPunct w:val="0"/>
        <w:autoSpaceDE w:val="0"/>
        <w:autoSpaceDN w:val="0"/>
        <w:adjustRightInd w:val="0"/>
        <w:ind w:hanging="567"/>
        <w:textAlignment w:val="baseline"/>
        <w:rPr>
          <w:color w:val="0000FF"/>
          <w:sz w:val="24"/>
          <w:szCs w:val="24"/>
          <w:u w:val="single"/>
        </w:rPr>
      </w:pPr>
      <w:r w:rsidRPr="0005334D">
        <w:rPr>
          <w:b/>
          <w:i/>
          <w:sz w:val="28"/>
        </w:rPr>
        <w:fldChar w:fldCharType="begin"/>
      </w:r>
      <w:r w:rsidRPr="0005334D">
        <w:rPr>
          <w:b/>
          <w:i/>
          <w:sz w:val="28"/>
        </w:rPr>
        <w:instrText xml:space="preserve"> HYPERLINK "https://www.eesc.europa.eu/en/our-work/opinions-information-reports/opinions/eu-space-act" </w:instrText>
      </w:r>
      <w:r w:rsidRPr="0005334D">
        <w:rPr>
          <w:b/>
          <w:i/>
          <w:sz w:val="28"/>
        </w:rPr>
        <w:fldChar w:fldCharType="separate"/>
      </w:r>
      <w:r>
        <w:rPr>
          <w:b/>
          <w:i/>
          <w:color w:val="0000FF"/>
          <w:sz w:val="28"/>
          <w:u w:val="single"/>
        </w:rPr>
        <w:t>Regulamento Espa</w:t>
      </w:r>
      <w:r>
        <w:rPr>
          <w:b/>
          <w:i/>
          <w:color w:val="0000FF"/>
          <w:sz w:val="28"/>
          <w:u w:val="single"/>
        </w:rPr>
        <w:t>c</w:t>
      </w:r>
      <w:r>
        <w:rPr>
          <w:b/>
          <w:i/>
          <w:color w:val="0000FF"/>
          <w:sz w:val="28"/>
          <w:u w:val="single"/>
        </w:rPr>
        <w:t>ial da UE</w:t>
      </w:r>
    </w:p>
    <w:p w14:paraId="0A91F32A" w14:textId="77777777" w:rsidR="0005334D" w:rsidRPr="0005334D" w:rsidRDefault="0005334D" w:rsidP="0005334D">
      <w:pPr>
        <w:tabs>
          <w:tab w:val="center" w:pos="284"/>
        </w:tabs>
        <w:overflowPunct w:val="0"/>
        <w:autoSpaceDE w:val="0"/>
        <w:autoSpaceDN w:val="0"/>
        <w:adjustRightInd w:val="0"/>
        <w:ind w:left="266" w:hanging="266"/>
        <w:textAlignment w:val="baseline"/>
        <w:rPr>
          <w:b/>
          <w:sz w:val="14"/>
        </w:rPr>
      </w:pPr>
      <w:r w:rsidRPr="0005334D">
        <w:rPr>
          <w:b/>
          <w:i/>
          <w:sz w:val="28"/>
        </w:rPr>
        <w:fldChar w:fldCharType="end"/>
      </w: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05334D" w:rsidRPr="0005334D" w14:paraId="0F0AF7C0" w14:textId="77777777" w:rsidTr="0036489A">
        <w:tc>
          <w:tcPr>
            <w:tcW w:w="1701" w:type="dxa"/>
          </w:tcPr>
          <w:p w14:paraId="1C2A42D0" w14:textId="77777777" w:rsidR="0005334D" w:rsidRPr="008D2CCD" w:rsidRDefault="0005334D" w:rsidP="0005334D">
            <w:pPr>
              <w:tabs>
                <w:tab w:val="center" w:pos="284"/>
              </w:tabs>
              <w:overflowPunct w:val="0"/>
              <w:autoSpaceDE w:val="0"/>
              <w:autoSpaceDN w:val="0"/>
              <w:adjustRightInd w:val="0"/>
              <w:ind w:left="266" w:hanging="266"/>
              <w:textAlignment w:val="baseline"/>
              <w:rPr>
                <w:b/>
                <w:sz w:val="22"/>
                <w:szCs w:val="22"/>
              </w:rPr>
            </w:pPr>
            <w:r w:rsidRPr="008D2CCD">
              <w:rPr>
                <w:b/>
                <w:sz w:val="22"/>
                <w:szCs w:val="22"/>
              </w:rPr>
              <w:t>Relator</w:t>
            </w:r>
          </w:p>
        </w:tc>
        <w:tc>
          <w:tcPr>
            <w:tcW w:w="5387" w:type="dxa"/>
          </w:tcPr>
          <w:p w14:paraId="1C51F404" w14:textId="0A3C4CB8" w:rsidR="0005334D" w:rsidRPr="008D2CCD" w:rsidRDefault="0005334D" w:rsidP="0005334D">
            <w:pPr>
              <w:tabs>
                <w:tab w:val="center" w:pos="284"/>
              </w:tabs>
              <w:overflowPunct w:val="0"/>
              <w:autoSpaceDE w:val="0"/>
              <w:autoSpaceDN w:val="0"/>
              <w:adjustRightInd w:val="0"/>
              <w:ind w:left="266" w:hanging="266"/>
              <w:textAlignment w:val="baseline"/>
              <w:rPr>
                <w:sz w:val="22"/>
                <w:szCs w:val="22"/>
              </w:rPr>
            </w:pPr>
            <w:r w:rsidRPr="008D2CCD">
              <w:rPr>
                <w:sz w:val="22"/>
                <w:szCs w:val="22"/>
              </w:rPr>
              <w:t>Angelo Pagliara (IT-Grupo dos Trabalhadores)</w:t>
            </w:r>
          </w:p>
        </w:tc>
      </w:tr>
      <w:tr w:rsidR="0005334D" w:rsidRPr="0005334D" w14:paraId="53E511CA" w14:textId="77777777" w:rsidTr="0036489A">
        <w:tc>
          <w:tcPr>
            <w:tcW w:w="7088" w:type="dxa"/>
            <w:gridSpan w:val="2"/>
          </w:tcPr>
          <w:p w14:paraId="32CF405E" w14:textId="77777777" w:rsidR="0005334D" w:rsidRPr="008D2CCD" w:rsidRDefault="0005334D" w:rsidP="0005334D">
            <w:pPr>
              <w:tabs>
                <w:tab w:val="center" w:pos="284"/>
              </w:tabs>
              <w:overflowPunct w:val="0"/>
              <w:autoSpaceDE w:val="0"/>
              <w:autoSpaceDN w:val="0"/>
              <w:adjustRightInd w:val="0"/>
              <w:spacing w:line="160" w:lineRule="exact"/>
              <w:ind w:left="266" w:hanging="266"/>
              <w:textAlignment w:val="baseline"/>
              <w:rPr>
                <w:sz w:val="22"/>
                <w:szCs w:val="22"/>
              </w:rPr>
            </w:pPr>
          </w:p>
        </w:tc>
      </w:tr>
      <w:tr w:rsidR="0005334D" w:rsidRPr="0005334D" w14:paraId="3F8991D4" w14:textId="77777777" w:rsidTr="0036489A">
        <w:tc>
          <w:tcPr>
            <w:tcW w:w="1701" w:type="dxa"/>
            <w:vMerge w:val="restart"/>
          </w:tcPr>
          <w:p w14:paraId="15E862B4" w14:textId="77777777" w:rsidR="0005334D" w:rsidRPr="008D2CCD" w:rsidRDefault="0005334D" w:rsidP="0005334D">
            <w:pPr>
              <w:tabs>
                <w:tab w:val="center" w:pos="284"/>
              </w:tabs>
              <w:overflowPunct w:val="0"/>
              <w:autoSpaceDE w:val="0"/>
              <w:autoSpaceDN w:val="0"/>
              <w:adjustRightInd w:val="0"/>
              <w:ind w:left="266" w:hanging="266"/>
              <w:textAlignment w:val="baseline"/>
              <w:rPr>
                <w:b/>
                <w:sz w:val="22"/>
                <w:szCs w:val="22"/>
              </w:rPr>
            </w:pPr>
            <w:r w:rsidRPr="008D2CCD">
              <w:rPr>
                <w:b/>
                <w:sz w:val="22"/>
                <w:szCs w:val="22"/>
              </w:rPr>
              <w:t xml:space="preserve">Referências </w:t>
            </w:r>
          </w:p>
        </w:tc>
        <w:tc>
          <w:tcPr>
            <w:tcW w:w="5387" w:type="dxa"/>
          </w:tcPr>
          <w:p w14:paraId="0F1F5196" w14:textId="4657F08E" w:rsidR="0005334D" w:rsidRPr="008D2CCD" w:rsidRDefault="0005334D" w:rsidP="0005334D">
            <w:pPr>
              <w:tabs>
                <w:tab w:val="center" w:pos="284"/>
              </w:tabs>
              <w:overflowPunct w:val="0"/>
              <w:autoSpaceDE w:val="0"/>
              <w:autoSpaceDN w:val="0"/>
              <w:adjustRightInd w:val="0"/>
              <w:ind w:left="266" w:hanging="266"/>
              <w:textAlignment w:val="baseline"/>
              <w:rPr>
                <w:sz w:val="22"/>
                <w:szCs w:val="22"/>
              </w:rPr>
            </w:pPr>
            <w:r w:rsidRPr="008D2CCD">
              <w:rPr>
                <w:sz w:val="22"/>
                <w:szCs w:val="22"/>
              </w:rPr>
              <w:t xml:space="preserve">COM(2025) 335 final </w:t>
            </w:r>
          </w:p>
        </w:tc>
      </w:tr>
      <w:tr w:rsidR="0005334D" w:rsidRPr="0005334D" w14:paraId="5CF8C9B4" w14:textId="77777777" w:rsidTr="0036489A">
        <w:tc>
          <w:tcPr>
            <w:tcW w:w="1701" w:type="dxa"/>
            <w:vMerge/>
          </w:tcPr>
          <w:p w14:paraId="1BAC3D8C" w14:textId="77777777" w:rsidR="0005334D" w:rsidRPr="008D2CCD" w:rsidRDefault="0005334D" w:rsidP="0005334D">
            <w:pPr>
              <w:tabs>
                <w:tab w:val="center" w:pos="284"/>
              </w:tabs>
              <w:overflowPunct w:val="0"/>
              <w:autoSpaceDE w:val="0"/>
              <w:autoSpaceDN w:val="0"/>
              <w:adjustRightInd w:val="0"/>
              <w:ind w:left="266" w:hanging="266"/>
              <w:textAlignment w:val="baseline"/>
              <w:rPr>
                <w:b/>
                <w:sz w:val="22"/>
                <w:szCs w:val="22"/>
              </w:rPr>
            </w:pPr>
          </w:p>
        </w:tc>
        <w:tc>
          <w:tcPr>
            <w:tcW w:w="5387" w:type="dxa"/>
          </w:tcPr>
          <w:p w14:paraId="39C1DAEF" w14:textId="77777777" w:rsidR="0005334D" w:rsidRPr="008D2CCD" w:rsidRDefault="0005334D" w:rsidP="0005334D">
            <w:pPr>
              <w:tabs>
                <w:tab w:val="center" w:pos="284"/>
              </w:tabs>
              <w:overflowPunct w:val="0"/>
              <w:autoSpaceDE w:val="0"/>
              <w:autoSpaceDN w:val="0"/>
              <w:adjustRightInd w:val="0"/>
              <w:ind w:left="266" w:hanging="266"/>
              <w:textAlignment w:val="baseline"/>
              <w:rPr>
                <w:sz w:val="22"/>
                <w:szCs w:val="22"/>
              </w:rPr>
            </w:pPr>
            <w:r w:rsidRPr="008D2CCD">
              <w:rPr>
                <w:sz w:val="22"/>
                <w:szCs w:val="22"/>
              </w:rPr>
              <w:t>EESC-2024-00225-00-00-AC</w:t>
            </w:r>
          </w:p>
        </w:tc>
      </w:tr>
    </w:tbl>
    <w:p w14:paraId="4F5EF826" w14:textId="77777777" w:rsidR="0005334D" w:rsidRPr="0005334D" w:rsidRDefault="0005334D" w:rsidP="0005334D">
      <w:pPr>
        <w:tabs>
          <w:tab w:val="center" w:pos="284"/>
        </w:tabs>
        <w:overflowPunct w:val="0"/>
        <w:autoSpaceDE w:val="0"/>
        <w:autoSpaceDN w:val="0"/>
        <w:adjustRightInd w:val="0"/>
        <w:ind w:left="266" w:hanging="266"/>
        <w:textAlignment w:val="baseline"/>
        <w:rPr>
          <w:sz w:val="14"/>
          <w:szCs w:val="14"/>
          <w:lang w:val="en-GB"/>
        </w:rPr>
      </w:pPr>
    </w:p>
    <w:p w14:paraId="0962AA04" w14:textId="77777777" w:rsidR="0005334D" w:rsidRPr="0005334D" w:rsidRDefault="0005334D" w:rsidP="0005334D">
      <w:pPr>
        <w:keepNext/>
        <w:keepLines/>
        <w:tabs>
          <w:tab w:val="center" w:pos="284"/>
        </w:tabs>
        <w:overflowPunct w:val="0"/>
        <w:autoSpaceDE w:val="0"/>
        <w:autoSpaceDN w:val="0"/>
        <w:adjustRightInd w:val="0"/>
        <w:ind w:left="266" w:hanging="266"/>
        <w:textAlignment w:val="baseline"/>
        <w:rPr>
          <w:b/>
        </w:rPr>
      </w:pPr>
      <w:r>
        <w:rPr>
          <w:b/>
        </w:rPr>
        <w:t>Pontos principais</w:t>
      </w:r>
    </w:p>
    <w:p w14:paraId="2921179F" w14:textId="77777777" w:rsidR="0005334D" w:rsidRPr="0005334D" w:rsidRDefault="0005334D" w:rsidP="0005334D">
      <w:pPr>
        <w:keepNext/>
        <w:keepLines/>
        <w:tabs>
          <w:tab w:val="center" w:pos="284"/>
        </w:tabs>
        <w:overflowPunct w:val="0"/>
        <w:autoSpaceDE w:val="0"/>
        <w:autoSpaceDN w:val="0"/>
        <w:adjustRightInd w:val="0"/>
        <w:ind w:left="266" w:hanging="266"/>
        <w:textAlignment w:val="baseline"/>
        <w:rPr>
          <w:b/>
          <w:lang w:val="en-GB"/>
        </w:rPr>
      </w:pPr>
    </w:p>
    <w:p w14:paraId="75940321" w14:textId="77777777" w:rsidR="0005334D" w:rsidRPr="0005334D" w:rsidRDefault="0005334D" w:rsidP="0005334D">
      <w:pPr>
        <w:overflowPunct w:val="0"/>
        <w:autoSpaceDE w:val="0"/>
        <w:autoSpaceDN w:val="0"/>
        <w:adjustRightInd w:val="0"/>
        <w:textAlignment w:val="baseline"/>
        <w:rPr>
          <w:bCs/>
          <w:iCs/>
        </w:rPr>
      </w:pPr>
      <w:r>
        <w:t>O Comité Económico e Social Europeu:</w:t>
      </w:r>
    </w:p>
    <w:p w14:paraId="4A48F70F" w14:textId="77777777" w:rsidR="0005334D" w:rsidRPr="00F5540C" w:rsidRDefault="0005334D" w:rsidP="0005334D">
      <w:pPr>
        <w:overflowPunct w:val="0"/>
        <w:autoSpaceDE w:val="0"/>
        <w:autoSpaceDN w:val="0"/>
        <w:adjustRightInd w:val="0"/>
        <w:textAlignment w:val="baseline"/>
        <w:rPr>
          <w:bCs/>
          <w:iCs/>
        </w:rPr>
      </w:pPr>
    </w:p>
    <w:p w14:paraId="6C3ACDD8"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recomenda um </w:t>
      </w:r>
      <w:r>
        <w:rPr>
          <w:b/>
        </w:rPr>
        <w:t>reforço</w:t>
      </w:r>
      <w:r>
        <w:t xml:space="preserve"> estrutural e imediato </w:t>
      </w:r>
      <w:r>
        <w:rPr>
          <w:b/>
        </w:rPr>
        <w:t>do investimento público europeu no espaço</w:t>
      </w:r>
      <w:r>
        <w:t xml:space="preserve"> e um aumento do investimento espacial </w:t>
      </w:r>
      <w:r>
        <w:rPr>
          <w:b/>
        </w:rPr>
        <w:t>para, pelo menos, 0,2% do produto interno bruto (PIB) até 2030</w:t>
      </w:r>
      <w:r>
        <w:t>;</w:t>
      </w:r>
    </w:p>
    <w:p w14:paraId="26F7B7AE"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recomenda que se </w:t>
      </w:r>
      <w:r>
        <w:rPr>
          <w:b/>
        </w:rPr>
        <w:t>clarifique a forma como o artigo 114.º do Tratado pode servir de base jurídica para o mercado interno de produtos, serviços e dados relacionados com o espaço</w:t>
      </w:r>
      <w:r>
        <w:t xml:space="preserve">; propõe a introdução de uma cláusula que determine que as disposições do Regulamento Espacial da UE devem ser interpretadas à luz das </w:t>
      </w:r>
      <w:r>
        <w:rPr>
          <w:b/>
        </w:rPr>
        <w:t>obrigações internacionais já contraídas pelos Estados Membros</w:t>
      </w:r>
      <w:r>
        <w:t>;</w:t>
      </w:r>
    </w:p>
    <w:p w14:paraId="084E4A62"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recomenda que se clarifiquem </w:t>
      </w:r>
      <w:r>
        <w:rPr>
          <w:b/>
        </w:rPr>
        <w:t>as razões pelas quais o título I se refere apenas ao critério do Estado de estabelecimento do operador</w:t>
      </w:r>
      <w:r>
        <w:t xml:space="preserve"> ou do operador espacial de um país terceiro, sem fazer qualquer referência ao Estado de nacionalidade; recomenda que se </w:t>
      </w:r>
      <w:r>
        <w:rPr>
          <w:b/>
        </w:rPr>
        <w:t>clarifique o artigo 6.º, n.º 3, a fim de assegurar uma melhor articulação com as legislações espaciais dos Estados-Membros</w:t>
      </w:r>
      <w:r>
        <w:t xml:space="preserve"> que determinam os operadores obrigados a obter autorização para atividades espaciais com base na nacionalidade ou no território a partir do qual a atividade espacial é exercida;</w:t>
      </w:r>
    </w:p>
    <w:p w14:paraId="3E883F9C"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recomenda que se </w:t>
      </w:r>
      <w:r>
        <w:rPr>
          <w:b/>
        </w:rPr>
        <w:t>clarifique, no título II, o funcionamento das derrogações e margens de flexibilidade no processo de autorização</w:t>
      </w:r>
      <w:r>
        <w:t>, especificando os prazos processuais, a aplicabilidade a missões não comerciais, os poderes de inspeção da Comissão e o papel operacional da Agência Espacial Europeia (ESA) e da Agência da União Europeia para o Programa Espacial (EUSPA);</w:t>
      </w:r>
    </w:p>
    <w:p w14:paraId="0BFD0B62"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recomenda que se definam com precisão </w:t>
      </w:r>
      <w:r>
        <w:rPr>
          <w:b/>
        </w:rPr>
        <w:t>os limites dentro dos quais os Estados-Membros podem impor requisitos mais rigorosos</w:t>
      </w:r>
      <w:r>
        <w:t xml:space="preserve"> no que diz respeito à livre circulação de dados e serviços espaciais na União;</w:t>
      </w:r>
    </w:p>
    <w:p w14:paraId="05AA5B90"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salienta a necessidade de </w:t>
      </w:r>
      <w:r>
        <w:rPr>
          <w:b/>
        </w:rPr>
        <w:t>reforçar o reconhecimento mútuo e de regras comuns para evitar a fragmentação</w:t>
      </w:r>
      <w:r>
        <w:t xml:space="preserve"> e os obstáculos burocráticos;</w:t>
      </w:r>
    </w:p>
    <w:p w14:paraId="73875630"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recomenda que se </w:t>
      </w:r>
      <w:r>
        <w:rPr>
          <w:b/>
        </w:rPr>
        <w:t>articule a estratégia espacial europeia com a autonomia estratégica europeia</w:t>
      </w:r>
      <w:r>
        <w:t xml:space="preserve"> e se promova </w:t>
      </w:r>
      <w:r>
        <w:rPr>
          <w:b/>
        </w:rPr>
        <w:t>ecossistemas complementares e o efeito multiplicador da economia espacial</w:t>
      </w:r>
      <w:r>
        <w:t xml:space="preserve"> a favor de setores específicos;</w:t>
      </w:r>
    </w:p>
    <w:p w14:paraId="2A025617"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recomenda o desenvolvimento de uma </w:t>
      </w:r>
      <w:r>
        <w:rPr>
          <w:b/>
        </w:rPr>
        <w:t>estratégia integrada para as competências e o emprego no domínio espacial</w:t>
      </w:r>
      <w:r>
        <w:t xml:space="preserve"> e a adoção de uma </w:t>
      </w:r>
      <w:r>
        <w:rPr>
          <w:b/>
        </w:rPr>
        <w:t>agenda europeia de competências espaciais</w:t>
      </w:r>
      <w:r>
        <w:t>;</w:t>
      </w:r>
    </w:p>
    <w:p w14:paraId="36AD8480"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solicita que se assegurem recursos adequados para o </w:t>
      </w:r>
      <w:r>
        <w:rPr>
          <w:b/>
        </w:rPr>
        <w:t>reforço operacional da EUSPA</w:t>
      </w:r>
      <w:r>
        <w:t xml:space="preserve"> no próximo Quadro Financeiro Plurianual 2028-2034.</w:t>
      </w:r>
    </w:p>
    <w:p w14:paraId="39C0FBAA" w14:textId="77777777" w:rsidR="0005334D" w:rsidRPr="00F5540C" w:rsidRDefault="0005334D" w:rsidP="0005334D">
      <w:pPr>
        <w:widowControl w:val="0"/>
        <w:overflowPunct w:val="0"/>
        <w:autoSpaceDE w:val="0"/>
        <w:autoSpaceDN w:val="0"/>
        <w:adjustRightInd w:val="0"/>
        <w:ind w:left="709"/>
        <w:textAlignment w:val="baseline"/>
        <w:rPr>
          <w:sz w:val="14"/>
          <w:szCs w:val="12"/>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4995"/>
      </w:tblGrid>
      <w:tr w:rsidR="0005334D" w:rsidRPr="0005334D" w14:paraId="2E1C4F7A" w14:textId="77777777" w:rsidTr="008D2CCD">
        <w:tc>
          <w:tcPr>
            <w:tcW w:w="2093" w:type="dxa"/>
          </w:tcPr>
          <w:p w14:paraId="3B838871" w14:textId="77777777" w:rsidR="0005334D" w:rsidRPr="008D2CCD" w:rsidRDefault="0005334D" w:rsidP="0005334D">
            <w:pPr>
              <w:overflowPunct w:val="0"/>
              <w:autoSpaceDE w:val="0"/>
              <w:autoSpaceDN w:val="0"/>
              <w:adjustRightInd w:val="0"/>
              <w:textAlignment w:val="baseline"/>
              <w:rPr>
                <w:i/>
                <w:sz w:val="22"/>
                <w:szCs w:val="22"/>
              </w:rPr>
            </w:pPr>
            <w:r w:rsidRPr="008D2CCD">
              <w:rPr>
                <w:b/>
                <w:i/>
                <w:sz w:val="22"/>
                <w:szCs w:val="22"/>
              </w:rPr>
              <w:t>Contacto</w:t>
            </w:r>
          </w:p>
        </w:tc>
        <w:tc>
          <w:tcPr>
            <w:tcW w:w="4995" w:type="dxa"/>
          </w:tcPr>
          <w:p w14:paraId="40162F2B" w14:textId="77777777" w:rsidR="0005334D" w:rsidRPr="008D2CCD" w:rsidRDefault="0005334D" w:rsidP="0005334D">
            <w:pPr>
              <w:overflowPunct w:val="0"/>
              <w:autoSpaceDE w:val="0"/>
              <w:autoSpaceDN w:val="0"/>
              <w:adjustRightInd w:val="0"/>
              <w:textAlignment w:val="baseline"/>
              <w:rPr>
                <w:i/>
                <w:sz w:val="22"/>
                <w:szCs w:val="22"/>
              </w:rPr>
            </w:pPr>
            <w:r w:rsidRPr="008D2CCD">
              <w:rPr>
                <w:i/>
                <w:sz w:val="22"/>
                <w:szCs w:val="22"/>
              </w:rPr>
              <w:t>Giorgia Bordignon</w:t>
            </w:r>
          </w:p>
        </w:tc>
      </w:tr>
      <w:tr w:rsidR="0005334D" w:rsidRPr="0005334D" w14:paraId="362A9B5A" w14:textId="77777777" w:rsidTr="008D2CCD">
        <w:tc>
          <w:tcPr>
            <w:tcW w:w="2093" w:type="dxa"/>
          </w:tcPr>
          <w:p w14:paraId="0F21C068" w14:textId="77777777" w:rsidR="0005334D" w:rsidRPr="008D2CCD" w:rsidRDefault="0005334D" w:rsidP="0005334D">
            <w:pPr>
              <w:overflowPunct w:val="0"/>
              <w:autoSpaceDE w:val="0"/>
              <w:autoSpaceDN w:val="0"/>
              <w:adjustRightInd w:val="0"/>
              <w:textAlignment w:val="baseline"/>
              <w:rPr>
                <w:i/>
                <w:sz w:val="22"/>
                <w:szCs w:val="22"/>
              </w:rPr>
            </w:pPr>
            <w:r w:rsidRPr="008D2CCD">
              <w:rPr>
                <w:i/>
                <w:sz w:val="22"/>
                <w:szCs w:val="22"/>
              </w:rPr>
              <w:t>Tel.</w:t>
            </w:r>
          </w:p>
        </w:tc>
        <w:tc>
          <w:tcPr>
            <w:tcW w:w="4995" w:type="dxa"/>
          </w:tcPr>
          <w:p w14:paraId="1CDF1B64" w14:textId="77777777" w:rsidR="0005334D" w:rsidRPr="008D2CCD" w:rsidRDefault="0005334D" w:rsidP="0005334D">
            <w:pPr>
              <w:overflowPunct w:val="0"/>
              <w:autoSpaceDE w:val="0"/>
              <w:autoSpaceDN w:val="0"/>
              <w:adjustRightInd w:val="0"/>
              <w:textAlignment w:val="baseline"/>
              <w:rPr>
                <w:i/>
                <w:sz w:val="22"/>
                <w:szCs w:val="22"/>
              </w:rPr>
            </w:pPr>
            <w:r w:rsidRPr="008D2CCD">
              <w:rPr>
                <w:i/>
                <w:sz w:val="22"/>
                <w:szCs w:val="22"/>
              </w:rPr>
              <w:t>+32 2 546 85 35</w:t>
            </w:r>
          </w:p>
        </w:tc>
      </w:tr>
      <w:tr w:rsidR="0005334D" w:rsidRPr="0005334D" w14:paraId="2C7002E1" w14:textId="77777777" w:rsidTr="008D2CCD">
        <w:tc>
          <w:tcPr>
            <w:tcW w:w="2093" w:type="dxa"/>
          </w:tcPr>
          <w:p w14:paraId="1B96A53D" w14:textId="36B45CE4" w:rsidR="0005334D" w:rsidRPr="008D2CCD" w:rsidRDefault="008C414B" w:rsidP="0005334D">
            <w:pPr>
              <w:overflowPunct w:val="0"/>
              <w:autoSpaceDE w:val="0"/>
              <w:autoSpaceDN w:val="0"/>
              <w:adjustRightInd w:val="0"/>
              <w:textAlignment w:val="baseline"/>
              <w:rPr>
                <w:i/>
                <w:sz w:val="22"/>
                <w:szCs w:val="22"/>
              </w:rPr>
            </w:pPr>
            <w:r w:rsidRPr="008D2CCD">
              <w:rPr>
                <w:i/>
                <w:sz w:val="22"/>
                <w:szCs w:val="22"/>
              </w:rPr>
              <w:t>Endereço eletrónico</w:t>
            </w:r>
          </w:p>
        </w:tc>
        <w:tc>
          <w:tcPr>
            <w:tcW w:w="4995" w:type="dxa"/>
          </w:tcPr>
          <w:p w14:paraId="7D4DCAF5" w14:textId="77777777" w:rsidR="0005334D" w:rsidRPr="008D2CCD" w:rsidRDefault="001D1405" w:rsidP="0005334D">
            <w:pPr>
              <w:overflowPunct w:val="0"/>
              <w:autoSpaceDE w:val="0"/>
              <w:autoSpaceDN w:val="0"/>
              <w:adjustRightInd w:val="0"/>
              <w:textAlignment w:val="baseline"/>
              <w:rPr>
                <w:i/>
                <w:sz w:val="22"/>
                <w:szCs w:val="22"/>
              </w:rPr>
            </w:pPr>
            <w:hyperlink r:id="rId27" w:history="1">
              <w:r w:rsidR="00645EDF" w:rsidRPr="008D2CCD">
                <w:rPr>
                  <w:i/>
                  <w:color w:val="0000FF"/>
                  <w:sz w:val="22"/>
                  <w:szCs w:val="22"/>
                  <w:u w:val="single"/>
                </w:rPr>
                <w:t>GiorgiaAndrea.Bordignon@eesc.europa.eu</w:t>
              </w:r>
            </w:hyperlink>
            <w:r w:rsidR="00645EDF" w:rsidRPr="008D2CCD">
              <w:rPr>
                <w:i/>
                <w:sz w:val="22"/>
                <w:szCs w:val="22"/>
              </w:rPr>
              <w:t xml:space="preserve"> </w:t>
            </w:r>
          </w:p>
        </w:tc>
      </w:tr>
    </w:tbl>
    <w:p w14:paraId="7416E75B" w14:textId="77777777" w:rsidR="00B8543B" w:rsidRDefault="00B8543B">
      <w:pPr>
        <w:spacing w:after="160" w:line="259" w:lineRule="auto"/>
        <w:jc w:val="left"/>
      </w:pPr>
      <w:r>
        <w:br w:type="page"/>
      </w:r>
    </w:p>
    <w:p w14:paraId="77FAB844" w14:textId="405C607C" w:rsidR="00B8543B" w:rsidRPr="00B8543B" w:rsidRDefault="001D1405" w:rsidP="00B8543B">
      <w:pPr>
        <w:widowControl w:val="0"/>
        <w:numPr>
          <w:ilvl w:val="0"/>
          <w:numId w:val="4"/>
        </w:numPr>
        <w:overflowPunct w:val="0"/>
        <w:autoSpaceDE w:val="0"/>
        <w:autoSpaceDN w:val="0"/>
        <w:adjustRightInd w:val="0"/>
        <w:ind w:hanging="567"/>
        <w:textAlignment w:val="baseline"/>
        <w:rPr>
          <w:sz w:val="20"/>
          <w:szCs w:val="20"/>
        </w:rPr>
      </w:pPr>
      <w:hyperlink r:id="rId28" w:history="1">
        <w:r w:rsidR="00645EDF">
          <w:rPr>
            <w:b/>
            <w:i/>
            <w:color w:val="0000FF"/>
            <w:sz w:val="28"/>
            <w:u w:val="single"/>
          </w:rPr>
          <w:t>Program</w:t>
        </w:r>
        <w:r w:rsidR="00645EDF">
          <w:rPr>
            <w:b/>
            <w:i/>
            <w:color w:val="0000FF"/>
            <w:sz w:val="28"/>
            <w:u w:val="single"/>
          </w:rPr>
          <w:t>a</w:t>
        </w:r>
        <w:r w:rsidR="00645EDF">
          <w:rPr>
            <w:b/>
            <w:i/>
            <w:color w:val="0000FF"/>
            <w:sz w:val="28"/>
            <w:u w:val="single"/>
          </w:rPr>
          <w:t xml:space="preserve"> Indicativo Nuclear</w:t>
        </w:r>
      </w:hyperlink>
    </w:p>
    <w:p w14:paraId="687BF486" w14:textId="77777777" w:rsidR="00B8543B" w:rsidRPr="00B8543B" w:rsidRDefault="00B8543B" w:rsidP="00B8543B">
      <w:pPr>
        <w:tabs>
          <w:tab w:val="center" w:pos="284"/>
        </w:tabs>
        <w:overflowPunct w:val="0"/>
        <w:autoSpaceDE w:val="0"/>
        <w:autoSpaceDN w:val="0"/>
        <w:adjustRightInd w:val="0"/>
        <w:ind w:left="266" w:hanging="266"/>
        <w:textAlignment w:val="baseline"/>
        <w:rPr>
          <w:b/>
          <w:lang w:val="en-GB"/>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B8543B" w:rsidRPr="00B8543B" w14:paraId="6BF7DB04" w14:textId="77777777" w:rsidTr="0036489A">
        <w:tc>
          <w:tcPr>
            <w:tcW w:w="1951" w:type="dxa"/>
          </w:tcPr>
          <w:p w14:paraId="7660A134" w14:textId="77777777" w:rsidR="00B8543B" w:rsidRPr="008D2CCD" w:rsidRDefault="00B8543B" w:rsidP="00B8543B">
            <w:pPr>
              <w:tabs>
                <w:tab w:val="center" w:pos="284"/>
              </w:tabs>
              <w:overflowPunct w:val="0"/>
              <w:autoSpaceDE w:val="0"/>
              <w:autoSpaceDN w:val="0"/>
              <w:adjustRightInd w:val="0"/>
              <w:ind w:left="266" w:hanging="266"/>
              <w:textAlignment w:val="baseline"/>
              <w:rPr>
                <w:b/>
                <w:sz w:val="22"/>
                <w:szCs w:val="22"/>
              </w:rPr>
            </w:pPr>
            <w:r w:rsidRPr="008D2CCD">
              <w:rPr>
                <w:b/>
                <w:sz w:val="22"/>
                <w:szCs w:val="22"/>
              </w:rPr>
              <w:t>Relator</w:t>
            </w:r>
          </w:p>
        </w:tc>
        <w:tc>
          <w:tcPr>
            <w:tcW w:w="7229" w:type="dxa"/>
          </w:tcPr>
          <w:p w14:paraId="741530A3" w14:textId="32EE3DBA" w:rsidR="00B8543B" w:rsidRPr="008D2CCD" w:rsidRDefault="00B8543B" w:rsidP="00B8543B">
            <w:pPr>
              <w:tabs>
                <w:tab w:val="center" w:pos="284"/>
              </w:tabs>
              <w:overflowPunct w:val="0"/>
              <w:autoSpaceDE w:val="0"/>
              <w:autoSpaceDN w:val="0"/>
              <w:adjustRightInd w:val="0"/>
              <w:ind w:left="266" w:hanging="266"/>
              <w:textAlignment w:val="baseline"/>
              <w:rPr>
                <w:sz w:val="22"/>
                <w:szCs w:val="22"/>
              </w:rPr>
            </w:pPr>
            <w:r w:rsidRPr="008D2CCD">
              <w:rPr>
                <w:sz w:val="22"/>
                <w:szCs w:val="22"/>
              </w:rPr>
              <w:t>Dumitru Fornea (RO-Grupo dos Trabalhadores)</w:t>
            </w:r>
          </w:p>
        </w:tc>
      </w:tr>
      <w:tr w:rsidR="00B8543B" w:rsidRPr="00B8543B" w14:paraId="1EF069F7" w14:textId="77777777" w:rsidTr="0036489A">
        <w:tc>
          <w:tcPr>
            <w:tcW w:w="1951" w:type="dxa"/>
          </w:tcPr>
          <w:p w14:paraId="1E9A27C2" w14:textId="77777777" w:rsidR="00B8543B" w:rsidRPr="008D2CCD" w:rsidRDefault="00B8543B" w:rsidP="00B8543B">
            <w:pPr>
              <w:tabs>
                <w:tab w:val="center" w:pos="284"/>
              </w:tabs>
              <w:overflowPunct w:val="0"/>
              <w:autoSpaceDE w:val="0"/>
              <w:autoSpaceDN w:val="0"/>
              <w:adjustRightInd w:val="0"/>
              <w:ind w:left="266" w:hanging="266"/>
              <w:textAlignment w:val="baseline"/>
              <w:rPr>
                <w:b/>
                <w:sz w:val="22"/>
                <w:szCs w:val="22"/>
              </w:rPr>
            </w:pPr>
            <w:r w:rsidRPr="008D2CCD">
              <w:rPr>
                <w:b/>
                <w:sz w:val="22"/>
                <w:szCs w:val="22"/>
              </w:rPr>
              <w:t>Correlator</w:t>
            </w:r>
          </w:p>
        </w:tc>
        <w:tc>
          <w:tcPr>
            <w:tcW w:w="7229" w:type="dxa"/>
          </w:tcPr>
          <w:p w14:paraId="6C41DC74" w14:textId="6480631B" w:rsidR="00B8543B" w:rsidRPr="008D2CCD" w:rsidRDefault="00B8543B" w:rsidP="00B8543B">
            <w:pPr>
              <w:tabs>
                <w:tab w:val="center" w:pos="284"/>
              </w:tabs>
              <w:overflowPunct w:val="0"/>
              <w:autoSpaceDE w:val="0"/>
              <w:autoSpaceDN w:val="0"/>
              <w:adjustRightInd w:val="0"/>
              <w:ind w:left="266" w:hanging="266"/>
              <w:textAlignment w:val="baseline"/>
              <w:rPr>
                <w:sz w:val="22"/>
                <w:szCs w:val="22"/>
              </w:rPr>
            </w:pPr>
            <w:r w:rsidRPr="008D2CCD">
              <w:rPr>
                <w:sz w:val="22"/>
                <w:szCs w:val="22"/>
              </w:rPr>
              <w:t>Alena Mastantuono (CZ</w:t>
            </w:r>
            <w:r w:rsidR="008D2CCD">
              <w:rPr>
                <w:sz w:val="22"/>
                <w:szCs w:val="22"/>
              </w:rPr>
              <w:t>-</w:t>
            </w:r>
            <w:r w:rsidRPr="008D2CCD">
              <w:rPr>
                <w:sz w:val="22"/>
                <w:szCs w:val="22"/>
              </w:rPr>
              <w:t>Grupo dos Empregadores)</w:t>
            </w:r>
          </w:p>
          <w:p w14:paraId="1AF40855" w14:textId="47D44167" w:rsidR="00F104CA" w:rsidRPr="008D2CCD" w:rsidRDefault="00F104CA" w:rsidP="00B8543B">
            <w:pPr>
              <w:tabs>
                <w:tab w:val="center" w:pos="284"/>
              </w:tabs>
              <w:overflowPunct w:val="0"/>
              <w:autoSpaceDE w:val="0"/>
              <w:autoSpaceDN w:val="0"/>
              <w:adjustRightInd w:val="0"/>
              <w:ind w:left="266" w:hanging="266"/>
              <w:textAlignment w:val="baseline"/>
              <w:rPr>
                <w:sz w:val="22"/>
                <w:szCs w:val="22"/>
              </w:rPr>
            </w:pPr>
          </w:p>
        </w:tc>
      </w:tr>
      <w:tr w:rsidR="00B8543B" w:rsidRPr="00B8543B" w14:paraId="6C9EC1C7" w14:textId="77777777" w:rsidTr="0036489A">
        <w:tc>
          <w:tcPr>
            <w:tcW w:w="1951" w:type="dxa"/>
          </w:tcPr>
          <w:p w14:paraId="081DEE58" w14:textId="77777777" w:rsidR="00B8543B" w:rsidRPr="008D2CCD" w:rsidRDefault="00B8543B" w:rsidP="00B8543B">
            <w:pPr>
              <w:tabs>
                <w:tab w:val="center" w:pos="284"/>
              </w:tabs>
              <w:overflowPunct w:val="0"/>
              <w:autoSpaceDE w:val="0"/>
              <w:autoSpaceDN w:val="0"/>
              <w:adjustRightInd w:val="0"/>
              <w:ind w:left="266" w:hanging="266"/>
              <w:textAlignment w:val="baseline"/>
              <w:rPr>
                <w:b/>
                <w:sz w:val="22"/>
                <w:szCs w:val="22"/>
              </w:rPr>
            </w:pPr>
            <w:r w:rsidRPr="008D2CCD">
              <w:rPr>
                <w:b/>
                <w:sz w:val="22"/>
                <w:szCs w:val="22"/>
              </w:rPr>
              <w:t>Referências</w:t>
            </w:r>
          </w:p>
        </w:tc>
        <w:tc>
          <w:tcPr>
            <w:tcW w:w="7229" w:type="dxa"/>
          </w:tcPr>
          <w:p w14:paraId="7F4D4FA0" w14:textId="77777777" w:rsidR="00B8543B" w:rsidRPr="008D2CCD" w:rsidRDefault="00B8543B" w:rsidP="00B8543B">
            <w:pPr>
              <w:tabs>
                <w:tab w:val="center" w:pos="284"/>
              </w:tabs>
              <w:overflowPunct w:val="0"/>
              <w:autoSpaceDE w:val="0"/>
              <w:autoSpaceDN w:val="0"/>
              <w:adjustRightInd w:val="0"/>
              <w:ind w:left="266" w:hanging="266"/>
              <w:textAlignment w:val="baseline"/>
              <w:rPr>
                <w:sz w:val="22"/>
                <w:szCs w:val="22"/>
              </w:rPr>
            </w:pPr>
            <w:r w:rsidRPr="008D2CCD">
              <w:rPr>
                <w:sz w:val="22"/>
                <w:szCs w:val="22"/>
              </w:rPr>
              <w:t>COM(2025) 315 final</w:t>
            </w:r>
          </w:p>
          <w:p w14:paraId="53F4AD07" w14:textId="77777777" w:rsidR="00B8543B" w:rsidRPr="008D2CCD" w:rsidRDefault="00B8543B" w:rsidP="00B8543B">
            <w:pPr>
              <w:tabs>
                <w:tab w:val="center" w:pos="284"/>
              </w:tabs>
              <w:overflowPunct w:val="0"/>
              <w:autoSpaceDE w:val="0"/>
              <w:autoSpaceDN w:val="0"/>
              <w:adjustRightInd w:val="0"/>
              <w:ind w:left="266" w:hanging="266"/>
              <w:textAlignment w:val="baseline"/>
              <w:rPr>
                <w:sz w:val="22"/>
                <w:szCs w:val="22"/>
              </w:rPr>
            </w:pPr>
            <w:r w:rsidRPr="008D2CCD">
              <w:rPr>
                <w:sz w:val="22"/>
                <w:szCs w:val="22"/>
              </w:rPr>
              <w:t>EESC-2025-02173-00-00-AC</w:t>
            </w:r>
          </w:p>
        </w:tc>
      </w:tr>
    </w:tbl>
    <w:p w14:paraId="217CE023" w14:textId="77777777" w:rsidR="00B8543B" w:rsidRPr="00B8543B" w:rsidRDefault="00B8543B" w:rsidP="00B8543B">
      <w:pPr>
        <w:tabs>
          <w:tab w:val="center" w:pos="284"/>
        </w:tabs>
        <w:overflowPunct w:val="0"/>
        <w:autoSpaceDE w:val="0"/>
        <w:autoSpaceDN w:val="0"/>
        <w:adjustRightInd w:val="0"/>
        <w:ind w:left="266" w:hanging="266"/>
        <w:textAlignment w:val="baseline"/>
      </w:pPr>
    </w:p>
    <w:p w14:paraId="4EAF6778" w14:textId="77777777" w:rsidR="00B8543B" w:rsidRPr="00B8543B" w:rsidRDefault="00B8543B" w:rsidP="00B8543B">
      <w:pPr>
        <w:keepNext/>
        <w:keepLines/>
        <w:tabs>
          <w:tab w:val="center" w:pos="284"/>
        </w:tabs>
        <w:overflowPunct w:val="0"/>
        <w:autoSpaceDE w:val="0"/>
        <w:autoSpaceDN w:val="0"/>
        <w:adjustRightInd w:val="0"/>
        <w:ind w:left="266" w:hanging="266"/>
        <w:textAlignment w:val="baseline"/>
        <w:rPr>
          <w:b/>
        </w:rPr>
      </w:pPr>
      <w:r>
        <w:rPr>
          <w:b/>
        </w:rPr>
        <w:t>Pontos principais</w:t>
      </w:r>
    </w:p>
    <w:p w14:paraId="3A214EBF" w14:textId="77777777" w:rsidR="00B8543B" w:rsidRPr="00B8543B" w:rsidRDefault="00B8543B" w:rsidP="00B8543B">
      <w:pPr>
        <w:keepNext/>
        <w:keepLines/>
        <w:tabs>
          <w:tab w:val="center" w:pos="284"/>
        </w:tabs>
        <w:overflowPunct w:val="0"/>
        <w:autoSpaceDE w:val="0"/>
        <w:autoSpaceDN w:val="0"/>
        <w:adjustRightInd w:val="0"/>
        <w:ind w:left="266" w:hanging="266"/>
        <w:textAlignment w:val="baseline"/>
        <w:rPr>
          <w:b/>
          <w:lang w:val="en-GB"/>
        </w:rPr>
      </w:pPr>
    </w:p>
    <w:p w14:paraId="2AD6BB4C" w14:textId="77777777" w:rsidR="00B8543B" w:rsidRDefault="00B8543B" w:rsidP="00B8543B">
      <w:pPr>
        <w:overflowPunct w:val="0"/>
        <w:autoSpaceDE w:val="0"/>
        <w:autoSpaceDN w:val="0"/>
        <w:adjustRightInd w:val="0"/>
        <w:textAlignment w:val="baseline"/>
        <w:rPr>
          <w:bCs/>
          <w:iCs/>
        </w:rPr>
      </w:pPr>
      <w:r>
        <w:t>O Comité Económico e Social Europeu:</w:t>
      </w:r>
    </w:p>
    <w:p w14:paraId="00EA794C" w14:textId="77777777" w:rsidR="00F104CA" w:rsidRPr="00F5540C" w:rsidRDefault="00F104CA" w:rsidP="00B8543B">
      <w:pPr>
        <w:overflowPunct w:val="0"/>
        <w:autoSpaceDE w:val="0"/>
        <w:autoSpaceDN w:val="0"/>
        <w:adjustRightInd w:val="0"/>
        <w:textAlignment w:val="baseline"/>
        <w:rPr>
          <w:bCs/>
          <w:iCs/>
        </w:rPr>
      </w:pPr>
    </w:p>
    <w:p w14:paraId="0ADC1825"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considera que a energia nuclear desempenha e continuará a desempenhar um papel crucial na descarbonização do continente europeu e na consolidação da sua autonomia estratégica nos domínios da energia e da tecnologia;</w:t>
      </w:r>
    </w:p>
    <w:p w14:paraId="38970C7F"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recomenda que se conceda aos investimentos no setor da energia nuclear as mesmas condições de que beneficiam as energias renováveis;</w:t>
      </w:r>
    </w:p>
    <w:p w14:paraId="15C741CD"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recomenda que se acelere o investimento através de medidas financeiras e regulamentares específicas, como um processo simplificado de auxílios estatais, acesso a fundos no âmbito da política de coesão da UE, financiamento sustentável, processos de licenciamento e decisões mais céleres a nível nacional e da UE;</w:t>
      </w:r>
    </w:p>
    <w:p w14:paraId="18340AE6"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considera que o diálogo com a sociedade civil é fundamental para reforçar a confiança, a apropriação e a aceitação social;</w:t>
      </w:r>
    </w:p>
    <w:p w14:paraId="1F92E097"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defende o reforço da cooperação regulamentar entre os Estados-Membros;</w:t>
      </w:r>
    </w:p>
    <w:p w14:paraId="60BEBBD3"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pPr>
      <w:r>
        <w:t>recomenda que se tenha em conta o papel desempenhado pela energia nuclear na estabilização da rede e solicita que seja aditado ao PINC um cálculo dos custos sistémicos evitados graças à energia nuclear.</w:t>
      </w:r>
    </w:p>
    <w:p w14:paraId="1038659F" w14:textId="77777777" w:rsidR="00B8543B" w:rsidRPr="00F5540C" w:rsidRDefault="00B8543B" w:rsidP="00F104CA">
      <w:pPr>
        <w:widowControl w:val="0"/>
        <w:overflowPunct w:val="0"/>
        <w:autoSpaceDE w:val="0"/>
        <w:autoSpaceDN w:val="0"/>
        <w:adjustRightInd w:val="0"/>
        <w:ind w:left="284" w:hanging="284"/>
        <w:textAlignment w:val="baseline"/>
        <w:rPr>
          <w:szCs w:val="20"/>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945"/>
      </w:tblGrid>
      <w:tr w:rsidR="00B8543B" w:rsidRPr="00B8543B" w14:paraId="1A87DBFF" w14:textId="77777777" w:rsidTr="00637CFA">
        <w:tc>
          <w:tcPr>
            <w:tcW w:w="2235" w:type="dxa"/>
          </w:tcPr>
          <w:p w14:paraId="5E9F41AD" w14:textId="77777777" w:rsidR="00B8543B" w:rsidRPr="00637CFA" w:rsidRDefault="00B8543B" w:rsidP="00B8543B">
            <w:pPr>
              <w:overflowPunct w:val="0"/>
              <w:autoSpaceDE w:val="0"/>
              <w:autoSpaceDN w:val="0"/>
              <w:adjustRightInd w:val="0"/>
              <w:textAlignment w:val="baseline"/>
              <w:rPr>
                <w:i/>
                <w:sz w:val="22"/>
                <w:szCs w:val="22"/>
              </w:rPr>
            </w:pPr>
            <w:r w:rsidRPr="00637CFA">
              <w:rPr>
                <w:b/>
                <w:i/>
                <w:sz w:val="22"/>
                <w:szCs w:val="22"/>
              </w:rPr>
              <w:t>Contacto</w:t>
            </w:r>
          </w:p>
        </w:tc>
        <w:tc>
          <w:tcPr>
            <w:tcW w:w="6945" w:type="dxa"/>
          </w:tcPr>
          <w:p w14:paraId="1EA77D8A" w14:textId="6DF16979" w:rsidR="00B8543B" w:rsidRPr="00637CFA" w:rsidRDefault="00B8543B" w:rsidP="00B8543B">
            <w:pPr>
              <w:overflowPunct w:val="0"/>
              <w:autoSpaceDE w:val="0"/>
              <w:autoSpaceDN w:val="0"/>
              <w:adjustRightInd w:val="0"/>
              <w:textAlignment w:val="baseline"/>
              <w:rPr>
                <w:i/>
                <w:sz w:val="22"/>
                <w:szCs w:val="22"/>
              </w:rPr>
            </w:pPr>
            <w:r w:rsidRPr="00637CFA">
              <w:rPr>
                <w:i/>
                <w:sz w:val="22"/>
                <w:szCs w:val="22"/>
              </w:rPr>
              <w:t>Albert Precup</w:t>
            </w:r>
          </w:p>
        </w:tc>
      </w:tr>
      <w:tr w:rsidR="00B8543B" w:rsidRPr="00B8543B" w14:paraId="3CDABFB0" w14:textId="77777777" w:rsidTr="00637CFA">
        <w:tc>
          <w:tcPr>
            <w:tcW w:w="2235" w:type="dxa"/>
          </w:tcPr>
          <w:p w14:paraId="690F7657" w14:textId="77777777" w:rsidR="00B8543B" w:rsidRPr="00637CFA" w:rsidRDefault="00B8543B" w:rsidP="00B8543B">
            <w:pPr>
              <w:overflowPunct w:val="0"/>
              <w:autoSpaceDE w:val="0"/>
              <w:autoSpaceDN w:val="0"/>
              <w:adjustRightInd w:val="0"/>
              <w:textAlignment w:val="baseline"/>
              <w:rPr>
                <w:i/>
                <w:sz w:val="22"/>
                <w:szCs w:val="22"/>
              </w:rPr>
            </w:pPr>
            <w:r w:rsidRPr="00637CFA">
              <w:rPr>
                <w:i/>
                <w:sz w:val="22"/>
                <w:szCs w:val="22"/>
              </w:rPr>
              <w:t>Tel.</w:t>
            </w:r>
          </w:p>
        </w:tc>
        <w:tc>
          <w:tcPr>
            <w:tcW w:w="6945" w:type="dxa"/>
          </w:tcPr>
          <w:p w14:paraId="113BC3FF" w14:textId="5E7BAD80" w:rsidR="00B8543B" w:rsidRPr="00637CFA" w:rsidRDefault="00B8543B" w:rsidP="00B8543B">
            <w:pPr>
              <w:overflowPunct w:val="0"/>
              <w:autoSpaceDE w:val="0"/>
              <w:autoSpaceDN w:val="0"/>
              <w:adjustRightInd w:val="0"/>
              <w:textAlignment w:val="baseline"/>
              <w:rPr>
                <w:i/>
                <w:sz w:val="22"/>
                <w:szCs w:val="22"/>
              </w:rPr>
            </w:pPr>
            <w:r w:rsidRPr="00637CFA">
              <w:rPr>
                <w:i/>
                <w:sz w:val="22"/>
                <w:szCs w:val="22"/>
              </w:rPr>
              <w:t>+32 2</w:t>
            </w:r>
            <w:r w:rsidR="00637CFA">
              <w:rPr>
                <w:i/>
                <w:sz w:val="22"/>
                <w:szCs w:val="22"/>
              </w:rPr>
              <w:t xml:space="preserve"> </w:t>
            </w:r>
            <w:r w:rsidRPr="00637CFA">
              <w:rPr>
                <w:i/>
                <w:sz w:val="22"/>
                <w:szCs w:val="22"/>
              </w:rPr>
              <w:t>546</w:t>
            </w:r>
            <w:r w:rsidR="00637CFA">
              <w:rPr>
                <w:i/>
                <w:sz w:val="22"/>
                <w:szCs w:val="22"/>
              </w:rPr>
              <w:t xml:space="preserve"> </w:t>
            </w:r>
            <w:r w:rsidRPr="00637CFA">
              <w:rPr>
                <w:i/>
                <w:sz w:val="22"/>
                <w:szCs w:val="22"/>
              </w:rPr>
              <w:t>93 26</w:t>
            </w:r>
          </w:p>
        </w:tc>
      </w:tr>
      <w:tr w:rsidR="00B8543B" w:rsidRPr="00B8543B" w14:paraId="358EB551" w14:textId="77777777" w:rsidTr="00637CFA">
        <w:tc>
          <w:tcPr>
            <w:tcW w:w="2235" w:type="dxa"/>
          </w:tcPr>
          <w:p w14:paraId="2EF8A9AA" w14:textId="77777777" w:rsidR="00B8543B" w:rsidRPr="00637CFA" w:rsidRDefault="00B8543B" w:rsidP="00B8543B">
            <w:pPr>
              <w:overflowPunct w:val="0"/>
              <w:autoSpaceDE w:val="0"/>
              <w:autoSpaceDN w:val="0"/>
              <w:adjustRightInd w:val="0"/>
              <w:textAlignment w:val="baseline"/>
              <w:rPr>
                <w:i/>
                <w:sz w:val="22"/>
                <w:szCs w:val="22"/>
              </w:rPr>
            </w:pPr>
            <w:r w:rsidRPr="00637CFA">
              <w:rPr>
                <w:i/>
                <w:sz w:val="22"/>
                <w:szCs w:val="22"/>
              </w:rPr>
              <w:t>Endereço eletrónico</w:t>
            </w:r>
          </w:p>
        </w:tc>
        <w:tc>
          <w:tcPr>
            <w:tcW w:w="6945" w:type="dxa"/>
          </w:tcPr>
          <w:p w14:paraId="1491B9B9" w14:textId="77777777" w:rsidR="00B8543B" w:rsidRPr="00637CFA" w:rsidRDefault="001D1405" w:rsidP="00B8543B">
            <w:pPr>
              <w:overflowPunct w:val="0"/>
              <w:autoSpaceDE w:val="0"/>
              <w:autoSpaceDN w:val="0"/>
              <w:adjustRightInd w:val="0"/>
              <w:textAlignment w:val="baseline"/>
              <w:rPr>
                <w:i/>
                <w:sz w:val="22"/>
                <w:szCs w:val="22"/>
              </w:rPr>
            </w:pPr>
            <w:hyperlink r:id="rId29" w:history="1">
              <w:r w:rsidR="00645EDF" w:rsidRPr="00637CFA">
                <w:rPr>
                  <w:i/>
                  <w:color w:val="0000FF"/>
                  <w:sz w:val="22"/>
                  <w:szCs w:val="22"/>
                  <w:u w:val="single"/>
                </w:rPr>
                <w:t>Albert.Precup@eesc.europa.eu</w:t>
              </w:r>
            </w:hyperlink>
          </w:p>
        </w:tc>
      </w:tr>
    </w:tbl>
    <w:p w14:paraId="4C06F621" w14:textId="77777777" w:rsidR="004D7AC0" w:rsidRDefault="004D7AC0" w:rsidP="004D7AC0">
      <w:pPr>
        <w:pStyle w:val="ListParagraph"/>
        <w:ind w:left="0"/>
      </w:pPr>
    </w:p>
    <w:p w14:paraId="4982DDF2" w14:textId="0D337987" w:rsidR="00BC676C" w:rsidRDefault="004D7AC0">
      <w:pPr>
        <w:spacing w:after="160" w:line="259" w:lineRule="auto"/>
        <w:jc w:val="left"/>
      </w:pPr>
      <w:r>
        <w:br w:type="page"/>
      </w:r>
    </w:p>
    <w:p w14:paraId="4982DDF3" w14:textId="77777777" w:rsidR="004D7AC0" w:rsidRDefault="004D7AC0" w:rsidP="004D7AC0">
      <w:pPr>
        <w:pStyle w:val="Heading1"/>
        <w:rPr>
          <w:b/>
        </w:rPr>
      </w:pPr>
      <w:bookmarkStart w:id="14" w:name="_Toc75527083"/>
      <w:bookmarkStart w:id="15" w:name="_Toc217055917"/>
      <w:r>
        <w:rPr>
          <w:b/>
        </w:rPr>
        <w:lastRenderedPageBreak/>
        <w:t>MERCADO ÚNICO, PRODUÇÃO E CONSUMO</w:t>
      </w:r>
      <w:bookmarkEnd w:id="14"/>
      <w:bookmarkEnd w:id="15"/>
    </w:p>
    <w:p w14:paraId="4982DDF4" w14:textId="77777777" w:rsidR="004D7AC0" w:rsidRDefault="004D7AC0" w:rsidP="004D7AC0"/>
    <w:p w14:paraId="5D547137" w14:textId="688E5B24" w:rsidR="00465162" w:rsidRPr="00465162" w:rsidRDefault="001D1405" w:rsidP="00465162">
      <w:pPr>
        <w:widowControl w:val="0"/>
        <w:numPr>
          <w:ilvl w:val="0"/>
          <w:numId w:val="4"/>
        </w:numPr>
        <w:overflowPunct w:val="0"/>
        <w:autoSpaceDE w:val="0"/>
        <w:autoSpaceDN w:val="0"/>
        <w:adjustRightInd w:val="0"/>
        <w:ind w:hanging="567"/>
        <w:textAlignment w:val="baseline"/>
        <w:rPr>
          <w:sz w:val="20"/>
          <w:szCs w:val="20"/>
        </w:rPr>
      </w:pPr>
      <w:hyperlink r:id="rId30" w:history="1">
        <w:r w:rsidR="00645EDF">
          <w:rPr>
            <w:b/>
            <w:i/>
            <w:color w:val="0000FF"/>
            <w:sz w:val="28"/>
            <w:u w:val="single"/>
          </w:rPr>
          <w:t>Estratég</w:t>
        </w:r>
        <w:r w:rsidR="00645EDF">
          <w:rPr>
            <w:b/>
            <w:i/>
            <w:color w:val="0000FF"/>
            <w:sz w:val="28"/>
            <w:u w:val="single"/>
          </w:rPr>
          <w:t>i</w:t>
        </w:r>
        <w:r w:rsidR="00645EDF">
          <w:rPr>
            <w:b/>
            <w:i/>
            <w:color w:val="0000FF"/>
            <w:sz w:val="28"/>
            <w:u w:val="single"/>
          </w:rPr>
          <w:t>a para o Mercado Único</w:t>
        </w:r>
      </w:hyperlink>
    </w:p>
    <w:p w14:paraId="0B883575" w14:textId="77777777" w:rsidR="00465162" w:rsidRPr="00465162" w:rsidRDefault="00465162" w:rsidP="00465162">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521"/>
      </w:tblGrid>
      <w:tr w:rsidR="00465162" w:rsidRPr="00465162" w14:paraId="79DD90B6" w14:textId="77777777" w:rsidTr="0036489A">
        <w:tc>
          <w:tcPr>
            <w:tcW w:w="1701" w:type="dxa"/>
          </w:tcPr>
          <w:p w14:paraId="03778141" w14:textId="77777777" w:rsidR="00465162" w:rsidRPr="00637CFA" w:rsidRDefault="00465162" w:rsidP="00465162">
            <w:pPr>
              <w:tabs>
                <w:tab w:val="center" w:pos="284"/>
              </w:tabs>
              <w:overflowPunct w:val="0"/>
              <w:autoSpaceDE w:val="0"/>
              <w:autoSpaceDN w:val="0"/>
              <w:adjustRightInd w:val="0"/>
              <w:ind w:left="266" w:hanging="266"/>
              <w:textAlignment w:val="baseline"/>
              <w:rPr>
                <w:b/>
                <w:sz w:val="22"/>
                <w:szCs w:val="22"/>
              </w:rPr>
            </w:pPr>
            <w:r w:rsidRPr="00637CFA">
              <w:rPr>
                <w:b/>
                <w:sz w:val="22"/>
                <w:szCs w:val="22"/>
              </w:rPr>
              <w:t>Relatores</w:t>
            </w:r>
          </w:p>
        </w:tc>
        <w:tc>
          <w:tcPr>
            <w:tcW w:w="6521" w:type="dxa"/>
          </w:tcPr>
          <w:p w14:paraId="1AA6537D" w14:textId="384B5F9A" w:rsidR="00465162" w:rsidRPr="00637CFA" w:rsidRDefault="00465162" w:rsidP="00465162">
            <w:pPr>
              <w:tabs>
                <w:tab w:val="center" w:pos="284"/>
              </w:tabs>
              <w:overflowPunct w:val="0"/>
              <w:autoSpaceDE w:val="0"/>
              <w:autoSpaceDN w:val="0"/>
              <w:adjustRightInd w:val="0"/>
              <w:ind w:left="266" w:hanging="266"/>
              <w:textAlignment w:val="baseline"/>
              <w:rPr>
                <w:sz w:val="22"/>
                <w:szCs w:val="22"/>
              </w:rPr>
            </w:pPr>
            <w:r w:rsidRPr="00637CFA">
              <w:rPr>
                <w:sz w:val="22"/>
                <w:szCs w:val="22"/>
              </w:rPr>
              <w:t>Emilie Prouzet (FR-Grupo dos Empregadores)</w:t>
            </w:r>
          </w:p>
        </w:tc>
      </w:tr>
      <w:tr w:rsidR="00465162" w:rsidRPr="00465162" w14:paraId="60565F73" w14:textId="77777777" w:rsidTr="0036489A">
        <w:tc>
          <w:tcPr>
            <w:tcW w:w="1701" w:type="dxa"/>
          </w:tcPr>
          <w:p w14:paraId="4405A00F" w14:textId="77777777" w:rsidR="00465162" w:rsidRPr="00637CFA" w:rsidRDefault="00465162" w:rsidP="00465162">
            <w:pPr>
              <w:tabs>
                <w:tab w:val="center" w:pos="284"/>
              </w:tabs>
              <w:overflowPunct w:val="0"/>
              <w:autoSpaceDE w:val="0"/>
              <w:autoSpaceDN w:val="0"/>
              <w:adjustRightInd w:val="0"/>
              <w:ind w:left="266" w:hanging="266"/>
              <w:textAlignment w:val="baseline"/>
              <w:rPr>
                <w:b/>
                <w:sz w:val="22"/>
                <w:szCs w:val="22"/>
              </w:rPr>
            </w:pPr>
          </w:p>
        </w:tc>
        <w:tc>
          <w:tcPr>
            <w:tcW w:w="6521" w:type="dxa"/>
          </w:tcPr>
          <w:p w14:paraId="26DA48BA" w14:textId="3E9F6386" w:rsidR="00465162" w:rsidRPr="00637CFA" w:rsidRDefault="00465162" w:rsidP="00465162">
            <w:pPr>
              <w:tabs>
                <w:tab w:val="center" w:pos="284"/>
              </w:tabs>
              <w:overflowPunct w:val="0"/>
              <w:autoSpaceDE w:val="0"/>
              <w:autoSpaceDN w:val="0"/>
              <w:adjustRightInd w:val="0"/>
              <w:ind w:left="266" w:hanging="266"/>
              <w:textAlignment w:val="baseline"/>
              <w:rPr>
                <w:sz w:val="22"/>
                <w:szCs w:val="22"/>
              </w:rPr>
            </w:pPr>
            <w:r w:rsidRPr="00637CFA">
              <w:rPr>
                <w:sz w:val="22"/>
                <w:szCs w:val="22"/>
              </w:rPr>
              <w:t>Angelo Pagliara (IT-Grupo dos Trabalhadores)</w:t>
            </w:r>
          </w:p>
          <w:p w14:paraId="1F24C2EA" w14:textId="03B9D796" w:rsidR="00465162" w:rsidRPr="00637CFA" w:rsidRDefault="00465162" w:rsidP="00465162">
            <w:pPr>
              <w:tabs>
                <w:tab w:val="center" w:pos="284"/>
              </w:tabs>
              <w:overflowPunct w:val="0"/>
              <w:autoSpaceDE w:val="0"/>
              <w:autoSpaceDN w:val="0"/>
              <w:adjustRightInd w:val="0"/>
              <w:ind w:left="266" w:hanging="266"/>
              <w:textAlignment w:val="baseline"/>
              <w:rPr>
                <w:sz w:val="22"/>
                <w:szCs w:val="22"/>
              </w:rPr>
            </w:pPr>
            <w:r w:rsidRPr="00637CFA">
              <w:rPr>
                <w:sz w:val="22"/>
                <w:szCs w:val="22"/>
              </w:rPr>
              <w:t>Giuseppe Guerini (IT-Grupo das Organizações da Sociedade Civil)</w:t>
            </w:r>
          </w:p>
        </w:tc>
      </w:tr>
      <w:tr w:rsidR="00465162" w:rsidRPr="00465162" w14:paraId="39372820" w14:textId="77777777" w:rsidTr="0036489A">
        <w:tc>
          <w:tcPr>
            <w:tcW w:w="8222" w:type="dxa"/>
            <w:gridSpan w:val="2"/>
          </w:tcPr>
          <w:p w14:paraId="6C98B3D0" w14:textId="77777777" w:rsidR="00465162" w:rsidRPr="00637CFA" w:rsidRDefault="00465162" w:rsidP="00465162">
            <w:pPr>
              <w:tabs>
                <w:tab w:val="center" w:pos="284"/>
              </w:tabs>
              <w:overflowPunct w:val="0"/>
              <w:autoSpaceDE w:val="0"/>
              <w:autoSpaceDN w:val="0"/>
              <w:adjustRightInd w:val="0"/>
              <w:spacing w:line="160" w:lineRule="exact"/>
              <w:ind w:left="266" w:hanging="266"/>
              <w:textAlignment w:val="baseline"/>
              <w:rPr>
                <w:sz w:val="22"/>
                <w:szCs w:val="22"/>
              </w:rPr>
            </w:pPr>
          </w:p>
        </w:tc>
      </w:tr>
      <w:tr w:rsidR="00465162" w:rsidRPr="00465162" w14:paraId="7C667684" w14:textId="77777777" w:rsidTr="0036489A">
        <w:tc>
          <w:tcPr>
            <w:tcW w:w="1701" w:type="dxa"/>
            <w:vMerge w:val="restart"/>
          </w:tcPr>
          <w:p w14:paraId="140B2D51" w14:textId="77777777" w:rsidR="00465162" w:rsidRPr="00637CFA" w:rsidRDefault="00465162" w:rsidP="00465162">
            <w:pPr>
              <w:tabs>
                <w:tab w:val="center" w:pos="284"/>
              </w:tabs>
              <w:overflowPunct w:val="0"/>
              <w:autoSpaceDE w:val="0"/>
              <w:autoSpaceDN w:val="0"/>
              <w:adjustRightInd w:val="0"/>
              <w:ind w:left="266" w:hanging="266"/>
              <w:textAlignment w:val="baseline"/>
              <w:rPr>
                <w:b/>
                <w:sz w:val="22"/>
                <w:szCs w:val="22"/>
              </w:rPr>
            </w:pPr>
            <w:r w:rsidRPr="00637CFA">
              <w:rPr>
                <w:b/>
                <w:sz w:val="22"/>
                <w:szCs w:val="22"/>
              </w:rPr>
              <w:t>Referências</w:t>
            </w:r>
          </w:p>
        </w:tc>
        <w:tc>
          <w:tcPr>
            <w:tcW w:w="6521" w:type="dxa"/>
          </w:tcPr>
          <w:p w14:paraId="0BD6402A" w14:textId="77777777" w:rsidR="00465162" w:rsidRPr="00637CFA" w:rsidRDefault="00465162" w:rsidP="00465162">
            <w:pPr>
              <w:tabs>
                <w:tab w:val="center" w:pos="284"/>
              </w:tabs>
              <w:overflowPunct w:val="0"/>
              <w:autoSpaceDE w:val="0"/>
              <w:autoSpaceDN w:val="0"/>
              <w:adjustRightInd w:val="0"/>
              <w:ind w:left="266" w:hanging="266"/>
              <w:textAlignment w:val="baseline"/>
              <w:rPr>
                <w:sz w:val="22"/>
                <w:szCs w:val="22"/>
              </w:rPr>
            </w:pPr>
            <w:r w:rsidRPr="00637CFA">
              <w:rPr>
                <w:sz w:val="22"/>
                <w:szCs w:val="22"/>
              </w:rPr>
              <w:t>COM(2025) 500 final</w:t>
            </w:r>
          </w:p>
          <w:p w14:paraId="35684687" w14:textId="77777777" w:rsidR="00465162" w:rsidRPr="00637CFA" w:rsidRDefault="00465162" w:rsidP="00465162">
            <w:pPr>
              <w:tabs>
                <w:tab w:val="center" w:pos="284"/>
              </w:tabs>
              <w:overflowPunct w:val="0"/>
              <w:autoSpaceDE w:val="0"/>
              <w:autoSpaceDN w:val="0"/>
              <w:adjustRightInd w:val="0"/>
              <w:ind w:left="266" w:hanging="266"/>
              <w:textAlignment w:val="baseline"/>
              <w:rPr>
                <w:sz w:val="22"/>
                <w:szCs w:val="22"/>
              </w:rPr>
            </w:pPr>
            <w:r w:rsidRPr="00637CFA">
              <w:rPr>
                <w:sz w:val="22"/>
                <w:szCs w:val="22"/>
              </w:rPr>
              <w:t>EESC-2025-01859-00-00-AC</w:t>
            </w:r>
          </w:p>
        </w:tc>
      </w:tr>
      <w:tr w:rsidR="00465162" w:rsidRPr="00465162" w14:paraId="3287886F" w14:textId="77777777" w:rsidTr="0036489A">
        <w:tc>
          <w:tcPr>
            <w:tcW w:w="1701" w:type="dxa"/>
            <w:vMerge/>
          </w:tcPr>
          <w:p w14:paraId="01DD9F1E"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p>
        </w:tc>
        <w:tc>
          <w:tcPr>
            <w:tcW w:w="6521" w:type="dxa"/>
          </w:tcPr>
          <w:p w14:paraId="2E2DEA70" w14:textId="77777777" w:rsidR="00465162" w:rsidRPr="00465162" w:rsidRDefault="00465162" w:rsidP="00465162">
            <w:pPr>
              <w:tabs>
                <w:tab w:val="center" w:pos="284"/>
              </w:tabs>
              <w:overflowPunct w:val="0"/>
              <w:autoSpaceDE w:val="0"/>
              <w:autoSpaceDN w:val="0"/>
              <w:adjustRightInd w:val="0"/>
              <w:ind w:left="266" w:hanging="266"/>
              <w:textAlignment w:val="baseline"/>
            </w:pPr>
          </w:p>
        </w:tc>
      </w:tr>
    </w:tbl>
    <w:p w14:paraId="1489C838" w14:textId="77777777" w:rsidR="00465162" w:rsidRPr="00465162" w:rsidRDefault="00465162" w:rsidP="00465162">
      <w:pPr>
        <w:keepNext/>
        <w:keepLines/>
        <w:tabs>
          <w:tab w:val="center" w:pos="284"/>
        </w:tabs>
        <w:overflowPunct w:val="0"/>
        <w:autoSpaceDE w:val="0"/>
        <w:autoSpaceDN w:val="0"/>
        <w:adjustRightInd w:val="0"/>
        <w:ind w:left="266" w:hanging="266"/>
        <w:textAlignment w:val="baseline"/>
        <w:rPr>
          <w:b/>
        </w:rPr>
      </w:pPr>
      <w:r>
        <w:rPr>
          <w:b/>
        </w:rPr>
        <w:t>Pontos principais</w:t>
      </w:r>
    </w:p>
    <w:p w14:paraId="04D2C12C" w14:textId="77777777" w:rsidR="00465162" w:rsidRPr="00465162" w:rsidRDefault="00465162" w:rsidP="00465162">
      <w:pPr>
        <w:keepNext/>
        <w:keepLines/>
        <w:tabs>
          <w:tab w:val="center" w:pos="284"/>
        </w:tabs>
        <w:overflowPunct w:val="0"/>
        <w:autoSpaceDE w:val="0"/>
        <w:autoSpaceDN w:val="0"/>
        <w:adjustRightInd w:val="0"/>
        <w:ind w:left="266" w:hanging="266"/>
        <w:textAlignment w:val="baseline"/>
        <w:rPr>
          <w:b/>
          <w:lang w:val="en-GB"/>
        </w:rPr>
      </w:pPr>
    </w:p>
    <w:p w14:paraId="24496AA3" w14:textId="77777777" w:rsidR="00465162" w:rsidRPr="00465162" w:rsidRDefault="00465162" w:rsidP="00465162">
      <w:pPr>
        <w:overflowPunct w:val="0"/>
        <w:autoSpaceDE w:val="0"/>
        <w:autoSpaceDN w:val="0"/>
        <w:adjustRightInd w:val="0"/>
        <w:textAlignment w:val="baseline"/>
        <w:rPr>
          <w:bCs/>
          <w:iCs/>
        </w:rPr>
      </w:pPr>
      <w:r>
        <w:t>O Comité Económico e Social Europeu:</w:t>
      </w:r>
    </w:p>
    <w:p w14:paraId="2F8CA4CA" w14:textId="77777777" w:rsidR="00465162" w:rsidRPr="00F5540C" w:rsidRDefault="00465162" w:rsidP="00465162">
      <w:pPr>
        <w:overflowPunct w:val="0"/>
        <w:autoSpaceDE w:val="0"/>
        <w:autoSpaceDN w:val="0"/>
        <w:adjustRightInd w:val="0"/>
        <w:textAlignment w:val="baseline"/>
        <w:rPr>
          <w:bCs/>
          <w:iCs/>
        </w:rPr>
      </w:pPr>
    </w:p>
    <w:p w14:paraId="419AAE5A"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apoia plenamente as prioridades identificadas pela Comissão, que respondem aos desafios suscitados pelas partes interessadas;</w:t>
      </w:r>
    </w:p>
    <w:p w14:paraId="634276BC"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reitera que a simplificação regulamentar deve ocorrer no pleno respeito pelos direitos sociais e dos trabalhadores. Por conseguinte, é essencial que o Parlamento Europeu, os parlamentos nacionais e os parceiros sociais participem estruturalmente desde as fases iniciais do processo legislativo;</w:t>
      </w:r>
    </w:p>
    <w:p w14:paraId="1A85E040"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tenciona contribuir mais ativamente para a governação do mercado único, nomeadamente assumindo um papel reforçado no âmbito do grupo de trabalho para o cumprimento das regras do mercado único (SMET);</w:t>
      </w:r>
    </w:p>
    <w:p w14:paraId="0DE50EC7"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insta a Comissão a apresentar propostas legislativas para abordar as restrições territoriais à oferta e harmonizar a rotulagem dos produtos;</w:t>
      </w:r>
    </w:p>
    <w:p w14:paraId="3DC83A6A"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congratula-se com o anúncio da Comissão sobre uma proposta de um «28.º regime» facultativo para as empresas, mas sublinha a necessidade de salvaguardas eficazes contra potenciais abusos;</w:t>
      </w:r>
    </w:p>
    <w:p w14:paraId="52044ED1"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reconhece o papel fundamental da normalização enquanto motor da integração e da inovação, mas salienta os princípios da transparência, inclusão e participação estruturada;</w:t>
      </w:r>
    </w:p>
    <w:p w14:paraId="4D4A10FA"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apoia a simplificação do reconhecimento das qualificações profissionais, incluindo para os nacionais de países terceiros, mas as qualificações devem ser claramente definidas, verificáveis e de qualidade comprovada;</w:t>
      </w:r>
    </w:p>
    <w:p w14:paraId="44855F90" w14:textId="77777777" w:rsidR="00465162" w:rsidRPr="00465162" w:rsidRDefault="00465162" w:rsidP="00054C58">
      <w:pPr>
        <w:widowControl w:val="0"/>
        <w:numPr>
          <w:ilvl w:val="0"/>
          <w:numId w:val="25"/>
        </w:numPr>
        <w:overflowPunct w:val="0"/>
        <w:autoSpaceDE w:val="0"/>
        <w:autoSpaceDN w:val="0"/>
        <w:adjustRightInd w:val="0"/>
        <w:ind w:left="360"/>
        <w:textAlignment w:val="baseline"/>
        <w:rPr>
          <w:bCs/>
          <w:iCs/>
        </w:rPr>
      </w:pPr>
      <w:r>
        <w:t>apoia o reforço da Autoridade Europeia do Trabalho (AET);</w:t>
      </w:r>
    </w:p>
    <w:p w14:paraId="36D1C1B4" w14:textId="77777777" w:rsidR="00465162" w:rsidRPr="00465162" w:rsidRDefault="00465162" w:rsidP="00054C58">
      <w:pPr>
        <w:widowControl w:val="0"/>
        <w:numPr>
          <w:ilvl w:val="0"/>
          <w:numId w:val="25"/>
        </w:numPr>
        <w:overflowPunct w:val="0"/>
        <w:autoSpaceDE w:val="0"/>
        <w:autoSpaceDN w:val="0"/>
        <w:adjustRightInd w:val="0"/>
        <w:ind w:left="360"/>
        <w:textAlignment w:val="baseline"/>
        <w:rPr>
          <w:bCs/>
          <w:iCs/>
        </w:rPr>
      </w:pPr>
      <w:r>
        <w:t xml:space="preserve">solicita que o âmbito do mercado único seja alargado a setores estratégicos como a energia e as finanças; sublinha a necessidade de um modelo de governação inclusivo e apela para que se reveja a legislação em matéria de contratos públicos. Ao mesmo tempo, devem ser encontradas formas adequadas de ter em conta os objetivos sociais, ambientais e de inovação. </w:t>
      </w:r>
    </w:p>
    <w:p w14:paraId="2800F0AE" w14:textId="77777777" w:rsidR="00465162" w:rsidRPr="00F5540C" w:rsidRDefault="00465162" w:rsidP="00465162">
      <w:pPr>
        <w:widowControl w:val="0"/>
        <w:overflowPunct w:val="0"/>
        <w:autoSpaceDE w:val="0"/>
        <w:autoSpaceDN w:val="0"/>
        <w:adjustRightInd w:val="0"/>
        <w:ind w:left="709"/>
        <w:textAlignment w:val="baseline"/>
        <w:rPr>
          <w:szCs w:val="20"/>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4995"/>
      </w:tblGrid>
      <w:tr w:rsidR="00465162" w:rsidRPr="00465162" w14:paraId="7E653814" w14:textId="77777777" w:rsidTr="00637CFA">
        <w:tc>
          <w:tcPr>
            <w:tcW w:w="2093" w:type="dxa"/>
          </w:tcPr>
          <w:p w14:paraId="6898358A" w14:textId="77777777" w:rsidR="00465162" w:rsidRPr="00637CFA" w:rsidRDefault="00465162" w:rsidP="00465162">
            <w:pPr>
              <w:overflowPunct w:val="0"/>
              <w:autoSpaceDE w:val="0"/>
              <w:autoSpaceDN w:val="0"/>
              <w:adjustRightInd w:val="0"/>
              <w:spacing w:line="240" w:lineRule="auto"/>
              <w:textAlignment w:val="baseline"/>
              <w:rPr>
                <w:i/>
                <w:sz w:val="22"/>
                <w:szCs w:val="22"/>
              </w:rPr>
            </w:pPr>
            <w:r w:rsidRPr="00637CFA">
              <w:rPr>
                <w:b/>
                <w:i/>
                <w:sz w:val="22"/>
                <w:szCs w:val="22"/>
              </w:rPr>
              <w:t>Contacto</w:t>
            </w:r>
          </w:p>
        </w:tc>
        <w:tc>
          <w:tcPr>
            <w:tcW w:w="4995" w:type="dxa"/>
          </w:tcPr>
          <w:p w14:paraId="324AE5F8" w14:textId="77777777" w:rsidR="00465162" w:rsidRPr="00637CFA" w:rsidRDefault="00465162" w:rsidP="00465162">
            <w:pPr>
              <w:overflowPunct w:val="0"/>
              <w:autoSpaceDE w:val="0"/>
              <w:autoSpaceDN w:val="0"/>
              <w:adjustRightInd w:val="0"/>
              <w:spacing w:line="240" w:lineRule="auto"/>
              <w:textAlignment w:val="baseline"/>
              <w:rPr>
                <w:i/>
                <w:sz w:val="22"/>
                <w:szCs w:val="22"/>
              </w:rPr>
            </w:pPr>
            <w:r w:rsidRPr="00637CFA">
              <w:rPr>
                <w:i/>
                <w:sz w:val="22"/>
                <w:szCs w:val="22"/>
              </w:rPr>
              <w:t>Annalisa Tessarolo</w:t>
            </w:r>
          </w:p>
        </w:tc>
      </w:tr>
      <w:tr w:rsidR="00465162" w:rsidRPr="00465162" w14:paraId="3F0424C9" w14:textId="77777777" w:rsidTr="00637CFA">
        <w:tc>
          <w:tcPr>
            <w:tcW w:w="2093" w:type="dxa"/>
          </w:tcPr>
          <w:p w14:paraId="0C254111" w14:textId="77777777" w:rsidR="00465162" w:rsidRPr="00637CFA" w:rsidRDefault="00465162" w:rsidP="00465162">
            <w:pPr>
              <w:overflowPunct w:val="0"/>
              <w:autoSpaceDE w:val="0"/>
              <w:autoSpaceDN w:val="0"/>
              <w:adjustRightInd w:val="0"/>
              <w:spacing w:line="240" w:lineRule="auto"/>
              <w:textAlignment w:val="baseline"/>
              <w:rPr>
                <w:i/>
                <w:sz w:val="22"/>
                <w:szCs w:val="22"/>
              </w:rPr>
            </w:pPr>
            <w:r w:rsidRPr="00637CFA">
              <w:rPr>
                <w:i/>
                <w:sz w:val="22"/>
                <w:szCs w:val="22"/>
              </w:rPr>
              <w:t>Tel.</w:t>
            </w:r>
          </w:p>
        </w:tc>
        <w:tc>
          <w:tcPr>
            <w:tcW w:w="4995" w:type="dxa"/>
          </w:tcPr>
          <w:p w14:paraId="0C3DEEF0" w14:textId="77777777" w:rsidR="00465162" w:rsidRPr="00637CFA" w:rsidRDefault="00465162" w:rsidP="00465162">
            <w:pPr>
              <w:overflowPunct w:val="0"/>
              <w:autoSpaceDE w:val="0"/>
              <w:autoSpaceDN w:val="0"/>
              <w:adjustRightInd w:val="0"/>
              <w:spacing w:line="240" w:lineRule="auto"/>
              <w:textAlignment w:val="baseline"/>
              <w:rPr>
                <w:i/>
                <w:sz w:val="22"/>
                <w:szCs w:val="22"/>
              </w:rPr>
            </w:pPr>
            <w:r w:rsidRPr="00637CFA">
              <w:rPr>
                <w:i/>
                <w:sz w:val="22"/>
                <w:szCs w:val="22"/>
              </w:rPr>
              <w:t>+ 32 2 546 97 32</w:t>
            </w:r>
          </w:p>
        </w:tc>
      </w:tr>
      <w:tr w:rsidR="00465162" w:rsidRPr="00465162" w14:paraId="6449EA12" w14:textId="77777777" w:rsidTr="00637CFA">
        <w:tc>
          <w:tcPr>
            <w:tcW w:w="2093" w:type="dxa"/>
          </w:tcPr>
          <w:p w14:paraId="1D040452" w14:textId="0B90490C" w:rsidR="00465162" w:rsidRPr="00637CFA" w:rsidRDefault="00034990" w:rsidP="00465162">
            <w:pPr>
              <w:overflowPunct w:val="0"/>
              <w:autoSpaceDE w:val="0"/>
              <w:autoSpaceDN w:val="0"/>
              <w:adjustRightInd w:val="0"/>
              <w:spacing w:line="240" w:lineRule="auto"/>
              <w:textAlignment w:val="baseline"/>
              <w:rPr>
                <w:i/>
                <w:sz w:val="22"/>
                <w:szCs w:val="22"/>
              </w:rPr>
            </w:pPr>
            <w:r w:rsidRPr="00637CFA">
              <w:rPr>
                <w:i/>
                <w:sz w:val="22"/>
                <w:szCs w:val="22"/>
              </w:rPr>
              <w:t>Endereço eletrónico</w:t>
            </w:r>
          </w:p>
        </w:tc>
        <w:tc>
          <w:tcPr>
            <w:tcW w:w="4995" w:type="dxa"/>
          </w:tcPr>
          <w:p w14:paraId="3E267456" w14:textId="77777777" w:rsidR="00465162" w:rsidRPr="00637CFA" w:rsidRDefault="001D1405" w:rsidP="00465162">
            <w:pPr>
              <w:overflowPunct w:val="0"/>
              <w:autoSpaceDE w:val="0"/>
              <w:autoSpaceDN w:val="0"/>
              <w:adjustRightInd w:val="0"/>
              <w:spacing w:line="240" w:lineRule="auto"/>
              <w:textAlignment w:val="baseline"/>
              <w:rPr>
                <w:i/>
                <w:sz w:val="22"/>
                <w:szCs w:val="22"/>
              </w:rPr>
            </w:pPr>
            <w:hyperlink r:id="rId31" w:history="1">
              <w:r w:rsidR="00645EDF" w:rsidRPr="00637CFA">
                <w:rPr>
                  <w:i/>
                  <w:color w:val="0000FF"/>
                  <w:sz w:val="22"/>
                  <w:szCs w:val="22"/>
                  <w:u w:val="single"/>
                </w:rPr>
                <w:t>Annalisa.Tessarolo@eesc.europa.eu</w:t>
              </w:r>
            </w:hyperlink>
          </w:p>
        </w:tc>
      </w:tr>
    </w:tbl>
    <w:p w14:paraId="4982DE1C" w14:textId="2C7D6502" w:rsidR="00465162" w:rsidRDefault="00465162" w:rsidP="004D7AC0">
      <w:pPr>
        <w:pStyle w:val="ListParagraph"/>
        <w:ind w:left="0"/>
      </w:pPr>
    </w:p>
    <w:p w14:paraId="7BF91C3B" w14:textId="274B597C" w:rsidR="008A6059" w:rsidRPr="008A6059" w:rsidRDefault="00465162" w:rsidP="008A6059">
      <w:pPr>
        <w:widowControl w:val="0"/>
        <w:numPr>
          <w:ilvl w:val="0"/>
          <w:numId w:val="4"/>
        </w:numPr>
        <w:overflowPunct w:val="0"/>
        <w:autoSpaceDE w:val="0"/>
        <w:autoSpaceDN w:val="0"/>
        <w:adjustRightInd w:val="0"/>
        <w:ind w:hanging="567"/>
        <w:textAlignment w:val="baseline"/>
        <w:rPr>
          <w:sz w:val="20"/>
          <w:szCs w:val="20"/>
        </w:rPr>
      </w:pPr>
      <w:r>
        <w:br w:type="page"/>
      </w:r>
      <w:hyperlink r:id="rId32" w:tgtFrame="_blank" w:history="1">
        <w:r>
          <w:rPr>
            <w:b/>
            <w:i/>
            <w:color w:val="0000FF"/>
            <w:sz w:val="28"/>
            <w:u w:val="single"/>
          </w:rPr>
          <w:t>Relatório sobre a Política de Concorrência 2024</w:t>
        </w:r>
      </w:hyperlink>
    </w:p>
    <w:p w14:paraId="1EBCF21B" w14:textId="77777777" w:rsidR="008A6059" w:rsidRPr="00F5540C" w:rsidRDefault="008A6059" w:rsidP="008A6059">
      <w:pPr>
        <w:tabs>
          <w:tab w:val="center" w:pos="284"/>
        </w:tabs>
        <w:overflowPunct w:val="0"/>
        <w:autoSpaceDE w:val="0"/>
        <w:autoSpaceDN w:val="0"/>
        <w:adjustRightInd w:val="0"/>
        <w:ind w:left="266" w:hanging="266"/>
        <w:textAlignment w:val="baseline"/>
        <w:rPr>
          <w: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8A6059" w:rsidRPr="008A6059" w14:paraId="2893C03B" w14:textId="77777777" w:rsidTr="0036489A">
        <w:tc>
          <w:tcPr>
            <w:tcW w:w="1701" w:type="dxa"/>
          </w:tcPr>
          <w:p w14:paraId="51A0B439" w14:textId="77777777" w:rsidR="008A6059" w:rsidRPr="000F2F76" w:rsidRDefault="008A6059" w:rsidP="008A6059">
            <w:pPr>
              <w:tabs>
                <w:tab w:val="center" w:pos="284"/>
              </w:tabs>
              <w:overflowPunct w:val="0"/>
              <w:autoSpaceDE w:val="0"/>
              <w:autoSpaceDN w:val="0"/>
              <w:adjustRightInd w:val="0"/>
              <w:ind w:left="266" w:hanging="266"/>
              <w:textAlignment w:val="baseline"/>
              <w:rPr>
                <w:b/>
                <w:sz w:val="22"/>
                <w:szCs w:val="22"/>
              </w:rPr>
            </w:pPr>
            <w:r w:rsidRPr="000F2F76">
              <w:rPr>
                <w:b/>
                <w:sz w:val="22"/>
                <w:szCs w:val="22"/>
              </w:rPr>
              <w:t>Relator</w:t>
            </w:r>
          </w:p>
        </w:tc>
        <w:tc>
          <w:tcPr>
            <w:tcW w:w="5387" w:type="dxa"/>
          </w:tcPr>
          <w:p w14:paraId="1D2ED450" w14:textId="10B4B8A6" w:rsidR="008A6059" w:rsidRPr="000F2F76" w:rsidRDefault="008A6059" w:rsidP="008A6059">
            <w:pPr>
              <w:tabs>
                <w:tab w:val="center" w:pos="284"/>
              </w:tabs>
              <w:overflowPunct w:val="0"/>
              <w:autoSpaceDE w:val="0"/>
              <w:autoSpaceDN w:val="0"/>
              <w:adjustRightInd w:val="0"/>
              <w:ind w:left="266" w:hanging="266"/>
              <w:textAlignment w:val="baseline"/>
              <w:rPr>
                <w:sz w:val="22"/>
                <w:szCs w:val="22"/>
              </w:rPr>
            </w:pPr>
            <w:r w:rsidRPr="000F2F76">
              <w:rPr>
                <w:sz w:val="22"/>
                <w:szCs w:val="22"/>
              </w:rPr>
              <w:t>Andrea Mone (IT-Grupo dos Trabalhadores)</w:t>
            </w:r>
          </w:p>
        </w:tc>
      </w:tr>
      <w:tr w:rsidR="008A6059" w:rsidRPr="008A6059" w14:paraId="55F5B62B" w14:textId="77777777" w:rsidTr="0036489A">
        <w:tc>
          <w:tcPr>
            <w:tcW w:w="7088" w:type="dxa"/>
            <w:gridSpan w:val="2"/>
          </w:tcPr>
          <w:p w14:paraId="47424FA1" w14:textId="77777777" w:rsidR="008A6059" w:rsidRPr="000F2F76" w:rsidRDefault="008A6059" w:rsidP="008A6059">
            <w:pPr>
              <w:tabs>
                <w:tab w:val="center" w:pos="284"/>
              </w:tabs>
              <w:overflowPunct w:val="0"/>
              <w:autoSpaceDE w:val="0"/>
              <w:autoSpaceDN w:val="0"/>
              <w:adjustRightInd w:val="0"/>
              <w:spacing w:line="160" w:lineRule="exact"/>
              <w:ind w:left="266" w:hanging="266"/>
              <w:textAlignment w:val="baseline"/>
              <w:rPr>
                <w:sz w:val="22"/>
                <w:szCs w:val="22"/>
              </w:rPr>
            </w:pPr>
          </w:p>
        </w:tc>
      </w:tr>
      <w:tr w:rsidR="008A6059" w:rsidRPr="008A6059" w14:paraId="6946E1F7" w14:textId="77777777" w:rsidTr="0036489A">
        <w:tc>
          <w:tcPr>
            <w:tcW w:w="1701" w:type="dxa"/>
            <w:vMerge w:val="restart"/>
          </w:tcPr>
          <w:p w14:paraId="4E5A71ED" w14:textId="77777777" w:rsidR="008A6059" w:rsidRPr="000F2F76" w:rsidRDefault="008A6059" w:rsidP="008A6059">
            <w:pPr>
              <w:tabs>
                <w:tab w:val="center" w:pos="284"/>
              </w:tabs>
              <w:overflowPunct w:val="0"/>
              <w:autoSpaceDE w:val="0"/>
              <w:autoSpaceDN w:val="0"/>
              <w:adjustRightInd w:val="0"/>
              <w:ind w:left="266" w:hanging="266"/>
              <w:textAlignment w:val="baseline"/>
              <w:rPr>
                <w:b/>
                <w:sz w:val="22"/>
                <w:szCs w:val="22"/>
              </w:rPr>
            </w:pPr>
            <w:r w:rsidRPr="000F2F76">
              <w:rPr>
                <w:b/>
                <w:sz w:val="22"/>
                <w:szCs w:val="22"/>
              </w:rPr>
              <w:t>Referências</w:t>
            </w:r>
          </w:p>
        </w:tc>
        <w:tc>
          <w:tcPr>
            <w:tcW w:w="5387" w:type="dxa"/>
          </w:tcPr>
          <w:p w14:paraId="7ED176EC" w14:textId="77777777" w:rsidR="008A6059" w:rsidRPr="000F2F76" w:rsidRDefault="008A6059" w:rsidP="008A6059">
            <w:pPr>
              <w:tabs>
                <w:tab w:val="center" w:pos="284"/>
              </w:tabs>
              <w:overflowPunct w:val="0"/>
              <w:autoSpaceDE w:val="0"/>
              <w:autoSpaceDN w:val="0"/>
              <w:adjustRightInd w:val="0"/>
              <w:ind w:left="266" w:hanging="266"/>
              <w:textAlignment w:val="baseline"/>
              <w:rPr>
                <w:sz w:val="22"/>
                <w:szCs w:val="22"/>
              </w:rPr>
            </w:pPr>
            <w:r w:rsidRPr="000F2F76">
              <w:rPr>
                <w:sz w:val="22"/>
                <w:szCs w:val="22"/>
              </w:rPr>
              <w:t>COM(2025) 181 final</w:t>
            </w:r>
          </w:p>
          <w:p w14:paraId="44CC362B" w14:textId="77777777" w:rsidR="008A6059" w:rsidRPr="000F2F76" w:rsidRDefault="008A6059" w:rsidP="008A6059">
            <w:pPr>
              <w:tabs>
                <w:tab w:val="center" w:pos="284"/>
              </w:tabs>
              <w:overflowPunct w:val="0"/>
              <w:autoSpaceDE w:val="0"/>
              <w:autoSpaceDN w:val="0"/>
              <w:adjustRightInd w:val="0"/>
              <w:ind w:left="266" w:hanging="266"/>
              <w:textAlignment w:val="baseline"/>
              <w:rPr>
                <w:sz w:val="22"/>
                <w:szCs w:val="22"/>
              </w:rPr>
            </w:pPr>
            <w:r w:rsidRPr="000F2F76">
              <w:rPr>
                <w:sz w:val="22"/>
                <w:szCs w:val="22"/>
              </w:rPr>
              <w:t>EESC-2025-02299-00-00-AC</w:t>
            </w:r>
          </w:p>
        </w:tc>
      </w:tr>
      <w:tr w:rsidR="008A6059" w:rsidRPr="008A6059" w14:paraId="7566A6A0" w14:textId="77777777" w:rsidTr="0036489A">
        <w:tc>
          <w:tcPr>
            <w:tcW w:w="1701" w:type="dxa"/>
            <w:vMerge/>
          </w:tcPr>
          <w:p w14:paraId="5F57B278" w14:textId="77777777" w:rsidR="008A6059" w:rsidRPr="008A6059" w:rsidRDefault="008A6059" w:rsidP="008A6059">
            <w:pPr>
              <w:tabs>
                <w:tab w:val="center" w:pos="284"/>
              </w:tabs>
              <w:overflowPunct w:val="0"/>
              <w:autoSpaceDE w:val="0"/>
              <w:autoSpaceDN w:val="0"/>
              <w:adjustRightInd w:val="0"/>
              <w:ind w:left="266" w:hanging="266"/>
              <w:textAlignment w:val="baseline"/>
              <w:rPr>
                <w:b/>
              </w:rPr>
            </w:pPr>
          </w:p>
        </w:tc>
        <w:tc>
          <w:tcPr>
            <w:tcW w:w="5387" w:type="dxa"/>
          </w:tcPr>
          <w:p w14:paraId="42669B75" w14:textId="77777777" w:rsidR="008A6059" w:rsidRPr="008A6059" w:rsidRDefault="008A6059" w:rsidP="008A6059">
            <w:pPr>
              <w:tabs>
                <w:tab w:val="center" w:pos="284"/>
              </w:tabs>
              <w:overflowPunct w:val="0"/>
              <w:autoSpaceDE w:val="0"/>
              <w:autoSpaceDN w:val="0"/>
              <w:adjustRightInd w:val="0"/>
              <w:ind w:left="266" w:hanging="266"/>
              <w:textAlignment w:val="baseline"/>
            </w:pPr>
          </w:p>
        </w:tc>
      </w:tr>
    </w:tbl>
    <w:p w14:paraId="7E134121" w14:textId="77777777" w:rsidR="008A6059" w:rsidRPr="008A6059" w:rsidRDefault="008A6059" w:rsidP="008A6059">
      <w:pPr>
        <w:tabs>
          <w:tab w:val="center" w:pos="284"/>
        </w:tabs>
        <w:overflowPunct w:val="0"/>
        <w:autoSpaceDE w:val="0"/>
        <w:autoSpaceDN w:val="0"/>
        <w:adjustRightInd w:val="0"/>
        <w:ind w:left="266" w:hanging="266"/>
        <w:textAlignment w:val="baseline"/>
        <w:rPr>
          <w:lang w:val="en-GB"/>
        </w:rPr>
      </w:pPr>
    </w:p>
    <w:p w14:paraId="43B69CAE" w14:textId="77777777" w:rsidR="008A6059" w:rsidRPr="008A6059" w:rsidRDefault="008A6059" w:rsidP="008A6059">
      <w:pPr>
        <w:keepNext/>
        <w:keepLines/>
        <w:tabs>
          <w:tab w:val="center" w:pos="284"/>
        </w:tabs>
        <w:overflowPunct w:val="0"/>
        <w:autoSpaceDE w:val="0"/>
        <w:autoSpaceDN w:val="0"/>
        <w:adjustRightInd w:val="0"/>
        <w:ind w:left="266" w:hanging="266"/>
        <w:textAlignment w:val="baseline"/>
        <w:rPr>
          <w:b/>
        </w:rPr>
      </w:pPr>
      <w:r>
        <w:rPr>
          <w:b/>
        </w:rPr>
        <w:t>Pontos principais</w:t>
      </w:r>
    </w:p>
    <w:p w14:paraId="4FA58545" w14:textId="77777777" w:rsidR="008A6059" w:rsidRPr="008A6059" w:rsidRDefault="008A6059" w:rsidP="008A6059">
      <w:pPr>
        <w:keepNext/>
        <w:keepLines/>
        <w:tabs>
          <w:tab w:val="center" w:pos="284"/>
        </w:tabs>
        <w:overflowPunct w:val="0"/>
        <w:autoSpaceDE w:val="0"/>
        <w:autoSpaceDN w:val="0"/>
        <w:adjustRightInd w:val="0"/>
        <w:ind w:left="266" w:hanging="266"/>
        <w:textAlignment w:val="baseline"/>
        <w:rPr>
          <w:b/>
          <w:lang w:val="en-GB"/>
        </w:rPr>
      </w:pPr>
    </w:p>
    <w:p w14:paraId="1BF67B8A" w14:textId="77777777" w:rsidR="008A6059" w:rsidRPr="008A6059" w:rsidRDefault="008A6059" w:rsidP="008A6059">
      <w:pPr>
        <w:overflowPunct w:val="0"/>
        <w:autoSpaceDE w:val="0"/>
        <w:autoSpaceDN w:val="0"/>
        <w:adjustRightInd w:val="0"/>
        <w:textAlignment w:val="baseline"/>
        <w:rPr>
          <w:bCs/>
          <w:iCs/>
        </w:rPr>
      </w:pPr>
      <w:r>
        <w:t>O Comité Económico e Social Europeu:</w:t>
      </w:r>
    </w:p>
    <w:p w14:paraId="59EE1DF2" w14:textId="77777777" w:rsidR="008A6059" w:rsidRPr="00F5540C" w:rsidRDefault="008A6059" w:rsidP="008A6059">
      <w:pPr>
        <w:overflowPunct w:val="0"/>
        <w:autoSpaceDE w:val="0"/>
        <w:autoSpaceDN w:val="0"/>
        <w:adjustRightInd w:val="0"/>
        <w:textAlignment w:val="baseline"/>
        <w:rPr>
          <w:bCs/>
          <w:iCs/>
        </w:rPr>
      </w:pPr>
    </w:p>
    <w:p w14:paraId="1EFFAB53"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congratula-se com a </w:t>
      </w:r>
      <w:r>
        <w:rPr>
          <w:b/>
        </w:rPr>
        <w:t>abordagem adotada pela Comissão em 2024 em matéria de controlo do cumprimento das regras</w:t>
      </w:r>
      <w:r>
        <w:t>, que alinha a política de concorrência com os objetivos digitais, ecológicos e de resiliência da União Europeia (UE), salvaguardando simultaneamente o bom funcionamento e a competitividade do mercado único;</w:t>
      </w:r>
    </w:p>
    <w:p w14:paraId="607132BD"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apoia os esforços da Comissão para reforçar a </w:t>
      </w:r>
      <w:r>
        <w:rPr>
          <w:b/>
        </w:rPr>
        <w:t>eficácia e a previsibilidade das regras da concorrência</w:t>
      </w:r>
      <w:r>
        <w:t>, incluindo a elaboração das novas Orientações relativas às práticas abusivas de exclusão por parte de empresas em posição dominante, a Comunicação relativa à definição de mercado modernizada e os instrumentos mais eficazes para avaliar o impacto no bem-estar dos consumidores;</w:t>
      </w:r>
    </w:p>
    <w:p w14:paraId="30166AC6"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salienta a importância de dar resposta aos desafios da concorrência nos </w:t>
      </w:r>
      <w:r>
        <w:rPr>
          <w:b/>
        </w:rPr>
        <w:t>mercados digitais</w:t>
      </w:r>
      <w:r>
        <w:t xml:space="preserve"> e incentiva a Comissão a continuar a reforçar o controlo do cumprimento tanto das regras de concorrência tradicionais como do Regulamento Mercados Digitais, tendo em conta a posição dominante estrutural de grandes operadores e os obstáculos à entrada de concorrentes nos modelos de negócio baseados em plataformas;</w:t>
      </w:r>
    </w:p>
    <w:p w14:paraId="2C7DEA84"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solicita um </w:t>
      </w:r>
      <w:r>
        <w:rPr>
          <w:b/>
        </w:rPr>
        <w:t>maior controlo das concentrações</w:t>
      </w:r>
      <w:r>
        <w:t xml:space="preserve">, incluindo um quadro para examinar as aquisições abaixo dos limiares que possam ter um impacto negativo na concorrência (por exemplo, as «aquisições predatórias»); insta a que </w:t>
      </w:r>
      <w:r>
        <w:rPr>
          <w:b/>
        </w:rPr>
        <w:t>se tenha mais em conta o impacto no mercado de trabalho e a</w:t>
      </w:r>
      <w:r>
        <w:t xml:space="preserve"> dinâmica da </w:t>
      </w:r>
      <w:r>
        <w:rPr>
          <w:b/>
        </w:rPr>
        <w:t>inovação</w:t>
      </w:r>
      <w:r>
        <w:t xml:space="preserve"> nas avaliações das concentrações;</w:t>
      </w:r>
    </w:p>
    <w:p w14:paraId="47C13D78"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insiste na necessidade de estabelecer </w:t>
      </w:r>
      <w:r>
        <w:rPr>
          <w:b/>
        </w:rPr>
        <w:t>regras em matéria de auxílios estatais</w:t>
      </w:r>
      <w:r>
        <w:t xml:space="preserve"> – em particular no Enquadramento para os Auxílios Estatais no Âmbito do Pacto da Indústria Limpa e nos projetos importantes de interesse europeu comum (PIIEC) – que promovam </w:t>
      </w:r>
      <w:r>
        <w:rPr>
          <w:b/>
        </w:rPr>
        <w:t>a participação transfronteiriça, reduzam a fragmentação e apoiem os investimentos estratégicos</w:t>
      </w:r>
      <w:r>
        <w:t xml:space="preserve"> essenciais para o Pacto da Indústria Limpa, assegurando simultaneamente a coesão e condições de concorrência equitativas em todos os Estados-Membros.</w:t>
      </w:r>
    </w:p>
    <w:p w14:paraId="5B6011EA" w14:textId="77777777" w:rsidR="008A6059" w:rsidRPr="00F5540C" w:rsidRDefault="008A6059" w:rsidP="008A6059">
      <w:pPr>
        <w:widowControl w:val="0"/>
        <w:overflowPunct w:val="0"/>
        <w:autoSpaceDE w:val="0"/>
        <w:autoSpaceDN w:val="0"/>
        <w:adjustRightInd w:val="0"/>
        <w:ind w:left="709"/>
        <w:textAlignment w:val="baseline"/>
        <w:rPr>
          <w:szCs w:val="20"/>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4995"/>
      </w:tblGrid>
      <w:tr w:rsidR="008A6059" w:rsidRPr="008A6059" w14:paraId="60D2607C" w14:textId="77777777" w:rsidTr="000F2F76">
        <w:tc>
          <w:tcPr>
            <w:tcW w:w="2093" w:type="dxa"/>
          </w:tcPr>
          <w:p w14:paraId="0F9C1860" w14:textId="77777777" w:rsidR="008A6059" w:rsidRPr="000F2F76" w:rsidRDefault="008A6059" w:rsidP="008A6059">
            <w:pPr>
              <w:overflowPunct w:val="0"/>
              <w:autoSpaceDE w:val="0"/>
              <w:autoSpaceDN w:val="0"/>
              <w:adjustRightInd w:val="0"/>
              <w:spacing w:line="240" w:lineRule="auto"/>
              <w:textAlignment w:val="baseline"/>
              <w:rPr>
                <w:i/>
                <w:sz w:val="22"/>
                <w:szCs w:val="22"/>
              </w:rPr>
            </w:pPr>
            <w:r w:rsidRPr="000F2F76">
              <w:rPr>
                <w:b/>
                <w:i/>
                <w:sz w:val="22"/>
                <w:szCs w:val="22"/>
              </w:rPr>
              <w:t>Contacto</w:t>
            </w:r>
          </w:p>
        </w:tc>
        <w:tc>
          <w:tcPr>
            <w:tcW w:w="4995" w:type="dxa"/>
          </w:tcPr>
          <w:p w14:paraId="725FD099" w14:textId="77777777" w:rsidR="008A6059" w:rsidRPr="000F2F76" w:rsidRDefault="008A6059" w:rsidP="008A6059">
            <w:pPr>
              <w:overflowPunct w:val="0"/>
              <w:autoSpaceDE w:val="0"/>
              <w:autoSpaceDN w:val="0"/>
              <w:adjustRightInd w:val="0"/>
              <w:spacing w:line="240" w:lineRule="auto"/>
              <w:textAlignment w:val="baseline"/>
              <w:rPr>
                <w:i/>
                <w:sz w:val="22"/>
                <w:szCs w:val="22"/>
              </w:rPr>
            </w:pPr>
            <w:r w:rsidRPr="000F2F76">
              <w:rPr>
                <w:i/>
                <w:sz w:val="22"/>
                <w:szCs w:val="22"/>
              </w:rPr>
              <w:t>Silvia Staffa</w:t>
            </w:r>
          </w:p>
        </w:tc>
      </w:tr>
      <w:tr w:rsidR="008A6059" w:rsidRPr="008A6059" w14:paraId="3BAB393F" w14:textId="77777777" w:rsidTr="000F2F76">
        <w:tc>
          <w:tcPr>
            <w:tcW w:w="2093" w:type="dxa"/>
          </w:tcPr>
          <w:p w14:paraId="01CC6C43" w14:textId="77777777" w:rsidR="008A6059" w:rsidRPr="000F2F76" w:rsidRDefault="008A6059" w:rsidP="008A6059">
            <w:pPr>
              <w:overflowPunct w:val="0"/>
              <w:autoSpaceDE w:val="0"/>
              <w:autoSpaceDN w:val="0"/>
              <w:adjustRightInd w:val="0"/>
              <w:spacing w:line="240" w:lineRule="auto"/>
              <w:textAlignment w:val="baseline"/>
              <w:rPr>
                <w:i/>
                <w:sz w:val="22"/>
                <w:szCs w:val="22"/>
              </w:rPr>
            </w:pPr>
            <w:r w:rsidRPr="000F2F76">
              <w:rPr>
                <w:i/>
                <w:sz w:val="22"/>
                <w:szCs w:val="22"/>
              </w:rPr>
              <w:t>Tel.</w:t>
            </w:r>
          </w:p>
        </w:tc>
        <w:tc>
          <w:tcPr>
            <w:tcW w:w="4995" w:type="dxa"/>
          </w:tcPr>
          <w:p w14:paraId="1A61F972" w14:textId="77777777" w:rsidR="008A6059" w:rsidRPr="000F2F76" w:rsidRDefault="008A6059" w:rsidP="008A6059">
            <w:pPr>
              <w:overflowPunct w:val="0"/>
              <w:autoSpaceDE w:val="0"/>
              <w:autoSpaceDN w:val="0"/>
              <w:adjustRightInd w:val="0"/>
              <w:spacing w:line="240" w:lineRule="auto"/>
              <w:textAlignment w:val="baseline"/>
              <w:rPr>
                <w:i/>
                <w:sz w:val="22"/>
                <w:szCs w:val="22"/>
              </w:rPr>
            </w:pPr>
            <w:r w:rsidRPr="000F2F76">
              <w:rPr>
                <w:i/>
                <w:sz w:val="22"/>
                <w:szCs w:val="22"/>
              </w:rPr>
              <w:t>+32 2 546 83 78</w:t>
            </w:r>
          </w:p>
        </w:tc>
      </w:tr>
      <w:tr w:rsidR="008A6059" w:rsidRPr="008A6059" w14:paraId="6DC120EA" w14:textId="77777777" w:rsidTr="000F2F76">
        <w:tc>
          <w:tcPr>
            <w:tcW w:w="2093" w:type="dxa"/>
          </w:tcPr>
          <w:p w14:paraId="32C00486" w14:textId="001C808A" w:rsidR="008A6059" w:rsidRPr="000F2F76" w:rsidRDefault="006E6F14" w:rsidP="008A6059">
            <w:pPr>
              <w:overflowPunct w:val="0"/>
              <w:autoSpaceDE w:val="0"/>
              <w:autoSpaceDN w:val="0"/>
              <w:adjustRightInd w:val="0"/>
              <w:spacing w:line="240" w:lineRule="auto"/>
              <w:textAlignment w:val="baseline"/>
              <w:rPr>
                <w:i/>
                <w:sz w:val="22"/>
                <w:szCs w:val="22"/>
              </w:rPr>
            </w:pPr>
            <w:r w:rsidRPr="000F2F76">
              <w:rPr>
                <w:i/>
                <w:sz w:val="22"/>
                <w:szCs w:val="22"/>
              </w:rPr>
              <w:t>Endereço eletrónico</w:t>
            </w:r>
          </w:p>
        </w:tc>
        <w:tc>
          <w:tcPr>
            <w:tcW w:w="4995" w:type="dxa"/>
          </w:tcPr>
          <w:p w14:paraId="0B7A4BF8" w14:textId="77777777" w:rsidR="008A6059" w:rsidRPr="000F2F76" w:rsidRDefault="001D1405" w:rsidP="008A6059">
            <w:pPr>
              <w:overflowPunct w:val="0"/>
              <w:autoSpaceDE w:val="0"/>
              <w:autoSpaceDN w:val="0"/>
              <w:adjustRightInd w:val="0"/>
              <w:spacing w:line="240" w:lineRule="auto"/>
              <w:textAlignment w:val="baseline"/>
              <w:rPr>
                <w:i/>
                <w:sz w:val="22"/>
                <w:szCs w:val="22"/>
              </w:rPr>
            </w:pPr>
            <w:hyperlink r:id="rId33" w:history="1">
              <w:r w:rsidR="00645EDF" w:rsidRPr="000F2F76">
                <w:rPr>
                  <w:i/>
                  <w:color w:val="0000FF"/>
                  <w:sz w:val="22"/>
                  <w:szCs w:val="22"/>
                  <w:u w:val="single"/>
                </w:rPr>
                <w:t>Silvia.Staffa@eesc.europa.eu</w:t>
              </w:r>
            </w:hyperlink>
          </w:p>
        </w:tc>
      </w:tr>
    </w:tbl>
    <w:p w14:paraId="4982DE1D" w14:textId="77777777" w:rsidR="004D7AC0" w:rsidRDefault="004D7AC0" w:rsidP="004D7AC0">
      <w:pPr>
        <w:pStyle w:val="ListParagraph"/>
        <w:ind w:left="0"/>
      </w:pPr>
    </w:p>
    <w:p w14:paraId="4E659D6D" w14:textId="0C2068A0" w:rsidR="00685A3A" w:rsidRPr="00685A3A" w:rsidRDefault="004D7AC0" w:rsidP="00685A3A">
      <w:pPr>
        <w:widowControl w:val="0"/>
        <w:numPr>
          <w:ilvl w:val="0"/>
          <w:numId w:val="4"/>
        </w:numPr>
        <w:overflowPunct w:val="0"/>
        <w:autoSpaceDE w:val="0"/>
        <w:autoSpaceDN w:val="0"/>
        <w:adjustRightInd w:val="0"/>
        <w:ind w:hanging="567"/>
        <w:textAlignment w:val="baseline"/>
        <w:rPr>
          <w:i/>
          <w:iCs/>
          <w:sz w:val="28"/>
          <w:szCs w:val="28"/>
        </w:rPr>
      </w:pPr>
      <w:r>
        <w:br w:type="page"/>
      </w:r>
      <w:hyperlink r:id="rId34" w:history="1">
        <w:r>
          <w:rPr>
            <w:b/>
            <w:i/>
            <w:color w:val="0000FF"/>
            <w:sz w:val="28"/>
            <w:u w:val="single"/>
          </w:rPr>
          <w:t>Fundo Europ</w:t>
        </w:r>
        <w:r>
          <w:rPr>
            <w:b/>
            <w:i/>
            <w:color w:val="0000FF"/>
            <w:sz w:val="28"/>
            <w:u w:val="single"/>
          </w:rPr>
          <w:t>e</w:t>
        </w:r>
        <w:r>
          <w:rPr>
            <w:b/>
            <w:i/>
            <w:color w:val="0000FF"/>
            <w:sz w:val="28"/>
            <w:u w:val="single"/>
          </w:rPr>
          <w:t>u de Competitividade</w:t>
        </w:r>
      </w:hyperlink>
    </w:p>
    <w:p w14:paraId="2B552AA7"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p>
    <w:tbl>
      <w:tblPr>
        <w:tblStyle w:val="TableGrid10"/>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7145"/>
      </w:tblGrid>
      <w:tr w:rsidR="00685A3A" w:rsidRPr="00685A3A" w14:paraId="5D349B8F" w14:textId="77777777" w:rsidTr="0036489A">
        <w:trPr>
          <w:trHeight w:val="406"/>
        </w:trPr>
        <w:tc>
          <w:tcPr>
            <w:tcW w:w="1108" w:type="pct"/>
          </w:tcPr>
          <w:p w14:paraId="7D52188A" w14:textId="77777777" w:rsidR="00685A3A" w:rsidRPr="000F2F76" w:rsidRDefault="00685A3A" w:rsidP="00685A3A">
            <w:pPr>
              <w:tabs>
                <w:tab w:val="center" w:pos="284"/>
              </w:tabs>
              <w:overflowPunct w:val="0"/>
              <w:autoSpaceDE w:val="0"/>
              <w:autoSpaceDN w:val="0"/>
              <w:adjustRightInd w:val="0"/>
              <w:ind w:left="266" w:hanging="266"/>
              <w:textAlignment w:val="baseline"/>
              <w:rPr>
                <w:b/>
                <w:sz w:val="22"/>
                <w:szCs w:val="22"/>
              </w:rPr>
            </w:pPr>
            <w:r w:rsidRPr="000F2F76">
              <w:rPr>
                <w:b/>
                <w:sz w:val="22"/>
                <w:szCs w:val="22"/>
              </w:rPr>
              <w:t>Relatora</w:t>
            </w:r>
          </w:p>
        </w:tc>
        <w:tc>
          <w:tcPr>
            <w:tcW w:w="3892" w:type="pct"/>
          </w:tcPr>
          <w:p w14:paraId="51845819" w14:textId="525A6D0F" w:rsidR="00685A3A" w:rsidRPr="000F2F76" w:rsidRDefault="00685A3A" w:rsidP="00685A3A">
            <w:pPr>
              <w:tabs>
                <w:tab w:val="center" w:pos="0"/>
              </w:tabs>
              <w:overflowPunct w:val="0"/>
              <w:autoSpaceDE w:val="0"/>
              <w:autoSpaceDN w:val="0"/>
              <w:adjustRightInd w:val="0"/>
              <w:ind w:left="266" w:hanging="266"/>
              <w:textAlignment w:val="baseline"/>
              <w:rPr>
                <w:sz w:val="22"/>
                <w:szCs w:val="22"/>
              </w:rPr>
            </w:pPr>
            <w:r w:rsidRPr="000F2F76">
              <w:rPr>
                <w:sz w:val="22"/>
                <w:szCs w:val="22"/>
              </w:rPr>
              <w:t>Milena Angelova (BG-Grupo dos Empregadores)</w:t>
            </w:r>
          </w:p>
        </w:tc>
      </w:tr>
      <w:tr w:rsidR="00685A3A" w:rsidRPr="00685A3A" w14:paraId="3F4509C4" w14:textId="77777777" w:rsidTr="0036489A">
        <w:tc>
          <w:tcPr>
            <w:tcW w:w="1108" w:type="pct"/>
          </w:tcPr>
          <w:p w14:paraId="4640AD0B" w14:textId="77777777" w:rsidR="00685A3A" w:rsidRPr="000F2F76" w:rsidRDefault="00685A3A" w:rsidP="00685A3A">
            <w:pPr>
              <w:tabs>
                <w:tab w:val="center" w:pos="284"/>
              </w:tabs>
              <w:overflowPunct w:val="0"/>
              <w:autoSpaceDE w:val="0"/>
              <w:autoSpaceDN w:val="0"/>
              <w:adjustRightInd w:val="0"/>
              <w:ind w:left="266" w:hanging="266"/>
              <w:textAlignment w:val="baseline"/>
              <w:rPr>
                <w:b/>
                <w:sz w:val="22"/>
                <w:szCs w:val="22"/>
              </w:rPr>
            </w:pPr>
            <w:r w:rsidRPr="000F2F76">
              <w:rPr>
                <w:b/>
                <w:sz w:val="22"/>
                <w:szCs w:val="22"/>
              </w:rPr>
              <w:t>Referências</w:t>
            </w:r>
          </w:p>
        </w:tc>
        <w:tc>
          <w:tcPr>
            <w:tcW w:w="3892" w:type="pct"/>
          </w:tcPr>
          <w:p w14:paraId="3A3B4EA5" w14:textId="6C386D40" w:rsidR="00685A3A" w:rsidRPr="000F2F76" w:rsidRDefault="00685A3A" w:rsidP="00685A3A">
            <w:pPr>
              <w:tabs>
                <w:tab w:val="center" w:pos="284"/>
              </w:tabs>
              <w:overflowPunct w:val="0"/>
              <w:autoSpaceDE w:val="0"/>
              <w:autoSpaceDN w:val="0"/>
              <w:adjustRightInd w:val="0"/>
              <w:ind w:left="266" w:hanging="266"/>
              <w:textAlignment w:val="baseline"/>
              <w:rPr>
                <w:sz w:val="22"/>
                <w:szCs w:val="22"/>
              </w:rPr>
            </w:pPr>
            <w:r w:rsidRPr="000F2F76">
              <w:rPr>
                <w:sz w:val="22"/>
                <w:szCs w:val="22"/>
              </w:rPr>
              <w:t>COM(2025) 555 final</w:t>
            </w:r>
          </w:p>
          <w:p w14:paraId="1044ED01" w14:textId="77777777" w:rsidR="00685A3A" w:rsidRPr="000F2F76" w:rsidRDefault="00685A3A" w:rsidP="00685A3A">
            <w:pPr>
              <w:tabs>
                <w:tab w:val="center" w:pos="284"/>
              </w:tabs>
              <w:overflowPunct w:val="0"/>
              <w:autoSpaceDE w:val="0"/>
              <w:autoSpaceDN w:val="0"/>
              <w:adjustRightInd w:val="0"/>
              <w:ind w:left="266" w:hanging="266"/>
              <w:textAlignment w:val="baseline"/>
              <w:rPr>
                <w:sz w:val="22"/>
                <w:szCs w:val="22"/>
              </w:rPr>
            </w:pPr>
            <w:r w:rsidRPr="000F2F76">
              <w:rPr>
                <w:sz w:val="22"/>
                <w:szCs w:val="22"/>
              </w:rPr>
              <w:t>EESC-2025-02576-00-00-AC</w:t>
            </w:r>
          </w:p>
        </w:tc>
      </w:tr>
    </w:tbl>
    <w:p w14:paraId="56948C34"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rPr>
      </w:pPr>
    </w:p>
    <w:p w14:paraId="1BD3853A"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rPr>
      </w:pPr>
      <w:r>
        <w:rPr>
          <w:b/>
        </w:rPr>
        <w:t>Pontos principais</w:t>
      </w:r>
    </w:p>
    <w:p w14:paraId="1CAACFD9"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Cs/>
          <w:lang w:val="en-GB"/>
        </w:rPr>
      </w:pPr>
    </w:p>
    <w:p w14:paraId="5FF48023" w14:textId="77777777" w:rsidR="00685A3A" w:rsidRDefault="00685A3A" w:rsidP="00685A3A">
      <w:pPr>
        <w:overflowPunct w:val="0"/>
        <w:autoSpaceDE w:val="0"/>
        <w:autoSpaceDN w:val="0"/>
        <w:adjustRightInd w:val="0"/>
        <w:textAlignment w:val="baseline"/>
        <w:rPr>
          <w:bCs/>
          <w:iCs/>
        </w:rPr>
      </w:pPr>
      <w:r>
        <w:t>O Comité Económico e Social Europeu:</w:t>
      </w:r>
    </w:p>
    <w:p w14:paraId="2BFD330A" w14:textId="77777777" w:rsidR="0068013D" w:rsidRPr="00F5540C" w:rsidRDefault="0068013D" w:rsidP="00685A3A">
      <w:pPr>
        <w:overflowPunct w:val="0"/>
        <w:autoSpaceDE w:val="0"/>
        <w:autoSpaceDN w:val="0"/>
        <w:adjustRightInd w:val="0"/>
        <w:textAlignment w:val="baseline"/>
        <w:rPr>
          <w:bCs/>
          <w:iCs/>
        </w:rPr>
      </w:pPr>
    </w:p>
    <w:p w14:paraId="41E4A36B" w14:textId="77777777" w:rsidR="00685A3A" w:rsidRPr="00685A3A" w:rsidRDefault="00685A3A" w:rsidP="00054C58">
      <w:pPr>
        <w:numPr>
          <w:ilvl w:val="0"/>
          <w:numId w:val="27"/>
        </w:numPr>
        <w:overflowPunct w:val="0"/>
        <w:autoSpaceDE w:val="0"/>
        <w:autoSpaceDN w:val="0"/>
        <w:adjustRightInd w:val="0"/>
        <w:ind w:left="284" w:hanging="284"/>
        <w:textAlignment w:val="baseline"/>
      </w:pPr>
      <w:r>
        <w:t xml:space="preserve">apoia a criação do Fundo Europeu de Competitividade (FEC) como pedra angular do próximo orçamento da UE e motor de inovação, resiliência e segurança, salientando que o </w:t>
      </w:r>
      <w:r>
        <w:rPr>
          <w:b/>
        </w:rPr>
        <w:t>financiamento deve permanecer firmemente alinhado com a sustentabilidade e a economia social de mercado da UE</w:t>
      </w:r>
      <w:r>
        <w:t>;</w:t>
      </w:r>
    </w:p>
    <w:p w14:paraId="7B5E1E81" w14:textId="77777777" w:rsidR="00685A3A" w:rsidRPr="00685A3A" w:rsidRDefault="00685A3A" w:rsidP="00054C58">
      <w:pPr>
        <w:numPr>
          <w:ilvl w:val="0"/>
          <w:numId w:val="27"/>
        </w:numPr>
        <w:overflowPunct w:val="0"/>
        <w:autoSpaceDE w:val="0"/>
        <w:autoSpaceDN w:val="0"/>
        <w:adjustRightInd w:val="0"/>
        <w:ind w:left="284" w:hanging="284"/>
        <w:textAlignment w:val="baseline"/>
      </w:pPr>
      <w:r>
        <w:rPr>
          <w:b/>
        </w:rPr>
        <w:t>defende uma seleção de projetos à escala da UE, assente no mérito</w:t>
      </w:r>
      <w:r>
        <w:t xml:space="preserve"> e em critérios claros, como a excelência, a orientação para o futuro e o potencial económico. A fim de</w:t>
      </w:r>
      <w:r>
        <w:rPr>
          <w:b/>
        </w:rPr>
        <w:t xml:space="preserve"> evitar o controlo do acesso a nível nacional</w:t>
      </w:r>
      <w:r>
        <w:t>, o CESE defende que se devem adotar procedimentos transparentes e assegurar a igualdade de acesso dos requerentes em todos os Estados-Membros, bem como a participação ativa dos parceiros sociais e da sociedade civil na governação;</w:t>
      </w:r>
    </w:p>
    <w:p w14:paraId="64C52483" w14:textId="77777777" w:rsidR="00685A3A" w:rsidRPr="00685A3A" w:rsidRDefault="00685A3A" w:rsidP="00054C58">
      <w:pPr>
        <w:numPr>
          <w:ilvl w:val="0"/>
          <w:numId w:val="27"/>
        </w:numPr>
        <w:overflowPunct w:val="0"/>
        <w:autoSpaceDE w:val="0"/>
        <w:autoSpaceDN w:val="0"/>
        <w:adjustRightInd w:val="0"/>
        <w:ind w:left="284" w:hanging="284"/>
        <w:textAlignment w:val="baseline"/>
      </w:pPr>
      <w:r>
        <w:rPr>
          <w:b/>
        </w:rPr>
        <w:t>recomenda a introdução de um mecanismo de «validação pelo mercado»</w:t>
      </w:r>
      <w:r>
        <w:t>, exigindo que os projetos que procuram um financiamento complementar avultado da UE – como os projetos importantes de interesse europeu comum ou outros investimentos em grande escala – mobilizem, em primeiro lugar, uma parte de capital privado. Este mecanismo ajudaria a validar a qualidade dos projetos, reduziria a politização das decisões de financiamento e reforçaria a relação entre apoio público e competitividade real;</w:t>
      </w:r>
    </w:p>
    <w:p w14:paraId="7A1693EC" w14:textId="77777777" w:rsidR="00685A3A" w:rsidRPr="00685A3A" w:rsidRDefault="00685A3A" w:rsidP="00054C58">
      <w:pPr>
        <w:numPr>
          <w:ilvl w:val="0"/>
          <w:numId w:val="27"/>
        </w:numPr>
        <w:overflowPunct w:val="0"/>
        <w:autoSpaceDE w:val="0"/>
        <w:autoSpaceDN w:val="0"/>
        <w:adjustRightInd w:val="0"/>
        <w:ind w:left="284" w:hanging="284"/>
        <w:textAlignment w:val="baseline"/>
      </w:pPr>
      <w:r>
        <w:rPr>
          <w:b/>
        </w:rPr>
        <w:t>salienta a necessidade de instrumentos sólidos de avaliação e prevenção dos riscos</w:t>
      </w:r>
      <w:r>
        <w:t>, de forma a assegurar que os recursos do FEC são canalizados apenas para projetos que reforçam verdadeiramente a competitividade da Europa e evitar que se voltem a repetir lacunas do passado nos programas de financiamento da UE;</w:t>
      </w:r>
    </w:p>
    <w:p w14:paraId="4F35B8DF" w14:textId="77777777" w:rsidR="00685A3A" w:rsidRPr="00685A3A" w:rsidRDefault="00685A3A" w:rsidP="00054C58">
      <w:pPr>
        <w:numPr>
          <w:ilvl w:val="0"/>
          <w:numId w:val="27"/>
        </w:numPr>
        <w:overflowPunct w:val="0"/>
        <w:autoSpaceDE w:val="0"/>
        <w:autoSpaceDN w:val="0"/>
        <w:adjustRightInd w:val="0"/>
        <w:ind w:left="284" w:hanging="284"/>
        <w:textAlignment w:val="baseline"/>
      </w:pPr>
      <w:r>
        <w:t xml:space="preserve">destaca a importância de </w:t>
      </w:r>
      <w:r>
        <w:rPr>
          <w:b/>
        </w:rPr>
        <w:t>apoiar as PME, os ecossistemas de inovação regionais e transfronteiriços e o investimento em competências e no trabalho digno</w:t>
      </w:r>
      <w:r>
        <w:t>, simplificando simultaneamente os procedimentos e assegurando uma governação transparente, previsível e inclusiva.</w:t>
      </w: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8"/>
        <w:gridCol w:w="3691"/>
      </w:tblGrid>
      <w:tr w:rsidR="00685A3A" w:rsidRPr="00685A3A" w14:paraId="5EE7D4B5" w14:textId="77777777" w:rsidTr="0036489A">
        <w:tc>
          <w:tcPr>
            <w:tcW w:w="742" w:type="pct"/>
          </w:tcPr>
          <w:p w14:paraId="7E3E84A7" w14:textId="6B50AAD3" w:rsidR="00685A3A" w:rsidRPr="00685A3A" w:rsidRDefault="00685A3A" w:rsidP="00685A3A">
            <w:pPr>
              <w:overflowPunct w:val="0"/>
              <w:autoSpaceDE w:val="0"/>
              <w:autoSpaceDN w:val="0"/>
              <w:adjustRightInd w:val="0"/>
              <w:textAlignment w:val="baseline"/>
              <w:rPr>
                <w:i/>
              </w:rPr>
            </w:pPr>
          </w:p>
        </w:tc>
        <w:tc>
          <w:tcPr>
            <w:tcW w:w="4258" w:type="pct"/>
          </w:tcPr>
          <w:p w14:paraId="3F73F76D" w14:textId="15EE200F" w:rsidR="00685A3A" w:rsidRPr="00685A3A" w:rsidRDefault="00685A3A" w:rsidP="00685A3A">
            <w:pPr>
              <w:overflowPunct w:val="0"/>
              <w:autoSpaceDE w:val="0"/>
              <w:autoSpaceDN w:val="0"/>
              <w:adjustRightInd w:val="0"/>
              <w:textAlignment w:val="baseline"/>
              <w:rPr>
                <w:i/>
              </w:rPr>
            </w:pPr>
          </w:p>
        </w:tc>
      </w:tr>
      <w:tr w:rsidR="00685A3A" w:rsidRPr="00685A3A" w14:paraId="1DB97510" w14:textId="77777777" w:rsidTr="0036489A">
        <w:tc>
          <w:tcPr>
            <w:tcW w:w="742" w:type="pct"/>
          </w:tcPr>
          <w:tbl>
            <w:tblPr>
              <w:tblStyle w:val="TableGrid"/>
              <w:tblW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260"/>
            </w:tblGrid>
            <w:tr w:rsidR="00E13363" w:rsidRPr="000F2F76" w14:paraId="014CFA79" w14:textId="77777777" w:rsidTr="000F2F76">
              <w:tc>
                <w:tcPr>
                  <w:tcW w:w="1971" w:type="pct"/>
                </w:tcPr>
                <w:p w14:paraId="7EB958FC" w14:textId="77777777" w:rsidR="00E13363" w:rsidRPr="000F2F76" w:rsidRDefault="00E13363" w:rsidP="00E13363">
                  <w:pPr>
                    <w:rPr>
                      <w:i/>
                    </w:rPr>
                  </w:pPr>
                  <w:r w:rsidRPr="000F2F76">
                    <w:rPr>
                      <w:b/>
                      <w:i/>
                    </w:rPr>
                    <w:t>Contacto</w:t>
                  </w:r>
                </w:p>
              </w:tc>
              <w:tc>
                <w:tcPr>
                  <w:tcW w:w="3029" w:type="pct"/>
                </w:tcPr>
                <w:p w14:paraId="2797B023" w14:textId="00679360" w:rsidR="00E13363" w:rsidRPr="000F2F76" w:rsidRDefault="00E13363" w:rsidP="00E13363">
                  <w:pPr>
                    <w:rPr>
                      <w:i/>
                    </w:rPr>
                  </w:pPr>
                  <w:r w:rsidRPr="000F2F76">
                    <w:rPr>
                      <w:i/>
                    </w:rPr>
                    <w:t>Silvia Staffa</w:t>
                  </w:r>
                </w:p>
              </w:tc>
            </w:tr>
            <w:tr w:rsidR="00E13363" w:rsidRPr="000F2F76" w14:paraId="545C7BC0" w14:textId="77777777" w:rsidTr="000F2F76">
              <w:tc>
                <w:tcPr>
                  <w:tcW w:w="1971" w:type="pct"/>
                </w:tcPr>
                <w:p w14:paraId="01319993" w14:textId="77777777" w:rsidR="00E13363" w:rsidRPr="000F2F76" w:rsidRDefault="00E13363" w:rsidP="00E13363">
                  <w:pPr>
                    <w:rPr>
                      <w:i/>
                    </w:rPr>
                  </w:pPr>
                  <w:r w:rsidRPr="000F2F76">
                    <w:rPr>
                      <w:i/>
                    </w:rPr>
                    <w:t>Tel.</w:t>
                  </w:r>
                </w:p>
              </w:tc>
              <w:tc>
                <w:tcPr>
                  <w:tcW w:w="3029" w:type="pct"/>
                </w:tcPr>
                <w:p w14:paraId="66DD56EC" w14:textId="05A3A202" w:rsidR="00E13363" w:rsidRPr="000F2F76" w:rsidRDefault="00E13363" w:rsidP="00E13363">
                  <w:pPr>
                    <w:rPr>
                      <w:i/>
                    </w:rPr>
                  </w:pPr>
                  <w:r w:rsidRPr="000F2F76">
                    <w:rPr>
                      <w:i/>
                    </w:rPr>
                    <w:t>+32 2</w:t>
                  </w:r>
                  <w:r w:rsidR="000F2F76" w:rsidRPr="000F2F76">
                    <w:rPr>
                      <w:i/>
                    </w:rPr>
                    <w:t xml:space="preserve"> </w:t>
                  </w:r>
                  <w:r w:rsidRPr="000F2F76">
                    <w:rPr>
                      <w:i/>
                    </w:rPr>
                    <w:t>546</w:t>
                  </w:r>
                  <w:r w:rsidR="000F2F76" w:rsidRPr="000F2F76">
                    <w:rPr>
                      <w:i/>
                    </w:rPr>
                    <w:t xml:space="preserve"> </w:t>
                  </w:r>
                  <w:r w:rsidRPr="000F2F76">
                    <w:rPr>
                      <w:i/>
                    </w:rPr>
                    <w:t>83</w:t>
                  </w:r>
                  <w:r w:rsidR="000F2F76" w:rsidRPr="000F2F76">
                    <w:rPr>
                      <w:i/>
                    </w:rPr>
                    <w:t xml:space="preserve"> </w:t>
                  </w:r>
                  <w:r w:rsidRPr="000F2F76">
                    <w:rPr>
                      <w:i/>
                    </w:rPr>
                    <w:t>78</w:t>
                  </w:r>
                </w:p>
              </w:tc>
            </w:tr>
            <w:tr w:rsidR="00E13363" w:rsidRPr="000F2F76" w14:paraId="4CC970C9" w14:textId="77777777" w:rsidTr="000F2F76">
              <w:tc>
                <w:tcPr>
                  <w:tcW w:w="1971" w:type="pct"/>
                </w:tcPr>
                <w:p w14:paraId="7B046870" w14:textId="77777777" w:rsidR="00E13363" w:rsidRPr="000F2F76" w:rsidRDefault="00E13363" w:rsidP="00E13363">
                  <w:pPr>
                    <w:rPr>
                      <w:i/>
                    </w:rPr>
                  </w:pPr>
                  <w:r w:rsidRPr="000F2F76">
                    <w:rPr>
                      <w:i/>
                    </w:rPr>
                    <w:t>Endereço eletrónico</w:t>
                  </w:r>
                </w:p>
              </w:tc>
              <w:tc>
                <w:tcPr>
                  <w:tcW w:w="3029" w:type="pct"/>
                </w:tcPr>
                <w:p w14:paraId="73277BE8" w14:textId="77777777" w:rsidR="00E13363" w:rsidRPr="000F2F76" w:rsidRDefault="001D1405" w:rsidP="00E13363">
                  <w:pPr>
                    <w:rPr>
                      <w:i/>
                      <w:iCs/>
                    </w:rPr>
                  </w:pPr>
                  <w:hyperlink r:id="rId35" w:history="1">
                    <w:r w:rsidR="00645EDF" w:rsidRPr="000F2F76">
                      <w:rPr>
                        <w:rStyle w:val="Hyperlink"/>
                        <w:i/>
                      </w:rPr>
                      <w:t>Silvia.Staffa@eesc.europa.eu</w:t>
                    </w:r>
                  </w:hyperlink>
                </w:p>
              </w:tc>
            </w:tr>
          </w:tbl>
          <w:p w14:paraId="7ED801DC" w14:textId="10B65685" w:rsidR="00685A3A" w:rsidRPr="000F2F76" w:rsidRDefault="00685A3A" w:rsidP="00685A3A">
            <w:pPr>
              <w:overflowPunct w:val="0"/>
              <w:autoSpaceDE w:val="0"/>
              <w:autoSpaceDN w:val="0"/>
              <w:adjustRightInd w:val="0"/>
              <w:textAlignment w:val="baseline"/>
              <w:rPr>
                <w:i/>
                <w:sz w:val="22"/>
                <w:szCs w:val="22"/>
              </w:rPr>
            </w:pPr>
          </w:p>
        </w:tc>
        <w:tc>
          <w:tcPr>
            <w:tcW w:w="4258" w:type="pct"/>
          </w:tcPr>
          <w:p w14:paraId="3FCC5A85" w14:textId="77777777" w:rsidR="00685A3A" w:rsidRPr="00685A3A" w:rsidRDefault="00685A3A" w:rsidP="00685A3A">
            <w:pPr>
              <w:overflowPunct w:val="0"/>
              <w:autoSpaceDE w:val="0"/>
              <w:autoSpaceDN w:val="0"/>
              <w:adjustRightInd w:val="0"/>
              <w:textAlignment w:val="baseline"/>
              <w:rPr>
                <w:i/>
              </w:rPr>
            </w:pPr>
          </w:p>
        </w:tc>
      </w:tr>
    </w:tbl>
    <w:p w14:paraId="488199D1" w14:textId="4BC42091" w:rsidR="00685A3A" w:rsidRPr="00685A3A" w:rsidRDefault="00685A3A" w:rsidP="00685A3A">
      <w:pPr>
        <w:widowControl w:val="0"/>
        <w:numPr>
          <w:ilvl w:val="0"/>
          <w:numId w:val="4"/>
        </w:numPr>
        <w:overflowPunct w:val="0"/>
        <w:autoSpaceDE w:val="0"/>
        <w:autoSpaceDN w:val="0"/>
        <w:adjustRightInd w:val="0"/>
        <w:ind w:hanging="567"/>
        <w:textAlignment w:val="baseline"/>
        <w:rPr>
          <w:sz w:val="20"/>
          <w:szCs w:val="20"/>
        </w:rPr>
      </w:pPr>
      <w:r>
        <w:br w:type="page"/>
      </w:r>
      <w:hyperlink r:id="rId36" w:history="1">
        <w:r>
          <w:rPr>
            <w:b/>
            <w:i/>
            <w:color w:val="0000FF"/>
            <w:sz w:val="28"/>
            <w:u w:val="single"/>
          </w:rPr>
          <w:t>Revisão do qua</w:t>
        </w:r>
        <w:r>
          <w:rPr>
            <w:b/>
            <w:i/>
            <w:color w:val="0000FF"/>
            <w:sz w:val="28"/>
            <w:u w:val="single"/>
          </w:rPr>
          <w:t>d</w:t>
        </w:r>
        <w:r>
          <w:rPr>
            <w:b/>
            <w:i/>
            <w:color w:val="0000FF"/>
            <w:sz w:val="28"/>
            <w:u w:val="single"/>
          </w:rPr>
          <w:t>ro jurídico europeu em matéria de contratos públicos</w:t>
        </w:r>
      </w:hyperlink>
    </w:p>
    <w:p w14:paraId="2EF6D0F3"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p>
    <w:tbl>
      <w:tblPr>
        <w:tblStyle w:val="TableGrid11"/>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7145"/>
      </w:tblGrid>
      <w:tr w:rsidR="00685A3A" w:rsidRPr="00685A3A" w14:paraId="6187CB39" w14:textId="77777777" w:rsidTr="0036489A">
        <w:trPr>
          <w:trHeight w:val="406"/>
        </w:trPr>
        <w:tc>
          <w:tcPr>
            <w:tcW w:w="1108" w:type="pct"/>
          </w:tcPr>
          <w:p w14:paraId="4DBAD4F1" w14:textId="77777777" w:rsidR="00685A3A" w:rsidRPr="000F2F76" w:rsidRDefault="00685A3A" w:rsidP="00685A3A">
            <w:pPr>
              <w:tabs>
                <w:tab w:val="center" w:pos="284"/>
              </w:tabs>
              <w:overflowPunct w:val="0"/>
              <w:autoSpaceDE w:val="0"/>
              <w:autoSpaceDN w:val="0"/>
              <w:adjustRightInd w:val="0"/>
              <w:ind w:left="266" w:hanging="266"/>
              <w:textAlignment w:val="baseline"/>
              <w:rPr>
                <w:b/>
                <w:sz w:val="22"/>
                <w:szCs w:val="22"/>
              </w:rPr>
            </w:pPr>
            <w:r w:rsidRPr="000F2F76">
              <w:rPr>
                <w:b/>
                <w:sz w:val="22"/>
                <w:szCs w:val="22"/>
              </w:rPr>
              <w:t>Relator</w:t>
            </w:r>
          </w:p>
        </w:tc>
        <w:tc>
          <w:tcPr>
            <w:tcW w:w="3892" w:type="pct"/>
          </w:tcPr>
          <w:p w14:paraId="1387F327" w14:textId="3E223F4E" w:rsidR="00685A3A" w:rsidRPr="000F2F76" w:rsidRDefault="00685A3A" w:rsidP="00685A3A">
            <w:pPr>
              <w:tabs>
                <w:tab w:val="center" w:pos="0"/>
              </w:tabs>
              <w:overflowPunct w:val="0"/>
              <w:autoSpaceDE w:val="0"/>
              <w:autoSpaceDN w:val="0"/>
              <w:adjustRightInd w:val="0"/>
              <w:ind w:left="266" w:hanging="266"/>
              <w:textAlignment w:val="baseline"/>
              <w:rPr>
                <w:sz w:val="22"/>
                <w:szCs w:val="22"/>
              </w:rPr>
            </w:pPr>
            <w:r w:rsidRPr="000F2F76">
              <w:rPr>
                <w:sz w:val="22"/>
                <w:szCs w:val="22"/>
              </w:rPr>
              <w:t>Philip von Brockdorff (MT-Grupo dos Trabalhadores)</w:t>
            </w:r>
          </w:p>
        </w:tc>
      </w:tr>
      <w:tr w:rsidR="00685A3A" w:rsidRPr="00685A3A" w14:paraId="74E460F2" w14:textId="77777777" w:rsidTr="0036489A">
        <w:tc>
          <w:tcPr>
            <w:tcW w:w="1108" w:type="pct"/>
          </w:tcPr>
          <w:p w14:paraId="318C426B" w14:textId="77777777" w:rsidR="00685A3A" w:rsidRPr="000F2F76" w:rsidRDefault="00685A3A" w:rsidP="00685A3A">
            <w:pPr>
              <w:tabs>
                <w:tab w:val="center" w:pos="284"/>
              </w:tabs>
              <w:overflowPunct w:val="0"/>
              <w:autoSpaceDE w:val="0"/>
              <w:autoSpaceDN w:val="0"/>
              <w:adjustRightInd w:val="0"/>
              <w:ind w:left="266" w:hanging="266"/>
              <w:textAlignment w:val="baseline"/>
              <w:rPr>
                <w:b/>
                <w:sz w:val="22"/>
                <w:szCs w:val="22"/>
              </w:rPr>
            </w:pPr>
            <w:r w:rsidRPr="000F2F76">
              <w:rPr>
                <w:b/>
                <w:sz w:val="22"/>
                <w:szCs w:val="22"/>
              </w:rPr>
              <w:t>Referência</w:t>
            </w:r>
          </w:p>
        </w:tc>
        <w:tc>
          <w:tcPr>
            <w:tcW w:w="3892" w:type="pct"/>
          </w:tcPr>
          <w:p w14:paraId="6CDCCE3F" w14:textId="74C336A8" w:rsidR="00685A3A" w:rsidRPr="000F2F76" w:rsidRDefault="00685A3A" w:rsidP="00685A3A">
            <w:pPr>
              <w:tabs>
                <w:tab w:val="center" w:pos="284"/>
              </w:tabs>
              <w:overflowPunct w:val="0"/>
              <w:autoSpaceDE w:val="0"/>
              <w:autoSpaceDN w:val="0"/>
              <w:adjustRightInd w:val="0"/>
              <w:ind w:left="266" w:hanging="266"/>
              <w:textAlignment w:val="baseline"/>
              <w:rPr>
                <w:sz w:val="22"/>
                <w:szCs w:val="22"/>
              </w:rPr>
            </w:pPr>
            <w:r w:rsidRPr="000F2F76">
              <w:rPr>
                <w:sz w:val="22"/>
                <w:szCs w:val="22"/>
              </w:rPr>
              <w:t>Parecer exploratório a pedido da Comissão Europeia</w:t>
            </w:r>
          </w:p>
          <w:p w14:paraId="6DE13CBF" w14:textId="77777777" w:rsidR="00685A3A" w:rsidRPr="000F2F76" w:rsidRDefault="00685A3A" w:rsidP="00685A3A">
            <w:pPr>
              <w:tabs>
                <w:tab w:val="center" w:pos="284"/>
              </w:tabs>
              <w:overflowPunct w:val="0"/>
              <w:autoSpaceDE w:val="0"/>
              <w:autoSpaceDN w:val="0"/>
              <w:adjustRightInd w:val="0"/>
              <w:ind w:left="266" w:hanging="266"/>
              <w:textAlignment w:val="baseline"/>
              <w:rPr>
                <w:sz w:val="22"/>
                <w:szCs w:val="22"/>
              </w:rPr>
            </w:pPr>
            <w:r w:rsidRPr="000F2F76">
              <w:rPr>
                <w:sz w:val="22"/>
                <w:szCs w:val="22"/>
              </w:rPr>
              <w:t>EESC-2025-01402-00-00-AC</w:t>
            </w:r>
          </w:p>
        </w:tc>
      </w:tr>
    </w:tbl>
    <w:p w14:paraId="786823F7"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lang w:val="en-GB"/>
        </w:rPr>
      </w:pPr>
    </w:p>
    <w:p w14:paraId="4E38A4E7"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rPr>
      </w:pPr>
      <w:r>
        <w:rPr>
          <w:b/>
        </w:rPr>
        <w:t>Pontos principais</w:t>
      </w:r>
    </w:p>
    <w:p w14:paraId="6E1B1A97"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Cs/>
          <w:lang w:val="en-GB"/>
        </w:rPr>
      </w:pPr>
    </w:p>
    <w:p w14:paraId="20D8098B" w14:textId="77777777" w:rsidR="00685A3A" w:rsidRDefault="00685A3A" w:rsidP="00685A3A">
      <w:pPr>
        <w:overflowPunct w:val="0"/>
        <w:autoSpaceDE w:val="0"/>
        <w:autoSpaceDN w:val="0"/>
        <w:adjustRightInd w:val="0"/>
        <w:textAlignment w:val="baseline"/>
        <w:rPr>
          <w:bCs/>
          <w:iCs/>
        </w:rPr>
      </w:pPr>
      <w:r>
        <w:t>O Comité Económico e Social Europeu:</w:t>
      </w:r>
    </w:p>
    <w:p w14:paraId="70A20C64" w14:textId="77777777" w:rsidR="00665929" w:rsidRPr="00F5540C" w:rsidRDefault="00665929" w:rsidP="00685A3A">
      <w:pPr>
        <w:overflowPunct w:val="0"/>
        <w:autoSpaceDE w:val="0"/>
        <w:autoSpaceDN w:val="0"/>
        <w:adjustRightInd w:val="0"/>
        <w:textAlignment w:val="baseline"/>
      </w:pPr>
    </w:p>
    <w:p w14:paraId="1AF2E88C"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concorda que é necessária uma revisão da legislação da União Europeia (UE) em vigor para reforçar a simplificação, reduzir os custos administrativos e apoiar uma maior harmonização no mercado único;</w:t>
      </w:r>
    </w:p>
    <w:p w14:paraId="73D00E89"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considera que uma política sustentável da UE em matéria de contratos públicos pode ir além do paradigma restrito de resolução das deficiências do mercado, permitindo a contratação estratégica e orientada para o bem-estar público, consagrar critérios sociais, ambientais e em matéria de inovação como objetivos em pé de igualdade e assegurar o acesso equitativo aos contratos públicos por parte dos operadores privados;</w:t>
      </w:r>
    </w:p>
    <w:p w14:paraId="0FCA8925"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considera que os contratos públicos devem ser adjudicados com base na proposta economicamente mais vantajosa, salientando simultaneamente a importância de critérios não relacionados com o preço, como a qualidade, a inovação e as considerações ambientais, de sustentabilidade e sociais, em especial os direitos dos trabalhadores e as convenções coletivas;</w:t>
      </w:r>
    </w:p>
    <w:p w14:paraId="67FC0F27"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preconiza uma abordagem global das políticas em matéria de serviços de interesse geral;</w:t>
      </w:r>
    </w:p>
    <w:p w14:paraId="4BDE4CA5"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considera que os contratos públicos não devem ser adjudicados a empresas que infrinjam sistematicamente os direitos fundamentais dos trabalhadores ou as convenções coletivas a que estão vinculadas;</w:t>
      </w:r>
    </w:p>
    <w:p w14:paraId="2A2F2AFD"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entende que, sob reserva de critérios jurídicos adequados, e assegurando ao mesmo tempo que se limita ao mínimo a distorção da concorrência, a possibilidade de recorrer à contratação interna para entidades jurídicas maioritariamente controladas e à adjudicação direta deve ser mantida no âmbito da revisão das diretivas da UE em matéria de contratos públicos;</w:t>
      </w:r>
    </w:p>
    <w:p w14:paraId="6E90E59A"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recomenda a introdução de uma obrigação jurídica de avaliar os efeitos dos limiares existentes para os contratos públicos de serviços;</w:t>
      </w:r>
    </w:p>
    <w:p w14:paraId="47C53FE7"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é da opinião que os contratos públicos podem apoiar uma Europa socialmente justa, ecologicamente sustentável e economicamente resiliente, em prol do bem comum;</w:t>
      </w:r>
    </w:p>
    <w:p w14:paraId="75315D9A"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rPr>
          <w:rFonts w:ascii="Calibri" w:hAnsi="Calibri"/>
        </w:rPr>
      </w:pPr>
      <w:r>
        <w:t>solicita cláusulas de revisão dos preços obrigatórias, a fim de ter em conta as alterações salariais nas convenções coletivas e/ou na legislação laboral, a inflação e outros fatores pertinentes que afetem a execução de um contrato, como os custos da energia.</w:t>
      </w:r>
    </w:p>
    <w:p w14:paraId="01E0D13D" w14:textId="77777777" w:rsidR="00685A3A" w:rsidRPr="00F5540C" w:rsidRDefault="00685A3A" w:rsidP="00685A3A">
      <w:pPr>
        <w:spacing w:line="276" w:lineRule="auto"/>
        <w:ind w:left="567"/>
        <w:contextualSpacing/>
        <w:rPr>
          <w:rFonts w:ascii="Calibri" w:hAnsi="Calibri"/>
          <w:bCs/>
          <w:iCs/>
          <w:lang w:eastAsia="zh-CN"/>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7195"/>
      </w:tblGrid>
      <w:tr w:rsidR="00685A3A" w:rsidRPr="00685A3A" w14:paraId="0E43841C" w14:textId="77777777" w:rsidTr="00805F6F">
        <w:tc>
          <w:tcPr>
            <w:tcW w:w="1127" w:type="pct"/>
          </w:tcPr>
          <w:p w14:paraId="28C7C10B" w14:textId="77777777" w:rsidR="00685A3A" w:rsidRPr="00805F6F" w:rsidRDefault="00685A3A" w:rsidP="00685A3A">
            <w:pPr>
              <w:overflowPunct w:val="0"/>
              <w:autoSpaceDE w:val="0"/>
              <w:autoSpaceDN w:val="0"/>
              <w:adjustRightInd w:val="0"/>
              <w:spacing w:line="240" w:lineRule="auto"/>
              <w:textAlignment w:val="baseline"/>
              <w:rPr>
                <w:i/>
                <w:sz w:val="22"/>
                <w:szCs w:val="22"/>
              </w:rPr>
            </w:pPr>
            <w:r w:rsidRPr="00805F6F">
              <w:rPr>
                <w:b/>
                <w:i/>
                <w:sz w:val="22"/>
                <w:szCs w:val="22"/>
              </w:rPr>
              <w:t>Contacto</w:t>
            </w:r>
          </w:p>
        </w:tc>
        <w:tc>
          <w:tcPr>
            <w:tcW w:w="3873" w:type="pct"/>
          </w:tcPr>
          <w:p w14:paraId="1245791A" w14:textId="77777777" w:rsidR="00685A3A" w:rsidRPr="00805F6F" w:rsidRDefault="00685A3A" w:rsidP="00685A3A">
            <w:pPr>
              <w:overflowPunct w:val="0"/>
              <w:autoSpaceDE w:val="0"/>
              <w:autoSpaceDN w:val="0"/>
              <w:adjustRightInd w:val="0"/>
              <w:spacing w:line="240" w:lineRule="auto"/>
              <w:textAlignment w:val="baseline"/>
              <w:rPr>
                <w:i/>
                <w:sz w:val="22"/>
                <w:szCs w:val="22"/>
              </w:rPr>
            </w:pPr>
            <w:r w:rsidRPr="00805F6F">
              <w:rPr>
                <w:i/>
                <w:sz w:val="22"/>
                <w:szCs w:val="22"/>
              </w:rPr>
              <w:t>Annalisa Tessarolo</w:t>
            </w:r>
          </w:p>
        </w:tc>
      </w:tr>
      <w:tr w:rsidR="00685A3A" w:rsidRPr="00685A3A" w14:paraId="3DD656A6" w14:textId="77777777" w:rsidTr="00805F6F">
        <w:tc>
          <w:tcPr>
            <w:tcW w:w="1127" w:type="pct"/>
          </w:tcPr>
          <w:p w14:paraId="4F2FD959" w14:textId="77777777" w:rsidR="00685A3A" w:rsidRPr="00805F6F" w:rsidRDefault="00685A3A" w:rsidP="00685A3A">
            <w:pPr>
              <w:overflowPunct w:val="0"/>
              <w:autoSpaceDE w:val="0"/>
              <w:autoSpaceDN w:val="0"/>
              <w:adjustRightInd w:val="0"/>
              <w:spacing w:line="240" w:lineRule="auto"/>
              <w:textAlignment w:val="baseline"/>
              <w:rPr>
                <w:i/>
                <w:sz w:val="22"/>
                <w:szCs w:val="22"/>
              </w:rPr>
            </w:pPr>
            <w:r w:rsidRPr="00805F6F">
              <w:rPr>
                <w:i/>
                <w:sz w:val="22"/>
                <w:szCs w:val="22"/>
              </w:rPr>
              <w:t>Tel.</w:t>
            </w:r>
          </w:p>
        </w:tc>
        <w:tc>
          <w:tcPr>
            <w:tcW w:w="3873" w:type="pct"/>
          </w:tcPr>
          <w:p w14:paraId="79B2077E" w14:textId="77777777" w:rsidR="00685A3A" w:rsidRPr="00805F6F" w:rsidRDefault="00685A3A" w:rsidP="00685A3A">
            <w:pPr>
              <w:overflowPunct w:val="0"/>
              <w:autoSpaceDE w:val="0"/>
              <w:autoSpaceDN w:val="0"/>
              <w:adjustRightInd w:val="0"/>
              <w:spacing w:line="240" w:lineRule="auto"/>
              <w:textAlignment w:val="baseline"/>
              <w:rPr>
                <w:i/>
                <w:sz w:val="22"/>
                <w:szCs w:val="22"/>
              </w:rPr>
            </w:pPr>
            <w:r w:rsidRPr="00805F6F">
              <w:rPr>
                <w:i/>
                <w:sz w:val="22"/>
                <w:szCs w:val="22"/>
              </w:rPr>
              <w:t>+ 32 2 546 97 32</w:t>
            </w:r>
          </w:p>
        </w:tc>
      </w:tr>
      <w:tr w:rsidR="00685A3A" w:rsidRPr="00685A3A" w14:paraId="31FFB9F3" w14:textId="77777777" w:rsidTr="00805F6F">
        <w:tc>
          <w:tcPr>
            <w:tcW w:w="1127" w:type="pct"/>
          </w:tcPr>
          <w:p w14:paraId="62C6EB1B" w14:textId="77777777" w:rsidR="00685A3A" w:rsidRPr="00805F6F" w:rsidRDefault="00685A3A" w:rsidP="00685A3A">
            <w:pPr>
              <w:overflowPunct w:val="0"/>
              <w:autoSpaceDE w:val="0"/>
              <w:autoSpaceDN w:val="0"/>
              <w:adjustRightInd w:val="0"/>
              <w:spacing w:line="240" w:lineRule="auto"/>
              <w:textAlignment w:val="baseline"/>
              <w:rPr>
                <w:i/>
                <w:sz w:val="22"/>
                <w:szCs w:val="22"/>
              </w:rPr>
            </w:pPr>
            <w:r w:rsidRPr="00805F6F">
              <w:rPr>
                <w:i/>
                <w:sz w:val="22"/>
                <w:szCs w:val="22"/>
              </w:rPr>
              <w:t>Endereço eletrónico</w:t>
            </w:r>
          </w:p>
        </w:tc>
        <w:tc>
          <w:tcPr>
            <w:tcW w:w="3873" w:type="pct"/>
          </w:tcPr>
          <w:p w14:paraId="04364B9F" w14:textId="77777777" w:rsidR="00685A3A" w:rsidRPr="00805F6F" w:rsidRDefault="001D1405" w:rsidP="00685A3A">
            <w:pPr>
              <w:overflowPunct w:val="0"/>
              <w:autoSpaceDE w:val="0"/>
              <w:autoSpaceDN w:val="0"/>
              <w:adjustRightInd w:val="0"/>
              <w:spacing w:line="240" w:lineRule="auto"/>
              <w:textAlignment w:val="baseline"/>
              <w:rPr>
                <w:i/>
                <w:iCs/>
                <w:sz w:val="22"/>
                <w:szCs w:val="22"/>
              </w:rPr>
            </w:pPr>
            <w:hyperlink r:id="rId37" w:history="1">
              <w:r w:rsidR="00645EDF" w:rsidRPr="00805F6F">
                <w:rPr>
                  <w:i/>
                  <w:color w:val="0000FF"/>
                  <w:sz w:val="22"/>
                  <w:szCs w:val="22"/>
                  <w:u w:val="single"/>
                </w:rPr>
                <w:t>Annalisa.Tessarolo@eesc.europa.eu</w:t>
              </w:r>
            </w:hyperlink>
          </w:p>
        </w:tc>
      </w:tr>
    </w:tbl>
    <w:p w14:paraId="40169B8F" w14:textId="3A8D790B" w:rsidR="00685A3A" w:rsidRDefault="00685A3A"/>
    <w:p w14:paraId="1E327181" w14:textId="77777777" w:rsidR="00685A3A" w:rsidRDefault="00685A3A">
      <w:r>
        <w:br w:type="page"/>
      </w:r>
    </w:p>
    <w:p w14:paraId="4982DE1F" w14:textId="77777777" w:rsidR="004D7AC0" w:rsidRDefault="004D7AC0" w:rsidP="004D7AC0">
      <w:pPr>
        <w:pStyle w:val="Heading1"/>
        <w:rPr>
          <w:b/>
        </w:rPr>
      </w:pPr>
      <w:bookmarkStart w:id="16" w:name="_Toc70322234"/>
      <w:bookmarkStart w:id="17" w:name="_Toc75527084"/>
      <w:bookmarkStart w:id="18" w:name="_Toc217055918"/>
      <w:r>
        <w:rPr>
          <w:b/>
        </w:rPr>
        <w:lastRenderedPageBreak/>
        <w:t>AGRICULTURA, DESENVOLVIMENTO RURAL E AMBIENTE</w:t>
      </w:r>
      <w:bookmarkEnd w:id="16"/>
      <w:bookmarkEnd w:id="17"/>
      <w:bookmarkEnd w:id="18"/>
    </w:p>
    <w:p w14:paraId="4982DE20" w14:textId="77777777" w:rsidR="004D7AC0" w:rsidRDefault="004D7AC0" w:rsidP="004D7AC0"/>
    <w:p w14:paraId="280704BE" w14:textId="42E36B01" w:rsidR="00836765" w:rsidRPr="00836765" w:rsidRDefault="001D1405" w:rsidP="00836765">
      <w:pPr>
        <w:widowControl w:val="0"/>
        <w:numPr>
          <w:ilvl w:val="0"/>
          <w:numId w:val="4"/>
        </w:numPr>
        <w:overflowPunct w:val="0"/>
        <w:autoSpaceDE w:val="0"/>
        <w:autoSpaceDN w:val="0"/>
        <w:adjustRightInd w:val="0"/>
        <w:ind w:hanging="567"/>
        <w:textAlignment w:val="baseline"/>
        <w:rPr>
          <w:b/>
        </w:rPr>
      </w:pPr>
      <w:hyperlink r:id="rId38" w:history="1">
        <w:r w:rsidR="00645EDF">
          <w:rPr>
            <w:b/>
            <w:i/>
            <w:color w:val="0000FF"/>
            <w:sz w:val="28"/>
            <w:u w:val="single"/>
          </w:rPr>
          <w:t>Alteraçã</w:t>
        </w:r>
        <w:r w:rsidR="00645EDF">
          <w:rPr>
            <w:b/>
            <w:i/>
            <w:color w:val="0000FF"/>
            <w:sz w:val="28"/>
            <w:u w:val="single"/>
          </w:rPr>
          <w:t>o</w:t>
        </w:r>
        <w:r w:rsidR="00645EDF">
          <w:rPr>
            <w:b/>
            <w:i/>
            <w:color w:val="0000FF"/>
            <w:sz w:val="28"/>
            <w:u w:val="single"/>
          </w:rPr>
          <w:t xml:space="preserve"> do Regulamento (UE) 2023/1115 (Regulamento Desflorestação)</w:t>
        </w:r>
      </w:hyperlink>
      <w:r w:rsidR="00645EDF">
        <w:rPr>
          <w:b/>
          <w:i/>
          <w:sz w:val="28"/>
        </w:rPr>
        <w:t xml:space="preserve"> </w:t>
      </w:r>
    </w:p>
    <w:p w14:paraId="304DC66A" w14:textId="77777777" w:rsidR="00836765" w:rsidRPr="00F5540C" w:rsidRDefault="00836765" w:rsidP="00836765">
      <w:pPr>
        <w:widowControl w:val="0"/>
        <w:overflowPunct w:val="0"/>
        <w:autoSpaceDE w:val="0"/>
        <w:autoSpaceDN w:val="0"/>
        <w:adjustRightInd w:val="0"/>
        <w:ind w:left="266"/>
        <w:textAlignment w:val="baseline"/>
        <w:rPr>
          <w:b/>
          <w:bCs/>
          <w:i/>
          <w:iCs/>
          <w:sz w:val="28"/>
          <w:szCs w:val="28"/>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836765" w:rsidRPr="00836765" w14:paraId="353187E9" w14:textId="77777777" w:rsidTr="0036489A">
        <w:tc>
          <w:tcPr>
            <w:tcW w:w="1077" w:type="pct"/>
            <w:vMerge w:val="restart"/>
          </w:tcPr>
          <w:p w14:paraId="48F35E0D" w14:textId="77777777" w:rsidR="00836765" w:rsidRPr="00805F6F" w:rsidRDefault="00836765" w:rsidP="00836765">
            <w:pPr>
              <w:tabs>
                <w:tab w:val="center" w:pos="284"/>
              </w:tabs>
              <w:overflowPunct w:val="0"/>
              <w:autoSpaceDE w:val="0"/>
              <w:autoSpaceDN w:val="0"/>
              <w:adjustRightInd w:val="0"/>
              <w:ind w:left="266" w:hanging="266"/>
              <w:textAlignment w:val="baseline"/>
              <w:rPr>
                <w:b/>
                <w:sz w:val="22"/>
                <w:szCs w:val="22"/>
              </w:rPr>
            </w:pPr>
            <w:r w:rsidRPr="00805F6F">
              <w:rPr>
                <w:b/>
                <w:sz w:val="22"/>
                <w:szCs w:val="22"/>
              </w:rPr>
              <w:t>Referências</w:t>
            </w:r>
          </w:p>
        </w:tc>
        <w:tc>
          <w:tcPr>
            <w:tcW w:w="3923" w:type="pct"/>
          </w:tcPr>
          <w:p w14:paraId="445830D4" w14:textId="19171181" w:rsidR="00B730AD" w:rsidRPr="00805F6F" w:rsidRDefault="00B730AD" w:rsidP="00836765">
            <w:pPr>
              <w:tabs>
                <w:tab w:val="center" w:pos="284"/>
              </w:tabs>
              <w:overflowPunct w:val="0"/>
              <w:autoSpaceDE w:val="0"/>
              <w:autoSpaceDN w:val="0"/>
              <w:adjustRightInd w:val="0"/>
              <w:ind w:left="266" w:right="-3091" w:hanging="266"/>
              <w:textAlignment w:val="baseline"/>
              <w:rPr>
                <w:sz w:val="22"/>
                <w:szCs w:val="22"/>
              </w:rPr>
            </w:pPr>
            <w:r w:rsidRPr="00805F6F">
              <w:rPr>
                <w:sz w:val="22"/>
                <w:szCs w:val="22"/>
              </w:rPr>
              <w:t>Parecer da Categoria C</w:t>
            </w:r>
          </w:p>
          <w:p w14:paraId="3B6BE4B3" w14:textId="6F87B5D9" w:rsidR="00836765" w:rsidRPr="00805F6F" w:rsidRDefault="00836765" w:rsidP="00836765">
            <w:pPr>
              <w:tabs>
                <w:tab w:val="center" w:pos="284"/>
              </w:tabs>
              <w:overflowPunct w:val="0"/>
              <w:autoSpaceDE w:val="0"/>
              <w:autoSpaceDN w:val="0"/>
              <w:adjustRightInd w:val="0"/>
              <w:ind w:left="266" w:right="-3091" w:hanging="266"/>
              <w:textAlignment w:val="baseline"/>
              <w:rPr>
                <w:sz w:val="22"/>
                <w:szCs w:val="22"/>
              </w:rPr>
            </w:pPr>
            <w:r w:rsidRPr="00805F6F">
              <w:rPr>
                <w:sz w:val="22"/>
                <w:szCs w:val="22"/>
              </w:rPr>
              <w:t>COM(2025) 652 final</w:t>
            </w:r>
          </w:p>
        </w:tc>
      </w:tr>
      <w:tr w:rsidR="00836765" w:rsidRPr="00836765" w14:paraId="61D1A2FF" w14:textId="77777777" w:rsidTr="0036489A">
        <w:tc>
          <w:tcPr>
            <w:tcW w:w="1077" w:type="pct"/>
            <w:vMerge/>
          </w:tcPr>
          <w:p w14:paraId="4837CA2A" w14:textId="77777777" w:rsidR="00836765" w:rsidRPr="00805F6F" w:rsidRDefault="00836765" w:rsidP="00836765">
            <w:pPr>
              <w:tabs>
                <w:tab w:val="center" w:pos="284"/>
              </w:tabs>
              <w:overflowPunct w:val="0"/>
              <w:autoSpaceDE w:val="0"/>
              <w:autoSpaceDN w:val="0"/>
              <w:adjustRightInd w:val="0"/>
              <w:ind w:left="266" w:hanging="266"/>
              <w:textAlignment w:val="baseline"/>
              <w:rPr>
                <w:b/>
                <w:sz w:val="22"/>
                <w:szCs w:val="22"/>
              </w:rPr>
            </w:pPr>
          </w:p>
        </w:tc>
        <w:tc>
          <w:tcPr>
            <w:tcW w:w="3923" w:type="pct"/>
          </w:tcPr>
          <w:p w14:paraId="1F5382E7" w14:textId="77777777" w:rsidR="00836765" w:rsidRPr="00805F6F" w:rsidRDefault="00836765" w:rsidP="00836765">
            <w:pPr>
              <w:tabs>
                <w:tab w:val="center" w:pos="284"/>
              </w:tabs>
              <w:overflowPunct w:val="0"/>
              <w:autoSpaceDE w:val="0"/>
              <w:autoSpaceDN w:val="0"/>
              <w:adjustRightInd w:val="0"/>
              <w:ind w:left="266" w:right="-3091" w:hanging="266"/>
              <w:textAlignment w:val="baseline"/>
              <w:rPr>
                <w:sz w:val="22"/>
                <w:szCs w:val="22"/>
              </w:rPr>
            </w:pPr>
            <w:r w:rsidRPr="00805F6F">
              <w:rPr>
                <w:sz w:val="22"/>
                <w:szCs w:val="22"/>
              </w:rPr>
              <w:t>EESC-2025-03869-00-00-AC-TRA</w:t>
            </w:r>
          </w:p>
        </w:tc>
      </w:tr>
    </w:tbl>
    <w:p w14:paraId="4266EAA0" w14:textId="77777777" w:rsidR="00836765" w:rsidRPr="00836765" w:rsidRDefault="00836765" w:rsidP="00836765">
      <w:pPr>
        <w:tabs>
          <w:tab w:val="center" w:pos="284"/>
        </w:tabs>
        <w:overflowPunct w:val="0"/>
        <w:autoSpaceDE w:val="0"/>
        <w:autoSpaceDN w:val="0"/>
        <w:adjustRightInd w:val="0"/>
        <w:ind w:left="266" w:hanging="266"/>
        <w:textAlignment w:val="baseline"/>
        <w:rPr>
          <w:b/>
          <w:lang w:val="en-GB"/>
        </w:rPr>
      </w:pPr>
    </w:p>
    <w:p w14:paraId="0143DBBD" w14:textId="77777777" w:rsidR="00836765" w:rsidRPr="00836765" w:rsidRDefault="00836765" w:rsidP="00836765">
      <w:pPr>
        <w:keepNext/>
        <w:keepLines/>
        <w:tabs>
          <w:tab w:val="center" w:pos="284"/>
        </w:tabs>
        <w:overflowPunct w:val="0"/>
        <w:autoSpaceDE w:val="0"/>
        <w:autoSpaceDN w:val="0"/>
        <w:adjustRightInd w:val="0"/>
        <w:ind w:left="266" w:hanging="266"/>
        <w:textAlignment w:val="baseline"/>
        <w:rPr>
          <w:b/>
        </w:rPr>
      </w:pPr>
      <w:r>
        <w:rPr>
          <w:b/>
        </w:rPr>
        <w:t>Pontos principais</w:t>
      </w:r>
    </w:p>
    <w:p w14:paraId="23518C72" w14:textId="77777777" w:rsidR="00836765" w:rsidRPr="00836765" w:rsidRDefault="00836765" w:rsidP="00836765">
      <w:pPr>
        <w:keepNext/>
        <w:keepLines/>
        <w:tabs>
          <w:tab w:val="center" w:pos="284"/>
        </w:tabs>
        <w:overflowPunct w:val="0"/>
        <w:autoSpaceDE w:val="0"/>
        <w:autoSpaceDN w:val="0"/>
        <w:adjustRightInd w:val="0"/>
        <w:ind w:left="266" w:hanging="266"/>
        <w:textAlignment w:val="baseline"/>
        <w:rPr>
          <w:b/>
          <w:lang w:val="en-GB"/>
        </w:rPr>
      </w:pPr>
    </w:p>
    <w:p w14:paraId="0A85C065" w14:textId="77777777" w:rsidR="00836765" w:rsidRPr="00836765" w:rsidRDefault="00836765" w:rsidP="00836765">
      <w:pPr>
        <w:overflowPunct w:val="0"/>
        <w:autoSpaceDE w:val="0"/>
        <w:autoSpaceDN w:val="0"/>
        <w:adjustRightInd w:val="0"/>
        <w:textAlignment w:val="baseline"/>
        <w:rPr>
          <w:bCs/>
          <w:iCs/>
        </w:rPr>
      </w:pPr>
      <w:r>
        <w:t>O Comité Económico e Social Europeu:</w:t>
      </w:r>
    </w:p>
    <w:p w14:paraId="48328C8A" w14:textId="77777777" w:rsidR="00836765" w:rsidRPr="00F5540C" w:rsidRDefault="00836765" w:rsidP="00836765">
      <w:pPr>
        <w:overflowPunct w:val="0"/>
        <w:autoSpaceDE w:val="0"/>
        <w:autoSpaceDN w:val="0"/>
        <w:adjustRightInd w:val="0"/>
        <w:textAlignment w:val="baseline"/>
        <w:rPr>
          <w:bCs/>
          <w:iCs/>
        </w:rPr>
      </w:pPr>
    </w:p>
    <w:p w14:paraId="564661E9" w14:textId="77777777" w:rsidR="00836765" w:rsidRPr="00836765" w:rsidRDefault="00836765" w:rsidP="00054C58">
      <w:pPr>
        <w:widowControl w:val="0"/>
        <w:numPr>
          <w:ilvl w:val="0"/>
          <w:numId w:val="29"/>
        </w:numPr>
        <w:overflowPunct w:val="0"/>
        <w:autoSpaceDE w:val="0"/>
        <w:autoSpaceDN w:val="0"/>
        <w:adjustRightInd w:val="0"/>
        <w:ind w:left="284" w:hanging="284"/>
        <w:textAlignment w:val="baseline"/>
        <w:rPr>
          <w:bCs/>
          <w:iCs/>
        </w:rPr>
      </w:pPr>
      <w:r>
        <w:t>considerando que já se pronunciara sobre o conteúdo desta proposta nos pareceres EESC-2024-01183-00-00-AC-TRA, adotado em 19.9.2024</w:t>
      </w:r>
      <w:r w:rsidRPr="00805F6F">
        <w:rPr>
          <w:sz w:val="24"/>
          <w:szCs w:val="20"/>
          <w:vertAlign w:val="superscript"/>
          <w:lang w:val="en-GB"/>
        </w:rPr>
        <w:footnoteReference w:id="5"/>
      </w:r>
      <w:r>
        <w:t>, e EESC-2021-05690-00-00-AC-TRA, adotado em 23.2.2022</w:t>
      </w:r>
      <w:r w:rsidRPr="00805F6F">
        <w:rPr>
          <w:sz w:val="24"/>
          <w:szCs w:val="20"/>
          <w:vertAlign w:val="superscript"/>
          <w:lang w:val="en-GB"/>
        </w:rPr>
        <w:footnoteReference w:id="6"/>
      </w:r>
      <w:r>
        <w:t>, decidiu não emitir parecer, remetendo para a posição defendida nos documentos mencionados.</w:t>
      </w:r>
    </w:p>
    <w:p w14:paraId="261D1073" w14:textId="77777777" w:rsidR="00836765" w:rsidRPr="00F5540C" w:rsidRDefault="00836765" w:rsidP="00836765">
      <w:pPr>
        <w:widowControl w:val="0"/>
        <w:overflowPunct w:val="0"/>
        <w:autoSpaceDE w:val="0"/>
        <w:autoSpaceDN w:val="0"/>
        <w:adjustRightInd w:val="0"/>
        <w:ind w:left="709"/>
        <w:textAlignment w:val="baseline"/>
        <w:rPr>
          <w:szCs w:val="20"/>
        </w:rPr>
      </w:pPr>
    </w:p>
    <w:tbl>
      <w:tblPr>
        <w:tblStyle w:val="TableGrid1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6"/>
      </w:tblGrid>
      <w:tr w:rsidR="00836765" w:rsidRPr="00805F6F" w14:paraId="4FE2C2E9" w14:textId="77777777" w:rsidTr="00805F6F">
        <w:tc>
          <w:tcPr>
            <w:tcW w:w="1203" w:type="pct"/>
          </w:tcPr>
          <w:p w14:paraId="440CE4F1" w14:textId="77777777" w:rsidR="00836765" w:rsidRPr="00805F6F" w:rsidRDefault="00836765" w:rsidP="00836765">
            <w:pPr>
              <w:overflowPunct w:val="0"/>
              <w:autoSpaceDE w:val="0"/>
              <w:autoSpaceDN w:val="0"/>
              <w:adjustRightInd w:val="0"/>
              <w:textAlignment w:val="baseline"/>
              <w:rPr>
                <w:i/>
                <w:sz w:val="22"/>
                <w:szCs w:val="22"/>
              </w:rPr>
            </w:pPr>
            <w:r w:rsidRPr="00805F6F">
              <w:rPr>
                <w:b/>
                <w:i/>
                <w:sz w:val="22"/>
                <w:szCs w:val="22"/>
              </w:rPr>
              <w:t>Contacto</w:t>
            </w:r>
          </w:p>
        </w:tc>
        <w:tc>
          <w:tcPr>
            <w:tcW w:w="3797" w:type="pct"/>
          </w:tcPr>
          <w:p w14:paraId="3DB7D13C" w14:textId="2A0D3DD3" w:rsidR="00836765" w:rsidRPr="00805F6F" w:rsidRDefault="00836765" w:rsidP="00836765">
            <w:pPr>
              <w:overflowPunct w:val="0"/>
              <w:autoSpaceDE w:val="0"/>
              <w:autoSpaceDN w:val="0"/>
              <w:adjustRightInd w:val="0"/>
              <w:textAlignment w:val="baseline"/>
              <w:rPr>
                <w:i/>
                <w:sz w:val="22"/>
                <w:szCs w:val="22"/>
              </w:rPr>
            </w:pPr>
            <w:r w:rsidRPr="00805F6F">
              <w:rPr>
                <w:i/>
                <w:sz w:val="22"/>
                <w:szCs w:val="22"/>
              </w:rPr>
              <w:t>Martine Delanoy</w:t>
            </w:r>
          </w:p>
        </w:tc>
      </w:tr>
      <w:tr w:rsidR="00836765" w:rsidRPr="00805F6F" w14:paraId="79B8361E" w14:textId="77777777" w:rsidTr="00805F6F">
        <w:tc>
          <w:tcPr>
            <w:tcW w:w="1203" w:type="pct"/>
          </w:tcPr>
          <w:p w14:paraId="495C55DC" w14:textId="77777777" w:rsidR="00836765" w:rsidRPr="00805F6F" w:rsidRDefault="00836765" w:rsidP="00836765">
            <w:pPr>
              <w:overflowPunct w:val="0"/>
              <w:autoSpaceDE w:val="0"/>
              <w:autoSpaceDN w:val="0"/>
              <w:adjustRightInd w:val="0"/>
              <w:textAlignment w:val="baseline"/>
              <w:rPr>
                <w:i/>
                <w:sz w:val="22"/>
                <w:szCs w:val="22"/>
              </w:rPr>
            </w:pPr>
            <w:r w:rsidRPr="00805F6F">
              <w:rPr>
                <w:i/>
                <w:sz w:val="22"/>
                <w:szCs w:val="22"/>
              </w:rPr>
              <w:t>Tel.</w:t>
            </w:r>
          </w:p>
        </w:tc>
        <w:tc>
          <w:tcPr>
            <w:tcW w:w="3797" w:type="pct"/>
          </w:tcPr>
          <w:p w14:paraId="7656C45E" w14:textId="1B042D7A" w:rsidR="00836765" w:rsidRPr="00805F6F" w:rsidRDefault="00836765" w:rsidP="00836765">
            <w:pPr>
              <w:overflowPunct w:val="0"/>
              <w:autoSpaceDE w:val="0"/>
              <w:autoSpaceDN w:val="0"/>
              <w:adjustRightInd w:val="0"/>
              <w:textAlignment w:val="baseline"/>
              <w:rPr>
                <w:i/>
                <w:sz w:val="22"/>
                <w:szCs w:val="22"/>
              </w:rPr>
            </w:pPr>
            <w:r w:rsidRPr="00805F6F">
              <w:rPr>
                <w:i/>
                <w:sz w:val="22"/>
                <w:szCs w:val="22"/>
              </w:rPr>
              <w:t>+32 2</w:t>
            </w:r>
            <w:r w:rsidR="00805F6F">
              <w:rPr>
                <w:i/>
                <w:sz w:val="22"/>
                <w:szCs w:val="22"/>
              </w:rPr>
              <w:t xml:space="preserve"> </w:t>
            </w:r>
            <w:r w:rsidRPr="00805F6F">
              <w:rPr>
                <w:i/>
                <w:sz w:val="22"/>
                <w:szCs w:val="22"/>
              </w:rPr>
              <w:t>546</w:t>
            </w:r>
            <w:r w:rsidR="00805F6F">
              <w:rPr>
                <w:i/>
                <w:sz w:val="22"/>
                <w:szCs w:val="22"/>
              </w:rPr>
              <w:t xml:space="preserve"> </w:t>
            </w:r>
            <w:r w:rsidRPr="00805F6F">
              <w:rPr>
                <w:i/>
                <w:sz w:val="22"/>
                <w:szCs w:val="22"/>
              </w:rPr>
              <w:t>9</w:t>
            </w:r>
            <w:r w:rsidRPr="00805F6F">
              <w:rPr>
                <w:sz w:val="22"/>
                <w:szCs w:val="22"/>
              </w:rPr>
              <w:t>8</w:t>
            </w:r>
            <w:r w:rsidR="00805F6F">
              <w:rPr>
                <w:sz w:val="22"/>
                <w:szCs w:val="22"/>
              </w:rPr>
              <w:t xml:space="preserve"> </w:t>
            </w:r>
            <w:r w:rsidRPr="00805F6F">
              <w:rPr>
                <w:sz w:val="22"/>
                <w:szCs w:val="22"/>
              </w:rPr>
              <w:t>02</w:t>
            </w:r>
          </w:p>
        </w:tc>
      </w:tr>
      <w:tr w:rsidR="00836765" w:rsidRPr="00805F6F" w14:paraId="24D7B260" w14:textId="77777777" w:rsidTr="00805F6F">
        <w:tc>
          <w:tcPr>
            <w:tcW w:w="1203" w:type="pct"/>
          </w:tcPr>
          <w:p w14:paraId="2B01135D" w14:textId="77777777" w:rsidR="00836765" w:rsidRPr="00805F6F" w:rsidRDefault="00836765" w:rsidP="00836765">
            <w:pPr>
              <w:overflowPunct w:val="0"/>
              <w:autoSpaceDE w:val="0"/>
              <w:autoSpaceDN w:val="0"/>
              <w:adjustRightInd w:val="0"/>
              <w:textAlignment w:val="baseline"/>
              <w:rPr>
                <w:i/>
                <w:sz w:val="22"/>
                <w:szCs w:val="22"/>
              </w:rPr>
            </w:pPr>
            <w:r w:rsidRPr="00805F6F">
              <w:rPr>
                <w:i/>
                <w:sz w:val="22"/>
                <w:szCs w:val="22"/>
              </w:rPr>
              <w:t>Endereço eletrónico</w:t>
            </w:r>
          </w:p>
        </w:tc>
        <w:tc>
          <w:tcPr>
            <w:tcW w:w="3797" w:type="pct"/>
          </w:tcPr>
          <w:p w14:paraId="63509101" w14:textId="77777777" w:rsidR="00836765" w:rsidRPr="00805F6F" w:rsidRDefault="001D1405" w:rsidP="00836765">
            <w:pPr>
              <w:overflowPunct w:val="0"/>
              <w:autoSpaceDE w:val="0"/>
              <w:autoSpaceDN w:val="0"/>
              <w:adjustRightInd w:val="0"/>
              <w:textAlignment w:val="baseline"/>
              <w:rPr>
                <w:i/>
                <w:sz w:val="22"/>
                <w:szCs w:val="22"/>
              </w:rPr>
            </w:pPr>
            <w:hyperlink r:id="rId39" w:history="1">
              <w:r w:rsidR="00645EDF" w:rsidRPr="00805F6F">
                <w:rPr>
                  <w:i/>
                  <w:color w:val="0000FF"/>
                  <w:sz w:val="22"/>
                  <w:szCs w:val="22"/>
                  <w:u w:val="single"/>
                </w:rPr>
                <w:t>Martine.Delanoy@eesc.europa.eu</w:t>
              </w:r>
            </w:hyperlink>
          </w:p>
        </w:tc>
      </w:tr>
    </w:tbl>
    <w:p w14:paraId="4982DE45" w14:textId="52A07963" w:rsidR="007F5784" w:rsidRDefault="007F5784">
      <w:pPr>
        <w:spacing w:after="160" w:line="259" w:lineRule="auto"/>
        <w:jc w:val="left"/>
      </w:pPr>
    </w:p>
    <w:p w14:paraId="7B893721" w14:textId="77777777" w:rsidR="00673B8C" w:rsidRDefault="00673B8C">
      <w:pPr>
        <w:spacing w:after="160" w:line="259" w:lineRule="auto"/>
        <w:jc w:val="left"/>
      </w:pPr>
    </w:p>
    <w:p w14:paraId="5314991A" w14:textId="298CCCC6" w:rsidR="000122F3" w:rsidRPr="000122F3" w:rsidRDefault="007F5784" w:rsidP="000122F3">
      <w:pPr>
        <w:widowControl w:val="0"/>
        <w:numPr>
          <w:ilvl w:val="0"/>
          <w:numId w:val="12"/>
        </w:numPr>
        <w:overflowPunct w:val="0"/>
        <w:autoSpaceDE w:val="0"/>
        <w:autoSpaceDN w:val="0"/>
        <w:adjustRightInd w:val="0"/>
        <w:ind w:left="567" w:hanging="567"/>
        <w:rPr>
          <w:sz w:val="20"/>
          <w:szCs w:val="20"/>
        </w:rPr>
      </w:pPr>
      <w:r>
        <w:br w:type="page"/>
      </w:r>
      <w:hyperlink r:id="rId40" w:history="1">
        <w:r>
          <w:rPr>
            <w:b/>
            <w:i/>
            <w:color w:val="0000FF"/>
            <w:sz w:val="28"/>
            <w:u w:val="single"/>
          </w:rPr>
          <w:t>Revisão do Mecanismo de Proteção Civil da União</w:t>
        </w:r>
      </w:hyperlink>
    </w:p>
    <w:p w14:paraId="5842569B" w14:textId="77777777" w:rsidR="000122F3" w:rsidRPr="00F5540C" w:rsidRDefault="000122F3" w:rsidP="000122F3">
      <w:pPr>
        <w:tabs>
          <w:tab w:val="center" w:pos="284"/>
        </w:tabs>
        <w:overflowPunct w:val="0"/>
        <w:autoSpaceDE w:val="0"/>
        <w:autoSpaceDN w:val="0"/>
        <w:adjustRightInd w:val="0"/>
        <w:ind w:left="266" w:hanging="266"/>
        <w:rPr>
          <w:b/>
        </w:rPr>
      </w:pPr>
    </w:p>
    <w:tbl>
      <w:tblPr>
        <w:tblStyle w:val="TableGrid1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0122F3" w:rsidRPr="000122F3" w14:paraId="2BBA9F50" w14:textId="77777777">
        <w:tc>
          <w:tcPr>
            <w:tcW w:w="1077" w:type="pct"/>
            <w:hideMark/>
          </w:tcPr>
          <w:p w14:paraId="04016230" w14:textId="77777777" w:rsidR="000122F3" w:rsidRPr="00805F6F" w:rsidRDefault="000122F3" w:rsidP="000122F3">
            <w:pPr>
              <w:tabs>
                <w:tab w:val="center" w:pos="284"/>
              </w:tabs>
              <w:overflowPunct w:val="0"/>
              <w:autoSpaceDE w:val="0"/>
              <w:autoSpaceDN w:val="0"/>
              <w:adjustRightInd w:val="0"/>
              <w:ind w:left="266" w:hanging="266"/>
              <w:rPr>
                <w:b/>
                <w:sz w:val="22"/>
                <w:szCs w:val="22"/>
              </w:rPr>
            </w:pPr>
            <w:r w:rsidRPr="00805F6F">
              <w:rPr>
                <w:b/>
                <w:sz w:val="22"/>
                <w:szCs w:val="22"/>
              </w:rPr>
              <w:t>Relator</w:t>
            </w:r>
          </w:p>
        </w:tc>
        <w:tc>
          <w:tcPr>
            <w:tcW w:w="3923" w:type="pct"/>
            <w:hideMark/>
          </w:tcPr>
          <w:p w14:paraId="198FB4FA" w14:textId="073E7805" w:rsidR="000122F3" w:rsidRPr="00805F6F" w:rsidRDefault="000122F3" w:rsidP="000122F3">
            <w:pPr>
              <w:tabs>
                <w:tab w:val="center" w:pos="284"/>
              </w:tabs>
              <w:overflowPunct w:val="0"/>
              <w:autoSpaceDE w:val="0"/>
              <w:autoSpaceDN w:val="0"/>
              <w:adjustRightInd w:val="0"/>
              <w:ind w:left="266" w:right="-3091" w:hanging="266"/>
              <w:rPr>
                <w:sz w:val="22"/>
                <w:szCs w:val="22"/>
              </w:rPr>
            </w:pPr>
            <w:r w:rsidRPr="00805F6F">
              <w:rPr>
                <w:sz w:val="22"/>
                <w:szCs w:val="22"/>
              </w:rPr>
              <w:t>Florian Marin (RO-Grupo dos Trabalhadores)</w:t>
            </w:r>
          </w:p>
          <w:p w14:paraId="442071CD" w14:textId="77777777" w:rsidR="00973F68" w:rsidRPr="00805F6F" w:rsidRDefault="00973F68" w:rsidP="000122F3">
            <w:pPr>
              <w:tabs>
                <w:tab w:val="center" w:pos="284"/>
              </w:tabs>
              <w:overflowPunct w:val="0"/>
              <w:autoSpaceDE w:val="0"/>
              <w:autoSpaceDN w:val="0"/>
              <w:adjustRightInd w:val="0"/>
              <w:ind w:left="266" w:right="-3091" w:hanging="266"/>
              <w:rPr>
                <w:sz w:val="22"/>
                <w:szCs w:val="22"/>
              </w:rPr>
            </w:pPr>
          </w:p>
        </w:tc>
      </w:tr>
      <w:tr w:rsidR="000122F3" w:rsidRPr="000122F3" w14:paraId="0C38D82B" w14:textId="77777777">
        <w:tc>
          <w:tcPr>
            <w:tcW w:w="1077" w:type="pct"/>
            <w:hideMark/>
          </w:tcPr>
          <w:p w14:paraId="317E91BC" w14:textId="77777777" w:rsidR="000122F3" w:rsidRPr="00805F6F" w:rsidRDefault="000122F3" w:rsidP="000122F3">
            <w:pPr>
              <w:tabs>
                <w:tab w:val="center" w:pos="284"/>
              </w:tabs>
              <w:overflowPunct w:val="0"/>
              <w:autoSpaceDE w:val="0"/>
              <w:autoSpaceDN w:val="0"/>
              <w:adjustRightInd w:val="0"/>
              <w:ind w:left="266" w:hanging="266"/>
              <w:rPr>
                <w:b/>
                <w:sz w:val="22"/>
                <w:szCs w:val="22"/>
              </w:rPr>
            </w:pPr>
            <w:r w:rsidRPr="00805F6F">
              <w:rPr>
                <w:b/>
                <w:sz w:val="22"/>
                <w:szCs w:val="22"/>
              </w:rPr>
              <w:t>Referências</w:t>
            </w:r>
          </w:p>
        </w:tc>
        <w:tc>
          <w:tcPr>
            <w:tcW w:w="3923" w:type="pct"/>
            <w:hideMark/>
          </w:tcPr>
          <w:p w14:paraId="19D10923" w14:textId="14D39408" w:rsidR="00973F68" w:rsidRPr="00805F6F" w:rsidRDefault="00973F68" w:rsidP="000122F3">
            <w:pPr>
              <w:tabs>
                <w:tab w:val="center" w:pos="284"/>
              </w:tabs>
              <w:overflowPunct w:val="0"/>
              <w:autoSpaceDE w:val="0"/>
              <w:autoSpaceDN w:val="0"/>
              <w:adjustRightInd w:val="0"/>
              <w:ind w:left="266" w:right="-3091" w:hanging="266"/>
              <w:rPr>
                <w:sz w:val="22"/>
                <w:szCs w:val="22"/>
              </w:rPr>
            </w:pPr>
            <w:r w:rsidRPr="00805F6F">
              <w:rPr>
                <w:sz w:val="22"/>
                <w:szCs w:val="22"/>
              </w:rPr>
              <w:t>COM(2025) 548 final</w:t>
            </w:r>
          </w:p>
          <w:p w14:paraId="5FA9B2AF" w14:textId="75780E7F" w:rsidR="000122F3" w:rsidRPr="00805F6F" w:rsidRDefault="000122F3" w:rsidP="000122F3">
            <w:pPr>
              <w:tabs>
                <w:tab w:val="center" w:pos="284"/>
              </w:tabs>
              <w:overflowPunct w:val="0"/>
              <w:autoSpaceDE w:val="0"/>
              <w:autoSpaceDN w:val="0"/>
              <w:adjustRightInd w:val="0"/>
              <w:ind w:left="266" w:right="-3091" w:hanging="266"/>
              <w:rPr>
                <w:sz w:val="22"/>
                <w:szCs w:val="22"/>
              </w:rPr>
            </w:pPr>
            <w:r w:rsidRPr="00805F6F">
              <w:rPr>
                <w:sz w:val="22"/>
                <w:szCs w:val="22"/>
              </w:rPr>
              <w:t>EESC-2025-03573-00-00-AC</w:t>
            </w:r>
          </w:p>
        </w:tc>
      </w:tr>
    </w:tbl>
    <w:p w14:paraId="7BC98F02" w14:textId="77777777" w:rsidR="000122F3" w:rsidRPr="000122F3" w:rsidRDefault="000122F3" w:rsidP="000122F3">
      <w:pPr>
        <w:tabs>
          <w:tab w:val="center" w:pos="284"/>
        </w:tabs>
        <w:overflowPunct w:val="0"/>
        <w:autoSpaceDE w:val="0"/>
        <w:autoSpaceDN w:val="0"/>
        <w:adjustRightInd w:val="0"/>
        <w:ind w:left="266" w:hanging="266"/>
        <w:rPr>
          <w:b/>
          <w:lang w:val="en-GB"/>
        </w:rPr>
      </w:pPr>
    </w:p>
    <w:p w14:paraId="7E803210" w14:textId="77777777" w:rsidR="000122F3" w:rsidRPr="000122F3" w:rsidRDefault="000122F3" w:rsidP="000122F3">
      <w:pPr>
        <w:keepNext/>
        <w:keepLines/>
        <w:tabs>
          <w:tab w:val="center" w:pos="284"/>
        </w:tabs>
        <w:overflowPunct w:val="0"/>
        <w:autoSpaceDE w:val="0"/>
        <w:autoSpaceDN w:val="0"/>
        <w:adjustRightInd w:val="0"/>
        <w:ind w:left="266" w:hanging="266"/>
        <w:rPr>
          <w:b/>
        </w:rPr>
      </w:pPr>
      <w:r>
        <w:rPr>
          <w:b/>
        </w:rPr>
        <w:t>Pontos principais</w:t>
      </w:r>
    </w:p>
    <w:p w14:paraId="170D9736" w14:textId="77777777" w:rsidR="000122F3" w:rsidRPr="000122F3" w:rsidRDefault="000122F3" w:rsidP="000122F3">
      <w:pPr>
        <w:keepNext/>
        <w:keepLines/>
        <w:tabs>
          <w:tab w:val="center" w:pos="284"/>
        </w:tabs>
        <w:overflowPunct w:val="0"/>
        <w:autoSpaceDE w:val="0"/>
        <w:autoSpaceDN w:val="0"/>
        <w:adjustRightInd w:val="0"/>
        <w:ind w:left="266" w:hanging="266"/>
        <w:rPr>
          <w:b/>
          <w:lang w:val="en-GB"/>
        </w:rPr>
      </w:pPr>
    </w:p>
    <w:p w14:paraId="7F6EAEC8" w14:textId="77777777" w:rsidR="000122F3" w:rsidRDefault="000122F3" w:rsidP="000122F3">
      <w:pPr>
        <w:overflowPunct w:val="0"/>
        <w:autoSpaceDE w:val="0"/>
        <w:autoSpaceDN w:val="0"/>
        <w:adjustRightInd w:val="0"/>
      </w:pPr>
      <w:r>
        <w:t>O CESE recomenda:</w:t>
      </w:r>
    </w:p>
    <w:p w14:paraId="00652B16" w14:textId="77777777" w:rsidR="00D40BB6" w:rsidRPr="000122F3" w:rsidRDefault="00D40BB6" w:rsidP="000122F3">
      <w:pPr>
        <w:overflowPunct w:val="0"/>
        <w:autoSpaceDE w:val="0"/>
        <w:autoSpaceDN w:val="0"/>
        <w:adjustRightInd w:val="0"/>
        <w:rPr>
          <w:lang w:val="en-GB"/>
        </w:rPr>
      </w:pPr>
    </w:p>
    <w:p w14:paraId="54342963"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que se estabeleça um </w:t>
      </w:r>
      <w:r>
        <w:rPr>
          <w:b/>
        </w:rPr>
        <w:t>maior nível de ambição</w:t>
      </w:r>
      <w:r>
        <w:t xml:space="preserve"> para a redução e a prevenção do risco de catástrofes, em vez de se colocar a tónica principalmente nas capacidades de resposta. A criação de um Mecanismo de Proteção Civil da União (MPCU) eficiente e integrado deve prever um </w:t>
      </w:r>
      <w:r>
        <w:rPr>
          <w:b/>
        </w:rPr>
        <w:t>quadro abrangente para as políticas de redução dos riscos</w:t>
      </w:r>
      <w:r>
        <w:t xml:space="preserve"> em toda a UE, bem como uma maior ênfase na prevenção de catástrofes </w:t>
      </w:r>
      <w:r>
        <w:rPr>
          <w:b/>
        </w:rPr>
        <w:t>transetoriais e transfronteiriças</w:t>
      </w:r>
      <w:r>
        <w:t>, cuja aplicação deve assentar num sistema holístico de gestão dos riscos;</w:t>
      </w:r>
    </w:p>
    <w:p w14:paraId="7024A92F"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que se preveja a </w:t>
      </w:r>
      <w:r>
        <w:rPr>
          <w:b/>
        </w:rPr>
        <w:t>redução dos encargos administrativos</w:t>
      </w:r>
      <w:r>
        <w:t xml:space="preserve">, a eliminação de sobreposições, a melhoria dos dados e dos sistemas de apoio inadequados, o aumento do número de recursos humanos com formação e o investimento em capacidades interoperáveis baseadas em normas e percursos de formação comuns, assegurando simultaneamente </w:t>
      </w:r>
      <w:r>
        <w:rPr>
          <w:b/>
        </w:rPr>
        <w:t>condições de trabalho de elevada qualidade</w:t>
      </w:r>
      <w:r>
        <w:t xml:space="preserve"> enquanto pré-requisitos para reforçar a resiliência da sociedade no âmbito de uma abordagem global da sociedade face a crises;</w:t>
      </w:r>
    </w:p>
    <w:p w14:paraId="497B5155"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que se </w:t>
      </w:r>
      <w:r>
        <w:rPr>
          <w:b/>
        </w:rPr>
        <w:t>melhore a antevisão e a compreensão</w:t>
      </w:r>
      <w:r>
        <w:t xml:space="preserve"> de catástrofes e crises, tendo simultaneamente em conta o papel da propaganda e da desinformação na amplificação do </w:t>
      </w:r>
      <w:r>
        <w:rPr>
          <w:i/>
        </w:rPr>
        <w:t>stress</w:t>
      </w:r>
      <w:r>
        <w:t xml:space="preserve"> social;</w:t>
      </w:r>
    </w:p>
    <w:p w14:paraId="1AEBFB07"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que se reforce o MPCU através de </w:t>
      </w:r>
      <w:r>
        <w:rPr>
          <w:b/>
        </w:rPr>
        <w:t>financiamento suplementar</w:t>
      </w:r>
      <w:r>
        <w:t>, em particular no que diz respeito aos grupos e regiões vulneráveis, incluindo as regiões ultraperiféricas e as regiões próximas de uma zona de guerra;</w:t>
      </w:r>
    </w:p>
    <w:p w14:paraId="6A0A0A84"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que se assegure a </w:t>
      </w:r>
      <w:r>
        <w:rPr>
          <w:b/>
        </w:rPr>
        <w:t>coerência com os planos de parceria nacional e regional</w:t>
      </w:r>
      <w:r>
        <w:t xml:space="preserve"> (PPNR) propostos para o período de programação 2028-2034;</w:t>
      </w:r>
    </w:p>
    <w:p w14:paraId="1E425507"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que se promovam </w:t>
      </w:r>
      <w:r>
        <w:rPr>
          <w:b/>
        </w:rPr>
        <w:t>maiores complementaridades</w:t>
      </w:r>
      <w:r>
        <w:t xml:space="preserve"> entre os instrumentos existentes, como o Instrumento de Ação para a Segurança da Europa, o Corpo Europeu de Solidariedade e o MPCU;</w:t>
      </w:r>
    </w:p>
    <w:p w14:paraId="71C4B6AC"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que se assegure </w:t>
      </w:r>
      <w:r>
        <w:rPr>
          <w:b/>
        </w:rPr>
        <w:t>financiamento</w:t>
      </w:r>
      <w:r>
        <w:t xml:space="preserve"> suficiente e estável </w:t>
      </w:r>
      <w:r>
        <w:rPr>
          <w:b/>
        </w:rPr>
        <w:t>para os bombeiros profissionais e o pessoal de saúde</w:t>
      </w:r>
      <w:r>
        <w:t>, a fim de manter a eficiência e a resposta rápida no âmbito do MPCU, reforçando simultaneamente o papel dos voluntários;</w:t>
      </w:r>
    </w:p>
    <w:p w14:paraId="22A0C91D"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que o </w:t>
      </w:r>
      <w:r>
        <w:rPr>
          <w:b/>
        </w:rPr>
        <w:t>MPCU permita flexibilidade</w:t>
      </w:r>
      <w:r>
        <w:t xml:space="preserve"> para respeitar a diversidade dos sistemas nacionais de gestão de catástrofes, </w:t>
      </w:r>
      <w:r>
        <w:rPr>
          <w:b/>
        </w:rPr>
        <w:t>assegurando simultaneamente a cooperação</w:t>
      </w:r>
      <w:r>
        <w:t xml:space="preserve"> e a coordenação </w:t>
      </w:r>
      <w:r>
        <w:rPr>
          <w:b/>
        </w:rPr>
        <w:t>transfronteiras</w:t>
      </w:r>
      <w:r>
        <w:t xml:space="preserve"> para uma resposta rápida e eficaz a catástrofes que não conhecem fronteiras, com a plena participação da sociedade civil organizada;</w:t>
      </w:r>
    </w:p>
    <w:p w14:paraId="0D503548"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que se adaptem as regras de contratação pública para </w:t>
      </w:r>
      <w:r>
        <w:rPr>
          <w:b/>
        </w:rPr>
        <w:t>garantir o fornecimento rápido e eficaz de bens e serviços críticos</w:t>
      </w:r>
      <w:r>
        <w:t xml:space="preserve"> em tempos de crise;</w:t>
      </w:r>
    </w:p>
    <w:p w14:paraId="5918B32B"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que se estabeleça um </w:t>
      </w:r>
      <w:r>
        <w:rPr>
          <w:b/>
        </w:rPr>
        <w:t>formulário normalizado para a comunicação de informações sobre catástrofes</w:t>
      </w:r>
      <w:r>
        <w:t>, a utilizar por todos os Estados-Membros.</w:t>
      </w:r>
    </w:p>
    <w:p w14:paraId="239E5250" w14:textId="44A767B3" w:rsidR="000122F3" w:rsidRDefault="000122F3" w:rsidP="000122F3">
      <w:pPr>
        <w:widowControl w:val="0"/>
        <w:overflowPunct w:val="0"/>
        <w:autoSpaceDE w:val="0"/>
        <w:autoSpaceDN w:val="0"/>
        <w:adjustRightInd w:val="0"/>
        <w:ind w:left="709"/>
      </w:pPr>
    </w:p>
    <w:p w14:paraId="65422055" w14:textId="77777777" w:rsidR="00805F6F" w:rsidRPr="00F5540C" w:rsidRDefault="00805F6F" w:rsidP="000122F3">
      <w:pPr>
        <w:widowControl w:val="0"/>
        <w:overflowPunct w:val="0"/>
        <w:autoSpaceDE w:val="0"/>
        <w:autoSpaceDN w:val="0"/>
        <w:adjustRightInd w:val="0"/>
        <w:ind w:left="709"/>
      </w:pPr>
    </w:p>
    <w:tbl>
      <w:tblPr>
        <w:tblStyle w:val="TableGrid1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7195"/>
      </w:tblGrid>
      <w:tr w:rsidR="000122F3" w:rsidRPr="000122F3" w14:paraId="315A6780" w14:textId="77777777" w:rsidTr="00805F6F">
        <w:tc>
          <w:tcPr>
            <w:tcW w:w="1127" w:type="pct"/>
            <w:hideMark/>
          </w:tcPr>
          <w:p w14:paraId="0BC88ACD" w14:textId="77777777" w:rsidR="000122F3" w:rsidRPr="00805F6F" w:rsidRDefault="000122F3" w:rsidP="000122F3">
            <w:pPr>
              <w:overflowPunct w:val="0"/>
              <w:autoSpaceDE w:val="0"/>
              <w:autoSpaceDN w:val="0"/>
              <w:adjustRightInd w:val="0"/>
              <w:rPr>
                <w:i/>
                <w:iCs/>
                <w:sz w:val="22"/>
                <w:szCs w:val="22"/>
              </w:rPr>
            </w:pPr>
            <w:r w:rsidRPr="00805F6F">
              <w:rPr>
                <w:b/>
                <w:i/>
                <w:sz w:val="22"/>
                <w:szCs w:val="22"/>
              </w:rPr>
              <w:lastRenderedPageBreak/>
              <w:t>Contacto</w:t>
            </w:r>
          </w:p>
        </w:tc>
        <w:tc>
          <w:tcPr>
            <w:tcW w:w="3873" w:type="pct"/>
            <w:hideMark/>
          </w:tcPr>
          <w:p w14:paraId="278195BE" w14:textId="77777777" w:rsidR="000122F3" w:rsidRPr="00805F6F" w:rsidRDefault="000122F3" w:rsidP="000122F3">
            <w:pPr>
              <w:overflowPunct w:val="0"/>
              <w:autoSpaceDE w:val="0"/>
              <w:autoSpaceDN w:val="0"/>
              <w:adjustRightInd w:val="0"/>
              <w:rPr>
                <w:i/>
                <w:iCs/>
                <w:sz w:val="22"/>
                <w:szCs w:val="22"/>
              </w:rPr>
            </w:pPr>
            <w:r w:rsidRPr="00805F6F">
              <w:rPr>
                <w:i/>
                <w:sz w:val="22"/>
                <w:szCs w:val="22"/>
              </w:rPr>
              <w:t>Arturo Íñiguez Yuste</w:t>
            </w:r>
          </w:p>
        </w:tc>
      </w:tr>
      <w:tr w:rsidR="000122F3" w:rsidRPr="000122F3" w14:paraId="326D7576" w14:textId="77777777" w:rsidTr="00805F6F">
        <w:tc>
          <w:tcPr>
            <w:tcW w:w="1127" w:type="pct"/>
            <w:hideMark/>
          </w:tcPr>
          <w:p w14:paraId="74416C4B" w14:textId="77777777" w:rsidR="000122F3" w:rsidRPr="00805F6F" w:rsidRDefault="000122F3" w:rsidP="000122F3">
            <w:pPr>
              <w:overflowPunct w:val="0"/>
              <w:autoSpaceDE w:val="0"/>
              <w:autoSpaceDN w:val="0"/>
              <w:adjustRightInd w:val="0"/>
              <w:rPr>
                <w:i/>
                <w:sz w:val="22"/>
                <w:szCs w:val="22"/>
              </w:rPr>
            </w:pPr>
            <w:r w:rsidRPr="00805F6F">
              <w:rPr>
                <w:i/>
                <w:sz w:val="22"/>
                <w:szCs w:val="22"/>
              </w:rPr>
              <w:t>Tel.</w:t>
            </w:r>
          </w:p>
        </w:tc>
        <w:tc>
          <w:tcPr>
            <w:tcW w:w="3873" w:type="pct"/>
            <w:hideMark/>
          </w:tcPr>
          <w:p w14:paraId="0CE46E70" w14:textId="1F493714" w:rsidR="000122F3" w:rsidRPr="00805F6F" w:rsidRDefault="000122F3" w:rsidP="000122F3">
            <w:pPr>
              <w:overflowPunct w:val="0"/>
              <w:autoSpaceDE w:val="0"/>
              <w:autoSpaceDN w:val="0"/>
              <w:adjustRightInd w:val="0"/>
              <w:rPr>
                <w:i/>
                <w:sz w:val="22"/>
                <w:szCs w:val="22"/>
              </w:rPr>
            </w:pPr>
            <w:r w:rsidRPr="00805F6F">
              <w:rPr>
                <w:i/>
                <w:sz w:val="22"/>
                <w:szCs w:val="22"/>
              </w:rPr>
              <w:t>+32 2</w:t>
            </w:r>
            <w:r w:rsidR="00805F6F">
              <w:rPr>
                <w:i/>
                <w:sz w:val="22"/>
                <w:szCs w:val="22"/>
              </w:rPr>
              <w:t xml:space="preserve"> </w:t>
            </w:r>
            <w:r w:rsidRPr="00805F6F">
              <w:rPr>
                <w:i/>
                <w:sz w:val="22"/>
                <w:szCs w:val="22"/>
              </w:rPr>
              <w:t>546</w:t>
            </w:r>
            <w:r w:rsidR="00805F6F">
              <w:rPr>
                <w:i/>
                <w:sz w:val="22"/>
                <w:szCs w:val="22"/>
              </w:rPr>
              <w:t xml:space="preserve"> </w:t>
            </w:r>
            <w:r w:rsidRPr="00805F6F">
              <w:rPr>
                <w:i/>
                <w:sz w:val="22"/>
                <w:szCs w:val="22"/>
              </w:rPr>
              <w:t>87</w:t>
            </w:r>
            <w:r w:rsidR="00805F6F">
              <w:rPr>
                <w:i/>
                <w:sz w:val="22"/>
                <w:szCs w:val="22"/>
              </w:rPr>
              <w:t xml:space="preserve"> </w:t>
            </w:r>
            <w:r w:rsidRPr="00805F6F">
              <w:rPr>
                <w:i/>
                <w:sz w:val="22"/>
                <w:szCs w:val="22"/>
              </w:rPr>
              <w:t>68</w:t>
            </w:r>
          </w:p>
        </w:tc>
      </w:tr>
      <w:tr w:rsidR="000122F3" w:rsidRPr="000122F3" w14:paraId="753D0F57" w14:textId="77777777" w:rsidTr="00805F6F">
        <w:tc>
          <w:tcPr>
            <w:tcW w:w="1127" w:type="pct"/>
            <w:hideMark/>
          </w:tcPr>
          <w:p w14:paraId="2C40013E" w14:textId="77777777" w:rsidR="000122F3" w:rsidRPr="00805F6F" w:rsidRDefault="000122F3" w:rsidP="000122F3">
            <w:pPr>
              <w:overflowPunct w:val="0"/>
              <w:autoSpaceDE w:val="0"/>
              <w:autoSpaceDN w:val="0"/>
              <w:adjustRightInd w:val="0"/>
              <w:rPr>
                <w:i/>
                <w:sz w:val="22"/>
                <w:szCs w:val="22"/>
              </w:rPr>
            </w:pPr>
            <w:r w:rsidRPr="00805F6F">
              <w:rPr>
                <w:i/>
                <w:sz w:val="22"/>
                <w:szCs w:val="22"/>
              </w:rPr>
              <w:t>Endereço eletrónico</w:t>
            </w:r>
          </w:p>
        </w:tc>
        <w:tc>
          <w:tcPr>
            <w:tcW w:w="3873" w:type="pct"/>
            <w:hideMark/>
          </w:tcPr>
          <w:p w14:paraId="2E7C650A" w14:textId="77777777" w:rsidR="000122F3" w:rsidRPr="00805F6F" w:rsidRDefault="001D1405" w:rsidP="000122F3">
            <w:pPr>
              <w:overflowPunct w:val="0"/>
              <w:autoSpaceDE w:val="0"/>
              <w:autoSpaceDN w:val="0"/>
              <w:adjustRightInd w:val="0"/>
              <w:rPr>
                <w:i/>
                <w:sz w:val="22"/>
                <w:szCs w:val="22"/>
              </w:rPr>
            </w:pPr>
            <w:hyperlink r:id="rId41" w:history="1">
              <w:r w:rsidR="00645EDF" w:rsidRPr="00805F6F">
                <w:rPr>
                  <w:i/>
                  <w:color w:val="0000FF"/>
                  <w:sz w:val="22"/>
                  <w:szCs w:val="22"/>
                  <w:u w:val="single"/>
                </w:rPr>
                <w:t>Arturo.Iniguez@eesc.europa.eu</w:t>
              </w:r>
            </w:hyperlink>
          </w:p>
        </w:tc>
      </w:tr>
    </w:tbl>
    <w:p w14:paraId="715DB2BD" w14:textId="599992C3" w:rsidR="00395794" w:rsidRDefault="00395794">
      <w:pPr>
        <w:spacing w:after="160" w:line="259" w:lineRule="auto"/>
        <w:jc w:val="left"/>
      </w:pPr>
    </w:p>
    <w:p w14:paraId="73A0193B" w14:textId="77777777" w:rsidR="00395794" w:rsidRDefault="00395794">
      <w:pPr>
        <w:spacing w:after="160" w:line="259" w:lineRule="auto"/>
        <w:jc w:val="left"/>
      </w:pPr>
      <w:r>
        <w:br w:type="page"/>
      </w:r>
    </w:p>
    <w:p w14:paraId="14026A78" w14:textId="4FAE1588" w:rsidR="007F5784" w:rsidRDefault="007F5784" w:rsidP="007F5784">
      <w:pPr>
        <w:pStyle w:val="Heading1"/>
        <w:rPr>
          <w:b/>
        </w:rPr>
      </w:pPr>
      <w:bookmarkStart w:id="19" w:name="_Toc217055919"/>
      <w:r>
        <w:rPr>
          <w:b/>
        </w:rPr>
        <w:lastRenderedPageBreak/>
        <w:t>RELAÇÕES EXTERNAS</w:t>
      </w:r>
      <w:bookmarkEnd w:id="19"/>
    </w:p>
    <w:p w14:paraId="3BBB3E68" w14:textId="77777777" w:rsidR="007F5784" w:rsidRDefault="007F5784" w:rsidP="007F5784"/>
    <w:p w14:paraId="15F03B8E" w14:textId="19987F61" w:rsidR="00237C67" w:rsidRPr="00C62A6C" w:rsidRDefault="00237C67" w:rsidP="00237C67">
      <w:pPr>
        <w:widowControl w:val="0"/>
        <w:numPr>
          <w:ilvl w:val="0"/>
          <w:numId w:val="15"/>
        </w:numPr>
        <w:overflowPunct w:val="0"/>
        <w:autoSpaceDE w:val="0"/>
        <w:autoSpaceDN w:val="0"/>
        <w:adjustRightInd w:val="0"/>
        <w:spacing w:line="276" w:lineRule="auto"/>
        <w:ind w:left="567" w:hanging="567"/>
        <w:contextualSpacing/>
        <w:jc w:val="left"/>
        <w:textAlignment w:val="baseline"/>
        <w:rPr>
          <w:sz w:val="28"/>
          <w:szCs w:val="28"/>
        </w:rPr>
      </w:pPr>
      <w:r w:rsidRPr="00C62A6C">
        <w:rPr>
          <w:b/>
          <w:i/>
          <w:sz w:val="28"/>
        </w:rPr>
        <w:fldChar w:fldCharType="begin"/>
      </w:r>
      <w:r w:rsidRPr="00C62A6C">
        <w:rPr>
          <w:b/>
          <w:i/>
          <w:sz w:val="28"/>
        </w:rPr>
        <w:instrText>HYPERLINK "https://www.eesc.europa.eu/en/our-work/opinions-information-reports/opinions/european-unions-strategic-approach-black-sea-region"</w:instrText>
      </w:r>
      <w:r w:rsidRPr="00C62A6C">
        <w:rPr>
          <w:b/>
          <w:i/>
          <w:sz w:val="28"/>
        </w:rPr>
        <w:fldChar w:fldCharType="separate"/>
      </w:r>
      <w:r>
        <w:rPr>
          <w:b/>
          <w:i/>
          <w:color w:val="0000FF"/>
          <w:sz w:val="28"/>
          <w:u w:val="single"/>
        </w:rPr>
        <w:t>A a</w:t>
      </w:r>
      <w:r>
        <w:rPr>
          <w:b/>
          <w:i/>
          <w:color w:val="0000FF"/>
          <w:sz w:val="28"/>
          <w:u w:val="single"/>
        </w:rPr>
        <w:t>b</w:t>
      </w:r>
      <w:r>
        <w:rPr>
          <w:b/>
          <w:i/>
          <w:color w:val="0000FF"/>
          <w:sz w:val="28"/>
          <w:u w:val="single"/>
        </w:rPr>
        <w:t>ordagem estratégica da União Europeia em relação à região do mar Negro</w:t>
      </w:r>
    </w:p>
    <w:p w14:paraId="3C2969D6" w14:textId="77777777" w:rsidR="00237C67" w:rsidRPr="00237C67" w:rsidRDefault="00237C67" w:rsidP="00237C67">
      <w:pPr>
        <w:tabs>
          <w:tab w:val="center" w:pos="284"/>
        </w:tabs>
        <w:overflowPunct w:val="0"/>
        <w:autoSpaceDE w:val="0"/>
        <w:autoSpaceDN w:val="0"/>
        <w:adjustRightInd w:val="0"/>
        <w:ind w:left="266" w:hanging="266"/>
        <w:textAlignment w:val="baseline"/>
        <w:rPr>
          <w:b/>
        </w:rPr>
      </w:pPr>
      <w:r w:rsidRPr="00C62A6C">
        <w:rPr>
          <w:b/>
          <w:i/>
          <w:sz w:val="28"/>
        </w:rPr>
        <w:fldChar w:fldCharType="end"/>
      </w:r>
    </w:p>
    <w:tbl>
      <w:tblPr>
        <w:tblStyle w:val="TableGrid14"/>
        <w:tblW w:w="49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7112"/>
      </w:tblGrid>
      <w:tr w:rsidR="00237C67" w:rsidRPr="00805F6F" w14:paraId="7F23DD4D" w14:textId="77777777" w:rsidTr="00C201AB">
        <w:trPr>
          <w:trHeight w:val="445"/>
        </w:trPr>
        <w:tc>
          <w:tcPr>
            <w:tcW w:w="1111" w:type="pct"/>
          </w:tcPr>
          <w:p w14:paraId="1BCE19E0" w14:textId="77777777" w:rsidR="00237C67" w:rsidRPr="00805F6F" w:rsidRDefault="00237C67" w:rsidP="00237C67">
            <w:pPr>
              <w:tabs>
                <w:tab w:val="center" w:pos="284"/>
              </w:tabs>
              <w:overflowPunct w:val="0"/>
              <w:autoSpaceDE w:val="0"/>
              <w:autoSpaceDN w:val="0"/>
              <w:adjustRightInd w:val="0"/>
              <w:ind w:left="266" w:hanging="266"/>
              <w:textAlignment w:val="baseline"/>
              <w:rPr>
                <w:b/>
                <w:sz w:val="22"/>
                <w:szCs w:val="22"/>
              </w:rPr>
            </w:pPr>
            <w:r w:rsidRPr="00805F6F">
              <w:rPr>
                <w:b/>
                <w:sz w:val="22"/>
                <w:szCs w:val="22"/>
              </w:rPr>
              <w:t>Relatora</w:t>
            </w:r>
          </w:p>
        </w:tc>
        <w:tc>
          <w:tcPr>
            <w:tcW w:w="3889" w:type="pct"/>
          </w:tcPr>
          <w:p w14:paraId="4CC365C4" w14:textId="0A5B6F9A" w:rsidR="00237C67" w:rsidRPr="00805F6F" w:rsidRDefault="00237C67" w:rsidP="00237C67">
            <w:pPr>
              <w:tabs>
                <w:tab w:val="center" w:pos="284"/>
              </w:tabs>
              <w:overflowPunct w:val="0"/>
              <w:autoSpaceDE w:val="0"/>
              <w:autoSpaceDN w:val="0"/>
              <w:adjustRightInd w:val="0"/>
              <w:ind w:left="266" w:hanging="266"/>
              <w:textAlignment w:val="baseline"/>
              <w:rPr>
                <w:sz w:val="22"/>
                <w:szCs w:val="22"/>
              </w:rPr>
            </w:pPr>
            <w:r w:rsidRPr="00805F6F">
              <w:rPr>
                <w:sz w:val="22"/>
                <w:szCs w:val="22"/>
              </w:rPr>
              <w:t>Milena Angelova (BG-Grupo dos Empregadores)</w:t>
            </w:r>
          </w:p>
        </w:tc>
      </w:tr>
      <w:tr w:rsidR="00237C67" w:rsidRPr="00805F6F" w14:paraId="1B1D2359" w14:textId="77777777" w:rsidTr="00C201AB">
        <w:tc>
          <w:tcPr>
            <w:tcW w:w="1111" w:type="pct"/>
          </w:tcPr>
          <w:p w14:paraId="1DEDCFA8" w14:textId="77777777" w:rsidR="00237C67" w:rsidRPr="00805F6F" w:rsidRDefault="00237C67" w:rsidP="00237C67">
            <w:pPr>
              <w:tabs>
                <w:tab w:val="center" w:pos="284"/>
              </w:tabs>
              <w:overflowPunct w:val="0"/>
              <w:autoSpaceDE w:val="0"/>
              <w:autoSpaceDN w:val="0"/>
              <w:adjustRightInd w:val="0"/>
              <w:ind w:left="266" w:hanging="266"/>
              <w:textAlignment w:val="baseline"/>
              <w:rPr>
                <w:b/>
                <w:sz w:val="22"/>
                <w:szCs w:val="22"/>
              </w:rPr>
            </w:pPr>
            <w:r w:rsidRPr="00805F6F">
              <w:rPr>
                <w:b/>
                <w:sz w:val="22"/>
                <w:szCs w:val="22"/>
              </w:rPr>
              <w:t>Referências</w:t>
            </w:r>
          </w:p>
        </w:tc>
        <w:tc>
          <w:tcPr>
            <w:tcW w:w="3889" w:type="pct"/>
          </w:tcPr>
          <w:p w14:paraId="25C8A6CE" w14:textId="16BE3594" w:rsidR="001A7442" w:rsidRPr="00805F6F" w:rsidRDefault="001A7442" w:rsidP="00237C67">
            <w:pPr>
              <w:tabs>
                <w:tab w:val="center" w:pos="284"/>
              </w:tabs>
              <w:overflowPunct w:val="0"/>
              <w:autoSpaceDE w:val="0"/>
              <w:autoSpaceDN w:val="0"/>
              <w:adjustRightInd w:val="0"/>
              <w:ind w:left="266" w:hanging="266"/>
              <w:textAlignment w:val="baseline"/>
              <w:rPr>
                <w:sz w:val="22"/>
                <w:szCs w:val="22"/>
              </w:rPr>
            </w:pPr>
            <w:r w:rsidRPr="00805F6F">
              <w:rPr>
                <w:sz w:val="22"/>
                <w:szCs w:val="22"/>
              </w:rPr>
              <w:t>JOIN(2025) 135 final</w:t>
            </w:r>
          </w:p>
          <w:p w14:paraId="47441D19" w14:textId="338F915F" w:rsidR="00237C67" w:rsidRPr="00805F6F" w:rsidRDefault="00237C67" w:rsidP="00237C67">
            <w:pPr>
              <w:tabs>
                <w:tab w:val="center" w:pos="284"/>
              </w:tabs>
              <w:overflowPunct w:val="0"/>
              <w:autoSpaceDE w:val="0"/>
              <w:autoSpaceDN w:val="0"/>
              <w:adjustRightInd w:val="0"/>
              <w:ind w:left="266" w:hanging="266"/>
              <w:textAlignment w:val="baseline"/>
              <w:rPr>
                <w:sz w:val="22"/>
                <w:szCs w:val="22"/>
              </w:rPr>
            </w:pPr>
            <w:r w:rsidRPr="00805F6F">
              <w:rPr>
                <w:sz w:val="22"/>
                <w:szCs w:val="22"/>
              </w:rPr>
              <w:t>EESC-2025-02608-00-00-AC</w:t>
            </w:r>
          </w:p>
        </w:tc>
      </w:tr>
    </w:tbl>
    <w:p w14:paraId="47E1C9F3" w14:textId="77777777" w:rsidR="00237C67" w:rsidRPr="00237C67" w:rsidRDefault="00237C67" w:rsidP="00237C67">
      <w:pPr>
        <w:keepNext/>
        <w:keepLines/>
        <w:tabs>
          <w:tab w:val="center" w:pos="284"/>
        </w:tabs>
        <w:overflowPunct w:val="0"/>
        <w:autoSpaceDE w:val="0"/>
        <w:autoSpaceDN w:val="0"/>
        <w:adjustRightInd w:val="0"/>
        <w:ind w:left="266" w:hanging="266"/>
        <w:textAlignment w:val="baseline"/>
        <w:rPr>
          <w:b/>
          <w:lang w:val="en-GB"/>
        </w:rPr>
      </w:pPr>
    </w:p>
    <w:p w14:paraId="3C0D4718" w14:textId="77777777" w:rsidR="00237C67" w:rsidRPr="00237C67" w:rsidRDefault="00237C67" w:rsidP="00237C67">
      <w:pPr>
        <w:keepNext/>
        <w:keepLines/>
        <w:tabs>
          <w:tab w:val="center" w:pos="284"/>
        </w:tabs>
        <w:overflowPunct w:val="0"/>
        <w:autoSpaceDE w:val="0"/>
        <w:autoSpaceDN w:val="0"/>
        <w:adjustRightInd w:val="0"/>
        <w:ind w:left="266" w:hanging="266"/>
        <w:textAlignment w:val="baseline"/>
        <w:rPr>
          <w:b/>
        </w:rPr>
      </w:pPr>
      <w:r>
        <w:rPr>
          <w:b/>
        </w:rPr>
        <w:t>Pontos principais</w:t>
      </w:r>
    </w:p>
    <w:p w14:paraId="646D390F" w14:textId="77777777" w:rsidR="00237C67" w:rsidRPr="00237C67" w:rsidRDefault="00237C67" w:rsidP="00237C67">
      <w:pPr>
        <w:keepNext/>
        <w:keepLines/>
        <w:tabs>
          <w:tab w:val="center" w:pos="284"/>
        </w:tabs>
        <w:overflowPunct w:val="0"/>
        <w:autoSpaceDE w:val="0"/>
        <w:autoSpaceDN w:val="0"/>
        <w:adjustRightInd w:val="0"/>
        <w:ind w:left="266" w:hanging="266"/>
        <w:textAlignment w:val="baseline"/>
        <w:rPr>
          <w:b/>
          <w:lang w:val="en-GB"/>
        </w:rPr>
      </w:pPr>
    </w:p>
    <w:p w14:paraId="4D32F061" w14:textId="77777777" w:rsidR="00237C67" w:rsidRDefault="00237C67" w:rsidP="00237C67">
      <w:pPr>
        <w:overflowPunct w:val="0"/>
        <w:autoSpaceDE w:val="0"/>
        <w:autoSpaceDN w:val="0"/>
        <w:adjustRightInd w:val="0"/>
        <w:textAlignment w:val="baseline"/>
        <w:rPr>
          <w:bCs/>
          <w:iCs/>
        </w:rPr>
      </w:pPr>
      <w:r>
        <w:t>O Comité Económico e Social Europeu:</w:t>
      </w:r>
    </w:p>
    <w:p w14:paraId="0A01AEAC" w14:textId="77777777" w:rsidR="001A7442" w:rsidRPr="00F5540C" w:rsidRDefault="001A7442" w:rsidP="00237C67">
      <w:pPr>
        <w:overflowPunct w:val="0"/>
        <w:autoSpaceDE w:val="0"/>
        <w:autoSpaceDN w:val="0"/>
        <w:adjustRightInd w:val="0"/>
        <w:textAlignment w:val="baseline"/>
        <w:rPr>
          <w:bCs/>
          <w:iCs/>
        </w:rPr>
      </w:pPr>
    </w:p>
    <w:p w14:paraId="363CA3B6"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congratula-se com a </w:t>
      </w:r>
      <w:r>
        <w:rPr>
          <w:b/>
        </w:rPr>
        <w:t>iniciativa, há muito aguardada, centrada na região do mar Negro</w:t>
      </w:r>
      <w:r>
        <w:t xml:space="preserve">, que propõe uma abordagem estratégica da União Europeia (UE) para aquela região; observa, porém, que a </w:t>
      </w:r>
      <w:r>
        <w:rPr>
          <w:b/>
        </w:rPr>
        <w:t>proposta sofreu atrasos</w:t>
      </w:r>
      <w:r>
        <w:t xml:space="preserve">, pelo que </w:t>
      </w:r>
      <w:r>
        <w:rPr>
          <w:b/>
        </w:rPr>
        <w:t>solicita medidas rápidas e decisivas para a sua aplicação</w:t>
      </w:r>
      <w:r>
        <w:t xml:space="preserve">, bem como a </w:t>
      </w:r>
      <w:r>
        <w:rPr>
          <w:b/>
        </w:rPr>
        <w:t>garantia de recursos suficientes</w:t>
      </w:r>
      <w:r>
        <w:t>;</w:t>
      </w:r>
    </w:p>
    <w:p w14:paraId="4F615B3A"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salienta que, embora </w:t>
      </w:r>
      <w:r>
        <w:rPr>
          <w:b/>
        </w:rPr>
        <w:t xml:space="preserve">todos os países da região </w:t>
      </w:r>
      <w:r>
        <w:t xml:space="preserve">estejam a sofrer as </w:t>
      </w:r>
      <w:r>
        <w:rPr>
          <w:b/>
        </w:rPr>
        <w:t>consequências negativas das hostilidades militares, nem todos receberam apoio social e económico específico e proporcional aos seus esforços e sacrifícios</w:t>
      </w:r>
      <w:r>
        <w:t>;</w:t>
      </w:r>
    </w:p>
    <w:p w14:paraId="64F59F4D"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insta a Comissão, em consulta com os Estados-Membros da UE, os países da região do mar Negro e todas as partes interessadas, a </w:t>
      </w:r>
      <w:r>
        <w:rPr>
          <w:b/>
        </w:rPr>
        <w:t>proceder rapidamente</w:t>
      </w:r>
      <w:r>
        <w:t xml:space="preserve"> – idealmente até ao final de 2025 – </w:t>
      </w:r>
      <w:r>
        <w:rPr>
          <w:b/>
        </w:rPr>
        <w:t>à elaboração de uma estratégia pragmática e dotada de financiamento adequado para o desenvolvimento da região</w:t>
      </w:r>
      <w:r>
        <w:t>;</w:t>
      </w:r>
    </w:p>
    <w:p w14:paraId="3DED4801"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lamenta que o </w:t>
      </w:r>
      <w:r>
        <w:rPr>
          <w:b/>
        </w:rPr>
        <w:t>anterior quadro político da UE</w:t>
      </w:r>
      <w:r>
        <w:t xml:space="preserve"> (Sinergia do Mar Negro, de 2007) para a região não tenha abrangido a </w:t>
      </w:r>
      <w:r>
        <w:rPr>
          <w:b/>
        </w:rPr>
        <w:t>dimensão da segurança</w:t>
      </w:r>
      <w:r>
        <w:t xml:space="preserve"> e salienta a</w:t>
      </w:r>
      <w:r>
        <w:rPr>
          <w:b/>
        </w:rPr>
        <w:t xml:space="preserve"> necessidade de as iniciativas da UE em matéria de segurança na região do mar Negro produzirem resultados tangíveis</w:t>
      </w:r>
      <w:r>
        <w:t>;</w:t>
      </w:r>
    </w:p>
    <w:p w14:paraId="52F031F1"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salienta que </w:t>
      </w:r>
      <w:r>
        <w:rPr>
          <w:b/>
        </w:rPr>
        <w:t xml:space="preserve">alcançar uma paz duradoura </w:t>
      </w:r>
      <w:r>
        <w:t>é uma</w:t>
      </w:r>
      <w:r>
        <w:rPr>
          <w:b/>
        </w:rPr>
        <w:t xml:space="preserve"> condição prévia necessária e essencial para o desenvolvimento económico sustentável</w:t>
      </w:r>
      <w:r>
        <w:t xml:space="preserve"> e lamenta que esse objetivo não figure no documento;</w:t>
      </w:r>
    </w:p>
    <w:p w14:paraId="63B8D3C0"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considera que a </w:t>
      </w:r>
      <w:r>
        <w:rPr>
          <w:b/>
        </w:rPr>
        <w:t xml:space="preserve">principal restrição da abordagem estratégica </w:t>
      </w:r>
      <w:r>
        <w:t>reside no facto de esta se basear inteiramente nos</w:t>
      </w:r>
      <w:r>
        <w:rPr>
          <w:b/>
        </w:rPr>
        <w:t xml:space="preserve"> instrumentos financeiros</w:t>
      </w:r>
      <w:r>
        <w:t xml:space="preserve"> e nos</w:t>
      </w:r>
      <w:r>
        <w:rPr>
          <w:b/>
        </w:rPr>
        <w:t xml:space="preserve"> recursos orçamentais existentes previstos no Quadro Financeiro Plurianual 2021-2027</w:t>
      </w:r>
      <w:r>
        <w:t xml:space="preserve">; preconiza a </w:t>
      </w:r>
      <w:r>
        <w:rPr>
          <w:b/>
        </w:rPr>
        <w:t>simplificação, consolidação e priorização dos instrumentos</w:t>
      </w:r>
      <w:r>
        <w:t>, para que produzam um efeito imediato e visível;</w:t>
      </w:r>
    </w:p>
    <w:p w14:paraId="44A0477D"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recomenda que se </w:t>
      </w:r>
      <w:r>
        <w:rPr>
          <w:b/>
        </w:rPr>
        <w:t>efetue uma análise de impacto aprofundada de todos os instrumentos existentes</w:t>
      </w:r>
      <w:r>
        <w:t xml:space="preserve"> até à data e, nesta base, que se formulem </w:t>
      </w:r>
      <w:r>
        <w:rPr>
          <w:b/>
        </w:rPr>
        <w:t>compromissos mais específicos e claros</w:t>
      </w:r>
      <w:r>
        <w:t xml:space="preserve"> quanto à sua utilização no futuro;</w:t>
      </w:r>
    </w:p>
    <w:p w14:paraId="53E35EF9" w14:textId="77777777" w:rsidR="00237C67" w:rsidRPr="00237C67" w:rsidRDefault="00237C67" w:rsidP="00054C58">
      <w:pPr>
        <w:widowControl w:val="0"/>
        <w:numPr>
          <w:ilvl w:val="0"/>
          <w:numId w:val="31"/>
        </w:numPr>
        <w:overflowPunct w:val="0"/>
        <w:autoSpaceDE w:val="0"/>
        <w:autoSpaceDN w:val="0"/>
        <w:adjustRightInd w:val="0"/>
        <w:ind w:left="284" w:hanging="284"/>
        <w:contextualSpacing/>
        <w:textAlignment w:val="baseline"/>
      </w:pPr>
      <w:r>
        <w:t xml:space="preserve">entende que deve ser prestada mais atenção à </w:t>
      </w:r>
      <w:r>
        <w:rPr>
          <w:b/>
        </w:rPr>
        <w:t>luta contra as ameaças híbridas e às lacunas de governação</w:t>
      </w:r>
      <w:r>
        <w:t>, que ameaçam comprometer a estabilidade regional.</w:t>
      </w:r>
    </w:p>
    <w:p w14:paraId="54BF6B1F" w14:textId="77777777" w:rsidR="00237C67" w:rsidRPr="00F5540C" w:rsidRDefault="00237C67" w:rsidP="00237C67">
      <w:pPr>
        <w:widowControl w:val="0"/>
        <w:overflowPunct w:val="0"/>
        <w:autoSpaceDE w:val="0"/>
        <w:autoSpaceDN w:val="0"/>
        <w:adjustRightInd w:val="0"/>
        <w:ind w:left="709"/>
        <w:textAlignment w:val="baseline"/>
        <w:rPr>
          <w:szCs w:val="20"/>
        </w:rPr>
      </w:pPr>
    </w:p>
    <w:tbl>
      <w:tblPr>
        <w:tblStyle w:val="TableGrid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7264"/>
      </w:tblGrid>
      <w:tr w:rsidR="00237C67" w:rsidRPr="00805F6F" w14:paraId="500155AD" w14:textId="77777777" w:rsidTr="00C201AB">
        <w:tc>
          <w:tcPr>
            <w:tcW w:w="1090" w:type="pct"/>
          </w:tcPr>
          <w:p w14:paraId="4E7D56FB" w14:textId="77777777" w:rsidR="00237C67" w:rsidRPr="00805F6F" w:rsidRDefault="00237C67" w:rsidP="00237C67">
            <w:pPr>
              <w:overflowPunct w:val="0"/>
              <w:autoSpaceDE w:val="0"/>
              <w:autoSpaceDN w:val="0"/>
              <w:adjustRightInd w:val="0"/>
              <w:textAlignment w:val="baseline"/>
              <w:rPr>
                <w:i/>
                <w:sz w:val="22"/>
                <w:szCs w:val="22"/>
              </w:rPr>
            </w:pPr>
            <w:r w:rsidRPr="00805F6F">
              <w:rPr>
                <w:b/>
                <w:i/>
                <w:sz w:val="22"/>
                <w:szCs w:val="22"/>
              </w:rPr>
              <w:t>Contacto</w:t>
            </w:r>
          </w:p>
        </w:tc>
        <w:tc>
          <w:tcPr>
            <w:tcW w:w="3910" w:type="pct"/>
          </w:tcPr>
          <w:p w14:paraId="397EC967" w14:textId="77777777" w:rsidR="00237C67" w:rsidRPr="00805F6F" w:rsidRDefault="00237C67" w:rsidP="00237C67">
            <w:pPr>
              <w:overflowPunct w:val="0"/>
              <w:autoSpaceDE w:val="0"/>
              <w:autoSpaceDN w:val="0"/>
              <w:adjustRightInd w:val="0"/>
              <w:textAlignment w:val="baseline"/>
              <w:rPr>
                <w:i/>
                <w:iCs/>
                <w:sz w:val="22"/>
                <w:szCs w:val="22"/>
              </w:rPr>
            </w:pPr>
            <w:r w:rsidRPr="00805F6F">
              <w:rPr>
                <w:sz w:val="22"/>
                <w:szCs w:val="22"/>
              </w:rPr>
              <w:t>Marie-Laurence Drillon</w:t>
            </w:r>
          </w:p>
        </w:tc>
      </w:tr>
      <w:tr w:rsidR="00237C67" w:rsidRPr="00805F6F" w14:paraId="4A4056F6" w14:textId="77777777" w:rsidTr="00C201AB">
        <w:tc>
          <w:tcPr>
            <w:tcW w:w="1090" w:type="pct"/>
          </w:tcPr>
          <w:p w14:paraId="5E409ED8" w14:textId="77777777" w:rsidR="00237C67" w:rsidRPr="00805F6F" w:rsidRDefault="00237C67" w:rsidP="00237C67">
            <w:pPr>
              <w:overflowPunct w:val="0"/>
              <w:autoSpaceDE w:val="0"/>
              <w:autoSpaceDN w:val="0"/>
              <w:adjustRightInd w:val="0"/>
              <w:textAlignment w:val="baseline"/>
              <w:rPr>
                <w:i/>
                <w:sz w:val="22"/>
                <w:szCs w:val="22"/>
              </w:rPr>
            </w:pPr>
            <w:r w:rsidRPr="00805F6F">
              <w:rPr>
                <w:i/>
                <w:sz w:val="22"/>
                <w:szCs w:val="22"/>
              </w:rPr>
              <w:t>Tel.</w:t>
            </w:r>
          </w:p>
        </w:tc>
        <w:tc>
          <w:tcPr>
            <w:tcW w:w="3910" w:type="pct"/>
          </w:tcPr>
          <w:p w14:paraId="701AABDE" w14:textId="0AA32DB7" w:rsidR="00237C67" w:rsidRPr="00805F6F" w:rsidRDefault="00237C67" w:rsidP="00237C67">
            <w:pPr>
              <w:overflowPunct w:val="0"/>
              <w:autoSpaceDE w:val="0"/>
              <w:autoSpaceDN w:val="0"/>
              <w:adjustRightInd w:val="0"/>
              <w:textAlignment w:val="baseline"/>
              <w:rPr>
                <w:i/>
                <w:sz w:val="22"/>
                <w:szCs w:val="22"/>
              </w:rPr>
            </w:pPr>
            <w:r w:rsidRPr="00805F6F">
              <w:rPr>
                <w:i/>
                <w:sz w:val="22"/>
                <w:szCs w:val="22"/>
              </w:rPr>
              <w:t>+32 2</w:t>
            </w:r>
            <w:r w:rsidR="00805F6F">
              <w:rPr>
                <w:i/>
                <w:sz w:val="22"/>
                <w:szCs w:val="22"/>
              </w:rPr>
              <w:t xml:space="preserve"> </w:t>
            </w:r>
            <w:r w:rsidRPr="00805F6F">
              <w:rPr>
                <w:i/>
                <w:sz w:val="22"/>
                <w:szCs w:val="22"/>
              </w:rPr>
              <w:t>546 83</w:t>
            </w:r>
            <w:r w:rsidR="00805F6F">
              <w:rPr>
                <w:i/>
                <w:sz w:val="22"/>
                <w:szCs w:val="22"/>
              </w:rPr>
              <w:t xml:space="preserve"> </w:t>
            </w:r>
            <w:r w:rsidRPr="00805F6F">
              <w:rPr>
                <w:i/>
                <w:sz w:val="22"/>
                <w:szCs w:val="22"/>
              </w:rPr>
              <w:t>20</w:t>
            </w:r>
          </w:p>
        </w:tc>
      </w:tr>
      <w:tr w:rsidR="00237C67" w:rsidRPr="00805F6F" w14:paraId="532005DF" w14:textId="77777777" w:rsidTr="00C201AB">
        <w:tc>
          <w:tcPr>
            <w:tcW w:w="1090" w:type="pct"/>
          </w:tcPr>
          <w:p w14:paraId="21550A30" w14:textId="77777777" w:rsidR="00237C67" w:rsidRPr="00805F6F" w:rsidRDefault="00237C67" w:rsidP="00237C67">
            <w:pPr>
              <w:overflowPunct w:val="0"/>
              <w:autoSpaceDE w:val="0"/>
              <w:autoSpaceDN w:val="0"/>
              <w:adjustRightInd w:val="0"/>
              <w:textAlignment w:val="baseline"/>
              <w:rPr>
                <w:i/>
                <w:sz w:val="22"/>
                <w:szCs w:val="22"/>
              </w:rPr>
            </w:pPr>
            <w:r w:rsidRPr="00805F6F">
              <w:rPr>
                <w:i/>
                <w:sz w:val="22"/>
                <w:szCs w:val="22"/>
              </w:rPr>
              <w:t>Endereço eletrónico</w:t>
            </w:r>
          </w:p>
        </w:tc>
        <w:tc>
          <w:tcPr>
            <w:tcW w:w="3910" w:type="pct"/>
          </w:tcPr>
          <w:p w14:paraId="56749FB7" w14:textId="77777777" w:rsidR="00237C67" w:rsidRPr="00805F6F" w:rsidRDefault="001D1405" w:rsidP="00237C67">
            <w:pPr>
              <w:overflowPunct w:val="0"/>
              <w:autoSpaceDE w:val="0"/>
              <w:autoSpaceDN w:val="0"/>
              <w:adjustRightInd w:val="0"/>
              <w:textAlignment w:val="baseline"/>
              <w:rPr>
                <w:i/>
                <w:sz w:val="22"/>
                <w:szCs w:val="22"/>
              </w:rPr>
            </w:pPr>
            <w:hyperlink r:id="rId42" w:history="1">
              <w:r w:rsidR="00645EDF" w:rsidRPr="00805F6F">
                <w:rPr>
                  <w:i/>
                  <w:color w:val="0000FF"/>
                  <w:sz w:val="22"/>
                  <w:szCs w:val="22"/>
                  <w:u w:val="single"/>
                </w:rPr>
                <w:t>Marie-Laurence.Drillon@eesc.europa.eu</w:t>
              </w:r>
            </w:hyperlink>
          </w:p>
        </w:tc>
      </w:tr>
    </w:tbl>
    <w:p w14:paraId="74D4B137" w14:textId="77777777" w:rsidR="007F5784" w:rsidRPr="00805F6F" w:rsidRDefault="007F5784" w:rsidP="007F5784">
      <w:pPr>
        <w:spacing w:after="160" w:line="259" w:lineRule="auto"/>
        <w:jc w:val="left"/>
        <w:rPr>
          <w:sz w:val="24"/>
          <w:szCs w:val="24"/>
        </w:rPr>
      </w:pPr>
    </w:p>
    <w:p w14:paraId="210E1333" w14:textId="1FC47D3D" w:rsidR="00C913CA" w:rsidRPr="00C913CA" w:rsidRDefault="006D2C8A" w:rsidP="00C913CA">
      <w:pPr>
        <w:widowControl w:val="0"/>
        <w:numPr>
          <w:ilvl w:val="0"/>
          <w:numId w:val="4"/>
        </w:numPr>
        <w:overflowPunct w:val="0"/>
        <w:autoSpaceDE w:val="0"/>
        <w:autoSpaceDN w:val="0"/>
        <w:adjustRightInd w:val="0"/>
        <w:ind w:hanging="567"/>
        <w:textAlignment w:val="baseline"/>
        <w:rPr>
          <w:sz w:val="20"/>
          <w:szCs w:val="20"/>
        </w:rPr>
      </w:pPr>
      <w:r>
        <w:br w:type="page"/>
      </w:r>
      <w:hyperlink r:id="rId43" w:history="1">
        <w:r>
          <w:rPr>
            <w:b/>
            <w:i/>
            <w:color w:val="0000FF"/>
            <w:sz w:val="28"/>
            <w:u w:val="single"/>
          </w:rPr>
          <w:t>Europa Global (proposta relativa ao quadro financeiro plurianual)</w:t>
        </w:r>
      </w:hyperlink>
    </w:p>
    <w:p w14:paraId="340361FF" w14:textId="77777777" w:rsidR="00C913CA" w:rsidRPr="00F5540C" w:rsidRDefault="00C913CA" w:rsidP="00C913CA">
      <w:pPr>
        <w:tabs>
          <w:tab w:val="center" w:pos="284"/>
        </w:tabs>
        <w:overflowPunct w:val="0"/>
        <w:autoSpaceDE w:val="0"/>
        <w:autoSpaceDN w:val="0"/>
        <w:adjustRightInd w:val="0"/>
        <w:ind w:left="266" w:hanging="266"/>
        <w:textAlignment w:val="baseline"/>
        <w:rPr>
          <w:b/>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C913CA" w:rsidRPr="009D0B39" w14:paraId="617F8D50" w14:textId="77777777" w:rsidTr="00C201AB">
        <w:tc>
          <w:tcPr>
            <w:tcW w:w="1077" w:type="pct"/>
          </w:tcPr>
          <w:p w14:paraId="00D33EA5" w14:textId="77777777" w:rsidR="00C913CA" w:rsidRPr="009D0B39" w:rsidRDefault="00C913CA" w:rsidP="00C913CA">
            <w:pPr>
              <w:tabs>
                <w:tab w:val="center" w:pos="284"/>
              </w:tabs>
              <w:overflowPunct w:val="0"/>
              <w:autoSpaceDE w:val="0"/>
              <w:autoSpaceDN w:val="0"/>
              <w:adjustRightInd w:val="0"/>
              <w:ind w:left="266" w:hanging="266"/>
              <w:textAlignment w:val="baseline"/>
              <w:rPr>
                <w:b/>
                <w:sz w:val="22"/>
                <w:szCs w:val="22"/>
              </w:rPr>
            </w:pPr>
            <w:r w:rsidRPr="009D0B39">
              <w:rPr>
                <w:b/>
                <w:sz w:val="22"/>
                <w:szCs w:val="22"/>
              </w:rPr>
              <w:t>Relator</w:t>
            </w:r>
          </w:p>
        </w:tc>
        <w:tc>
          <w:tcPr>
            <w:tcW w:w="3923" w:type="pct"/>
          </w:tcPr>
          <w:p w14:paraId="4316EC99" w14:textId="44CC734B" w:rsidR="00C913CA" w:rsidRPr="009D0B39" w:rsidRDefault="00C913CA" w:rsidP="00C913CA">
            <w:pPr>
              <w:tabs>
                <w:tab w:val="center" w:pos="284"/>
              </w:tabs>
              <w:overflowPunct w:val="0"/>
              <w:autoSpaceDE w:val="0"/>
              <w:autoSpaceDN w:val="0"/>
              <w:adjustRightInd w:val="0"/>
              <w:ind w:left="266" w:right="-3091" w:hanging="266"/>
              <w:textAlignment w:val="baseline"/>
              <w:rPr>
                <w:sz w:val="22"/>
                <w:szCs w:val="22"/>
              </w:rPr>
            </w:pPr>
            <w:r w:rsidRPr="009D0B39">
              <w:rPr>
                <w:sz w:val="22"/>
                <w:szCs w:val="22"/>
              </w:rPr>
              <w:t>Mateusz Szymański (PL</w:t>
            </w:r>
            <w:r w:rsidR="009D0B39">
              <w:rPr>
                <w:sz w:val="22"/>
                <w:szCs w:val="22"/>
              </w:rPr>
              <w:t>-</w:t>
            </w:r>
            <w:r w:rsidRPr="009D0B39">
              <w:rPr>
                <w:sz w:val="22"/>
                <w:szCs w:val="22"/>
              </w:rPr>
              <w:t>Grupo dos Trabalhadores)</w:t>
            </w:r>
          </w:p>
        </w:tc>
      </w:tr>
      <w:tr w:rsidR="00C913CA" w:rsidRPr="009D0B39" w14:paraId="59C9D0E5" w14:textId="77777777" w:rsidTr="00C201AB">
        <w:tc>
          <w:tcPr>
            <w:tcW w:w="1077" w:type="pct"/>
          </w:tcPr>
          <w:p w14:paraId="755D124C" w14:textId="77777777" w:rsidR="00C913CA" w:rsidRPr="009D0B39" w:rsidRDefault="00C913CA" w:rsidP="00C913CA">
            <w:pPr>
              <w:tabs>
                <w:tab w:val="center" w:pos="284"/>
              </w:tabs>
              <w:overflowPunct w:val="0"/>
              <w:autoSpaceDE w:val="0"/>
              <w:autoSpaceDN w:val="0"/>
              <w:adjustRightInd w:val="0"/>
              <w:ind w:left="266" w:hanging="266"/>
              <w:textAlignment w:val="baseline"/>
              <w:rPr>
                <w:b/>
                <w:sz w:val="22"/>
                <w:szCs w:val="22"/>
              </w:rPr>
            </w:pPr>
            <w:r w:rsidRPr="009D0B39">
              <w:rPr>
                <w:b/>
                <w:sz w:val="22"/>
                <w:szCs w:val="22"/>
              </w:rPr>
              <w:t>Correlator</w:t>
            </w:r>
          </w:p>
        </w:tc>
        <w:tc>
          <w:tcPr>
            <w:tcW w:w="3923" w:type="pct"/>
          </w:tcPr>
          <w:p w14:paraId="7376BE83" w14:textId="7695C77A" w:rsidR="00C913CA" w:rsidRPr="009D0B39" w:rsidRDefault="00C913CA" w:rsidP="00C913CA">
            <w:pPr>
              <w:tabs>
                <w:tab w:val="center" w:pos="284"/>
              </w:tabs>
              <w:overflowPunct w:val="0"/>
              <w:autoSpaceDE w:val="0"/>
              <w:autoSpaceDN w:val="0"/>
              <w:adjustRightInd w:val="0"/>
              <w:ind w:left="266" w:right="-3091" w:hanging="266"/>
              <w:textAlignment w:val="baseline"/>
              <w:rPr>
                <w:sz w:val="22"/>
                <w:szCs w:val="22"/>
              </w:rPr>
            </w:pPr>
            <w:r w:rsidRPr="009D0B39">
              <w:rPr>
                <w:sz w:val="22"/>
                <w:szCs w:val="22"/>
              </w:rPr>
              <w:t>Luca Jahier (IT-Grupo das Organizações da Sociedade Civil)</w:t>
            </w:r>
          </w:p>
          <w:p w14:paraId="0E93DE74" w14:textId="1F3DE290" w:rsidR="00515DDF" w:rsidRPr="009D0B39" w:rsidRDefault="00515DDF" w:rsidP="00C913CA">
            <w:pPr>
              <w:tabs>
                <w:tab w:val="center" w:pos="284"/>
              </w:tabs>
              <w:overflowPunct w:val="0"/>
              <w:autoSpaceDE w:val="0"/>
              <w:autoSpaceDN w:val="0"/>
              <w:adjustRightInd w:val="0"/>
              <w:ind w:left="266" w:right="-3091" w:hanging="266"/>
              <w:textAlignment w:val="baseline"/>
              <w:rPr>
                <w:sz w:val="22"/>
                <w:szCs w:val="22"/>
              </w:rPr>
            </w:pPr>
          </w:p>
        </w:tc>
      </w:tr>
      <w:tr w:rsidR="00C913CA" w:rsidRPr="009D0B39" w14:paraId="65944F45" w14:textId="77777777" w:rsidTr="00C201AB">
        <w:tc>
          <w:tcPr>
            <w:tcW w:w="1077" w:type="pct"/>
          </w:tcPr>
          <w:p w14:paraId="2E5FC958" w14:textId="77777777" w:rsidR="00C913CA" w:rsidRPr="009D0B39" w:rsidRDefault="00C913CA" w:rsidP="00C913CA">
            <w:pPr>
              <w:tabs>
                <w:tab w:val="center" w:pos="284"/>
              </w:tabs>
              <w:overflowPunct w:val="0"/>
              <w:autoSpaceDE w:val="0"/>
              <w:autoSpaceDN w:val="0"/>
              <w:adjustRightInd w:val="0"/>
              <w:ind w:left="266" w:hanging="266"/>
              <w:textAlignment w:val="baseline"/>
              <w:rPr>
                <w:b/>
                <w:sz w:val="22"/>
                <w:szCs w:val="22"/>
              </w:rPr>
            </w:pPr>
            <w:r w:rsidRPr="009D0B39">
              <w:rPr>
                <w:b/>
                <w:sz w:val="22"/>
                <w:szCs w:val="22"/>
              </w:rPr>
              <w:t>Referências</w:t>
            </w:r>
          </w:p>
        </w:tc>
        <w:tc>
          <w:tcPr>
            <w:tcW w:w="3923" w:type="pct"/>
          </w:tcPr>
          <w:p w14:paraId="6347258A" w14:textId="51379C47" w:rsidR="00515DDF" w:rsidRPr="009D0B39" w:rsidRDefault="00515DDF" w:rsidP="00C913CA">
            <w:pPr>
              <w:tabs>
                <w:tab w:val="center" w:pos="284"/>
              </w:tabs>
              <w:overflowPunct w:val="0"/>
              <w:autoSpaceDE w:val="0"/>
              <w:autoSpaceDN w:val="0"/>
              <w:adjustRightInd w:val="0"/>
              <w:ind w:left="266" w:right="-3091" w:hanging="266"/>
              <w:textAlignment w:val="baseline"/>
              <w:rPr>
                <w:sz w:val="22"/>
                <w:szCs w:val="22"/>
              </w:rPr>
            </w:pPr>
            <w:r w:rsidRPr="009D0B39">
              <w:rPr>
                <w:sz w:val="22"/>
                <w:szCs w:val="22"/>
              </w:rPr>
              <w:t>COM(2025) 551 final</w:t>
            </w:r>
          </w:p>
          <w:p w14:paraId="2BBBFAE1" w14:textId="6B128210" w:rsidR="00C913CA" w:rsidRPr="009D0B39" w:rsidRDefault="00C913CA" w:rsidP="00C913CA">
            <w:pPr>
              <w:tabs>
                <w:tab w:val="center" w:pos="284"/>
              </w:tabs>
              <w:overflowPunct w:val="0"/>
              <w:autoSpaceDE w:val="0"/>
              <w:autoSpaceDN w:val="0"/>
              <w:adjustRightInd w:val="0"/>
              <w:ind w:left="266" w:right="-3091" w:hanging="266"/>
              <w:textAlignment w:val="baseline"/>
              <w:rPr>
                <w:sz w:val="22"/>
                <w:szCs w:val="22"/>
              </w:rPr>
            </w:pPr>
            <w:r w:rsidRPr="009D0B39">
              <w:rPr>
                <w:sz w:val="22"/>
                <w:szCs w:val="22"/>
              </w:rPr>
              <w:t>EESC-2025-02605-00-00-AC</w:t>
            </w:r>
          </w:p>
        </w:tc>
      </w:tr>
    </w:tbl>
    <w:p w14:paraId="05B1F97D" w14:textId="77777777" w:rsidR="00C913CA" w:rsidRPr="00C913CA" w:rsidRDefault="00C913CA" w:rsidP="009D0B39">
      <w:pPr>
        <w:tabs>
          <w:tab w:val="center" w:pos="284"/>
        </w:tabs>
        <w:overflowPunct w:val="0"/>
        <w:autoSpaceDE w:val="0"/>
        <w:autoSpaceDN w:val="0"/>
        <w:adjustRightInd w:val="0"/>
        <w:spacing w:line="192" w:lineRule="auto"/>
        <w:ind w:left="266" w:hanging="266"/>
        <w:textAlignment w:val="baseline"/>
        <w:rPr>
          <w:b/>
          <w:lang w:val="en-GB"/>
        </w:rPr>
      </w:pPr>
    </w:p>
    <w:p w14:paraId="17BCE7B6" w14:textId="77777777" w:rsidR="00C913CA" w:rsidRPr="00C913CA" w:rsidRDefault="00C913CA" w:rsidP="00C913CA">
      <w:pPr>
        <w:keepNext/>
        <w:keepLines/>
        <w:tabs>
          <w:tab w:val="center" w:pos="284"/>
        </w:tabs>
        <w:overflowPunct w:val="0"/>
        <w:autoSpaceDE w:val="0"/>
        <w:autoSpaceDN w:val="0"/>
        <w:adjustRightInd w:val="0"/>
        <w:ind w:left="266" w:hanging="266"/>
        <w:textAlignment w:val="baseline"/>
        <w:rPr>
          <w:b/>
        </w:rPr>
      </w:pPr>
      <w:r>
        <w:rPr>
          <w:b/>
        </w:rPr>
        <w:t>Pontos principais</w:t>
      </w:r>
    </w:p>
    <w:p w14:paraId="4511E68B" w14:textId="77777777" w:rsidR="00C913CA" w:rsidRPr="00C913CA" w:rsidRDefault="00C913CA" w:rsidP="009D0B39">
      <w:pPr>
        <w:tabs>
          <w:tab w:val="center" w:pos="284"/>
        </w:tabs>
        <w:overflowPunct w:val="0"/>
        <w:autoSpaceDE w:val="0"/>
        <w:autoSpaceDN w:val="0"/>
        <w:adjustRightInd w:val="0"/>
        <w:spacing w:line="192" w:lineRule="auto"/>
        <w:ind w:left="266" w:hanging="266"/>
        <w:textAlignment w:val="baseline"/>
        <w:rPr>
          <w:b/>
          <w:lang w:val="en-GB"/>
        </w:rPr>
      </w:pPr>
    </w:p>
    <w:p w14:paraId="5AC62987" w14:textId="726FD803" w:rsidR="00C913CA" w:rsidRDefault="00C913CA" w:rsidP="00C913CA">
      <w:pPr>
        <w:overflowPunct w:val="0"/>
        <w:autoSpaceDE w:val="0"/>
        <w:autoSpaceDN w:val="0"/>
        <w:adjustRightInd w:val="0"/>
        <w:textAlignment w:val="baseline"/>
      </w:pPr>
      <w:r>
        <w:t>O Comité Económico e Social Europeu:</w:t>
      </w:r>
    </w:p>
    <w:p w14:paraId="47BEEE24" w14:textId="77777777" w:rsidR="009D0B39" w:rsidRDefault="009D0B39" w:rsidP="009D0B39">
      <w:pPr>
        <w:overflowPunct w:val="0"/>
        <w:autoSpaceDE w:val="0"/>
        <w:autoSpaceDN w:val="0"/>
        <w:adjustRightInd w:val="0"/>
        <w:spacing w:line="192" w:lineRule="auto"/>
        <w:ind w:left="266" w:hanging="266"/>
        <w:textAlignment w:val="baseline"/>
        <w:rPr>
          <w:bCs/>
          <w:iCs/>
        </w:rPr>
      </w:pPr>
    </w:p>
    <w:p w14:paraId="7F34015F"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congratula-se com a proposta da Comissão de aumentar as despesas com as políticas externas da União Europeia (UE) no âmbito do próximo Quadro Financeiro Plurianual (QFP), através de um instrumento Europa Global que inclui a Reserva para a Ucrânia, e considera que este aumento é essencial para a UE afirmar o seu papel de protagonista e os seus valores a nível mundial, bem como para reforçar a sua autonomia estratégica;</w:t>
      </w:r>
    </w:p>
    <w:p w14:paraId="092597D8" w14:textId="40148BA2"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 xml:space="preserve">considera que a UE deve desempenhar um papel de liderança nos esforços humanitários e de desenvolvimento, bem como na revitalização do sistema das Nações Unidas, e entende que a Estratégia Global Gateway deve tornar-se o principal instrumento neste domínio de ação; </w:t>
      </w:r>
    </w:p>
    <w:p w14:paraId="023EF68A"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salienta que a Plataforma Consultiva da Sociedade Civil e do Poder Local sobre a Global Gateway permaneceu desligada da tomada de decisões e gerou um diálogo fragmentado; apela para que se assegure uma participação significativa, nomeadamente do CESE e do Comité das Regiões Europeu;</w:t>
      </w:r>
    </w:p>
    <w:p w14:paraId="4484C108"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destaca a necessidade de reforçar a coerência entre a política externa, o desenvolvimento, o comércio e o Fundo Europeu de Competitividade, a fim de assegurar um desenvolvimento sustentável e a resiliência económica;</w:t>
      </w:r>
    </w:p>
    <w:p w14:paraId="33EE32E4"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apesar de a flexibilidade proposta em matéria de ação externa ser considerada positiva, espera total transparência e responsabilização na utilização dos fundos;</w:t>
      </w:r>
    </w:p>
    <w:p w14:paraId="54231D48"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 xml:space="preserve">solicita que o marcador de desigualdade da Comissão seja alargado aos projetos da Estratégia Global Gateway; </w:t>
      </w:r>
    </w:p>
    <w:p w14:paraId="622745CB"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 xml:space="preserve">espera que os organismos existentes, como as plataformas da sociedade civil, sejam mais amplamente envolvidos nas relações com as organizações de países parceiros. </w:t>
      </w:r>
    </w:p>
    <w:p w14:paraId="17AD7981"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apoia todos os esforços destinados a reforçar a prosperidade e a segurança na nossa vizinhança e, por conseguinte, na UE, e defende o alargamento da União;</w:t>
      </w:r>
    </w:p>
    <w:p w14:paraId="751B0DE5"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salienta que cumpre assegurar um financiamento previsível e estável para as organizações da sociedade civil, nomeadamente com vista reforçar a democracia, o espaço cívico e a igualdade de género;</w:t>
      </w:r>
    </w:p>
    <w:p w14:paraId="29F107B3"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espera que os objetivos em matéria de cooperação económica e empreendedorismo sejam acompanhados de salvaguardas ambiciosas nos domínios social, dos direitos humanos e ambiental;</w:t>
      </w:r>
    </w:p>
    <w:p w14:paraId="1EC11B19"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opõe-se à suspensão dos pagamentos no contexto da política de migração, salientando a necessidade de incentivos positivos para alcançar os objetivos almejados.</w:t>
      </w:r>
    </w:p>
    <w:p w14:paraId="713942FB" w14:textId="77777777" w:rsidR="00C913CA" w:rsidRPr="00F5540C" w:rsidRDefault="00C913CA" w:rsidP="009D0B39">
      <w:pPr>
        <w:overflowPunct w:val="0"/>
        <w:autoSpaceDE w:val="0"/>
        <w:autoSpaceDN w:val="0"/>
        <w:adjustRightInd w:val="0"/>
        <w:spacing w:line="192" w:lineRule="auto"/>
        <w:ind w:left="266" w:hanging="266"/>
        <w:textAlignment w:val="baseline"/>
        <w:rPr>
          <w:szCs w:val="20"/>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8"/>
        <w:gridCol w:w="3691"/>
      </w:tblGrid>
      <w:tr w:rsidR="00C913CA" w:rsidRPr="00C913CA" w14:paraId="430D0F1E" w14:textId="77777777" w:rsidTr="009D0B39">
        <w:tc>
          <w:tcPr>
            <w:tcW w:w="3013" w:type="pct"/>
          </w:tcPr>
          <w:tbl>
            <w:tblPr>
              <w:tblStyle w:val="TableGrid"/>
              <w:tblW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260"/>
            </w:tblGrid>
            <w:tr w:rsidR="006559C7" w:rsidRPr="009D0B39" w14:paraId="566687C9" w14:textId="77777777" w:rsidTr="009D0B39">
              <w:tc>
                <w:tcPr>
                  <w:tcW w:w="1971" w:type="pct"/>
                </w:tcPr>
                <w:p w14:paraId="5EE88CD7" w14:textId="77777777" w:rsidR="006559C7" w:rsidRPr="009D0B39" w:rsidRDefault="006559C7" w:rsidP="006559C7">
                  <w:pPr>
                    <w:ind w:hanging="78"/>
                    <w:rPr>
                      <w:i/>
                      <w:szCs w:val="24"/>
                    </w:rPr>
                  </w:pPr>
                  <w:r w:rsidRPr="009D0B39">
                    <w:rPr>
                      <w:b/>
                      <w:i/>
                      <w:szCs w:val="24"/>
                    </w:rPr>
                    <w:t>Contacto</w:t>
                  </w:r>
                </w:p>
              </w:tc>
              <w:tc>
                <w:tcPr>
                  <w:tcW w:w="3029" w:type="pct"/>
                </w:tcPr>
                <w:p w14:paraId="1A70046D" w14:textId="77777777" w:rsidR="006559C7" w:rsidRPr="009D0B39" w:rsidRDefault="006559C7" w:rsidP="006559C7">
                  <w:pPr>
                    <w:ind w:hanging="78"/>
                    <w:rPr>
                      <w:i/>
                      <w:szCs w:val="24"/>
                    </w:rPr>
                  </w:pPr>
                  <w:r w:rsidRPr="009D0B39">
                    <w:rPr>
                      <w:i/>
                      <w:szCs w:val="24"/>
                    </w:rPr>
                    <w:t xml:space="preserve">Daniele Vitali </w:t>
                  </w:r>
                </w:p>
              </w:tc>
            </w:tr>
            <w:tr w:rsidR="006559C7" w:rsidRPr="009D0B39" w14:paraId="6A2E51F7" w14:textId="77777777" w:rsidTr="009D0B39">
              <w:tc>
                <w:tcPr>
                  <w:tcW w:w="1971" w:type="pct"/>
                </w:tcPr>
                <w:p w14:paraId="36742115" w14:textId="77777777" w:rsidR="006559C7" w:rsidRPr="009D0B39" w:rsidRDefault="006559C7" w:rsidP="006559C7">
                  <w:pPr>
                    <w:ind w:hanging="78"/>
                    <w:rPr>
                      <w:i/>
                      <w:szCs w:val="24"/>
                    </w:rPr>
                  </w:pPr>
                  <w:r w:rsidRPr="009D0B39">
                    <w:rPr>
                      <w:i/>
                      <w:szCs w:val="24"/>
                    </w:rPr>
                    <w:t>Tel.</w:t>
                  </w:r>
                </w:p>
              </w:tc>
              <w:tc>
                <w:tcPr>
                  <w:tcW w:w="3029" w:type="pct"/>
                </w:tcPr>
                <w:p w14:paraId="2025EE29" w14:textId="3BEB4E8D" w:rsidR="006559C7" w:rsidRPr="009D0B39" w:rsidRDefault="006559C7" w:rsidP="006559C7">
                  <w:pPr>
                    <w:ind w:hanging="78"/>
                    <w:rPr>
                      <w:i/>
                      <w:szCs w:val="24"/>
                    </w:rPr>
                  </w:pPr>
                  <w:r w:rsidRPr="009D0B39">
                    <w:rPr>
                      <w:i/>
                      <w:szCs w:val="24"/>
                    </w:rPr>
                    <w:t>+32 2</w:t>
                  </w:r>
                  <w:r w:rsidR="009D0B39">
                    <w:rPr>
                      <w:i/>
                      <w:szCs w:val="24"/>
                    </w:rPr>
                    <w:t xml:space="preserve"> </w:t>
                  </w:r>
                  <w:r w:rsidRPr="009D0B39">
                    <w:rPr>
                      <w:i/>
                      <w:szCs w:val="24"/>
                    </w:rPr>
                    <w:t>546</w:t>
                  </w:r>
                  <w:r w:rsidR="009D0B39">
                    <w:rPr>
                      <w:i/>
                      <w:szCs w:val="24"/>
                    </w:rPr>
                    <w:t xml:space="preserve"> </w:t>
                  </w:r>
                  <w:r w:rsidRPr="009D0B39">
                    <w:rPr>
                      <w:i/>
                      <w:szCs w:val="24"/>
                    </w:rPr>
                    <w:t>88</w:t>
                  </w:r>
                  <w:r w:rsidR="009D0B39">
                    <w:rPr>
                      <w:i/>
                      <w:szCs w:val="24"/>
                    </w:rPr>
                    <w:t xml:space="preserve"> </w:t>
                  </w:r>
                  <w:r w:rsidRPr="009D0B39">
                    <w:rPr>
                      <w:i/>
                      <w:szCs w:val="24"/>
                    </w:rPr>
                    <w:t>17</w:t>
                  </w:r>
                </w:p>
              </w:tc>
            </w:tr>
            <w:tr w:rsidR="006559C7" w:rsidRPr="009D0B39" w14:paraId="40EB0530" w14:textId="77777777" w:rsidTr="009D0B39">
              <w:tc>
                <w:tcPr>
                  <w:tcW w:w="1971" w:type="pct"/>
                </w:tcPr>
                <w:p w14:paraId="0E0B5DFB" w14:textId="77777777" w:rsidR="006559C7" w:rsidRPr="009D0B39" w:rsidRDefault="006559C7" w:rsidP="006559C7">
                  <w:pPr>
                    <w:ind w:hanging="78"/>
                    <w:rPr>
                      <w:i/>
                      <w:szCs w:val="24"/>
                    </w:rPr>
                  </w:pPr>
                  <w:r w:rsidRPr="009D0B39">
                    <w:rPr>
                      <w:i/>
                      <w:szCs w:val="24"/>
                    </w:rPr>
                    <w:t>Endereço eletrónico</w:t>
                  </w:r>
                </w:p>
              </w:tc>
              <w:tc>
                <w:tcPr>
                  <w:tcW w:w="3029" w:type="pct"/>
                </w:tcPr>
                <w:p w14:paraId="65211337" w14:textId="77777777" w:rsidR="006559C7" w:rsidRPr="009D0B39" w:rsidRDefault="001D1405" w:rsidP="006559C7">
                  <w:pPr>
                    <w:ind w:hanging="78"/>
                    <w:rPr>
                      <w:i/>
                      <w:szCs w:val="24"/>
                    </w:rPr>
                  </w:pPr>
                  <w:hyperlink r:id="rId44" w:history="1">
                    <w:r w:rsidR="00645EDF" w:rsidRPr="009D0B39">
                      <w:rPr>
                        <w:rStyle w:val="Hyperlink"/>
                        <w:i/>
                        <w:szCs w:val="24"/>
                      </w:rPr>
                      <w:t>Daniele.Vitali@eesc.europa.eu</w:t>
                    </w:r>
                  </w:hyperlink>
                </w:p>
              </w:tc>
            </w:tr>
          </w:tbl>
          <w:p w14:paraId="3CCB7A2A" w14:textId="391432AF" w:rsidR="00C913CA" w:rsidRPr="00C913CA" w:rsidRDefault="00C913CA" w:rsidP="00C913CA">
            <w:pPr>
              <w:overflowPunct w:val="0"/>
              <w:autoSpaceDE w:val="0"/>
              <w:autoSpaceDN w:val="0"/>
              <w:adjustRightInd w:val="0"/>
              <w:textAlignment w:val="baseline"/>
              <w:rPr>
                <w:i/>
              </w:rPr>
            </w:pPr>
          </w:p>
        </w:tc>
        <w:tc>
          <w:tcPr>
            <w:tcW w:w="1987" w:type="pct"/>
          </w:tcPr>
          <w:p w14:paraId="651A7526" w14:textId="52EF1562" w:rsidR="00C913CA" w:rsidRPr="00C913CA" w:rsidRDefault="00C913CA" w:rsidP="00C913CA">
            <w:pPr>
              <w:overflowPunct w:val="0"/>
              <w:autoSpaceDE w:val="0"/>
              <w:autoSpaceDN w:val="0"/>
              <w:adjustRightInd w:val="0"/>
              <w:textAlignment w:val="baseline"/>
              <w:rPr>
                <w:i/>
              </w:rPr>
            </w:pPr>
          </w:p>
        </w:tc>
      </w:tr>
    </w:tbl>
    <w:p w14:paraId="0D67EAE9" w14:textId="1879C98B" w:rsidR="004503DC" w:rsidRPr="004503DC" w:rsidRDefault="00C913CA" w:rsidP="004503DC">
      <w:pPr>
        <w:widowControl w:val="0"/>
        <w:numPr>
          <w:ilvl w:val="0"/>
          <w:numId w:val="4"/>
        </w:numPr>
        <w:overflowPunct w:val="0"/>
        <w:autoSpaceDE w:val="0"/>
        <w:autoSpaceDN w:val="0"/>
        <w:adjustRightInd w:val="0"/>
        <w:ind w:hanging="567"/>
        <w:textAlignment w:val="baseline"/>
        <w:rPr>
          <w:sz w:val="20"/>
          <w:szCs w:val="20"/>
        </w:rPr>
      </w:pPr>
      <w:r>
        <w:br w:type="page"/>
      </w:r>
      <w:hyperlink r:id="rId45" w:history="1">
        <w:r>
          <w:rPr>
            <w:b/>
            <w:i/>
            <w:color w:val="0000FF"/>
            <w:sz w:val="28"/>
            <w:u w:val="single"/>
          </w:rPr>
          <w:t>Uma via europeia previsível e comum para os ucranianos na UE</w:t>
        </w:r>
      </w:hyperlink>
    </w:p>
    <w:p w14:paraId="66ABB207" w14:textId="77777777" w:rsidR="004503DC" w:rsidRPr="00F5540C" w:rsidRDefault="004503DC" w:rsidP="004503DC">
      <w:pPr>
        <w:tabs>
          <w:tab w:val="center" w:pos="284"/>
        </w:tabs>
        <w:overflowPunct w:val="0"/>
        <w:autoSpaceDE w:val="0"/>
        <w:autoSpaceDN w:val="0"/>
        <w:adjustRightInd w:val="0"/>
        <w:ind w:left="266" w:hanging="266"/>
        <w:textAlignment w:val="baseline"/>
        <w:rPr>
          <w:b/>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503DC" w:rsidRPr="009D0B39" w14:paraId="6E6B74AA" w14:textId="77777777" w:rsidTr="00C201AB">
        <w:tc>
          <w:tcPr>
            <w:tcW w:w="1077" w:type="pct"/>
          </w:tcPr>
          <w:p w14:paraId="63D99806" w14:textId="77777777" w:rsidR="004503DC" w:rsidRPr="009D0B39" w:rsidRDefault="004503DC" w:rsidP="004503DC">
            <w:pPr>
              <w:tabs>
                <w:tab w:val="center" w:pos="284"/>
              </w:tabs>
              <w:overflowPunct w:val="0"/>
              <w:autoSpaceDE w:val="0"/>
              <w:autoSpaceDN w:val="0"/>
              <w:adjustRightInd w:val="0"/>
              <w:ind w:left="266" w:hanging="266"/>
              <w:textAlignment w:val="baseline"/>
              <w:rPr>
                <w:b/>
                <w:sz w:val="22"/>
                <w:szCs w:val="22"/>
              </w:rPr>
            </w:pPr>
            <w:r w:rsidRPr="009D0B39">
              <w:rPr>
                <w:b/>
                <w:sz w:val="22"/>
                <w:szCs w:val="22"/>
              </w:rPr>
              <w:t xml:space="preserve">Relator </w:t>
            </w:r>
          </w:p>
        </w:tc>
        <w:tc>
          <w:tcPr>
            <w:tcW w:w="3923" w:type="pct"/>
          </w:tcPr>
          <w:p w14:paraId="2DAA0415" w14:textId="516B4DAD" w:rsidR="006559C7" w:rsidRPr="009D0B39" w:rsidRDefault="004503DC" w:rsidP="00F733BE">
            <w:pPr>
              <w:tabs>
                <w:tab w:val="center" w:pos="284"/>
              </w:tabs>
              <w:overflowPunct w:val="0"/>
              <w:autoSpaceDE w:val="0"/>
              <w:autoSpaceDN w:val="0"/>
              <w:adjustRightInd w:val="0"/>
              <w:ind w:left="266" w:right="-3091" w:hanging="266"/>
              <w:textAlignment w:val="baseline"/>
              <w:rPr>
                <w:sz w:val="22"/>
                <w:szCs w:val="22"/>
              </w:rPr>
            </w:pPr>
            <w:r w:rsidRPr="009D0B39">
              <w:rPr>
                <w:sz w:val="22"/>
                <w:szCs w:val="22"/>
              </w:rPr>
              <w:t>Mateusz Szymański (PL</w:t>
            </w:r>
            <w:r w:rsidR="009D0B39">
              <w:rPr>
                <w:sz w:val="22"/>
                <w:szCs w:val="22"/>
              </w:rPr>
              <w:t>-</w:t>
            </w:r>
            <w:r w:rsidRPr="009D0B39">
              <w:rPr>
                <w:sz w:val="22"/>
                <w:szCs w:val="22"/>
              </w:rPr>
              <w:t>Grupo dos Trabalhadores)</w:t>
            </w:r>
          </w:p>
        </w:tc>
      </w:tr>
      <w:tr w:rsidR="004503DC" w:rsidRPr="009D0B39" w14:paraId="712EFFED" w14:textId="77777777" w:rsidTr="00C201AB">
        <w:tc>
          <w:tcPr>
            <w:tcW w:w="1077" w:type="pct"/>
          </w:tcPr>
          <w:p w14:paraId="2B679233" w14:textId="77777777" w:rsidR="004503DC" w:rsidRPr="009D0B39" w:rsidRDefault="004503DC" w:rsidP="004503DC">
            <w:pPr>
              <w:tabs>
                <w:tab w:val="center" w:pos="284"/>
              </w:tabs>
              <w:overflowPunct w:val="0"/>
              <w:autoSpaceDE w:val="0"/>
              <w:autoSpaceDN w:val="0"/>
              <w:adjustRightInd w:val="0"/>
              <w:ind w:left="266" w:hanging="266"/>
              <w:textAlignment w:val="baseline"/>
              <w:rPr>
                <w:b/>
                <w:sz w:val="22"/>
                <w:szCs w:val="22"/>
              </w:rPr>
            </w:pPr>
            <w:r w:rsidRPr="009D0B39">
              <w:rPr>
                <w:b/>
                <w:sz w:val="22"/>
                <w:szCs w:val="22"/>
              </w:rPr>
              <w:t>Correlator</w:t>
            </w:r>
          </w:p>
        </w:tc>
        <w:tc>
          <w:tcPr>
            <w:tcW w:w="3923" w:type="pct"/>
          </w:tcPr>
          <w:p w14:paraId="38932FB0" w14:textId="5F847873" w:rsidR="004503DC" w:rsidRPr="009D0B39" w:rsidRDefault="004503DC" w:rsidP="004503DC">
            <w:pPr>
              <w:tabs>
                <w:tab w:val="center" w:pos="284"/>
              </w:tabs>
              <w:overflowPunct w:val="0"/>
              <w:autoSpaceDE w:val="0"/>
              <w:autoSpaceDN w:val="0"/>
              <w:adjustRightInd w:val="0"/>
              <w:ind w:left="266" w:right="-3091" w:hanging="266"/>
              <w:textAlignment w:val="baseline"/>
              <w:rPr>
                <w:sz w:val="22"/>
                <w:szCs w:val="22"/>
              </w:rPr>
            </w:pPr>
            <w:r w:rsidRPr="009D0B39">
              <w:rPr>
                <w:sz w:val="22"/>
                <w:szCs w:val="22"/>
              </w:rPr>
              <w:t>Krzysztof Balon (PL</w:t>
            </w:r>
            <w:r w:rsidR="009D0B39">
              <w:rPr>
                <w:sz w:val="22"/>
                <w:szCs w:val="22"/>
              </w:rPr>
              <w:t>-</w:t>
            </w:r>
            <w:r w:rsidRPr="009D0B39">
              <w:rPr>
                <w:sz w:val="22"/>
                <w:szCs w:val="22"/>
              </w:rPr>
              <w:t>Grupo das Organizações da Sociedade Civil)</w:t>
            </w:r>
          </w:p>
          <w:p w14:paraId="3F606C7E" w14:textId="77777777" w:rsidR="00F733BE" w:rsidRPr="009D0B39" w:rsidRDefault="00F733BE" w:rsidP="004503DC">
            <w:pPr>
              <w:tabs>
                <w:tab w:val="center" w:pos="284"/>
              </w:tabs>
              <w:overflowPunct w:val="0"/>
              <w:autoSpaceDE w:val="0"/>
              <w:autoSpaceDN w:val="0"/>
              <w:adjustRightInd w:val="0"/>
              <w:ind w:left="266" w:right="-3091" w:hanging="266"/>
              <w:textAlignment w:val="baseline"/>
              <w:rPr>
                <w:sz w:val="22"/>
                <w:szCs w:val="22"/>
              </w:rPr>
            </w:pPr>
          </w:p>
        </w:tc>
      </w:tr>
      <w:tr w:rsidR="004503DC" w:rsidRPr="009D0B39" w14:paraId="1E0B600C" w14:textId="77777777" w:rsidTr="00C201AB">
        <w:tc>
          <w:tcPr>
            <w:tcW w:w="1077" w:type="pct"/>
          </w:tcPr>
          <w:p w14:paraId="331D255A" w14:textId="780DCEE2" w:rsidR="004503DC" w:rsidRPr="009D0B39" w:rsidRDefault="004503DC" w:rsidP="004503DC">
            <w:pPr>
              <w:tabs>
                <w:tab w:val="center" w:pos="284"/>
              </w:tabs>
              <w:overflowPunct w:val="0"/>
              <w:autoSpaceDE w:val="0"/>
              <w:autoSpaceDN w:val="0"/>
              <w:adjustRightInd w:val="0"/>
              <w:ind w:left="266" w:hanging="266"/>
              <w:textAlignment w:val="baseline"/>
              <w:rPr>
                <w:b/>
                <w:sz w:val="22"/>
                <w:szCs w:val="22"/>
              </w:rPr>
            </w:pPr>
            <w:r w:rsidRPr="009D0B39">
              <w:rPr>
                <w:b/>
                <w:sz w:val="22"/>
                <w:szCs w:val="22"/>
              </w:rPr>
              <w:t>Referência</w:t>
            </w:r>
            <w:r w:rsidR="009D0B39">
              <w:rPr>
                <w:b/>
                <w:sz w:val="22"/>
                <w:szCs w:val="22"/>
              </w:rPr>
              <w:t>s</w:t>
            </w:r>
          </w:p>
        </w:tc>
        <w:tc>
          <w:tcPr>
            <w:tcW w:w="3923" w:type="pct"/>
          </w:tcPr>
          <w:p w14:paraId="2C22F4DD" w14:textId="16761502" w:rsidR="00F733BE" w:rsidRPr="009D0B39" w:rsidRDefault="00F733BE" w:rsidP="004503DC">
            <w:pPr>
              <w:tabs>
                <w:tab w:val="center" w:pos="284"/>
              </w:tabs>
              <w:overflowPunct w:val="0"/>
              <w:autoSpaceDE w:val="0"/>
              <w:autoSpaceDN w:val="0"/>
              <w:adjustRightInd w:val="0"/>
              <w:ind w:left="266" w:right="-3091" w:hanging="266"/>
              <w:textAlignment w:val="baseline"/>
              <w:rPr>
                <w:sz w:val="22"/>
                <w:szCs w:val="22"/>
              </w:rPr>
            </w:pPr>
            <w:r w:rsidRPr="009D0B39">
              <w:rPr>
                <w:sz w:val="22"/>
                <w:szCs w:val="22"/>
              </w:rPr>
              <w:t>COM(2025) 649 final</w:t>
            </w:r>
          </w:p>
          <w:p w14:paraId="002ECA16" w14:textId="7A871AFA" w:rsidR="004503DC" w:rsidRPr="009D0B39" w:rsidRDefault="004503DC" w:rsidP="004503DC">
            <w:pPr>
              <w:tabs>
                <w:tab w:val="center" w:pos="284"/>
              </w:tabs>
              <w:overflowPunct w:val="0"/>
              <w:autoSpaceDE w:val="0"/>
              <w:autoSpaceDN w:val="0"/>
              <w:adjustRightInd w:val="0"/>
              <w:ind w:left="266" w:right="-3091" w:hanging="266"/>
              <w:textAlignment w:val="baseline"/>
              <w:rPr>
                <w:sz w:val="22"/>
                <w:szCs w:val="22"/>
              </w:rPr>
            </w:pPr>
            <w:r w:rsidRPr="009D0B39">
              <w:rPr>
                <w:sz w:val="22"/>
                <w:szCs w:val="22"/>
              </w:rPr>
              <w:t>EESC-2025-02613-00-00-AC</w:t>
            </w:r>
          </w:p>
        </w:tc>
      </w:tr>
    </w:tbl>
    <w:p w14:paraId="35706CBA" w14:textId="77777777" w:rsidR="004503DC" w:rsidRPr="004503DC" w:rsidRDefault="004503DC" w:rsidP="004503DC">
      <w:pPr>
        <w:tabs>
          <w:tab w:val="center" w:pos="284"/>
        </w:tabs>
        <w:overflowPunct w:val="0"/>
        <w:autoSpaceDE w:val="0"/>
        <w:autoSpaceDN w:val="0"/>
        <w:adjustRightInd w:val="0"/>
        <w:ind w:left="266" w:hanging="266"/>
        <w:textAlignment w:val="baseline"/>
        <w:rPr>
          <w:b/>
          <w:lang w:val="en-GB"/>
        </w:rPr>
      </w:pPr>
    </w:p>
    <w:p w14:paraId="3507DE8F" w14:textId="77777777" w:rsidR="004503DC" w:rsidRPr="004503DC" w:rsidRDefault="004503DC" w:rsidP="004503DC">
      <w:pPr>
        <w:keepNext/>
        <w:keepLines/>
        <w:tabs>
          <w:tab w:val="center" w:pos="284"/>
        </w:tabs>
        <w:overflowPunct w:val="0"/>
        <w:autoSpaceDE w:val="0"/>
        <w:autoSpaceDN w:val="0"/>
        <w:adjustRightInd w:val="0"/>
        <w:ind w:left="266" w:hanging="266"/>
        <w:textAlignment w:val="baseline"/>
        <w:rPr>
          <w:b/>
        </w:rPr>
      </w:pPr>
      <w:r>
        <w:rPr>
          <w:b/>
        </w:rPr>
        <w:t>Pontos principais</w:t>
      </w:r>
    </w:p>
    <w:p w14:paraId="09F1D644" w14:textId="77777777" w:rsidR="004503DC" w:rsidRPr="004503DC" w:rsidRDefault="004503DC" w:rsidP="004503DC">
      <w:pPr>
        <w:keepNext/>
        <w:keepLines/>
        <w:tabs>
          <w:tab w:val="center" w:pos="284"/>
        </w:tabs>
        <w:overflowPunct w:val="0"/>
        <w:autoSpaceDE w:val="0"/>
        <w:autoSpaceDN w:val="0"/>
        <w:adjustRightInd w:val="0"/>
        <w:ind w:left="266" w:hanging="266"/>
        <w:textAlignment w:val="baseline"/>
        <w:rPr>
          <w:b/>
          <w:lang w:val="en-GB"/>
        </w:rPr>
      </w:pPr>
    </w:p>
    <w:p w14:paraId="1DB598AA" w14:textId="77777777" w:rsidR="004503DC" w:rsidRDefault="004503DC" w:rsidP="004503DC">
      <w:pPr>
        <w:overflowPunct w:val="0"/>
        <w:autoSpaceDE w:val="0"/>
        <w:autoSpaceDN w:val="0"/>
        <w:adjustRightInd w:val="0"/>
        <w:textAlignment w:val="baseline"/>
        <w:rPr>
          <w:bCs/>
          <w:iCs/>
        </w:rPr>
      </w:pPr>
      <w:r>
        <w:t>O Comité Económico e Social Europeu:</w:t>
      </w:r>
    </w:p>
    <w:p w14:paraId="446A35DC" w14:textId="77777777" w:rsidR="00F733BE" w:rsidRPr="00F5540C" w:rsidRDefault="00F733BE" w:rsidP="004503DC">
      <w:pPr>
        <w:overflowPunct w:val="0"/>
        <w:autoSpaceDE w:val="0"/>
        <w:autoSpaceDN w:val="0"/>
        <w:adjustRightInd w:val="0"/>
        <w:textAlignment w:val="baseline"/>
        <w:rPr>
          <w:bCs/>
          <w:iCs/>
        </w:rPr>
      </w:pPr>
    </w:p>
    <w:p w14:paraId="5AAE80CE" w14:textId="24D5B680" w:rsidR="004503DC" w:rsidRPr="004503DC" w:rsidRDefault="001F2C88" w:rsidP="00054C58">
      <w:pPr>
        <w:widowControl w:val="0"/>
        <w:numPr>
          <w:ilvl w:val="0"/>
          <w:numId w:val="33"/>
        </w:numPr>
        <w:overflowPunct w:val="0"/>
        <w:autoSpaceDE w:val="0"/>
        <w:autoSpaceDN w:val="0"/>
        <w:adjustRightInd w:val="0"/>
        <w:ind w:left="284" w:hanging="284"/>
        <w:textAlignment w:val="baseline"/>
        <w:rPr>
          <w:bCs/>
          <w:iCs/>
        </w:rPr>
      </w:pPr>
      <w:r>
        <w:t>mantém-se</w:t>
      </w:r>
      <w:r w:rsidR="004503DC">
        <w:t xml:space="preserve"> firme na sua solidariedade com o povo ucraniano, relembra que a agressão da Rússia contra a Ucrânia levou milhões de ucranianos a fugir do perigo e salienta o papel desempenhado pelas organizações da sociedade civil no momento do maior afluxo de pessoas deslocadas da Ucrânia;</w:t>
      </w:r>
    </w:p>
    <w:p w14:paraId="739050E0"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bCs/>
          <w:iCs/>
        </w:rPr>
      </w:pPr>
      <w:r>
        <w:t>observa que a proteção temporária se tem revelado uma solução benéfica para as pessoas deslocadas da Ucrânia, dado que ainda não existem condições para o regresso à Ucrânia devido à agressão em curso, e congratula-se com a decisão de prorrogar a proteção temporária por um novo período;</w:t>
      </w:r>
    </w:p>
    <w:p w14:paraId="027B8CC0"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bCs/>
          <w:iCs/>
        </w:rPr>
      </w:pPr>
      <w:r>
        <w:t>sublinha ser necessária uma perspetiva a longo prazo para as pessoas que beneficiam de proteção temporária e insta a Comissão Europeia e os Estados-Membros a envidarem esforços para facilitar uma transição harmoniosa para uma residência de caráter mais permanente e um afastamento progressivo da proteção temporária;</w:t>
      </w:r>
    </w:p>
    <w:p w14:paraId="58D36077"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bCs/>
          <w:iCs/>
        </w:rPr>
      </w:pPr>
      <w:r>
        <w:t>assinala que a chegada dos ucranianos à UE colocou maior pressão sobre os sistemas de serviços públicos dos Estados-Membros e insiste na necessidade de aumentar o investimento em serviços de interesse geral de elevada qualidade, nomeadamente a habitação, a disponibilizar em pé de igualdade a todas as pessoas que residem legalmente na UE;</w:t>
      </w:r>
    </w:p>
    <w:p w14:paraId="40289059"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pPr>
      <w:r>
        <w:t>observa que devem ser envidados esforços para assegurar o êxito da integração dos ucranianos na UE através de cursos de línguas, do apoio a iniciativas das comunidades locais, da integração das crianças ucranianas nos sistemas educativos dos Estados-Membros e da luta contra a desinformação e as atividades dos serviços de informação russos, bem através da sua participação em organizações ativas nas suas comunidades locais;</w:t>
      </w:r>
    </w:p>
    <w:p w14:paraId="6F366C03"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szCs w:val="20"/>
        </w:rPr>
      </w:pPr>
      <w:r>
        <w:t>considera muito importante estabelecer condições de trabalho justas para os ucranianos, tanto na UE como na Ucrânia. Os Estados-Membros devem combater a exploração e a desigualdade de tratamento dos ucranianos no mercado de trabalho, ao passo que o Governo ucraniano deverá restabelecer soluções favoráveis para os trabalhadores e as atividades sindicais através do diálogo com os parceiros sociais.</w:t>
      </w:r>
    </w:p>
    <w:p w14:paraId="15DAAC73" w14:textId="77777777" w:rsidR="004503DC" w:rsidRPr="00F5540C" w:rsidRDefault="004503DC" w:rsidP="004503DC">
      <w:pPr>
        <w:widowControl w:val="0"/>
        <w:overflowPunct w:val="0"/>
        <w:autoSpaceDE w:val="0"/>
        <w:autoSpaceDN w:val="0"/>
        <w:adjustRightInd w:val="0"/>
        <w:ind w:left="709"/>
        <w:textAlignment w:val="baseline"/>
        <w:rPr>
          <w:szCs w:val="20"/>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4503DC" w:rsidRPr="009D0B39" w14:paraId="0C28C241" w14:textId="77777777" w:rsidTr="009D0B39">
        <w:tc>
          <w:tcPr>
            <w:tcW w:w="1203" w:type="pct"/>
          </w:tcPr>
          <w:p w14:paraId="011666E9" w14:textId="77777777" w:rsidR="004503DC" w:rsidRPr="009D0B39" w:rsidRDefault="004503DC" w:rsidP="004503DC">
            <w:pPr>
              <w:overflowPunct w:val="0"/>
              <w:autoSpaceDE w:val="0"/>
              <w:autoSpaceDN w:val="0"/>
              <w:adjustRightInd w:val="0"/>
              <w:textAlignment w:val="baseline"/>
              <w:rPr>
                <w:i/>
                <w:sz w:val="22"/>
                <w:szCs w:val="22"/>
              </w:rPr>
            </w:pPr>
            <w:r w:rsidRPr="009D0B39">
              <w:rPr>
                <w:b/>
                <w:i/>
                <w:sz w:val="22"/>
                <w:szCs w:val="22"/>
              </w:rPr>
              <w:t>Contacto</w:t>
            </w:r>
          </w:p>
        </w:tc>
        <w:tc>
          <w:tcPr>
            <w:tcW w:w="3797" w:type="pct"/>
          </w:tcPr>
          <w:p w14:paraId="5376B5C9" w14:textId="1E39C147" w:rsidR="004503DC" w:rsidRPr="009D0B39" w:rsidRDefault="004503DC" w:rsidP="004503DC">
            <w:pPr>
              <w:overflowPunct w:val="0"/>
              <w:autoSpaceDE w:val="0"/>
              <w:autoSpaceDN w:val="0"/>
              <w:adjustRightInd w:val="0"/>
              <w:textAlignment w:val="baseline"/>
              <w:rPr>
                <w:i/>
                <w:sz w:val="22"/>
                <w:szCs w:val="22"/>
              </w:rPr>
            </w:pPr>
            <w:r w:rsidRPr="009D0B39">
              <w:rPr>
                <w:i/>
                <w:sz w:val="22"/>
                <w:szCs w:val="22"/>
              </w:rPr>
              <w:t>Katarína Grzeszczyk Albrechtová</w:t>
            </w:r>
          </w:p>
        </w:tc>
      </w:tr>
      <w:tr w:rsidR="004503DC" w:rsidRPr="009D0B39" w14:paraId="3DF91CE1" w14:textId="77777777" w:rsidTr="009D0B39">
        <w:tc>
          <w:tcPr>
            <w:tcW w:w="1203" w:type="pct"/>
          </w:tcPr>
          <w:p w14:paraId="12B0FB94" w14:textId="77777777" w:rsidR="004503DC" w:rsidRPr="009D0B39" w:rsidRDefault="004503DC" w:rsidP="004503DC">
            <w:pPr>
              <w:overflowPunct w:val="0"/>
              <w:autoSpaceDE w:val="0"/>
              <w:autoSpaceDN w:val="0"/>
              <w:adjustRightInd w:val="0"/>
              <w:textAlignment w:val="baseline"/>
              <w:rPr>
                <w:i/>
                <w:sz w:val="22"/>
                <w:szCs w:val="22"/>
              </w:rPr>
            </w:pPr>
            <w:r w:rsidRPr="009D0B39">
              <w:rPr>
                <w:i/>
                <w:sz w:val="22"/>
                <w:szCs w:val="22"/>
              </w:rPr>
              <w:t>Tel.</w:t>
            </w:r>
          </w:p>
        </w:tc>
        <w:tc>
          <w:tcPr>
            <w:tcW w:w="3797" w:type="pct"/>
          </w:tcPr>
          <w:p w14:paraId="2AB00694" w14:textId="77777777" w:rsidR="004503DC" w:rsidRPr="009D0B39" w:rsidRDefault="004503DC" w:rsidP="004503DC">
            <w:pPr>
              <w:overflowPunct w:val="0"/>
              <w:autoSpaceDE w:val="0"/>
              <w:autoSpaceDN w:val="0"/>
              <w:adjustRightInd w:val="0"/>
              <w:textAlignment w:val="baseline"/>
              <w:rPr>
                <w:i/>
                <w:sz w:val="22"/>
                <w:szCs w:val="22"/>
              </w:rPr>
            </w:pPr>
            <w:r w:rsidRPr="009D0B39">
              <w:rPr>
                <w:i/>
                <w:sz w:val="22"/>
                <w:szCs w:val="22"/>
              </w:rPr>
              <w:t>+32 2 546 94 60</w:t>
            </w:r>
          </w:p>
        </w:tc>
      </w:tr>
      <w:tr w:rsidR="004503DC" w:rsidRPr="009D0B39" w14:paraId="704DFCB6" w14:textId="77777777" w:rsidTr="009D0B39">
        <w:tc>
          <w:tcPr>
            <w:tcW w:w="1203" w:type="pct"/>
          </w:tcPr>
          <w:p w14:paraId="18D5B7A9" w14:textId="77777777" w:rsidR="004503DC" w:rsidRPr="009D0B39" w:rsidRDefault="004503DC" w:rsidP="004503DC">
            <w:pPr>
              <w:overflowPunct w:val="0"/>
              <w:autoSpaceDE w:val="0"/>
              <w:autoSpaceDN w:val="0"/>
              <w:adjustRightInd w:val="0"/>
              <w:textAlignment w:val="baseline"/>
              <w:rPr>
                <w:i/>
                <w:sz w:val="22"/>
                <w:szCs w:val="22"/>
              </w:rPr>
            </w:pPr>
            <w:r w:rsidRPr="009D0B39">
              <w:rPr>
                <w:i/>
                <w:sz w:val="22"/>
                <w:szCs w:val="22"/>
              </w:rPr>
              <w:t>Endereço eletrónico</w:t>
            </w:r>
          </w:p>
        </w:tc>
        <w:tc>
          <w:tcPr>
            <w:tcW w:w="3797" w:type="pct"/>
          </w:tcPr>
          <w:p w14:paraId="59F392A7" w14:textId="77777777" w:rsidR="004503DC" w:rsidRPr="009D0B39" w:rsidRDefault="001D1405" w:rsidP="004503DC">
            <w:pPr>
              <w:overflowPunct w:val="0"/>
              <w:autoSpaceDE w:val="0"/>
              <w:autoSpaceDN w:val="0"/>
              <w:adjustRightInd w:val="0"/>
              <w:textAlignment w:val="baseline"/>
              <w:rPr>
                <w:i/>
                <w:sz w:val="22"/>
                <w:szCs w:val="22"/>
              </w:rPr>
            </w:pPr>
            <w:hyperlink r:id="rId46" w:history="1">
              <w:r w:rsidR="00645EDF" w:rsidRPr="009D0B39">
                <w:rPr>
                  <w:i/>
                  <w:color w:val="0000FF"/>
                  <w:sz w:val="22"/>
                  <w:szCs w:val="22"/>
                  <w:u w:val="single"/>
                </w:rPr>
                <w:t>Katarina.Albrechtova@eesc.europa.eu</w:t>
              </w:r>
            </w:hyperlink>
            <w:r w:rsidR="00645EDF" w:rsidRPr="009D0B39">
              <w:rPr>
                <w:i/>
                <w:sz w:val="22"/>
                <w:szCs w:val="22"/>
              </w:rPr>
              <w:t xml:space="preserve"> </w:t>
            </w:r>
          </w:p>
        </w:tc>
      </w:tr>
    </w:tbl>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C913CA" w:rsidRPr="00C913CA" w14:paraId="2C0E6338" w14:textId="77777777" w:rsidTr="00C201AB">
        <w:tc>
          <w:tcPr>
            <w:tcW w:w="1077" w:type="pct"/>
          </w:tcPr>
          <w:p w14:paraId="57EDC7A8" w14:textId="6955C181" w:rsidR="00C913CA" w:rsidRPr="00C913CA" w:rsidRDefault="00C913CA" w:rsidP="00C913CA">
            <w:pPr>
              <w:overflowPunct w:val="0"/>
              <w:autoSpaceDE w:val="0"/>
              <w:autoSpaceDN w:val="0"/>
              <w:adjustRightInd w:val="0"/>
              <w:textAlignment w:val="baseline"/>
              <w:rPr>
                <w:i/>
              </w:rPr>
            </w:pPr>
          </w:p>
        </w:tc>
        <w:tc>
          <w:tcPr>
            <w:tcW w:w="3923" w:type="pct"/>
          </w:tcPr>
          <w:p w14:paraId="5811559E" w14:textId="50EE8449" w:rsidR="00C913CA" w:rsidRPr="00C913CA" w:rsidRDefault="00C913CA" w:rsidP="00C913CA">
            <w:pPr>
              <w:overflowPunct w:val="0"/>
              <w:autoSpaceDE w:val="0"/>
              <w:autoSpaceDN w:val="0"/>
              <w:adjustRightInd w:val="0"/>
              <w:textAlignment w:val="baseline"/>
              <w:rPr>
                <w:i/>
              </w:rPr>
            </w:pPr>
          </w:p>
        </w:tc>
      </w:tr>
    </w:tbl>
    <w:p w14:paraId="28C69286" w14:textId="77777777" w:rsidR="004503DC" w:rsidRDefault="004503DC">
      <w:pPr>
        <w:spacing w:after="160" w:line="259" w:lineRule="auto"/>
        <w:jc w:val="left"/>
      </w:pPr>
      <w:r>
        <w:br w:type="page"/>
      </w:r>
    </w:p>
    <w:p w14:paraId="528C73AA" w14:textId="46DE726B" w:rsidR="006D2C8A" w:rsidRPr="006D2C8A" w:rsidRDefault="006D2C8A" w:rsidP="006D2C8A">
      <w:pPr>
        <w:pStyle w:val="Heading1"/>
        <w:rPr>
          <w:b/>
        </w:rPr>
      </w:pPr>
      <w:bookmarkStart w:id="20" w:name="_Toc217055920"/>
      <w:r>
        <w:rPr>
          <w:b/>
          <w:color w:val="222A35" w:themeColor="text2" w:themeShade="80"/>
        </w:rPr>
        <w:lastRenderedPageBreak/>
        <w:t>COMISSÃO CONSULTIVA DAS MUTAÇÕES INDUSTRIAIS</w:t>
      </w:r>
      <w:bookmarkEnd w:id="20"/>
    </w:p>
    <w:p w14:paraId="713E272F" w14:textId="77777777" w:rsidR="006D2C8A" w:rsidRDefault="006D2C8A" w:rsidP="006D2C8A"/>
    <w:p w14:paraId="7383D97E" w14:textId="13359D4F" w:rsidR="00ED76AC" w:rsidRPr="00ED76AC" w:rsidRDefault="001D1405" w:rsidP="00ED76AC">
      <w:pPr>
        <w:widowControl w:val="0"/>
        <w:numPr>
          <w:ilvl w:val="0"/>
          <w:numId w:val="16"/>
        </w:numPr>
        <w:overflowPunct w:val="0"/>
        <w:autoSpaceDE w:val="0"/>
        <w:autoSpaceDN w:val="0"/>
        <w:adjustRightInd w:val="0"/>
        <w:ind w:hanging="567"/>
        <w:rPr>
          <w:sz w:val="20"/>
          <w:szCs w:val="20"/>
        </w:rPr>
      </w:pPr>
      <w:hyperlink r:id="rId47" w:history="1">
        <w:r w:rsidR="00645EDF">
          <w:rPr>
            <w:b/>
            <w:i/>
            <w:color w:val="0000FF"/>
            <w:sz w:val="28"/>
            <w:u w:val="single"/>
          </w:rPr>
          <w:t>Fa</w:t>
        </w:r>
        <w:r w:rsidR="00645EDF">
          <w:rPr>
            <w:b/>
            <w:i/>
            <w:color w:val="0000FF"/>
            <w:sz w:val="28"/>
            <w:u w:val="single"/>
          </w:rPr>
          <w:t>c</w:t>
        </w:r>
        <w:r w:rsidR="00645EDF">
          <w:rPr>
            <w:b/>
            <w:i/>
            <w:color w:val="0000FF"/>
            <w:sz w:val="28"/>
            <w:u w:val="single"/>
          </w:rPr>
          <w:t>i</w:t>
        </w:r>
        <w:r w:rsidR="00645EDF">
          <w:rPr>
            <w:b/>
            <w:i/>
            <w:color w:val="0000FF"/>
            <w:sz w:val="28"/>
            <w:u w:val="single"/>
          </w:rPr>
          <w:t>litar o potencial dos materiais permanentes na economia circular da UE</w:t>
        </w:r>
      </w:hyperlink>
    </w:p>
    <w:p w14:paraId="243BA033" w14:textId="77777777" w:rsidR="00ED76AC" w:rsidRPr="00F5540C" w:rsidRDefault="00ED76AC" w:rsidP="00ED76AC">
      <w:pPr>
        <w:widowControl w:val="0"/>
        <w:overflowPunct w:val="0"/>
        <w:autoSpaceDE w:val="0"/>
        <w:autoSpaceDN w:val="0"/>
        <w:adjustRightInd w:val="0"/>
        <w:ind w:left="567"/>
        <w:rPr>
          <w:sz w:val="20"/>
          <w:szCs w:val="20"/>
        </w:rPr>
      </w:pPr>
    </w:p>
    <w:tbl>
      <w:tblPr>
        <w:tblStyle w:val="TableGrid1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ED76AC" w:rsidRPr="009D0B39" w14:paraId="3E004ABC" w14:textId="77777777">
        <w:tc>
          <w:tcPr>
            <w:tcW w:w="1077" w:type="pct"/>
            <w:hideMark/>
          </w:tcPr>
          <w:p w14:paraId="1E7D8DE2" w14:textId="77777777" w:rsidR="00ED76AC" w:rsidRPr="009D0B39" w:rsidRDefault="00ED76AC" w:rsidP="00ED76AC">
            <w:pPr>
              <w:tabs>
                <w:tab w:val="center" w:pos="284"/>
              </w:tabs>
              <w:overflowPunct w:val="0"/>
              <w:autoSpaceDE w:val="0"/>
              <w:autoSpaceDN w:val="0"/>
              <w:adjustRightInd w:val="0"/>
              <w:ind w:left="266" w:hanging="266"/>
              <w:rPr>
                <w:b/>
                <w:sz w:val="22"/>
                <w:szCs w:val="22"/>
              </w:rPr>
            </w:pPr>
            <w:r w:rsidRPr="009D0B39">
              <w:rPr>
                <w:b/>
                <w:sz w:val="22"/>
                <w:szCs w:val="22"/>
              </w:rPr>
              <w:t>Relator</w:t>
            </w:r>
          </w:p>
        </w:tc>
        <w:tc>
          <w:tcPr>
            <w:tcW w:w="3923" w:type="pct"/>
            <w:hideMark/>
          </w:tcPr>
          <w:p w14:paraId="51B8EA45" w14:textId="2E585356" w:rsidR="00ED76AC" w:rsidRPr="009D0B39" w:rsidRDefault="00ED76AC" w:rsidP="00ED76AC">
            <w:pPr>
              <w:tabs>
                <w:tab w:val="center" w:pos="284"/>
              </w:tabs>
              <w:overflowPunct w:val="0"/>
              <w:autoSpaceDE w:val="0"/>
              <w:autoSpaceDN w:val="0"/>
              <w:adjustRightInd w:val="0"/>
              <w:ind w:left="266" w:right="-3091" w:hanging="266"/>
              <w:rPr>
                <w:sz w:val="22"/>
                <w:szCs w:val="22"/>
              </w:rPr>
            </w:pPr>
            <w:r w:rsidRPr="009D0B39">
              <w:rPr>
                <w:sz w:val="22"/>
                <w:szCs w:val="22"/>
              </w:rPr>
              <w:t>Andrea Mone (IT</w:t>
            </w:r>
            <w:r w:rsidR="009D0B39" w:rsidRPr="009D0B39">
              <w:rPr>
                <w:sz w:val="22"/>
                <w:szCs w:val="22"/>
              </w:rPr>
              <w:t>-</w:t>
            </w:r>
            <w:r w:rsidRPr="009D0B39">
              <w:rPr>
                <w:sz w:val="22"/>
                <w:szCs w:val="22"/>
              </w:rPr>
              <w:t>Grupo dos Trabalhadores)</w:t>
            </w:r>
          </w:p>
        </w:tc>
      </w:tr>
      <w:tr w:rsidR="00ED76AC" w:rsidRPr="009D0B39" w14:paraId="21F71A9D" w14:textId="77777777">
        <w:tc>
          <w:tcPr>
            <w:tcW w:w="1077" w:type="pct"/>
            <w:hideMark/>
          </w:tcPr>
          <w:p w14:paraId="2C3FD6D4" w14:textId="77777777" w:rsidR="00ED76AC" w:rsidRPr="009D0B39" w:rsidRDefault="00ED76AC" w:rsidP="00ED76AC">
            <w:pPr>
              <w:tabs>
                <w:tab w:val="center" w:pos="284"/>
              </w:tabs>
              <w:overflowPunct w:val="0"/>
              <w:autoSpaceDE w:val="0"/>
              <w:autoSpaceDN w:val="0"/>
              <w:adjustRightInd w:val="0"/>
              <w:ind w:left="266" w:hanging="266"/>
              <w:rPr>
                <w:b/>
                <w:sz w:val="22"/>
                <w:szCs w:val="22"/>
              </w:rPr>
            </w:pPr>
            <w:r w:rsidRPr="009D0B39">
              <w:rPr>
                <w:b/>
                <w:sz w:val="22"/>
                <w:szCs w:val="22"/>
              </w:rPr>
              <w:t>Correlator</w:t>
            </w:r>
          </w:p>
        </w:tc>
        <w:tc>
          <w:tcPr>
            <w:tcW w:w="3923" w:type="pct"/>
            <w:hideMark/>
          </w:tcPr>
          <w:p w14:paraId="1CE8569E" w14:textId="2ED171F2" w:rsidR="00ED76AC" w:rsidRPr="009D0B39" w:rsidRDefault="00ED76AC" w:rsidP="00ED76AC">
            <w:pPr>
              <w:tabs>
                <w:tab w:val="center" w:pos="284"/>
              </w:tabs>
              <w:overflowPunct w:val="0"/>
              <w:autoSpaceDE w:val="0"/>
              <w:autoSpaceDN w:val="0"/>
              <w:adjustRightInd w:val="0"/>
              <w:ind w:left="266" w:right="-3091" w:hanging="266"/>
              <w:rPr>
                <w:sz w:val="22"/>
                <w:szCs w:val="22"/>
              </w:rPr>
            </w:pPr>
            <w:r w:rsidRPr="009D0B39">
              <w:rPr>
                <w:sz w:val="22"/>
                <w:szCs w:val="22"/>
              </w:rPr>
              <w:t>Michal Pintér (SK</w:t>
            </w:r>
            <w:r w:rsidR="009D0B39" w:rsidRPr="009D0B39">
              <w:rPr>
                <w:sz w:val="22"/>
                <w:szCs w:val="22"/>
              </w:rPr>
              <w:t>-</w:t>
            </w:r>
            <w:r w:rsidRPr="009D0B39">
              <w:rPr>
                <w:sz w:val="22"/>
                <w:szCs w:val="22"/>
              </w:rPr>
              <w:t>Grupo dos Empregadores)</w:t>
            </w:r>
          </w:p>
          <w:p w14:paraId="28215643" w14:textId="77777777" w:rsidR="00707689" w:rsidRPr="009D0B39" w:rsidRDefault="00707689" w:rsidP="00ED76AC">
            <w:pPr>
              <w:tabs>
                <w:tab w:val="center" w:pos="284"/>
              </w:tabs>
              <w:overflowPunct w:val="0"/>
              <w:autoSpaceDE w:val="0"/>
              <w:autoSpaceDN w:val="0"/>
              <w:adjustRightInd w:val="0"/>
              <w:ind w:left="266" w:right="-3091" w:hanging="266"/>
              <w:rPr>
                <w:sz w:val="22"/>
                <w:szCs w:val="22"/>
              </w:rPr>
            </w:pPr>
          </w:p>
        </w:tc>
      </w:tr>
      <w:tr w:rsidR="00ED76AC" w:rsidRPr="009D0B39" w14:paraId="19833206" w14:textId="77777777">
        <w:tc>
          <w:tcPr>
            <w:tcW w:w="1077" w:type="pct"/>
            <w:hideMark/>
          </w:tcPr>
          <w:p w14:paraId="1FC4BD72" w14:textId="77777777" w:rsidR="00ED76AC" w:rsidRPr="009D0B39" w:rsidRDefault="00ED76AC" w:rsidP="00ED76AC">
            <w:pPr>
              <w:tabs>
                <w:tab w:val="center" w:pos="284"/>
              </w:tabs>
              <w:overflowPunct w:val="0"/>
              <w:autoSpaceDE w:val="0"/>
              <w:autoSpaceDN w:val="0"/>
              <w:adjustRightInd w:val="0"/>
              <w:ind w:left="266" w:hanging="266"/>
              <w:rPr>
                <w:b/>
                <w:sz w:val="22"/>
                <w:szCs w:val="22"/>
              </w:rPr>
            </w:pPr>
            <w:r w:rsidRPr="009D0B39">
              <w:rPr>
                <w:b/>
                <w:sz w:val="22"/>
                <w:szCs w:val="22"/>
              </w:rPr>
              <w:t>Referência</w:t>
            </w:r>
          </w:p>
        </w:tc>
        <w:tc>
          <w:tcPr>
            <w:tcW w:w="3923" w:type="pct"/>
            <w:hideMark/>
          </w:tcPr>
          <w:p w14:paraId="340633E9" w14:textId="2162F333" w:rsidR="00707689" w:rsidRPr="009D0B39" w:rsidRDefault="00707689" w:rsidP="00ED76AC">
            <w:pPr>
              <w:tabs>
                <w:tab w:val="center" w:pos="284"/>
              </w:tabs>
              <w:overflowPunct w:val="0"/>
              <w:autoSpaceDE w:val="0"/>
              <w:autoSpaceDN w:val="0"/>
              <w:adjustRightInd w:val="0"/>
              <w:ind w:left="266" w:right="-3091" w:hanging="266"/>
              <w:rPr>
                <w:sz w:val="22"/>
                <w:szCs w:val="22"/>
              </w:rPr>
            </w:pPr>
            <w:r w:rsidRPr="009D0B39">
              <w:rPr>
                <w:sz w:val="22"/>
                <w:szCs w:val="22"/>
              </w:rPr>
              <w:t>Parecer de iniciativa</w:t>
            </w:r>
          </w:p>
          <w:p w14:paraId="59A49208" w14:textId="5D1970B8" w:rsidR="00ED76AC" w:rsidRPr="009D0B39" w:rsidRDefault="00ED76AC" w:rsidP="00ED76AC">
            <w:pPr>
              <w:tabs>
                <w:tab w:val="center" w:pos="284"/>
              </w:tabs>
              <w:overflowPunct w:val="0"/>
              <w:autoSpaceDE w:val="0"/>
              <w:autoSpaceDN w:val="0"/>
              <w:adjustRightInd w:val="0"/>
              <w:ind w:left="266" w:right="-3091" w:hanging="266"/>
              <w:rPr>
                <w:sz w:val="22"/>
                <w:szCs w:val="22"/>
              </w:rPr>
            </w:pPr>
            <w:r w:rsidRPr="009D0B39">
              <w:rPr>
                <w:sz w:val="22"/>
                <w:szCs w:val="22"/>
              </w:rPr>
              <w:t>EESC-2025-02364-00-00-AC</w:t>
            </w:r>
          </w:p>
        </w:tc>
      </w:tr>
    </w:tbl>
    <w:p w14:paraId="5922BFFC" w14:textId="77777777" w:rsidR="00ED76AC" w:rsidRPr="00F5540C" w:rsidRDefault="00ED76AC" w:rsidP="00ED76AC">
      <w:pPr>
        <w:tabs>
          <w:tab w:val="center" w:pos="284"/>
        </w:tabs>
        <w:overflowPunct w:val="0"/>
        <w:autoSpaceDE w:val="0"/>
        <w:autoSpaceDN w:val="0"/>
        <w:adjustRightInd w:val="0"/>
        <w:ind w:left="266" w:hanging="266"/>
        <w:rPr>
          <w:b/>
        </w:rPr>
      </w:pPr>
    </w:p>
    <w:p w14:paraId="252BFC0B" w14:textId="77777777" w:rsidR="00ED76AC" w:rsidRPr="00ED76AC" w:rsidRDefault="00ED76AC" w:rsidP="00ED76AC">
      <w:pPr>
        <w:keepNext/>
        <w:keepLines/>
        <w:tabs>
          <w:tab w:val="center" w:pos="284"/>
        </w:tabs>
        <w:overflowPunct w:val="0"/>
        <w:autoSpaceDE w:val="0"/>
        <w:autoSpaceDN w:val="0"/>
        <w:adjustRightInd w:val="0"/>
        <w:ind w:left="266" w:hanging="266"/>
        <w:rPr>
          <w:b/>
        </w:rPr>
      </w:pPr>
      <w:r>
        <w:rPr>
          <w:b/>
        </w:rPr>
        <w:t>Pontos principais</w:t>
      </w:r>
    </w:p>
    <w:p w14:paraId="2370EF24" w14:textId="77777777" w:rsidR="00ED76AC" w:rsidRPr="00F5540C" w:rsidRDefault="00ED76AC" w:rsidP="00ED76AC">
      <w:pPr>
        <w:keepNext/>
        <w:keepLines/>
        <w:tabs>
          <w:tab w:val="center" w:pos="284"/>
        </w:tabs>
        <w:overflowPunct w:val="0"/>
        <w:autoSpaceDE w:val="0"/>
        <w:autoSpaceDN w:val="0"/>
        <w:adjustRightInd w:val="0"/>
        <w:ind w:left="266" w:hanging="266"/>
        <w:rPr>
          <w:b/>
        </w:rPr>
      </w:pPr>
    </w:p>
    <w:p w14:paraId="3E92F3F2" w14:textId="340D2FED" w:rsidR="00ED76AC" w:rsidRDefault="00ED76AC" w:rsidP="00ED76AC">
      <w:pPr>
        <w:overflowPunct w:val="0"/>
        <w:autoSpaceDE w:val="0"/>
        <w:autoSpaceDN w:val="0"/>
        <w:adjustRightInd w:val="0"/>
      </w:pPr>
      <w:r>
        <w:t>O Comité Económico e Social Europeu:</w:t>
      </w:r>
    </w:p>
    <w:p w14:paraId="78F456DC" w14:textId="77777777" w:rsidR="009D0B39" w:rsidRPr="00ED76AC" w:rsidRDefault="009D0B39" w:rsidP="00ED76AC">
      <w:pPr>
        <w:overflowPunct w:val="0"/>
        <w:autoSpaceDE w:val="0"/>
        <w:autoSpaceDN w:val="0"/>
        <w:adjustRightInd w:val="0"/>
        <w:rPr>
          <w:bCs/>
          <w:iCs/>
        </w:rPr>
      </w:pPr>
    </w:p>
    <w:p w14:paraId="26A569C6" w14:textId="77777777" w:rsidR="00ED76AC" w:rsidRPr="00ED76AC" w:rsidRDefault="00ED76AC" w:rsidP="00054C58">
      <w:pPr>
        <w:numPr>
          <w:ilvl w:val="0"/>
          <w:numId w:val="34"/>
        </w:numPr>
        <w:overflowPunct w:val="0"/>
        <w:autoSpaceDE w:val="0"/>
        <w:autoSpaceDN w:val="0"/>
        <w:adjustRightInd w:val="0"/>
        <w:ind w:left="284" w:hanging="284"/>
      </w:pPr>
      <w:r>
        <w:rPr>
          <w:b/>
        </w:rPr>
        <w:t>reconhece o papel crucial dos materiais permanentes</w:t>
      </w:r>
      <w:r>
        <w:t xml:space="preserve"> na viabilização de uma verdadeira economia circular, em particular nas embalagens, e apela para o seu </w:t>
      </w:r>
      <w:r>
        <w:rPr>
          <w:b/>
        </w:rPr>
        <w:t>reconhecimento explícito na legislação da UE</w:t>
      </w:r>
      <w:r>
        <w:t>;</w:t>
      </w:r>
    </w:p>
    <w:p w14:paraId="32D7A91F" w14:textId="77777777" w:rsidR="00ED76AC" w:rsidRPr="00ED76AC" w:rsidRDefault="00ED76AC" w:rsidP="00054C58">
      <w:pPr>
        <w:numPr>
          <w:ilvl w:val="0"/>
          <w:numId w:val="34"/>
        </w:numPr>
        <w:overflowPunct w:val="0"/>
        <w:autoSpaceDE w:val="0"/>
        <w:autoSpaceDN w:val="0"/>
        <w:adjustRightInd w:val="0"/>
        <w:ind w:left="284" w:hanging="284"/>
      </w:pPr>
      <w:r>
        <w:rPr>
          <w:b/>
        </w:rPr>
        <w:t>apoia a ambição da UE de alcançar uma taxa de recolha seletiva de 90% para os resíduos de embalagens até 2030</w:t>
      </w:r>
      <w:r>
        <w:t>, salientando que sistemas avançados e bem financiados de recolha, triagem e reciclagem de elevada qualidade são essenciais para maximizar a retenção de materiais e permitir a reciclagem em circuito fechado de materiais permanentes;</w:t>
      </w:r>
    </w:p>
    <w:p w14:paraId="167FDC16" w14:textId="77777777" w:rsidR="00ED76AC" w:rsidRPr="00ED76AC" w:rsidRDefault="00ED76AC" w:rsidP="00054C58">
      <w:pPr>
        <w:numPr>
          <w:ilvl w:val="0"/>
          <w:numId w:val="34"/>
        </w:numPr>
        <w:overflowPunct w:val="0"/>
        <w:autoSpaceDE w:val="0"/>
        <w:autoSpaceDN w:val="0"/>
        <w:adjustRightInd w:val="0"/>
        <w:ind w:left="284" w:hanging="284"/>
      </w:pPr>
      <w:r>
        <w:rPr>
          <w:b/>
        </w:rPr>
        <w:t>apela para o reforço e a harmonização dos regimes de responsabilidade alargada do produtor</w:t>
      </w:r>
      <w:r>
        <w:t xml:space="preserve"> em todos os Estados-Membros. Tal inclui a aplicação de </w:t>
      </w:r>
      <w:r>
        <w:rPr>
          <w:b/>
        </w:rPr>
        <w:t>taxas ecológicas moduladas com base em critérios transparentes e coerentes</w:t>
      </w:r>
      <w:r>
        <w:t xml:space="preserve">, estruturas de taxas proporcionais e a </w:t>
      </w:r>
      <w:r>
        <w:rPr>
          <w:b/>
        </w:rPr>
        <w:t>circunscrição das receitas da responsabilidade alargada do produtor</w:t>
      </w:r>
      <w:r>
        <w:t xml:space="preserve"> para reinvestimento no mesmo fluxo de materiais;</w:t>
      </w:r>
    </w:p>
    <w:p w14:paraId="422AF8F5" w14:textId="77777777" w:rsidR="00ED76AC" w:rsidRPr="00ED76AC" w:rsidRDefault="00ED76AC" w:rsidP="00054C58">
      <w:pPr>
        <w:numPr>
          <w:ilvl w:val="0"/>
          <w:numId w:val="34"/>
        </w:numPr>
        <w:overflowPunct w:val="0"/>
        <w:autoSpaceDE w:val="0"/>
        <w:autoSpaceDN w:val="0"/>
        <w:adjustRightInd w:val="0"/>
        <w:ind w:left="284" w:hanging="284"/>
      </w:pPr>
      <w:r>
        <w:rPr>
          <w:b/>
        </w:rPr>
        <w:t>assinala a necessidade de um investimento prioritário</w:t>
      </w:r>
      <w:r>
        <w:t xml:space="preserve"> em infraestruturas modernas para a recolha seletiva, a triagem e a reciclagem de resíduos de embalagens. Salienta que </w:t>
      </w:r>
      <w:r>
        <w:rPr>
          <w:b/>
        </w:rPr>
        <w:t>o apoio adicional deve centrar-se nas regiões com pior desempenho ou com capacidade de investimento limitada</w:t>
      </w:r>
      <w:r>
        <w:t>, assegurando que todos os Estados-Membros possam cumprir os objetivos da economia circular;</w:t>
      </w:r>
    </w:p>
    <w:p w14:paraId="059D94FE" w14:textId="77777777" w:rsidR="00ED76AC" w:rsidRPr="00ED76AC" w:rsidRDefault="00ED76AC" w:rsidP="00054C58">
      <w:pPr>
        <w:numPr>
          <w:ilvl w:val="0"/>
          <w:numId w:val="34"/>
        </w:numPr>
        <w:overflowPunct w:val="0"/>
        <w:autoSpaceDE w:val="0"/>
        <w:autoSpaceDN w:val="0"/>
        <w:adjustRightInd w:val="0"/>
        <w:ind w:left="284" w:hanging="284"/>
      </w:pPr>
      <w:r>
        <w:rPr>
          <w:b/>
        </w:rPr>
        <w:t>recomenda uma avaliação exaustiva, à escala da UE, do comportamento dos cidadãos em matéria de reciclagem</w:t>
      </w:r>
      <w:r>
        <w:t>, a fim de identificar lacunas, obstáculos e boas práticas. Com base nesta avaliação, o CESE apela para a adoção de medidas para reforçar a participação dos consumidores na recolha seletiva de resíduos de embalagens, reconhecendo que a triagem doméstica é o primeiro passo essencial para uma reciclagem eficaz;</w:t>
      </w:r>
    </w:p>
    <w:p w14:paraId="09697A6A" w14:textId="77777777" w:rsidR="00ED76AC" w:rsidRPr="00ED76AC" w:rsidRDefault="00ED76AC" w:rsidP="00054C58">
      <w:pPr>
        <w:numPr>
          <w:ilvl w:val="0"/>
          <w:numId w:val="34"/>
        </w:numPr>
        <w:overflowPunct w:val="0"/>
        <w:autoSpaceDE w:val="0"/>
        <w:autoSpaceDN w:val="0"/>
        <w:adjustRightInd w:val="0"/>
        <w:ind w:left="284" w:hanging="284"/>
      </w:pPr>
      <w:r>
        <w:rPr>
          <w:b/>
        </w:rPr>
        <w:t>salienta a importância de uma transição socialmente sustentável</w:t>
      </w:r>
      <w:r>
        <w:t xml:space="preserve"> para uma economia circular, solicitando previsões atempadas dos impactos no mercado de trabalho. Solicita que seja garantido o acesso a </w:t>
      </w:r>
      <w:r>
        <w:rPr>
          <w:b/>
        </w:rPr>
        <w:t>oportunidades de melhoria de competências e de requalificação</w:t>
      </w:r>
      <w:r>
        <w:t>, a fim de apoiar transições harmoniosas entre empregos, para que os trabalhadores possam participar plenamente na economia circular emergente e beneficiar dela;</w:t>
      </w:r>
    </w:p>
    <w:p w14:paraId="2E89F971" w14:textId="77777777" w:rsidR="00ED76AC" w:rsidRPr="00ED76AC" w:rsidRDefault="00ED76AC" w:rsidP="00054C58">
      <w:pPr>
        <w:numPr>
          <w:ilvl w:val="0"/>
          <w:numId w:val="34"/>
        </w:numPr>
        <w:overflowPunct w:val="0"/>
        <w:autoSpaceDE w:val="0"/>
        <w:autoSpaceDN w:val="0"/>
        <w:adjustRightInd w:val="0"/>
        <w:ind w:left="284" w:hanging="284"/>
      </w:pPr>
      <w:r>
        <w:rPr>
          <w:b/>
        </w:rPr>
        <w:t>defende o reforço do diálogo social e da negociação coletiva a todos os níveis</w:t>
      </w:r>
      <w:r>
        <w:t>, incluindo nas empresas, a fim de assegurar que os trabalhadores são informados, consultados e envolvidos na transição para modelos empresariais circulares.</w:t>
      </w:r>
    </w:p>
    <w:tbl>
      <w:tblPr>
        <w:tblStyle w:val="TableGrid1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ED76AC" w:rsidRPr="009D0B39" w14:paraId="412ADC26" w14:textId="77777777" w:rsidTr="009D0B39">
        <w:tc>
          <w:tcPr>
            <w:tcW w:w="1203" w:type="pct"/>
            <w:hideMark/>
          </w:tcPr>
          <w:p w14:paraId="0F7B1E43" w14:textId="77777777" w:rsidR="00ED76AC" w:rsidRPr="009D0B39" w:rsidRDefault="00ED76AC" w:rsidP="00ED76AC">
            <w:pPr>
              <w:overflowPunct w:val="0"/>
              <w:autoSpaceDE w:val="0"/>
              <w:autoSpaceDN w:val="0"/>
              <w:adjustRightInd w:val="0"/>
              <w:rPr>
                <w:i/>
                <w:sz w:val="22"/>
                <w:szCs w:val="22"/>
              </w:rPr>
            </w:pPr>
            <w:r w:rsidRPr="009D0B39">
              <w:rPr>
                <w:b/>
                <w:i/>
                <w:sz w:val="22"/>
                <w:szCs w:val="22"/>
              </w:rPr>
              <w:lastRenderedPageBreak/>
              <w:t>Contacto</w:t>
            </w:r>
          </w:p>
        </w:tc>
        <w:tc>
          <w:tcPr>
            <w:tcW w:w="3797" w:type="pct"/>
            <w:hideMark/>
          </w:tcPr>
          <w:p w14:paraId="0144A2EC" w14:textId="10811451" w:rsidR="00ED76AC" w:rsidRPr="009D0B39" w:rsidRDefault="00ED76AC" w:rsidP="00ED76AC">
            <w:pPr>
              <w:overflowPunct w:val="0"/>
              <w:autoSpaceDE w:val="0"/>
              <w:autoSpaceDN w:val="0"/>
              <w:adjustRightInd w:val="0"/>
              <w:rPr>
                <w:i/>
                <w:sz w:val="22"/>
                <w:szCs w:val="22"/>
              </w:rPr>
            </w:pPr>
            <w:r w:rsidRPr="009D0B39">
              <w:rPr>
                <w:i/>
                <w:sz w:val="22"/>
                <w:szCs w:val="22"/>
              </w:rPr>
              <w:t>Adam Dorywalski</w:t>
            </w:r>
          </w:p>
        </w:tc>
      </w:tr>
      <w:tr w:rsidR="00ED76AC" w:rsidRPr="009D0B39" w14:paraId="7414D71C" w14:textId="77777777" w:rsidTr="009D0B39">
        <w:tc>
          <w:tcPr>
            <w:tcW w:w="1203" w:type="pct"/>
            <w:hideMark/>
          </w:tcPr>
          <w:p w14:paraId="244C8249" w14:textId="77777777" w:rsidR="00ED76AC" w:rsidRPr="009D0B39" w:rsidRDefault="00ED76AC" w:rsidP="00ED76AC">
            <w:pPr>
              <w:overflowPunct w:val="0"/>
              <w:autoSpaceDE w:val="0"/>
              <w:autoSpaceDN w:val="0"/>
              <w:adjustRightInd w:val="0"/>
              <w:rPr>
                <w:i/>
                <w:sz w:val="22"/>
                <w:szCs w:val="22"/>
              </w:rPr>
            </w:pPr>
            <w:r w:rsidRPr="009D0B39">
              <w:rPr>
                <w:i/>
                <w:sz w:val="22"/>
                <w:szCs w:val="22"/>
              </w:rPr>
              <w:t>Tel.</w:t>
            </w:r>
          </w:p>
        </w:tc>
        <w:tc>
          <w:tcPr>
            <w:tcW w:w="3797" w:type="pct"/>
            <w:hideMark/>
          </w:tcPr>
          <w:p w14:paraId="262EFFB7" w14:textId="66B13D8A" w:rsidR="00ED76AC" w:rsidRPr="009D0B39" w:rsidRDefault="00ED76AC" w:rsidP="00ED76AC">
            <w:pPr>
              <w:overflowPunct w:val="0"/>
              <w:autoSpaceDE w:val="0"/>
              <w:autoSpaceDN w:val="0"/>
              <w:adjustRightInd w:val="0"/>
              <w:rPr>
                <w:i/>
                <w:sz w:val="22"/>
                <w:szCs w:val="22"/>
              </w:rPr>
            </w:pPr>
            <w:r w:rsidRPr="009D0B39">
              <w:rPr>
                <w:i/>
                <w:sz w:val="22"/>
                <w:szCs w:val="22"/>
              </w:rPr>
              <w:t>+32 2 546 93 97</w:t>
            </w:r>
          </w:p>
        </w:tc>
      </w:tr>
      <w:tr w:rsidR="00ED76AC" w:rsidRPr="009D0B39" w14:paraId="760698CC" w14:textId="77777777" w:rsidTr="009D0B39">
        <w:tc>
          <w:tcPr>
            <w:tcW w:w="1203" w:type="pct"/>
            <w:hideMark/>
          </w:tcPr>
          <w:p w14:paraId="5E8D3FE3" w14:textId="77777777" w:rsidR="00ED76AC" w:rsidRPr="009D0B39" w:rsidRDefault="00ED76AC" w:rsidP="00ED76AC">
            <w:pPr>
              <w:overflowPunct w:val="0"/>
              <w:autoSpaceDE w:val="0"/>
              <w:autoSpaceDN w:val="0"/>
              <w:adjustRightInd w:val="0"/>
              <w:rPr>
                <w:i/>
                <w:sz w:val="22"/>
                <w:szCs w:val="22"/>
              </w:rPr>
            </w:pPr>
            <w:r w:rsidRPr="009D0B39">
              <w:rPr>
                <w:i/>
                <w:sz w:val="22"/>
                <w:szCs w:val="22"/>
              </w:rPr>
              <w:t>Endereço eletrónico</w:t>
            </w:r>
          </w:p>
        </w:tc>
        <w:tc>
          <w:tcPr>
            <w:tcW w:w="3797" w:type="pct"/>
            <w:hideMark/>
          </w:tcPr>
          <w:p w14:paraId="6BD8C4E6" w14:textId="77777777" w:rsidR="00ED76AC" w:rsidRPr="009D0B39" w:rsidRDefault="001D1405" w:rsidP="00ED76AC">
            <w:pPr>
              <w:overflowPunct w:val="0"/>
              <w:autoSpaceDE w:val="0"/>
              <w:autoSpaceDN w:val="0"/>
              <w:adjustRightInd w:val="0"/>
              <w:rPr>
                <w:i/>
                <w:sz w:val="22"/>
                <w:szCs w:val="22"/>
              </w:rPr>
            </w:pPr>
            <w:hyperlink r:id="rId48" w:history="1">
              <w:r w:rsidR="00645EDF" w:rsidRPr="009D0B39">
                <w:rPr>
                  <w:i/>
                  <w:color w:val="0000FF"/>
                  <w:sz w:val="22"/>
                  <w:szCs w:val="22"/>
                  <w:u w:val="single"/>
                </w:rPr>
                <w:t>Adam.Dorywalski@eesc.europa.eu</w:t>
              </w:r>
            </w:hyperlink>
          </w:p>
        </w:tc>
      </w:tr>
    </w:tbl>
    <w:p w14:paraId="0FA13A3E" w14:textId="309D4ADD" w:rsidR="00ED76AC" w:rsidRDefault="00ED76AC" w:rsidP="006D2C8A">
      <w:pPr>
        <w:spacing w:after="160" w:line="259" w:lineRule="auto"/>
        <w:jc w:val="left"/>
      </w:pPr>
    </w:p>
    <w:p w14:paraId="1D4DBE8E" w14:textId="77777777" w:rsidR="00ED76AC" w:rsidRDefault="00ED76AC">
      <w:pPr>
        <w:spacing w:after="160" w:line="259" w:lineRule="auto"/>
        <w:jc w:val="left"/>
      </w:pPr>
      <w:r>
        <w:br w:type="page"/>
      </w:r>
    </w:p>
    <w:p w14:paraId="1EC58FCD" w14:textId="735BFB6C" w:rsidR="009F1AE3" w:rsidRPr="009F1AE3" w:rsidRDefault="001D1405" w:rsidP="009F1AE3">
      <w:pPr>
        <w:widowControl w:val="0"/>
        <w:numPr>
          <w:ilvl w:val="0"/>
          <w:numId w:val="4"/>
        </w:numPr>
        <w:overflowPunct w:val="0"/>
        <w:autoSpaceDE w:val="0"/>
        <w:autoSpaceDN w:val="0"/>
        <w:adjustRightInd w:val="0"/>
        <w:ind w:hanging="567"/>
        <w:textAlignment w:val="baseline"/>
        <w:rPr>
          <w:sz w:val="20"/>
          <w:szCs w:val="20"/>
        </w:rPr>
      </w:pPr>
      <w:hyperlink r:id="rId49" w:history="1">
        <w:r w:rsidR="009F1AE3">
          <w:rPr>
            <w:b/>
            <w:i/>
            <w:color w:val="0000FF"/>
            <w:sz w:val="28"/>
            <w:u w:val="single"/>
          </w:rPr>
          <w:t>Cooperativas industriais: instrumento para enfrentar o desafio da competitividade inclusiva e sustentável</w:t>
        </w:r>
      </w:hyperlink>
      <w:r w:rsidR="009F1AE3">
        <w:rPr>
          <w:b/>
          <w:i/>
          <w:sz w:val="28"/>
        </w:rPr>
        <w:t xml:space="preserve"> </w:t>
      </w:r>
    </w:p>
    <w:p w14:paraId="1C2A6159" w14:textId="77777777" w:rsidR="009F1AE3" w:rsidRPr="00F5540C" w:rsidRDefault="009F1AE3" w:rsidP="009F1AE3">
      <w:pPr>
        <w:tabs>
          <w:tab w:val="center" w:pos="284"/>
        </w:tabs>
        <w:overflowPunct w:val="0"/>
        <w:autoSpaceDE w:val="0"/>
        <w:autoSpaceDN w:val="0"/>
        <w:adjustRightInd w:val="0"/>
        <w:ind w:left="266" w:hanging="266"/>
        <w:textAlignment w:val="baseline"/>
        <w:rPr>
          <w:b/>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9F1AE3" w:rsidRPr="00874224" w14:paraId="0D01F4D7" w14:textId="77777777" w:rsidTr="007C5DD5">
        <w:tc>
          <w:tcPr>
            <w:tcW w:w="1077" w:type="pct"/>
          </w:tcPr>
          <w:p w14:paraId="20E55DD0" w14:textId="77777777" w:rsidR="009F1AE3" w:rsidRPr="00874224" w:rsidRDefault="009F1AE3" w:rsidP="009F1AE3">
            <w:pPr>
              <w:tabs>
                <w:tab w:val="center" w:pos="284"/>
              </w:tabs>
              <w:overflowPunct w:val="0"/>
              <w:autoSpaceDE w:val="0"/>
              <w:autoSpaceDN w:val="0"/>
              <w:adjustRightInd w:val="0"/>
              <w:ind w:left="266" w:hanging="266"/>
              <w:textAlignment w:val="baseline"/>
              <w:rPr>
                <w:b/>
                <w:sz w:val="22"/>
                <w:szCs w:val="22"/>
              </w:rPr>
            </w:pPr>
            <w:r w:rsidRPr="00874224">
              <w:rPr>
                <w:b/>
                <w:sz w:val="22"/>
                <w:szCs w:val="22"/>
              </w:rPr>
              <w:t>Relator</w:t>
            </w:r>
          </w:p>
        </w:tc>
        <w:tc>
          <w:tcPr>
            <w:tcW w:w="3923" w:type="pct"/>
          </w:tcPr>
          <w:p w14:paraId="1A4CBD2C" w14:textId="77777777" w:rsidR="009F1AE3" w:rsidRPr="00874224" w:rsidRDefault="009F1AE3" w:rsidP="009F1AE3">
            <w:pPr>
              <w:tabs>
                <w:tab w:val="center" w:pos="284"/>
              </w:tabs>
              <w:overflowPunct w:val="0"/>
              <w:autoSpaceDE w:val="0"/>
              <w:autoSpaceDN w:val="0"/>
              <w:adjustRightInd w:val="0"/>
              <w:ind w:left="266" w:right="-3091" w:hanging="266"/>
              <w:textAlignment w:val="baseline"/>
              <w:rPr>
                <w:sz w:val="22"/>
                <w:szCs w:val="22"/>
              </w:rPr>
            </w:pPr>
            <w:r w:rsidRPr="00874224">
              <w:rPr>
                <w:sz w:val="22"/>
                <w:szCs w:val="22"/>
              </w:rPr>
              <w:t>Giuseppe Guerini (IT-Grupo das Organizações da Sociedade Civil)</w:t>
            </w:r>
          </w:p>
        </w:tc>
      </w:tr>
      <w:tr w:rsidR="009F1AE3" w:rsidRPr="00874224" w14:paraId="33F2C2EB" w14:textId="77777777" w:rsidTr="007C5DD5">
        <w:tc>
          <w:tcPr>
            <w:tcW w:w="1077" w:type="pct"/>
          </w:tcPr>
          <w:p w14:paraId="1F1A83E5" w14:textId="77777777" w:rsidR="009F1AE3" w:rsidRPr="00874224" w:rsidRDefault="009F1AE3" w:rsidP="009F1AE3">
            <w:pPr>
              <w:tabs>
                <w:tab w:val="center" w:pos="284"/>
              </w:tabs>
              <w:overflowPunct w:val="0"/>
              <w:autoSpaceDE w:val="0"/>
              <w:autoSpaceDN w:val="0"/>
              <w:adjustRightInd w:val="0"/>
              <w:ind w:left="266" w:hanging="266"/>
              <w:textAlignment w:val="baseline"/>
              <w:rPr>
                <w:b/>
                <w:sz w:val="22"/>
                <w:szCs w:val="22"/>
              </w:rPr>
            </w:pPr>
            <w:r w:rsidRPr="00874224">
              <w:rPr>
                <w:b/>
                <w:sz w:val="22"/>
                <w:szCs w:val="22"/>
              </w:rPr>
              <w:t>Correlator</w:t>
            </w:r>
          </w:p>
        </w:tc>
        <w:tc>
          <w:tcPr>
            <w:tcW w:w="3923" w:type="pct"/>
          </w:tcPr>
          <w:p w14:paraId="33B4BB5B" w14:textId="03906DB0" w:rsidR="009F1AE3" w:rsidRPr="00874224" w:rsidRDefault="009F1AE3" w:rsidP="009F1AE3">
            <w:pPr>
              <w:tabs>
                <w:tab w:val="center" w:pos="284"/>
              </w:tabs>
              <w:overflowPunct w:val="0"/>
              <w:autoSpaceDE w:val="0"/>
              <w:autoSpaceDN w:val="0"/>
              <w:adjustRightInd w:val="0"/>
              <w:ind w:left="266" w:right="-3091" w:hanging="266"/>
              <w:textAlignment w:val="baseline"/>
              <w:rPr>
                <w:sz w:val="22"/>
                <w:szCs w:val="22"/>
              </w:rPr>
            </w:pPr>
            <w:r w:rsidRPr="00874224">
              <w:rPr>
                <w:sz w:val="22"/>
                <w:szCs w:val="22"/>
              </w:rPr>
              <w:t>Michal Pintér (SK</w:t>
            </w:r>
            <w:r w:rsidR="00874224" w:rsidRPr="00874224">
              <w:rPr>
                <w:sz w:val="22"/>
                <w:szCs w:val="22"/>
              </w:rPr>
              <w:t>-</w:t>
            </w:r>
            <w:r w:rsidRPr="00874224">
              <w:rPr>
                <w:sz w:val="22"/>
                <w:szCs w:val="22"/>
              </w:rPr>
              <w:t>Grupo dos Empregadores)</w:t>
            </w:r>
          </w:p>
          <w:p w14:paraId="5742ACF9" w14:textId="77777777" w:rsidR="005A2512" w:rsidRPr="00874224" w:rsidRDefault="005A2512" w:rsidP="009F1AE3">
            <w:pPr>
              <w:tabs>
                <w:tab w:val="center" w:pos="284"/>
              </w:tabs>
              <w:overflowPunct w:val="0"/>
              <w:autoSpaceDE w:val="0"/>
              <w:autoSpaceDN w:val="0"/>
              <w:adjustRightInd w:val="0"/>
              <w:ind w:left="266" w:right="-3091" w:hanging="266"/>
              <w:textAlignment w:val="baseline"/>
              <w:rPr>
                <w:sz w:val="22"/>
                <w:szCs w:val="22"/>
              </w:rPr>
            </w:pPr>
          </w:p>
        </w:tc>
      </w:tr>
      <w:tr w:rsidR="009F1AE3" w:rsidRPr="00874224" w14:paraId="7859888A" w14:textId="77777777" w:rsidTr="007C5DD5">
        <w:tc>
          <w:tcPr>
            <w:tcW w:w="1077" w:type="pct"/>
          </w:tcPr>
          <w:p w14:paraId="032C91E2" w14:textId="56CCAB97" w:rsidR="009F1AE3" w:rsidRPr="00874224" w:rsidRDefault="009F1AE3" w:rsidP="009F1AE3">
            <w:pPr>
              <w:tabs>
                <w:tab w:val="center" w:pos="284"/>
              </w:tabs>
              <w:overflowPunct w:val="0"/>
              <w:autoSpaceDE w:val="0"/>
              <w:autoSpaceDN w:val="0"/>
              <w:adjustRightInd w:val="0"/>
              <w:ind w:left="266" w:hanging="266"/>
              <w:textAlignment w:val="baseline"/>
              <w:rPr>
                <w:b/>
                <w:sz w:val="22"/>
                <w:szCs w:val="22"/>
              </w:rPr>
            </w:pPr>
            <w:r w:rsidRPr="00874224">
              <w:rPr>
                <w:b/>
                <w:sz w:val="22"/>
                <w:szCs w:val="22"/>
              </w:rPr>
              <w:t>Referência</w:t>
            </w:r>
          </w:p>
        </w:tc>
        <w:tc>
          <w:tcPr>
            <w:tcW w:w="3923" w:type="pct"/>
          </w:tcPr>
          <w:p w14:paraId="0B0CF888" w14:textId="0BC5D656" w:rsidR="005A2512" w:rsidRPr="00874224" w:rsidRDefault="005A2512" w:rsidP="009F1AE3">
            <w:pPr>
              <w:tabs>
                <w:tab w:val="center" w:pos="284"/>
              </w:tabs>
              <w:overflowPunct w:val="0"/>
              <w:autoSpaceDE w:val="0"/>
              <w:autoSpaceDN w:val="0"/>
              <w:adjustRightInd w:val="0"/>
              <w:ind w:left="266" w:right="-3091" w:hanging="266"/>
              <w:textAlignment w:val="baseline"/>
              <w:rPr>
                <w:sz w:val="22"/>
                <w:szCs w:val="22"/>
              </w:rPr>
            </w:pPr>
            <w:r w:rsidRPr="00874224">
              <w:rPr>
                <w:sz w:val="22"/>
                <w:szCs w:val="22"/>
              </w:rPr>
              <w:t>Parecer de iniciativa</w:t>
            </w:r>
          </w:p>
          <w:p w14:paraId="5FE53CC7" w14:textId="075CB809" w:rsidR="009F1AE3" w:rsidRPr="00874224" w:rsidRDefault="009F1AE3" w:rsidP="009F1AE3">
            <w:pPr>
              <w:tabs>
                <w:tab w:val="center" w:pos="284"/>
              </w:tabs>
              <w:overflowPunct w:val="0"/>
              <w:autoSpaceDE w:val="0"/>
              <w:autoSpaceDN w:val="0"/>
              <w:adjustRightInd w:val="0"/>
              <w:ind w:left="266" w:right="-3091" w:hanging="266"/>
              <w:textAlignment w:val="baseline"/>
              <w:rPr>
                <w:sz w:val="22"/>
                <w:szCs w:val="22"/>
              </w:rPr>
            </w:pPr>
            <w:r w:rsidRPr="00874224">
              <w:rPr>
                <w:sz w:val="22"/>
                <w:szCs w:val="22"/>
              </w:rPr>
              <w:t>EESC-2025-01083-00-00-AC</w:t>
            </w:r>
          </w:p>
        </w:tc>
      </w:tr>
    </w:tbl>
    <w:p w14:paraId="1DD81CB5" w14:textId="77777777" w:rsidR="009F1AE3" w:rsidRPr="00F5540C" w:rsidRDefault="009F1AE3" w:rsidP="009F1AE3">
      <w:pPr>
        <w:tabs>
          <w:tab w:val="center" w:pos="284"/>
        </w:tabs>
        <w:overflowPunct w:val="0"/>
        <w:autoSpaceDE w:val="0"/>
        <w:autoSpaceDN w:val="0"/>
        <w:adjustRightInd w:val="0"/>
        <w:ind w:left="266" w:hanging="266"/>
        <w:textAlignment w:val="baseline"/>
        <w:rPr>
          <w:b/>
        </w:rPr>
      </w:pPr>
    </w:p>
    <w:p w14:paraId="06D207ED" w14:textId="77777777" w:rsidR="009F1AE3" w:rsidRPr="009F1AE3" w:rsidRDefault="009F1AE3" w:rsidP="009F1AE3">
      <w:pPr>
        <w:keepNext/>
        <w:keepLines/>
        <w:tabs>
          <w:tab w:val="center" w:pos="284"/>
        </w:tabs>
        <w:overflowPunct w:val="0"/>
        <w:autoSpaceDE w:val="0"/>
        <w:autoSpaceDN w:val="0"/>
        <w:adjustRightInd w:val="0"/>
        <w:ind w:left="266" w:hanging="266"/>
        <w:textAlignment w:val="baseline"/>
        <w:rPr>
          <w:b/>
        </w:rPr>
      </w:pPr>
      <w:r>
        <w:rPr>
          <w:b/>
        </w:rPr>
        <w:t>Pontos principais</w:t>
      </w:r>
    </w:p>
    <w:p w14:paraId="4286BD1B" w14:textId="77777777" w:rsidR="009F1AE3" w:rsidRPr="00F5540C" w:rsidRDefault="009F1AE3" w:rsidP="009F1AE3">
      <w:pPr>
        <w:keepNext/>
        <w:keepLines/>
        <w:tabs>
          <w:tab w:val="center" w:pos="284"/>
        </w:tabs>
        <w:overflowPunct w:val="0"/>
        <w:autoSpaceDE w:val="0"/>
        <w:autoSpaceDN w:val="0"/>
        <w:adjustRightInd w:val="0"/>
        <w:ind w:left="266" w:hanging="266"/>
        <w:textAlignment w:val="baseline"/>
        <w:rPr>
          <w:b/>
        </w:rPr>
      </w:pPr>
    </w:p>
    <w:p w14:paraId="46117C84" w14:textId="77777777" w:rsidR="009F1AE3" w:rsidRDefault="009F1AE3" w:rsidP="009F1AE3">
      <w:pPr>
        <w:overflowPunct w:val="0"/>
        <w:autoSpaceDE w:val="0"/>
        <w:autoSpaceDN w:val="0"/>
        <w:adjustRightInd w:val="0"/>
        <w:textAlignment w:val="baseline"/>
        <w:rPr>
          <w:bCs/>
          <w:iCs/>
        </w:rPr>
      </w:pPr>
      <w:r>
        <w:t>O Comité Económico e Social Europeu:</w:t>
      </w:r>
    </w:p>
    <w:p w14:paraId="6845B3DF" w14:textId="77777777" w:rsidR="007B326F" w:rsidRPr="00F5540C" w:rsidRDefault="007B326F" w:rsidP="009F1AE3">
      <w:pPr>
        <w:overflowPunct w:val="0"/>
        <w:autoSpaceDE w:val="0"/>
        <w:autoSpaceDN w:val="0"/>
        <w:adjustRightInd w:val="0"/>
        <w:textAlignment w:val="baseline"/>
        <w:rPr>
          <w:bCs/>
          <w:iCs/>
        </w:rPr>
      </w:pPr>
    </w:p>
    <w:p w14:paraId="27E2A746"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observa que as Nações Unidas proclamaram 2025 Ano Internacional das Cooperativas, subordinado ao tema «As Cooperativas Constroem um Mundo Melhor», refletindo o crescente reconhecimento, a nível internacional, do modelo cooperativo em todos os setores;</w:t>
      </w:r>
    </w:p>
    <w:p w14:paraId="3D3801AB"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recomenda a integração da educação sobre empresas cooperativas na formação geral sobre o empreendedorismo e na formação profissional, incluindo atividades de sensibilização destinadas a instituições financeiras e oportunidades no âmbito do Programa Erasmus+;</w:t>
      </w:r>
    </w:p>
    <w:p w14:paraId="28A4E3C6"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considera que as cooperativas devem ser promovidas ativamente entre as empresas em fase de arranque e os jovens empresários;</w:t>
      </w:r>
    </w:p>
    <w:p w14:paraId="58C2F6EC"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apela ao reconhecimento das cooperativas industriais enquanto intervenientes económicos fundamentais e à aplicação de incentivos financeiros específicos a nível da UE, nacional e regional (benefícios fiscais, subvenções, financiamento com juros baixos) para apoiar a simbiose industrial e a circularidade;</w:t>
      </w:r>
    </w:p>
    <w:p w14:paraId="4A87AD53"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encoraja a realização de investimentos em parques industriais partilhados, zonas ecoindustriais e plataformas cooperativas de partilha de conhecimentos, a fim de facilitar a fixação de cooperativas nas localidades e a produção sustentável;</w:t>
      </w:r>
    </w:p>
    <w:p w14:paraId="52113114"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insta à inclusão de medidas políticas específicas para as cooperativas nos programas de coesão da UE e nas estratégias de desenvolvimento regional, dando prioridade a iniciativas lideradas por cooperativas para reforçar a resiliência e a sustentabilidade regionais;</w:t>
      </w:r>
    </w:p>
    <w:p w14:paraId="7894A3A1"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salienta a importância estratégica crescente das cooperativas que trabalham com dados e insta a UE e as autoridades nacionais a apoiarem iniciativas coletivas para a gestão e a partilha de dados industriais;</w:t>
      </w:r>
    </w:p>
    <w:p w14:paraId="79564FBF" w14:textId="2AC94D21"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sublinha que o modelo cooperativo proporciona um valor acrescentado único graças à governação democrática, à distribuição equitativa da riqueza, à participação da comunidade e a uma forte adaptabilidade, o que reforça a autonomia estratégica da UE.</w:t>
      </w:r>
    </w:p>
    <w:p w14:paraId="7F3E40C1" w14:textId="77777777" w:rsidR="009F1AE3" w:rsidRPr="00F5540C" w:rsidRDefault="009F1AE3" w:rsidP="009F1AE3">
      <w:pPr>
        <w:widowControl w:val="0"/>
        <w:overflowPunct w:val="0"/>
        <w:autoSpaceDE w:val="0"/>
        <w:autoSpaceDN w:val="0"/>
        <w:adjustRightInd w:val="0"/>
        <w:ind w:left="567"/>
        <w:textAlignment w:val="baseline"/>
        <w:rPr>
          <w:bCs/>
          <w:iCs/>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4"/>
        <w:gridCol w:w="7195"/>
      </w:tblGrid>
      <w:tr w:rsidR="009F1AE3" w:rsidRPr="00F54021" w14:paraId="23DAFD40" w14:textId="77777777" w:rsidTr="008E6CC5">
        <w:tc>
          <w:tcPr>
            <w:tcW w:w="1127" w:type="pct"/>
          </w:tcPr>
          <w:p w14:paraId="4CF24E66" w14:textId="77777777" w:rsidR="009F1AE3" w:rsidRPr="00F54021" w:rsidRDefault="009F1AE3" w:rsidP="009F1AE3">
            <w:pPr>
              <w:overflowPunct w:val="0"/>
              <w:autoSpaceDE w:val="0"/>
              <w:autoSpaceDN w:val="0"/>
              <w:adjustRightInd w:val="0"/>
              <w:textAlignment w:val="baseline"/>
              <w:rPr>
                <w:i/>
                <w:sz w:val="22"/>
                <w:szCs w:val="22"/>
              </w:rPr>
            </w:pPr>
            <w:r w:rsidRPr="00F54021">
              <w:rPr>
                <w:b/>
                <w:i/>
                <w:sz w:val="22"/>
                <w:szCs w:val="22"/>
              </w:rPr>
              <w:t>Contacto</w:t>
            </w:r>
          </w:p>
        </w:tc>
        <w:tc>
          <w:tcPr>
            <w:tcW w:w="3873" w:type="pct"/>
          </w:tcPr>
          <w:p w14:paraId="06B68A0E" w14:textId="546486E8" w:rsidR="009F1AE3" w:rsidRPr="00F54021" w:rsidRDefault="009F1AE3" w:rsidP="009F1AE3">
            <w:pPr>
              <w:overflowPunct w:val="0"/>
              <w:autoSpaceDE w:val="0"/>
              <w:autoSpaceDN w:val="0"/>
              <w:adjustRightInd w:val="0"/>
              <w:textAlignment w:val="baseline"/>
              <w:rPr>
                <w:i/>
                <w:sz w:val="22"/>
                <w:szCs w:val="22"/>
              </w:rPr>
            </w:pPr>
            <w:r w:rsidRPr="00F54021">
              <w:rPr>
                <w:i/>
                <w:sz w:val="22"/>
                <w:szCs w:val="22"/>
              </w:rPr>
              <w:t>Adam Dorywalski</w:t>
            </w:r>
          </w:p>
        </w:tc>
      </w:tr>
      <w:tr w:rsidR="009F1AE3" w:rsidRPr="00F54021" w14:paraId="7AF1CC27" w14:textId="77777777" w:rsidTr="008E6CC5">
        <w:tc>
          <w:tcPr>
            <w:tcW w:w="1127" w:type="pct"/>
          </w:tcPr>
          <w:p w14:paraId="233242A3" w14:textId="77777777" w:rsidR="009F1AE3" w:rsidRPr="00F54021" w:rsidRDefault="009F1AE3" w:rsidP="009F1AE3">
            <w:pPr>
              <w:overflowPunct w:val="0"/>
              <w:autoSpaceDE w:val="0"/>
              <w:autoSpaceDN w:val="0"/>
              <w:adjustRightInd w:val="0"/>
              <w:textAlignment w:val="baseline"/>
              <w:rPr>
                <w:i/>
                <w:sz w:val="22"/>
                <w:szCs w:val="22"/>
              </w:rPr>
            </w:pPr>
            <w:r w:rsidRPr="00F54021">
              <w:rPr>
                <w:i/>
                <w:sz w:val="22"/>
                <w:szCs w:val="22"/>
              </w:rPr>
              <w:t>Tel.</w:t>
            </w:r>
          </w:p>
        </w:tc>
        <w:tc>
          <w:tcPr>
            <w:tcW w:w="3873" w:type="pct"/>
          </w:tcPr>
          <w:p w14:paraId="5A333E81" w14:textId="77777777" w:rsidR="009F1AE3" w:rsidRPr="00F54021" w:rsidRDefault="009F1AE3" w:rsidP="009F1AE3">
            <w:pPr>
              <w:overflowPunct w:val="0"/>
              <w:autoSpaceDE w:val="0"/>
              <w:autoSpaceDN w:val="0"/>
              <w:adjustRightInd w:val="0"/>
              <w:textAlignment w:val="baseline"/>
              <w:rPr>
                <w:i/>
                <w:sz w:val="22"/>
                <w:szCs w:val="22"/>
              </w:rPr>
            </w:pPr>
            <w:r w:rsidRPr="00F54021">
              <w:rPr>
                <w:i/>
                <w:sz w:val="22"/>
                <w:szCs w:val="22"/>
              </w:rPr>
              <w:t>+32 2 546 93 97</w:t>
            </w:r>
          </w:p>
        </w:tc>
      </w:tr>
      <w:tr w:rsidR="009F1AE3" w:rsidRPr="00F54021" w14:paraId="7ABF5273" w14:textId="77777777" w:rsidTr="008E6CC5">
        <w:tc>
          <w:tcPr>
            <w:tcW w:w="1127" w:type="pct"/>
          </w:tcPr>
          <w:p w14:paraId="2931E696" w14:textId="77777777" w:rsidR="009F1AE3" w:rsidRPr="00F54021" w:rsidRDefault="009F1AE3" w:rsidP="009F1AE3">
            <w:pPr>
              <w:overflowPunct w:val="0"/>
              <w:autoSpaceDE w:val="0"/>
              <w:autoSpaceDN w:val="0"/>
              <w:adjustRightInd w:val="0"/>
              <w:textAlignment w:val="baseline"/>
              <w:rPr>
                <w:i/>
                <w:sz w:val="22"/>
                <w:szCs w:val="22"/>
              </w:rPr>
            </w:pPr>
            <w:r w:rsidRPr="00F54021">
              <w:rPr>
                <w:i/>
                <w:sz w:val="22"/>
                <w:szCs w:val="22"/>
              </w:rPr>
              <w:t>Endereço eletrónico</w:t>
            </w:r>
          </w:p>
        </w:tc>
        <w:tc>
          <w:tcPr>
            <w:tcW w:w="3873" w:type="pct"/>
          </w:tcPr>
          <w:p w14:paraId="7A67CA0D" w14:textId="77777777" w:rsidR="009F1AE3" w:rsidRPr="00F54021" w:rsidRDefault="001D1405" w:rsidP="009F1AE3">
            <w:pPr>
              <w:overflowPunct w:val="0"/>
              <w:autoSpaceDE w:val="0"/>
              <w:autoSpaceDN w:val="0"/>
              <w:adjustRightInd w:val="0"/>
              <w:textAlignment w:val="baseline"/>
              <w:rPr>
                <w:i/>
                <w:sz w:val="22"/>
                <w:szCs w:val="22"/>
              </w:rPr>
            </w:pPr>
            <w:hyperlink r:id="rId50" w:history="1">
              <w:r w:rsidR="00645EDF" w:rsidRPr="00F54021">
                <w:rPr>
                  <w:i/>
                  <w:color w:val="0000FF"/>
                  <w:sz w:val="22"/>
                  <w:szCs w:val="22"/>
                  <w:u w:val="single"/>
                </w:rPr>
                <w:t>Adam.Dorywalski@eesc.europa.eu</w:t>
              </w:r>
            </w:hyperlink>
          </w:p>
        </w:tc>
      </w:tr>
    </w:tbl>
    <w:p w14:paraId="09A596F7" w14:textId="77777777" w:rsidR="006D2C8A" w:rsidRDefault="006D2C8A" w:rsidP="006D2C8A">
      <w:pPr>
        <w:spacing w:after="160" w:line="259" w:lineRule="auto"/>
        <w:jc w:val="left"/>
      </w:pPr>
    </w:p>
    <w:p w14:paraId="2E28EF19" w14:textId="3B368787" w:rsidR="000D394D" w:rsidRDefault="00EB462E" w:rsidP="00054C58">
      <w:pPr>
        <w:spacing w:after="160" w:line="259" w:lineRule="auto"/>
        <w:jc w:val="center"/>
      </w:pPr>
      <w:r>
        <w:t>______________</w:t>
      </w:r>
    </w:p>
    <w:sectPr w:rsidR="000D394D" w:rsidSect="00EE6F0B">
      <w:headerReference w:type="even" r:id="rId51"/>
      <w:headerReference w:type="default" r:id="rId52"/>
      <w:footerReference w:type="even" r:id="rId53"/>
      <w:footerReference w:type="default" r:id="rId54"/>
      <w:headerReference w:type="first" r:id="rId55"/>
      <w:footerReference w:type="first" r:id="rId56"/>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183ED" w14:textId="77777777" w:rsidR="007068C8" w:rsidRDefault="007068C8" w:rsidP="00B518C9">
      <w:pPr>
        <w:spacing w:line="240" w:lineRule="auto"/>
      </w:pPr>
      <w:r>
        <w:separator/>
      </w:r>
    </w:p>
  </w:endnote>
  <w:endnote w:type="continuationSeparator" w:id="0">
    <w:p w14:paraId="2DEC234A" w14:textId="77777777" w:rsidR="007068C8" w:rsidRDefault="007068C8"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3129FCBE" w:rsidR="00B518C9"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sidR="008541DE">
      <w:t>1</w:t>
    </w:r>
    <w:r>
      <w:fldChar w:fldCharType="end"/>
    </w:r>
    <w:r>
      <w:t>/</w:t>
    </w:r>
    <w:fldSimple w:instr=" NUMPAGES ">
      <w:r w:rsidR="008541DE">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5BF5" w14:textId="77777777" w:rsidR="00EE6F0B" w:rsidRPr="00EE6F0B" w:rsidRDefault="00EE6F0B" w:rsidP="00EE6F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AE1F" w14:textId="4BF61E79" w:rsidR="00EE6F0B"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sidR="008541DE">
      <w:t>16</w:t>
    </w:r>
    <w:r>
      <w:fldChar w:fldCharType="end"/>
    </w:r>
    <w:r>
      <w:t>/</w:t>
    </w:r>
    <w:fldSimple w:instr=" NUMPAGES ">
      <w:r w:rsidR="008541DE">
        <w:t>16</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A5D8" w14:textId="77777777" w:rsidR="00EE6F0B" w:rsidRPr="00EE6F0B" w:rsidRDefault="00EE6F0B" w:rsidP="00EE6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FB7AD" w14:textId="77777777" w:rsidR="007068C8" w:rsidRDefault="007068C8" w:rsidP="00B518C9">
      <w:pPr>
        <w:spacing w:line="240" w:lineRule="auto"/>
      </w:pPr>
      <w:r>
        <w:separator/>
      </w:r>
    </w:p>
  </w:footnote>
  <w:footnote w:type="continuationSeparator" w:id="0">
    <w:p w14:paraId="1C004BEA" w14:textId="77777777" w:rsidR="007068C8" w:rsidRDefault="007068C8" w:rsidP="00B518C9">
      <w:pPr>
        <w:spacing w:line="240" w:lineRule="auto"/>
      </w:pPr>
      <w:r>
        <w:continuationSeparator/>
      </w:r>
    </w:p>
  </w:footnote>
  <w:footnote w:id="1">
    <w:p w14:paraId="64A91302" w14:textId="77777777" w:rsidR="00E972B2" w:rsidRDefault="00E972B2" w:rsidP="00E972B2">
      <w:pPr>
        <w:keepLines/>
        <w:spacing w:after="60" w:line="240" w:lineRule="auto"/>
        <w:ind w:left="567" w:hanging="567"/>
        <w:rPr>
          <w:sz w:val="16"/>
          <w:szCs w:val="16"/>
        </w:rPr>
      </w:pPr>
      <w:r>
        <w:rPr>
          <w:rStyle w:val="FootnoteReference"/>
        </w:rPr>
        <w:footnoteRef/>
      </w:r>
      <w:r>
        <w:rPr>
          <w:sz w:val="16"/>
        </w:rPr>
        <w:tab/>
      </w:r>
      <w:hyperlink r:id="rId1">
        <w:r>
          <w:rPr>
            <w:color w:val="0000FF"/>
            <w:sz w:val="16"/>
            <w:u w:val="single"/>
          </w:rPr>
          <w:t>https://eur-lex.europa.eu/legal-content/PT/TXT/?uri=legissum:4623532</w:t>
        </w:r>
      </w:hyperlink>
      <w:r>
        <w:t>.</w:t>
      </w:r>
    </w:p>
  </w:footnote>
  <w:footnote w:id="2">
    <w:p w14:paraId="454B3162" w14:textId="77777777" w:rsidR="00E972B2" w:rsidRPr="00ED3E39" w:rsidRDefault="00E972B2" w:rsidP="00E972B2">
      <w:pPr>
        <w:keepLines/>
        <w:spacing w:after="60" w:line="240" w:lineRule="auto"/>
        <w:ind w:left="567" w:hanging="567"/>
      </w:pPr>
      <w:r>
        <w:rPr>
          <w:rStyle w:val="FootnoteReference"/>
        </w:rPr>
        <w:footnoteRef/>
      </w:r>
      <w:r>
        <w:rPr>
          <w:sz w:val="16"/>
        </w:rPr>
        <w:tab/>
      </w:r>
      <w:hyperlink r:id="rId2">
        <w:r>
          <w:rPr>
            <w:color w:val="0000FF"/>
            <w:sz w:val="16"/>
            <w:u w:val="single"/>
          </w:rPr>
          <w:t>https://eur-lex.europa.eu/legal-content/PT/TXT/?uri=CELEX%3A52022XC0930%2802%29</w:t>
        </w:r>
      </w:hyperlink>
      <w:r>
        <w:t>.</w:t>
      </w:r>
    </w:p>
  </w:footnote>
  <w:footnote w:id="3">
    <w:p w14:paraId="70B24787" w14:textId="77777777" w:rsidR="00E972B2" w:rsidRPr="0023267D" w:rsidRDefault="00E972B2" w:rsidP="00E972B2">
      <w:pPr>
        <w:keepLines/>
        <w:spacing w:after="60" w:line="240" w:lineRule="auto"/>
        <w:ind w:left="567" w:hanging="567"/>
        <w:rPr>
          <w:color w:val="0000FF"/>
          <w:sz w:val="16"/>
          <w:szCs w:val="16"/>
        </w:rPr>
      </w:pPr>
      <w:r>
        <w:rPr>
          <w:rStyle w:val="FootnoteReference"/>
        </w:rPr>
        <w:footnoteRef/>
      </w:r>
      <w:r>
        <w:rPr>
          <w:sz w:val="16"/>
        </w:rPr>
        <w:tab/>
      </w:r>
      <w:hyperlink r:id="rId3">
        <w:r>
          <w:rPr>
            <w:color w:val="0000FF"/>
            <w:sz w:val="16"/>
            <w:u w:val="single"/>
          </w:rPr>
          <w:t>https://digital-strategy.ec.europa.eu/pt/library/recommendation-protection-safety-and-empowerment-journalists</w:t>
        </w:r>
      </w:hyperlink>
      <w:r>
        <w:rPr>
          <w:sz w:val="16"/>
        </w:rPr>
        <w:t>.</w:t>
      </w:r>
    </w:p>
  </w:footnote>
  <w:footnote w:id="4">
    <w:p w14:paraId="026EF876" w14:textId="77777777" w:rsidR="00E972B2" w:rsidRPr="00A37D46" w:rsidRDefault="00E972B2" w:rsidP="00E972B2">
      <w:pPr>
        <w:keepLines/>
        <w:spacing w:after="60" w:line="240" w:lineRule="auto"/>
        <w:ind w:left="567" w:hanging="567"/>
        <w:rPr>
          <w:sz w:val="16"/>
          <w:szCs w:val="16"/>
          <w:lang w:val="fi-FI"/>
        </w:rPr>
      </w:pPr>
      <w:r>
        <w:rPr>
          <w:rStyle w:val="FootnoteReference"/>
        </w:rPr>
        <w:footnoteRef/>
      </w:r>
      <w:r w:rsidRPr="00F5540C">
        <w:rPr>
          <w:lang w:val="fi-FI"/>
        </w:rPr>
        <w:tab/>
      </w:r>
      <w:r w:rsidRPr="00A37D46">
        <w:rPr>
          <w:sz w:val="16"/>
          <w:szCs w:val="16"/>
          <w:lang w:val="fi-FI"/>
        </w:rPr>
        <w:t xml:space="preserve">JO C, C/2025/114, 10.1.2025, ELI: </w:t>
      </w:r>
      <w:hyperlink r:id="rId4" w:history="1">
        <w:r w:rsidRPr="00A37D46">
          <w:rPr>
            <w:rStyle w:val="Hyperlink"/>
            <w:sz w:val="16"/>
            <w:szCs w:val="16"/>
            <w:lang w:val="fi-FI"/>
          </w:rPr>
          <w:t>http://data.euro</w:t>
        </w:r>
        <w:r w:rsidRPr="00A37D46">
          <w:rPr>
            <w:rStyle w:val="Hyperlink"/>
            <w:sz w:val="16"/>
            <w:szCs w:val="16"/>
            <w:lang w:val="fi-FI"/>
          </w:rPr>
          <w:t>p</w:t>
        </w:r>
        <w:r w:rsidRPr="00A37D46">
          <w:rPr>
            <w:rStyle w:val="Hyperlink"/>
            <w:sz w:val="16"/>
            <w:szCs w:val="16"/>
            <w:lang w:val="fi-FI"/>
          </w:rPr>
          <w:t>a.eu/eli/C/2025/114/oj</w:t>
        </w:r>
      </w:hyperlink>
      <w:r w:rsidRPr="00A37D46">
        <w:rPr>
          <w:sz w:val="16"/>
          <w:szCs w:val="16"/>
          <w:lang w:val="fi-FI"/>
        </w:rPr>
        <w:t>.</w:t>
      </w:r>
    </w:p>
  </w:footnote>
  <w:footnote w:id="5">
    <w:p w14:paraId="01E2CCA5" w14:textId="77777777" w:rsidR="00836765" w:rsidRPr="00360DD3" w:rsidRDefault="00836765" w:rsidP="00836765">
      <w:pPr>
        <w:pStyle w:val="FootnoteText"/>
      </w:pPr>
      <w:r>
        <w:rPr>
          <w:rStyle w:val="FootnoteReference"/>
        </w:rPr>
        <w:footnoteRef/>
      </w:r>
      <w:r>
        <w:tab/>
        <w:t xml:space="preserve">Parecer de Iniciativa do CESE – </w:t>
      </w:r>
      <w:hyperlink r:id="rId5" w:anchor=":~:text=The%20only%20reliable%20way%20to%20preserve%20the%20rainforests%20is%20through" w:history="1">
        <w:r>
          <w:rPr>
            <w:rStyle w:val="Hyperlink"/>
            <w:i/>
          </w:rPr>
          <w:t>Impa</w:t>
        </w:r>
        <w:r>
          <w:rPr>
            <w:rStyle w:val="Hyperlink"/>
            <w:i/>
          </w:rPr>
          <w:t>c</w:t>
        </w:r>
        <w:r>
          <w:rPr>
            <w:rStyle w:val="Hyperlink"/>
            <w:i/>
          </w:rPr>
          <w:t>to da desflorestação da floresta amazónica nas alterações climáticas e no ambiente mundial: consequências para as empresas, os trabalhadores e a população</w:t>
        </w:r>
      </w:hyperlink>
      <w:r>
        <w:t xml:space="preserve">, </w:t>
      </w:r>
      <w:hyperlink r:id="rId6" w:history="1">
        <w:r>
          <w:rPr>
            <w:rStyle w:val="Hyperlink"/>
          </w:rPr>
          <w:t>JO C/2024/6882, 28.11.2024</w:t>
        </w:r>
      </w:hyperlink>
      <w:r>
        <w:t>.</w:t>
      </w:r>
    </w:p>
  </w:footnote>
  <w:footnote w:id="6">
    <w:p w14:paraId="74D17928" w14:textId="77777777" w:rsidR="00836765" w:rsidRPr="00360DD3" w:rsidRDefault="00836765" w:rsidP="00836765">
      <w:pPr>
        <w:pStyle w:val="FootnoteText"/>
      </w:pPr>
      <w:r>
        <w:rPr>
          <w:rStyle w:val="FootnoteReference"/>
        </w:rPr>
        <w:footnoteRef/>
      </w:r>
      <w:r>
        <w:tab/>
        <w:t xml:space="preserve">Parecer do CESE – </w:t>
      </w:r>
      <w:hyperlink r:id="rId7" w:history="1">
        <w:r>
          <w:rPr>
            <w:rStyle w:val="Hyperlink"/>
          </w:rPr>
          <w:t>Minimizar o risco de desflorestação e degradação florestal associado a produtos colocados no mercado da UE</w:t>
        </w:r>
      </w:hyperlink>
      <w:r>
        <w:t xml:space="preserve">, </w:t>
      </w:r>
      <w:hyperlink r:id="rId8" w:history="1">
        <w:r>
          <w:rPr>
            <w:rStyle w:val="Hyperlink"/>
          </w:rPr>
          <w:t xml:space="preserve">JO C 275 de </w:t>
        </w:r>
        <w:r>
          <w:rPr>
            <w:rStyle w:val="Hyperlink"/>
          </w:rPr>
          <w:t>1</w:t>
        </w:r>
        <w:r>
          <w:rPr>
            <w:rStyle w:val="Hyperlink"/>
          </w:rPr>
          <w:t>8.7.2022, p. 88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C11B" w14:textId="77777777" w:rsidR="00EE6F0B" w:rsidRPr="00EE6F0B" w:rsidRDefault="00EE6F0B" w:rsidP="00EE6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CF56" w14:textId="041A1C85" w:rsidR="00EE6F0B" w:rsidRPr="00EE6F0B" w:rsidRDefault="00EE6F0B" w:rsidP="00EE6F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285E" w14:textId="77777777" w:rsidR="00EE6F0B" w:rsidRPr="00EE6F0B" w:rsidRDefault="00EE6F0B" w:rsidP="00EE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1AD6BFB"/>
    <w:multiLevelType w:val="hybridMultilevel"/>
    <w:tmpl w:val="8DE8923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C6E7E92"/>
    <w:multiLevelType w:val="hybridMultilevel"/>
    <w:tmpl w:val="D852615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 w15:restartNumberingAfterBreak="0">
    <w:nsid w:val="12805E4A"/>
    <w:multiLevelType w:val="hybridMultilevel"/>
    <w:tmpl w:val="0E9A9FE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52A281C"/>
    <w:multiLevelType w:val="multilevel"/>
    <w:tmpl w:val="DC36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96CA9"/>
    <w:multiLevelType w:val="hybridMultilevel"/>
    <w:tmpl w:val="A2A6572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176B0C2D"/>
    <w:multiLevelType w:val="hybridMultilevel"/>
    <w:tmpl w:val="EA30BBB2"/>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3E3335"/>
    <w:multiLevelType w:val="hybridMultilevel"/>
    <w:tmpl w:val="6742EDE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24187467"/>
    <w:multiLevelType w:val="hybridMultilevel"/>
    <w:tmpl w:val="73644BDA"/>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50909E3"/>
    <w:multiLevelType w:val="hybridMultilevel"/>
    <w:tmpl w:val="FC481F60"/>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26F77B86"/>
    <w:multiLevelType w:val="hybridMultilevel"/>
    <w:tmpl w:val="2D10471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 w15:restartNumberingAfterBreak="0">
    <w:nsid w:val="2AD155A9"/>
    <w:multiLevelType w:val="hybridMultilevel"/>
    <w:tmpl w:val="F09C53E4"/>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41096"/>
    <w:multiLevelType w:val="hybridMultilevel"/>
    <w:tmpl w:val="FCFE4638"/>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5" w15:restartNumberingAfterBreak="0">
    <w:nsid w:val="38CC0C48"/>
    <w:multiLevelType w:val="hybridMultilevel"/>
    <w:tmpl w:val="30EC54EA"/>
    <w:lvl w:ilvl="0" w:tplc="20000001">
      <w:start w:val="1"/>
      <w:numFmt w:val="bullet"/>
      <w:lvlText w:val=""/>
      <w:lvlJc w:val="left"/>
      <w:pPr>
        <w:ind w:left="720" w:hanging="360"/>
      </w:pPr>
      <w:rPr>
        <w:rFonts w:ascii="Symbol" w:hAnsi="Symbol" w:hint="default"/>
      </w:rPr>
    </w:lvl>
    <w:lvl w:ilvl="1" w:tplc="C7D4BED2">
      <w:start w:val="1"/>
      <w:numFmt w:val="lowerLetter"/>
      <w:lvlText w:val="%2."/>
      <w:lvlJc w:val="left"/>
      <w:pPr>
        <w:ind w:left="1440" w:hanging="360"/>
      </w:pPr>
    </w:lvl>
    <w:lvl w:ilvl="2" w:tplc="EDDA7C24">
      <w:start w:val="1"/>
      <w:numFmt w:val="lowerRoman"/>
      <w:lvlText w:val="%3."/>
      <w:lvlJc w:val="right"/>
      <w:pPr>
        <w:ind w:left="2160" w:hanging="180"/>
      </w:pPr>
    </w:lvl>
    <w:lvl w:ilvl="3" w:tplc="D6D8B25C">
      <w:start w:val="1"/>
      <w:numFmt w:val="decimal"/>
      <w:lvlText w:val="%4."/>
      <w:lvlJc w:val="left"/>
      <w:pPr>
        <w:ind w:left="2880" w:hanging="360"/>
      </w:pPr>
    </w:lvl>
    <w:lvl w:ilvl="4" w:tplc="15BC3358">
      <w:start w:val="1"/>
      <w:numFmt w:val="lowerLetter"/>
      <w:lvlText w:val="%5."/>
      <w:lvlJc w:val="left"/>
      <w:pPr>
        <w:ind w:left="3600" w:hanging="360"/>
      </w:pPr>
    </w:lvl>
    <w:lvl w:ilvl="5" w:tplc="286291C8">
      <w:start w:val="1"/>
      <w:numFmt w:val="lowerRoman"/>
      <w:lvlText w:val="%6."/>
      <w:lvlJc w:val="right"/>
      <w:pPr>
        <w:ind w:left="4320" w:hanging="180"/>
      </w:pPr>
    </w:lvl>
    <w:lvl w:ilvl="6" w:tplc="18BA1814">
      <w:start w:val="1"/>
      <w:numFmt w:val="decimal"/>
      <w:lvlText w:val="%7."/>
      <w:lvlJc w:val="left"/>
      <w:pPr>
        <w:ind w:left="5040" w:hanging="360"/>
      </w:pPr>
    </w:lvl>
    <w:lvl w:ilvl="7" w:tplc="288E5478">
      <w:start w:val="1"/>
      <w:numFmt w:val="lowerLetter"/>
      <w:lvlText w:val="%8."/>
      <w:lvlJc w:val="left"/>
      <w:pPr>
        <w:ind w:left="5760" w:hanging="360"/>
      </w:pPr>
    </w:lvl>
    <w:lvl w:ilvl="8" w:tplc="FE92EFCA">
      <w:start w:val="1"/>
      <w:numFmt w:val="lowerRoman"/>
      <w:lvlText w:val="%9."/>
      <w:lvlJc w:val="right"/>
      <w:pPr>
        <w:ind w:left="6480" w:hanging="180"/>
      </w:pPr>
    </w:lvl>
  </w:abstractNum>
  <w:abstractNum w:abstractNumId="16" w15:restartNumberingAfterBreak="0">
    <w:nsid w:val="3ACE296A"/>
    <w:multiLevelType w:val="hybridMultilevel"/>
    <w:tmpl w:val="474C91D2"/>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277714"/>
    <w:multiLevelType w:val="multilevel"/>
    <w:tmpl w:val="CEC6278C"/>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8" w15:restartNumberingAfterBreak="0">
    <w:nsid w:val="40BB0637"/>
    <w:multiLevelType w:val="multilevel"/>
    <w:tmpl w:val="D5C0BC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327BE6"/>
    <w:multiLevelType w:val="hybridMultilevel"/>
    <w:tmpl w:val="8EA829E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3221321"/>
    <w:multiLevelType w:val="hybridMultilevel"/>
    <w:tmpl w:val="401829F8"/>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22" w15:restartNumberingAfterBreak="0">
    <w:nsid w:val="5E0A6BF8"/>
    <w:multiLevelType w:val="hybridMultilevel"/>
    <w:tmpl w:val="9A2AC15E"/>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EB34897"/>
    <w:multiLevelType w:val="hybridMultilevel"/>
    <w:tmpl w:val="2DF20D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4" w15:restartNumberingAfterBreak="0">
    <w:nsid w:val="646E239B"/>
    <w:multiLevelType w:val="hybridMultilevel"/>
    <w:tmpl w:val="4378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5F1DCB"/>
    <w:multiLevelType w:val="hybridMultilevel"/>
    <w:tmpl w:val="5F1059D2"/>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6"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7" w15:restartNumberingAfterBreak="0">
    <w:nsid w:val="6B3767B2"/>
    <w:multiLevelType w:val="hybridMultilevel"/>
    <w:tmpl w:val="CF9ADD5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8" w15:restartNumberingAfterBreak="0">
    <w:nsid w:val="6D051B82"/>
    <w:multiLevelType w:val="hybridMultilevel"/>
    <w:tmpl w:val="06A2BD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9" w15:restartNumberingAfterBreak="0">
    <w:nsid w:val="6D790D12"/>
    <w:multiLevelType w:val="hybridMultilevel"/>
    <w:tmpl w:val="A63CD1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2BC55E4"/>
    <w:multiLevelType w:val="multilevel"/>
    <w:tmpl w:val="3FF64D9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105596"/>
    <w:multiLevelType w:val="hybridMultilevel"/>
    <w:tmpl w:val="3730B99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abstractNumId w:val="0"/>
  </w:num>
  <w:num w:numId="2">
    <w:abstractNumId w:val="26"/>
  </w:num>
  <w:num w:numId="3">
    <w:abstractNumId w:val="31"/>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27"/>
  </w:num>
  <w:num w:numId="6">
    <w:abstractNumId w:val="1"/>
    <w:lvlOverride w:ilvl="0">
      <w:lvl w:ilvl="0">
        <w:start w:val="1"/>
        <w:numFmt w:val="bullet"/>
        <w:lvlText w:val=""/>
        <w:lvlJc w:val="left"/>
        <w:pPr>
          <w:ind w:left="720" w:hanging="360"/>
        </w:pPr>
        <w:rPr>
          <w:rFonts w:ascii="Symbol" w:hAnsi="Symbol" w:hint="default"/>
          <w:color w:val="auto"/>
        </w:rPr>
      </w:lvl>
    </w:lvlOverride>
  </w:num>
  <w:num w:numId="7">
    <w:abstractNumId w:val="8"/>
  </w:num>
  <w:num w:numId="8">
    <w:abstractNumId w:val="5"/>
  </w:num>
  <w:num w:numId="9">
    <w:abstractNumId w:val="29"/>
  </w:num>
  <w:num w:numId="10">
    <w:abstractNumId w:val="13"/>
  </w:num>
  <w:num w:numId="11">
    <w:abstractNumId w:val="16"/>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4"/>
  </w:num>
  <w:num w:numId="15">
    <w:abstractNumId w:val="25"/>
  </w:num>
  <w:num w:numId="16">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7">
    <w:abstractNumId w:val="15"/>
  </w:num>
  <w:num w:numId="18">
    <w:abstractNumId w:val="7"/>
  </w:num>
  <w:num w:numId="19">
    <w:abstractNumId w:val="4"/>
  </w:num>
  <w:num w:numId="20">
    <w:abstractNumId w:val="17"/>
  </w:num>
  <w:num w:numId="21">
    <w:abstractNumId w:val="30"/>
  </w:num>
  <w:num w:numId="22">
    <w:abstractNumId w:val="12"/>
  </w:num>
  <w:num w:numId="23">
    <w:abstractNumId w:val="32"/>
  </w:num>
  <w:num w:numId="24">
    <w:abstractNumId w:val="28"/>
  </w:num>
  <w:num w:numId="25">
    <w:abstractNumId w:val="2"/>
  </w:num>
  <w:num w:numId="26">
    <w:abstractNumId w:val="18"/>
  </w:num>
  <w:num w:numId="27">
    <w:abstractNumId w:val="19"/>
  </w:num>
  <w:num w:numId="28">
    <w:abstractNumId w:val="20"/>
  </w:num>
  <w:num w:numId="29">
    <w:abstractNumId w:val="3"/>
  </w:num>
  <w:num w:numId="30">
    <w:abstractNumId w:val="10"/>
  </w:num>
  <w:num w:numId="31">
    <w:abstractNumId w:val="22"/>
  </w:num>
  <w:num w:numId="32">
    <w:abstractNumId w:val="9"/>
  </w:num>
  <w:num w:numId="33">
    <w:abstractNumId w:val="6"/>
  </w:num>
  <w:num w:numId="34">
    <w:abstractNumId w:val="23"/>
  </w:num>
  <w:num w:numId="35">
    <w:abstractNumId w:val="11"/>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122F3"/>
    <w:rsid w:val="00034990"/>
    <w:rsid w:val="0005334D"/>
    <w:rsid w:val="00054433"/>
    <w:rsid w:val="00054C58"/>
    <w:rsid w:val="00056F0F"/>
    <w:rsid w:val="00063DFF"/>
    <w:rsid w:val="00085AF6"/>
    <w:rsid w:val="000A1597"/>
    <w:rsid w:val="000C7C8B"/>
    <w:rsid w:val="000D394D"/>
    <w:rsid w:val="000E7346"/>
    <w:rsid w:val="000F2F76"/>
    <w:rsid w:val="001307DF"/>
    <w:rsid w:val="00145DF7"/>
    <w:rsid w:val="00194E7D"/>
    <w:rsid w:val="001A7442"/>
    <w:rsid w:val="001B4B4D"/>
    <w:rsid w:val="001D1405"/>
    <w:rsid w:val="001E391D"/>
    <w:rsid w:val="001F2C88"/>
    <w:rsid w:val="00237C67"/>
    <w:rsid w:val="00294DE8"/>
    <w:rsid w:val="002A5636"/>
    <w:rsid w:val="002B0636"/>
    <w:rsid w:val="002B2894"/>
    <w:rsid w:val="002B5AEF"/>
    <w:rsid w:val="002B7981"/>
    <w:rsid w:val="002D3663"/>
    <w:rsid w:val="003066BE"/>
    <w:rsid w:val="003227CC"/>
    <w:rsid w:val="00326313"/>
    <w:rsid w:val="00340927"/>
    <w:rsid w:val="00366C6A"/>
    <w:rsid w:val="00381A92"/>
    <w:rsid w:val="00384191"/>
    <w:rsid w:val="00395794"/>
    <w:rsid w:val="003C16C3"/>
    <w:rsid w:val="003D4EDF"/>
    <w:rsid w:val="003F190C"/>
    <w:rsid w:val="003F326D"/>
    <w:rsid w:val="003F79EF"/>
    <w:rsid w:val="0040402B"/>
    <w:rsid w:val="0043191A"/>
    <w:rsid w:val="00446882"/>
    <w:rsid w:val="004503DC"/>
    <w:rsid w:val="00463600"/>
    <w:rsid w:val="00465162"/>
    <w:rsid w:val="004A5CD7"/>
    <w:rsid w:val="004A6CE5"/>
    <w:rsid w:val="004D7AC0"/>
    <w:rsid w:val="004E64BE"/>
    <w:rsid w:val="00505C80"/>
    <w:rsid w:val="00515DDF"/>
    <w:rsid w:val="00532089"/>
    <w:rsid w:val="00537F29"/>
    <w:rsid w:val="005650A9"/>
    <w:rsid w:val="00586B4B"/>
    <w:rsid w:val="00591A62"/>
    <w:rsid w:val="00593110"/>
    <w:rsid w:val="005A0BDA"/>
    <w:rsid w:val="005A2512"/>
    <w:rsid w:val="005B225E"/>
    <w:rsid w:val="005B6DD4"/>
    <w:rsid w:val="005E7651"/>
    <w:rsid w:val="00601DF4"/>
    <w:rsid w:val="00612898"/>
    <w:rsid w:val="00625CA3"/>
    <w:rsid w:val="00635AF7"/>
    <w:rsid w:val="00637CFA"/>
    <w:rsid w:val="00641262"/>
    <w:rsid w:val="00645EDF"/>
    <w:rsid w:val="006559C7"/>
    <w:rsid w:val="00665929"/>
    <w:rsid w:val="00673B8C"/>
    <w:rsid w:val="0068013D"/>
    <w:rsid w:val="00685A3A"/>
    <w:rsid w:val="006D249E"/>
    <w:rsid w:val="006D2C8A"/>
    <w:rsid w:val="006D2D64"/>
    <w:rsid w:val="006E6F14"/>
    <w:rsid w:val="006F0C49"/>
    <w:rsid w:val="007068C8"/>
    <w:rsid w:val="00707689"/>
    <w:rsid w:val="0072769B"/>
    <w:rsid w:val="00740A23"/>
    <w:rsid w:val="007417EF"/>
    <w:rsid w:val="00743627"/>
    <w:rsid w:val="00754027"/>
    <w:rsid w:val="00766B1A"/>
    <w:rsid w:val="0076787A"/>
    <w:rsid w:val="007B245D"/>
    <w:rsid w:val="007B326F"/>
    <w:rsid w:val="007F5784"/>
    <w:rsid w:val="00802750"/>
    <w:rsid w:val="00803D75"/>
    <w:rsid w:val="008050F3"/>
    <w:rsid w:val="00805F6F"/>
    <w:rsid w:val="0080647A"/>
    <w:rsid w:val="00811D4F"/>
    <w:rsid w:val="00836765"/>
    <w:rsid w:val="00845F24"/>
    <w:rsid w:val="008541DE"/>
    <w:rsid w:val="00871818"/>
    <w:rsid w:val="00874224"/>
    <w:rsid w:val="0088219D"/>
    <w:rsid w:val="00896BC8"/>
    <w:rsid w:val="008A27AD"/>
    <w:rsid w:val="008A6059"/>
    <w:rsid w:val="008C414B"/>
    <w:rsid w:val="008D0052"/>
    <w:rsid w:val="008D2CCD"/>
    <w:rsid w:val="008E6CC5"/>
    <w:rsid w:val="009041AE"/>
    <w:rsid w:val="00926A3C"/>
    <w:rsid w:val="00946B15"/>
    <w:rsid w:val="009679E7"/>
    <w:rsid w:val="00973F68"/>
    <w:rsid w:val="009D0B39"/>
    <w:rsid w:val="009E1915"/>
    <w:rsid w:val="009E4148"/>
    <w:rsid w:val="009F1AE3"/>
    <w:rsid w:val="00A20E9D"/>
    <w:rsid w:val="00A23E40"/>
    <w:rsid w:val="00A272B2"/>
    <w:rsid w:val="00A37D46"/>
    <w:rsid w:val="00A44608"/>
    <w:rsid w:val="00A50553"/>
    <w:rsid w:val="00A51688"/>
    <w:rsid w:val="00A96C92"/>
    <w:rsid w:val="00AA61BE"/>
    <w:rsid w:val="00B203DA"/>
    <w:rsid w:val="00B3176C"/>
    <w:rsid w:val="00B518C9"/>
    <w:rsid w:val="00B730AD"/>
    <w:rsid w:val="00B8543B"/>
    <w:rsid w:val="00B94F6D"/>
    <w:rsid w:val="00BA2A2C"/>
    <w:rsid w:val="00BC676C"/>
    <w:rsid w:val="00BE54B3"/>
    <w:rsid w:val="00BF235F"/>
    <w:rsid w:val="00C008B4"/>
    <w:rsid w:val="00C1207D"/>
    <w:rsid w:val="00C17ABD"/>
    <w:rsid w:val="00C2078A"/>
    <w:rsid w:val="00C24C34"/>
    <w:rsid w:val="00C26C67"/>
    <w:rsid w:val="00C33172"/>
    <w:rsid w:val="00C61F36"/>
    <w:rsid w:val="00C62A6C"/>
    <w:rsid w:val="00C7741D"/>
    <w:rsid w:val="00C821A5"/>
    <w:rsid w:val="00C82E34"/>
    <w:rsid w:val="00C913CA"/>
    <w:rsid w:val="00CC18D0"/>
    <w:rsid w:val="00D07777"/>
    <w:rsid w:val="00D3145B"/>
    <w:rsid w:val="00D40BB6"/>
    <w:rsid w:val="00D43613"/>
    <w:rsid w:val="00D6499D"/>
    <w:rsid w:val="00D7076A"/>
    <w:rsid w:val="00D81F5E"/>
    <w:rsid w:val="00D92269"/>
    <w:rsid w:val="00DB1B79"/>
    <w:rsid w:val="00DE176A"/>
    <w:rsid w:val="00DF03F8"/>
    <w:rsid w:val="00E00A6B"/>
    <w:rsid w:val="00E13363"/>
    <w:rsid w:val="00E22D43"/>
    <w:rsid w:val="00E77899"/>
    <w:rsid w:val="00E82D3E"/>
    <w:rsid w:val="00E95CBE"/>
    <w:rsid w:val="00E972B2"/>
    <w:rsid w:val="00EA023B"/>
    <w:rsid w:val="00EB462E"/>
    <w:rsid w:val="00ED76AC"/>
    <w:rsid w:val="00EE6F0B"/>
    <w:rsid w:val="00EF2BEB"/>
    <w:rsid w:val="00F104CA"/>
    <w:rsid w:val="00F2608E"/>
    <w:rsid w:val="00F26C84"/>
    <w:rsid w:val="00F41BE1"/>
    <w:rsid w:val="00F54021"/>
    <w:rsid w:val="00F5540C"/>
    <w:rsid w:val="00F65006"/>
    <w:rsid w:val="00F733BE"/>
    <w:rsid w:val="00F73CD8"/>
    <w:rsid w:val="00F83C17"/>
    <w:rsid w:val="00F96D7F"/>
    <w:rsid w:val="00FC43EF"/>
    <w:rsid w:val="00FC456F"/>
    <w:rsid w:val="00FE5F71"/>
    <w:rsid w:val="00FF377E"/>
  </w:rsids>
  <m:mathPr>
    <m:mathFont m:val="Cambria Math"/>
    <m:brkBin m:val="before"/>
    <m:brkBinSub m:val="--"/>
    <m:smallFrac m:val="0"/>
    <m:dispDef/>
    <m:lMargin m:val="0"/>
    <m:rMargin m:val="0"/>
    <m:defJc m:val="centerGroup"/>
    <m:wrapIndent m:val="1440"/>
    <m:intLim m:val="subSup"/>
    <m:naryLim m:val="undOvr"/>
  </m:mathPr>
  <w:themeFontLang w:val="en-US" w:bidi="hi-x-bh-SD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6128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82E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972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D00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C67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533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854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65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A60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367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122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37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C913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4503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ED76A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9F1A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27AD"/>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056F0F"/>
    <w:rPr>
      <w:color w:val="605E5C"/>
      <w:shd w:val="clear" w:color="auto" w:fill="E1DFDD"/>
    </w:rPr>
  </w:style>
  <w:style w:type="table" w:customStyle="1" w:styleId="TableGrid19">
    <w:name w:val="Table Grid19"/>
    <w:basedOn w:val="TableNormal"/>
    <w:next w:val="TableGrid"/>
    <w:rsid w:val="00CC18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1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1DE"/>
    <w:rPr>
      <w:rFonts w:ascii="Segoe UI" w:eastAsia="Times New Roman" w:hAnsi="Segoe UI" w:cs="Segoe UI"/>
      <w:sz w:val="18"/>
      <w:szCs w:val="18"/>
    </w:rPr>
  </w:style>
  <w:style w:type="paragraph" w:styleId="TOC2">
    <w:name w:val="toc 2"/>
    <w:basedOn w:val="Normal"/>
    <w:next w:val="Normal"/>
    <w:autoRedefine/>
    <w:uiPriority w:val="39"/>
    <w:unhideWhenUsed/>
    <w:rsid w:val="00F5540C"/>
    <w:pPr>
      <w:spacing w:after="100"/>
      <w:ind w:left="220"/>
    </w:pPr>
  </w:style>
  <w:style w:type="character" w:styleId="UnresolvedMention">
    <w:name w:val="Unresolved Mention"/>
    <w:basedOn w:val="DefaultParagraphFont"/>
    <w:uiPriority w:val="99"/>
    <w:semiHidden/>
    <w:unhideWhenUsed/>
    <w:rsid w:val="00A37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pt/our-work/opinions-information-reports/plenary-session-summaries" TargetMode="External"/><Relationship Id="rId18" Type="http://schemas.openxmlformats.org/officeDocument/2006/relationships/hyperlink" Target="https://www.eesc.europa.eu/pt/our-work/opinions-information-reports/opinions/establishing-european-fund-regional-development-including-european-territorial-cooperation-interreg-and-cohesion-fund" TargetMode="External"/><Relationship Id="rId26" Type="http://schemas.openxmlformats.org/officeDocument/2006/relationships/hyperlink" Target="mailto:Maja.Radman@eesc.europa.eu" TargetMode="External"/><Relationship Id="rId39" Type="http://schemas.openxmlformats.org/officeDocument/2006/relationships/hyperlink" Target="mailto:Martine.Delanoy@eesc.europa.eu" TargetMode="External"/><Relationship Id="rId21" Type="http://schemas.openxmlformats.org/officeDocument/2006/relationships/hyperlink" Target="mailto:June.Bedaton@eesc.europa.eu" TargetMode="External"/><Relationship Id="rId34" Type="http://schemas.openxmlformats.org/officeDocument/2006/relationships/hyperlink" Target="https://www.eesc.europa.eu/pt/our-work/opinions-information-reports/opinions/competitiveness-fund" TargetMode="External"/><Relationship Id="rId42" Type="http://schemas.openxmlformats.org/officeDocument/2006/relationships/hyperlink" Target="mailto:Marie-Laurence.Drillon@eesc.europa.eu" TargetMode="External"/><Relationship Id="rId47" Type="http://schemas.openxmlformats.org/officeDocument/2006/relationships/hyperlink" Target="https://www.eesc.europa.eu/pt/our-work/opinions-information-reports/opinions/facilitating-potential-permanent-materials-eu-circular-economy" TargetMode="External"/><Relationship Id="rId50" Type="http://schemas.openxmlformats.org/officeDocument/2006/relationships/hyperlink" Target="mailto:Adam.Dorywalski@eesc.europa.eu" TargetMode="External"/><Relationship Id="rId55"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Georgios.Meleas@eesc.europa.eu" TargetMode="External"/><Relationship Id="rId25" Type="http://schemas.openxmlformats.org/officeDocument/2006/relationships/hyperlink" Target="https://eur-lex.europa.eu/eli/C/2023/874/oj?eliuri=eli%3AC%3A2023%3A870%3Aoj&amp;locale=pt" TargetMode="External"/><Relationship Id="rId33" Type="http://schemas.openxmlformats.org/officeDocument/2006/relationships/hyperlink" Target="mailto:Silvia.Staffa@eesc.europa.eu" TargetMode="External"/><Relationship Id="rId38" Type="http://schemas.openxmlformats.org/officeDocument/2006/relationships/hyperlink" Target="https://www.eesc.europa.eu/pt/our-work/opinions-information-reports/opinions/amendment-deforestation-regulation-eu-20231115" TargetMode="External"/><Relationship Id="rId46" Type="http://schemas.openxmlformats.org/officeDocument/2006/relationships/hyperlink" Target="mailto:Katarina.Albrechtova@eesc.europa.eu" TargetMode="External"/><Relationship Id="rId2" Type="http://schemas.openxmlformats.org/officeDocument/2006/relationships/customXml" Target="../customXml/item2.xml"/><Relationship Id="rId16" Type="http://schemas.openxmlformats.org/officeDocument/2006/relationships/hyperlink" Target="https://www.eesc.europa.eu/pt/our-work/opinions-information-reports/opinions/implementation-eu-macro-regional-strategies-5th-report" TargetMode="External"/><Relationship Id="rId20" Type="http://schemas.openxmlformats.org/officeDocument/2006/relationships/hyperlink" Target="https://www.eesc.europa.eu/pt/our-work/opinions-information-reports/opinions/labour-rights-journalists-and-media-professionals-safeguard-independence-and-truthful-information" TargetMode="External"/><Relationship Id="rId29" Type="http://schemas.openxmlformats.org/officeDocument/2006/relationships/hyperlink" Target="mailto:Albert.Precup@eesc.europa.eu" TargetMode="External"/><Relationship Id="rId41" Type="http://schemas.openxmlformats.org/officeDocument/2006/relationships/hyperlink" Target="mailto:Arturo.Iniguez@eesc.europa.eu"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esc.europa.eu/en/our-work/opinions-information-reports/opinions/co2-emission-class-heavy-duty-vehicles-trailers-0" TargetMode="External"/><Relationship Id="rId32" Type="http://schemas.openxmlformats.org/officeDocument/2006/relationships/hyperlink" Target="https://www.eesc.europa.eu/en/our-work/opinions-information-reports/opinions/report-competition-policy-2024" TargetMode="External"/><Relationship Id="rId37" Type="http://schemas.openxmlformats.org/officeDocument/2006/relationships/hyperlink" Target="mailto:Annalisa.Tessarolo@eesc.europa.eu" TargetMode="External"/><Relationship Id="rId40" Type="http://schemas.openxmlformats.org/officeDocument/2006/relationships/hyperlink" Target="https://www.eesc.europa.eu/pt/our-work/opinions-information-reports/opinions/revision-union-civil-protection-mechanism" TargetMode="External"/><Relationship Id="rId45" Type="http://schemas.openxmlformats.org/officeDocument/2006/relationships/hyperlink" Target="https://www.eesc.europa.eu/pt/our-work/opinions-information-reports/opinions/predictable-and-common-european-way-forward-ukrainians-eu"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Alessia.Cova@eesc.europa.eu" TargetMode="External"/><Relationship Id="rId28" Type="http://schemas.openxmlformats.org/officeDocument/2006/relationships/hyperlink" Target="https://www.eesc.europa.eu/pt/our-work/opinions-information-reports/opinions/nuclear-illustrative-programme-1" TargetMode="External"/><Relationship Id="rId36" Type="http://schemas.openxmlformats.org/officeDocument/2006/relationships/hyperlink" Target="https://www.eesc.europa.eu/pt/our-work/opinions-information-reports/opinions/review-european-public-procurement-legal-framework" TargetMode="External"/><Relationship Id="rId49" Type="http://schemas.openxmlformats.org/officeDocument/2006/relationships/hyperlink" Target="https://www.eesc.europa.eu/pt/our-work/opinions-information-reports/opinions/industrial-cooperatives-tool-challenge-inclusive-and-sustainable-competitiveness"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Georgios.Meleas@eesc.europa.eu" TargetMode="External"/><Relationship Id="rId31" Type="http://schemas.openxmlformats.org/officeDocument/2006/relationships/hyperlink" Target="mailto:Annalisa.Tessarolo@eesc.europa.eu" TargetMode="External"/><Relationship Id="rId44" Type="http://schemas.openxmlformats.org/officeDocument/2006/relationships/hyperlink" Target="mailto:Daniele.Vitali@eesc.europa.eu"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https://www.eesc.europa.eu/pt/our-work/opinions-information-reports/opinions/agoraeu-and-justice-programmes" TargetMode="External"/><Relationship Id="rId27" Type="http://schemas.openxmlformats.org/officeDocument/2006/relationships/hyperlink" Target="mailto:GiorgiaAndrea.Bordignon@eesc.europa.eu" TargetMode="External"/><Relationship Id="rId30" Type="http://schemas.openxmlformats.org/officeDocument/2006/relationships/hyperlink" Target="https://www.eesc.europa.eu/pt/our-work/opinions-information-reports/opinions/single-market-strategy" TargetMode="External"/><Relationship Id="rId35" Type="http://schemas.openxmlformats.org/officeDocument/2006/relationships/hyperlink" Target="mailto:Silvia.Staffa@eesc.europa.eu" TargetMode="External"/><Relationship Id="rId43" Type="http://schemas.openxmlformats.org/officeDocument/2006/relationships/hyperlink" Target="https://www.eesc.europa.eu/pt/our-work/opinions-information-reports/opinions/global-europe-multiannual-financial-framework-proposal" TargetMode="External"/><Relationship Id="rId48" Type="http://schemas.openxmlformats.org/officeDocument/2006/relationships/hyperlink" Target="mailto:Adam.Dorywalski@eesc.europa.eu" TargetMode="External"/><Relationship Id="rId56" Type="http://schemas.openxmlformats.org/officeDocument/2006/relationships/footer" Target="footer4.xml"/><Relationship Id="rId8" Type="http://schemas.openxmlformats.org/officeDocument/2006/relationships/settings" Target="settings.xml"/><Relationship Id="rId51" Type="http://schemas.openxmlformats.org/officeDocument/2006/relationships/header" Target="header1.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PT/TXT/?uri=uriserv%3AOJ.C_.2022.275.01.0088.01.POR&amp;toc=OJ%3AC%3A2022%3A275%3ATOC" TargetMode="External"/><Relationship Id="rId3" Type="http://schemas.openxmlformats.org/officeDocument/2006/relationships/hyperlink" Target="https://digital-strategy.ec.europa.eu/pt/library/recommendation-protection-safety-and-empowerment-journalists" TargetMode="External"/><Relationship Id="rId7" Type="http://schemas.openxmlformats.org/officeDocument/2006/relationships/hyperlink" Target="https://www.eesc.europa.eu/pt/our-work/opinions-information-reports/opinions/minimising-risk-deforestation-and-forest-degradation-associated-products-placed-eu-market" TargetMode="External"/><Relationship Id="rId2" Type="http://schemas.openxmlformats.org/officeDocument/2006/relationships/hyperlink" Target="https://eur-lex.europa.eu/legal-content/PT/TXT/?uri=CELEX%3A52022XC0930%2802%29" TargetMode="External"/><Relationship Id="rId1" Type="http://schemas.openxmlformats.org/officeDocument/2006/relationships/hyperlink" Target="https://eur-lex.europa.eu/legal-content/PT/TXT/?uri=legissum:4623532" TargetMode="External"/><Relationship Id="rId6" Type="http://schemas.openxmlformats.org/officeDocument/2006/relationships/hyperlink" Target="https://eur-lex.europa.eu/legal-content/PT/TXT/?uri=OJ:C_202406882" TargetMode="External"/><Relationship Id="rId5" Type="http://schemas.openxmlformats.org/officeDocument/2006/relationships/hyperlink" Target="https://www.eesc.europa.eu/en/our-work/opinions-information-reports/opinions/deforestation-amazon-rainforest-impact-climate-change-and-global-environment-consequences-companies-workers-and" TargetMode="External"/><Relationship Id="rId4" Type="http://schemas.openxmlformats.org/officeDocument/2006/relationships/hyperlink" Target="http://data.europa.eu/eli/C/2025/114/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A6WAAD5KZT2Q-284857674-6410</_dlc_DocId>
    <_dlc_DocIdUrl xmlns="1a33af13-4045-4f88-9d7b-618e30f79918">
      <Url>http://dm/eesc/2025/_layouts/15/DocIdRedir.aspx?ID=A6WAAD5KZT2Q-284857674-6410</Url>
      <Description>A6WAAD5KZT2Q-284857674-6410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2025-12-19T12:00:00+00:00</ProductionDate>
    <DocumentNumber xmlns="27994258-8564-426c-a7a1-d6286d62992e">3552</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s>
    </DocumentLanguage_0>
    <MeetingDate xmlns="1a33af13-4045-4f88-9d7b-618e30f79918">2026-01-21T12:00:00+00:00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297819</FicheNumber>
    <OriginalSender xmlns="1a33af13-4045-4f88-9d7b-618e30f79918">
      <UserInfo>
        <DisplayName>Pomba Ramos Joao</DisplayName>
        <AccountId>1599</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DossierName_0>
    <DocumentVersion xmlns="1a33af13-4045-4f88-9d7b-618e30f79918">0</DocumentVersion>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3F0E2-E7FF-4B1E-BA18-5527C8630902}"/>
</file>

<file path=customXml/itemProps2.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3.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4.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5.xml><?xml version="1.0" encoding="utf-8"?>
<ds:datastoreItem xmlns:ds="http://schemas.openxmlformats.org/officeDocument/2006/customXml" ds:itemID="{02C0A79B-4044-407E-B38D-DFBB3AD40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7670</Words>
  <Characters>41424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48997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Síntese dos Pareceres - 601.ª reunião plenária - dezembrode 2025</dc:title>
  <dc:subject>ADMIN</dc:subject>
  <dc:creator/>
  <cp:keywords>COR-EESC-2022-02583-00-00-ADMIN-TRA-EN</cp:keywords>
  <dc:description>Rapporteur:  - Original language: EN - Date of document: 20/05/2022 - Date of meeting:  - External documents:  - Administrator:  SUCIU Serban</dc:description>
  <cp:lastModifiedBy/>
  <cp:revision>22</cp:revision>
  <dcterms:created xsi:type="dcterms:W3CDTF">2025-12-15T10:39:00Z</dcterms:created>
  <dcterms:modified xsi:type="dcterms:W3CDTF">2025-12-19T16:09:00Z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15/12/2025, 02/05/2022, 02/05/2022, 28/06/2021</vt:lpwstr>
  </property>
  <property fmtid="{D5CDD505-2E9C-101B-9397-08002B2CF9AE}" pid="4" name="Pref_Time">
    <vt:lpwstr>11:21:32, 12:28:29, 12:25:37, 08:41:48</vt:lpwstr>
  </property>
  <property fmtid="{D5CDD505-2E9C-101B-9397-08002B2CF9AE}" pid="5" name="Pref_User">
    <vt:lpwstr>jhvi, enied, enied, enied</vt:lpwstr>
  </property>
  <property fmtid="{D5CDD505-2E9C-101B-9397-08002B2CF9AE}" pid="6" name="Pref_FileName">
    <vt:lpwstr>EESC-2025-03552-00-00-TCD-ORI.docx, Summary of opinions.docx, COR-EESC-2022-02370-00-00-ADMIN-ORI.docx, Synthese des avis Template.docx</vt:lpwstr>
  </property>
  <property fmtid="{D5CDD505-2E9C-101B-9397-08002B2CF9AE}" pid="7" name="ContentTypeId">
    <vt:lpwstr>0x010100EA97B91038054C99906057A708A1480A00B192796EE9568A4C8E77C6EF5F22B614</vt:lpwstr>
  </property>
  <property fmtid="{D5CDD505-2E9C-101B-9397-08002B2CF9AE}" pid="8" name="_dlc_DocIdItemGuid">
    <vt:lpwstr>d2d7e7ee-9dd6-4c01-bb04-d43547d6c50f</vt:lpwstr>
  </property>
  <property fmtid="{D5CDD505-2E9C-101B-9397-08002B2CF9AE}" pid="9" name="AvailableTranslations">
    <vt:lpwstr>23;#DE|f6b31e5a-26fa-4935-b661-318e46daf27e;#30;#LT|a7ff5ce7-6123-4f68-865a-a57c31810414;#28;#SV|c2ed69e7-a339-43d7-8f22-d93680a92aa0;#27;#NL|55c6556c-b4f4-441d-9acf-c498d4f838bd;#41;#ET|ff6c3f4c-b02c-4c3c-ab07-2c37995a7a0a;#5;#EN|f2175f21-25d7-44a3-96da-d6a61b075e1b;#35;#FI|87606a43-d45f-42d6-b8c9-e1a3457db5b7;#39;#LV|46f7e311-5d9f-4663-b433-18aeccb7ace7;#40;#DA|5d49c027-8956-412b-aa16-e85a0f96ad0e;#42;#EL|6d4f4d51-af9b-4650-94b4-4276bee85c91;#34;#IT|0774613c-01ed-4e5d-a25d-11d2388de825;#46;#SK|46d9fce0-ef79-4f71-b89b-cd6aa82426b8;#12;#FR|d2afafd3-4c81-4f60-8f52-ee33f2f54ff3;#50;#HR|2f555653-ed1a-4fe6-8362-9082d95989e5;#31;#SL|98a412ae-eb01-49e9-ae3d-585a81724cfc;#29;#CS|72f9705b-0217-4fd3-bea2-cbc7ed80e26e;#37;#HU|6b229040-c589-4408-b4c1-4285663d20a8;#36;#RO|feb747a2-64cd-4299-af12-4833ddc30497;#16;#ES|e7a6b05b-ae16-40c8-add9-68b64b03aeba;#33;#PT|50ccc04a-eadd-42ae-a0cb-acaf45f812ba;#24;#PL|1e03da61-4678-4e07-b136-b5024ca9197b;#47;#BG|1a1b3951-7821-4e6a-85f5-5673fc08bd2c</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3552</vt:i4>
  </property>
  <property fmtid="{D5CDD505-2E9C-101B-9397-08002B2CF9AE}" pid="14" name="DocumentVersion">
    <vt:i4>0</vt:i4>
  </property>
  <property fmtid="{D5CDD505-2E9C-101B-9397-08002B2CF9AE}" pid="15" name="DocumentStatus">
    <vt:lpwstr>13;#TRA|150d2a88-1431-44e6-a8ca-0bb753ab8672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15;#Unrestricted|826e22d7-d029-4ec0-a450-0c28ff673572</vt:lpwstr>
  </property>
  <property fmtid="{D5CDD505-2E9C-101B-9397-08002B2CF9AE}" pid="19" name="OriginalLanguage">
    <vt:lpwstr>5;#EN|f2175f21-25d7-44a3-96da-d6a61b075e1b</vt:lpwstr>
  </property>
  <property fmtid="{D5CDD505-2E9C-101B-9397-08002B2CF9AE}" pid="20" name="MeetingName">
    <vt:lpwstr>67;#SPL-CES|32d8cb1f-c9ec-4365-95c7-8385a18618ac</vt:lpwstr>
  </property>
  <property fmtid="{D5CDD505-2E9C-101B-9397-08002B2CF9AE}" pid="21" name="TaxCatchAll">
    <vt:lpwstr>34;#IT|0774613c-01ed-4e5d-a25d-11d2388de825;#30;#LT|a7ff5ce7-6123-4f68-865a-a57c31810414;#67;#SPL-CES|32d8cb1f-c9ec-4365-95c7-8385a18618ac;#28;#SV|c2ed69e7-a339-43d7-8f22-d93680a92aa0;#50;#HR|2f555653-ed1a-4fe6-8362-9082d95989e5;#19;#TCD|cd9d6eb6-3f4f-424a-b2d1-57c9d450eaaf;#16;#ES|e7a6b05b-ae16-40c8-add9-68b64b03aeba;#15;#Unrestricted|826e22d7-d029-4ec0-a450-0c28ff673572;#13;#TRA|150d2a88-1431-44e6-a8ca-0bb753ab8672;#12;#FR|d2afafd3-4c81-4f60-8f52-ee33f2f54ff3;#8;#Final|ea5e6674-7b27-4bac-b091-73adbb394efe;#5;#EN|f2175f21-25d7-44a3-96da-d6a61b075e1b;#40;#DA|5d49c027-8956-412b-aa16-e85a0f96ad0e;#1;#EESC|422833ec-8d7e-4e65-8e4e-8bed07ffb729</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8;#Final|ea5e6674-7b27-4bac-b091-73adbb394efe</vt:lpwstr>
  </property>
  <property fmtid="{D5CDD505-2E9C-101B-9397-08002B2CF9AE}" pid="25" name="DocumentYear">
    <vt:i4>2025</vt:i4>
  </property>
  <property fmtid="{D5CDD505-2E9C-101B-9397-08002B2CF9AE}" pid="26" name="FicheNumber">
    <vt:i4>297819</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19;#TCD|cd9d6eb6-3f4f-424a-b2d1-57c9d450eaaf</vt:lpwstr>
  </property>
  <property fmtid="{D5CDD505-2E9C-101B-9397-08002B2CF9AE}" pid="31" name="RequestingService">
    <vt:lpwstr>Greffe</vt:lpwstr>
  </property>
  <property fmtid="{D5CDD505-2E9C-101B-9397-08002B2CF9AE}" pid="32" name="DocumentLanguage">
    <vt:lpwstr>33;#PT|50ccc04a-eadd-42ae-a0cb-acaf45f812ba</vt:lpwstr>
  </property>
  <property fmtid="{D5CDD505-2E9C-101B-9397-08002B2CF9AE}" pid="33" name="AvailableTranslations_0">
    <vt:lpwstr>LT|a7ff5ce7-6123-4f68-865a-a57c31810414;SV|c2ed69e7-a339-43d7-8f22-d93680a92aa0;EN|f2175f21-25d7-44a3-96da-d6a61b075e1b;DA|5d49c027-8956-412b-aa16-e85a0f96ad0e;IT|0774613c-01ed-4e5d-a25d-11d2388de825;FR|d2afafd3-4c81-4f60-8f52-ee33f2f54ff3;HR|2f555653-ed1a-4fe6-8362-9082d95989e5;ES|e7a6b05b-ae16-40c8-add9-68b64b03aeba</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Date">
    <vt:filetime>2026-01-21T12:00:00Z</vt:filetime>
  </property>
</Properties>
</file>