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55C5277A" w:rsidR="004D7AC0" w:rsidRDefault="00B9028C" w:rsidP="004D7AC0">
      <w:pPr>
        <w:jc w:val="center"/>
      </w:pPr>
      <w:r>
        <w:rPr>
          <w:noProof/>
        </w:rPr>
        <w:drawing>
          <wp:inline distT="0" distB="0" distL="0" distR="0" wp14:anchorId="17395EB9" wp14:editId="0AFAE238">
            <wp:extent cx="1792605" cy="1239520"/>
            <wp:effectExtent l="0" t="0" r="0" b="0"/>
            <wp:docPr id="1" name="Picture 1" title="EESCLogo_LV"/>
            <wp:cNvGraphicFramePr/>
            <a:graphic xmlns:a="http://schemas.openxmlformats.org/drawingml/2006/main">
              <a:graphicData uri="http://schemas.openxmlformats.org/drawingml/2006/picture">
                <pic:pic xmlns:pic="http://schemas.openxmlformats.org/drawingml/2006/picture">
                  <pic:nvPicPr>
                    <pic:cNvPr id="1" name="Picture 1" title="EESCLogo_LV"/>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078868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LV</w:t>
                      </w:r>
                    </w:p>
                  </w:txbxContent>
                </v:textbox>
                <w10:wrap anchorx="page" anchory="page"/>
              </v:shape>
            </w:pict>
          </mc:Fallback>
        </mc:AlternateContent>
      </w:r>
    </w:p>
    <w:p w14:paraId="4982DD4E" w14:textId="77777777" w:rsidR="004D7AC0" w:rsidRDefault="004D7AC0" w:rsidP="004D7AC0"/>
    <w:p w14:paraId="4982DD4F" w14:textId="583AC3F3" w:rsidR="004D7AC0" w:rsidRDefault="004D7AC0" w:rsidP="004D7AC0">
      <w:pPr>
        <w:jc w:val="right"/>
      </w:pPr>
      <w:r>
        <w:t>Briselē, 2025. gada 17. decembrī</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02802AB8" w:rsidR="003066BE" w:rsidRDefault="00340927" w:rsidP="00600C84">
            <w:pPr>
              <w:snapToGrid w:val="0"/>
              <w:jc w:val="center"/>
              <w:rPr>
                <w:b/>
                <w:sz w:val="32"/>
                <w:szCs w:val="32"/>
              </w:rPr>
            </w:pPr>
            <w:r>
              <w:rPr>
                <w:b/>
                <w:sz w:val="32"/>
              </w:rPr>
              <w:t>601. PLENĀRĀ SESIJA</w:t>
            </w:r>
          </w:p>
          <w:p w14:paraId="4982DD54" w14:textId="77777777" w:rsidR="003066BE" w:rsidRDefault="003066BE" w:rsidP="00600C84">
            <w:pPr>
              <w:snapToGrid w:val="0"/>
              <w:jc w:val="center"/>
              <w:rPr>
                <w:b/>
                <w:sz w:val="32"/>
                <w:szCs w:val="32"/>
              </w:rPr>
            </w:pPr>
          </w:p>
          <w:p w14:paraId="4982DD55" w14:textId="2F334972" w:rsidR="003066BE" w:rsidRDefault="00340927" w:rsidP="00600C84">
            <w:pPr>
              <w:snapToGrid w:val="0"/>
              <w:jc w:val="center"/>
              <w:rPr>
                <w:b/>
                <w:sz w:val="32"/>
                <w:szCs w:val="32"/>
              </w:rPr>
            </w:pPr>
            <w:r>
              <w:rPr>
                <w:b/>
                <w:sz w:val="32"/>
              </w:rPr>
              <w:t>2025. gada 3. un 4. decembrī</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PIEŅEMTO ATZINUMU UN REZOLŪCIJU, KĀ ARĪ INFORMATĪVO / NOVĒRTĒJUMA ZIŅOJUMU KOPSAVILKUMS</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Šis dokuments visās oficiālajās Eiropas Savienības valodās ir pieejams EESK tīmekļa vietnē:</w:t>
            </w:r>
            <w:r>
              <w:br/>
            </w:r>
            <w:r>
              <w:br/>
            </w:r>
            <w:hyperlink r:id="rId12" w:history="1">
              <w:r>
                <w:rPr>
                  <w:rStyle w:val="Hyperlink"/>
                </w:rPr>
                <w:t>https://www.eesc.europa.eu/lv/our-work/opinions-information-reports/plenary-session-summaries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Ar atzinumiem var iepazīties tiešsaistē, izmantojot EESK meklētājprogrammu:</w:t>
            </w:r>
            <w:r>
              <w:br/>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E6F0B">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Satura rādītājs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2F0DB17B" w14:textId="222AE4CD" w:rsidR="00174C07" w:rsidRDefault="004D7AC0">
          <w:pPr>
            <w:pStyle w:val="TOC1"/>
            <w:tabs>
              <w:tab w:val="left" w:pos="440"/>
              <w:tab w:val="right" w:leader="dot" w:pos="9063"/>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17287871" w:history="1">
            <w:r w:rsidR="00174C07" w:rsidRPr="009534BC">
              <w:rPr>
                <w:rStyle w:val="Hyperlink"/>
                <w:b/>
                <w:noProof/>
              </w:rPr>
              <w:t>1.</w:t>
            </w:r>
            <w:r w:rsidR="00174C07">
              <w:rPr>
                <w:rFonts w:asciiTheme="minorHAnsi" w:eastAsiaTheme="minorEastAsia" w:hAnsiTheme="minorHAnsi" w:cstheme="minorBidi"/>
                <w:noProof/>
                <w:lang w:val="en-US"/>
              </w:rPr>
              <w:tab/>
            </w:r>
            <w:r w:rsidR="00174C07" w:rsidRPr="009534BC">
              <w:rPr>
                <w:rStyle w:val="Hyperlink"/>
                <w:b/>
                <w:noProof/>
              </w:rPr>
              <w:t>EKONOMIKAS UN MONETĀRĀ SAVIENĪBA, EKONOMISKĀ UN SOCIĀLĀ KOHĒZIJA</w:t>
            </w:r>
            <w:r w:rsidR="00174C07">
              <w:rPr>
                <w:noProof/>
                <w:webHidden/>
              </w:rPr>
              <w:tab/>
            </w:r>
            <w:r w:rsidR="00174C07">
              <w:rPr>
                <w:noProof/>
                <w:webHidden/>
              </w:rPr>
              <w:fldChar w:fldCharType="begin"/>
            </w:r>
            <w:r w:rsidR="00174C07">
              <w:rPr>
                <w:noProof/>
                <w:webHidden/>
              </w:rPr>
              <w:instrText xml:space="preserve"> PAGEREF _Toc217287871 \h </w:instrText>
            </w:r>
            <w:r w:rsidR="00174C07">
              <w:rPr>
                <w:noProof/>
                <w:webHidden/>
              </w:rPr>
            </w:r>
            <w:r w:rsidR="00174C07">
              <w:rPr>
                <w:noProof/>
                <w:webHidden/>
              </w:rPr>
              <w:fldChar w:fldCharType="separate"/>
            </w:r>
            <w:r w:rsidR="00174C07">
              <w:rPr>
                <w:noProof/>
                <w:webHidden/>
              </w:rPr>
              <w:t>3</w:t>
            </w:r>
            <w:r w:rsidR="00174C07">
              <w:rPr>
                <w:noProof/>
                <w:webHidden/>
              </w:rPr>
              <w:fldChar w:fldCharType="end"/>
            </w:r>
          </w:hyperlink>
        </w:p>
        <w:p w14:paraId="2502E0EA" w14:textId="0D2D1039" w:rsidR="00174C07" w:rsidRPr="00174C07" w:rsidRDefault="00174C07" w:rsidP="00174C07">
          <w:pPr>
            <w:pStyle w:val="TOC1"/>
            <w:tabs>
              <w:tab w:val="left" w:pos="440"/>
              <w:tab w:val="right" w:leader="dot" w:pos="9063"/>
            </w:tabs>
            <w:rPr>
              <w:rFonts w:asciiTheme="minorHAnsi" w:eastAsiaTheme="minorEastAsia" w:hAnsiTheme="minorHAnsi" w:cstheme="minorBidi"/>
              <w:noProof/>
              <w:lang w:val="en-US"/>
            </w:rPr>
          </w:pPr>
          <w:hyperlink w:anchor="_Toc217287872" w:history="1">
            <w:r w:rsidRPr="009534BC">
              <w:rPr>
                <w:rStyle w:val="Hyperlink"/>
                <w:b/>
                <w:noProof/>
              </w:rPr>
              <w:t>2.</w:t>
            </w:r>
            <w:r>
              <w:rPr>
                <w:rFonts w:asciiTheme="minorHAnsi" w:eastAsiaTheme="minorEastAsia" w:hAnsiTheme="minorHAnsi" w:cstheme="minorBidi"/>
                <w:noProof/>
                <w:lang w:val="en-US"/>
              </w:rPr>
              <w:tab/>
            </w:r>
            <w:r w:rsidRPr="009534BC">
              <w:rPr>
                <w:rStyle w:val="Hyperlink"/>
                <w:b/>
                <w:noProof/>
              </w:rPr>
              <w:t>NODARBINĀTĪBA, SOCIĀLĀS LIETAS UN PILSONISKUMS</w:t>
            </w:r>
            <w:r>
              <w:rPr>
                <w:noProof/>
                <w:webHidden/>
              </w:rPr>
              <w:tab/>
            </w:r>
            <w:r>
              <w:rPr>
                <w:noProof/>
                <w:webHidden/>
              </w:rPr>
              <w:fldChar w:fldCharType="begin"/>
            </w:r>
            <w:r>
              <w:rPr>
                <w:noProof/>
                <w:webHidden/>
              </w:rPr>
              <w:instrText xml:space="preserve"> PAGEREF _Toc217287872 \h </w:instrText>
            </w:r>
            <w:r>
              <w:rPr>
                <w:noProof/>
                <w:webHidden/>
              </w:rPr>
            </w:r>
            <w:r>
              <w:rPr>
                <w:noProof/>
                <w:webHidden/>
              </w:rPr>
              <w:fldChar w:fldCharType="separate"/>
            </w:r>
            <w:r>
              <w:rPr>
                <w:noProof/>
                <w:webHidden/>
              </w:rPr>
              <w:t>6</w:t>
            </w:r>
            <w:r>
              <w:rPr>
                <w:noProof/>
                <w:webHidden/>
              </w:rPr>
              <w:fldChar w:fldCharType="end"/>
            </w:r>
          </w:hyperlink>
        </w:p>
        <w:p w14:paraId="7A7B3EC8" w14:textId="14731FDE" w:rsidR="00174C07" w:rsidRDefault="00174C07">
          <w:pPr>
            <w:pStyle w:val="TOC1"/>
            <w:tabs>
              <w:tab w:val="left" w:pos="440"/>
              <w:tab w:val="right" w:leader="dot" w:pos="9063"/>
            </w:tabs>
            <w:rPr>
              <w:rFonts w:asciiTheme="minorHAnsi" w:eastAsiaTheme="minorEastAsia" w:hAnsiTheme="minorHAnsi" w:cstheme="minorBidi"/>
              <w:noProof/>
              <w:lang w:val="en-US"/>
            </w:rPr>
          </w:pPr>
          <w:hyperlink w:anchor="_Toc217287877" w:history="1">
            <w:r w:rsidRPr="009534BC">
              <w:rPr>
                <w:rStyle w:val="Hyperlink"/>
                <w:b/>
                <w:noProof/>
              </w:rPr>
              <w:t>3.</w:t>
            </w:r>
            <w:r>
              <w:rPr>
                <w:rFonts w:asciiTheme="minorHAnsi" w:eastAsiaTheme="minorEastAsia" w:hAnsiTheme="minorHAnsi" w:cstheme="minorBidi"/>
                <w:noProof/>
                <w:lang w:val="en-US"/>
              </w:rPr>
              <w:tab/>
            </w:r>
            <w:r w:rsidRPr="009534BC">
              <w:rPr>
                <w:rStyle w:val="Hyperlink"/>
                <w:b/>
                <w:noProof/>
              </w:rPr>
              <w:t>TRANSPORTS, ENERĢĒTIKA, INFRASTRUKTŪRA UN INFORMĀCIJAS SABIEDRĪBA</w:t>
            </w:r>
            <w:r>
              <w:rPr>
                <w:noProof/>
                <w:webHidden/>
              </w:rPr>
              <w:tab/>
            </w:r>
            <w:r>
              <w:rPr>
                <w:noProof/>
                <w:webHidden/>
              </w:rPr>
              <w:fldChar w:fldCharType="begin"/>
            </w:r>
            <w:r>
              <w:rPr>
                <w:noProof/>
                <w:webHidden/>
              </w:rPr>
              <w:instrText xml:space="preserve"> PAGEREF _Toc217287877 \h </w:instrText>
            </w:r>
            <w:r>
              <w:rPr>
                <w:noProof/>
                <w:webHidden/>
              </w:rPr>
            </w:r>
            <w:r>
              <w:rPr>
                <w:noProof/>
                <w:webHidden/>
              </w:rPr>
              <w:fldChar w:fldCharType="separate"/>
            </w:r>
            <w:r>
              <w:rPr>
                <w:noProof/>
                <w:webHidden/>
              </w:rPr>
              <w:t>10</w:t>
            </w:r>
            <w:r>
              <w:rPr>
                <w:noProof/>
                <w:webHidden/>
              </w:rPr>
              <w:fldChar w:fldCharType="end"/>
            </w:r>
          </w:hyperlink>
        </w:p>
        <w:p w14:paraId="65246D53" w14:textId="43263F80" w:rsidR="00174C07" w:rsidRDefault="00174C07">
          <w:pPr>
            <w:pStyle w:val="TOC1"/>
            <w:tabs>
              <w:tab w:val="left" w:pos="440"/>
              <w:tab w:val="right" w:leader="dot" w:pos="9063"/>
            </w:tabs>
            <w:rPr>
              <w:rFonts w:asciiTheme="minorHAnsi" w:eastAsiaTheme="minorEastAsia" w:hAnsiTheme="minorHAnsi" w:cstheme="minorBidi"/>
              <w:noProof/>
              <w:lang w:val="en-US"/>
            </w:rPr>
          </w:pPr>
          <w:hyperlink w:anchor="_Toc217287878" w:history="1">
            <w:r w:rsidRPr="009534BC">
              <w:rPr>
                <w:rStyle w:val="Hyperlink"/>
                <w:b/>
                <w:noProof/>
              </w:rPr>
              <w:t>4.</w:t>
            </w:r>
            <w:r>
              <w:rPr>
                <w:rFonts w:asciiTheme="minorHAnsi" w:eastAsiaTheme="minorEastAsia" w:hAnsiTheme="minorHAnsi" w:cstheme="minorBidi"/>
                <w:noProof/>
                <w:lang w:val="en-US"/>
              </w:rPr>
              <w:tab/>
            </w:r>
            <w:r w:rsidRPr="009534BC">
              <w:rPr>
                <w:rStyle w:val="Hyperlink"/>
                <w:b/>
                <w:noProof/>
              </w:rPr>
              <w:t>VIENOTAIS TIRGUS, RAŽOŠANA UN PATĒRIŅŠ</w:t>
            </w:r>
            <w:r>
              <w:rPr>
                <w:noProof/>
                <w:webHidden/>
              </w:rPr>
              <w:tab/>
            </w:r>
            <w:r>
              <w:rPr>
                <w:noProof/>
                <w:webHidden/>
              </w:rPr>
              <w:fldChar w:fldCharType="begin"/>
            </w:r>
            <w:r>
              <w:rPr>
                <w:noProof/>
                <w:webHidden/>
              </w:rPr>
              <w:instrText xml:space="preserve"> PAGEREF _Toc217287878 \h </w:instrText>
            </w:r>
            <w:r>
              <w:rPr>
                <w:noProof/>
                <w:webHidden/>
              </w:rPr>
            </w:r>
            <w:r>
              <w:rPr>
                <w:noProof/>
                <w:webHidden/>
              </w:rPr>
              <w:fldChar w:fldCharType="separate"/>
            </w:r>
            <w:r>
              <w:rPr>
                <w:noProof/>
                <w:webHidden/>
              </w:rPr>
              <w:t>13</w:t>
            </w:r>
            <w:r>
              <w:rPr>
                <w:noProof/>
                <w:webHidden/>
              </w:rPr>
              <w:fldChar w:fldCharType="end"/>
            </w:r>
          </w:hyperlink>
        </w:p>
        <w:p w14:paraId="4182EDEE" w14:textId="287682AC" w:rsidR="00174C07" w:rsidRDefault="00174C07">
          <w:pPr>
            <w:pStyle w:val="TOC1"/>
            <w:tabs>
              <w:tab w:val="left" w:pos="440"/>
              <w:tab w:val="right" w:leader="dot" w:pos="9063"/>
            </w:tabs>
            <w:rPr>
              <w:rFonts w:asciiTheme="minorHAnsi" w:eastAsiaTheme="minorEastAsia" w:hAnsiTheme="minorHAnsi" w:cstheme="minorBidi"/>
              <w:noProof/>
              <w:lang w:val="en-US"/>
            </w:rPr>
          </w:pPr>
          <w:hyperlink w:anchor="_Toc217287879" w:history="1">
            <w:r w:rsidRPr="009534BC">
              <w:rPr>
                <w:rStyle w:val="Hyperlink"/>
                <w:b/>
                <w:noProof/>
              </w:rPr>
              <w:t>5.</w:t>
            </w:r>
            <w:r>
              <w:rPr>
                <w:rFonts w:asciiTheme="minorHAnsi" w:eastAsiaTheme="minorEastAsia" w:hAnsiTheme="minorHAnsi" w:cstheme="minorBidi"/>
                <w:noProof/>
                <w:lang w:val="en-US"/>
              </w:rPr>
              <w:tab/>
            </w:r>
            <w:r w:rsidRPr="009534BC">
              <w:rPr>
                <w:rStyle w:val="Hyperlink"/>
                <w:b/>
                <w:noProof/>
              </w:rPr>
              <w:t>LAUKSAIMNIECĪBA, LAUKU ATTĪSTĪBA UN VIDE</w:t>
            </w:r>
            <w:r>
              <w:rPr>
                <w:noProof/>
                <w:webHidden/>
              </w:rPr>
              <w:tab/>
            </w:r>
            <w:r>
              <w:rPr>
                <w:noProof/>
                <w:webHidden/>
              </w:rPr>
              <w:fldChar w:fldCharType="begin"/>
            </w:r>
            <w:r>
              <w:rPr>
                <w:noProof/>
                <w:webHidden/>
              </w:rPr>
              <w:instrText xml:space="preserve"> PAGEREF _Toc217287879 \h </w:instrText>
            </w:r>
            <w:r>
              <w:rPr>
                <w:noProof/>
                <w:webHidden/>
              </w:rPr>
            </w:r>
            <w:r>
              <w:rPr>
                <w:noProof/>
                <w:webHidden/>
              </w:rPr>
              <w:fldChar w:fldCharType="separate"/>
            </w:r>
            <w:r>
              <w:rPr>
                <w:noProof/>
                <w:webHidden/>
              </w:rPr>
              <w:t>17</w:t>
            </w:r>
            <w:r>
              <w:rPr>
                <w:noProof/>
                <w:webHidden/>
              </w:rPr>
              <w:fldChar w:fldCharType="end"/>
            </w:r>
          </w:hyperlink>
        </w:p>
        <w:p w14:paraId="56EEA910" w14:textId="554C79D4" w:rsidR="00174C07" w:rsidRDefault="00174C07">
          <w:pPr>
            <w:pStyle w:val="TOC1"/>
            <w:tabs>
              <w:tab w:val="left" w:pos="440"/>
              <w:tab w:val="right" w:leader="dot" w:pos="9063"/>
            </w:tabs>
            <w:rPr>
              <w:rFonts w:asciiTheme="minorHAnsi" w:eastAsiaTheme="minorEastAsia" w:hAnsiTheme="minorHAnsi" w:cstheme="minorBidi"/>
              <w:noProof/>
              <w:lang w:val="en-US"/>
            </w:rPr>
          </w:pPr>
          <w:hyperlink w:anchor="_Toc217287880" w:history="1">
            <w:r w:rsidRPr="009534BC">
              <w:rPr>
                <w:rStyle w:val="Hyperlink"/>
                <w:b/>
                <w:noProof/>
              </w:rPr>
              <w:t>6.</w:t>
            </w:r>
            <w:r>
              <w:rPr>
                <w:rFonts w:asciiTheme="minorHAnsi" w:eastAsiaTheme="minorEastAsia" w:hAnsiTheme="minorHAnsi" w:cstheme="minorBidi"/>
                <w:noProof/>
                <w:lang w:val="en-US"/>
              </w:rPr>
              <w:tab/>
            </w:r>
            <w:r w:rsidRPr="009534BC">
              <w:rPr>
                <w:rStyle w:val="Hyperlink"/>
                <w:b/>
                <w:noProof/>
              </w:rPr>
              <w:t>ĀRĒJĀS ATTIECĪBAS</w:t>
            </w:r>
            <w:r>
              <w:rPr>
                <w:noProof/>
                <w:webHidden/>
              </w:rPr>
              <w:tab/>
            </w:r>
            <w:r>
              <w:rPr>
                <w:noProof/>
                <w:webHidden/>
              </w:rPr>
              <w:fldChar w:fldCharType="begin"/>
            </w:r>
            <w:r>
              <w:rPr>
                <w:noProof/>
                <w:webHidden/>
              </w:rPr>
              <w:instrText xml:space="preserve"> PAGEREF _Toc217287880 \h </w:instrText>
            </w:r>
            <w:r>
              <w:rPr>
                <w:noProof/>
                <w:webHidden/>
              </w:rPr>
            </w:r>
            <w:r>
              <w:rPr>
                <w:noProof/>
                <w:webHidden/>
              </w:rPr>
              <w:fldChar w:fldCharType="separate"/>
            </w:r>
            <w:r>
              <w:rPr>
                <w:noProof/>
                <w:webHidden/>
              </w:rPr>
              <w:t>19</w:t>
            </w:r>
            <w:r>
              <w:rPr>
                <w:noProof/>
                <w:webHidden/>
              </w:rPr>
              <w:fldChar w:fldCharType="end"/>
            </w:r>
          </w:hyperlink>
        </w:p>
        <w:p w14:paraId="1CD8B058" w14:textId="3E9E31F1" w:rsidR="00174C07" w:rsidRDefault="00174C07">
          <w:pPr>
            <w:pStyle w:val="TOC1"/>
            <w:tabs>
              <w:tab w:val="left" w:pos="440"/>
              <w:tab w:val="right" w:leader="dot" w:pos="9063"/>
            </w:tabs>
            <w:rPr>
              <w:rFonts w:asciiTheme="minorHAnsi" w:eastAsiaTheme="minorEastAsia" w:hAnsiTheme="minorHAnsi" w:cstheme="minorBidi"/>
              <w:noProof/>
              <w:lang w:val="en-US"/>
            </w:rPr>
          </w:pPr>
          <w:hyperlink w:anchor="_Toc217287881" w:history="1">
            <w:r w:rsidRPr="009534BC">
              <w:rPr>
                <w:rStyle w:val="Hyperlink"/>
                <w:b/>
                <w:noProof/>
              </w:rPr>
              <w:t>7.</w:t>
            </w:r>
            <w:r>
              <w:rPr>
                <w:rFonts w:asciiTheme="minorHAnsi" w:eastAsiaTheme="minorEastAsia" w:hAnsiTheme="minorHAnsi" w:cstheme="minorBidi"/>
                <w:noProof/>
                <w:lang w:val="en-US"/>
              </w:rPr>
              <w:tab/>
            </w:r>
            <w:r w:rsidRPr="009534BC">
              <w:rPr>
                <w:rStyle w:val="Hyperlink"/>
                <w:b/>
                <w:noProof/>
              </w:rPr>
              <w:t>RŪPNIECĪBAS PĀRMAIŅU KONSULTATĪVĀ KOMISIJA</w:t>
            </w:r>
            <w:r>
              <w:rPr>
                <w:noProof/>
                <w:webHidden/>
              </w:rPr>
              <w:tab/>
            </w:r>
            <w:r>
              <w:rPr>
                <w:noProof/>
                <w:webHidden/>
              </w:rPr>
              <w:fldChar w:fldCharType="begin"/>
            </w:r>
            <w:r>
              <w:rPr>
                <w:noProof/>
                <w:webHidden/>
              </w:rPr>
              <w:instrText xml:space="preserve"> PAGEREF _Toc217287881 \h </w:instrText>
            </w:r>
            <w:r>
              <w:rPr>
                <w:noProof/>
                <w:webHidden/>
              </w:rPr>
            </w:r>
            <w:r>
              <w:rPr>
                <w:noProof/>
                <w:webHidden/>
              </w:rPr>
              <w:fldChar w:fldCharType="separate"/>
            </w:r>
            <w:r>
              <w:rPr>
                <w:noProof/>
                <w:webHidden/>
              </w:rPr>
              <w:t>22</w:t>
            </w:r>
            <w:r>
              <w:rPr>
                <w:noProof/>
                <w:webHidden/>
              </w:rPr>
              <w:fldChar w:fldCharType="end"/>
            </w:r>
          </w:hyperlink>
        </w:p>
        <w:p w14:paraId="4982DD6A" w14:textId="3FF1D82A"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4982DD6D" w14:textId="77777777" w:rsidR="004D7AC0" w:rsidRDefault="004D7AC0" w:rsidP="004D7AC0">
      <w:pPr>
        <w:pStyle w:val="Heading1"/>
        <w:rPr>
          <w:b/>
        </w:rPr>
      </w:pPr>
      <w:bookmarkStart w:id="0" w:name="_Toc217287871"/>
      <w:r>
        <w:rPr>
          <w:b/>
        </w:rPr>
        <w:lastRenderedPageBreak/>
        <w:t>EKONOMIKAS UN MONETĀRĀ SAVIENĪBA, EKONOMISKĀ UN SOCIĀLĀ KOHĒZIJA</w:t>
      </w:r>
      <w:bookmarkEnd w:id="0"/>
    </w:p>
    <w:p w14:paraId="4982DD6E" w14:textId="77777777" w:rsidR="004D7AC0" w:rsidRDefault="004D7AC0" w:rsidP="004D7AC0"/>
    <w:p w14:paraId="7E506423" w14:textId="4B34D16E" w:rsidR="00612898" w:rsidRPr="00612898" w:rsidRDefault="00E27DEE" w:rsidP="00612898">
      <w:pPr>
        <w:widowControl w:val="0"/>
        <w:numPr>
          <w:ilvl w:val="0"/>
          <w:numId w:val="4"/>
        </w:numPr>
        <w:overflowPunct w:val="0"/>
        <w:autoSpaceDE w:val="0"/>
        <w:autoSpaceDN w:val="0"/>
        <w:adjustRightInd w:val="0"/>
        <w:spacing w:after="120"/>
        <w:ind w:hanging="567"/>
        <w:textAlignment w:val="baseline"/>
        <w:rPr>
          <w:b/>
          <w:i/>
          <w:iCs/>
          <w:sz w:val="28"/>
          <w:szCs w:val="28"/>
        </w:rPr>
      </w:pPr>
      <w:hyperlink r:id="rId20" w:history="1">
        <w:r w:rsidR="00B9028C">
          <w:rPr>
            <w:b/>
            <w:i/>
            <w:color w:val="0000FF"/>
            <w:sz w:val="28"/>
            <w:u w:val="single"/>
          </w:rPr>
          <w:t xml:space="preserve">ES </w:t>
        </w:r>
        <w:proofErr w:type="spellStart"/>
        <w:r w:rsidR="00B9028C">
          <w:rPr>
            <w:b/>
            <w:i/>
            <w:color w:val="0000FF"/>
            <w:sz w:val="28"/>
            <w:u w:val="single"/>
          </w:rPr>
          <w:t>makroreģionālo</w:t>
        </w:r>
        <w:proofErr w:type="spellEnd"/>
        <w:r w:rsidR="00B9028C">
          <w:rPr>
            <w:b/>
            <w:i/>
            <w:color w:val="0000FF"/>
            <w:sz w:val="28"/>
            <w:u w:val="single"/>
          </w:rPr>
          <w:t xml:space="preserve"> stratēģiju īstenošana – piektais ziņojums</w:t>
        </w:r>
      </w:hyperlink>
    </w:p>
    <w:p w14:paraId="6D1E8521" w14:textId="77777777" w:rsidR="00612898" w:rsidRPr="00612898" w:rsidRDefault="00612898" w:rsidP="00612898">
      <w:pPr>
        <w:widowControl w:val="0"/>
        <w:overflowPunct w:val="0"/>
        <w:autoSpaceDE w:val="0"/>
        <w:autoSpaceDN w:val="0"/>
        <w:adjustRightInd w:val="0"/>
        <w:ind w:left="284"/>
        <w:textAlignment w:val="baseline"/>
        <w:rPr>
          <w:b/>
          <w:i/>
          <w:iCs/>
          <w:sz w:val="20"/>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12898" w:rsidRPr="00612898" w14:paraId="05AE56A5" w14:textId="77777777" w:rsidTr="0036489A">
        <w:tc>
          <w:tcPr>
            <w:tcW w:w="1701" w:type="dxa"/>
          </w:tcPr>
          <w:p w14:paraId="46E62AEA"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Ziņotājs</w:t>
            </w:r>
          </w:p>
        </w:tc>
        <w:tc>
          <w:tcPr>
            <w:tcW w:w="7621" w:type="dxa"/>
          </w:tcPr>
          <w:p w14:paraId="28CBAA45" w14:textId="4453529C" w:rsidR="00612898" w:rsidRDefault="00612898">
            <w:pPr>
              <w:tabs>
                <w:tab w:val="center" w:pos="284"/>
              </w:tabs>
              <w:overflowPunct w:val="0"/>
              <w:autoSpaceDE w:val="0"/>
              <w:autoSpaceDN w:val="0"/>
              <w:adjustRightInd w:val="0"/>
              <w:ind w:left="266" w:hanging="376"/>
              <w:textAlignment w:val="baseline"/>
            </w:pPr>
            <w:proofErr w:type="spellStart"/>
            <w:r>
              <w:t>Stefano</w:t>
            </w:r>
            <w:proofErr w:type="spellEnd"/>
            <w:r>
              <w:t xml:space="preserve"> PALMIERI (Darba ņēmēju grupa – IT)</w:t>
            </w:r>
          </w:p>
          <w:p w14:paraId="07092A74" w14:textId="4FEAC4CC" w:rsidR="008C414B" w:rsidRPr="00612898" w:rsidRDefault="008C414B" w:rsidP="00054C58">
            <w:pPr>
              <w:tabs>
                <w:tab w:val="center" w:pos="284"/>
              </w:tabs>
              <w:overflowPunct w:val="0"/>
              <w:autoSpaceDE w:val="0"/>
              <w:autoSpaceDN w:val="0"/>
              <w:adjustRightInd w:val="0"/>
              <w:ind w:left="266" w:hanging="376"/>
              <w:textAlignment w:val="baseline"/>
              <w:rPr>
                <w:bCs/>
              </w:rPr>
            </w:pPr>
          </w:p>
        </w:tc>
      </w:tr>
      <w:tr w:rsidR="00612898" w:rsidRPr="00C62A6C" w14:paraId="257F78E5" w14:textId="77777777" w:rsidTr="0036489A">
        <w:tc>
          <w:tcPr>
            <w:tcW w:w="1701" w:type="dxa"/>
          </w:tcPr>
          <w:p w14:paraId="0C3EBBC1"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Atsauces</w:t>
            </w:r>
          </w:p>
        </w:tc>
        <w:tc>
          <w:tcPr>
            <w:tcW w:w="7621" w:type="dxa"/>
          </w:tcPr>
          <w:p w14:paraId="58F0DB08" w14:textId="4B9508DB" w:rsidR="00896BC8" w:rsidRDefault="00612898">
            <w:pPr>
              <w:tabs>
                <w:tab w:val="center" w:pos="284"/>
              </w:tabs>
              <w:overflowPunct w:val="0"/>
              <w:autoSpaceDE w:val="0"/>
              <w:autoSpaceDN w:val="0"/>
              <w:adjustRightInd w:val="0"/>
              <w:ind w:left="266" w:hanging="376"/>
              <w:textAlignment w:val="baseline"/>
            </w:pPr>
            <w:r>
              <w:t xml:space="preserve">COM(2025) 191 </w:t>
            </w:r>
            <w:proofErr w:type="spellStart"/>
            <w:r>
              <w:t>final</w:t>
            </w:r>
            <w:proofErr w:type="spellEnd"/>
          </w:p>
          <w:p w14:paraId="5DB59D59" w14:textId="2F819FC3" w:rsidR="00612898" w:rsidRPr="00612898" w:rsidRDefault="00612898" w:rsidP="00054C58">
            <w:pPr>
              <w:tabs>
                <w:tab w:val="center" w:pos="284"/>
              </w:tabs>
              <w:overflowPunct w:val="0"/>
              <w:autoSpaceDE w:val="0"/>
              <w:autoSpaceDN w:val="0"/>
              <w:adjustRightInd w:val="0"/>
              <w:ind w:left="266" w:hanging="376"/>
              <w:textAlignment w:val="baseline"/>
            </w:pPr>
            <w:r>
              <w:t xml:space="preserve">COM(2025) 196 </w:t>
            </w:r>
            <w:proofErr w:type="spellStart"/>
            <w:r>
              <w:t>final</w:t>
            </w:r>
            <w:proofErr w:type="spellEnd"/>
          </w:p>
          <w:p w14:paraId="1B624F0D" w14:textId="1ADACC64" w:rsidR="00612898" w:rsidRPr="00612898" w:rsidRDefault="00612898" w:rsidP="00054C58">
            <w:pPr>
              <w:tabs>
                <w:tab w:val="center" w:pos="284"/>
              </w:tabs>
              <w:overflowPunct w:val="0"/>
              <w:autoSpaceDE w:val="0"/>
              <w:autoSpaceDN w:val="0"/>
              <w:adjustRightInd w:val="0"/>
              <w:ind w:left="266" w:hanging="376"/>
              <w:textAlignment w:val="baseline"/>
            </w:pPr>
            <w:r>
              <w:t>EESC-2025-02216-00-00-AC</w:t>
            </w:r>
          </w:p>
        </w:tc>
      </w:tr>
    </w:tbl>
    <w:p w14:paraId="264DB47F" w14:textId="77777777" w:rsidR="00612898" w:rsidRDefault="00612898" w:rsidP="00612898">
      <w:pPr>
        <w:keepNext/>
        <w:keepLines/>
        <w:tabs>
          <w:tab w:val="center" w:pos="284"/>
        </w:tabs>
        <w:overflowPunct w:val="0"/>
        <w:autoSpaceDE w:val="0"/>
        <w:autoSpaceDN w:val="0"/>
        <w:adjustRightInd w:val="0"/>
        <w:spacing w:before="120"/>
        <w:ind w:left="266" w:hanging="266"/>
        <w:textAlignment w:val="baseline"/>
        <w:rPr>
          <w:b/>
        </w:rPr>
      </w:pPr>
      <w:r>
        <w:rPr>
          <w:b/>
        </w:rPr>
        <w:t>Galvenās nostādnes</w:t>
      </w:r>
    </w:p>
    <w:p w14:paraId="7E8CAAEB" w14:textId="77777777" w:rsidR="004A6CE5" w:rsidRPr="00612898" w:rsidRDefault="004A6CE5" w:rsidP="00612898">
      <w:pPr>
        <w:keepNext/>
        <w:keepLines/>
        <w:tabs>
          <w:tab w:val="center" w:pos="284"/>
        </w:tabs>
        <w:overflowPunct w:val="0"/>
        <w:autoSpaceDE w:val="0"/>
        <w:autoSpaceDN w:val="0"/>
        <w:adjustRightInd w:val="0"/>
        <w:spacing w:before="120"/>
        <w:ind w:left="266" w:hanging="266"/>
        <w:textAlignment w:val="baseline"/>
        <w:rPr>
          <w:b/>
          <w:lang w:val="en-GB"/>
        </w:rPr>
      </w:pPr>
    </w:p>
    <w:p w14:paraId="0E1234AC" w14:textId="77777777" w:rsidR="00612898" w:rsidRDefault="00612898" w:rsidP="00612898">
      <w:pPr>
        <w:overflowPunct w:val="0"/>
        <w:autoSpaceDE w:val="0"/>
        <w:autoSpaceDN w:val="0"/>
        <w:adjustRightInd w:val="0"/>
        <w:textAlignment w:val="baseline"/>
        <w:rPr>
          <w:bCs/>
          <w:iCs/>
        </w:rPr>
      </w:pPr>
      <w:r>
        <w:t>EESK:</w:t>
      </w:r>
    </w:p>
    <w:p w14:paraId="1B6220CA" w14:textId="77777777" w:rsidR="004A6CE5" w:rsidRPr="00612898" w:rsidRDefault="004A6CE5" w:rsidP="00612898">
      <w:pPr>
        <w:overflowPunct w:val="0"/>
        <w:autoSpaceDE w:val="0"/>
        <w:autoSpaceDN w:val="0"/>
        <w:adjustRightInd w:val="0"/>
        <w:textAlignment w:val="baseline"/>
        <w:rPr>
          <w:bCs/>
          <w:iCs/>
          <w:lang w:val="en-GB"/>
        </w:rPr>
      </w:pPr>
    </w:p>
    <w:p w14:paraId="6B7B575D" w14:textId="56DFD5EB"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atzīst </w:t>
      </w:r>
      <w:proofErr w:type="spellStart"/>
      <w:r>
        <w:t>makroreģionālo</w:t>
      </w:r>
      <w:proofErr w:type="spellEnd"/>
      <w:r>
        <w:t xml:space="preserve"> stratēģiju (MRS) nozīmi daudzlīmeņu sinerģijas veidošanā starp rīcībpolitikām, programmām un dalībniekiem. Tās ir atbalstījušas zaļo un digitālo pārkārtošanos un pandēmijas un pašreizējo krīžu laikā ir izvērsušas svarīgas noturības un solidaritātes spējas;</w:t>
      </w:r>
    </w:p>
    <w:p w14:paraId="75D3836B" w14:textId="641E7E0C" w:rsidR="00612898" w:rsidRPr="00612898" w:rsidRDefault="00612898" w:rsidP="00054C58">
      <w:pPr>
        <w:numPr>
          <w:ilvl w:val="0"/>
          <w:numId w:val="18"/>
        </w:numPr>
        <w:overflowPunct w:val="0"/>
        <w:autoSpaceDE w:val="0"/>
        <w:autoSpaceDN w:val="0"/>
        <w:adjustRightInd w:val="0"/>
        <w:contextualSpacing/>
        <w:textAlignment w:val="baseline"/>
        <w:rPr>
          <w:szCs w:val="20"/>
        </w:rPr>
      </w:pPr>
      <w:r>
        <w:t>aicina stiprināt vertikālo un horizontālo daudzlīmeņu pārvaldību, nodrošinot vietējo struktūru iesaisti;</w:t>
      </w:r>
    </w:p>
    <w:p w14:paraId="4E658ACB" w14:textId="00D67EDC"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pozitīvi vērtē pārskatīšanas procesus un aicina stiprināt sociālo dimensiju, pilsonisko (tostarp jauniešu) līdzdalību un starpreģionālo sadarbību. MRS ir jādarbojas kā sociālās iekļaušanas un inovācijas laboratorijām, atbalstot zaļo </w:t>
      </w:r>
      <w:proofErr w:type="spellStart"/>
      <w:r>
        <w:t>fiskalitāti</w:t>
      </w:r>
      <w:proofErr w:type="spellEnd"/>
      <w:r>
        <w:t xml:space="preserve"> un </w:t>
      </w:r>
      <w:proofErr w:type="spellStart"/>
      <w:r>
        <w:t>cilvēkkapitālu</w:t>
      </w:r>
      <w:proofErr w:type="spellEnd"/>
      <w:r>
        <w:t>;</w:t>
      </w:r>
    </w:p>
    <w:p w14:paraId="288A6F61" w14:textId="77777777" w:rsidR="00612898" w:rsidRPr="00612898" w:rsidRDefault="00612898" w:rsidP="00054C58">
      <w:pPr>
        <w:numPr>
          <w:ilvl w:val="0"/>
          <w:numId w:val="18"/>
        </w:numPr>
        <w:overflowPunct w:val="0"/>
        <w:autoSpaceDE w:val="0"/>
        <w:autoSpaceDN w:val="0"/>
        <w:adjustRightInd w:val="0"/>
        <w:contextualSpacing/>
        <w:textAlignment w:val="baseline"/>
        <w:rPr>
          <w:szCs w:val="20"/>
        </w:rPr>
      </w:pPr>
      <w:r>
        <w:t>pieņem zināšanai ES stratēģijas Baltijas jūras reģionam (</w:t>
      </w:r>
      <w:r>
        <w:rPr>
          <w:i/>
          <w:iCs/>
        </w:rPr>
        <w:t>EUSBSR</w:t>
      </w:r>
      <w:r>
        <w:t>) rezultātus, kura ir veicinājusi ilgtspēju un savienojumus Baltijas jūrā. 2021. gadā veiktā pārskatīšana līdz ar Baltijas jūras stratēģijas punktu nostiprināja sadarbību un pārvaldību. Lai gan attiecības ar Krieviju un Baltkrieviju ir apturētas, stratēģija joprojām ir spēkā;</w:t>
      </w:r>
    </w:p>
    <w:p w14:paraId="61DFA9B6" w14:textId="3FCD71FF" w:rsidR="00612898" w:rsidRPr="00612898" w:rsidRDefault="00612898" w:rsidP="00054C58">
      <w:pPr>
        <w:numPr>
          <w:ilvl w:val="0"/>
          <w:numId w:val="18"/>
        </w:numPr>
        <w:overflowPunct w:val="0"/>
        <w:autoSpaceDE w:val="0"/>
        <w:autoSpaceDN w:val="0"/>
        <w:adjustRightInd w:val="0"/>
        <w:contextualSpacing/>
        <w:textAlignment w:val="baseline"/>
        <w:rPr>
          <w:szCs w:val="20"/>
        </w:rPr>
      </w:pPr>
      <w:r>
        <w:t>atzīmē ES makroreģionālās stratēģijas Donavas reģionam (</w:t>
      </w:r>
      <w:r>
        <w:rPr>
          <w:i/>
          <w:iCs/>
        </w:rPr>
        <w:t>EUSDR</w:t>
      </w:r>
      <w:r>
        <w:t>) progresu. 2020. gada pārskatīšana palielināja saskaņotību ar ES prioritātēm un jauniešu līdzdalību, lai gan pastāv nevienlīdzība un nevienmērīga politiska apņemšanās. Prezidentvalstis ir veicinājušas inovāciju un pārvaldību;</w:t>
      </w:r>
    </w:p>
    <w:p w14:paraId="5C7EA446" w14:textId="479B26B1" w:rsidR="00612898" w:rsidRPr="00612898" w:rsidRDefault="00612898" w:rsidP="00054C58">
      <w:pPr>
        <w:numPr>
          <w:ilvl w:val="0"/>
          <w:numId w:val="18"/>
        </w:numPr>
        <w:overflowPunct w:val="0"/>
        <w:autoSpaceDE w:val="0"/>
        <w:autoSpaceDN w:val="0"/>
        <w:adjustRightInd w:val="0"/>
        <w:contextualSpacing/>
        <w:textAlignment w:val="baseline"/>
        <w:rPr>
          <w:szCs w:val="20"/>
        </w:rPr>
      </w:pPr>
      <w:r>
        <w:t>uzsver ES stratēģijas Adrijas un Jonijas jūras reģionam (</w:t>
      </w:r>
      <w:r>
        <w:rPr>
          <w:i/>
          <w:iCs/>
        </w:rPr>
        <w:t>EUSAIR</w:t>
      </w:r>
      <w:r>
        <w:t>) rezultātus, kuras ietvaros nesen tika atjaunināts rīcības plāns, ieviešot piekto sociālo pīlāru. Stratēģija integrē paplašināšanos, aprites ekonomiku un digitalizāciju, stiprina partnerības un noturību;</w:t>
      </w:r>
    </w:p>
    <w:p w14:paraId="0171069F" w14:textId="26283E8D" w:rsidR="00612898" w:rsidRPr="00612898" w:rsidRDefault="00612898" w:rsidP="00054C58">
      <w:pPr>
        <w:numPr>
          <w:ilvl w:val="0"/>
          <w:numId w:val="18"/>
        </w:numPr>
        <w:overflowPunct w:val="0"/>
        <w:autoSpaceDE w:val="0"/>
        <w:autoSpaceDN w:val="0"/>
        <w:adjustRightInd w:val="0"/>
        <w:contextualSpacing/>
        <w:textAlignment w:val="baseline"/>
        <w:rPr>
          <w:szCs w:val="20"/>
        </w:rPr>
      </w:pPr>
      <w:r>
        <w:t>pozitīvi vērtē ES stratēģiju Alpu reģionam (</w:t>
      </w:r>
      <w:r>
        <w:rPr>
          <w:i/>
          <w:iCs/>
        </w:rPr>
        <w:t>EUSALP</w:t>
      </w:r>
      <w:r>
        <w:t>), kas ir konsolidējusi sadarbību un stabilu pārvaldību un ir atvērta trešajām valstīm. Pārskatīšanā ir integrētas prioritātes digitalizācijas, enerģētikas, ūdens resursu un aprites ekonomikas jomā;</w:t>
      </w:r>
    </w:p>
    <w:p w14:paraId="6817B888" w14:textId="70F4706D"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pieņem zināšanai, ka paplašināšanās uz </w:t>
      </w:r>
      <w:proofErr w:type="spellStart"/>
      <w:r>
        <w:t>Rietumbalkāniem</w:t>
      </w:r>
      <w:proofErr w:type="spellEnd"/>
      <w:r>
        <w:t>, Ukrainu un Moldovu ir stratēģiska prioritāte un ka MRS ir potenciāls stiprināt sadarbību, institucionālās spējas;</w:t>
      </w:r>
    </w:p>
    <w:p w14:paraId="710F3124" w14:textId="6C89F131" w:rsidR="00612898" w:rsidRPr="00612898" w:rsidRDefault="00612898" w:rsidP="00054C58">
      <w:pPr>
        <w:numPr>
          <w:ilvl w:val="0"/>
          <w:numId w:val="18"/>
        </w:numPr>
        <w:overflowPunct w:val="0"/>
        <w:autoSpaceDE w:val="0"/>
        <w:autoSpaceDN w:val="0"/>
        <w:adjustRightInd w:val="0"/>
        <w:contextualSpacing/>
        <w:textAlignment w:val="baseline"/>
        <w:rPr>
          <w:szCs w:val="20"/>
        </w:rPr>
      </w:pPr>
      <w:r>
        <w:t>norāda, ka Krievijas militārā agresija pret Ukrainu ir apstiprinājusi MRS kā solidaritātes un noturības instrumentu nozīmi;</w:t>
      </w:r>
    </w:p>
    <w:p w14:paraId="6EDD216B" w14:textId="02F6DEB7" w:rsidR="00612898" w:rsidRPr="00612898" w:rsidRDefault="00612898" w:rsidP="00054C58">
      <w:pPr>
        <w:numPr>
          <w:ilvl w:val="0"/>
          <w:numId w:val="18"/>
        </w:numPr>
        <w:overflowPunct w:val="0"/>
        <w:autoSpaceDE w:val="0"/>
        <w:autoSpaceDN w:val="0"/>
        <w:adjustRightInd w:val="0"/>
        <w:contextualSpacing/>
        <w:textAlignment w:val="baseline"/>
        <w:rPr>
          <w:szCs w:val="20"/>
        </w:rPr>
      </w:pPr>
      <w:r>
        <w:t>uzskata, ka izšķiroša nozīme ir MRS vietējiem apstākļiem pielāgotai pieejai, kas ES prioritātes piemēro teritoriālajām īpatnībām un veicina kohēziju, izmantojot tādus instrumentus kā sabiedrības virzīta vietējā attīstība un inovatīvas iniciatīvas, piemēram, veicināt pilsonisko līdzdalību un jauniešu līdzdalību;</w:t>
      </w:r>
    </w:p>
    <w:p w14:paraId="34580314" w14:textId="53CAB3F9" w:rsidR="00612898" w:rsidRPr="00612898" w:rsidRDefault="00612898" w:rsidP="00054C58">
      <w:pPr>
        <w:numPr>
          <w:ilvl w:val="0"/>
          <w:numId w:val="18"/>
        </w:numPr>
        <w:overflowPunct w:val="0"/>
        <w:autoSpaceDE w:val="0"/>
        <w:autoSpaceDN w:val="0"/>
        <w:adjustRightInd w:val="0"/>
        <w:contextualSpacing/>
        <w:textAlignment w:val="baseline"/>
        <w:rPr>
          <w:szCs w:val="20"/>
        </w:rPr>
      </w:pPr>
      <w:r>
        <w:lastRenderedPageBreak/>
        <w:t xml:space="preserve">aicina stiprināt pārvaldību un finansējumu, integrējot </w:t>
      </w:r>
      <w:proofErr w:type="spellStart"/>
      <w:r>
        <w:t>makroreģionālo</w:t>
      </w:r>
      <w:proofErr w:type="spellEnd"/>
      <w:r>
        <w:t xml:space="preserve"> stratēģiju prioritātes galvenajās ES programmās. Ir jāspēcina vietējās prasmes, jākonsolidē partnerības un aktīvi jāiesaista pilsoniskā sabiedrība un jaunieši;</w:t>
      </w:r>
    </w:p>
    <w:p w14:paraId="2F7ADDD3" w14:textId="226738B8" w:rsidR="00612898" w:rsidRPr="00612898" w:rsidRDefault="003C16C3" w:rsidP="00054C58">
      <w:pPr>
        <w:numPr>
          <w:ilvl w:val="0"/>
          <w:numId w:val="18"/>
        </w:numPr>
        <w:overflowPunct w:val="0"/>
        <w:autoSpaceDE w:val="0"/>
        <w:autoSpaceDN w:val="0"/>
        <w:adjustRightInd w:val="0"/>
        <w:contextualSpacing/>
        <w:textAlignment w:val="baseline"/>
        <w:rPr>
          <w:szCs w:val="20"/>
        </w:rPr>
      </w:pPr>
      <w:r>
        <w:t>uzskata, ka jaunā daudzgadu finanšu shēma (proti, 2028.–2034. gadam) rada riskus MRS pienācīgai darbībai. Tāpēc ir būtiski nodrošināt prioritāšu iekļaušanu partnerības plānos;</w:t>
      </w:r>
    </w:p>
    <w:p w14:paraId="179CAD0A" w14:textId="6CF7AC7B" w:rsidR="00612898" w:rsidRPr="00612898" w:rsidRDefault="00612898" w:rsidP="00054C58">
      <w:pPr>
        <w:numPr>
          <w:ilvl w:val="0"/>
          <w:numId w:val="18"/>
        </w:numPr>
        <w:overflowPunct w:val="0"/>
        <w:autoSpaceDE w:val="0"/>
        <w:autoSpaceDN w:val="0"/>
        <w:adjustRightInd w:val="0"/>
        <w:contextualSpacing/>
        <w:textAlignment w:val="baseline"/>
        <w:rPr>
          <w:szCs w:val="20"/>
        </w:rPr>
      </w:pPr>
      <w:r>
        <w:t xml:space="preserve">uzsver, ka </w:t>
      </w:r>
      <w:proofErr w:type="spellStart"/>
      <w:r>
        <w:t>makroreģionālajās</w:t>
      </w:r>
      <w:proofErr w:type="spellEnd"/>
      <w:r>
        <w:t xml:space="preserve"> stratēģijās iesaistītajās iestādēs ir vajadzīga pārredzama, </w:t>
      </w:r>
      <w:proofErr w:type="spellStart"/>
      <w:r>
        <w:t>pārskatatbildīga</w:t>
      </w:r>
      <w:proofErr w:type="spellEnd"/>
      <w:r>
        <w:t xml:space="preserve"> un no korupcijas brīva pārvaldība;</w:t>
      </w:r>
    </w:p>
    <w:p w14:paraId="70A713C0" w14:textId="77777777" w:rsidR="00612898" w:rsidRPr="00612898" w:rsidRDefault="00612898" w:rsidP="00054C58">
      <w:pPr>
        <w:numPr>
          <w:ilvl w:val="0"/>
          <w:numId w:val="18"/>
        </w:numPr>
        <w:overflowPunct w:val="0"/>
        <w:autoSpaceDE w:val="0"/>
        <w:autoSpaceDN w:val="0"/>
        <w:adjustRightInd w:val="0"/>
        <w:contextualSpacing/>
        <w:textAlignment w:val="baseline"/>
        <w:rPr>
          <w:bCs/>
          <w:iCs/>
        </w:rPr>
      </w:pPr>
      <w:r>
        <w:t xml:space="preserve">mudina Vidusjūras reģionā izveidot jaunu </w:t>
      </w:r>
      <w:proofErr w:type="spellStart"/>
      <w:r>
        <w:t>makroreģionu</w:t>
      </w:r>
      <w:proofErr w:type="spellEnd"/>
      <w:r>
        <w:t>, lai risinātu tādas kopīgas problēmas kā klimata pārmaiņas, migrācijas plūsmas, enerģētikas pārkārtošana un zilā ilgtspēja.</w:t>
      </w:r>
    </w:p>
    <w:p w14:paraId="54AD92A7" w14:textId="77777777" w:rsidR="00612898" w:rsidRPr="00612898" w:rsidRDefault="00612898" w:rsidP="00612898">
      <w:pPr>
        <w:overflowPunct w:val="0"/>
        <w:autoSpaceDE w:val="0"/>
        <w:autoSpaceDN w:val="0"/>
        <w:adjustRightInd w:val="0"/>
        <w:ind w:left="360"/>
        <w:contextualSpacing/>
        <w:textAlignment w:val="baseline"/>
        <w:rPr>
          <w:bCs/>
          <w:iCs/>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7727"/>
      </w:tblGrid>
      <w:tr w:rsidR="00612898" w:rsidRPr="00612898" w14:paraId="242A4532" w14:textId="77777777" w:rsidTr="0036489A">
        <w:tc>
          <w:tcPr>
            <w:tcW w:w="1418" w:type="dxa"/>
          </w:tcPr>
          <w:p w14:paraId="21DFEBB5" w14:textId="77777777" w:rsidR="00612898" w:rsidRPr="00612898" w:rsidRDefault="00612898" w:rsidP="00612898">
            <w:pPr>
              <w:overflowPunct w:val="0"/>
              <w:autoSpaceDE w:val="0"/>
              <w:autoSpaceDN w:val="0"/>
              <w:adjustRightInd w:val="0"/>
              <w:textAlignment w:val="baseline"/>
              <w:rPr>
                <w:i/>
              </w:rPr>
            </w:pPr>
            <w:r>
              <w:rPr>
                <w:b/>
                <w:i/>
              </w:rPr>
              <w:t>Kontaktpersona:</w:t>
            </w:r>
          </w:p>
        </w:tc>
        <w:tc>
          <w:tcPr>
            <w:tcW w:w="7904" w:type="dxa"/>
          </w:tcPr>
          <w:p w14:paraId="26624CD5" w14:textId="0E28249F" w:rsidR="00612898" w:rsidRPr="00612898" w:rsidRDefault="00612898" w:rsidP="00612898">
            <w:pPr>
              <w:overflowPunct w:val="0"/>
              <w:autoSpaceDE w:val="0"/>
              <w:autoSpaceDN w:val="0"/>
              <w:adjustRightInd w:val="0"/>
              <w:textAlignment w:val="baseline"/>
              <w:rPr>
                <w:i/>
              </w:rPr>
            </w:pPr>
            <w:proofErr w:type="spellStart"/>
            <w:r>
              <w:rPr>
                <w:i/>
                <w:iCs/>
              </w:rPr>
              <w:t>Georgios</w:t>
            </w:r>
            <w:proofErr w:type="spellEnd"/>
            <w:r>
              <w:rPr>
                <w:i/>
                <w:iCs/>
              </w:rPr>
              <w:t xml:space="preserve"> </w:t>
            </w:r>
            <w:proofErr w:type="spellStart"/>
            <w:r>
              <w:rPr>
                <w:i/>
                <w:iCs/>
              </w:rPr>
              <w:t>Meleas</w:t>
            </w:r>
            <w:proofErr w:type="spellEnd"/>
          </w:p>
        </w:tc>
      </w:tr>
      <w:tr w:rsidR="00612898" w:rsidRPr="00612898" w14:paraId="169FB5DD" w14:textId="77777777" w:rsidTr="0036489A">
        <w:tc>
          <w:tcPr>
            <w:tcW w:w="1418" w:type="dxa"/>
          </w:tcPr>
          <w:p w14:paraId="04AD6363" w14:textId="77777777" w:rsidR="00612898" w:rsidRPr="00612898" w:rsidRDefault="00612898" w:rsidP="00612898">
            <w:pPr>
              <w:overflowPunct w:val="0"/>
              <w:autoSpaceDE w:val="0"/>
              <w:autoSpaceDN w:val="0"/>
              <w:adjustRightInd w:val="0"/>
              <w:textAlignment w:val="baseline"/>
              <w:rPr>
                <w:i/>
              </w:rPr>
            </w:pPr>
            <w:r>
              <w:rPr>
                <w:i/>
              </w:rPr>
              <w:t>Tālr.:</w:t>
            </w:r>
          </w:p>
        </w:tc>
        <w:tc>
          <w:tcPr>
            <w:tcW w:w="7904" w:type="dxa"/>
          </w:tcPr>
          <w:p w14:paraId="0ACA86BD" w14:textId="574C92AA" w:rsidR="00612898" w:rsidRPr="00612898" w:rsidRDefault="00612898" w:rsidP="00612898">
            <w:pPr>
              <w:overflowPunct w:val="0"/>
              <w:autoSpaceDE w:val="0"/>
              <w:autoSpaceDN w:val="0"/>
              <w:adjustRightInd w:val="0"/>
              <w:textAlignment w:val="baseline"/>
              <w:rPr>
                <w:i/>
              </w:rPr>
            </w:pPr>
            <w:r>
              <w:rPr>
                <w:i/>
              </w:rPr>
              <w:t>+32 25469795</w:t>
            </w:r>
          </w:p>
        </w:tc>
      </w:tr>
      <w:tr w:rsidR="00612898" w:rsidRPr="00612898" w14:paraId="74BB4CF2" w14:textId="77777777" w:rsidTr="0036489A">
        <w:tc>
          <w:tcPr>
            <w:tcW w:w="1418" w:type="dxa"/>
          </w:tcPr>
          <w:p w14:paraId="0810916A" w14:textId="77777777" w:rsidR="00612898" w:rsidRPr="00612898" w:rsidRDefault="00612898" w:rsidP="00612898">
            <w:pPr>
              <w:overflowPunct w:val="0"/>
              <w:autoSpaceDE w:val="0"/>
              <w:autoSpaceDN w:val="0"/>
              <w:adjustRightInd w:val="0"/>
              <w:textAlignment w:val="baseline"/>
              <w:rPr>
                <w:i/>
              </w:rPr>
            </w:pPr>
            <w:r>
              <w:rPr>
                <w:i/>
              </w:rPr>
              <w:t>E-pasts:</w:t>
            </w:r>
          </w:p>
        </w:tc>
        <w:tc>
          <w:tcPr>
            <w:tcW w:w="7904" w:type="dxa"/>
          </w:tcPr>
          <w:p w14:paraId="7EA756D6" w14:textId="77777777" w:rsidR="00612898" w:rsidRPr="00612898" w:rsidRDefault="00E27DEE" w:rsidP="00612898">
            <w:pPr>
              <w:overflowPunct w:val="0"/>
              <w:autoSpaceDE w:val="0"/>
              <w:autoSpaceDN w:val="0"/>
              <w:adjustRightInd w:val="0"/>
              <w:textAlignment w:val="baseline"/>
              <w:rPr>
                <w:i/>
                <w:iCs/>
              </w:rPr>
            </w:pPr>
            <w:hyperlink r:id="rId21" w:history="1">
              <w:r w:rsidR="00B9028C">
                <w:rPr>
                  <w:i/>
                  <w:color w:val="0000FF"/>
                  <w:u w:val="single"/>
                </w:rPr>
                <w:t>Georgios.Meleas@eesc.europa.eu</w:t>
              </w:r>
            </w:hyperlink>
          </w:p>
        </w:tc>
      </w:tr>
    </w:tbl>
    <w:p w14:paraId="4982DD96" w14:textId="77777777" w:rsidR="004D7AC0" w:rsidRDefault="004D7AC0" w:rsidP="004D7AC0">
      <w:pPr>
        <w:pStyle w:val="ListParagraph"/>
        <w:ind w:left="0"/>
      </w:pPr>
    </w:p>
    <w:p w14:paraId="4B3225FD" w14:textId="69ABDE54" w:rsidR="00C82E34" w:rsidRPr="00A3256E" w:rsidRDefault="00612898" w:rsidP="00A3256E">
      <w:pPr>
        <w:pStyle w:val="ListParagraph"/>
        <w:numPr>
          <w:ilvl w:val="0"/>
          <w:numId w:val="36"/>
        </w:numPr>
        <w:spacing w:after="160" w:line="259" w:lineRule="auto"/>
        <w:jc w:val="left"/>
        <w:rPr>
          <w:b/>
          <w:i/>
          <w:iCs/>
          <w:sz w:val="28"/>
          <w:szCs w:val="28"/>
        </w:rPr>
      </w:pPr>
      <w:r>
        <w:br w:type="page"/>
      </w:r>
      <w:hyperlink r:id="rId22" w:history="1">
        <w:r w:rsidRPr="00A3256E">
          <w:rPr>
            <w:b/>
            <w:i/>
            <w:color w:val="0000FF"/>
            <w:sz w:val="28"/>
            <w:u w:val="single"/>
          </w:rPr>
          <w:t>Eiropas Reģionālās attīstības fonds, ietverot Eiropas teritoriālo sadarbību (</w:t>
        </w:r>
        <w:proofErr w:type="spellStart"/>
        <w:r w:rsidRPr="00A3256E">
          <w:rPr>
            <w:b/>
            <w:i/>
            <w:color w:val="0000FF"/>
            <w:sz w:val="28"/>
            <w:u w:val="single"/>
          </w:rPr>
          <w:t>Interreg</w:t>
        </w:r>
        <w:proofErr w:type="spellEnd"/>
        <w:r w:rsidRPr="00A3256E">
          <w:rPr>
            <w:b/>
            <w:i/>
            <w:color w:val="0000FF"/>
            <w:sz w:val="28"/>
            <w:u w:val="single"/>
          </w:rPr>
          <w:t>), un Kohēzijas fonds</w:t>
        </w:r>
      </w:hyperlink>
    </w:p>
    <w:p w14:paraId="5DE846E1" w14:textId="77777777" w:rsidR="00C82E34" w:rsidRPr="00C82E34" w:rsidRDefault="00C82E34" w:rsidP="00C82E34">
      <w:pPr>
        <w:widowControl w:val="0"/>
        <w:overflowPunct w:val="0"/>
        <w:autoSpaceDE w:val="0"/>
        <w:autoSpaceDN w:val="0"/>
        <w:adjustRightInd w:val="0"/>
        <w:ind w:left="284"/>
        <w:textAlignment w:val="baseline"/>
        <w:rPr>
          <w:b/>
          <w:i/>
          <w:iCs/>
          <w:sz w:val="20"/>
          <w:szCs w:val="20"/>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C82E34" w:rsidRPr="00C82E34" w14:paraId="2D50146C" w14:textId="77777777" w:rsidTr="0036489A">
        <w:tc>
          <w:tcPr>
            <w:tcW w:w="1701" w:type="dxa"/>
          </w:tcPr>
          <w:p w14:paraId="32F41C20"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Pr>
                <w:b/>
              </w:rPr>
              <w:t>Ziņotājs</w:t>
            </w:r>
          </w:p>
        </w:tc>
        <w:tc>
          <w:tcPr>
            <w:tcW w:w="7621" w:type="dxa"/>
          </w:tcPr>
          <w:p w14:paraId="297CD7E5" w14:textId="017D2306" w:rsidR="00C82E34" w:rsidRDefault="00C82E34" w:rsidP="00C82E34">
            <w:pPr>
              <w:tabs>
                <w:tab w:val="center" w:pos="284"/>
              </w:tabs>
              <w:overflowPunct w:val="0"/>
              <w:autoSpaceDE w:val="0"/>
              <w:autoSpaceDN w:val="0"/>
              <w:adjustRightInd w:val="0"/>
              <w:ind w:left="266" w:hanging="266"/>
              <w:textAlignment w:val="baseline"/>
            </w:pPr>
            <w:proofErr w:type="spellStart"/>
            <w:r>
              <w:t>David</w:t>
            </w:r>
            <w:proofErr w:type="spellEnd"/>
            <w:r>
              <w:t> SVENTEK (Darba devēju grupa – CZ)</w:t>
            </w:r>
          </w:p>
          <w:p w14:paraId="59E7D12A" w14:textId="53E0EAA6" w:rsidR="00446882" w:rsidRPr="00C82E34" w:rsidRDefault="00446882" w:rsidP="00C82E34">
            <w:pPr>
              <w:tabs>
                <w:tab w:val="center" w:pos="284"/>
              </w:tabs>
              <w:overflowPunct w:val="0"/>
              <w:autoSpaceDE w:val="0"/>
              <w:autoSpaceDN w:val="0"/>
              <w:adjustRightInd w:val="0"/>
              <w:ind w:left="266" w:hanging="266"/>
              <w:textAlignment w:val="baseline"/>
              <w:rPr>
                <w:bCs/>
              </w:rPr>
            </w:pPr>
          </w:p>
        </w:tc>
      </w:tr>
      <w:tr w:rsidR="00C82E34" w:rsidRPr="00C82E34" w14:paraId="4B15388C" w14:textId="77777777" w:rsidTr="0036489A">
        <w:tc>
          <w:tcPr>
            <w:tcW w:w="1701" w:type="dxa"/>
          </w:tcPr>
          <w:p w14:paraId="742C36BE"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Pr>
                <w:b/>
              </w:rPr>
              <w:t>Atsauces</w:t>
            </w:r>
          </w:p>
        </w:tc>
        <w:tc>
          <w:tcPr>
            <w:tcW w:w="7621" w:type="dxa"/>
          </w:tcPr>
          <w:p w14:paraId="5F3D0A1D" w14:textId="77777777" w:rsidR="00C82E34" w:rsidRPr="00C82E34" w:rsidRDefault="00C82E34" w:rsidP="00C82E34">
            <w:pPr>
              <w:tabs>
                <w:tab w:val="center" w:pos="284"/>
              </w:tabs>
              <w:overflowPunct w:val="0"/>
              <w:autoSpaceDE w:val="0"/>
              <w:autoSpaceDN w:val="0"/>
              <w:adjustRightInd w:val="0"/>
              <w:ind w:left="266" w:hanging="266"/>
              <w:textAlignment w:val="baseline"/>
            </w:pPr>
            <w:r>
              <w:t xml:space="preserve">COM(2025) 552 </w:t>
            </w:r>
            <w:proofErr w:type="spellStart"/>
            <w:r>
              <w:t>final</w:t>
            </w:r>
            <w:proofErr w:type="spellEnd"/>
          </w:p>
          <w:p w14:paraId="43B9D460" w14:textId="38B53CE0" w:rsidR="00C82E34" w:rsidRPr="00C82E34" w:rsidRDefault="00C82E34" w:rsidP="00C82E34">
            <w:pPr>
              <w:tabs>
                <w:tab w:val="center" w:pos="284"/>
              </w:tabs>
              <w:overflowPunct w:val="0"/>
              <w:autoSpaceDE w:val="0"/>
              <w:autoSpaceDN w:val="0"/>
              <w:adjustRightInd w:val="0"/>
              <w:ind w:left="266" w:hanging="266"/>
              <w:textAlignment w:val="baseline"/>
            </w:pPr>
            <w:r>
              <w:t>EESC-2025-03305-00-00-AC</w:t>
            </w:r>
          </w:p>
        </w:tc>
      </w:tr>
    </w:tbl>
    <w:p w14:paraId="08272C41" w14:textId="77777777" w:rsidR="00C82E34" w:rsidRDefault="00C82E34" w:rsidP="00C82E34">
      <w:pPr>
        <w:keepNext/>
        <w:keepLines/>
        <w:tabs>
          <w:tab w:val="center" w:pos="284"/>
        </w:tabs>
        <w:overflowPunct w:val="0"/>
        <w:autoSpaceDE w:val="0"/>
        <w:autoSpaceDN w:val="0"/>
        <w:adjustRightInd w:val="0"/>
        <w:spacing w:before="120"/>
        <w:ind w:left="266" w:hanging="266"/>
        <w:textAlignment w:val="baseline"/>
        <w:rPr>
          <w:b/>
        </w:rPr>
      </w:pPr>
      <w:r>
        <w:rPr>
          <w:b/>
        </w:rPr>
        <w:t>Galvenās nostādnes</w:t>
      </w:r>
    </w:p>
    <w:p w14:paraId="61DEFF14" w14:textId="77777777" w:rsidR="00C2078A" w:rsidRPr="00C82E34" w:rsidRDefault="00C2078A" w:rsidP="00C82E34">
      <w:pPr>
        <w:keepNext/>
        <w:keepLines/>
        <w:tabs>
          <w:tab w:val="center" w:pos="284"/>
        </w:tabs>
        <w:overflowPunct w:val="0"/>
        <w:autoSpaceDE w:val="0"/>
        <w:autoSpaceDN w:val="0"/>
        <w:adjustRightInd w:val="0"/>
        <w:spacing w:before="120"/>
        <w:ind w:left="266" w:hanging="266"/>
        <w:textAlignment w:val="baseline"/>
        <w:rPr>
          <w:b/>
          <w:lang w:val="en-GB"/>
        </w:rPr>
      </w:pPr>
    </w:p>
    <w:p w14:paraId="61D96179" w14:textId="77777777" w:rsidR="00C82E34" w:rsidRDefault="00C82E34" w:rsidP="00C82E34">
      <w:pPr>
        <w:overflowPunct w:val="0"/>
        <w:autoSpaceDE w:val="0"/>
        <w:autoSpaceDN w:val="0"/>
        <w:adjustRightInd w:val="0"/>
        <w:textAlignment w:val="baseline"/>
        <w:rPr>
          <w:bCs/>
          <w:iCs/>
        </w:rPr>
      </w:pPr>
      <w:r>
        <w:t>EESK:</w:t>
      </w:r>
    </w:p>
    <w:p w14:paraId="6B7D5112"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uzsver, ka vajadzība mazināt reģionālās un teritoriālās atšķirības joprojām ir viena no ES integrācijas galvenajām prioritātēm un ka tradicionālu, pārbaudītu un efektīvu kohēzijas politikas instrumentu izmantošana ir pareizais ceļš uz ilgtspējīgas labklājības veicināšanu visos ES reģionos;</w:t>
      </w:r>
    </w:p>
    <w:p w14:paraId="419C11E1"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iesaka precizēt ERAF un Kohēzijas fonda (KF) lomu Valsts un reģionu partnerības fondā (VRPF) ne tikai ar vispārīgu un konkrētu mērķu palīdzību, bet arī to konkrēti izklāstot regulā. EESK atzinīgi vērtētu, ja šajā atzinumā aplūkotais regulas projekts tiktu izstrādāts sīkāk un papildināts vismaz ar pielikumu, kurā sniegtas vadlīnijas par to, kā efektīvi integrēt ERAF un Kohēzijas fondu VRPF;</w:t>
      </w:r>
    </w:p>
    <w:p w14:paraId="1B66C5C6"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uzstāj, ka jaunajiem noteikumiem nevajadzētu mazināt ERAF un KF nozīmīgumu un uzdevumus, it īpaši attiecībā uz atbalstu atpaliekošo reģionu attīstībai un rūpniecības rajonu pārveidei. Komiteja arī uzsver partnerības principa nozīmi turpmāko programmu izstrādē;</w:t>
      </w:r>
    </w:p>
    <w:p w14:paraId="50BDF906"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 xml:space="preserve">piekrīt turpmākās </w:t>
      </w:r>
      <w:proofErr w:type="spellStart"/>
      <w:r>
        <w:rPr>
          <w:i/>
          <w:iCs/>
        </w:rPr>
        <w:t>Interreg</w:t>
      </w:r>
      <w:proofErr w:type="spellEnd"/>
      <w:r>
        <w:rPr>
          <w:i/>
          <w:iCs/>
        </w:rPr>
        <w:t xml:space="preserve"> </w:t>
      </w:r>
      <w:r>
        <w:t>programmas saturam un tematiskajai koncentrācijai, kā arī tās sinerģijai ar programmu “Eiropa pasaulē” ierosinātajos konkrētajos gadījumos;</w:t>
      </w:r>
    </w:p>
    <w:p w14:paraId="23072895"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 xml:space="preserve">kopumā piekrīt priekšlikuma inovatīvajai pieejai attiecībā uz pašreizējās </w:t>
      </w:r>
      <w:proofErr w:type="spellStart"/>
      <w:r>
        <w:rPr>
          <w:i/>
          <w:iCs/>
        </w:rPr>
        <w:t>Interreg</w:t>
      </w:r>
      <w:proofErr w:type="spellEnd"/>
      <w:r>
        <w:t xml:space="preserve"> programmas nākotni, it īpaši runājot par īstenošanas struktūras pieņemšanu </w:t>
      </w:r>
      <w:proofErr w:type="spellStart"/>
      <w:r>
        <w:rPr>
          <w:i/>
          <w:iCs/>
        </w:rPr>
        <w:t>Interreg</w:t>
      </w:r>
      <w:proofErr w:type="spellEnd"/>
      <w:r>
        <w:t xml:space="preserve"> plāna atsevišķo nodaļu līmenī;</w:t>
      </w:r>
    </w:p>
    <w:p w14:paraId="64ACA7F4"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vērš uzmanību uz risku, ka attiecīgie dalībnieki reģionālā pārrobežu līmenī nevarēs panākt vienošanos, ņemot vērā, ka regulas projekts nav īpaši detalizēts. Komiteja arī iesaka tūlīt pēc regulas pieņemšanas pieņemt īstenošanas aktu;</w:t>
      </w:r>
    </w:p>
    <w:p w14:paraId="4EB434F3"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iesaka nodrošināt, lai interpretācija un fondu īstenošana dalībvalstu līmenī būtu salīdzināma un lai starp dalībvalstīm nebūtu būtisku atšķirību;</w:t>
      </w:r>
    </w:p>
    <w:p w14:paraId="72602B09"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atbalsta īstenošanas un administratīvo procesu vienkāršošanu nolūkā nodrošināt līdzekļu efektīvāku izmantošanu;</w:t>
      </w:r>
    </w:p>
    <w:p w14:paraId="6E5FF386" w14:textId="77777777" w:rsidR="00C82E34" w:rsidRPr="00056F0F" w:rsidRDefault="00C82E34" w:rsidP="00C2078A">
      <w:pPr>
        <w:numPr>
          <w:ilvl w:val="0"/>
          <w:numId w:val="19"/>
        </w:numPr>
        <w:overflowPunct w:val="0"/>
        <w:autoSpaceDE w:val="0"/>
        <w:autoSpaceDN w:val="0"/>
        <w:adjustRightInd w:val="0"/>
        <w:ind w:left="284" w:hanging="284"/>
        <w:contextualSpacing/>
        <w:textAlignment w:val="baseline"/>
        <w:rPr>
          <w:bCs/>
          <w:iCs/>
        </w:rPr>
      </w:pPr>
      <w:r>
        <w:t xml:space="preserve">atzinīgi vērtē to, ka priekšlikumā regulai par ERAF un KF ir paredzēta arī iespēja atbalstīt ilgtspējīgu </w:t>
      </w:r>
      <w:proofErr w:type="spellStart"/>
      <w:r>
        <w:t>pilsētattīstību</w:t>
      </w:r>
      <w:proofErr w:type="spellEnd"/>
      <w:r>
        <w:t xml:space="preserve"> — un šajā satvarā — integrētas </w:t>
      </w:r>
      <w:proofErr w:type="spellStart"/>
      <w:r>
        <w:t>pilsētattīstības</w:t>
      </w:r>
      <w:proofErr w:type="spellEnd"/>
      <w:r>
        <w:t xml:space="preserve"> un teritoriālās attīstības stratēģijas, kas vērstas uz ilgtspējīgu attīstību un risina vides, enerģētikas un klimata problēmas, veicina taisnīgu pārkārtošanos uz tīru, </w:t>
      </w:r>
      <w:proofErr w:type="spellStart"/>
      <w:r>
        <w:t>klimatneitrālu</w:t>
      </w:r>
      <w:proofErr w:type="spellEnd"/>
      <w:r>
        <w:t xml:space="preserve"> un noturīgu ekonomiku, sevišķu uzmanību pievēršot cenas ziņā pieejamu mājokļu un nabadzības jautājumiem, kultūras mantojumam un digitālo tehnoloģiju potenciāla izmantošanai inovācijas un energoefektivitātes nolūkos.</w:t>
      </w:r>
    </w:p>
    <w:p w14:paraId="63EC4849" w14:textId="77777777" w:rsidR="00056F0F" w:rsidRPr="00C82E34" w:rsidRDefault="00056F0F" w:rsidP="00054C58">
      <w:pPr>
        <w:overflowPunct w:val="0"/>
        <w:autoSpaceDE w:val="0"/>
        <w:autoSpaceDN w:val="0"/>
        <w:adjustRightInd w:val="0"/>
        <w:ind w:left="284"/>
        <w:contextualSpacing/>
        <w:textAlignment w:val="baseline"/>
        <w:rPr>
          <w:bCs/>
          <w:iCs/>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7727"/>
      </w:tblGrid>
      <w:tr w:rsidR="00C82E34" w:rsidRPr="00C82E34" w14:paraId="04833A6C" w14:textId="77777777" w:rsidTr="0036489A">
        <w:tc>
          <w:tcPr>
            <w:tcW w:w="1418" w:type="dxa"/>
          </w:tcPr>
          <w:p w14:paraId="720E543D" w14:textId="77777777" w:rsidR="00C82E34" w:rsidRPr="00C82E34" w:rsidRDefault="00C82E34" w:rsidP="00C82E34">
            <w:pPr>
              <w:overflowPunct w:val="0"/>
              <w:autoSpaceDE w:val="0"/>
              <w:autoSpaceDN w:val="0"/>
              <w:adjustRightInd w:val="0"/>
              <w:textAlignment w:val="baseline"/>
              <w:rPr>
                <w:i/>
              </w:rPr>
            </w:pPr>
            <w:r>
              <w:rPr>
                <w:b/>
                <w:i/>
              </w:rPr>
              <w:t>Kontaktpersona:</w:t>
            </w:r>
          </w:p>
        </w:tc>
        <w:tc>
          <w:tcPr>
            <w:tcW w:w="7904" w:type="dxa"/>
          </w:tcPr>
          <w:p w14:paraId="2AC28C0B" w14:textId="5FFF53BD" w:rsidR="00C82E34" w:rsidRPr="00C82E34" w:rsidRDefault="00C82E34" w:rsidP="00C82E34">
            <w:pPr>
              <w:overflowPunct w:val="0"/>
              <w:autoSpaceDE w:val="0"/>
              <w:autoSpaceDN w:val="0"/>
              <w:adjustRightInd w:val="0"/>
              <w:textAlignment w:val="baseline"/>
              <w:rPr>
                <w:i/>
              </w:rPr>
            </w:pPr>
            <w:proofErr w:type="spellStart"/>
            <w:r>
              <w:rPr>
                <w:i/>
                <w:iCs/>
              </w:rPr>
              <w:t>Georgios</w:t>
            </w:r>
            <w:proofErr w:type="spellEnd"/>
            <w:r>
              <w:rPr>
                <w:i/>
                <w:iCs/>
              </w:rPr>
              <w:t xml:space="preserve"> </w:t>
            </w:r>
            <w:proofErr w:type="spellStart"/>
            <w:r>
              <w:rPr>
                <w:i/>
                <w:iCs/>
              </w:rPr>
              <w:t>Meleas</w:t>
            </w:r>
            <w:proofErr w:type="spellEnd"/>
          </w:p>
        </w:tc>
      </w:tr>
      <w:tr w:rsidR="00C82E34" w:rsidRPr="00C82E34" w14:paraId="06EB7C5A" w14:textId="77777777" w:rsidTr="0036489A">
        <w:tc>
          <w:tcPr>
            <w:tcW w:w="1418" w:type="dxa"/>
          </w:tcPr>
          <w:p w14:paraId="3964EC18" w14:textId="77777777" w:rsidR="00C82E34" w:rsidRPr="00C82E34" w:rsidRDefault="00C82E34" w:rsidP="00C82E34">
            <w:pPr>
              <w:overflowPunct w:val="0"/>
              <w:autoSpaceDE w:val="0"/>
              <w:autoSpaceDN w:val="0"/>
              <w:adjustRightInd w:val="0"/>
              <w:textAlignment w:val="baseline"/>
              <w:rPr>
                <w:i/>
              </w:rPr>
            </w:pPr>
            <w:r>
              <w:rPr>
                <w:i/>
              </w:rPr>
              <w:t>Tālr.:</w:t>
            </w:r>
          </w:p>
        </w:tc>
        <w:tc>
          <w:tcPr>
            <w:tcW w:w="7904" w:type="dxa"/>
          </w:tcPr>
          <w:p w14:paraId="6FC22AA9" w14:textId="7577C11B" w:rsidR="00C82E34" w:rsidRPr="00C82E34" w:rsidRDefault="00C82E34" w:rsidP="00C82E34">
            <w:pPr>
              <w:overflowPunct w:val="0"/>
              <w:autoSpaceDE w:val="0"/>
              <w:autoSpaceDN w:val="0"/>
              <w:adjustRightInd w:val="0"/>
              <w:textAlignment w:val="baseline"/>
              <w:rPr>
                <w:i/>
              </w:rPr>
            </w:pPr>
            <w:r>
              <w:rPr>
                <w:i/>
              </w:rPr>
              <w:t>+32 25469795</w:t>
            </w:r>
          </w:p>
        </w:tc>
      </w:tr>
      <w:tr w:rsidR="00C82E34" w:rsidRPr="00C82E34" w14:paraId="03D8EF0B" w14:textId="77777777" w:rsidTr="0036489A">
        <w:tc>
          <w:tcPr>
            <w:tcW w:w="1418" w:type="dxa"/>
          </w:tcPr>
          <w:p w14:paraId="130E2BFD" w14:textId="77777777" w:rsidR="00C82E34" w:rsidRPr="00C82E34" w:rsidRDefault="00C82E34" w:rsidP="00C82E34">
            <w:pPr>
              <w:overflowPunct w:val="0"/>
              <w:autoSpaceDE w:val="0"/>
              <w:autoSpaceDN w:val="0"/>
              <w:adjustRightInd w:val="0"/>
              <w:textAlignment w:val="baseline"/>
              <w:rPr>
                <w:i/>
              </w:rPr>
            </w:pPr>
            <w:r>
              <w:rPr>
                <w:i/>
              </w:rPr>
              <w:t>E-pasts:</w:t>
            </w:r>
          </w:p>
        </w:tc>
        <w:tc>
          <w:tcPr>
            <w:tcW w:w="7904" w:type="dxa"/>
          </w:tcPr>
          <w:p w14:paraId="3D770788" w14:textId="77777777" w:rsidR="00C82E34" w:rsidRDefault="00E27DEE" w:rsidP="00C82E34">
            <w:pPr>
              <w:overflowPunct w:val="0"/>
              <w:autoSpaceDE w:val="0"/>
              <w:autoSpaceDN w:val="0"/>
              <w:adjustRightInd w:val="0"/>
              <w:textAlignment w:val="baseline"/>
            </w:pPr>
            <w:hyperlink r:id="rId23" w:history="1">
              <w:r w:rsidR="00B9028C">
                <w:rPr>
                  <w:i/>
                  <w:color w:val="0000FF"/>
                  <w:u w:val="single"/>
                </w:rPr>
                <w:t>Georgios.Meleas@eesc.europa.eu</w:t>
              </w:r>
            </w:hyperlink>
          </w:p>
          <w:p w14:paraId="21BA5198" w14:textId="77777777" w:rsidR="00D6499D" w:rsidRPr="00C82E34" w:rsidRDefault="00D6499D" w:rsidP="00C82E34">
            <w:pPr>
              <w:overflowPunct w:val="0"/>
              <w:autoSpaceDE w:val="0"/>
              <w:autoSpaceDN w:val="0"/>
              <w:adjustRightInd w:val="0"/>
              <w:textAlignment w:val="baseline"/>
              <w:rPr>
                <w:i/>
                <w:iCs/>
                <w:lang w:val="en-GB"/>
              </w:rPr>
            </w:pPr>
          </w:p>
        </w:tc>
      </w:tr>
    </w:tbl>
    <w:p w14:paraId="4982DD99" w14:textId="6869B4F2" w:rsidR="004D7AC0" w:rsidRDefault="004D7AC0" w:rsidP="004D7AC0">
      <w:pPr>
        <w:pStyle w:val="Heading1"/>
        <w:rPr>
          <w:b/>
        </w:rPr>
      </w:pPr>
      <w:bookmarkStart w:id="1" w:name="_Toc75527081"/>
      <w:bookmarkStart w:id="2" w:name="_Toc217287872"/>
      <w:r>
        <w:rPr>
          <w:b/>
        </w:rPr>
        <w:lastRenderedPageBreak/>
        <w:t>NODARBINĀTĪBA, SOCIĀLĀS LIETAS UN PILSONISKUMS</w:t>
      </w:r>
      <w:bookmarkEnd w:id="1"/>
      <w:bookmarkEnd w:id="2"/>
    </w:p>
    <w:p w14:paraId="4982DD9A" w14:textId="77777777" w:rsidR="004D7AC0" w:rsidRDefault="004D7AC0" w:rsidP="004D7AC0"/>
    <w:p w14:paraId="0D85C8AE" w14:textId="4B607989" w:rsidR="00E972B2" w:rsidRPr="00E972B2" w:rsidRDefault="00E27DEE" w:rsidP="00E972B2">
      <w:pPr>
        <w:widowControl w:val="0"/>
        <w:numPr>
          <w:ilvl w:val="0"/>
          <w:numId w:val="6"/>
        </w:numPr>
        <w:overflowPunct w:val="0"/>
        <w:autoSpaceDE w:val="0"/>
        <w:autoSpaceDN w:val="0"/>
        <w:adjustRightInd w:val="0"/>
        <w:ind w:left="567" w:hanging="567"/>
        <w:textAlignment w:val="baseline"/>
        <w:rPr>
          <w:b/>
        </w:rPr>
      </w:pPr>
      <w:hyperlink r:id="rId24" w:history="1">
        <w:r w:rsidR="00E972B2">
          <w:rPr>
            <w:rStyle w:val="Hyperlink"/>
            <w:b/>
            <w:i/>
            <w:sz w:val="28"/>
          </w:rPr>
          <w:t>Žurnālistu un mediju speciālistu darba tiesības kā neatkarības un patiesas informācijas garantija</w:t>
        </w:r>
      </w:hyperlink>
    </w:p>
    <w:p w14:paraId="60707368" w14:textId="5A0330AA" w:rsidR="00E972B2" w:rsidRDefault="00E972B2" w:rsidP="00E972B2">
      <w:pPr>
        <w:tabs>
          <w:tab w:val="center" w:pos="284"/>
        </w:tabs>
        <w:overflowPunct w:val="0"/>
        <w:autoSpaceDE w:val="0"/>
        <w:autoSpaceDN w:val="0"/>
        <w:adjustRightInd w:val="0"/>
        <w:ind w:left="567" w:hanging="567"/>
        <w:textAlignment w:val="baseline"/>
        <w:rPr>
          <w:sz w:val="16"/>
          <w:szCs w:val="16"/>
        </w:rPr>
      </w:pPr>
    </w:p>
    <w:p w14:paraId="476ED5E1" w14:textId="77777777" w:rsidR="00A3256E" w:rsidRDefault="00A3256E" w:rsidP="00E972B2">
      <w:pPr>
        <w:tabs>
          <w:tab w:val="center" w:pos="284"/>
        </w:tabs>
        <w:overflowPunct w:val="0"/>
        <w:autoSpaceDE w:val="0"/>
        <w:autoSpaceDN w:val="0"/>
        <w:adjustRightInd w:val="0"/>
        <w:ind w:left="567" w:hanging="567"/>
        <w:textAlignment w:val="baseline"/>
        <w:rPr>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E972B2" w:rsidRPr="00E972B2" w14:paraId="7386250C" w14:textId="77777777" w:rsidTr="0036489A">
        <w:tc>
          <w:tcPr>
            <w:tcW w:w="1701" w:type="dxa"/>
          </w:tcPr>
          <w:p w14:paraId="55083F76"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Ziņotājs</w:t>
            </w:r>
          </w:p>
          <w:p w14:paraId="3877742D"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Līdzziņotājs</w:t>
            </w:r>
          </w:p>
        </w:tc>
        <w:tc>
          <w:tcPr>
            <w:tcW w:w="6237" w:type="dxa"/>
          </w:tcPr>
          <w:p w14:paraId="59B0A1D0" w14:textId="77777777" w:rsidR="00E972B2" w:rsidRPr="00E972B2" w:rsidRDefault="00E972B2" w:rsidP="00E972B2">
            <w:pPr>
              <w:overflowPunct w:val="0"/>
              <w:autoSpaceDE w:val="0"/>
              <w:autoSpaceDN w:val="0"/>
              <w:adjustRightInd w:val="0"/>
              <w:ind w:left="567" w:hanging="567"/>
              <w:textAlignment w:val="baseline"/>
            </w:pPr>
            <w:proofErr w:type="spellStart"/>
            <w:r>
              <w:t>José</w:t>
            </w:r>
            <w:proofErr w:type="spellEnd"/>
            <w:r>
              <w:t> Antonio MORENO DIAZ (Darba ņēmēju grupa – ES)</w:t>
            </w:r>
          </w:p>
          <w:p w14:paraId="683C7CA1" w14:textId="4F234B12" w:rsidR="00E972B2" w:rsidRPr="00E972B2" w:rsidRDefault="00E972B2" w:rsidP="00E972B2">
            <w:pPr>
              <w:overflowPunct w:val="0"/>
              <w:autoSpaceDE w:val="0"/>
              <w:autoSpaceDN w:val="0"/>
              <w:adjustRightInd w:val="0"/>
              <w:ind w:left="567" w:hanging="567"/>
              <w:textAlignment w:val="baseline"/>
            </w:pPr>
            <w:r>
              <w:t>Christian MOOS (Pilsoniskās sabiedrības organizāciju grupa – DE)</w:t>
            </w:r>
          </w:p>
        </w:tc>
      </w:tr>
      <w:tr w:rsidR="00E972B2" w:rsidRPr="00E972B2" w14:paraId="403DF22C" w14:textId="77777777" w:rsidTr="0036489A">
        <w:tc>
          <w:tcPr>
            <w:tcW w:w="1701" w:type="dxa"/>
            <w:vMerge w:val="restart"/>
          </w:tcPr>
          <w:p w14:paraId="7C482129"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p>
          <w:p w14:paraId="762D1FFF"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Atsauces</w:t>
            </w:r>
          </w:p>
        </w:tc>
        <w:tc>
          <w:tcPr>
            <w:tcW w:w="6237" w:type="dxa"/>
          </w:tcPr>
          <w:p w14:paraId="3C316E73" w14:textId="77777777" w:rsidR="00E972B2" w:rsidRPr="00054C58" w:rsidRDefault="00E972B2" w:rsidP="00E972B2">
            <w:pPr>
              <w:tabs>
                <w:tab w:val="center" w:pos="284"/>
              </w:tabs>
              <w:overflowPunct w:val="0"/>
              <w:autoSpaceDE w:val="0"/>
              <w:autoSpaceDN w:val="0"/>
              <w:adjustRightInd w:val="0"/>
              <w:ind w:left="567" w:hanging="567"/>
              <w:textAlignment w:val="baseline"/>
              <w:rPr>
                <w:lang w:val="en-GB"/>
              </w:rPr>
            </w:pPr>
          </w:p>
          <w:p w14:paraId="29981116" w14:textId="11CD9731" w:rsidR="00DB1B79" w:rsidRPr="00054C58" w:rsidRDefault="00DB1B79" w:rsidP="00E972B2">
            <w:pPr>
              <w:tabs>
                <w:tab w:val="center" w:pos="284"/>
              </w:tabs>
              <w:overflowPunct w:val="0"/>
              <w:autoSpaceDE w:val="0"/>
              <w:autoSpaceDN w:val="0"/>
              <w:adjustRightInd w:val="0"/>
              <w:ind w:left="567" w:hanging="567"/>
              <w:textAlignment w:val="baseline"/>
            </w:pPr>
            <w:r>
              <w:t>Pašiniciatīvas atzinums</w:t>
            </w:r>
          </w:p>
          <w:p w14:paraId="4F671282" w14:textId="1803C443" w:rsidR="00E972B2" w:rsidRPr="00054C58" w:rsidRDefault="00E972B2" w:rsidP="00E972B2">
            <w:pPr>
              <w:tabs>
                <w:tab w:val="center" w:pos="284"/>
              </w:tabs>
              <w:overflowPunct w:val="0"/>
              <w:autoSpaceDE w:val="0"/>
              <w:autoSpaceDN w:val="0"/>
              <w:adjustRightInd w:val="0"/>
              <w:ind w:left="567" w:hanging="567"/>
              <w:textAlignment w:val="baseline"/>
            </w:pPr>
            <w:r>
              <w:t>EESC-2025-01400-00-00-AC</w:t>
            </w:r>
          </w:p>
        </w:tc>
      </w:tr>
      <w:tr w:rsidR="00E972B2" w:rsidRPr="00E972B2" w14:paraId="5DAEC2A3" w14:textId="77777777" w:rsidTr="0036489A">
        <w:tc>
          <w:tcPr>
            <w:tcW w:w="1701" w:type="dxa"/>
            <w:vMerge/>
          </w:tcPr>
          <w:p w14:paraId="23805FDF" w14:textId="77777777" w:rsidR="00E972B2" w:rsidRPr="00054C58" w:rsidRDefault="00E972B2" w:rsidP="00E972B2">
            <w:pPr>
              <w:tabs>
                <w:tab w:val="center" w:pos="284"/>
              </w:tabs>
              <w:overflowPunct w:val="0"/>
              <w:autoSpaceDE w:val="0"/>
              <w:autoSpaceDN w:val="0"/>
              <w:adjustRightInd w:val="0"/>
              <w:ind w:left="266" w:hanging="266"/>
              <w:textAlignment w:val="baseline"/>
              <w:rPr>
                <w:b/>
                <w:lang w:val="en-GB"/>
              </w:rPr>
            </w:pPr>
          </w:p>
        </w:tc>
        <w:tc>
          <w:tcPr>
            <w:tcW w:w="6237" w:type="dxa"/>
          </w:tcPr>
          <w:p w14:paraId="0EEAB858" w14:textId="77777777" w:rsidR="00E972B2" w:rsidRPr="00054C58" w:rsidRDefault="00E972B2" w:rsidP="00E972B2">
            <w:pPr>
              <w:tabs>
                <w:tab w:val="center" w:pos="284"/>
              </w:tabs>
              <w:overflowPunct w:val="0"/>
              <w:autoSpaceDE w:val="0"/>
              <w:autoSpaceDN w:val="0"/>
              <w:adjustRightInd w:val="0"/>
              <w:ind w:left="266" w:hanging="266"/>
              <w:textAlignment w:val="baseline"/>
              <w:rPr>
                <w:sz w:val="16"/>
                <w:szCs w:val="16"/>
                <w:lang w:val="en-GB"/>
              </w:rPr>
            </w:pPr>
          </w:p>
        </w:tc>
      </w:tr>
    </w:tbl>
    <w:p w14:paraId="770A689E" w14:textId="77777777" w:rsidR="00C24C34"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146DC9AC" w14:textId="5044B617" w:rsidR="00E972B2" w:rsidRPr="00E972B2" w:rsidRDefault="00E972B2" w:rsidP="00E972B2">
      <w:pPr>
        <w:keepNext/>
        <w:keepLines/>
        <w:tabs>
          <w:tab w:val="center" w:pos="284"/>
        </w:tabs>
        <w:overflowPunct w:val="0"/>
        <w:autoSpaceDE w:val="0"/>
        <w:autoSpaceDN w:val="0"/>
        <w:adjustRightInd w:val="0"/>
        <w:ind w:left="266" w:hanging="266"/>
        <w:textAlignment w:val="baseline"/>
        <w:rPr>
          <w:b/>
        </w:rPr>
      </w:pPr>
      <w:r>
        <w:rPr>
          <w:b/>
        </w:rPr>
        <w:t>Galvenās nostādnes</w:t>
      </w:r>
    </w:p>
    <w:p w14:paraId="7CEC89B2" w14:textId="77777777" w:rsidR="00C24C34" w:rsidRPr="00E972B2"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409C084B" w14:textId="11E1ED7F" w:rsidR="00E972B2" w:rsidRDefault="00E972B2" w:rsidP="00E972B2">
      <w:pPr>
        <w:keepNext/>
        <w:keepLines/>
        <w:tabs>
          <w:tab w:val="center" w:pos="284"/>
        </w:tabs>
        <w:overflowPunct w:val="0"/>
        <w:autoSpaceDE w:val="0"/>
        <w:autoSpaceDN w:val="0"/>
        <w:adjustRightInd w:val="0"/>
        <w:ind w:left="266" w:hanging="266"/>
        <w:textAlignment w:val="baseline"/>
        <w:rPr>
          <w:szCs w:val="20"/>
        </w:rPr>
      </w:pPr>
      <w:r>
        <w:t>EESK:</w:t>
      </w:r>
    </w:p>
    <w:p w14:paraId="466A1A93" w14:textId="77777777" w:rsidR="00C24C34" w:rsidRDefault="00C24C34" w:rsidP="00E972B2">
      <w:pPr>
        <w:keepNext/>
        <w:keepLines/>
        <w:tabs>
          <w:tab w:val="center" w:pos="284"/>
        </w:tabs>
        <w:overflowPunct w:val="0"/>
        <w:autoSpaceDE w:val="0"/>
        <w:autoSpaceDN w:val="0"/>
        <w:adjustRightInd w:val="0"/>
        <w:ind w:left="266" w:hanging="266"/>
        <w:textAlignment w:val="baseline"/>
        <w:rPr>
          <w:szCs w:val="20"/>
          <w:lang w:val="en-GB"/>
        </w:rPr>
      </w:pPr>
    </w:p>
    <w:p w14:paraId="3CF6F831" w14:textId="77777777" w:rsidR="00E972B2" w:rsidRPr="00E972B2" w:rsidRDefault="00E972B2" w:rsidP="00054C58">
      <w:pPr>
        <w:numPr>
          <w:ilvl w:val="1"/>
          <w:numId w:val="20"/>
        </w:numPr>
        <w:overflowPunct w:val="0"/>
        <w:autoSpaceDE w:val="0"/>
        <w:autoSpaceDN w:val="0"/>
        <w:adjustRightInd w:val="0"/>
        <w:spacing w:line="276" w:lineRule="auto"/>
        <w:textAlignment w:val="baseline"/>
        <w:outlineLvl w:val="1"/>
        <w:rPr>
          <w:szCs w:val="20"/>
        </w:rPr>
      </w:pPr>
      <w:bookmarkStart w:id="3" w:name="_Toc217287873"/>
      <w:r>
        <w:t>mudina pašvaldības veikt steidzamus aizsardzības pasākumus saistībā ar pieaugošo žurnālistu nedrošību, un aicina nodrošināt Eiropas Mediju brīvības akta (</w:t>
      </w:r>
      <w:proofErr w:type="spellStart"/>
      <w:r>
        <w:rPr>
          <w:i/>
          <w:iCs/>
        </w:rPr>
        <w:t>European</w:t>
      </w:r>
      <w:proofErr w:type="spellEnd"/>
      <w:r>
        <w:rPr>
          <w:i/>
          <w:iCs/>
        </w:rPr>
        <w:t xml:space="preserve"> </w:t>
      </w:r>
      <w:proofErr w:type="spellStart"/>
      <w:r>
        <w:rPr>
          <w:i/>
          <w:iCs/>
        </w:rPr>
        <w:t>Media</w:t>
      </w:r>
      <w:proofErr w:type="spellEnd"/>
      <w:r>
        <w:rPr>
          <w:i/>
          <w:iCs/>
        </w:rPr>
        <w:t xml:space="preserve"> </w:t>
      </w:r>
      <w:proofErr w:type="spellStart"/>
      <w:r>
        <w:rPr>
          <w:i/>
          <w:iCs/>
        </w:rPr>
        <w:t>Freedom</w:t>
      </w:r>
      <w:proofErr w:type="spellEnd"/>
      <w:r>
        <w:rPr>
          <w:i/>
          <w:iCs/>
        </w:rPr>
        <w:t xml:space="preserve"> </w:t>
      </w:r>
      <w:proofErr w:type="spellStart"/>
      <w:r>
        <w:rPr>
          <w:i/>
          <w:iCs/>
        </w:rPr>
        <w:t>Act</w:t>
      </w:r>
      <w:proofErr w:type="spellEnd"/>
      <w:r>
        <w:t>) pilnīgu piemērošanu dalībvalstīs. Komiteja arī aicina papildus esošajām subsīdijām izveidot neatkarīgu atbalstu mediju kanāliem, lai nodrošinātu Eiropas mediju nozares ilgtspēju, un ievērojami palielināt līdzekļus stabilas informācijas ekosistēmas aizsardzībai;</w:t>
      </w:r>
      <w:bookmarkEnd w:id="3"/>
    </w:p>
    <w:p w14:paraId="699C4C8F" w14:textId="77777777" w:rsidR="00E972B2" w:rsidRPr="00E972B2" w:rsidRDefault="00E972B2" w:rsidP="00054C58">
      <w:pPr>
        <w:numPr>
          <w:ilvl w:val="1"/>
          <w:numId w:val="20"/>
        </w:numPr>
        <w:overflowPunct w:val="0"/>
        <w:autoSpaceDE w:val="0"/>
        <w:autoSpaceDN w:val="0"/>
        <w:adjustRightInd w:val="0"/>
        <w:spacing w:line="276" w:lineRule="auto"/>
        <w:textAlignment w:val="baseline"/>
        <w:outlineLvl w:val="1"/>
        <w:rPr>
          <w:bCs/>
          <w:szCs w:val="20"/>
        </w:rPr>
      </w:pPr>
      <w:bookmarkStart w:id="4" w:name="_Toc217287874"/>
      <w:r>
        <w:t>aicina Eiropas Komisiju nākt klajā ar vērienīgu politikas pasākumu un ieguldījumu paketi, lai atbalstītu kvalitatīvas darbvietas mediju nozarē, un aicina valdības veicināt sociālo dialogu un koplīguma sarunas visiem žurnālistiem, tostarp ārštata darbiniekiem, attiecīgā gadījumā transponējot direktīvu par adekvātu minimālo algu</w:t>
      </w:r>
      <w:r w:rsidRPr="00E972B2">
        <w:rPr>
          <w:sz w:val="24"/>
          <w:szCs w:val="24"/>
          <w:vertAlign w:val="superscript"/>
          <w:lang w:val="en-GB"/>
        </w:rPr>
        <w:footnoteReference w:id="1"/>
      </w:r>
      <w:r>
        <w:t xml:space="preserve"> un Pamatnostādnes par Savienības konkurences tiesību piemērošanu koplīgumiem, kuros paredzēti individuālo pašnodarbināto personu darba nosacījumi</w:t>
      </w:r>
      <w:r w:rsidRPr="00E972B2">
        <w:rPr>
          <w:sz w:val="24"/>
          <w:szCs w:val="24"/>
          <w:vertAlign w:val="superscript"/>
          <w:lang w:val="en-GB"/>
        </w:rPr>
        <w:footnoteReference w:id="2"/>
      </w:r>
      <w:r>
        <w:t>. Komiteja arī aicina Eiropas Komisiju un dalībvalstis cīnīties pret fiktīvu pašnodarbinātību.</w:t>
      </w:r>
      <w:bookmarkEnd w:id="4"/>
    </w:p>
    <w:p w14:paraId="2C320535" w14:textId="77777777" w:rsidR="00E972B2" w:rsidRDefault="00E972B2" w:rsidP="00446882">
      <w:pPr>
        <w:numPr>
          <w:ilvl w:val="1"/>
          <w:numId w:val="20"/>
        </w:numPr>
        <w:overflowPunct w:val="0"/>
        <w:autoSpaceDE w:val="0"/>
        <w:autoSpaceDN w:val="0"/>
        <w:adjustRightInd w:val="0"/>
        <w:spacing w:line="276" w:lineRule="auto"/>
        <w:textAlignment w:val="baseline"/>
        <w:outlineLvl w:val="1"/>
        <w:rPr>
          <w:szCs w:val="20"/>
        </w:rPr>
      </w:pPr>
      <w:bookmarkStart w:id="5" w:name="_Toc217287875"/>
      <w:r>
        <w:t>aicina Eiropas Komisiju veikt turpmākus pasākumus saistībā ar Ieteikumu par aizsardzības, drošības un pilnvērtīgu iespēju nodrošināšanu žurnālistiem</w:t>
      </w:r>
      <w:r w:rsidRPr="00E972B2">
        <w:rPr>
          <w:sz w:val="24"/>
          <w:szCs w:val="24"/>
          <w:vertAlign w:val="superscript"/>
          <w:lang w:val="en-GB"/>
        </w:rPr>
        <w:footnoteReference w:id="3"/>
      </w:r>
      <w:r>
        <w:t xml:space="preserve">, un uzsver, ka ir vajadzīga ciešāka sadarbība ar žurnālistu organizācijām, lai izveidotu struktūras, kas varētu nodrošināt žurnālistu drošību. Žurnālisti ir darba ņēmēji, kas ir ievērojami pakļauti stresam, izdegšanai, vajāšanai tiešsaistē un digitālajai pārslodzei. Komisijai būtu lietderīgi apsvērt, kā veikt turpmākus pasākumus saistībā ar Eiropas Parlamenta 2022. gada 10. marta rezolūciju, kurā aicināts pieņemt direktīvu par </w:t>
      </w:r>
      <w:proofErr w:type="spellStart"/>
      <w:r>
        <w:t>psihosociālajiem</w:t>
      </w:r>
      <w:proofErr w:type="spellEnd"/>
      <w:r>
        <w:t xml:space="preserve"> riskiem. EESK ir gatava izstrādāt atzinumu par šo tematu</w:t>
      </w:r>
      <w:r w:rsidRPr="00E972B2">
        <w:rPr>
          <w:sz w:val="24"/>
          <w:szCs w:val="20"/>
          <w:vertAlign w:val="superscript"/>
          <w:lang w:val="en-GB"/>
        </w:rPr>
        <w:footnoteReference w:id="4"/>
      </w:r>
      <w:r>
        <w:t>;</w:t>
      </w:r>
      <w:bookmarkEnd w:id="5"/>
    </w:p>
    <w:p w14:paraId="15FE9461" w14:textId="77777777" w:rsidR="00E972B2" w:rsidRPr="00E972B2" w:rsidRDefault="00E972B2" w:rsidP="00054C58">
      <w:pPr>
        <w:numPr>
          <w:ilvl w:val="1"/>
          <w:numId w:val="20"/>
        </w:numPr>
        <w:pBdr>
          <w:top w:val="nil"/>
          <w:left w:val="nil"/>
          <w:bottom w:val="nil"/>
          <w:right w:val="nil"/>
          <w:between w:val="nil"/>
        </w:pBdr>
        <w:overflowPunct w:val="0"/>
        <w:autoSpaceDE w:val="0"/>
        <w:autoSpaceDN w:val="0"/>
        <w:adjustRightInd w:val="0"/>
        <w:spacing w:line="276" w:lineRule="auto"/>
        <w:textAlignment w:val="baseline"/>
        <w:outlineLvl w:val="1"/>
        <w:rPr>
          <w:szCs w:val="20"/>
        </w:rPr>
      </w:pPr>
      <w:bookmarkStart w:id="6" w:name="_Toc217287876"/>
      <w:r>
        <w:t xml:space="preserve">aicina Eiropas Komisiju uzraudzīt, kā tiek piemērots ES tiesiskais regulējums par mākslīgā intelekta (MI) izmantošanu, lai nodrošinātu žurnālistu aizsardzību, un mudina žurnālistu biedrības un mediju organizācijas sociālā dialoga ietvaros risināt jautājumus, kas saistīti ar MI izmantošanu ziņu redakcijās; aicina Eiropas Komisiju arī nodrošināt finansējumu projektiem, kas attīsta žurnālistu MI </w:t>
      </w:r>
      <w:proofErr w:type="spellStart"/>
      <w:r>
        <w:t>pratību</w:t>
      </w:r>
      <w:proofErr w:type="spellEnd"/>
      <w:r>
        <w:t xml:space="preserve">, apsvērt iespējas līdzfinansēt Eiropas žurnālistikas akadēmijas, apmācību un </w:t>
      </w:r>
      <w:r>
        <w:lastRenderedPageBreak/>
        <w:t>iespējamas subsīdijas jauno žurnālistu algām no tādiem mediju uzņēmumiem, kuri atbilst augstiem standartiem attiecībā uz kvalitatīvu žurnālistiku un darba apstākļiem.</w:t>
      </w:r>
      <w:bookmarkEnd w:id="6"/>
    </w:p>
    <w:p w14:paraId="628F03B6" w14:textId="77777777" w:rsidR="00E972B2" w:rsidRPr="00E972B2" w:rsidRDefault="00E972B2" w:rsidP="00E972B2">
      <w:pPr>
        <w:overflowPunct w:val="0"/>
        <w:autoSpaceDE w:val="0"/>
        <w:autoSpaceDN w:val="0"/>
        <w:adjustRightInd w:val="0"/>
        <w:textAlignment w:val="baseline"/>
        <w:rPr>
          <w:szCs w:val="20"/>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4493"/>
      </w:tblGrid>
      <w:tr w:rsidR="00E972B2" w:rsidRPr="00E972B2" w14:paraId="2A48BF49" w14:textId="77777777" w:rsidTr="0036489A">
        <w:tc>
          <w:tcPr>
            <w:tcW w:w="1210" w:type="dxa"/>
          </w:tcPr>
          <w:p w14:paraId="238E38FB" w14:textId="77777777" w:rsidR="00E972B2" w:rsidRPr="00E972B2" w:rsidRDefault="00E972B2" w:rsidP="00E972B2">
            <w:pPr>
              <w:overflowPunct w:val="0"/>
              <w:autoSpaceDE w:val="0"/>
              <w:autoSpaceDN w:val="0"/>
              <w:adjustRightInd w:val="0"/>
              <w:spacing w:line="240" w:lineRule="auto"/>
              <w:textAlignment w:val="baseline"/>
              <w:rPr>
                <w:i/>
              </w:rPr>
            </w:pPr>
            <w:r>
              <w:rPr>
                <w:b/>
                <w:i/>
              </w:rPr>
              <w:t>Kontaktpersona:</w:t>
            </w:r>
          </w:p>
        </w:tc>
        <w:tc>
          <w:tcPr>
            <w:tcW w:w="4493" w:type="dxa"/>
          </w:tcPr>
          <w:p w14:paraId="222CC330" w14:textId="77777777" w:rsidR="00E972B2" w:rsidRPr="00E972B2" w:rsidRDefault="00E972B2" w:rsidP="00E972B2">
            <w:pPr>
              <w:overflowPunct w:val="0"/>
              <w:autoSpaceDE w:val="0"/>
              <w:autoSpaceDN w:val="0"/>
              <w:adjustRightInd w:val="0"/>
              <w:spacing w:line="240" w:lineRule="auto"/>
              <w:ind w:hanging="12"/>
              <w:textAlignment w:val="baseline"/>
              <w:rPr>
                <w:i/>
              </w:rPr>
            </w:pPr>
            <w:proofErr w:type="spellStart"/>
            <w:r>
              <w:rPr>
                <w:i/>
              </w:rPr>
              <w:t>June</w:t>
            </w:r>
            <w:proofErr w:type="spellEnd"/>
            <w:r>
              <w:rPr>
                <w:i/>
              </w:rPr>
              <w:t xml:space="preserve"> </w:t>
            </w:r>
            <w:proofErr w:type="spellStart"/>
            <w:r>
              <w:rPr>
                <w:i/>
              </w:rPr>
              <w:t>Bedaton</w:t>
            </w:r>
            <w:proofErr w:type="spellEnd"/>
          </w:p>
        </w:tc>
      </w:tr>
      <w:tr w:rsidR="00E972B2" w:rsidRPr="00E972B2" w14:paraId="6AAFD04B" w14:textId="77777777" w:rsidTr="0036489A">
        <w:tc>
          <w:tcPr>
            <w:tcW w:w="1210" w:type="dxa"/>
          </w:tcPr>
          <w:p w14:paraId="43DF2BDC" w14:textId="77777777" w:rsidR="00E972B2" w:rsidRPr="00E972B2" w:rsidRDefault="00E972B2" w:rsidP="00E972B2">
            <w:pPr>
              <w:overflowPunct w:val="0"/>
              <w:autoSpaceDE w:val="0"/>
              <w:autoSpaceDN w:val="0"/>
              <w:adjustRightInd w:val="0"/>
              <w:spacing w:line="240" w:lineRule="auto"/>
              <w:textAlignment w:val="baseline"/>
              <w:rPr>
                <w:i/>
              </w:rPr>
            </w:pPr>
            <w:r>
              <w:rPr>
                <w:i/>
              </w:rPr>
              <w:t>Tālr.:</w:t>
            </w:r>
          </w:p>
        </w:tc>
        <w:tc>
          <w:tcPr>
            <w:tcW w:w="4493" w:type="dxa"/>
          </w:tcPr>
          <w:p w14:paraId="63A276AE" w14:textId="77777777" w:rsidR="00E972B2" w:rsidRPr="00E972B2" w:rsidRDefault="00E972B2" w:rsidP="00E972B2">
            <w:pPr>
              <w:overflowPunct w:val="0"/>
              <w:autoSpaceDE w:val="0"/>
              <w:autoSpaceDN w:val="0"/>
              <w:adjustRightInd w:val="0"/>
              <w:spacing w:line="240" w:lineRule="auto"/>
              <w:textAlignment w:val="baseline"/>
              <w:rPr>
                <w:i/>
              </w:rPr>
            </w:pPr>
            <w:r>
              <w:rPr>
                <w:i/>
              </w:rPr>
              <w:t>+32 25468134</w:t>
            </w:r>
          </w:p>
        </w:tc>
      </w:tr>
      <w:tr w:rsidR="00E972B2" w:rsidRPr="00E972B2" w14:paraId="20D34920" w14:textId="77777777" w:rsidTr="0036489A">
        <w:tc>
          <w:tcPr>
            <w:tcW w:w="1210" w:type="dxa"/>
          </w:tcPr>
          <w:p w14:paraId="75D6BA57" w14:textId="77777777" w:rsidR="00E972B2" w:rsidRPr="00E972B2" w:rsidRDefault="00E972B2" w:rsidP="00E972B2">
            <w:pPr>
              <w:overflowPunct w:val="0"/>
              <w:autoSpaceDE w:val="0"/>
              <w:autoSpaceDN w:val="0"/>
              <w:adjustRightInd w:val="0"/>
              <w:spacing w:line="240" w:lineRule="auto"/>
              <w:textAlignment w:val="baseline"/>
              <w:rPr>
                <w:i/>
              </w:rPr>
            </w:pPr>
            <w:r>
              <w:rPr>
                <w:i/>
              </w:rPr>
              <w:t>E-pasts:</w:t>
            </w:r>
          </w:p>
        </w:tc>
        <w:tc>
          <w:tcPr>
            <w:tcW w:w="4493" w:type="dxa"/>
          </w:tcPr>
          <w:p w14:paraId="49B7876D" w14:textId="77777777" w:rsidR="00E972B2" w:rsidRPr="00E972B2" w:rsidRDefault="00E27DEE" w:rsidP="00E972B2">
            <w:pPr>
              <w:overflowPunct w:val="0"/>
              <w:autoSpaceDE w:val="0"/>
              <w:autoSpaceDN w:val="0"/>
              <w:adjustRightInd w:val="0"/>
              <w:spacing w:line="240" w:lineRule="auto"/>
              <w:textAlignment w:val="baseline"/>
              <w:rPr>
                <w:i/>
                <w:iCs/>
              </w:rPr>
            </w:pPr>
            <w:hyperlink r:id="rId25" w:history="1">
              <w:r w:rsidR="00B9028C">
                <w:rPr>
                  <w:i/>
                  <w:color w:val="0000FF"/>
                  <w:u w:val="single"/>
                </w:rPr>
                <w:t>june.bedaton@eesc.europa.eu</w:t>
              </w:r>
            </w:hyperlink>
            <w:r w:rsidR="00B9028C">
              <w:rPr>
                <w:i/>
              </w:rPr>
              <w:t xml:space="preserve"> </w:t>
            </w:r>
          </w:p>
        </w:tc>
      </w:tr>
    </w:tbl>
    <w:p w14:paraId="4982DDC2" w14:textId="77777777" w:rsidR="004D7AC0" w:rsidRDefault="004D7AC0" w:rsidP="004D7AC0">
      <w:pPr>
        <w:pStyle w:val="ListParagraph"/>
        <w:ind w:left="0"/>
      </w:pPr>
    </w:p>
    <w:p w14:paraId="4982DDC3" w14:textId="77777777" w:rsidR="004D7AC0" w:rsidRDefault="004D7AC0" w:rsidP="004D7AC0">
      <w:pPr>
        <w:pStyle w:val="ListParagraph"/>
        <w:ind w:left="0"/>
      </w:pPr>
    </w:p>
    <w:p w14:paraId="4982DDC4" w14:textId="77777777" w:rsidR="004D7AC0" w:rsidRPr="00803CA6" w:rsidRDefault="004D7AC0" w:rsidP="004D7AC0">
      <w:pPr>
        <w:pStyle w:val="ListParagraph"/>
        <w:ind w:left="0"/>
      </w:pPr>
    </w:p>
    <w:p w14:paraId="3BBEED3B" w14:textId="2A08F509" w:rsidR="008D0052" w:rsidRPr="008D0052" w:rsidRDefault="004D7AC0" w:rsidP="008D0052">
      <w:pPr>
        <w:widowControl w:val="0"/>
        <w:numPr>
          <w:ilvl w:val="0"/>
          <w:numId w:val="6"/>
        </w:numPr>
        <w:overflowPunct w:val="0"/>
        <w:autoSpaceDE w:val="0"/>
        <w:autoSpaceDN w:val="0"/>
        <w:adjustRightInd w:val="0"/>
        <w:ind w:left="567" w:hanging="567"/>
        <w:textAlignment w:val="baseline"/>
        <w:rPr>
          <w:b/>
        </w:rPr>
      </w:pPr>
      <w:r>
        <w:br w:type="page"/>
      </w:r>
      <w:hyperlink r:id="rId26" w:history="1">
        <w:r>
          <w:rPr>
            <w:b/>
            <w:i/>
            <w:color w:val="0000FF"/>
            <w:sz w:val="28"/>
            <w:u w:val="single"/>
          </w:rPr>
          <w:t xml:space="preserve">Programmas </w:t>
        </w:r>
        <w:proofErr w:type="spellStart"/>
        <w:r>
          <w:rPr>
            <w:b/>
            <w:i/>
            <w:iCs/>
            <w:color w:val="0000FF"/>
            <w:sz w:val="28"/>
            <w:u w:val="single"/>
          </w:rPr>
          <w:t>AgoraEU</w:t>
        </w:r>
        <w:proofErr w:type="spellEnd"/>
        <w:r>
          <w:rPr>
            <w:b/>
            <w:i/>
            <w:color w:val="0000FF"/>
            <w:sz w:val="28"/>
            <w:u w:val="single"/>
          </w:rPr>
          <w:t xml:space="preserve"> un “Tiesiskums”</w:t>
        </w:r>
      </w:hyperlink>
    </w:p>
    <w:p w14:paraId="269FC09C" w14:textId="77777777" w:rsidR="008D0052" w:rsidRDefault="008D0052" w:rsidP="008D0052">
      <w:pPr>
        <w:tabs>
          <w:tab w:val="center" w:pos="284"/>
        </w:tabs>
        <w:overflowPunct w:val="0"/>
        <w:autoSpaceDE w:val="0"/>
        <w:autoSpaceDN w:val="0"/>
        <w:adjustRightInd w:val="0"/>
        <w:ind w:left="567" w:hanging="567"/>
        <w:textAlignment w:val="baseline"/>
        <w:rPr>
          <w:sz w:val="16"/>
          <w:szCs w:val="16"/>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8D0052" w:rsidRPr="008D0052" w14:paraId="439074D0" w14:textId="77777777" w:rsidTr="0036489A">
        <w:tc>
          <w:tcPr>
            <w:tcW w:w="1701" w:type="dxa"/>
          </w:tcPr>
          <w:p w14:paraId="59ACE1C9"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Ziņotājs</w:t>
            </w:r>
          </w:p>
        </w:tc>
        <w:tc>
          <w:tcPr>
            <w:tcW w:w="6237" w:type="dxa"/>
          </w:tcPr>
          <w:p w14:paraId="585EAFF0" w14:textId="77777777" w:rsidR="008D0052" w:rsidRPr="008D0052" w:rsidRDefault="008D0052" w:rsidP="008D0052">
            <w:pPr>
              <w:overflowPunct w:val="0"/>
              <w:autoSpaceDE w:val="0"/>
              <w:autoSpaceDN w:val="0"/>
              <w:adjustRightInd w:val="0"/>
              <w:ind w:left="567" w:hanging="567"/>
              <w:textAlignment w:val="baseline"/>
            </w:pPr>
            <w:proofErr w:type="spellStart"/>
            <w:r>
              <w:t>Ionuţ</w:t>
            </w:r>
            <w:proofErr w:type="spellEnd"/>
            <w:r>
              <w:t> SIBIAN (Pilsoniskās sabiedrības organizāciju grupa – RO)</w:t>
            </w:r>
          </w:p>
        </w:tc>
      </w:tr>
      <w:tr w:rsidR="008D0052" w:rsidRPr="008D0052" w14:paraId="43DDD9C1" w14:textId="77777777" w:rsidTr="0036489A">
        <w:tc>
          <w:tcPr>
            <w:tcW w:w="1701" w:type="dxa"/>
            <w:vMerge w:val="restart"/>
          </w:tcPr>
          <w:p w14:paraId="17DE1540"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p>
          <w:p w14:paraId="3DE1E8E1"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Atsauces</w:t>
            </w:r>
          </w:p>
        </w:tc>
        <w:tc>
          <w:tcPr>
            <w:tcW w:w="6237" w:type="dxa"/>
          </w:tcPr>
          <w:p w14:paraId="1EAFD529" w14:textId="77777777" w:rsidR="008D0052" w:rsidRPr="008D0052" w:rsidRDefault="008D0052" w:rsidP="008D0052">
            <w:pPr>
              <w:tabs>
                <w:tab w:val="center" w:pos="284"/>
              </w:tabs>
              <w:overflowPunct w:val="0"/>
              <w:autoSpaceDE w:val="0"/>
              <w:autoSpaceDN w:val="0"/>
              <w:adjustRightInd w:val="0"/>
              <w:ind w:left="567" w:hanging="567"/>
              <w:textAlignment w:val="baseline"/>
              <w:rPr>
                <w:lang w:val="pt-PT"/>
              </w:rPr>
            </w:pPr>
          </w:p>
          <w:p w14:paraId="5CB40F8B" w14:textId="72EE90C4" w:rsidR="00D6499D" w:rsidRDefault="008D0052" w:rsidP="008D0052">
            <w:pPr>
              <w:tabs>
                <w:tab w:val="center" w:pos="284"/>
              </w:tabs>
              <w:overflowPunct w:val="0"/>
              <w:autoSpaceDE w:val="0"/>
              <w:autoSpaceDN w:val="0"/>
              <w:adjustRightInd w:val="0"/>
              <w:ind w:left="567" w:hanging="567"/>
              <w:textAlignment w:val="baseline"/>
            </w:pPr>
            <w:r>
              <w:t xml:space="preserve">COM(2025) 463 </w:t>
            </w:r>
            <w:proofErr w:type="spellStart"/>
            <w:r>
              <w:t>final</w:t>
            </w:r>
            <w:proofErr w:type="spellEnd"/>
          </w:p>
          <w:p w14:paraId="1E0886B9" w14:textId="77777777" w:rsidR="008D0052" w:rsidRDefault="008D0052" w:rsidP="008D0052">
            <w:pPr>
              <w:tabs>
                <w:tab w:val="center" w:pos="284"/>
              </w:tabs>
              <w:overflowPunct w:val="0"/>
              <w:autoSpaceDE w:val="0"/>
              <w:autoSpaceDN w:val="0"/>
              <w:adjustRightInd w:val="0"/>
              <w:ind w:left="567" w:hanging="567"/>
              <w:textAlignment w:val="baseline"/>
            </w:pPr>
            <w:r>
              <w:t xml:space="preserve">COM(2025) 550 </w:t>
            </w:r>
            <w:proofErr w:type="spellStart"/>
            <w:r>
              <w:t>final</w:t>
            </w:r>
            <w:proofErr w:type="spellEnd"/>
          </w:p>
          <w:p w14:paraId="36D67FA6" w14:textId="77777777" w:rsidR="00F65006" w:rsidRDefault="00F65006" w:rsidP="008D0052">
            <w:pPr>
              <w:tabs>
                <w:tab w:val="center" w:pos="284"/>
              </w:tabs>
              <w:overflowPunct w:val="0"/>
              <w:autoSpaceDE w:val="0"/>
              <w:autoSpaceDN w:val="0"/>
              <w:adjustRightInd w:val="0"/>
              <w:ind w:left="567" w:hanging="567"/>
              <w:textAlignment w:val="baseline"/>
            </w:pPr>
            <w:r>
              <w:t>EESC-2025-02823-00-00-AC</w:t>
            </w:r>
          </w:p>
          <w:p w14:paraId="53FD9F87" w14:textId="5EF766CA" w:rsidR="00AA61BE" w:rsidRPr="008D0052" w:rsidRDefault="00AA61BE" w:rsidP="008D0052">
            <w:pPr>
              <w:tabs>
                <w:tab w:val="center" w:pos="284"/>
              </w:tabs>
              <w:overflowPunct w:val="0"/>
              <w:autoSpaceDE w:val="0"/>
              <w:autoSpaceDN w:val="0"/>
              <w:adjustRightInd w:val="0"/>
              <w:ind w:left="567" w:hanging="567"/>
              <w:textAlignment w:val="baseline"/>
              <w:rPr>
                <w:lang w:val="pt-PT"/>
              </w:rPr>
            </w:pPr>
          </w:p>
        </w:tc>
      </w:tr>
      <w:tr w:rsidR="008D0052" w:rsidRPr="008D0052" w14:paraId="53E4D815" w14:textId="77777777" w:rsidTr="0036489A">
        <w:tc>
          <w:tcPr>
            <w:tcW w:w="1701" w:type="dxa"/>
            <w:vMerge/>
          </w:tcPr>
          <w:p w14:paraId="30F7A78B" w14:textId="77777777" w:rsidR="008D0052" w:rsidRPr="008D0052" w:rsidRDefault="008D0052" w:rsidP="008D0052">
            <w:pPr>
              <w:tabs>
                <w:tab w:val="center" w:pos="284"/>
              </w:tabs>
              <w:overflowPunct w:val="0"/>
              <w:autoSpaceDE w:val="0"/>
              <w:autoSpaceDN w:val="0"/>
              <w:adjustRightInd w:val="0"/>
              <w:ind w:left="266" w:hanging="266"/>
              <w:textAlignment w:val="baseline"/>
              <w:rPr>
                <w:b/>
                <w:lang w:val="pt-PT"/>
              </w:rPr>
            </w:pPr>
          </w:p>
        </w:tc>
        <w:tc>
          <w:tcPr>
            <w:tcW w:w="6237" w:type="dxa"/>
          </w:tcPr>
          <w:p w14:paraId="27E33E96" w14:textId="77777777" w:rsidR="008D0052" w:rsidRPr="008D0052" w:rsidRDefault="008D0052" w:rsidP="008D0052">
            <w:pPr>
              <w:tabs>
                <w:tab w:val="center" w:pos="284"/>
              </w:tabs>
              <w:overflowPunct w:val="0"/>
              <w:autoSpaceDE w:val="0"/>
              <w:autoSpaceDN w:val="0"/>
              <w:adjustRightInd w:val="0"/>
              <w:ind w:left="266" w:hanging="266"/>
              <w:textAlignment w:val="baseline"/>
              <w:rPr>
                <w:sz w:val="2"/>
                <w:szCs w:val="2"/>
                <w:lang w:val="pt-PT"/>
              </w:rPr>
            </w:pPr>
          </w:p>
        </w:tc>
      </w:tr>
    </w:tbl>
    <w:p w14:paraId="0D42846F"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rPr>
      </w:pPr>
      <w:r>
        <w:rPr>
          <w:b/>
        </w:rPr>
        <w:t>Galvenās nostādnes</w:t>
      </w:r>
    </w:p>
    <w:p w14:paraId="4BDF51E4"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lang w:val="en-GB"/>
        </w:rPr>
      </w:pPr>
    </w:p>
    <w:p w14:paraId="5155812D" w14:textId="77777777" w:rsidR="008D0052" w:rsidRDefault="008D0052" w:rsidP="008D0052">
      <w:pPr>
        <w:jc w:val="left"/>
        <w:rPr>
          <w:b/>
          <w:bCs/>
        </w:rPr>
      </w:pPr>
      <w:r>
        <w:rPr>
          <w:b/>
        </w:rPr>
        <w:t>EESK:</w:t>
      </w:r>
    </w:p>
    <w:p w14:paraId="6CD2846B" w14:textId="77777777" w:rsidR="00F65006" w:rsidRPr="008D0052" w:rsidRDefault="00F65006" w:rsidP="008D0052">
      <w:pPr>
        <w:jc w:val="left"/>
        <w:rPr>
          <w:lang w:val="fr-BE" w:eastAsia="fr-BE"/>
        </w:rPr>
      </w:pPr>
    </w:p>
    <w:p w14:paraId="5849840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 xml:space="preserve">atzinīgi vērtē Komisijas priekšlikumu programmai </w:t>
      </w:r>
      <w:proofErr w:type="spellStart"/>
      <w:r>
        <w:rPr>
          <w:i/>
          <w:iCs/>
        </w:rPr>
        <w:t>AgoraEU</w:t>
      </w:r>
      <w:proofErr w:type="spellEnd"/>
      <w:r>
        <w:t xml:space="preserve"> un programmai “Tiesiskums” un mudina Eiropas Parlamentu un Padomi apstiprināt šos priekšlikumus, nesamazinot ierosināto finansējumu;</w:t>
      </w:r>
    </w:p>
    <w:p w14:paraId="175AAA81"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aicina skaidri atzīt interešu aizstāvības funkciju kā pilsoniskās sabiedrības organizāciju (PSO) darba būtisku sastāvdaļu un to lomu politikas veidošanā, lai stiprinātu demokrātiju un noturību;</w:t>
      </w:r>
    </w:p>
    <w:p w14:paraId="0C4BE5EB"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 xml:space="preserve">iesaka ieviest darbības dotācijas visās programmas </w:t>
      </w:r>
      <w:proofErr w:type="spellStart"/>
      <w:r>
        <w:rPr>
          <w:i/>
          <w:iCs/>
        </w:rPr>
        <w:t>AgoraEU</w:t>
      </w:r>
      <w:proofErr w:type="spellEnd"/>
      <w:r>
        <w:t xml:space="preserve"> sadaļās ar mērķi stiprinātu PSO institucionālo stabilitāti, un prasa programmas “Tiesiskums” ietvaros paredzētās darbības dotācijas attiecināt arī uz bezpeļņas organizācijām, kas darbojas Eiropas vispārējās interesēs;</w:t>
      </w:r>
    </w:p>
    <w:p w14:paraId="56C00DA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atzinīgi vērtē finansiālā atbalsta saglabāšanu trešajām personām (</w:t>
      </w:r>
      <w:r>
        <w:rPr>
          <w:i/>
          <w:iCs/>
        </w:rPr>
        <w:t>FSTP</w:t>
      </w:r>
      <w:r>
        <w:t xml:space="preserve">), izmantojot </w:t>
      </w:r>
      <w:proofErr w:type="spellStart"/>
      <w:r>
        <w:t>starpniekorganizācijas</w:t>
      </w:r>
      <w:proofErr w:type="spellEnd"/>
      <w:r>
        <w:t xml:space="preserve">, lai sasniegtu mazākas un vietēja līmeņa grupas, un aicina nodrošināt, ka starpnieku neatkarība un to pārvaldības atbilstība ES Pamattiesību hartai ir nozīmīgi atbilstības kritēriji to atlasē. EESK arī aicina nodrošināt skaidrību par līdzfinansējuma likmēm, ierosinot līdz 100 % ES finansējuma </w:t>
      </w:r>
      <w:proofErr w:type="spellStart"/>
      <w:r>
        <w:t>starpniekorganizācijām</w:t>
      </w:r>
      <w:proofErr w:type="spellEnd"/>
      <w:r>
        <w:t xml:space="preserve"> un dotāciju </w:t>
      </w:r>
      <w:proofErr w:type="spellStart"/>
      <w:r>
        <w:t>galasaņēmējiem</w:t>
      </w:r>
      <w:proofErr w:type="spellEnd"/>
      <w:r>
        <w:t>, kas īsteno deleģētās darbības;</w:t>
      </w:r>
    </w:p>
    <w:p w14:paraId="20D9DDF3"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 xml:space="preserve">norāda, ka ir jāpielāgo programmas “Radošā Eiropa” biroju pilnvaras un resursi, lai efektīvi atbalstītu programmas </w:t>
      </w:r>
      <w:proofErr w:type="spellStart"/>
      <w:r>
        <w:rPr>
          <w:i/>
          <w:iCs/>
        </w:rPr>
        <w:t>AgoraEU</w:t>
      </w:r>
      <w:proofErr w:type="spellEnd"/>
      <w:r>
        <w:rPr>
          <w:i/>
          <w:iCs/>
        </w:rPr>
        <w:t xml:space="preserve"> </w:t>
      </w:r>
      <w:r>
        <w:t>plašāku darbību kultūras, mediju un pilsoniskajā jomā;</w:t>
      </w:r>
    </w:p>
    <w:p w14:paraId="612471EA"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aicina nodrošināt elastību un aizsardzības pasākumus (piemēram, indeksāciju, koriģējošus mehānismus) vienreizēju maksājumu un daudzgadu dotāciju veidā, lai saņēmējiem neradītu finansiālu slogu;</w:t>
      </w:r>
    </w:p>
    <w:p w14:paraId="4E331884"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 xml:space="preserve">vēlas skaidrību par sinerģiju starp Eiropas Konkurētspējas fondu (EKF) un </w:t>
      </w:r>
      <w:proofErr w:type="spellStart"/>
      <w:r>
        <w:rPr>
          <w:i/>
          <w:iCs/>
        </w:rPr>
        <w:t>AgoraEU</w:t>
      </w:r>
      <w:proofErr w:type="spellEnd"/>
      <w:r>
        <w:t xml:space="preserve"> sadaļu </w:t>
      </w:r>
      <w:proofErr w:type="spellStart"/>
      <w:r>
        <w:rPr>
          <w:i/>
          <w:iCs/>
        </w:rPr>
        <w:t>Media</w:t>
      </w:r>
      <w:proofErr w:type="spellEnd"/>
      <w:r>
        <w:rPr>
          <w:i/>
          <w:iCs/>
        </w:rPr>
        <w:t>+</w:t>
      </w:r>
      <w:r>
        <w:t>; mudina Komisiju nodrošināt, ka dotāciju saņēmēji ir savstarpēji saistīti, un izstrādāt rīcības plānu, lai abās regulās ierosinātie noteikumi par kombinēto un kumulatīvo finansējumu darbotos, tostarp attiecībā uz kopīgiem uzaicinājumiem, ģenerāldirektorātu sadarbību un snieguma uzraudzību;</w:t>
      </w:r>
    </w:p>
    <w:p w14:paraId="1940591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iesaka programmā “Tiesiskums” vairāk koncentrēties uz cietušo personu tiesībām un tiesu iestāžu pieejamību, tostarp finansējumu atbalsta tīkliem, apmācību praktizējošiem juristiem un juridiskās palīdzības pārrobežu pieejamību;</w:t>
      </w:r>
    </w:p>
    <w:p w14:paraId="54A7B39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aicina abās programmās novērst ES iekšējā finansējuma nelīdzsvarotību, it īpaši attiecībā uz austrumu-rietumu dalījumu;</w:t>
      </w:r>
    </w:p>
    <w:p w14:paraId="40A1333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 xml:space="preserve">pauž nožēlu, ka </w:t>
      </w:r>
      <w:proofErr w:type="spellStart"/>
      <w:r>
        <w:rPr>
          <w:i/>
          <w:iCs/>
        </w:rPr>
        <w:t>AgoraEU</w:t>
      </w:r>
      <w:proofErr w:type="spellEnd"/>
      <w:r>
        <w:t xml:space="preserve"> regulā nav pārņemta darba grupas pilsoniskā dialoga jautājumos izveide, un mudina to atjaunot;</w:t>
      </w:r>
    </w:p>
    <w:p w14:paraId="0453F72F" w14:textId="77777777" w:rsidR="0045787F" w:rsidRDefault="0045787F">
      <w:pPr>
        <w:spacing w:after="160" w:line="259" w:lineRule="auto"/>
        <w:jc w:val="left"/>
      </w:pPr>
      <w:r>
        <w:br w:type="page"/>
      </w:r>
    </w:p>
    <w:p w14:paraId="0337C2BE" w14:textId="188D6B24" w:rsidR="008D0052" w:rsidRDefault="008D0052" w:rsidP="00F65006">
      <w:pPr>
        <w:numPr>
          <w:ilvl w:val="0"/>
          <w:numId w:val="21"/>
        </w:numPr>
        <w:tabs>
          <w:tab w:val="clear" w:pos="720"/>
        </w:tabs>
        <w:overflowPunct w:val="0"/>
        <w:autoSpaceDE w:val="0"/>
        <w:autoSpaceDN w:val="0"/>
        <w:adjustRightInd w:val="0"/>
        <w:ind w:left="284" w:hanging="284"/>
        <w:textAlignment w:val="baseline"/>
      </w:pPr>
      <w:r>
        <w:lastRenderedPageBreak/>
        <w:t xml:space="preserve">uzsver, ka programmu ietekme ir atkarīga no atbilstošas valsts infrastruktūras un līdzfinansējuma, un ierosina sasaistīt piekļuvi ES dalītās pārvaldības fondiem ar dalībvalstu apliecināto atbalstu </w:t>
      </w:r>
      <w:proofErr w:type="spellStart"/>
      <w:r>
        <w:rPr>
          <w:i/>
          <w:iCs/>
        </w:rPr>
        <w:t>AgoraEU</w:t>
      </w:r>
      <w:proofErr w:type="spellEnd"/>
      <w:r>
        <w:t xml:space="preserve"> un “Tiesiskums” mērķiem.</w:t>
      </w:r>
    </w:p>
    <w:p w14:paraId="1831EAE3" w14:textId="77777777" w:rsidR="00F65006" w:rsidRPr="008D0052" w:rsidRDefault="00F65006" w:rsidP="00054C58">
      <w:pPr>
        <w:overflowPunct w:val="0"/>
        <w:autoSpaceDE w:val="0"/>
        <w:autoSpaceDN w:val="0"/>
        <w:adjustRightInd w:val="0"/>
        <w:ind w:left="360"/>
        <w:textAlignment w:val="baseline"/>
        <w:rPr>
          <w:lang w:eastAsia="fr-BE"/>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4493"/>
      </w:tblGrid>
      <w:tr w:rsidR="008D0052" w:rsidRPr="008D0052" w14:paraId="02CD12AD" w14:textId="77777777" w:rsidTr="0036489A">
        <w:tc>
          <w:tcPr>
            <w:tcW w:w="1210" w:type="dxa"/>
          </w:tcPr>
          <w:p w14:paraId="0D36B81C" w14:textId="77777777" w:rsidR="008D0052" w:rsidRPr="008D0052" w:rsidRDefault="008D0052" w:rsidP="008D0052">
            <w:pPr>
              <w:overflowPunct w:val="0"/>
              <w:autoSpaceDE w:val="0"/>
              <w:autoSpaceDN w:val="0"/>
              <w:adjustRightInd w:val="0"/>
              <w:spacing w:line="240" w:lineRule="auto"/>
              <w:textAlignment w:val="baseline"/>
              <w:rPr>
                <w:i/>
              </w:rPr>
            </w:pPr>
            <w:r>
              <w:rPr>
                <w:b/>
                <w:i/>
              </w:rPr>
              <w:t>Kontaktpersona:</w:t>
            </w:r>
          </w:p>
        </w:tc>
        <w:tc>
          <w:tcPr>
            <w:tcW w:w="4493" w:type="dxa"/>
          </w:tcPr>
          <w:p w14:paraId="0741CFC9" w14:textId="77777777" w:rsidR="008D0052" w:rsidRPr="008D0052" w:rsidRDefault="008D0052" w:rsidP="008D0052">
            <w:pPr>
              <w:overflowPunct w:val="0"/>
              <w:autoSpaceDE w:val="0"/>
              <w:autoSpaceDN w:val="0"/>
              <w:adjustRightInd w:val="0"/>
              <w:spacing w:line="240" w:lineRule="auto"/>
              <w:ind w:hanging="12"/>
              <w:textAlignment w:val="baseline"/>
              <w:rPr>
                <w:i/>
              </w:rPr>
            </w:pPr>
            <w:proofErr w:type="spellStart"/>
            <w:r>
              <w:rPr>
                <w:i/>
              </w:rPr>
              <w:t>Alessia</w:t>
            </w:r>
            <w:proofErr w:type="spellEnd"/>
            <w:r>
              <w:rPr>
                <w:i/>
              </w:rPr>
              <w:t xml:space="preserve"> </w:t>
            </w:r>
            <w:proofErr w:type="spellStart"/>
            <w:r>
              <w:rPr>
                <w:i/>
              </w:rPr>
              <w:t>Cova</w:t>
            </w:r>
            <w:proofErr w:type="spellEnd"/>
          </w:p>
        </w:tc>
      </w:tr>
      <w:tr w:rsidR="008D0052" w:rsidRPr="008D0052" w14:paraId="00343FBD" w14:textId="77777777" w:rsidTr="0036489A">
        <w:tc>
          <w:tcPr>
            <w:tcW w:w="1210" w:type="dxa"/>
          </w:tcPr>
          <w:p w14:paraId="10523811" w14:textId="77777777" w:rsidR="008D0052" w:rsidRPr="008D0052" w:rsidRDefault="008D0052" w:rsidP="008D0052">
            <w:pPr>
              <w:overflowPunct w:val="0"/>
              <w:autoSpaceDE w:val="0"/>
              <w:autoSpaceDN w:val="0"/>
              <w:adjustRightInd w:val="0"/>
              <w:spacing w:line="240" w:lineRule="auto"/>
              <w:textAlignment w:val="baseline"/>
              <w:rPr>
                <w:i/>
              </w:rPr>
            </w:pPr>
            <w:r>
              <w:rPr>
                <w:i/>
              </w:rPr>
              <w:t>Tālr.:</w:t>
            </w:r>
          </w:p>
        </w:tc>
        <w:tc>
          <w:tcPr>
            <w:tcW w:w="4493" w:type="dxa"/>
          </w:tcPr>
          <w:p w14:paraId="3D3DA01D" w14:textId="77777777" w:rsidR="008D0052" w:rsidRPr="008D0052" w:rsidRDefault="008D0052" w:rsidP="008D0052">
            <w:pPr>
              <w:overflowPunct w:val="0"/>
              <w:autoSpaceDE w:val="0"/>
              <w:autoSpaceDN w:val="0"/>
              <w:adjustRightInd w:val="0"/>
              <w:spacing w:line="240" w:lineRule="auto"/>
              <w:textAlignment w:val="baseline"/>
              <w:rPr>
                <w:i/>
              </w:rPr>
            </w:pPr>
            <w:r>
              <w:rPr>
                <w:i/>
              </w:rPr>
              <w:t>+32 25469426</w:t>
            </w:r>
          </w:p>
        </w:tc>
      </w:tr>
      <w:tr w:rsidR="008D0052" w:rsidRPr="008D0052" w14:paraId="6CB55D06" w14:textId="77777777" w:rsidTr="0036489A">
        <w:tc>
          <w:tcPr>
            <w:tcW w:w="1210" w:type="dxa"/>
          </w:tcPr>
          <w:p w14:paraId="6F7DF6B2" w14:textId="77777777" w:rsidR="008D0052" w:rsidRPr="008D0052" w:rsidRDefault="008D0052" w:rsidP="008D0052">
            <w:pPr>
              <w:overflowPunct w:val="0"/>
              <w:autoSpaceDE w:val="0"/>
              <w:autoSpaceDN w:val="0"/>
              <w:adjustRightInd w:val="0"/>
              <w:spacing w:line="240" w:lineRule="auto"/>
              <w:textAlignment w:val="baseline"/>
              <w:rPr>
                <w:i/>
              </w:rPr>
            </w:pPr>
            <w:r>
              <w:rPr>
                <w:i/>
              </w:rPr>
              <w:t>E-pasts:</w:t>
            </w:r>
          </w:p>
        </w:tc>
        <w:tc>
          <w:tcPr>
            <w:tcW w:w="4493" w:type="dxa"/>
          </w:tcPr>
          <w:p w14:paraId="4E6DFDFB" w14:textId="77777777" w:rsidR="008D0052" w:rsidRPr="008D0052" w:rsidRDefault="00E27DEE" w:rsidP="008D0052">
            <w:pPr>
              <w:overflowPunct w:val="0"/>
              <w:autoSpaceDE w:val="0"/>
              <w:autoSpaceDN w:val="0"/>
              <w:adjustRightInd w:val="0"/>
              <w:spacing w:line="240" w:lineRule="auto"/>
              <w:textAlignment w:val="baseline"/>
              <w:rPr>
                <w:i/>
                <w:iCs/>
              </w:rPr>
            </w:pPr>
            <w:hyperlink r:id="rId27" w:history="1">
              <w:r w:rsidR="00B9028C">
                <w:rPr>
                  <w:i/>
                  <w:color w:val="0000FF"/>
                  <w:u w:val="single"/>
                </w:rPr>
                <w:t>Alessia.Cova@eesc.europa.eu</w:t>
              </w:r>
            </w:hyperlink>
          </w:p>
        </w:tc>
      </w:tr>
    </w:tbl>
    <w:p w14:paraId="4982DDC5" w14:textId="04BE9D07" w:rsidR="004D7AC0" w:rsidRDefault="004D7AC0" w:rsidP="004D7AC0">
      <w:pPr>
        <w:spacing w:after="160" w:line="259" w:lineRule="auto"/>
        <w:jc w:val="left"/>
      </w:pPr>
    </w:p>
    <w:p w14:paraId="0B17AFEB" w14:textId="77777777" w:rsidR="0045787F" w:rsidRDefault="0045787F">
      <w:pPr>
        <w:spacing w:after="160" w:line="259" w:lineRule="auto"/>
        <w:jc w:val="left"/>
        <w:rPr>
          <w:b/>
          <w:kern w:val="28"/>
        </w:rPr>
      </w:pPr>
      <w:bookmarkStart w:id="7" w:name="_Toc24617160"/>
      <w:bookmarkStart w:id="8" w:name="_Toc75527082"/>
      <w:r>
        <w:rPr>
          <w:b/>
        </w:rPr>
        <w:br w:type="page"/>
      </w:r>
    </w:p>
    <w:p w14:paraId="4982DDC6" w14:textId="243E74E8" w:rsidR="004D7AC0" w:rsidRDefault="004D7AC0" w:rsidP="004D7AC0">
      <w:pPr>
        <w:pStyle w:val="Heading1"/>
        <w:rPr>
          <w:b/>
        </w:rPr>
      </w:pPr>
      <w:bookmarkStart w:id="9" w:name="_Toc217287877"/>
      <w:r>
        <w:rPr>
          <w:b/>
        </w:rPr>
        <w:lastRenderedPageBreak/>
        <w:t>TRANSPORTS, ENERĢĒTIKA, INFRASTRUKTŪRA UN INFORMĀCIJAS SABIEDRĪBA</w:t>
      </w:r>
      <w:bookmarkEnd w:id="7"/>
      <w:bookmarkEnd w:id="8"/>
      <w:bookmarkEnd w:id="9"/>
    </w:p>
    <w:p w14:paraId="4982DDC7" w14:textId="77777777" w:rsidR="004D7AC0" w:rsidRDefault="004D7AC0" w:rsidP="004D7AC0"/>
    <w:p w14:paraId="34EB6B62" w14:textId="6F247683" w:rsidR="00BC676C" w:rsidRPr="00BC676C" w:rsidRDefault="00E27DEE" w:rsidP="00BC676C">
      <w:pPr>
        <w:widowControl w:val="0"/>
        <w:numPr>
          <w:ilvl w:val="0"/>
          <w:numId w:val="4"/>
        </w:numPr>
        <w:overflowPunct w:val="0"/>
        <w:autoSpaceDE w:val="0"/>
        <w:autoSpaceDN w:val="0"/>
        <w:adjustRightInd w:val="0"/>
        <w:ind w:hanging="567"/>
        <w:textAlignment w:val="baseline"/>
        <w:rPr>
          <w:sz w:val="20"/>
          <w:szCs w:val="20"/>
        </w:rPr>
      </w:pPr>
      <w:hyperlink r:id="rId28" w:history="1">
        <w:r w:rsidR="00B9028C">
          <w:rPr>
            <w:b/>
            <w:i/>
            <w:color w:val="0000FF"/>
            <w:sz w:val="28"/>
            <w:u w:val="single"/>
          </w:rPr>
          <w:t>CO</w:t>
        </w:r>
        <w:r w:rsidR="00B9028C" w:rsidRPr="00A3256E">
          <w:rPr>
            <w:b/>
            <w:i/>
            <w:color w:val="0000FF"/>
            <w:sz w:val="28"/>
            <w:u w:val="single"/>
            <w:vertAlign w:val="subscript"/>
          </w:rPr>
          <w:t>2</w:t>
        </w:r>
        <w:r w:rsidR="00B9028C">
          <w:rPr>
            <w:b/>
            <w:i/>
            <w:color w:val="0000FF"/>
            <w:sz w:val="28"/>
            <w:u w:val="single"/>
          </w:rPr>
          <w:t xml:space="preserve"> emisiju klase lielas noslodzes transportlīdzekļiem ar piekabēm</w:t>
        </w:r>
      </w:hyperlink>
    </w:p>
    <w:p w14:paraId="46836B10" w14:textId="77777777" w:rsidR="00BC676C" w:rsidRPr="00BC676C" w:rsidRDefault="00BC676C" w:rsidP="00BC676C">
      <w:pPr>
        <w:widowControl w:val="0"/>
        <w:overflowPunct w:val="0"/>
        <w:autoSpaceDE w:val="0"/>
        <w:autoSpaceDN w:val="0"/>
        <w:adjustRightInd w:val="0"/>
        <w:ind w:left="567"/>
        <w:textAlignment w:val="baseline"/>
        <w:rPr>
          <w:sz w:val="20"/>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BC676C" w:rsidRPr="00BC676C" w14:paraId="47E39230" w14:textId="77777777" w:rsidTr="0036489A">
        <w:tc>
          <w:tcPr>
            <w:tcW w:w="1701" w:type="dxa"/>
          </w:tcPr>
          <w:p w14:paraId="573F7BF1" w14:textId="77777777" w:rsidR="00BC676C" w:rsidRPr="00BC676C" w:rsidRDefault="00BC676C" w:rsidP="00BC676C">
            <w:pPr>
              <w:tabs>
                <w:tab w:val="center" w:pos="284"/>
              </w:tabs>
              <w:overflowPunct w:val="0"/>
              <w:autoSpaceDE w:val="0"/>
              <w:autoSpaceDN w:val="0"/>
              <w:adjustRightInd w:val="0"/>
              <w:ind w:left="596" w:hanging="709"/>
              <w:textAlignment w:val="baseline"/>
              <w:rPr>
                <w:b/>
              </w:rPr>
            </w:pPr>
            <w:r>
              <w:rPr>
                <w:b/>
              </w:rPr>
              <w:t>Atsauces</w:t>
            </w:r>
          </w:p>
        </w:tc>
        <w:tc>
          <w:tcPr>
            <w:tcW w:w="7621" w:type="dxa"/>
          </w:tcPr>
          <w:p w14:paraId="02FEC31D" w14:textId="2FEC81BF" w:rsidR="00F2608E" w:rsidRDefault="00F2608E" w:rsidP="00BC676C">
            <w:pPr>
              <w:tabs>
                <w:tab w:val="center" w:pos="284"/>
              </w:tabs>
              <w:overflowPunct w:val="0"/>
              <w:autoSpaceDE w:val="0"/>
              <w:autoSpaceDN w:val="0"/>
              <w:adjustRightInd w:val="0"/>
              <w:ind w:left="720" w:hanging="720"/>
              <w:textAlignment w:val="baseline"/>
              <w:rPr>
                <w:bCs/>
              </w:rPr>
            </w:pPr>
            <w:r>
              <w:t>C kategorijas atzinums</w:t>
            </w:r>
          </w:p>
          <w:p w14:paraId="3982A737" w14:textId="64E384F6" w:rsidR="00BC676C" w:rsidRPr="00BC676C" w:rsidRDefault="00BC676C" w:rsidP="00BC676C">
            <w:pPr>
              <w:tabs>
                <w:tab w:val="center" w:pos="284"/>
              </w:tabs>
              <w:overflowPunct w:val="0"/>
              <w:autoSpaceDE w:val="0"/>
              <w:autoSpaceDN w:val="0"/>
              <w:adjustRightInd w:val="0"/>
              <w:ind w:left="720" w:hanging="720"/>
              <w:textAlignment w:val="baseline"/>
              <w:rPr>
                <w:bCs/>
              </w:rPr>
            </w:pPr>
            <w:r>
              <w:t xml:space="preserve">COM(2025) 589 </w:t>
            </w:r>
            <w:proofErr w:type="spellStart"/>
            <w:r>
              <w:t>final</w:t>
            </w:r>
            <w:proofErr w:type="spellEnd"/>
            <w:r>
              <w:t xml:space="preserve"> </w:t>
            </w:r>
          </w:p>
          <w:p w14:paraId="6455BA93" w14:textId="77777777" w:rsidR="00BC676C" w:rsidRPr="00BC676C" w:rsidRDefault="00BC676C" w:rsidP="00BC676C">
            <w:pPr>
              <w:tabs>
                <w:tab w:val="center" w:pos="284"/>
              </w:tabs>
              <w:overflowPunct w:val="0"/>
              <w:autoSpaceDE w:val="0"/>
              <w:autoSpaceDN w:val="0"/>
              <w:adjustRightInd w:val="0"/>
              <w:ind w:left="720" w:hanging="720"/>
              <w:textAlignment w:val="baseline"/>
            </w:pPr>
            <w:r>
              <w:t>EESC-2023-03779-00-AC</w:t>
            </w:r>
          </w:p>
        </w:tc>
      </w:tr>
    </w:tbl>
    <w:p w14:paraId="006C0DCA"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4C59A366"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rPr>
      </w:pPr>
      <w:r>
        <w:rPr>
          <w:b/>
        </w:rPr>
        <w:t>Galvenās nostādnes</w:t>
      </w:r>
    </w:p>
    <w:p w14:paraId="25DE4F8F"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5C9ED52C" w14:textId="77777777" w:rsidR="00BC676C" w:rsidRPr="00BC676C" w:rsidRDefault="00BC676C" w:rsidP="00BC676C">
      <w:pPr>
        <w:widowControl w:val="0"/>
        <w:numPr>
          <w:ilvl w:val="0"/>
          <w:numId w:val="4"/>
        </w:numPr>
        <w:overflowPunct w:val="0"/>
        <w:autoSpaceDE w:val="0"/>
        <w:autoSpaceDN w:val="0"/>
        <w:adjustRightInd w:val="0"/>
        <w:ind w:hanging="567"/>
        <w:textAlignment w:val="baseline"/>
        <w:rPr>
          <w:bCs/>
          <w:iCs/>
        </w:rPr>
      </w:pPr>
      <w:r>
        <w:t>Tā kā Komiteja 2023. gada 20. septembrī pieņemtajā atzinumā TEN/815 “CO</w:t>
      </w:r>
      <w:r w:rsidRPr="00A3256E">
        <w:rPr>
          <w:vertAlign w:val="subscript"/>
        </w:rPr>
        <w:t>2</w:t>
      </w:r>
      <w:r>
        <w:t xml:space="preserve"> emisiju klase lielas noslodzes transportlīdzekļiem ar piekabēm” [</w:t>
      </w:r>
      <w:hyperlink r:id="rId29" w:history="1">
        <w:r>
          <w:rPr>
            <w:color w:val="0000FF"/>
            <w:u w:val="single"/>
          </w:rPr>
          <w:t>C/2023/874</w:t>
        </w:r>
      </w:hyperlink>
      <w:r>
        <w:t>] par attiecīgā priekšlikuma saturu jau paudusi savu viedokli, tā nolēma jaunu atzinumu par šo tematu neizstrādāt, bet norādīt uz minētajā atzinumā pausto viedokli.</w:t>
      </w:r>
    </w:p>
    <w:p w14:paraId="5464E9FA" w14:textId="77777777" w:rsidR="00BC676C" w:rsidRPr="00BC676C" w:rsidRDefault="00BC676C" w:rsidP="00BC676C">
      <w:pPr>
        <w:widowControl w:val="0"/>
        <w:overflowPunct w:val="0"/>
        <w:autoSpaceDE w:val="0"/>
        <w:autoSpaceDN w:val="0"/>
        <w:adjustRightInd w:val="0"/>
        <w:ind w:left="720" w:hanging="720"/>
        <w:textAlignment w:val="baseline"/>
        <w:rPr>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7727"/>
      </w:tblGrid>
      <w:tr w:rsidR="00BC676C" w:rsidRPr="00BC676C" w14:paraId="63E00060" w14:textId="77777777" w:rsidTr="0036489A">
        <w:tc>
          <w:tcPr>
            <w:tcW w:w="1418" w:type="dxa"/>
          </w:tcPr>
          <w:p w14:paraId="3E70F25D" w14:textId="77777777" w:rsidR="00BC676C" w:rsidRPr="00BC676C" w:rsidRDefault="00BC676C" w:rsidP="00BC676C">
            <w:pPr>
              <w:overflowPunct w:val="0"/>
              <w:autoSpaceDE w:val="0"/>
              <w:autoSpaceDN w:val="0"/>
              <w:adjustRightInd w:val="0"/>
              <w:ind w:left="720" w:hanging="720"/>
              <w:textAlignment w:val="baseline"/>
              <w:rPr>
                <w:i/>
              </w:rPr>
            </w:pPr>
            <w:r>
              <w:rPr>
                <w:b/>
                <w:i/>
              </w:rPr>
              <w:t>Kontaktpersona:</w:t>
            </w:r>
          </w:p>
        </w:tc>
        <w:tc>
          <w:tcPr>
            <w:tcW w:w="7904" w:type="dxa"/>
          </w:tcPr>
          <w:p w14:paraId="0E0EABC3" w14:textId="609FD13C" w:rsidR="00BC676C" w:rsidRPr="00BC676C" w:rsidRDefault="00BC676C" w:rsidP="00BC676C">
            <w:pPr>
              <w:overflowPunct w:val="0"/>
              <w:autoSpaceDE w:val="0"/>
              <w:autoSpaceDN w:val="0"/>
              <w:adjustRightInd w:val="0"/>
              <w:ind w:left="720" w:hanging="720"/>
              <w:textAlignment w:val="baseline"/>
              <w:rPr>
                <w:i/>
              </w:rPr>
            </w:pPr>
            <w:proofErr w:type="spellStart"/>
            <w:r>
              <w:rPr>
                <w:i/>
              </w:rPr>
              <w:t>Maja</w:t>
            </w:r>
            <w:proofErr w:type="spellEnd"/>
            <w:r>
              <w:rPr>
                <w:i/>
              </w:rPr>
              <w:t xml:space="preserve"> </w:t>
            </w:r>
            <w:proofErr w:type="spellStart"/>
            <w:r>
              <w:rPr>
                <w:i/>
              </w:rPr>
              <w:t>Radman</w:t>
            </w:r>
            <w:proofErr w:type="spellEnd"/>
          </w:p>
        </w:tc>
      </w:tr>
      <w:tr w:rsidR="00BC676C" w:rsidRPr="00BC676C" w14:paraId="10A1FE95" w14:textId="77777777" w:rsidTr="0036489A">
        <w:tc>
          <w:tcPr>
            <w:tcW w:w="1418" w:type="dxa"/>
          </w:tcPr>
          <w:p w14:paraId="237B46FB" w14:textId="77777777" w:rsidR="00BC676C" w:rsidRPr="00BC676C" w:rsidRDefault="00BC676C" w:rsidP="00BC676C">
            <w:pPr>
              <w:overflowPunct w:val="0"/>
              <w:autoSpaceDE w:val="0"/>
              <w:autoSpaceDN w:val="0"/>
              <w:adjustRightInd w:val="0"/>
              <w:ind w:left="720" w:hanging="720"/>
              <w:textAlignment w:val="baseline"/>
              <w:rPr>
                <w:i/>
              </w:rPr>
            </w:pPr>
            <w:r>
              <w:rPr>
                <w:i/>
              </w:rPr>
              <w:t>Tālr.:</w:t>
            </w:r>
          </w:p>
        </w:tc>
        <w:tc>
          <w:tcPr>
            <w:tcW w:w="7904" w:type="dxa"/>
          </w:tcPr>
          <w:p w14:paraId="4B5ED86F" w14:textId="77777777" w:rsidR="00BC676C" w:rsidRPr="00BC676C" w:rsidRDefault="00BC676C" w:rsidP="00BC676C">
            <w:pPr>
              <w:overflowPunct w:val="0"/>
              <w:autoSpaceDE w:val="0"/>
              <w:autoSpaceDN w:val="0"/>
              <w:adjustRightInd w:val="0"/>
              <w:ind w:left="720" w:hanging="720"/>
              <w:textAlignment w:val="baseline"/>
              <w:rPr>
                <w:i/>
              </w:rPr>
            </w:pPr>
            <w:r>
              <w:rPr>
                <w:i/>
              </w:rPr>
              <w:t>+32 254690</w:t>
            </w:r>
            <w:r>
              <w:t>51</w:t>
            </w:r>
          </w:p>
        </w:tc>
      </w:tr>
      <w:tr w:rsidR="00BC676C" w:rsidRPr="00BC676C" w14:paraId="31255C9B" w14:textId="77777777" w:rsidTr="0036489A">
        <w:tc>
          <w:tcPr>
            <w:tcW w:w="1418" w:type="dxa"/>
          </w:tcPr>
          <w:p w14:paraId="31B04EF4" w14:textId="77777777" w:rsidR="00BC676C" w:rsidRPr="00BC676C" w:rsidRDefault="00BC676C" w:rsidP="00BC676C">
            <w:pPr>
              <w:overflowPunct w:val="0"/>
              <w:autoSpaceDE w:val="0"/>
              <w:autoSpaceDN w:val="0"/>
              <w:adjustRightInd w:val="0"/>
              <w:ind w:left="720" w:hanging="720"/>
              <w:textAlignment w:val="baseline"/>
              <w:rPr>
                <w:i/>
              </w:rPr>
            </w:pPr>
            <w:r>
              <w:rPr>
                <w:i/>
              </w:rPr>
              <w:t>E-pasts:</w:t>
            </w:r>
          </w:p>
        </w:tc>
        <w:tc>
          <w:tcPr>
            <w:tcW w:w="7904" w:type="dxa"/>
          </w:tcPr>
          <w:p w14:paraId="53D1C2A7" w14:textId="77777777" w:rsidR="00BC676C" w:rsidRPr="00BC676C" w:rsidRDefault="00E27DEE" w:rsidP="00BC676C">
            <w:pPr>
              <w:overflowPunct w:val="0"/>
              <w:autoSpaceDE w:val="0"/>
              <w:autoSpaceDN w:val="0"/>
              <w:adjustRightInd w:val="0"/>
              <w:ind w:left="720" w:hanging="720"/>
              <w:textAlignment w:val="baseline"/>
              <w:rPr>
                <w:i/>
              </w:rPr>
            </w:pPr>
            <w:hyperlink r:id="rId30" w:history="1">
              <w:r w:rsidR="00B9028C">
                <w:rPr>
                  <w:i/>
                  <w:color w:val="0000FF"/>
                  <w:u w:val="single"/>
                </w:rPr>
                <w:t>Maja.Radman@eesc.europa.eu</w:t>
              </w:r>
            </w:hyperlink>
          </w:p>
        </w:tc>
      </w:tr>
    </w:tbl>
    <w:p w14:paraId="4982DDEF" w14:textId="77777777" w:rsidR="004D7AC0" w:rsidRDefault="004D7AC0" w:rsidP="004D7AC0">
      <w:pPr>
        <w:pStyle w:val="ListParagraph"/>
        <w:ind w:left="0"/>
      </w:pPr>
    </w:p>
    <w:p w14:paraId="4982DDF0" w14:textId="09A1E184" w:rsidR="0005334D" w:rsidRDefault="0005334D">
      <w:pPr>
        <w:spacing w:after="160" w:line="259" w:lineRule="auto"/>
        <w:jc w:val="left"/>
      </w:pPr>
      <w:r>
        <w:br w:type="page"/>
      </w:r>
    </w:p>
    <w:p w14:paraId="15C6E6D3" w14:textId="0770B780" w:rsidR="0005334D" w:rsidRPr="0005334D" w:rsidRDefault="0005334D" w:rsidP="0005334D">
      <w:pPr>
        <w:widowControl w:val="0"/>
        <w:numPr>
          <w:ilvl w:val="0"/>
          <w:numId w:val="4"/>
        </w:numPr>
        <w:overflowPunct w:val="0"/>
        <w:autoSpaceDE w:val="0"/>
        <w:autoSpaceDN w:val="0"/>
        <w:adjustRightInd w:val="0"/>
        <w:ind w:hanging="567"/>
        <w:textAlignment w:val="baseline"/>
        <w:rPr>
          <w:color w:val="0000FF"/>
          <w:sz w:val="24"/>
          <w:szCs w:val="24"/>
          <w:u w:val="single"/>
        </w:rPr>
      </w:pPr>
      <w:r w:rsidRPr="0005334D">
        <w:rPr>
          <w:b/>
          <w:i/>
          <w:sz w:val="28"/>
        </w:rPr>
        <w:lastRenderedPageBreak/>
        <w:fldChar w:fldCharType="begin"/>
      </w:r>
      <w:r w:rsidRPr="0005334D">
        <w:rPr>
          <w:b/>
          <w:i/>
          <w:sz w:val="28"/>
        </w:rPr>
        <w:instrText xml:space="preserve"> HYPERLINK "https://www.eesc.europa.eu/lv/our-work/opinions-information-reports/opinions/eu-space-act" </w:instrText>
      </w:r>
      <w:r w:rsidRPr="0005334D">
        <w:rPr>
          <w:b/>
          <w:i/>
          <w:sz w:val="28"/>
        </w:rPr>
        <w:fldChar w:fldCharType="separate"/>
      </w:r>
      <w:r>
        <w:rPr>
          <w:b/>
          <w:i/>
          <w:color w:val="0000FF"/>
          <w:sz w:val="28"/>
          <w:u w:val="single"/>
        </w:rPr>
        <w:t>ES Kosmosa akts</w:t>
      </w:r>
    </w:p>
    <w:p w14:paraId="0A91F32A" w14:textId="77777777" w:rsidR="0005334D" w:rsidRPr="0005334D" w:rsidRDefault="0005334D" w:rsidP="0005334D">
      <w:pPr>
        <w:tabs>
          <w:tab w:val="center" w:pos="284"/>
        </w:tabs>
        <w:overflowPunct w:val="0"/>
        <w:autoSpaceDE w:val="0"/>
        <w:autoSpaceDN w:val="0"/>
        <w:adjustRightInd w:val="0"/>
        <w:ind w:left="266" w:hanging="266"/>
        <w:textAlignment w:val="baseline"/>
        <w:rPr>
          <w:b/>
          <w:sz w:val="14"/>
        </w:rPr>
      </w:pPr>
      <w:r w:rsidRPr="0005334D">
        <w:rPr>
          <w:b/>
          <w:i/>
          <w:sz w:val="28"/>
        </w:rPr>
        <w:fldChar w:fldCharType="end"/>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05334D" w:rsidRPr="0005334D" w14:paraId="0F0AF7C0" w14:textId="77777777" w:rsidTr="0036489A">
        <w:tc>
          <w:tcPr>
            <w:tcW w:w="1701" w:type="dxa"/>
          </w:tcPr>
          <w:p w14:paraId="1C2A42D0"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rPr>
              <w:t>Ziņotājs</w:t>
            </w:r>
          </w:p>
        </w:tc>
        <w:tc>
          <w:tcPr>
            <w:tcW w:w="5387" w:type="dxa"/>
          </w:tcPr>
          <w:p w14:paraId="1C51F404" w14:textId="0A3C4CB8" w:rsidR="0005334D" w:rsidRPr="0005334D" w:rsidRDefault="0005334D" w:rsidP="0005334D">
            <w:pPr>
              <w:tabs>
                <w:tab w:val="center" w:pos="284"/>
              </w:tabs>
              <w:overflowPunct w:val="0"/>
              <w:autoSpaceDE w:val="0"/>
              <w:autoSpaceDN w:val="0"/>
              <w:adjustRightInd w:val="0"/>
              <w:ind w:left="266" w:hanging="266"/>
              <w:textAlignment w:val="baseline"/>
            </w:pPr>
            <w:proofErr w:type="spellStart"/>
            <w:r>
              <w:t>Angelo</w:t>
            </w:r>
            <w:proofErr w:type="spellEnd"/>
            <w:r>
              <w:t> PAGLIARA (Darba ņēmēju grupa – IT)</w:t>
            </w:r>
          </w:p>
        </w:tc>
      </w:tr>
      <w:tr w:rsidR="0005334D" w:rsidRPr="0005334D" w14:paraId="53E511CA" w14:textId="77777777" w:rsidTr="0036489A">
        <w:tc>
          <w:tcPr>
            <w:tcW w:w="7088" w:type="dxa"/>
            <w:gridSpan w:val="2"/>
          </w:tcPr>
          <w:p w14:paraId="32CF405E" w14:textId="77777777" w:rsidR="0005334D" w:rsidRPr="0005334D" w:rsidRDefault="0005334D" w:rsidP="0005334D">
            <w:pPr>
              <w:tabs>
                <w:tab w:val="center" w:pos="284"/>
              </w:tabs>
              <w:overflowPunct w:val="0"/>
              <w:autoSpaceDE w:val="0"/>
              <w:autoSpaceDN w:val="0"/>
              <w:adjustRightInd w:val="0"/>
              <w:spacing w:line="160" w:lineRule="exact"/>
              <w:ind w:left="266" w:hanging="266"/>
              <w:textAlignment w:val="baseline"/>
            </w:pPr>
          </w:p>
        </w:tc>
      </w:tr>
      <w:tr w:rsidR="0005334D" w:rsidRPr="0005334D" w14:paraId="3F8991D4" w14:textId="77777777" w:rsidTr="0036489A">
        <w:tc>
          <w:tcPr>
            <w:tcW w:w="1701" w:type="dxa"/>
            <w:vMerge w:val="restart"/>
          </w:tcPr>
          <w:p w14:paraId="15E862B4"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rPr>
              <w:t xml:space="preserve">Atsauces </w:t>
            </w:r>
          </w:p>
        </w:tc>
        <w:tc>
          <w:tcPr>
            <w:tcW w:w="5387" w:type="dxa"/>
          </w:tcPr>
          <w:p w14:paraId="0F1F5196" w14:textId="4657F08E" w:rsidR="0005334D" w:rsidRPr="0005334D" w:rsidRDefault="0005334D" w:rsidP="0005334D">
            <w:pPr>
              <w:tabs>
                <w:tab w:val="center" w:pos="284"/>
              </w:tabs>
              <w:overflowPunct w:val="0"/>
              <w:autoSpaceDE w:val="0"/>
              <w:autoSpaceDN w:val="0"/>
              <w:adjustRightInd w:val="0"/>
              <w:ind w:left="266" w:hanging="266"/>
              <w:textAlignment w:val="baseline"/>
            </w:pPr>
            <w:r>
              <w:t xml:space="preserve">COM(2025) 335 </w:t>
            </w:r>
            <w:proofErr w:type="spellStart"/>
            <w:r>
              <w:t>final</w:t>
            </w:r>
            <w:proofErr w:type="spellEnd"/>
            <w:r>
              <w:t xml:space="preserve"> </w:t>
            </w:r>
          </w:p>
        </w:tc>
      </w:tr>
      <w:tr w:rsidR="0005334D" w:rsidRPr="0005334D" w14:paraId="5CF8C9B4" w14:textId="77777777" w:rsidTr="0036489A">
        <w:tc>
          <w:tcPr>
            <w:tcW w:w="1701" w:type="dxa"/>
            <w:vMerge/>
          </w:tcPr>
          <w:p w14:paraId="1BAC3D8C"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p>
        </w:tc>
        <w:tc>
          <w:tcPr>
            <w:tcW w:w="5387" w:type="dxa"/>
          </w:tcPr>
          <w:p w14:paraId="39C1DAEF" w14:textId="77777777" w:rsidR="0005334D" w:rsidRPr="0005334D" w:rsidRDefault="0005334D" w:rsidP="0005334D">
            <w:pPr>
              <w:tabs>
                <w:tab w:val="center" w:pos="284"/>
              </w:tabs>
              <w:overflowPunct w:val="0"/>
              <w:autoSpaceDE w:val="0"/>
              <w:autoSpaceDN w:val="0"/>
              <w:adjustRightInd w:val="0"/>
              <w:ind w:left="266" w:hanging="266"/>
              <w:textAlignment w:val="baseline"/>
            </w:pPr>
            <w:r>
              <w:t>EESC-2024-00225-00-00-AC</w:t>
            </w:r>
          </w:p>
        </w:tc>
      </w:tr>
    </w:tbl>
    <w:p w14:paraId="4F5EF826" w14:textId="77777777" w:rsidR="0005334D" w:rsidRPr="0005334D" w:rsidRDefault="0005334D" w:rsidP="0005334D">
      <w:pPr>
        <w:tabs>
          <w:tab w:val="center" w:pos="284"/>
        </w:tabs>
        <w:overflowPunct w:val="0"/>
        <w:autoSpaceDE w:val="0"/>
        <w:autoSpaceDN w:val="0"/>
        <w:adjustRightInd w:val="0"/>
        <w:ind w:left="266" w:hanging="266"/>
        <w:textAlignment w:val="baseline"/>
        <w:rPr>
          <w:sz w:val="14"/>
          <w:szCs w:val="14"/>
          <w:lang w:val="en-GB"/>
        </w:rPr>
      </w:pPr>
    </w:p>
    <w:p w14:paraId="0962AA04"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rPr>
      </w:pPr>
      <w:r>
        <w:rPr>
          <w:b/>
        </w:rPr>
        <w:t>Galvenās nostādnes</w:t>
      </w:r>
    </w:p>
    <w:p w14:paraId="2921179F"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lang w:val="en-GB"/>
        </w:rPr>
      </w:pPr>
    </w:p>
    <w:p w14:paraId="75940321" w14:textId="77777777" w:rsidR="0005334D" w:rsidRPr="0005334D" w:rsidRDefault="0005334D" w:rsidP="0005334D">
      <w:pPr>
        <w:overflowPunct w:val="0"/>
        <w:autoSpaceDE w:val="0"/>
        <w:autoSpaceDN w:val="0"/>
        <w:adjustRightInd w:val="0"/>
        <w:textAlignment w:val="baseline"/>
        <w:rPr>
          <w:bCs/>
          <w:iCs/>
        </w:rPr>
      </w:pPr>
      <w:r>
        <w:t>EESK:</w:t>
      </w:r>
    </w:p>
    <w:p w14:paraId="4A48F70F" w14:textId="77777777" w:rsidR="0005334D" w:rsidRPr="0005334D" w:rsidRDefault="0005334D" w:rsidP="0005334D">
      <w:pPr>
        <w:overflowPunct w:val="0"/>
        <w:autoSpaceDE w:val="0"/>
        <w:autoSpaceDN w:val="0"/>
        <w:adjustRightInd w:val="0"/>
        <w:textAlignment w:val="baseline"/>
        <w:rPr>
          <w:bCs/>
          <w:iCs/>
          <w:lang w:val="en-GB"/>
        </w:rPr>
      </w:pPr>
    </w:p>
    <w:p w14:paraId="6C3ACDD8"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iesaka strukturāli un nekavējoties </w:t>
      </w:r>
      <w:r>
        <w:rPr>
          <w:b/>
        </w:rPr>
        <w:t>stiprināt Eiropas publiskās investīcijas kosmosa jomā</w:t>
      </w:r>
      <w:r>
        <w:t xml:space="preserve"> un </w:t>
      </w:r>
      <w:r>
        <w:rPr>
          <w:b/>
          <w:bCs/>
        </w:rPr>
        <w:t>līdz 2030. gadam</w:t>
      </w:r>
      <w:r>
        <w:t xml:space="preserve"> palielināt kosmosa investīcijas </w:t>
      </w:r>
      <w:r>
        <w:rPr>
          <w:b/>
        </w:rPr>
        <w:t>vismaz līdz 0,2 % no IKP</w:t>
      </w:r>
      <w:r>
        <w:t>;</w:t>
      </w:r>
    </w:p>
    <w:p w14:paraId="26F7B7AE"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iesaka </w:t>
      </w:r>
      <w:r>
        <w:rPr>
          <w:b/>
        </w:rPr>
        <w:t>precizēt, kā Līguma 114. pants var kalpot par juridisko pamatu ar kosmosu saistītu produktu, pakalpojumu un datu iekšējā tirgus izveidei un darbībai</w:t>
      </w:r>
      <w:r>
        <w:t xml:space="preserve">, un ierosina noteikt, ka, interpretējot Kosmosa akta noteikumus, ir jāievēro </w:t>
      </w:r>
      <w:r>
        <w:rPr>
          <w:b/>
          <w:bCs/>
        </w:rPr>
        <w:t>starptautiskās saistības, kuras dalībvalstis jau ir apņēmušās ievērot</w:t>
      </w:r>
      <w:r>
        <w:t>;</w:t>
      </w:r>
    </w:p>
    <w:p w14:paraId="084E4A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iesaka precizēt, </w:t>
      </w:r>
      <w:r>
        <w:rPr>
          <w:b/>
        </w:rPr>
        <w:t>kāpēc I sadaļā ir atsauce tikai uz operatora</w:t>
      </w:r>
      <w:r>
        <w:t xml:space="preserve"> vai trešās valsts kosmosa operatora </w:t>
      </w:r>
      <w:r>
        <w:rPr>
          <w:b/>
        </w:rPr>
        <w:t>iedibināšanas valsts kritēriju</w:t>
      </w:r>
      <w:r>
        <w:t xml:space="preserve">, bet nav nevienas atsauces uz šo operatoru valstspiederības valsti, un iesaka arī </w:t>
      </w:r>
      <w:r>
        <w:rPr>
          <w:b/>
        </w:rPr>
        <w:t>precizēt 6. panta 3. punktu, lai uzlabotu koordināciju ar dalībvalstu tiesību aktiem kosmosa jomā</w:t>
      </w:r>
      <w:r>
        <w:t>, kuros noteikts, ka operatoriem ir jāsaņem atļauja veikt kosmosa darbības, pamatojoties uz valstspiederību vai teritoriju, no kuras tiek veiktas darbības kosmosā;</w:t>
      </w:r>
    </w:p>
    <w:p w14:paraId="3E883F9C"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iesaka II sadaļā </w:t>
      </w:r>
      <w:r>
        <w:rPr>
          <w:b/>
          <w:bCs/>
        </w:rPr>
        <w:t>padarīt skaidrāku to, kā atļauju piešķiršanas procesā darbojas atkāpes un elastība</w:t>
      </w:r>
      <w:r>
        <w:t>, un precizēt izskatīšanas termiņus, piemērojamību nekomerciālām misijām, Komisijas inspicēšanas pilnvaras un Eiropas Savienības Kosmosa programmas aģentūras (</w:t>
      </w:r>
      <w:r>
        <w:rPr>
          <w:i/>
          <w:iCs/>
        </w:rPr>
        <w:t>EUSPA</w:t>
      </w:r>
      <w:r>
        <w:t>) operatīvo lomu;</w:t>
      </w:r>
    </w:p>
    <w:p w14:paraId="0BFD0B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iesaka precīzi noteikt </w:t>
      </w:r>
      <w:r>
        <w:rPr>
          <w:b/>
        </w:rPr>
        <w:t>tvērumu, kura ietvaros dalībvalstis</w:t>
      </w:r>
      <w:r>
        <w:t xml:space="preserve"> </w:t>
      </w:r>
      <w:r>
        <w:rPr>
          <w:b/>
        </w:rPr>
        <w:t>var noteikt stingrākas prasības</w:t>
      </w:r>
      <w:r>
        <w:t xml:space="preserve"> attiecībā uz kosmosā balstītu datu un kosmosa pakalpojumu brīvu apriti Savienībā;</w:t>
      </w:r>
    </w:p>
    <w:p w14:paraId="05AA5B9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atzīmē, ka ir </w:t>
      </w:r>
      <w:r>
        <w:rPr>
          <w:b/>
        </w:rPr>
        <w:t>jāstiprina savstarpēja atzīšana un kopīgi noteikumi, lai izvairītos</w:t>
      </w:r>
      <w:r>
        <w:t xml:space="preserve"> </w:t>
      </w:r>
      <w:r>
        <w:rPr>
          <w:b/>
          <w:bCs/>
        </w:rPr>
        <w:t>no sadrumstalotības</w:t>
      </w:r>
      <w:r>
        <w:t xml:space="preserve"> un birokrātiskiem šķēršļiem;</w:t>
      </w:r>
    </w:p>
    <w:p w14:paraId="7387563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iesaka </w:t>
      </w:r>
      <w:r>
        <w:rPr>
          <w:b/>
        </w:rPr>
        <w:t>ES kosmosa stratēģiju sasaistīt ar ES stratēģisko autonomiju</w:t>
      </w:r>
      <w:r>
        <w:t xml:space="preserve">, veicināt </w:t>
      </w:r>
      <w:r>
        <w:rPr>
          <w:b/>
        </w:rPr>
        <w:t>komplementāras ekosistēmas un stimulēt kosmosa ekonomikas multiplikatora efektu</w:t>
      </w:r>
      <w:r>
        <w:t xml:space="preserve"> konkrētu nozaru atbalstam;</w:t>
      </w:r>
    </w:p>
    <w:p w14:paraId="2A025617"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iesaka izstrādāt </w:t>
      </w:r>
      <w:r>
        <w:rPr>
          <w:b/>
        </w:rPr>
        <w:t>integrētu kosmosa prasmju un darbvietu stratēģiju</w:t>
      </w:r>
      <w:r>
        <w:t xml:space="preserve"> un pieņemt </w:t>
      </w:r>
      <w:r>
        <w:rPr>
          <w:b/>
        </w:rPr>
        <w:t>ES kosmosa prasmju programmu</w:t>
      </w:r>
      <w:r>
        <w:t>;</w:t>
      </w:r>
    </w:p>
    <w:p w14:paraId="36AD848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prasa nākamajā daudzgadu finanšu shēmā 2028.–2034. gadam nodrošināt pietiekamus resursus </w:t>
      </w:r>
      <w:r>
        <w:rPr>
          <w:b/>
          <w:i/>
          <w:iCs/>
        </w:rPr>
        <w:t>EUSPA</w:t>
      </w:r>
      <w:r>
        <w:rPr>
          <w:b/>
        </w:rPr>
        <w:t xml:space="preserve"> darbības pastiprināšanai</w:t>
      </w:r>
      <w:r>
        <w:t>;</w:t>
      </w:r>
    </w:p>
    <w:p w14:paraId="39C0FBAA" w14:textId="77777777" w:rsidR="0005334D" w:rsidRPr="0005334D" w:rsidRDefault="0005334D" w:rsidP="0005334D">
      <w:pPr>
        <w:widowControl w:val="0"/>
        <w:overflowPunct w:val="0"/>
        <w:autoSpaceDE w:val="0"/>
        <w:autoSpaceDN w:val="0"/>
        <w:adjustRightInd w:val="0"/>
        <w:ind w:left="709"/>
        <w:textAlignment w:val="baseline"/>
        <w:rPr>
          <w:sz w:val="14"/>
          <w:szCs w:val="12"/>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5670"/>
      </w:tblGrid>
      <w:tr w:rsidR="0005334D" w:rsidRPr="0005334D" w14:paraId="2E1C4F7A" w14:textId="77777777" w:rsidTr="0036489A">
        <w:tc>
          <w:tcPr>
            <w:tcW w:w="1418" w:type="dxa"/>
          </w:tcPr>
          <w:p w14:paraId="3B838871" w14:textId="77777777" w:rsidR="0005334D" w:rsidRPr="0005334D" w:rsidRDefault="0005334D" w:rsidP="0005334D">
            <w:pPr>
              <w:overflowPunct w:val="0"/>
              <w:autoSpaceDE w:val="0"/>
              <w:autoSpaceDN w:val="0"/>
              <w:adjustRightInd w:val="0"/>
              <w:textAlignment w:val="baseline"/>
              <w:rPr>
                <w:i/>
              </w:rPr>
            </w:pPr>
            <w:r>
              <w:rPr>
                <w:b/>
                <w:i/>
              </w:rPr>
              <w:t>Kontaktpersona:</w:t>
            </w:r>
          </w:p>
        </w:tc>
        <w:tc>
          <w:tcPr>
            <w:tcW w:w="5670" w:type="dxa"/>
          </w:tcPr>
          <w:p w14:paraId="40162F2B" w14:textId="77777777" w:rsidR="0005334D" w:rsidRPr="0005334D" w:rsidRDefault="0005334D" w:rsidP="0005334D">
            <w:pPr>
              <w:overflowPunct w:val="0"/>
              <w:autoSpaceDE w:val="0"/>
              <w:autoSpaceDN w:val="0"/>
              <w:adjustRightInd w:val="0"/>
              <w:textAlignment w:val="baseline"/>
              <w:rPr>
                <w:i/>
              </w:rPr>
            </w:pPr>
            <w:proofErr w:type="spellStart"/>
            <w:r>
              <w:rPr>
                <w:i/>
              </w:rPr>
              <w:t>Giorgia</w:t>
            </w:r>
            <w:proofErr w:type="spellEnd"/>
            <w:r>
              <w:rPr>
                <w:i/>
              </w:rPr>
              <w:t xml:space="preserve"> </w:t>
            </w:r>
            <w:proofErr w:type="spellStart"/>
            <w:r>
              <w:rPr>
                <w:i/>
              </w:rPr>
              <w:t>Bordignon</w:t>
            </w:r>
            <w:proofErr w:type="spellEnd"/>
          </w:p>
        </w:tc>
      </w:tr>
      <w:tr w:rsidR="0005334D" w:rsidRPr="0005334D" w14:paraId="362A9B5A" w14:textId="77777777" w:rsidTr="0036489A">
        <w:tc>
          <w:tcPr>
            <w:tcW w:w="1418" w:type="dxa"/>
          </w:tcPr>
          <w:p w14:paraId="0F21C068" w14:textId="77777777" w:rsidR="0005334D" w:rsidRPr="0005334D" w:rsidRDefault="0005334D" w:rsidP="0005334D">
            <w:pPr>
              <w:overflowPunct w:val="0"/>
              <w:autoSpaceDE w:val="0"/>
              <w:autoSpaceDN w:val="0"/>
              <w:adjustRightInd w:val="0"/>
              <w:textAlignment w:val="baseline"/>
              <w:rPr>
                <w:i/>
              </w:rPr>
            </w:pPr>
            <w:r>
              <w:rPr>
                <w:i/>
              </w:rPr>
              <w:t>Tālr.:</w:t>
            </w:r>
          </w:p>
        </w:tc>
        <w:tc>
          <w:tcPr>
            <w:tcW w:w="5670" w:type="dxa"/>
          </w:tcPr>
          <w:p w14:paraId="1CDF1B64" w14:textId="77777777" w:rsidR="0005334D" w:rsidRPr="0005334D" w:rsidRDefault="0005334D" w:rsidP="0005334D">
            <w:pPr>
              <w:overflowPunct w:val="0"/>
              <w:autoSpaceDE w:val="0"/>
              <w:autoSpaceDN w:val="0"/>
              <w:adjustRightInd w:val="0"/>
              <w:textAlignment w:val="baseline"/>
              <w:rPr>
                <w:i/>
              </w:rPr>
            </w:pPr>
            <w:r>
              <w:rPr>
                <w:i/>
              </w:rPr>
              <w:t>+32 25468</w:t>
            </w:r>
            <w:r>
              <w:t>535</w:t>
            </w:r>
          </w:p>
        </w:tc>
      </w:tr>
      <w:tr w:rsidR="0005334D" w:rsidRPr="0005334D" w14:paraId="2C7002E1" w14:textId="77777777" w:rsidTr="0036489A">
        <w:tc>
          <w:tcPr>
            <w:tcW w:w="1418" w:type="dxa"/>
          </w:tcPr>
          <w:p w14:paraId="1B96A53D" w14:textId="36B45CE4" w:rsidR="0005334D" w:rsidRPr="0005334D" w:rsidRDefault="008C414B" w:rsidP="0005334D">
            <w:pPr>
              <w:overflowPunct w:val="0"/>
              <w:autoSpaceDE w:val="0"/>
              <w:autoSpaceDN w:val="0"/>
              <w:adjustRightInd w:val="0"/>
              <w:textAlignment w:val="baseline"/>
              <w:rPr>
                <w:i/>
              </w:rPr>
            </w:pPr>
            <w:r>
              <w:rPr>
                <w:i/>
              </w:rPr>
              <w:t>E-pasts:</w:t>
            </w:r>
          </w:p>
        </w:tc>
        <w:tc>
          <w:tcPr>
            <w:tcW w:w="5670" w:type="dxa"/>
          </w:tcPr>
          <w:p w14:paraId="7D4DCAF5" w14:textId="77777777" w:rsidR="0005334D" w:rsidRPr="0005334D" w:rsidRDefault="00E27DEE" w:rsidP="0005334D">
            <w:pPr>
              <w:overflowPunct w:val="0"/>
              <w:autoSpaceDE w:val="0"/>
              <w:autoSpaceDN w:val="0"/>
              <w:adjustRightInd w:val="0"/>
              <w:textAlignment w:val="baseline"/>
              <w:rPr>
                <w:i/>
              </w:rPr>
            </w:pPr>
            <w:hyperlink r:id="rId31" w:history="1">
              <w:r w:rsidR="00B9028C">
                <w:rPr>
                  <w:i/>
                  <w:color w:val="0000FF"/>
                  <w:u w:val="single"/>
                </w:rPr>
                <w:t>GiorgiaAndrea.Bordignon@eesc.europa.eu</w:t>
              </w:r>
            </w:hyperlink>
            <w:r w:rsidR="00B9028C">
              <w:rPr>
                <w:i/>
              </w:rPr>
              <w:t xml:space="preserve"> </w:t>
            </w:r>
          </w:p>
        </w:tc>
      </w:tr>
    </w:tbl>
    <w:p w14:paraId="4982DDF1" w14:textId="421D2B67" w:rsidR="00B8543B" w:rsidRDefault="00B8543B" w:rsidP="004D7AC0">
      <w:pPr>
        <w:pStyle w:val="ListParagraph"/>
        <w:ind w:left="0"/>
      </w:pPr>
    </w:p>
    <w:p w14:paraId="7416E75B" w14:textId="77777777" w:rsidR="00B8543B" w:rsidRDefault="00B8543B">
      <w:pPr>
        <w:spacing w:after="160" w:line="259" w:lineRule="auto"/>
        <w:jc w:val="left"/>
      </w:pPr>
      <w:r>
        <w:br w:type="page"/>
      </w:r>
    </w:p>
    <w:p w14:paraId="77FAB844" w14:textId="405C607C" w:rsidR="00B8543B" w:rsidRPr="00B8543B" w:rsidRDefault="00E27DEE" w:rsidP="00B8543B">
      <w:pPr>
        <w:widowControl w:val="0"/>
        <w:numPr>
          <w:ilvl w:val="0"/>
          <w:numId w:val="4"/>
        </w:numPr>
        <w:overflowPunct w:val="0"/>
        <w:autoSpaceDE w:val="0"/>
        <w:autoSpaceDN w:val="0"/>
        <w:adjustRightInd w:val="0"/>
        <w:ind w:hanging="567"/>
        <w:textAlignment w:val="baseline"/>
        <w:rPr>
          <w:sz w:val="20"/>
          <w:szCs w:val="20"/>
        </w:rPr>
      </w:pPr>
      <w:hyperlink r:id="rId32" w:history="1">
        <w:proofErr w:type="spellStart"/>
        <w:r w:rsidR="00B9028C">
          <w:rPr>
            <w:b/>
            <w:i/>
            <w:color w:val="0000FF"/>
            <w:sz w:val="28"/>
            <w:u w:val="single"/>
          </w:rPr>
          <w:t>Kodoljomas</w:t>
        </w:r>
        <w:proofErr w:type="spellEnd"/>
        <w:r w:rsidR="00B9028C">
          <w:rPr>
            <w:b/>
            <w:i/>
            <w:color w:val="0000FF"/>
            <w:sz w:val="28"/>
            <w:u w:val="single"/>
          </w:rPr>
          <w:t xml:space="preserve"> pārskata programma</w:t>
        </w:r>
      </w:hyperlink>
    </w:p>
    <w:p w14:paraId="687BF486" w14:textId="77777777" w:rsidR="00B8543B" w:rsidRPr="00B8543B" w:rsidRDefault="00B8543B" w:rsidP="00B8543B">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8543B" w14:paraId="6BF7DB04" w14:textId="77777777" w:rsidTr="0036489A">
        <w:tc>
          <w:tcPr>
            <w:tcW w:w="1951" w:type="dxa"/>
          </w:tcPr>
          <w:p w14:paraId="7660A134"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Ziņotājs</w:t>
            </w:r>
          </w:p>
        </w:tc>
        <w:tc>
          <w:tcPr>
            <w:tcW w:w="7229" w:type="dxa"/>
          </w:tcPr>
          <w:p w14:paraId="741530A3" w14:textId="32EE3DBA" w:rsidR="00B8543B" w:rsidRPr="00B8543B" w:rsidRDefault="00B8543B" w:rsidP="00B8543B">
            <w:pPr>
              <w:tabs>
                <w:tab w:val="center" w:pos="284"/>
              </w:tabs>
              <w:overflowPunct w:val="0"/>
              <w:autoSpaceDE w:val="0"/>
              <w:autoSpaceDN w:val="0"/>
              <w:adjustRightInd w:val="0"/>
              <w:ind w:left="266" w:hanging="266"/>
              <w:textAlignment w:val="baseline"/>
            </w:pPr>
            <w:proofErr w:type="spellStart"/>
            <w:r>
              <w:t>Dumitru</w:t>
            </w:r>
            <w:proofErr w:type="spellEnd"/>
            <w:r>
              <w:t xml:space="preserve"> FORNEA (Darba ņēmēju grupa – RO)</w:t>
            </w:r>
          </w:p>
        </w:tc>
      </w:tr>
      <w:tr w:rsidR="00B8543B" w:rsidRPr="00B8543B" w14:paraId="1EF069F7" w14:textId="77777777" w:rsidTr="0036489A">
        <w:tc>
          <w:tcPr>
            <w:tcW w:w="1951" w:type="dxa"/>
          </w:tcPr>
          <w:p w14:paraId="1E9A27C2"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Līdzziņotāja</w:t>
            </w:r>
          </w:p>
        </w:tc>
        <w:tc>
          <w:tcPr>
            <w:tcW w:w="7229" w:type="dxa"/>
          </w:tcPr>
          <w:p w14:paraId="6C41DC74" w14:textId="78C2E9C0" w:rsidR="00B8543B" w:rsidRDefault="00B8543B" w:rsidP="00B8543B">
            <w:pPr>
              <w:tabs>
                <w:tab w:val="center" w:pos="284"/>
              </w:tabs>
              <w:overflowPunct w:val="0"/>
              <w:autoSpaceDE w:val="0"/>
              <w:autoSpaceDN w:val="0"/>
              <w:adjustRightInd w:val="0"/>
              <w:ind w:left="266" w:hanging="266"/>
              <w:textAlignment w:val="baseline"/>
            </w:pPr>
            <w:r>
              <w:t>Alena MASTANTUONO (Darba devēju grupa – CZ)</w:t>
            </w:r>
          </w:p>
          <w:p w14:paraId="1AF40855" w14:textId="47D44167" w:rsidR="00F104CA" w:rsidRPr="00B8543B" w:rsidRDefault="00F104CA" w:rsidP="00B8543B">
            <w:pPr>
              <w:tabs>
                <w:tab w:val="center" w:pos="284"/>
              </w:tabs>
              <w:overflowPunct w:val="0"/>
              <w:autoSpaceDE w:val="0"/>
              <w:autoSpaceDN w:val="0"/>
              <w:adjustRightInd w:val="0"/>
              <w:ind w:left="266" w:hanging="266"/>
              <w:textAlignment w:val="baseline"/>
            </w:pPr>
          </w:p>
        </w:tc>
      </w:tr>
      <w:tr w:rsidR="00B8543B" w:rsidRPr="00B8543B" w14:paraId="6C9EC1C7" w14:textId="77777777" w:rsidTr="0036489A">
        <w:tc>
          <w:tcPr>
            <w:tcW w:w="1951" w:type="dxa"/>
          </w:tcPr>
          <w:p w14:paraId="081DEE58"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Atsauces</w:t>
            </w:r>
          </w:p>
        </w:tc>
        <w:tc>
          <w:tcPr>
            <w:tcW w:w="7229" w:type="dxa"/>
          </w:tcPr>
          <w:p w14:paraId="7F4D4FA0" w14:textId="77777777" w:rsidR="00B8543B" w:rsidRPr="00B8543B" w:rsidRDefault="00B8543B" w:rsidP="00B8543B">
            <w:pPr>
              <w:tabs>
                <w:tab w:val="center" w:pos="284"/>
              </w:tabs>
              <w:overflowPunct w:val="0"/>
              <w:autoSpaceDE w:val="0"/>
              <w:autoSpaceDN w:val="0"/>
              <w:adjustRightInd w:val="0"/>
              <w:ind w:left="266" w:hanging="266"/>
              <w:textAlignment w:val="baseline"/>
            </w:pPr>
            <w:r>
              <w:t xml:space="preserve">COM(2025) 315 </w:t>
            </w:r>
            <w:proofErr w:type="spellStart"/>
            <w:r>
              <w:t>final</w:t>
            </w:r>
            <w:proofErr w:type="spellEnd"/>
          </w:p>
          <w:p w14:paraId="53F4AD07" w14:textId="77777777" w:rsidR="00B8543B" w:rsidRPr="00B8543B" w:rsidRDefault="00B8543B" w:rsidP="00B8543B">
            <w:pPr>
              <w:tabs>
                <w:tab w:val="center" w:pos="284"/>
              </w:tabs>
              <w:overflowPunct w:val="0"/>
              <w:autoSpaceDE w:val="0"/>
              <w:autoSpaceDN w:val="0"/>
              <w:adjustRightInd w:val="0"/>
              <w:ind w:left="266" w:hanging="266"/>
              <w:textAlignment w:val="baseline"/>
            </w:pPr>
            <w:r>
              <w:t>EESC-2025-02173-00-00-AC</w:t>
            </w:r>
          </w:p>
        </w:tc>
      </w:tr>
    </w:tbl>
    <w:p w14:paraId="217CE023" w14:textId="77777777" w:rsidR="00B8543B" w:rsidRPr="00B8543B" w:rsidRDefault="00B8543B" w:rsidP="00B8543B">
      <w:pPr>
        <w:tabs>
          <w:tab w:val="center" w:pos="284"/>
        </w:tabs>
        <w:overflowPunct w:val="0"/>
        <w:autoSpaceDE w:val="0"/>
        <w:autoSpaceDN w:val="0"/>
        <w:adjustRightInd w:val="0"/>
        <w:ind w:left="266" w:hanging="266"/>
        <w:textAlignment w:val="baseline"/>
        <w:rPr>
          <w:lang w:val="pt-PT"/>
        </w:rPr>
      </w:pPr>
    </w:p>
    <w:p w14:paraId="4EAF6778"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rPr>
      </w:pPr>
      <w:r>
        <w:rPr>
          <w:b/>
        </w:rPr>
        <w:t>Galvenās nostādnes</w:t>
      </w:r>
    </w:p>
    <w:p w14:paraId="3A214EBF"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lang w:val="en-GB"/>
        </w:rPr>
      </w:pPr>
    </w:p>
    <w:p w14:paraId="2AD6BB4C" w14:textId="77777777" w:rsidR="00B8543B" w:rsidRDefault="00B8543B" w:rsidP="00B8543B">
      <w:pPr>
        <w:overflowPunct w:val="0"/>
        <w:autoSpaceDE w:val="0"/>
        <w:autoSpaceDN w:val="0"/>
        <w:adjustRightInd w:val="0"/>
        <w:textAlignment w:val="baseline"/>
        <w:rPr>
          <w:bCs/>
          <w:iCs/>
        </w:rPr>
      </w:pPr>
      <w:r>
        <w:t>EESK:</w:t>
      </w:r>
    </w:p>
    <w:p w14:paraId="00EA794C" w14:textId="77777777" w:rsidR="00F104CA" w:rsidRPr="00B8543B" w:rsidRDefault="00F104CA" w:rsidP="00B8543B">
      <w:pPr>
        <w:overflowPunct w:val="0"/>
        <w:autoSpaceDE w:val="0"/>
        <w:autoSpaceDN w:val="0"/>
        <w:adjustRightInd w:val="0"/>
        <w:textAlignment w:val="baseline"/>
        <w:rPr>
          <w:bCs/>
          <w:iCs/>
          <w:lang w:val="en-GB"/>
        </w:rPr>
      </w:pPr>
    </w:p>
    <w:p w14:paraId="0ADC1825"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uzskata, ka kodolenerģijai ir un arī turpmāk būs izšķiroša nozīme Eiropas kontinenta dekarbonizācijā un centienos stiprināt stratēģisko autonomiju enerģētikas un tehnoloģiju jomā;</w:t>
      </w:r>
    </w:p>
    <w:p w14:paraId="38970C7F"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 xml:space="preserve">iesaka uz ieguldījumiem kodolenerģijas nozarē attiecināt tos pašus mehānismus kā </w:t>
      </w:r>
      <w:proofErr w:type="spellStart"/>
      <w:r>
        <w:t>atjaunīgajiem</w:t>
      </w:r>
      <w:proofErr w:type="spellEnd"/>
      <w:r>
        <w:t xml:space="preserve"> energoresursiem;</w:t>
      </w:r>
    </w:p>
    <w:p w14:paraId="15C741CD"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iesaka paātrināt ieguldījumus, izmantojot īpašus pasākumus, piemēram, racionalizētu valsts atbalsta procesu, piekļuvi ES līdzekļiem, ilgtspējīgu finansēšanu, licencēšanas procedūras un ātrākus lēmumus ES un valstu līmenī;</w:t>
      </w:r>
    </w:p>
    <w:p w14:paraId="18340AE6"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uzskata, ka dialogam ar pilsonisko sabiedrību ir izšķiroša nozīme uzticēšanās, līdzdalības un sabiedrības atbalsta veidošanā;</w:t>
      </w:r>
    </w:p>
    <w:p w14:paraId="1F92E097"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aicina uzlabot regulatīvo sadarbību starp dalībvalstīm;</w:t>
      </w:r>
    </w:p>
    <w:p w14:paraId="60BEBBD3"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pPr>
      <w:r>
        <w:t xml:space="preserve">iesaka ņemt vērā kodolenerģijas nozīmi tīkla stabilizēšanā un aicina aprēķināt sistēmiskās izmaksas, kas novērstas, pateicoties kodolenerģijas iekļaušanai </w:t>
      </w:r>
      <w:proofErr w:type="spellStart"/>
      <w:r>
        <w:t>kodoljomas</w:t>
      </w:r>
      <w:proofErr w:type="spellEnd"/>
      <w:r>
        <w:t xml:space="preserve"> pārskata programmā.</w:t>
      </w:r>
    </w:p>
    <w:p w14:paraId="1038659F" w14:textId="77777777" w:rsidR="00B8543B" w:rsidRPr="00B8543B" w:rsidRDefault="00B8543B" w:rsidP="00F104CA">
      <w:pPr>
        <w:widowControl w:val="0"/>
        <w:overflowPunct w:val="0"/>
        <w:autoSpaceDE w:val="0"/>
        <w:autoSpaceDN w:val="0"/>
        <w:adjustRightInd w:val="0"/>
        <w:ind w:left="284" w:hanging="284"/>
        <w:textAlignment w:val="baseline"/>
        <w:rPr>
          <w:szCs w:val="20"/>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8543B" w14:paraId="1A87DBFF" w14:textId="77777777" w:rsidTr="0036489A">
        <w:tc>
          <w:tcPr>
            <w:tcW w:w="1951" w:type="dxa"/>
          </w:tcPr>
          <w:p w14:paraId="5E9F41AD" w14:textId="77777777" w:rsidR="00B8543B" w:rsidRPr="00B8543B" w:rsidRDefault="00B8543B" w:rsidP="00B8543B">
            <w:pPr>
              <w:overflowPunct w:val="0"/>
              <w:autoSpaceDE w:val="0"/>
              <w:autoSpaceDN w:val="0"/>
              <w:adjustRightInd w:val="0"/>
              <w:textAlignment w:val="baseline"/>
              <w:rPr>
                <w:i/>
              </w:rPr>
            </w:pPr>
            <w:r>
              <w:rPr>
                <w:b/>
                <w:i/>
              </w:rPr>
              <w:t>Kontaktpersona:</w:t>
            </w:r>
          </w:p>
        </w:tc>
        <w:tc>
          <w:tcPr>
            <w:tcW w:w="7229" w:type="dxa"/>
          </w:tcPr>
          <w:p w14:paraId="1EA77D8A" w14:textId="6DF16979" w:rsidR="00B8543B" w:rsidRPr="00B8543B" w:rsidRDefault="00B8543B" w:rsidP="00B8543B">
            <w:pPr>
              <w:overflowPunct w:val="0"/>
              <w:autoSpaceDE w:val="0"/>
              <w:autoSpaceDN w:val="0"/>
              <w:adjustRightInd w:val="0"/>
              <w:textAlignment w:val="baseline"/>
              <w:rPr>
                <w:i/>
              </w:rPr>
            </w:pPr>
            <w:r>
              <w:rPr>
                <w:i/>
              </w:rPr>
              <w:t xml:space="preserve">Albert </w:t>
            </w:r>
            <w:proofErr w:type="spellStart"/>
            <w:r>
              <w:rPr>
                <w:i/>
              </w:rPr>
              <w:t>Precup</w:t>
            </w:r>
            <w:proofErr w:type="spellEnd"/>
          </w:p>
        </w:tc>
      </w:tr>
      <w:tr w:rsidR="00B8543B" w:rsidRPr="00B8543B" w14:paraId="3CDABFB0" w14:textId="77777777" w:rsidTr="0036489A">
        <w:tc>
          <w:tcPr>
            <w:tcW w:w="1951" w:type="dxa"/>
          </w:tcPr>
          <w:p w14:paraId="690F7657" w14:textId="77777777" w:rsidR="00B8543B" w:rsidRPr="00B8543B" w:rsidRDefault="00B8543B" w:rsidP="00B8543B">
            <w:pPr>
              <w:overflowPunct w:val="0"/>
              <w:autoSpaceDE w:val="0"/>
              <w:autoSpaceDN w:val="0"/>
              <w:adjustRightInd w:val="0"/>
              <w:textAlignment w:val="baseline"/>
              <w:rPr>
                <w:i/>
              </w:rPr>
            </w:pPr>
            <w:r>
              <w:rPr>
                <w:i/>
              </w:rPr>
              <w:t>Tālr.:</w:t>
            </w:r>
          </w:p>
        </w:tc>
        <w:tc>
          <w:tcPr>
            <w:tcW w:w="7229" w:type="dxa"/>
          </w:tcPr>
          <w:p w14:paraId="113BC3FF" w14:textId="77777777" w:rsidR="00B8543B" w:rsidRPr="00B8543B" w:rsidRDefault="00B8543B" w:rsidP="00B8543B">
            <w:pPr>
              <w:overflowPunct w:val="0"/>
              <w:autoSpaceDE w:val="0"/>
              <w:autoSpaceDN w:val="0"/>
              <w:adjustRightInd w:val="0"/>
              <w:textAlignment w:val="baseline"/>
              <w:rPr>
                <w:i/>
              </w:rPr>
            </w:pPr>
            <w:r>
              <w:rPr>
                <w:i/>
              </w:rPr>
              <w:t>+32 25469326</w:t>
            </w:r>
          </w:p>
        </w:tc>
      </w:tr>
      <w:tr w:rsidR="00B8543B" w:rsidRPr="00B8543B" w14:paraId="358EB551" w14:textId="77777777" w:rsidTr="0036489A">
        <w:tc>
          <w:tcPr>
            <w:tcW w:w="1951" w:type="dxa"/>
          </w:tcPr>
          <w:p w14:paraId="2EF8A9AA" w14:textId="77777777" w:rsidR="00B8543B" w:rsidRPr="00B8543B" w:rsidRDefault="00B8543B" w:rsidP="00B8543B">
            <w:pPr>
              <w:overflowPunct w:val="0"/>
              <w:autoSpaceDE w:val="0"/>
              <w:autoSpaceDN w:val="0"/>
              <w:adjustRightInd w:val="0"/>
              <w:textAlignment w:val="baseline"/>
              <w:rPr>
                <w:i/>
              </w:rPr>
            </w:pPr>
            <w:r>
              <w:rPr>
                <w:i/>
              </w:rPr>
              <w:t>E-pasts:</w:t>
            </w:r>
          </w:p>
        </w:tc>
        <w:tc>
          <w:tcPr>
            <w:tcW w:w="7229" w:type="dxa"/>
          </w:tcPr>
          <w:p w14:paraId="1491B9B9" w14:textId="77777777" w:rsidR="00B8543B" w:rsidRPr="00B8543B" w:rsidRDefault="00E27DEE" w:rsidP="00B8543B">
            <w:pPr>
              <w:overflowPunct w:val="0"/>
              <w:autoSpaceDE w:val="0"/>
              <w:autoSpaceDN w:val="0"/>
              <w:adjustRightInd w:val="0"/>
              <w:textAlignment w:val="baseline"/>
              <w:rPr>
                <w:i/>
              </w:rPr>
            </w:pPr>
            <w:hyperlink r:id="rId33" w:history="1">
              <w:r w:rsidR="00B9028C">
                <w:rPr>
                  <w:i/>
                  <w:color w:val="0000FF"/>
                  <w:u w:val="single"/>
                </w:rPr>
                <w:t>Albert.Precup@eesc.europa.eu</w:t>
              </w:r>
            </w:hyperlink>
          </w:p>
        </w:tc>
      </w:tr>
    </w:tbl>
    <w:p w14:paraId="4C06F621" w14:textId="77777777" w:rsidR="004D7AC0" w:rsidRDefault="004D7AC0" w:rsidP="004D7AC0">
      <w:pPr>
        <w:pStyle w:val="ListParagraph"/>
        <w:ind w:left="0"/>
      </w:pPr>
    </w:p>
    <w:p w14:paraId="4982DDF2" w14:textId="0D337987" w:rsidR="00BC676C" w:rsidRDefault="004D7AC0">
      <w:pPr>
        <w:spacing w:after="160" w:line="259" w:lineRule="auto"/>
        <w:jc w:val="left"/>
      </w:pPr>
      <w:r>
        <w:br w:type="page"/>
      </w:r>
    </w:p>
    <w:p w14:paraId="4982DDF3" w14:textId="77777777" w:rsidR="004D7AC0" w:rsidRDefault="004D7AC0" w:rsidP="004D7AC0">
      <w:pPr>
        <w:pStyle w:val="Heading1"/>
        <w:rPr>
          <w:b/>
        </w:rPr>
      </w:pPr>
      <w:bookmarkStart w:id="10" w:name="_Toc75527083"/>
      <w:bookmarkStart w:id="11" w:name="_Toc217287878"/>
      <w:r>
        <w:rPr>
          <w:b/>
        </w:rPr>
        <w:lastRenderedPageBreak/>
        <w:t>VIENOTAIS TIRGUS, RAŽOŠANA UN PATĒRIŅŠ</w:t>
      </w:r>
      <w:bookmarkEnd w:id="10"/>
      <w:bookmarkEnd w:id="11"/>
    </w:p>
    <w:p w14:paraId="4982DDF4" w14:textId="77777777" w:rsidR="004D7AC0" w:rsidRDefault="004D7AC0" w:rsidP="004D7AC0"/>
    <w:p w14:paraId="5D547137" w14:textId="688E5B24" w:rsidR="00465162" w:rsidRPr="00465162" w:rsidRDefault="00E27DEE" w:rsidP="00465162">
      <w:pPr>
        <w:widowControl w:val="0"/>
        <w:numPr>
          <w:ilvl w:val="0"/>
          <w:numId w:val="4"/>
        </w:numPr>
        <w:overflowPunct w:val="0"/>
        <w:autoSpaceDE w:val="0"/>
        <w:autoSpaceDN w:val="0"/>
        <w:adjustRightInd w:val="0"/>
        <w:ind w:hanging="567"/>
        <w:textAlignment w:val="baseline"/>
        <w:rPr>
          <w:sz w:val="20"/>
          <w:szCs w:val="20"/>
        </w:rPr>
      </w:pPr>
      <w:hyperlink r:id="rId34" w:history="1">
        <w:r w:rsidR="00B9028C">
          <w:rPr>
            <w:b/>
            <w:i/>
            <w:color w:val="0000FF"/>
            <w:sz w:val="28"/>
            <w:u w:val="single"/>
          </w:rPr>
          <w:t>Vienotā tirgus stratēģija</w:t>
        </w:r>
      </w:hyperlink>
    </w:p>
    <w:p w14:paraId="0B883575" w14:textId="77777777" w:rsidR="00465162" w:rsidRPr="00465162" w:rsidRDefault="00465162" w:rsidP="00465162">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465162" w:rsidRPr="00465162" w14:paraId="79DD90B6" w14:textId="77777777" w:rsidTr="0036489A">
        <w:tc>
          <w:tcPr>
            <w:tcW w:w="1701" w:type="dxa"/>
          </w:tcPr>
          <w:p w14:paraId="0377814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Pr>
                <w:b/>
              </w:rPr>
              <w:t>Ziņotāji</w:t>
            </w:r>
          </w:p>
        </w:tc>
        <w:tc>
          <w:tcPr>
            <w:tcW w:w="6521" w:type="dxa"/>
          </w:tcPr>
          <w:p w14:paraId="1AA6537D" w14:textId="384B5F9A" w:rsidR="00465162" w:rsidRPr="00465162" w:rsidRDefault="00465162" w:rsidP="00465162">
            <w:pPr>
              <w:tabs>
                <w:tab w:val="center" w:pos="284"/>
              </w:tabs>
              <w:overflowPunct w:val="0"/>
              <w:autoSpaceDE w:val="0"/>
              <w:autoSpaceDN w:val="0"/>
              <w:adjustRightInd w:val="0"/>
              <w:ind w:left="266" w:hanging="266"/>
              <w:textAlignment w:val="baseline"/>
            </w:pPr>
            <w:proofErr w:type="spellStart"/>
            <w:r>
              <w:t>Emilie</w:t>
            </w:r>
            <w:proofErr w:type="spellEnd"/>
            <w:r>
              <w:t> PROUZET (Darba devēju grupa – FR)</w:t>
            </w:r>
          </w:p>
        </w:tc>
      </w:tr>
      <w:tr w:rsidR="00465162" w:rsidRPr="00465162" w14:paraId="60565F73" w14:textId="77777777" w:rsidTr="0036489A">
        <w:tc>
          <w:tcPr>
            <w:tcW w:w="1701" w:type="dxa"/>
          </w:tcPr>
          <w:p w14:paraId="4405A00F"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6DA48BA" w14:textId="3E9F6386" w:rsidR="00465162" w:rsidRPr="00465162" w:rsidRDefault="00465162" w:rsidP="00465162">
            <w:pPr>
              <w:tabs>
                <w:tab w:val="center" w:pos="284"/>
              </w:tabs>
              <w:overflowPunct w:val="0"/>
              <w:autoSpaceDE w:val="0"/>
              <w:autoSpaceDN w:val="0"/>
              <w:adjustRightInd w:val="0"/>
              <w:ind w:left="266" w:hanging="266"/>
              <w:textAlignment w:val="baseline"/>
            </w:pPr>
            <w:proofErr w:type="spellStart"/>
            <w:r>
              <w:t>Angelo</w:t>
            </w:r>
            <w:proofErr w:type="spellEnd"/>
            <w:r>
              <w:t> PAGLIARA (Darba ņēmēju grupa – IT)</w:t>
            </w:r>
          </w:p>
          <w:p w14:paraId="1F24C2EA" w14:textId="03B9D796" w:rsidR="00465162" w:rsidRPr="00465162" w:rsidRDefault="00465162" w:rsidP="00465162">
            <w:pPr>
              <w:tabs>
                <w:tab w:val="center" w:pos="284"/>
              </w:tabs>
              <w:overflowPunct w:val="0"/>
              <w:autoSpaceDE w:val="0"/>
              <w:autoSpaceDN w:val="0"/>
              <w:adjustRightInd w:val="0"/>
              <w:ind w:left="266" w:hanging="266"/>
              <w:textAlignment w:val="baseline"/>
            </w:pPr>
            <w:proofErr w:type="spellStart"/>
            <w:r>
              <w:t>Giuseppe</w:t>
            </w:r>
            <w:proofErr w:type="spellEnd"/>
            <w:r>
              <w:t> GUERINI (Pilsoniskās sabiedrības organizāciju grupa – IT)</w:t>
            </w:r>
          </w:p>
        </w:tc>
      </w:tr>
      <w:tr w:rsidR="00465162" w:rsidRPr="00465162" w14:paraId="39372820" w14:textId="77777777" w:rsidTr="0036489A">
        <w:tc>
          <w:tcPr>
            <w:tcW w:w="8222" w:type="dxa"/>
            <w:gridSpan w:val="2"/>
          </w:tcPr>
          <w:p w14:paraId="6C98B3D0" w14:textId="77777777" w:rsidR="00465162" w:rsidRPr="00465162" w:rsidRDefault="00465162" w:rsidP="00465162">
            <w:pPr>
              <w:tabs>
                <w:tab w:val="center" w:pos="284"/>
              </w:tabs>
              <w:overflowPunct w:val="0"/>
              <w:autoSpaceDE w:val="0"/>
              <w:autoSpaceDN w:val="0"/>
              <w:adjustRightInd w:val="0"/>
              <w:spacing w:line="160" w:lineRule="exact"/>
              <w:ind w:left="266" w:hanging="266"/>
              <w:textAlignment w:val="baseline"/>
            </w:pPr>
          </w:p>
        </w:tc>
      </w:tr>
      <w:tr w:rsidR="00465162" w:rsidRPr="00465162" w14:paraId="7C667684" w14:textId="77777777" w:rsidTr="0036489A">
        <w:tc>
          <w:tcPr>
            <w:tcW w:w="1701" w:type="dxa"/>
            <w:vMerge w:val="restart"/>
          </w:tcPr>
          <w:p w14:paraId="140B2D5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Pr>
                <w:b/>
              </w:rPr>
              <w:t>Atsauces</w:t>
            </w:r>
          </w:p>
        </w:tc>
        <w:tc>
          <w:tcPr>
            <w:tcW w:w="6521" w:type="dxa"/>
          </w:tcPr>
          <w:p w14:paraId="0BD6402A" w14:textId="77777777" w:rsidR="00465162" w:rsidRPr="00465162" w:rsidRDefault="00465162" w:rsidP="00465162">
            <w:pPr>
              <w:tabs>
                <w:tab w:val="center" w:pos="284"/>
              </w:tabs>
              <w:overflowPunct w:val="0"/>
              <w:autoSpaceDE w:val="0"/>
              <w:autoSpaceDN w:val="0"/>
              <w:adjustRightInd w:val="0"/>
              <w:ind w:left="266" w:hanging="266"/>
              <w:textAlignment w:val="baseline"/>
            </w:pPr>
            <w:r>
              <w:t xml:space="preserve">COM(2025) 500 </w:t>
            </w:r>
            <w:proofErr w:type="spellStart"/>
            <w:r>
              <w:t>final</w:t>
            </w:r>
            <w:proofErr w:type="spellEnd"/>
          </w:p>
          <w:p w14:paraId="35684687" w14:textId="77777777" w:rsidR="00465162" w:rsidRPr="00465162" w:rsidRDefault="00465162" w:rsidP="00465162">
            <w:pPr>
              <w:tabs>
                <w:tab w:val="center" w:pos="284"/>
              </w:tabs>
              <w:overflowPunct w:val="0"/>
              <w:autoSpaceDE w:val="0"/>
              <w:autoSpaceDN w:val="0"/>
              <w:adjustRightInd w:val="0"/>
              <w:ind w:left="266" w:hanging="266"/>
              <w:textAlignment w:val="baseline"/>
            </w:pPr>
            <w:r>
              <w:t>EESC-2025-01859-00-00-AC</w:t>
            </w:r>
          </w:p>
        </w:tc>
      </w:tr>
      <w:tr w:rsidR="00465162" w:rsidRPr="00465162" w14:paraId="3287886F" w14:textId="77777777" w:rsidTr="0036489A">
        <w:tc>
          <w:tcPr>
            <w:tcW w:w="1701" w:type="dxa"/>
            <w:vMerge/>
          </w:tcPr>
          <w:p w14:paraId="01DD9F1E"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E2DEA70" w14:textId="77777777" w:rsidR="00465162" w:rsidRPr="00465162" w:rsidRDefault="00465162" w:rsidP="00465162">
            <w:pPr>
              <w:tabs>
                <w:tab w:val="center" w:pos="284"/>
              </w:tabs>
              <w:overflowPunct w:val="0"/>
              <w:autoSpaceDE w:val="0"/>
              <w:autoSpaceDN w:val="0"/>
              <w:adjustRightInd w:val="0"/>
              <w:ind w:left="266" w:hanging="266"/>
              <w:textAlignment w:val="baseline"/>
            </w:pPr>
          </w:p>
        </w:tc>
      </w:tr>
    </w:tbl>
    <w:p w14:paraId="1489C838"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rPr>
      </w:pPr>
      <w:r>
        <w:rPr>
          <w:b/>
        </w:rPr>
        <w:t>Galvenās nostādnes</w:t>
      </w:r>
    </w:p>
    <w:p w14:paraId="04D2C12C"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lang w:val="en-GB"/>
        </w:rPr>
      </w:pPr>
    </w:p>
    <w:p w14:paraId="24496AA3" w14:textId="77777777" w:rsidR="00465162" w:rsidRPr="00465162" w:rsidRDefault="00465162" w:rsidP="00465162">
      <w:pPr>
        <w:overflowPunct w:val="0"/>
        <w:autoSpaceDE w:val="0"/>
        <w:autoSpaceDN w:val="0"/>
        <w:adjustRightInd w:val="0"/>
        <w:textAlignment w:val="baseline"/>
        <w:rPr>
          <w:bCs/>
          <w:iCs/>
        </w:rPr>
      </w:pPr>
      <w:r>
        <w:t>EESK:</w:t>
      </w:r>
    </w:p>
    <w:p w14:paraId="2F8CA4CA" w14:textId="77777777" w:rsidR="00465162" w:rsidRPr="00465162" w:rsidRDefault="00465162" w:rsidP="00465162">
      <w:pPr>
        <w:overflowPunct w:val="0"/>
        <w:autoSpaceDE w:val="0"/>
        <w:autoSpaceDN w:val="0"/>
        <w:adjustRightInd w:val="0"/>
        <w:textAlignment w:val="baseline"/>
        <w:rPr>
          <w:bCs/>
          <w:iCs/>
          <w:lang w:val="en-GB"/>
        </w:rPr>
      </w:pPr>
    </w:p>
    <w:p w14:paraId="419AAE5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pilnībā atbalsta Komisijas noteiktās prioritātes, kuras atbilst problēmām, uz ko norādījušas ieinteresētās personas;</w:t>
      </w:r>
    </w:p>
    <w:p w14:paraId="634276BC"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atkārtoti uzsver, ka regulējuma vienkāršošana jāveic, pilnībā ievērojot sociālās un darba ņēmēju tiesības. Tāpēc ir svarīgi, lai Eiropas Parlaments, valstu parlamenti un sociālie partneri tiktu strukturēti iesaistīti jau agrīnos likumdošanas procesa posmos;</w:t>
      </w:r>
    </w:p>
    <w:p w14:paraId="1A85E040"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plāno aktīvāk iesaistīties vienotā tirgus pārvaldībā, tostarp uzņemties lielāku lomu Vienotā tirgus noteikumu izpildes panākšanas darba grupā (</w:t>
      </w:r>
      <w:r>
        <w:rPr>
          <w:i/>
          <w:iCs/>
        </w:rPr>
        <w:t>SMET</w:t>
      </w:r>
      <w:r>
        <w:t>);</w:t>
      </w:r>
    </w:p>
    <w:p w14:paraId="0DE50EC7"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aicina Komisiju nākt klajā ar tiesību aktu priekšlikumiem, lai novērstu teritoriālas piegādes problēmas un saskaņotu produktu marķēšanu;</w:t>
      </w:r>
    </w:p>
    <w:p w14:paraId="3DC83A6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atzinīgi vērtē Komisijas pieteikto priekšlikumu izveidot uzņēmumiem paredzētu fakultatīvu “28. režīmu”, taču uzsver, ka jāievieš efektīvi aizsardzības pasākumi pret iespējamu ļaunprātīgu izmantošanu;</w:t>
      </w:r>
    </w:p>
    <w:p w14:paraId="52044ED1"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 xml:space="preserve">atzīst standartizācijas kā integrācijas un inovācijas veicinātājas būtisko nozīmi, taču uzsver pārredzamības, </w:t>
      </w:r>
      <w:proofErr w:type="spellStart"/>
      <w:r>
        <w:t>iekļautības</w:t>
      </w:r>
      <w:proofErr w:type="spellEnd"/>
      <w:r>
        <w:t xml:space="preserve"> un strukturētas līdzdalības principus;</w:t>
      </w:r>
    </w:p>
    <w:p w14:paraId="4D4A10F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 xml:space="preserve">atbalsta profesionālo kvalifikāciju atzīšanas vienkāršošanu, tostarp attiecībā uz trešo valstu </w:t>
      </w:r>
      <w:proofErr w:type="spellStart"/>
      <w:r>
        <w:t>valstspiederīgajiem</w:t>
      </w:r>
      <w:proofErr w:type="spellEnd"/>
      <w:r>
        <w:t>, taču kvalifikācijām ir jābūt skaidri definētām, pārbaudāmām un ar pierādītu kvalitāti;</w:t>
      </w:r>
    </w:p>
    <w:p w14:paraId="44855F90"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atbalsta Eiropas Darba iestādes (EDI) stiprināšanu;</w:t>
      </w:r>
    </w:p>
    <w:p w14:paraId="36D1C1B4"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 xml:space="preserve">aicina paplašināt vienotā tirgus tvērumu, iekļaujot tādas stratēģiskas nozares kā enerģētika un finanses. Komiteja uzsver nepieciešamību pēc iekļaujoša pārvaldības modeļa un aicina pārskatīt publiskā iepirkuma tiesību aktus. Vienlaikus būtu jāatrod piemēroti veidi, kā ņemt vērā sociālos, </w:t>
      </w:r>
      <w:proofErr w:type="spellStart"/>
      <w:r>
        <w:t>vidiskos</w:t>
      </w:r>
      <w:proofErr w:type="spellEnd"/>
      <w:r>
        <w:t xml:space="preserve"> un inovācijas mērķus. </w:t>
      </w:r>
    </w:p>
    <w:p w14:paraId="2800F0AE" w14:textId="77777777" w:rsidR="00465162" w:rsidRPr="00465162" w:rsidRDefault="00465162" w:rsidP="00465162">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5670"/>
      </w:tblGrid>
      <w:tr w:rsidR="00465162" w:rsidRPr="00465162" w14:paraId="7E653814" w14:textId="77777777" w:rsidTr="00A3256E">
        <w:tc>
          <w:tcPr>
            <w:tcW w:w="1595" w:type="dxa"/>
          </w:tcPr>
          <w:p w14:paraId="6898358A" w14:textId="77777777" w:rsidR="00465162" w:rsidRPr="00465162" w:rsidRDefault="00465162" w:rsidP="00465162">
            <w:pPr>
              <w:overflowPunct w:val="0"/>
              <w:autoSpaceDE w:val="0"/>
              <w:autoSpaceDN w:val="0"/>
              <w:adjustRightInd w:val="0"/>
              <w:spacing w:line="240" w:lineRule="auto"/>
              <w:textAlignment w:val="baseline"/>
              <w:rPr>
                <w:i/>
              </w:rPr>
            </w:pPr>
            <w:r>
              <w:rPr>
                <w:b/>
                <w:i/>
              </w:rPr>
              <w:t>Kontaktpersona:</w:t>
            </w:r>
          </w:p>
        </w:tc>
        <w:tc>
          <w:tcPr>
            <w:tcW w:w="5670" w:type="dxa"/>
          </w:tcPr>
          <w:p w14:paraId="324AE5F8" w14:textId="77777777" w:rsidR="00465162" w:rsidRPr="00465162" w:rsidRDefault="00465162" w:rsidP="00465162">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00465162" w:rsidRPr="00465162" w14:paraId="3F0424C9" w14:textId="77777777" w:rsidTr="00A3256E">
        <w:tc>
          <w:tcPr>
            <w:tcW w:w="1595" w:type="dxa"/>
          </w:tcPr>
          <w:p w14:paraId="0C254111" w14:textId="77777777" w:rsidR="00465162" w:rsidRPr="00465162" w:rsidRDefault="00465162" w:rsidP="00465162">
            <w:pPr>
              <w:overflowPunct w:val="0"/>
              <w:autoSpaceDE w:val="0"/>
              <w:autoSpaceDN w:val="0"/>
              <w:adjustRightInd w:val="0"/>
              <w:spacing w:line="240" w:lineRule="auto"/>
              <w:textAlignment w:val="baseline"/>
              <w:rPr>
                <w:i/>
              </w:rPr>
            </w:pPr>
            <w:r>
              <w:rPr>
                <w:i/>
              </w:rPr>
              <w:t>Tālr.:</w:t>
            </w:r>
          </w:p>
        </w:tc>
        <w:tc>
          <w:tcPr>
            <w:tcW w:w="5670" w:type="dxa"/>
          </w:tcPr>
          <w:p w14:paraId="0C3DEEF0" w14:textId="77777777" w:rsidR="00465162" w:rsidRPr="00465162" w:rsidRDefault="00465162" w:rsidP="00465162">
            <w:pPr>
              <w:overflowPunct w:val="0"/>
              <w:autoSpaceDE w:val="0"/>
              <w:autoSpaceDN w:val="0"/>
              <w:adjustRightInd w:val="0"/>
              <w:spacing w:line="240" w:lineRule="auto"/>
              <w:textAlignment w:val="baseline"/>
              <w:rPr>
                <w:i/>
              </w:rPr>
            </w:pPr>
            <w:r>
              <w:rPr>
                <w:i/>
              </w:rPr>
              <w:t>+ 32 25469732</w:t>
            </w:r>
          </w:p>
        </w:tc>
      </w:tr>
      <w:tr w:rsidR="00465162" w:rsidRPr="00465162" w14:paraId="6449EA12" w14:textId="77777777" w:rsidTr="00A3256E">
        <w:tc>
          <w:tcPr>
            <w:tcW w:w="1595" w:type="dxa"/>
          </w:tcPr>
          <w:p w14:paraId="1D040452" w14:textId="0B90490C" w:rsidR="00465162" w:rsidRPr="00465162" w:rsidRDefault="00034990" w:rsidP="00465162">
            <w:pPr>
              <w:overflowPunct w:val="0"/>
              <w:autoSpaceDE w:val="0"/>
              <w:autoSpaceDN w:val="0"/>
              <w:adjustRightInd w:val="0"/>
              <w:spacing w:line="240" w:lineRule="auto"/>
              <w:textAlignment w:val="baseline"/>
              <w:rPr>
                <w:i/>
              </w:rPr>
            </w:pPr>
            <w:r>
              <w:rPr>
                <w:i/>
              </w:rPr>
              <w:t>E-pasts:</w:t>
            </w:r>
          </w:p>
        </w:tc>
        <w:tc>
          <w:tcPr>
            <w:tcW w:w="5670" w:type="dxa"/>
          </w:tcPr>
          <w:p w14:paraId="3E267456" w14:textId="77777777" w:rsidR="00465162" w:rsidRPr="00465162" w:rsidRDefault="00E27DEE" w:rsidP="00465162">
            <w:pPr>
              <w:overflowPunct w:val="0"/>
              <w:autoSpaceDE w:val="0"/>
              <w:autoSpaceDN w:val="0"/>
              <w:adjustRightInd w:val="0"/>
              <w:spacing w:line="240" w:lineRule="auto"/>
              <w:textAlignment w:val="baseline"/>
              <w:rPr>
                <w:i/>
              </w:rPr>
            </w:pPr>
            <w:hyperlink r:id="rId35" w:history="1">
              <w:r w:rsidR="00B9028C">
                <w:rPr>
                  <w:i/>
                  <w:color w:val="0000FF"/>
                  <w:u w:val="single"/>
                </w:rPr>
                <w:t>Annalisa.Tessarolo@eesc.europa.eu</w:t>
              </w:r>
            </w:hyperlink>
          </w:p>
        </w:tc>
      </w:tr>
    </w:tbl>
    <w:p w14:paraId="4982DE1C" w14:textId="2C7D6502" w:rsidR="00465162" w:rsidRDefault="00465162" w:rsidP="004D7AC0">
      <w:pPr>
        <w:pStyle w:val="ListParagraph"/>
        <w:ind w:left="0"/>
      </w:pPr>
    </w:p>
    <w:p w14:paraId="7BF91C3B" w14:textId="274B597C" w:rsidR="008A6059" w:rsidRPr="008A6059" w:rsidRDefault="00465162" w:rsidP="008A6059">
      <w:pPr>
        <w:widowControl w:val="0"/>
        <w:numPr>
          <w:ilvl w:val="0"/>
          <w:numId w:val="4"/>
        </w:numPr>
        <w:overflowPunct w:val="0"/>
        <w:autoSpaceDE w:val="0"/>
        <w:autoSpaceDN w:val="0"/>
        <w:adjustRightInd w:val="0"/>
        <w:ind w:hanging="567"/>
        <w:textAlignment w:val="baseline"/>
        <w:rPr>
          <w:sz w:val="20"/>
          <w:szCs w:val="20"/>
        </w:rPr>
      </w:pPr>
      <w:r>
        <w:br w:type="page"/>
      </w:r>
      <w:hyperlink r:id="rId36" w:tgtFrame="_blank" w:history="1">
        <w:r>
          <w:rPr>
            <w:b/>
            <w:i/>
            <w:color w:val="0000FF"/>
            <w:sz w:val="28"/>
            <w:u w:val="single"/>
          </w:rPr>
          <w:t>2024. gada ziņojums par konkurences politiku</w:t>
        </w:r>
      </w:hyperlink>
    </w:p>
    <w:p w14:paraId="1EBCF21B" w14:textId="77777777" w:rsidR="008A6059" w:rsidRPr="008A6059" w:rsidRDefault="008A6059" w:rsidP="008A6059">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A6059" w:rsidRPr="008A6059" w14:paraId="2893C03B" w14:textId="77777777" w:rsidTr="0036489A">
        <w:tc>
          <w:tcPr>
            <w:tcW w:w="1701" w:type="dxa"/>
          </w:tcPr>
          <w:p w14:paraId="51A0B439"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rPr>
              <w:t>Ziņotājs</w:t>
            </w:r>
          </w:p>
        </w:tc>
        <w:tc>
          <w:tcPr>
            <w:tcW w:w="5387" w:type="dxa"/>
          </w:tcPr>
          <w:p w14:paraId="1D2ED450" w14:textId="10B4B8A6" w:rsidR="008A6059" w:rsidRPr="008A6059" w:rsidRDefault="008A6059" w:rsidP="008A6059">
            <w:pPr>
              <w:tabs>
                <w:tab w:val="center" w:pos="284"/>
              </w:tabs>
              <w:overflowPunct w:val="0"/>
              <w:autoSpaceDE w:val="0"/>
              <w:autoSpaceDN w:val="0"/>
              <w:adjustRightInd w:val="0"/>
              <w:ind w:left="266" w:hanging="266"/>
              <w:textAlignment w:val="baseline"/>
            </w:pPr>
            <w:proofErr w:type="spellStart"/>
            <w:r>
              <w:t>Andrea</w:t>
            </w:r>
            <w:proofErr w:type="spellEnd"/>
            <w:r>
              <w:t> MONE (Darba ņēmēju grupa – IT)</w:t>
            </w:r>
          </w:p>
        </w:tc>
      </w:tr>
      <w:tr w:rsidR="008A6059" w:rsidRPr="008A6059" w14:paraId="55F5B62B" w14:textId="77777777" w:rsidTr="0036489A">
        <w:tc>
          <w:tcPr>
            <w:tcW w:w="7088" w:type="dxa"/>
            <w:gridSpan w:val="2"/>
          </w:tcPr>
          <w:p w14:paraId="47424FA1" w14:textId="77777777" w:rsidR="008A6059" w:rsidRPr="008A6059" w:rsidRDefault="008A6059" w:rsidP="008A6059">
            <w:pPr>
              <w:tabs>
                <w:tab w:val="center" w:pos="284"/>
              </w:tabs>
              <w:overflowPunct w:val="0"/>
              <w:autoSpaceDE w:val="0"/>
              <w:autoSpaceDN w:val="0"/>
              <w:adjustRightInd w:val="0"/>
              <w:spacing w:line="160" w:lineRule="exact"/>
              <w:ind w:left="266" w:hanging="266"/>
              <w:textAlignment w:val="baseline"/>
            </w:pPr>
          </w:p>
        </w:tc>
      </w:tr>
      <w:tr w:rsidR="008A6059" w:rsidRPr="008A6059" w14:paraId="6946E1F7" w14:textId="77777777" w:rsidTr="0036489A">
        <w:tc>
          <w:tcPr>
            <w:tcW w:w="1701" w:type="dxa"/>
            <w:vMerge w:val="restart"/>
          </w:tcPr>
          <w:p w14:paraId="4E5A71ED"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rPr>
              <w:t>Atsauces</w:t>
            </w:r>
          </w:p>
        </w:tc>
        <w:tc>
          <w:tcPr>
            <w:tcW w:w="5387" w:type="dxa"/>
          </w:tcPr>
          <w:p w14:paraId="7ED176EC" w14:textId="77777777" w:rsidR="008A6059" w:rsidRPr="008A6059" w:rsidRDefault="008A6059" w:rsidP="008A6059">
            <w:pPr>
              <w:tabs>
                <w:tab w:val="center" w:pos="284"/>
              </w:tabs>
              <w:overflowPunct w:val="0"/>
              <w:autoSpaceDE w:val="0"/>
              <w:autoSpaceDN w:val="0"/>
              <w:adjustRightInd w:val="0"/>
              <w:ind w:left="266" w:hanging="266"/>
              <w:textAlignment w:val="baseline"/>
            </w:pPr>
            <w:r>
              <w:t xml:space="preserve">COM(2025) 181 </w:t>
            </w:r>
            <w:proofErr w:type="spellStart"/>
            <w:r>
              <w:t>final</w:t>
            </w:r>
            <w:proofErr w:type="spellEnd"/>
          </w:p>
          <w:p w14:paraId="44CC362B" w14:textId="77777777" w:rsidR="008A6059" w:rsidRPr="008A6059" w:rsidRDefault="008A6059" w:rsidP="008A6059">
            <w:pPr>
              <w:tabs>
                <w:tab w:val="center" w:pos="284"/>
              </w:tabs>
              <w:overflowPunct w:val="0"/>
              <w:autoSpaceDE w:val="0"/>
              <w:autoSpaceDN w:val="0"/>
              <w:adjustRightInd w:val="0"/>
              <w:ind w:left="266" w:hanging="266"/>
              <w:textAlignment w:val="baseline"/>
            </w:pPr>
            <w:r>
              <w:t>EESC-2025-02299-00-00-AC</w:t>
            </w:r>
          </w:p>
        </w:tc>
      </w:tr>
      <w:tr w:rsidR="008A6059" w:rsidRPr="008A6059" w14:paraId="7566A6A0" w14:textId="77777777" w:rsidTr="0036489A">
        <w:tc>
          <w:tcPr>
            <w:tcW w:w="1701" w:type="dxa"/>
            <w:vMerge/>
          </w:tcPr>
          <w:p w14:paraId="5F57B278"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p>
        </w:tc>
        <w:tc>
          <w:tcPr>
            <w:tcW w:w="5387" w:type="dxa"/>
          </w:tcPr>
          <w:p w14:paraId="42669B75" w14:textId="77777777" w:rsidR="008A6059" w:rsidRPr="008A6059" w:rsidRDefault="008A6059" w:rsidP="008A6059">
            <w:pPr>
              <w:tabs>
                <w:tab w:val="center" w:pos="284"/>
              </w:tabs>
              <w:overflowPunct w:val="0"/>
              <w:autoSpaceDE w:val="0"/>
              <w:autoSpaceDN w:val="0"/>
              <w:adjustRightInd w:val="0"/>
              <w:ind w:left="266" w:hanging="266"/>
              <w:textAlignment w:val="baseline"/>
            </w:pPr>
          </w:p>
        </w:tc>
      </w:tr>
    </w:tbl>
    <w:p w14:paraId="7E134121" w14:textId="77777777" w:rsidR="008A6059" w:rsidRPr="008A6059" w:rsidRDefault="008A6059" w:rsidP="008A6059">
      <w:pPr>
        <w:tabs>
          <w:tab w:val="center" w:pos="284"/>
        </w:tabs>
        <w:overflowPunct w:val="0"/>
        <w:autoSpaceDE w:val="0"/>
        <w:autoSpaceDN w:val="0"/>
        <w:adjustRightInd w:val="0"/>
        <w:ind w:left="266" w:hanging="266"/>
        <w:textAlignment w:val="baseline"/>
        <w:rPr>
          <w:lang w:val="en-GB"/>
        </w:rPr>
      </w:pPr>
    </w:p>
    <w:p w14:paraId="43B69CAE"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rPr>
      </w:pPr>
      <w:r>
        <w:rPr>
          <w:b/>
        </w:rPr>
        <w:t>Galvenās nostādnes</w:t>
      </w:r>
    </w:p>
    <w:p w14:paraId="4FA58545"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lang w:val="en-GB"/>
        </w:rPr>
      </w:pPr>
    </w:p>
    <w:p w14:paraId="1BF67B8A" w14:textId="77777777" w:rsidR="008A6059" w:rsidRPr="008A6059" w:rsidRDefault="008A6059" w:rsidP="008A6059">
      <w:pPr>
        <w:overflowPunct w:val="0"/>
        <w:autoSpaceDE w:val="0"/>
        <w:autoSpaceDN w:val="0"/>
        <w:adjustRightInd w:val="0"/>
        <w:textAlignment w:val="baseline"/>
        <w:rPr>
          <w:bCs/>
          <w:iCs/>
        </w:rPr>
      </w:pPr>
      <w:r>
        <w:t>EESK:</w:t>
      </w:r>
    </w:p>
    <w:p w14:paraId="59EE1DF2" w14:textId="77777777" w:rsidR="008A6059" w:rsidRPr="008A6059" w:rsidRDefault="008A6059" w:rsidP="008A6059">
      <w:pPr>
        <w:overflowPunct w:val="0"/>
        <w:autoSpaceDE w:val="0"/>
        <w:autoSpaceDN w:val="0"/>
        <w:adjustRightInd w:val="0"/>
        <w:textAlignment w:val="baseline"/>
        <w:rPr>
          <w:bCs/>
          <w:iCs/>
          <w:lang w:val="en-GB"/>
        </w:rPr>
      </w:pPr>
    </w:p>
    <w:p w14:paraId="1EFFAB53"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atzinīgi vērtē </w:t>
      </w:r>
      <w:r>
        <w:rPr>
          <w:b/>
          <w:bCs/>
        </w:rPr>
        <w:t>2024. gadā Komisijas izvēlēto izpildes panākšanas pieeju</w:t>
      </w:r>
      <w:r>
        <w:t>, kas saskaņo konkurences politiku ar ES digitālajiem, zaļajiem un noturības mērķiem, vienlaikus saglabājot labi funkcionējošu un konkurētspējīgu vienoto tirgu;</w:t>
      </w:r>
    </w:p>
    <w:p w14:paraId="607132BD"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atbalsta Komisijas centienus uzlabot </w:t>
      </w:r>
      <w:r>
        <w:rPr>
          <w:b/>
          <w:bCs/>
        </w:rPr>
        <w:t xml:space="preserve">konkurences noteikumu efektivitāti un </w:t>
      </w:r>
      <w:proofErr w:type="spellStart"/>
      <w:r>
        <w:rPr>
          <w:b/>
          <w:bCs/>
        </w:rPr>
        <w:t>paredzamību</w:t>
      </w:r>
      <w:proofErr w:type="spellEnd"/>
      <w:r>
        <w:t>, tostarp gan izstrādāt jaunas pamatnostādnes par izslēdzošu dominējošā stāvokļa ļaunprātīgu izmantošanu, gan modernizētu paziņojumu par tirgus definīciju gan arī uzlabotus instrumentus, kas dotu iespēju novērtēt ietekmi uz patērētāju labklājību;</w:t>
      </w:r>
    </w:p>
    <w:p w14:paraId="30166AC6"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norāda, ka ir svarīgi risināt konkurences problēmas </w:t>
      </w:r>
      <w:r>
        <w:rPr>
          <w:b/>
          <w:bCs/>
        </w:rPr>
        <w:t>digitālajos tirgos</w:t>
      </w:r>
      <w:r>
        <w:t>, un mudina Komisiju arī turpmāk stiprināt izpildi gan saskaņā ar tradicionālajiem konkurences noteikumiem, gan Digitālo tirgu aktu, ņemot vērā strukturāli dominējošo stāvokli un šķēršļus ienākšanai tirgū uz platformām balstītos uzņēmējdarbības modeļos;</w:t>
      </w:r>
    </w:p>
    <w:p w14:paraId="2C7DEA84"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aicina </w:t>
      </w:r>
      <w:r>
        <w:rPr>
          <w:b/>
          <w:bCs/>
        </w:rPr>
        <w:t>pastiprināt apvienošanās kontroli</w:t>
      </w:r>
      <w:r>
        <w:t xml:space="preserve">, tostarp sistēmu, kas dod iespēju rūpīgi pārbaudīt tādas iegādes zem robežvērtības, kas var kaitēt konkurencei (piemēram, “iznīcinošas iegādes darījumi”), un mudina apvienošanās novērtējumos </w:t>
      </w:r>
      <w:r>
        <w:rPr>
          <w:b/>
          <w:bCs/>
        </w:rPr>
        <w:t>vairāk ņemt vērā ietekmi uz darba tirgu un inovācijas dinamiku</w:t>
      </w:r>
      <w:r>
        <w:t>;</w:t>
      </w:r>
    </w:p>
    <w:p w14:paraId="47C13D78"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norāda, ka ir vajadzīgi </w:t>
      </w:r>
      <w:r>
        <w:rPr>
          <w:b/>
          <w:bCs/>
        </w:rPr>
        <w:t>valsts atbalsta noteikumi</w:t>
      </w:r>
      <w:r>
        <w:t xml:space="preserve">, it īpaši jaunais </w:t>
      </w:r>
      <w:r>
        <w:rPr>
          <w:i/>
          <w:iCs/>
        </w:rPr>
        <w:t>CISAF</w:t>
      </w:r>
      <w:r>
        <w:t xml:space="preserve"> satvars un</w:t>
      </w:r>
      <w:r>
        <w:rPr>
          <w:i/>
          <w:iCs/>
        </w:rPr>
        <w:t xml:space="preserve"> IPCEI</w:t>
      </w:r>
      <w:r>
        <w:t xml:space="preserve"> procesi, lai veicinātu </w:t>
      </w:r>
      <w:r>
        <w:rPr>
          <w:b/>
          <w:bCs/>
        </w:rPr>
        <w:t>pārrobežu līdzdalību, samazinātu sadrumstalotību un atbalstītu stratēģiskās investīcijas</w:t>
      </w:r>
      <w:r>
        <w:t>, kas ir būtiskas tīras rūpniecības kursam, un vienlaikus jānodrošina kohēzija un vienlīdzīgi konkurences apstākļi visās dalībvalstīs.</w:t>
      </w:r>
    </w:p>
    <w:p w14:paraId="5B6011EA" w14:textId="77777777" w:rsidR="008A6059" w:rsidRPr="008A6059" w:rsidRDefault="008A6059" w:rsidP="008A6059">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5670"/>
      </w:tblGrid>
      <w:tr w:rsidR="008A6059" w:rsidRPr="008A6059" w14:paraId="60D2607C" w14:textId="77777777" w:rsidTr="0036489A">
        <w:tc>
          <w:tcPr>
            <w:tcW w:w="1418" w:type="dxa"/>
          </w:tcPr>
          <w:p w14:paraId="0F9C1860" w14:textId="77777777" w:rsidR="008A6059" w:rsidRPr="008A6059" w:rsidRDefault="008A6059" w:rsidP="008A6059">
            <w:pPr>
              <w:overflowPunct w:val="0"/>
              <w:autoSpaceDE w:val="0"/>
              <w:autoSpaceDN w:val="0"/>
              <w:adjustRightInd w:val="0"/>
              <w:spacing w:line="240" w:lineRule="auto"/>
              <w:textAlignment w:val="baseline"/>
              <w:rPr>
                <w:i/>
              </w:rPr>
            </w:pPr>
            <w:r>
              <w:rPr>
                <w:b/>
                <w:i/>
              </w:rPr>
              <w:t>Kontaktpersona:</w:t>
            </w:r>
          </w:p>
        </w:tc>
        <w:tc>
          <w:tcPr>
            <w:tcW w:w="5670" w:type="dxa"/>
          </w:tcPr>
          <w:p w14:paraId="725FD099" w14:textId="77777777" w:rsidR="008A6059" w:rsidRPr="008A6059" w:rsidRDefault="008A6059" w:rsidP="008A6059">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008A6059" w:rsidRPr="008A6059" w14:paraId="3BAB393F" w14:textId="77777777" w:rsidTr="0036489A">
        <w:tc>
          <w:tcPr>
            <w:tcW w:w="1418" w:type="dxa"/>
          </w:tcPr>
          <w:p w14:paraId="01CC6C43" w14:textId="77777777" w:rsidR="008A6059" w:rsidRPr="008A6059" w:rsidRDefault="008A6059" w:rsidP="008A6059">
            <w:pPr>
              <w:overflowPunct w:val="0"/>
              <w:autoSpaceDE w:val="0"/>
              <w:autoSpaceDN w:val="0"/>
              <w:adjustRightInd w:val="0"/>
              <w:spacing w:line="240" w:lineRule="auto"/>
              <w:textAlignment w:val="baseline"/>
              <w:rPr>
                <w:i/>
              </w:rPr>
            </w:pPr>
            <w:r>
              <w:rPr>
                <w:i/>
              </w:rPr>
              <w:t>Tālr.:</w:t>
            </w:r>
          </w:p>
        </w:tc>
        <w:tc>
          <w:tcPr>
            <w:tcW w:w="5670" w:type="dxa"/>
          </w:tcPr>
          <w:p w14:paraId="1A61F972" w14:textId="77777777" w:rsidR="008A6059" w:rsidRPr="008A6059" w:rsidRDefault="008A6059" w:rsidP="008A6059">
            <w:pPr>
              <w:overflowPunct w:val="0"/>
              <w:autoSpaceDE w:val="0"/>
              <w:autoSpaceDN w:val="0"/>
              <w:adjustRightInd w:val="0"/>
              <w:spacing w:line="240" w:lineRule="auto"/>
              <w:textAlignment w:val="baseline"/>
              <w:rPr>
                <w:i/>
              </w:rPr>
            </w:pPr>
            <w:r>
              <w:rPr>
                <w:i/>
              </w:rPr>
              <w:t>+ 32 25468378</w:t>
            </w:r>
          </w:p>
        </w:tc>
      </w:tr>
      <w:tr w:rsidR="008A6059" w:rsidRPr="008A6059" w14:paraId="6DC120EA" w14:textId="77777777" w:rsidTr="0036489A">
        <w:tc>
          <w:tcPr>
            <w:tcW w:w="1418" w:type="dxa"/>
          </w:tcPr>
          <w:p w14:paraId="32C00486" w14:textId="001C808A" w:rsidR="008A6059" w:rsidRPr="008A6059" w:rsidRDefault="006E6F14" w:rsidP="008A6059">
            <w:pPr>
              <w:overflowPunct w:val="0"/>
              <w:autoSpaceDE w:val="0"/>
              <w:autoSpaceDN w:val="0"/>
              <w:adjustRightInd w:val="0"/>
              <w:spacing w:line="240" w:lineRule="auto"/>
              <w:textAlignment w:val="baseline"/>
              <w:rPr>
                <w:i/>
              </w:rPr>
            </w:pPr>
            <w:r>
              <w:rPr>
                <w:i/>
              </w:rPr>
              <w:t>E-pasts:</w:t>
            </w:r>
          </w:p>
        </w:tc>
        <w:tc>
          <w:tcPr>
            <w:tcW w:w="5670" w:type="dxa"/>
          </w:tcPr>
          <w:p w14:paraId="0B7A4BF8" w14:textId="77777777" w:rsidR="008A6059" w:rsidRPr="008A6059" w:rsidRDefault="00E27DEE" w:rsidP="008A6059">
            <w:pPr>
              <w:overflowPunct w:val="0"/>
              <w:autoSpaceDE w:val="0"/>
              <w:autoSpaceDN w:val="0"/>
              <w:adjustRightInd w:val="0"/>
              <w:spacing w:line="240" w:lineRule="auto"/>
              <w:textAlignment w:val="baseline"/>
              <w:rPr>
                <w:i/>
              </w:rPr>
            </w:pPr>
            <w:hyperlink r:id="rId37" w:history="1">
              <w:r w:rsidR="00B9028C">
                <w:rPr>
                  <w:i/>
                  <w:color w:val="0000FF"/>
                  <w:u w:val="single"/>
                </w:rPr>
                <w:t>Silvia.Staffa@eesc.europa.eu</w:t>
              </w:r>
            </w:hyperlink>
          </w:p>
        </w:tc>
      </w:tr>
    </w:tbl>
    <w:p w14:paraId="4982DE1D" w14:textId="77777777" w:rsidR="004D7AC0" w:rsidRDefault="004D7AC0" w:rsidP="004D7AC0">
      <w:pPr>
        <w:pStyle w:val="ListParagraph"/>
        <w:ind w:left="0"/>
      </w:pPr>
    </w:p>
    <w:p w14:paraId="4E659D6D" w14:textId="0C2068A0" w:rsidR="00685A3A" w:rsidRPr="00685A3A" w:rsidRDefault="004D7AC0" w:rsidP="00685A3A">
      <w:pPr>
        <w:widowControl w:val="0"/>
        <w:numPr>
          <w:ilvl w:val="0"/>
          <w:numId w:val="4"/>
        </w:numPr>
        <w:overflowPunct w:val="0"/>
        <w:autoSpaceDE w:val="0"/>
        <w:autoSpaceDN w:val="0"/>
        <w:adjustRightInd w:val="0"/>
        <w:ind w:hanging="567"/>
        <w:textAlignment w:val="baseline"/>
        <w:rPr>
          <w:i/>
          <w:iCs/>
          <w:sz w:val="28"/>
          <w:szCs w:val="28"/>
        </w:rPr>
      </w:pPr>
      <w:r>
        <w:br w:type="page"/>
      </w:r>
      <w:hyperlink r:id="rId38" w:history="1">
        <w:r>
          <w:rPr>
            <w:b/>
            <w:i/>
            <w:color w:val="0000FF"/>
            <w:sz w:val="28"/>
            <w:u w:val="single"/>
          </w:rPr>
          <w:t>Konkurētspējas fonds</w:t>
        </w:r>
      </w:hyperlink>
    </w:p>
    <w:p w14:paraId="2B552AA7"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0"/>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685A3A" w14:paraId="5D349B8F" w14:textId="77777777" w:rsidTr="0036489A">
        <w:trPr>
          <w:trHeight w:val="406"/>
        </w:trPr>
        <w:tc>
          <w:tcPr>
            <w:tcW w:w="1108" w:type="pct"/>
          </w:tcPr>
          <w:p w14:paraId="7D52188A"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Ziņotāja</w:t>
            </w:r>
          </w:p>
        </w:tc>
        <w:tc>
          <w:tcPr>
            <w:tcW w:w="3892" w:type="pct"/>
          </w:tcPr>
          <w:p w14:paraId="51845819" w14:textId="525A6D0F" w:rsidR="00685A3A" w:rsidRPr="00685A3A" w:rsidRDefault="00685A3A" w:rsidP="00685A3A">
            <w:pPr>
              <w:tabs>
                <w:tab w:val="center" w:pos="0"/>
              </w:tabs>
              <w:overflowPunct w:val="0"/>
              <w:autoSpaceDE w:val="0"/>
              <w:autoSpaceDN w:val="0"/>
              <w:adjustRightInd w:val="0"/>
              <w:ind w:left="266" w:hanging="266"/>
              <w:textAlignment w:val="baseline"/>
            </w:pPr>
            <w:r>
              <w:t>Milena ANGELOVA (Darba devēju grupa – BG)</w:t>
            </w:r>
          </w:p>
        </w:tc>
      </w:tr>
      <w:tr w:rsidR="00685A3A" w:rsidRPr="00685A3A" w14:paraId="3F4509C4" w14:textId="77777777" w:rsidTr="0036489A">
        <w:tc>
          <w:tcPr>
            <w:tcW w:w="1108" w:type="pct"/>
          </w:tcPr>
          <w:p w14:paraId="4640AD0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Atsauces</w:t>
            </w:r>
          </w:p>
        </w:tc>
        <w:tc>
          <w:tcPr>
            <w:tcW w:w="3892" w:type="pct"/>
          </w:tcPr>
          <w:p w14:paraId="3A3B4EA5" w14:textId="6C386D40" w:rsidR="00685A3A" w:rsidRPr="00685A3A" w:rsidRDefault="00685A3A" w:rsidP="00685A3A">
            <w:pPr>
              <w:tabs>
                <w:tab w:val="center" w:pos="284"/>
              </w:tabs>
              <w:overflowPunct w:val="0"/>
              <w:autoSpaceDE w:val="0"/>
              <w:autoSpaceDN w:val="0"/>
              <w:adjustRightInd w:val="0"/>
              <w:ind w:left="266" w:hanging="266"/>
              <w:textAlignment w:val="baseline"/>
            </w:pPr>
            <w:r>
              <w:t xml:space="preserve">COM(2025) 555 </w:t>
            </w:r>
            <w:proofErr w:type="spellStart"/>
            <w:r>
              <w:t>final</w:t>
            </w:r>
            <w:proofErr w:type="spellEnd"/>
          </w:p>
          <w:p w14:paraId="1044ED01"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EESC-2025-02576-00-00-AC</w:t>
            </w:r>
          </w:p>
        </w:tc>
      </w:tr>
    </w:tbl>
    <w:p w14:paraId="56948C34"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pt-PT"/>
        </w:rPr>
      </w:pPr>
    </w:p>
    <w:p w14:paraId="1BD3853A"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Galvenās nostādnes</w:t>
      </w:r>
    </w:p>
    <w:p w14:paraId="1CAACFD9"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5FF48023" w14:textId="77777777" w:rsidR="00685A3A" w:rsidRDefault="00685A3A" w:rsidP="00685A3A">
      <w:pPr>
        <w:overflowPunct w:val="0"/>
        <w:autoSpaceDE w:val="0"/>
        <w:autoSpaceDN w:val="0"/>
        <w:adjustRightInd w:val="0"/>
        <w:textAlignment w:val="baseline"/>
        <w:rPr>
          <w:bCs/>
          <w:iCs/>
        </w:rPr>
      </w:pPr>
      <w:r>
        <w:t>EESK:</w:t>
      </w:r>
    </w:p>
    <w:p w14:paraId="2BFD330A" w14:textId="77777777" w:rsidR="0068013D" w:rsidRPr="00685A3A" w:rsidRDefault="0068013D" w:rsidP="00685A3A">
      <w:pPr>
        <w:overflowPunct w:val="0"/>
        <w:autoSpaceDE w:val="0"/>
        <w:autoSpaceDN w:val="0"/>
        <w:adjustRightInd w:val="0"/>
        <w:textAlignment w:val="baseline"/>
        <w:rPr>
          <w:bCs/>
          <w:iCs/>
          <w:lang w:val="en-GB"/>
        </w:rPr>
      </w:pPr>
    </w:p>
    <w:p w14:paraId="41E4A36B" w14:textId="77777777" w:rsidR="00685A3A" w:rsidRPr="00685A3A" w:rsidRDefault="00685A3A" w:rsidP="00054C58">
      <w:pPr>
        <w:numPr>
          <w:ilvl w:val="0"/>
          <w:numId w:val="27"/>
        </w:numPr>
        <w:overflowPunct w:val="0"/>
        <w:autoSpaceDE w:val="0"/>
        <w:autoSpaceDN w:val="0"/>
        <w:adjustRightInd w:val="0"/>
        <w:ind w:left="284" w:hanging="284"/>
        <w:textAlignment w:val="baseline"/>
      </w:pPr>
      <w:r>
        <w:t xml:space="preserve">atbalsta tāda Eiropas Konkurētspējas fonda (EKF) izveidi, kas kļūs par nākamā ES budžeta stūrakmeni un inovācijas, noturības un drošības veicinātāju, un uzsver, ka </w:t>
      </w:r>
      <w:r>
        <w:rPr>
          <w:b/>
          <w:bCs/>
        </w:rPr>
        <w:t>finansējumam arī turpmāk ir jāatbilst ilgtspējas prasībām un ES sociālās tirgus ekonomikas modelim</w:t>
      </w:r>
      <w:r>
        <w:t>;</w:t>
      </w:r>
    </w:p>
    <w:p w14:paraId="7B5E1E81"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bCs/>
        </w:rPr>
        <w:t>aicina ES mērogā projektu atlasi veikt atkarībā no nopelniem</w:t>
      </w:r>
      <w:r>
        <w:t xml:space="preserve"> un balstoties uz tādiem skaidriem kritērijiem kā izcilība, orientācija uz nākotni un ekonomiskais potenciāls. </w:t>
      </w:r>
      <w:r>
        <w:rPr>
          <w:b/>
          <w:bCs/>
        </w:rPr>
        <w:t>Lai valstis nevarētu bloķēt piekļuvi</w:t>
      </w:r>
      <w:r>
        <w:t>, EESK mudina noteikt pārredzamas procedūras, pieteikuma iesniedzējiem nodrošināt vienlīdzīgu piekļuvi visās dalībvalstīs un pārvaldībā aktīvi iesaistīt sociālos partnerus un pilsonisko sabiedrību;</w:t>
      </w:r>
    </w:p>
    <w:p w14:paraId="64C52483"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bCs/>
        </w:rPr>
        <w:t>iesaka ieviest “tirgus referendumu”</w:t>
      </w:r>
      <w:r>
        <w:t>, kas liktu projektiem, kuri meklē iespējas saņemt lielus ES līdzekļus, piemēram, kuri pretendē uz svarīgu projektu visas Eiropas interesēs vai citiem liela mēroga ieguldījumiem, vispirms būtu jāmobilizē noteikta privātā kapitāla daļa. Šāds tirgus pārbaudes mehānisms palīdzētu apstiprināt projektu kvalitāti, samazināt politizētu finansēšanas lēmumu pieņemšanu un stiprinātu saikni starp publisko atbalstu un reālu konkurētspēju;</w:t>
      </w:r>
    </w:p>
    <w:p w14:paraId="7A1693EC"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bCs/>
        </w:rPr>
        <w:t>uzsver, ka ir vajadzīgi spēcīgi riska novērtēšanas un novēršanas instrumenti</w:t>
      </w:r>
      <w:r>
        <w:t>, kas nodrošinātu, lai EKF resursi tiktu novirzīti tikai tiem projektiem, kuri patiešām paaugstina Eiropas konkurētspēju, un novērstu iepriekšējās ES finansēšanas programmās vērojamo problēmu atkārtošanos;</w:t>
      </w:r>
    </w:p>
    <w:p w14:paraId="4F35B8DF" w14:textId="77777777" w:rsidR="00685A3A" w:rsidRPr="00685A3A" w:rsidRDefault="00685A3A" w:rsidP="00054C58">
      <w:pPr>
        <w:numPr>
          <w:ilvl w:val="0"/>
          <w:numId w:val="27"/>
        </w:numPr>
        <w:overflowPunct w:val="0"/>
        <w:autoSpaceDE w:val="0"/>
        <w:autoSpaceDN w:val="0"/>
        <w:adjustRightInd w:val="0"/>
        <w:ind w:left="284" w:hanging="284"/>
        <w:textAlignment w:val="baseline"/>
      </w:pPr>
      <w:r>
        <w:t xml:space="preserve">norāda, ka ir svarīgi </w:t>
      </w:r>
      <w:r>
        <w:rPr>
          <w:b/>
          <w:bCs/>
        </w:rPr>
        <w:t>atbalstīt MVU, reģionālās un pārrobežu inovācijas ekosistēmas un ieguldījumus prasmēs un pienācīgas kvalitātes nodarbinātībā</w:t>
      </w:r>
      <w:r>
        <w:t>, vienlaikus vienkāršojot procedūras un nodrošinot pārredzamu, prognozējamu un iekļaujošu pārvaldību.</w:t>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906"/>
      </w:tblGrid>
      <w:tr w:rsidR="00685A3A" w:rsidRPr="00685A3A" w14:paraId="5EE7D4B5" w14:textId="77777777" w:rsidTr="0036489A">
        <w:tc>
          <w:tcPr>
            <w:tcW w:w="742" w:type="pct"/>
          </w:tcPr>
          <w:p w14:paraId="7E3E84A7" w14:textId="6B50AAD3" w:rsidR="00685A3A" w:rsidRPr="00685A3A" w:rsidRDefault="00685A3A" w:rsidP="00685A3A">
            <w:pPr>
              <w:overflowPunct w:val="0"/>
              <w:autoSpaceDE w:val="0"/>
              <w:autoSpaceDN w:val="0"/>
              <w:adjustRightInd w:val="0"/>
              <w:textAlignment w:val="baseline"/>
              <w:rPr>
                <w:i/>
              </w:rPr>
            </w:pPr>
          </w:p>
        </w:tc>
        <w:tc>
          <w:tcPr>
            <w:tcW w:w="4258" w:type="pct"/>
          </w:tcPr>
          <w:p w14:paraId="3F73F76D" w14:textId="15EE200F" w:rsidR="00685A3A" w:rsidRPr="00685A3A" w:rsidRDefault="00685A3A" w:rsidP="00685A3A">
            <w:pPr>
              <w:overflowPunct w:val="0"/>
              <w:autoSpaceDE w:val="0"/>
              <w:autoSpaceDN w:val="0"/>
              <w:adjustRightInd w:val="0"/>
              <w:textAlignment w:val="baseline"/>
              <w:rPr>
                <w:i/>
              </w:rPr>
            </w:pPr>
          </w:p>
        </w:tc>
      </w:tr>
      <w:tr w:rsidR="00685A3A" w:rsidRPr="00685A3A" w14:paraId="1DB97510" w14:textId="77777777" w:rsidTr="0036489A">
        <w:tc>
          <w:tcPr>
            <w:tcW w:w="742"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2572"/>
            </w:tblGrid>
            <w:tr w:rsidR="00E13363" w:rsidRPr="0045787F" w14:paraId="014CFA79" w14:textId="77777777" w:rsidTr="0036489A">
              <w:tc>
                <w:tcPr>
                  <w:tcW w:w="742" w:type="pct"/>
                </w:tcPr>
                <w:p w14:paraId="7EB958FC" w14:textId="77777777" w:rsidR="00E13363" w:rsidRPr="0045787F" w:rsidRDefault="00E13363" w:rsidP="00E13363">
                  <w:pPr>
                    <w:rPr>
                      <w:i/>
                      <w:sz w:val="20"/>
                      <w:szCs w:val="20"/>
                    </w:rPr>
                  </w:pPr>
                  <w:r w:rsidRPr="0045787F">
                    <w:rPr>
                      <w:b/>
                      <w:i/>
                      <w:sz w:val="20"/>
                      <w:szCs w:val="20"/>
                    </w:rPr>
                    <w:t>Kontaktpersona:</w:t>
                  </w:r>
                </w:p>
              </w:tc>
              <w:tc>
                <w:tcPr>
                  <w:tcW w:w="4258" w:type="pct"/>
                </w:tcPr>
                <w:p w14:paraId="2797B023" w14:textId="00679360" w:rsidR="00E13363" w:rsidRPr="0045787F" w:rsidRDefault="00E13363" w:rsidP="00E13363">
                  <w:pPr>
                    <w:rPr>
                      <w:i/>
                      <w:sz w:val="20"/>
                      <w:szCs w:val="20"/>
                    </w:rPr>
                  </w:pPr>
                  <w:r w:rsidRPr="0045787F">
                    <w:rPr>
                      <w:i/>
                      <w:sz w:val="20"/>
                      <w:szCs w:val="20"/>
                    </w:rPr>
                    <w:t xml:space="preserve">Silvia </w:t>
                  </w:r>
                  <w:proofErr w:type="spellStart"/>
                  <w:r w:rsidRPr="0045787F">
                    <w:rPr>
                      <w:i/>
                      <w:sz w:val="20"/>
                      <w:szCs w:val="20"/>
                    </w:rPr>
                    <w:t>Staffa</w:t>
                  </w:r>
                  <w:proofErr w:type="spellEnd"/>
                </w:p>
              </w:tc>
            </w:tr>
            <w:tr w:rsidR="00E13363" w:rsidRPr="0045787F" w14:paraId="545C7BC0" w14:textId="77777777" w:rsidTr="0036489A">
              <w:tc>
                <w:tcPr>
                  <w:tcW w:w="742" w:type="pct"/>
                </w:tcPr>
                <w:p w14:paraId="01319993" w14:textId="77777777" w:rsidR="00E13363" w:rsidRPr="0045787F" w:rsidRDefault="00E13363" w:rsidP="00E13363">
                  <w:pPr>
                    <w:rPr>
                      <w:i/>
                      <w:sz w:val="20"/>
                      <w:szCs w:val="20"/>
                    </w:rPr>
                  </w:pPr>
                  <w:r w:rsidRPr="0045787F">
                    <w:rPr>
                      <w:i/>
                      <w:sz w:val="20"/>
                      <w:szCs w:val="20"/>
                    </w:rPr>
                    <w:t>Tālr.:</w:t>
                  </w:r>
                </w:p>
              </w:tc>
              <w:tc>
                <w:tcPr>
                  <w:tcW w:w="4258" w:type="pct"/>
                </w:tcPr>
                <w:p w14:paraId="66DD56EC" w14:textId="77777777" w:rsidR="00E13363" w:rsidRPr="0045787F" w:rsidRDefault="00E13363" w:rsidP="00E13363">
                  <w:pPr>
                    <w:rPr>
                      <w:i/>
                      <w:sz w:val="20"/>
                      <w:szCs w:val="20"/>
                    </w:rPr>
                  </w:pPr>
                  <w:r w:rsidRPr="0045787F">
                    <w:rPr>
                      <w:i/>
                      <w:sz w:val="20"/>
                      <w:szCs w:val="20"/>
                    </w:rPr>
                    <w:t>+32 254 68378</w:t>
                  </w:r>
                </w:p>
              </w:tc>
            </w:tr>
            <w:tr w:rsidR="00E13363" w:rsidRPr="0045787F" w14:paraId="4CC970C9" w14:textId="77777777" w:rsidTr="0036489A">
              <w:tc>
                <w:tcPr>
                  <w:tcW w:w="742" w:type="pct"/>
                </w:tcPr>
                <w:p w14:paraId="7B046870" w14:textId="77777777" w:rsidR="00E13363" w:rsidRPr="0045787F" w:rsidRDefault="00E13363" w:rsidP="00E13363">
                  <w:pPr>
                    <w:rPr>
                      <w:i/>
                      <w:sz w:val="20"/>
                      <w:szCs w:val="20"/>
                    </w:rPr>
                  </w:pPr>
                  <w:r w:rsidRPr="0045787F">
                    <w:rPr>
                      <w:i/>
                      <w:sz w:val="20"/>
                      <w:szCs w:val="20"/>
                    </w:rPr>
                    <w:t>E-pasts:</w:t>
                  </w:r>
                </w:p>
              </w:tc>
              <w:tc>
                <w:tcPr>
                  <w:tcW w:w="4258" w:type="pct"/>
                </w:tcPr>
                <w:p w14:paraId="73277BE8" w14:textId="77777777" w:rsidR="00E13363" w:rsidRPr="0045787F" w:rsidRDefault="00E27DEE" w:rsidP="00E13363">
                  <w:pPr>
                    <w:rPr>
                      <w:i/>
                      <w:iCs/>
                      <w:sz w:val="20"/>
                      <w:szCs w:val="20"/>
                    </w:rPr>
                  </w:pPr>
                  <w:hyperlink r:id="rId39" w:history="1">
                    <w:r w:rsidR="00B9028C" w:rsidRPr="0045787F">
                      <w:rPr>
                        <w:rStyle w:val="Hyperlink"/>
                        <w:i/>
                        <w:sz w:val="20"/>
                        <w:szCs w:val="20"/>
                      </w:rPr>
                      <w:t>Silvia.Staffa@eesc.europa.eu</w:t>
                    </w:r>
                  </w:hyperlink>
                </w:p>
              </w:tc>
            </w:tr>
          </w:tbl>
          <w:p w14:paraId="7ED801DC" w14:textId="10B65685" w:rsidR="00685A3A" w:rsidRPr="00685A3A" w:rsidRDefault="00685A3A" w:rsidP="00685A3A">
            <w:pPr>
              <w:overflowPunct w:val="0"/>
              <w:autoSpaceDE w:val="0"/>
              <w:autoSpaceDN w:val="0"/>
              <w:adjustRightInd w:val="0"/>
              <w:textAlignment w:val="baseline"/>
              <w:rPr>
                <w:i/>
              </w:rPr>
            </w:pPr>
          </w:p>
        </w:tc>
        <w:tc>
          <w:tcPr>
            <w:tcW w:w="4258" w:type="pct"/>
          </w:tcPr>
          <w:p w14:paraId="3FCC5A85" w14:textId="77777777" w:rsidR="00685A3A" w:rsidRPr="00685A3A" w:rsidRDefault="00685A3A" w:rsidP="00685A3A">
            <w:pPr>
              <w:overflowPunct w:val="0"/>
              <w:autoSpaceDE w:val="0"/>
              <w:autoSpaceDN w:val="0"/>
              <w:adjustRightInd w:val="0"/>
              <w:textAlignment w:val="baseline"/>
              <w:rPr>
                <w:i/>
              </w:rPr>
            </w:pPr>
          </w:p>
        </w:tc>
      </w:tr>
    </w:tbl>
    <w:p w14:paraId="488199D1" w14:textId="4BC42091" w:rsidR="00685A3A" w:rsidRPr="00685A3A" w:rsidRDefault="00685A3A" w:rsidP="00685A3A">
      <w:pPr>
        <w:widowControl w:val="0"/>
        <w:numPr>
          <w:ilvl w:val="0"/>
          <w:numId w:val="4"/>
        </w:numPr>
        <w:overflowPunct w:val="0"/>
        <w:autoSpaceDE w:val="0"/>
        <w:autoSpaceDN w:val="0"/>
        <w:adjustRightInd w:val="0"/>
        <w:ind w:hanging="567"/>
        <w:textAlignment w:val="baseline"/>
        <w:rPr>
          <w:sz w:val="20"/>
          <w:szCs w:val="20"/>
        </w:rPr>
      </w:pPr>
      <w:r>
        <w:br w:type="page"/>
      </w:r>
      <w:hyperlink r:id="rId40" w:history="1">
        <w:r>
          <w:rPr>
            <w:b/>
            <w:i/>
            <w:color w:val="0000FF"/>
            <w:sz w:val="28"/>
            <w:u w:val="single"/>
          </w:rPr>
          <w:t>Eiropas publiskā iepirkuma tiesiskā regulējuma pārskatīšana</w:t>
        </w:r>
      </w:hyperlink>
    </w:p>
    <w:p w14:paraId="2EF6D0F3"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1"/>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685A3A" w14:paraId="6187CB39" w14:textId="77777777" w:rsidTr="0036489A">
        <w:trPr>
          <w:trHeight w:val="406"/>
        </w:trPr>
        <w:tc>
          <w:tcPr>
            <w:tcW w:w="1108" w:type="pct"/>
          </w:tcPr>
          <w:p w14:paraId="4DBAD4F1"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Ziņotājs</w:t>
            </w:r>
          </w:p>
        </w:tc>
        <w:tc>
          <w:tcPr>
            <w:tcW w:w="3892" w:type="pct"/>
          </w:tcPr>
          <w:p w14:paraId="1387F327" w14:textId="3E223F4E" w:rsidR="00685A3A" w:rsidRPr="00685A3A" w:rsidRDefault="00685A3A" w:rsidP="00685A3A">
            <w:pPr>
              <w:tabs>
                <w:tab w:val="center" w:pos="0"/>
              </w:tabs>
              <w:overflowPunct w:val="0"/>
              <w:autoSpaceDE w:val="0"/>
              <w:autoSpaceDN w:val="0"/>
              <w:adjustRightInd w:val="0"/>
              <w:ind w:left="266" w:hanging="266"/>
              <w:textAlignment w:val="baseline"/>
            </w:pPr>
            <w:r>
              <w:t>Philip VON BROCKDORFF (Darba ņēmēju grupa – MT)</w:t>
            </w:r>
          </w:p>
        </w:tc>
      </w:tr>
      <w:tr w:rsidR="00685A3A" w:rsidRPr="00685A3A" w14:paraId="74E460F2" w14:textId="77777777" w:rsidTr="0036489A">
        <w:tc>
          <w:tcPr>
            <w:tcW w:w="1108" w:type="pct"/>
          </w:tcPr>
          <w:p w14:paraId="318C426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Atsauces</w:t>
            </w:r>
          </w:p>
        </w:tc>
        <w:tc>
          <w:tcPr>
            <w:tcW w:w="3892" w:type="pct"/>
          </w:tcPr>
          <w:p w14:paraId="6CDCCE3F" w14:textId="74C336A8" w:rsidR="00685A3A" w:rsidRPr="00685A3A" w:rsidRDefault="00685A3A" w:rsidP="00685A3A">
            <w:pPr>
              <w:tabs>
                <w:tab w:val="center" w:pos="284"/>
              </w:tabs>
              <w:overflowPunct w:val="0"/>
              <w:autoSpaceDE w:val="0"/>
              <w:autoSpaceDN w:val="0"/>
              <w:adjustRightInd w:val="0"/>
              <w:ind w:left="266" w:hanging="266"/>
              <w:textAlignment w:val="baseline"/>
            </w:pPr>
            <w:r>
              <w:t>Izpētes atzinums pēc Eiropas Komisijas pieprasījuma</w:t>
            </w:r>
          </w:p>
          <w:p w14:paraId="6DE13CBF"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EESC-2025-01402-00-00-AC</w:t>
            </w:r>
          </w:p>
        </w:tc>
      </w:tr>
    </w:tbl>
    <w:p w14:paraId="786823F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en-GB"/>
        </w:rPr>
      </w:pPr>
    </w:p>
    <w:p w14:paraId="4E38A4E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Galvenās nostādnes</w:t>
      </w:r>
    </w:p>
    <w:p w14:paraId="6E1B1A9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20D8098B" w14:textId="77777777" w:rsidR="00685A3A" w:rsidRDefault="00685A3A" w:rsidP="00685A3A">
      <w:pPr>
        <w:overflowPunct w:val="0"/>
        <w:autoSpaceDE w:val="0"/>
        <w:autoSpaceDN w:val="0"/>
        <w:adjustRightInd w:val="0"/>
        <w:textAlignment w:val="baseline"/>
        <w:rPr>
          <w:bCs/>
          <w:iCs/>
        </w:rPr>
      </w:pPr>
      <w:r>
        <w:t>EESK:</w:t>
      </w:r>
    </w:p>
    <w:p w14:paraId="70A20C64" w14:textId="77777777" w:rsidR="00665929" w:rsidRPr="00685A3A" w:rsidRDefault="00665929" w:rsidP="00685A3A">
      <w:pPr>
        <w:overflowPunct w:val="0"/>
        <w:autoSpaceDE w:val="0"/>
        <w:autoSpaceDN w:val="0"/>
        <w:adjustRightInd w:val="0"/>
        <w:textAlignment w:val="baseline"/>
        <w:rPr>
          <w:lang w:val="en-GB"/>
        </w:rPr>
      </w:pPr>
    </w:p>
    <w:p w14:paraId="1AF2E88C"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piekrīt, ka jāpārskata spēkā esošie ES tiesību akti, lai veicinātu vienkāršošanu, samazinātu administratīvās izmaksas un atbalstītu turpmāku saskaņošanu vienotajā tirgū;</w:t>
      </w:r>
    </w:p>
    <w:p w14:paraId="73D00E89"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 xml:space="preserve">uzskata, ka ilgtspējīga ES iepirkuma politika var būt plašāka nekā šaura reaģēšana uz tirgus nepilnībām, nodrošinot stratēģisku un uz sabiedrības labklājību orientētu iepirkumu; nosakot, ka sociālie, ar inovāciju saistītie un </w:t>
      </w:r>
      <w:proofErr w:type="spellStart"/>
      <w:r>
        <w:t>vidiskie</w:t>
      </w:r>
      <w:proofErr w:type="spellEnd"/>
      <w:r>
        <w:t xml:space="preserve"> kritēriji ir līdzvērtīgi mērķi; un nodrošinot, ka privātajiem uzņēmumiem ir taisnīga piekļuve publiskajam iepirkumam;</w:t>
      </w:r>
    </w:p>
    <w:p w14:paraId="0FCA892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 xml:space="preserve">uzskata, ka </w:t>
      </w:r>
      <w:proofErr w:type="spellStart"/>
      <w:r>
        <w:t>līgumslēgšanas</w:t>
      </w:r>
      <w:proofErr w:type="spellEnd"/>
      <w:r>
        <w:t xml:space="preserve"> tiesības jāpiešķir uz saimnieciski visizdevīgākajiem nosacījumiem, taču vienlaikus norāda, ka svarīgi ir ar cenu nesaistīti kritēriji, piemēram, kvalitāte, inovācija, vides aizsardzība, ilgtspēja un sociāli apsvērumi, it īpaši darba ņēmēju tiesības un koplīgumi;</w:t>
      </w:r>
    </w:p>
    <w:p w14:paraId="67FC0F2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aicina īstenot holistisku pieeju politikai attiecībā uz vispārējas nozīmes pakalpojumiem;</w:t>
      </w:r>
    </w:p>
    <w:p w14:paraId="4BDE4CA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uzskata, ka publiskā iepirkuma līgumu slēgšanas tiesības nebūtu jāpiešķir uzņēmumiem, kuri sistemātiski pārkāpj darba ņēmēju tiesības vai tiem saistošus koplīgumus;</w:t>
      </w:r>
    </w:p>
    <w:p w14:paraId="2A2F2AFD"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uzskata, ka ar nosacījumu, ka tiek izpildīti attiecīgie juridiskie kritēriji un nodrošināta minimāla konkurences izkropļošana, pārskatot ES iepirkuma direktīvas, būtu jāsaglabā iekšējā iepirkuma iespēja no vairākuma kontrolētiem tiesību subjektiem un līguma tiešas piešķiršanas iespēja;</w:t>
      </w:r>
    </w:p>
    <w:p w14:paraId="6E90E5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iesaka noteikt juridisku pienākumu novērtēt sabiedrisko pakalpojumu līgumos spēkā esošo robežvērtību ietekmi;</w:t>
      </w:r>
    </w:p>
    <w:p w14:paraId="47C53FE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uzskata, ka publiskais iepirkums var atbalstīt sociāli taisnīgu, ekoloģiski ilgtspējīgu un ekonomiski noturīgu Eiropu kopējā labuma vārdā;</w:t>
      </w:r>
    </w:p>
    <w:p w14:paraId="75315D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rPr>
          <w:rFonts w:ascii="Calibri" w:hAnsi="Calibri"/>
        </w:rPr>
      </w:pPr>
      <w:r>
        <w:t>aicina ieviest obligātas cenu pārskatīšanas klauzulas, lai ņemtu vērā ar atalgojumu saistītus grozījumus koplīgumos un/vai darba tiesību aktos, inflāciju, kā arī citus būtiskus faktorus (tādus kā enerģijas izmaksas), kas ietekmē līguma izpildi.</w:t>
      </w:r>
    </w:p>
    <w:p w14:paraId="01E0D13D" w14:textId="77777777" w:rsidR="00685A3A" w:rsidRPr="00685A3A" w:rsidRDefault="00685A3A" w:rsidP="00685A3A">
      <w:pPr>
        <w:spacing w:line="276" w:lineRule="auto"/>
        <w:ind w:left="567"/>
        <w:contextualSpacing/>
        <w:rPr>
          <w:rFonts w:ascii="Calibri" w:hAnsi="Calibri"/>
          <w:bCs/>
          <w:iCs/>
          <w:lang w:val="en-GB" w:eastAsia="zh-CN"/>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7694"/>
      </w:tblGrid>
      <w:tr w:rsidR="00685A3A" w:rsidRPr="00685A3A" w14:paraId="0E43841C" w14:textId="77777777" w:rsidTr="0036489A">
        <w:tc>
          <w:tcPr>
            <w:tcW w:w="742" w:type="pct"/>
          </w:tcPr>
          <w:p w14:paraId="28C7C10B" w14:textId="77777777" w:rsidR="00685A3A" w:rsidRPr="00685A3A" w:rsidRDefault="00685A3A" w:rsidP="00685A3A">
            <w:pPr>
              <w:overflowPunct w:val="0"/>
              <w:autoSpaceDE w:val="0"/>
              <w:autoSpaceDN w:val="0"/>
              <w:adjustRightInd w:val="0"/>
              <w:spacing w:line="240" w:lineRule="auto"/>
              <w:textAlignment w:val="baseline"/>
              <w:rPr>
                <w:i/>
              </w:rPr>
            </w:pPr>
            <w:r>
              <w:rPr>
                <w:b/>
                <w:i/>
              </w:rPr>
              <w:t>Kontaktpersona:</w:t>
            </w:r>
          </w:p>
        </w:tc>
        <w:tc>
          <w:tcPr>
            <w:tcW w:w="4258" w:type="pct"/>
          </w:tcPr>
          <w:p w14:paraId="1245791A" w14:textId="77777777" w:rsidR="00685A3A" w:rsidRPr="00685A3A" w:rsidRDefault="00685A3A" w:rsidP="00685A3A">
            <w:pPr>
              <w:overflowPunct w:val="0"/>
              <w:autoSpaceDE w:val="0"/>
              <w:autoSpaceDN w:val="0"/>
              <w:adjustRightInd w:val="0"/>
              <w:spacing w:line="240" w:lineRule="auto"/>
              <w:textAlignment w:val="baseline"/>
              <w:rPr>
                <w:i/>
              </w:rPr>
            </w:pPr>
            <w:proofErr w:type="spellStart"/>
            <w:r>
              <w:rPr>
                <w:i/>
              </w:rPr>
              <w:t>Annalisa</w:t>
            </w:r>
            <w:proofErr w:type="spellEnd"/>
            <w:r>
              <w:rPr>
                <w:i/>
              </w:rPr>
              <w:t xml:space="preserve"> </w:t>
            </w:r>
            <w:proofErr w:type="spellStart"/>
            <w:r>
              <w:rPr>
                <w:i/>
              </w:rPr>
              <w:t>Tessarolo</w:t>
            </w:r>
            <w:proofErr w:type="spellEnd"/>
          </w:p>
        </w:tc>
      </w:tr>
      <w:tr w:rsidR="00685A3A" w:rsidRPr="00685A3A" w14:paraId="3DD656A6" w14:textId="77777777" w:rsidTr="0036489A">
        <w:tc>
          <w:tcPr>
            <w:tcW w:w="742" w:type="pct"/>
          </w:tcPr>
          <w:p w14:paraId="4F2FD959" w14:textId="77777777" w:rsidR="00685A3A" w:rsidRPr="00685A3A" w:rsidRDefault="00685A3A" w:rsidP="00685A3A">
            <w:pPr>
              <w:overflowPunct w:val="0"/>
              <w:autoSpaceDE w:val="0"/>
              <w:autoSpaceDN w:val="0"/>
              <w:adjustRightInd w:val="0"/>
              <w:spacing w:line="240" w:lineRule="auto"/>
              <w:textAlignment w:val="baseline"/>
              <w:rPr>
                <w:i/>
              </w:rPr>
            </w:pPr>
            <w:r>
              <w:rPr>
                <w:i/>
              </w:rPr>
              <w:t>Tālr.:</w:t>
            </w:r>
          </w:p>
        </w:tc>
        <w:tc>
          <w:tcPr>
            <w:tcW w:w="4258" w:type="pct"/>
          </w:tcPr>
          <w:p w14:paraId="79B2077E" w14:textId="77777777" w:rsidR="00685A3A" w:rsidRPr="00685A3A" w:rsidRDefault="00685A3A" w:rsidP="00685A3A">
            <w:pPr>
              <w:overflowPunct w:val="0"/>
              <w:autoSpaceDE w:val="0"/>
              <w:autoSpaceDN w:val="0"/>
              <w:adjustRightInd w:val="0"/>
              <w:spacing w:line="240" w:lineRule="auto"/>
              <w:textAlignment w:val="baseline"/>
              <w:rPr>
                <w:i/>
              </w:rPr>
            </w:pPr>
            <w:r>
              <w:rPr>
                <w:i/>
              </w:rPr>
              <w:t>+ 32 25469732</w:t>
            </w:r>
          </w:p>
        </w:tc>
      </w:tr>
      <w:tr w:rsidR="00685A3A" w:rsidRPr="00685A3A" w14:paraId="31FFB9F3" w14:textId="77777777" w:rsidTr="0036489A">
        <w:tc>
          <w:tcPr>
            <w:tcW w:w="742" w:type="pct"/>
          </w:tcPr>
          <w:p w14:paraId="62C6EB1B" w14:textId="77777777" w:rsidR="00685A3A" w:rsidRPr="00685A3A" w:rsidRDefault="00685A3A" w:rsidP="00685A3A">
            <w:pPr>
              <w:overflowPunct w:val="0"/>
              <w:autoSpaceDE w:val="0"/>
              <w:autoSpaceDN w:val="0"/>
              <w:adjustRightInd w:val="0"/>
              <w:spacing w:line="240" w:lineRule="auto"/>
              <w:textAlignment w:val="baseline"/>
              <w:rPr>
                <w:i/>
              </w:rPr>
            </w:pPr>
            <w:r>
              <w:rPr>
                <w:i/>
              </w:rPr>
              <w:t>E-pasts:</w:t>
            </w:r>
          </w:p>
        </w:tc>
        <w:tc>
          <w:tcPr>
            <w:tcW w:w="4258" w:type="pct"/>
          </w:tcPr>
          <w:p w14:paraId="04364B9F" w14:textId="77777777" w:rsidR="00685A3A" w:rsidRPr="00685A3A" w:rsidRDefault="00E27DEE" w:rsidP="00685A3A">
            <w:pPr>
              <w:overflowPunct w:val="0"/>
              <w:autoSpaceDE w:val="0"/>
              <w:autoSpaceDN w:val="0"/>
              <w:adjustRightInd w:val="0"/>
              <w:spacing w:line="240" w:lineRule="auto"/>
              <w:textAlignment w:val="baseline"/>
              <w:rPr>
                <w:i/>
                <w:iCs/>
              </w:rPr>
            </w:pPr>
            <w:hyperlink r:id="rId41" w:history="1">
              <w:r w:rsidR="00B9028C">
                <w:rPr>
                  <w:i/>
                  <w:color w:val="0000FF"/>
                  <w:u w:val="single"/>
                </w:rPr>
                <w:t>Annalisa.Tessarolo@eesc.europa.eu</w:t>
              </w:r>
            </w:hyperlink>
          </w:p>
        </w:tc>
      </w:tr>
    </w:tbl>
    <w:p w14:paraId="40169B8F" w14:textId="3A8D790B" w:rsidR="00685A3A" w:rsidRDefault="00685A3A"/>
    <w:p w14:paraId="1E327181" w14:textId="77777777" w:rsidR="00685A3A" w:rsidRDefault="00685A3A">
      <w:r>
        <w:br w:type="page"/>
      </w:r>
    </w:p>
    <w:p w14:paraId="4982DE1F" w14:textId="77777777" w:rsidR="004D7AC0" w:rsidRDefault="004D7AC0" w:rsidP="004D7AC0">
      <w:pPr>
        <w:pStyle w:val="Heading1"/>
        <w:rPr>
          <w:b/>
        </w:rPr>
      </w:pPr>
      <w:bookmarkStart w:id="12" w:name="_Toc70322234"/>
      <w:bookmarkStart w:id="13" w:name="_Toc75527084"/>
      <w:bookmarkStart w:id="14" w:name="_Toc217287879"/>
      <w:r>
        <w:rPr>
          <w:b/>
        </w:rPr>
        <w:lastRenderedPageBreak/>
        <w:t>LAUKSAIMNIECĪBA, LAUKU ATTĪSTĪBA UN VIDE</w:t>
      </w:r>
      <w:bookmarkEnd w:id="12"/>
      <w:bookmarkEnd w:id="13"/>
      <w:bookmarkEnd w:id="14"/>
    </w:p>
    <w:p w14:paraId="4982DE20" w14:textId="77777777" w:rsidR="004D7AC0" w:rsidRDefault="004D7AC0" w:rsidP="004D7AC0"/>
    <w:p w14:paraId="280704BE" w14:textId="42E36B01" w:rsidR="00836765" w:rsidRPr="00836765" w:rsidRDefault="00E27DEE" w:rsidP="00836765">
      <w:pPr>
        <w:widowControl w:val="0"/>
        <w:numPr>
          <w:ilvl w:val="0"/>
          <w:numId w:val="4"/>
        </w:numPr>
        <w:overflowPunct w:val="0"/>
        <w:autoSpaceDE w:val="0"/>
        <w:autoSpaceDN w:val="0"/>
        <w:adjustRightInd w:val="0"/>
        <w:ind w:hanging="567"/>
        <w:textAlignment w:val="baseline"/>
        <w:rPr>
          <w:b/>
        </w:rPr>
      </w:pPr>
      <w:hyperlink r:id="rId42" w:history="1">
        <w:r w:rsidR="00B9028C">
          <w:rPr>
            <w:b/>
            <w:i/>
            <w:color w:val="0000FF"/>
            <w:sz w:val="28"/>
            <w:u w:val="single"/>
          </w:rPr>
          <w:t>Atmežošanas Regulas (ES) 2023/1115 grozījumi</w:t>
        </w:r>
      </w:hyperlink>
      <w:r w:rsidR="00B9028C">
        <w:rPr>
          <w:b/>
          <w:i/>
          <w:sz w:val="28"/>
        </w:rPr>
        <w:t xml:space="preserve"> </w:t>
      </w:r>
    </w:p>
    <w:p w14:paraId="32C19EBC" w14:textId="77777777" w:rsidR="00836765" w:rsidRPr="00836765" w:rsidRDefault="00836765" w:rsidP="00836765">
      <w:pPr>
        <w:widowControl w:val="0"/>
        <w:overflowPunct w:val="0"/>
        <w:autoSpaceDE w:val="0"/>
        <w:autoSpaceDN w:val="0"/>
        <w:adjustRightInd w:val="0"/>
        <w:ind w:left="266"/>
        <w:textAlignment w:val="baseline"/>
        <w:rPr>
          <w:b/>
          <w:lang w:val="en-G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36765" w:rsidRPr="00836765" w14:paraId="353187E9" w14:textId="77777777" w:rsidTr="0036489A">
        <w:tc>
          <w:tcPr>
            <w:tcW w:w="1077" w:type="pct"/>
            <w:vMerge w:val="restart"/>
          </w:tcPr>
          <w:p w14:paraId="48F35E0D"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r>
              <w:rPr>
                <w:b/>
              </w:rPr>
              <w:t>Atsauces</w:t>
            </w:r>
          </w:p>
        </w:tc>
        <w:tc>
          <w:tcPr>
            <w:tcW w:w="3923" w:type="pct"/>
          </w:tcPr>
          <w:p w14:paraId="445830D4" w14:textId="19171181" w:rsidR="00B730AD" w:rsidRDefault="00B730AD" w:rsidP="00836765">
            <w:pPr>
              <w:tabs>
                <w:tab w:val="center" w:pos="284"/>
              </w:tabs>
              <w:overflowPunct w:val="0"/>
              <w:autoSpaceDE w:val="0"/>
              <w:autoSpaceDN w:val="0"/>
              <w:adjustRightInd w:val="0"/>
              <w:ind w:left="266" w:right="-3091" w:hanging="266"/>
              <w:textAlignment w:val="baseline"/>
            </w:pPr>
            <w:r>
              <w:t>C kategorijas atzinums</w:t>
            </w:r>
          </w:p>
          <w:p w14:paraId="3B6BE4B3" w14:textId="6F87B5D9" w:rsidR="00836765" w:rsidRPr="00836765" w:rsidRDefault="00836765" w:rsidP="00836765">
            <w:pPr>
              <w:tabs>
                <w:tab w:val="center" w:pos="284"/>
              </w:tabs>
              <w:overflowPunct w:val="0"/>
              <w:autoSpaceDE w:val="0"/>
              <w:autoSpaceDN w:val="0"/>
              <w:adjustRightInd w:val="0"/>
              <w:ind w:left="266" w:right="-3091" w:hanging="266"/>
              <w:textAlignment w:val="baseline"/>
            </w:pPr>
            <w:r>
              <w:t xml:space="preserve">COM(2025) 652 </w:t>
            </w:r>
            <w:proofErr w:type="spellStart"/>
            <w:r>
              <w:t>final</w:t>
            </w:r>
            <w:proofErr w:type="spellEnd"/>
          </w:p>
        </w:tc>
      </w:tr>
      <w:tr w:rsidR="00836765" w:rsidRPr="00836765" w14:paraId="61D1A2FF" w14:textId="77777777" w:rsidTr="0036489A">
        <w:tc>
          <w:tcPr>
            <w:tcW w:w="1077" w:type="pct"/>
            <w:vMerge/>
          </w:tcPr>
          <w:p w14:paraId="4837CA2A"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p>
        </w:tc>
        <w:tc>
          <w:tcPr>
            <w:tcW w:w="3923" w:type="pct"/>
          </w:tcPr>
          <w:p w14:paraId="1F5382E7" w14:textId="77777777" w:rsidR="00836765" w:rsidRPr="00836765" w:rsidRDefault="00836765" w:rsidP="00836765">
            <w:pPr>
              <w:tabs>
                <w:tab w:val="center" w:pos="284"/>
              </w:tabs>
              <w:overflowPunct w:val="0"/>
              <w:autoSpaceDE w:val="0"/>
              <w:autoSpaceDN w:val="0"/>
              <w:adjustRightInd w:val="0"/>
              <w:ind w:left="266" w:right="-3091" w:hanging="266"/>
              <w:textAlignment w:val="baseline"/>
            </w:pPr>
            <w:r>
              <w:t>EESC-2025-03869-00-00-AC-TRA</w:t>
            </w:r>
          </w:p>
        </w:tc>
      </w:tr>
    </w:tbl>
    <w:p w14:paraId="4266EAA0" w14:textId="77777777" w:rsidR="00836765" w:rsidRPr="00836765" w:rsidRDefault="00836765" w:rsidP="00836765">
      <w:pPr>
        <w:tabs>
          <w:tab w:val="center" w:pos="284"/>
        </w:tabs>
        <w:overflowPunct w:val="0"/>
        <w:autoSpaceDE w:val="0"/>
        <w:autoSpaceDN w:val="0"/>
        <w:adjustRightInd w:val="0"/>
        <w:ind w:left="266" w:hanging="266"/>
        <w:textAlignment w:val="baseline"/>
        <w:rPr>
          <w:b/>
          <w:lang w:val="en-GB"/>
        </w:rPr>
      </w:pPr>
    </w:p>
    <w:p w14:paraId="0143DBBD"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rPr>
      </w:pPr>
      <w:r>
        <w:rPr>
          <w:b/>
        </w:rPr>
        <w:t>Galvenās nostādnes</w:t>
      </w:r>
    </w:p>
    <w:p w14:paraId="23518C72"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lang w:val="en-GB"/>
        </w:rPr>
      </w:pPr>
    </w:p>
    <w:p w14:paraId="0A85C065" w14:textId="77777777" w:rsidR="00836765" w:rsidRPr="00836765" w:rsidRDefault="00836765" w:rsidP="00836765">
      <w:pPr>
        <w:overflowPunct w:val="0"/>
        <w:autoSpaceDE w:val="0"/>
        <w:autoSpaceDN w:val="0"/>
        <w:adjustRightInd w:val="0"/>
        <w:textAlignment w:val="baseline"/>
        <w:rPr>
          <w:bCs/>
          <w:iCs/>
        </w:rPr>
      </w:pPr>
      <w:r>
        <w:t>EESK:</w:t>
      </w:r>
    </w:p>
    <w:p w14:paraId="48328C8A" w14:textId="77777777" w:rsidR="00836765" w:rsidRPr="00836765" w:rsidRDefault="00836765" w:rsidP="00836765">
      <w:pPr>
        <w:overflowPunct w:val="0"/>
        <w:autoSpaceDE w:val="0"/>
        <w:autoSpaceDN w:val="0"/>
        <w:adjustRightInd w:val="0"/>
        <w:textAlignment w:val="baseline"/>
        <w:rPr>
          <w:bCs/>
          <w:iCs/>
          <w:lang w:val="en-GB"/>
        </w:rPr>
      </w:pPr>
    </w:p>
    <w:p w14:paraId="564661E9" w14:textId="77777777" w:rsidR="00836765" w:rsidRPr="00836765" w:rsidRDefault="00836765" w:rsidP="00054C58">
      <w:pPr>
        <w:widowControl w:val="0"/>
        <w:numPr>
          <w:ilvl w:val="0"/>
          <w:numId w:val="29"/>
        </w:numPr>
        <w:overflowPunct w:val="0"/>
        <w:autoSpaceDE w:val="0"/>
        <w:autoSpaceDN w:val="0"/>
        <w:adjustRightInd w:val="0"/>
        <w:ind w:left="284" w:hanging="284"/>
        <w:textAlignment w:val="baseline"/>
        <w:rPr>
          <w:bCs/>
          <w:iCs/>
        </w:rPr>
      </w:pPr>
      <w:r>
        <w:t>savu viedokli par šā priekšlikuma saturu jau ir paudusi 2024. gada 19. septembrī pieņemtajā atzinumā EESC-2024-01183-00-00-AC-TRA</w:t>
      </w:r>
      <w:r w:rsidRPr="00836765">
        <w:rPr>
          <w:sz w:val="18"/>
          <w:szCs w:val="14"/>
          <w:vertAlign w:val="superscript"/>
          <w:lang w:val="en-GB"/>
        </w:rPr>
        <w:footnoteReference w:id="5"/>
      </w:r>
      <w:r>
        <w:t xml:space="preserve"> un 2022. gada 23. februārī pieņemtajā atzinumā EESC-2021-05690-00-00-AC-TRA</w:t>
      </w:r>
      <w:r w:rsidRPr="00836765">
        <w:rPr>
          <w:sz w:val="18"/>
          <w:szCs w:val="14"/>
          <w:vertAlign w:val="superscript"/>
          <w:lang w:val="en-GB"/>
        </w:rPr>
        <w:footnoteReference w:id="6"/>
      </w:r>
      <w:r>
        <w:t>, tā ir pieņēmusi lēmumu jaunu atzinumu par šo tematu neizstrādāt un atsaukties uz minētajos atzinumos pausto viedokli.</w:t>
      </w:r>
    </w:p>
    <w:p w14:paraId="65270CA5" w14:textId="77777777" w:rsidR="00836765" w:rsidRPr="00836765" w:rsidRDefault="00836765" w:rsidP="00836765">
      <w:pPr>
        <w:widowControl w:val="0"/>
        <w:overflowPunct w:val="0"/>
        <w:autoSpaceDE w:val="0"/>
        <w:autoSpaceDN w:val="0"/>
        <w:adjustRightInd w:val="0"/>
        <w:ind w:left="567"/>
        <w:textAlignment w:val="baseline"/>
        <w:rPr>
          <w:rFonts w:asciiTheme="minorHAnsi" w:hAnsiTheme="minorHAnsi"/>
          <w:szCs w:val="20"/>
          <w:lang w:val="en-GB"/>
        </w:rPr>
      </w:pPr>
    </w:p>
    <w:tbl>
      <w:tblPr>
        <w:tblStyle w:val="TableGrid1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836765" w:rsidRPr="00836765" w14:paraId="4FE2C2E9" w14:textId="77777777" w:rsidTr="0036489A">
        <w:tc>
          <w:tcPr>
            <w:tcW w:w="1078" w:type="pct"/>
          </w:tcPr>
          <w:p w14:paraId="440CE4F1" w14:textId="77777777" w:rsidR="00836765" w:rsidRPr="00836765" w:rsidRDefault="00836765" w:rsidP="00836765">
            <w:pPr>
              <w:overflowPunct w:val="0"/>
              <w:autoSpaceDE w:val="0"/>
              <w:autoSpaceDN w:val="0"/>
              <w:adjustRightInd w:val="0"/>
              <w:textAlignment w:val="baseline"/>
              <w:rPr>
                <w:i/>
              </w:rPr>
            </w:pPr>
            <w:r>
              <w:rPr>
                <w:b/>
                <w:i/>
              </w:rPr>
              <w:t>Kontaktpersona:</w:t>
            </w:r>
          </w:p>
        </w:tc>
        <w:tc>
          <w:tcPr>
            <w:tcW w:w="3922" w:type="pct"/>
          </w:tcPr>
          <w:p w14:paraId="3DB7D13C" w14:textId="2A0D3DD3" w:rsidR="00836765" w:rsidRPr="00836765" w:rsidRDefault="00836765" w:rsidP="00836765">
            <w:pPr>
              <w:overflowPunct w:val="0"/>
              <w:autoSpaceDE w:val="0"/>
              <w:autoSpaceDN w:val="0"/>
              <w:adjustRightInd w:val="0"/>
              <w:textAlignment w:val="baseline"/>
              <w:rPr>
                <w:i/>
              </w:rPr>
            </w:pPr>
            <w:proofErr w:type="spellStart"/>
            <w:r>
              <w:rPr>
                <w:i/>
              </w:rPr>
              <w:t>Martine</w:t>
            </w:r>
            <w:proofErr w:type="spellEnd"/>
            <w:r>
              <w:rPr>
                <w:i/>
              </w:rPr>
              <w:t xml:space="preserve"> </w:t>
            </w:r>
            <w:proofErr w:type="spellStart"/>
            <w:r>
              <w:rPr>
                <w:i/>
              </w:rPr>
              <w:t>Delanoy</w:t>
            </w:r>
            <w:proofErr w:type="spellEnd"/>
          </w:p>
        </w:tc>
      </w:tr>
      <w:tr w:rsidR="00836765" w:rsidRPr="00836765" w14:paraId="79B8361E" w14:textId="77777777" w:rsidTr="0036489A">
        <w:tc>
          <w:tcPr>
            <w:tcW w:w="1078" w:type="pct"/>
          </w:tcPr>
          <w:p w14:paraId="495C55DC" w14:textId="77777777" w:rsidR="00836765" w:rsidRPr="00836765" w:rsidRDefault="00836765" w:rsidP="00836765">
            <w:pPr>
              <w:overflowPunct w:val="0"/>
              <w:autoSpaceDE w:val="0"/>
              <w:autoSpaceDN w:val="0"/>
              <w:adjustRightInd w:val="0"/>
              <w:textAlignment w:val="baseline"/>
              <w:rPr>
                <w:i/>
              </w:rPr>
            </w:pPr>
            <w:r>
              <w:rPr>
                <w:i/>
              </w:rPr>
              <w:t>Tālr.:</w:t>
            </w:r>
          </w:p>
        </w:tc>
        <w:tc>
          <w:tcPr>
            <w:tcW w:w="3922" w:type="pct"/>
          </w:tcPr>
          <w:p w14:paraId="7656C45E" w14:textId="77777777" w:rsidR="00836765" w:rsidRPr="00836765" w:rsidRDefault="00836765" w:rsidP="00836765">
            <w:pPr>
              <w:overflowPunct w:val="0"/>
              <w:autoSpaceDE w:val="0"/>
              <w:autoSpaceDN w:val="0"/>
              <w:adjustRightInd w:val="0"/>
              <w:textAlignment w:val="baseline"/>
              <w:rPr>
                <w:i/>
              </w:rPr>
            </w:pPr>
            <w:r>
              <w:rPr>
                <w:i/>
              </w:rPr>
              <w:t>+32 25469</w:t>
            </w:r>
            <w:r>
              <w:t>802</w:t>
            </w:r>
          </w:p>
        </w:tc>
      </w:tr>
      <w:tr w:rsidR="00836765" w:rsidRPr="00836765" w14:paraId="24D7B260" w14:textId="77777777" w:rsidTr="0036489A">
        <w:tc>
          <w:tcPr>
            <w:tcW w:w="1078" w:type="pct"/>
          </w:tcPr>
          <w:p w14:paraId="2B01135D" w14:textId="77777777" w:rsidR="00836765" w:rsidRPr="00836765" w:rsidRDefault="00836765" w:rsidP="00836765">
            <w:pPr>
              <w:overflowPunct w:val="0"/>
              <w:autoSpaceDE w:val="0"/>
              <w:autoSpaceDN w:val="0"/>
              <w:adjustRightInd w:val="0"/>
              <w:textAlignment w:val="baseline"/>
              <w:rPr>
                <w:i/>
              </w:rPr>
            </w:pPr>
            <w:r>
              <w:rPr>
                <w:i/>
              </w:rPr>
              <w:t>E-pasts:</w:t>
            </w:r>
          </w:p>
        </w:tc>
        <w:tc>
          <w:tcPr>
            <w:tcW w:w="3922" w:type="pct"/>
          </w:tcPr>
          <w:p w14:paraId="63509101" w14:textId="77777777" w:rsidR="00836765" w:rsidRPr="00836765" w:rsidRDefault="00E27DEE" w:rsidP="00836765">
            <w:pPr>
              <w:overflowPunct w:val="0"/>
              <w:autoSpaceDE w:val="0"/>
              <w:autoSpaceDN w:val="0"/>
              <w:adjustRightInd w:val="0"/>
              <w:textAlignment w:val="baseline"/>
              <w:rPr>
                <w:i/>
              </w:rPr>
            </w:pPr>
            <w:hyperlink r:id="rId43" w:history="1">
              <w:r w:rsidR="00B9028C">
                <w:rPr>
                  <w:i/>
                  <w:color w:val="0000FF"/>
                  <w:u w:val="single"/>
                </w:rPr>
                <w:t>Martine.Delanoy@eesc.europa.eu</w:t>
              </w:r>
            </w:hyperlink>
          </w:p>
        </w:tc>
      </w:tr>
    </w:tbl>
    <w:p w14:paraId="4982DE45" w14:textId="52A07963" w:rsidR="007F5784" w:rsidRDefault="007F5784">
      <w:pPr>
        <w:spacing w:after="160" w:line="259" w:lineRule="auto"/>
        <w:jc w:val="left"/>
      </w:pPr>
    </w:p>
    <w:p w14:paraId="7B893721" w14:textId="77777777" w:rsidR="00673B8C" w:rsidRDefault="00673B8C">
      <w:pPr>
        <w:spacing w:after="160" w:line="259" w:lineRule="auto"/>
        <w:jc w:val="left"/>
      </w:pPr>
    </w:p>
    <w:p w14:paraId="5314991A" w14:textId="298CCCC6" w:rsidR="000122F3" w:rsidRPr="000122F3" w:rsidRDefault="007F5784" w:rsidP="000122F3">
      <w:pPr>
        <w:widowControl w:val="0"/>
        <w:numPr>
          <w:ilvl w:val="0"/>
          <w:numId w:val="12"/>
        </w:numPr>
        <w:overflowPunct w:val="0"/>
        <w:autoSpaceDE w:val="0"/>
        <w:autoSpaceDN w:val="0"/>
        <w:adjustRightInd w:val="0"/>
        <w:ind w:left="567" w:hanging="567"/>
        <w:rPr>
          <w:sz w:val="20"/>
          <w:szCs w:val="20"/>
        </w:rPr>
      </w:pPr>
      <w:r>
        <w:br w:type="page"/>
      </w:r>
      <w:hyperlink r:id="rId44" w:history="1">
        <w:r>
          <w:rPr>
            <w:b/>
            <w:i/>
            <w:color w:val="0000FF"/>
            <w:sz w:val="28"/>
            <w:u w:val="single"/>
          </w:rPr>
          <w:t>Savienības civilās aizsardzības mehānisma pārskatīšana</w:t>
        </w:r>
      </w:hyperlink>
    </w:p>
    <w:p w14:paraId="5842569B" w14:textId="77777777" w:rsidR="000122F3" w:rsidRPr="000122F3" w:rsidRDefault="000122F3" w:rsidP="000122F3">
      <w:pPr>
        <w:tabs>
          <w:tab w:val="center" w:pos="284"/>
        </w:tabs>
        <w:overflowPunct w:val="0"/>
        <w:autoSpaceDE w:val="0"/>
        <w:autoSpaceDN w:val="0"/>
        <w:adjustRightInd w:val="0"/>
        <w:ind w:left="266" w:hanging="266"/>
        <w:rPr>
          <w:b/>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0122F3" w14:paraId="2BBA9F50" w14:textId="77777777">
        <w:tc>
          <w:tcPr>
            <w:tcW w:w="1077" w:type="pct"/>
            <w:hideMark/>
          </w:tcPr>
          <w:p w14:paraId="04016230" w14:textId="77777777" w:rsidR="000122F3" w:rsidRPr="000122F3" w:rsidRDefault="000122F3" w:rsidP="000122F3">
            <w:pPr>
              <w:tabs>
                <w:tab w:val="center" w:pos="284"/>
              </w:tabs>
              <w:overflowPunct w:val="0"/>
              <w:autoSpaceDE w:val="0"/>
              <w:autoSpaceDN w:val="0"/>
              <w:adjustRightInd w:val="0"/>
              <w:ind w:left="266" w:hanging="266"/>
              <w:rPr>
                <w:b/>
              </w:rPr>
            </w:pPr>
            <w:r>
              <w:rPr>
                <w:b/>
              </w:rPr>
              <w:t>Ziņotājs</w:t>
            </w:r>
          </w:p>
        </w:tc>
        <w:tc>
          <w:tcPr>
            <w:tcW w:w="3923" w:type="pct"/>
            <w:hideMark/>
          </w:tcPr>
          <w:p w14:paraId="198FB4FA" w14:textId="073E7805" w:rsidR="000122F3" w:rsidRDefault="000122F3" w:rsidP="000122F3">
            <w:pPr>
              <w:tabs>
                <w:tab w:val="center" w:pos="284"/>
              </w:tabs>
              <w:overflowPunct w:val="0"/>
              <w:autoSpaceDE w:val="0"/>
              <w:autoSpaceDN w:val="0"/>
              <w:adjustRightInd w:val="0"/>
              <w:ind w:left="266" w:right="-3091" w:hanging="266"/>
            </w:pPr>
            <w:r>
              <w:t>Florian MARIN (Darba ņēmēju grupa – RO)</w:t>
            </w:r>
          </w:p>
          <w:p w14:paraId="442071CD" w14:textId="77777777" w:rsidR="00973F68" w:rsidRPr="000122F3" w:rsidRDefault="00973F68" w:rsidP="000122F3">
            <w:pPr>
              <w:tabs>
                <w:tab w:val="center" w:pos="284"/>
              </w:tabs>
              <w:overflowPunct w:val="0"/>
              <w:autoSpaceDE w:val="0"/>
              <w:autoSpaceDN w:val="0"/>
              <w:adjustRightInd w:val="0"/>
              <w:ind w:left="266" w:right="-3091" w:hanging="266"/>
            </w:pPr>
          </w:p>
        </w:tc>
      </w:tr>
      <w:tr w:rsidR="000122F3" w:rsidRPr="000122F3" w14:paraId="0C38D82B" w14:textId="77777777">
        <w:tc>
          <w:tcPr>
            <w:tcW w:w="1077" w:type="pct"/>
            <w:hideMark/>
          </w:tcPr>
          <w:p w14:paraId="317E91BC" w14:textId="77777777" w:rsidR="000122F3" w:rsidRPr="000122F3" w:rsidRDefault="000122F3" w:rsidP="000122F3">
            <w:pPr>
              <w:tabs>
                <w:tab w:val="center" w:pos="284"/>
              </w:tabs>
              <w:overflowPunct w:val="0"/>
              <w:autoSpaceDE w:val="0"/>
              <w:autoSpaceDN w:val="0"/>
              <w:adjustRightInd w:val="0"/>
              <w:ind w:left="266" w:hanging="266"/>
              <w:rPr>
                <w:b/>
              </w:rPr>
            </w:pPr>
            <w:r>
              <w:rPr>
                <w:b/>
              </w:rPr>
              <w:t>Atsauces</w:t>
            </w:r>
          </w:p>
        </w:tc>
        <w:tc>
          <w:tcPr>
            <w:tcW w:w="3923" w:type="pct"/>
            <w:hideMark/>
          </w:tcPr>
          <w:p w14:paraId="19D10923" w14:textId="14D39408" w:rsidR="00973F68" w:rsidRDefault="00973F68" w:rsidP="000122F3">
            <w:pPr>
              <w:tabs>
                <w:tab w:val="center" w:pos="284"/>
              </w:tabs>
              <w:overflowPunct w:val="0"/>
              <w:autoSpaceDE w:val="0"/>
              <w:autoSpaceDN w:val="0"/>
              <w:adjustRightInd w:val="0"/>
              <w:ind w:left="266" w:right="-3091" w:hanging="266"/>
            </w:pPr>
            <w:r>
              <w:t xml:space="preserve">COM(2025) 548 </w:t>
            </w:r>
            <w:proofErr w:type="spellStart"/>
            <w:r>
              <w:t>final</w:t>
            </w:r>
            <w:proofErr w:type="spellEnd"/>
          </w:p>
          <w:p w14:paraId="5FA9B2AF" w14:textId="75780E7F" w:rsidR="000122F3" w:rsidRPr="000122F3" w:rsidRDefault="000122F3" w:rsidP="000122F3">
            <w:pPr>
              <w:tabs>
                <w:tab w:val="center" w:pos="284"/>
              </w:tabs>
              <w:overflowPunct w:val="0"/>
              <w:autoSpaceDE w:val="0"/>
              <w:autoSpaceDN w:val="0"/>
              <w:adjustRightInd w:val="0"/>
              <w:ind w:left="266" w:right="-3091" w:hanging="266"/>
            </w:pPr>
            <w:r>
              <w:t>EESC-2025-03573-00-00-AC</w:t>
            </w:r>
          </w:p>
        </w:tc>
      </w:tr>
    </w:tbl>
    <w:p w14:paraId="7BC98F02" w14:textId="77777777" w:rsidR="000122F3" w:rsidRPr="000122F3" w:rsidRDefault="000122F3" w:rsidP="000122F3">
      <w:pPr>
        <w:tabs>
          <w:tab w:val="center" w:pos="284"/>
        </w:tabs>
        <w:overflowPunct w:val="0"/>
        <w:autoSpaceDE w:val="0"/>
        <w:autoSpaceDN w:val="0"/>
        <w:adjustRightInd w:val="0"/>
        <w:ind w:left="266" w:hanging="266"/>
        <w:rPr>
          <w:b/>
          <w:lang w:val="en-GB"/>
        </w:rPr>
      </w:pPr>
    </w:p>
    <w:p w14:paraId="7E803210" w14:textId="77777777" w:rsidR="000122F3" w:rsidRPr="000122F3" w:rsidRDefault="000122F3" w:rsidP="000122F3">
      <w:pPr>
        <w:keepNext/>
        <w:keepLines/>
        <w:tabs>
          <w:tab w:val="center" w:pos="284"/>
        </w:tabs>
        <w:overflowPunct w:val="0"/>
        <w:autoSpaceDE w:val="0"/>
        <w:autoSpaceDN w:val="0"/>
        <w:adjustRightInd w:val="0"/>
        <w:ind w:left="266" w:hanging="266"/>
        <w:rPr>
          <w:b/>
        </w:rPr>
      </w:pPr>
      <w:r>
        <w:rPr>
          <w:b/>
        </w:rPr>
        <w:t>Galvenās nostādnes</w:t>
      </w:r>
    </w:p>
    <w:p w14:paraId="170D9736" w14:textId="77777777" w:rsidR="000122F3" w:rsidRPr="000122F3" w:rsidRDefault="000122F3" w:rsidP="000122F3">
      <w:pPr>
        <w:keepNext/>
        <w:keepLines/>
        <w:tabs>
          <w:tab w:val="center" w:pos="284"/>
        </w:tabs>
        <w:overflowPunct w:val="0"/>
        <w:autoSpaceDE w:val="0"/>
        <w:autoSpaceDN w:val="0"/>
        <w:adjustRightInd w:val="0"/>
        <w:ind w:left="266" w:hanging="266"/>
        <w:rPr>
          <w:b/>
          <w:lang w:val="en-GB"/>
        </w:rPr>
      </w:pPr>
    </w:p>
    <w:p w14:paraId="7F6EAEC8" w14:textId="77777777" w:rsidR="000122F3" w:rsidRDefault="000122F3" w:rsidP="000122F3">
      <w:pPr>
        <w:overflowPunct w:val="0"/>
        <w:autoSpaceDE w:val="0"/>
        <w:autoSpaceDN w:val="0"/>
        <w:adjustRightInd w:val="0"/>
      </w:pPr>
      <w:r>
        <w:t>EESK iesaka:</w:t>
      </w:r>
    </w:p>
    <w:p w14:paraId="00652B16" w14:textId="77777777" w:rsidR="00D40BB6" w:rsidRPr="000122F3" w:rsidRDefault="00D40BB6" w:rsidP="000122F3">
      <w:pPr>
        <w:overflowPunct w:val="0"/>
        <w:autoSpaceDE w:val="0"/>
        <w:autoSpaceDN w:val="0"/>
        <w:adjustRightInd w:val="0"/>
        <w:rPr>
          <w:lang w:val="en-GB"/>
        </w:rPr>
      </w:pPr>
    </w:p>
    <w:p w14:paraId="54342963"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izvirzīt </w:t>
      </w:r>
      <w:r>
        <w:rPr>
          <w:b/>
        </w:rPr>
        <w:t>vērienīgākus mērķus</w:t>
      </w:r>
      <w:r>
        <w:t xml:space="preserve"> attiecībā uz katastrofu riska mazināšanu un novēršanu, nevis koncentrēties galvenokārt uz reaģēšanas spējām. Efektīva un integrēta Savienības civilās aizsardzības mehānisma (</w:t>
      </w:r>
      <w:r>
        <w:rPr>
          <w:i/>
          <w:iCs/>
        </w:rPr>
        <w:t>UCPM</w:t>
      </w:r>
      <w:r>
        <w:t xml:space="preserve">) izveidē jāiekļauj visaptverošs </w:t>
      </w:r>
      <w:r>
        <w:rPr>
          <w:b/>
        </w:rPr>
        <w:t>satvars riska mazināšanas politikai</w:t>
      </w:r>
      <w:r>
        <w:t xml:space="preserve"> visā Eiropas Savienībā, kā arī lielāks uzsvars uz </w:t>
      </w:r>
      <w:r>
        <w:rPr>
          <w:b/>
        </w:rPr>
        <w:t>starpnozaru un pārrobežu</w:t>
      </w:r>
      <w:r>
        <w:t xml:space="preserve"> katastrofu novēršanu, un tas viss jāīsteno holistiskas riska pārvaldības sistēmas ietvaros;</w:t>
      </w:r>
    </w:p>
    <w:p w14:paraId="7024A92F" w14:textId="77777777" w:rsidR="000122F3" w:rsidRPr="000122F3" w:rsidRDefault="000122F3" w:rsidP="00054C58">
      <w:pPr>
        <w:widowControl w:val="0"/>
        <w:numPr>
          <w:ilvl w:val="0"/>
          <w:numId w:val="30"/>
        </w:numPr>
        <w:overflowPunct w:val="0"/>
        <w:autoSpaceDE w:val="0"/>
        <w:autoSpaceDN w:val="0"/>
        <w:adjustRightInd w:val="0"/>
        <w:ind w:left="284" w:hanging="284"/>
      </w:pPr>
      <w:r>
        <w:rPr>
          <w:b/>
        </w:rPr>
        <w:t>samazināt administratīvo slogu</w:t>
      </w:r>
      <w:r>
        <w:t xml:space="preserve">, novērst pārklāšanos, modernizēt neatbilstīgas datu un atbalsta sistēmas, palielināt apmācītus cilvēkresursus un ieguldīt </w:t>
      </w:r>
      <w:proofErr w:type="spellStart"/>
      <w:r>
        <w:t>sadarbspējīgās</w:t>
      </w:r>
      <w:proofErr w:type="spellEnd"/>
      <w:r>
        <w:t xml:space="preserve"> spējās, pamatojoties uz kopīgiem standartiem un apmācības ceļiem, vienlaikus nodrošinot </w:t>
      </w:r>
      <w:r>
        <w:rPr>
          <w:b/>
        </w:rPr>
        <w:t>kvalitatīvus darba apstākļus</w:t>
      </w:r>
      <w:r>
        <w:t xml:space="preserve"> kā priekšnoteikumus sabiedrības noturības stiprināšanai ar visu sabiedrību aptverošu pieeju krīzēm;</w:t>
      </w:r>
    </w:p>
    <w:p w14:paraId="497B5155"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nodrošināt katastrofu un krīžu </w:t>
      </w:r>
      <w:r>
        <w:rPr>
          <w:b/>
        </w:rPr>
        <w:t>labāku prognozēšanu un izpratni</w:t>
      </w:r>
      <w:r>
        <w:t xml:space="preserve"> par tām, vienlaikus ņemot vērā propagandas un dezinformācijas lomu sociālā stresa palielināšanā;</w:t>
      </w:r>
    </w:p>
    <w:p w14:paraId="1AEBFB07"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stiprināt </w:t>
      </w:r>
      <w:r>
        <w:rPr>
          <w:i/>
          <w:iCs/>
        </w:rPr>
        <w:t>UCPM</w:t>
      </w:r>
      <w:r>
        <w:t xml:space="preserve">, izmantojot </w:t>
      </w:r>
      <w:r>
        <w:rPr>
          <w:b/>
        </w:rPr>
        <w:t>papildu finansējumu</w:t>
      </w:r>
      <w:r>
        <w:t>, it īpaši attiecībā uz neaizsargātām grupām un reģioniem, tostarp tālākajiem reģioniem un karadarbības tuvumā esošiem reģioniem;</w:t>
      </w:r>
    </w:p>
    <w:p w14:paraId="6A0A0A84"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nodrošināt </w:t>
      </w:r>
      <w:r>
        <w:rPr>
          <w:b/>
        </w:rPr>
        <w:t>saskaņotību ar valstu un reģionu partnerības plāniem</w:t>
      </w:r>
      <w:r>
        <w:t xml:space="preserve"> (</w:t>
      </w:r>
      <w:r>
        <w:rPr>
          <w:i/>
          <w:iCs/>
        </w:rPr>
        <w:t>NRPP</w:t>
      </w:r>
      <w:r>
        <w:t>), kas ierosināti 2028.–2034. gada plānošanas periodam;</w:t>
      </w:r>
    </w:p>
    <w:p w14:paraId="1E425507" w14:textId="77777777" w:rsidR="000122F3" w:rsidRPr="000122F3" w:rsidRDefault="000122F3" w:rsidP="00054C58">
      <w:pPr>
        <w:widowControl w:val="0"/>
        <w:numPr>
          <w:ilvl w:val="0"/>
          <w:numId w:val="30"/>
        </w:numPr>
        <w:overflowPunct w:val="0"/>
        <w:autoSpaceDE w:val="0"/>
        <w:autoSpaceDN w:val="0"/>
        <w:adjustRightInd w:val="0"/>
        <w:ind w:left="284" w:hanging="284"/>
      </w:pPr>
      <w:r>
        <w:t>veicināt</w:t>
      </w:r>
      <w:r>
        <w:rPr>
          <w:b/>
        </w:rPr>
        <w:t xml:space="preserve"> lielāku </w:t>
      </w:r>
      <w:proofErr w:type="spellStart"/>
      <w:r>
        <w:rPr>
          <w:b/>
        </w:rPr>
        <w:t>papildināmību</w:t>
      </w:r>
      <w:proofErr w:type="spellEnd"/>
      <w:r>
        <w:t xml:space="preserve"> starp esošajiem instrumentiem (piemēram, instrumentu “Rīcība Eiropas drošības labā”, Eiropas Solidaritātes korpusu un </w:t>
      </w:r>
      <w:r>
        <w:rPr>
          <w:i/>
          <w:iCs/>
        </w:rPr>
        <w:t>UCPM)</w:t>
      </w:r>
      <w:r>
        <w:t>,</w:t>
      </w:r>
    </w:p>
    <w:p w14:paraId="71C4B6AC"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nodrošināt pietiekamu un stabilu </w:t>
      </w:r>
      <w:r>
        <w:rPr>
          <w:b/>
        </w:rPr>
        <w:t>finansējumu profesionālajiem ugunsdzēsējiem un veselības aprūpes personālam</w:t>
      </w:r>
      <w:r>
        <w:t xml:space="preserve">, lai saglabātu efektivitāti un ātru reaģēšanu </w:t>
      </w:r>
      <w:r>
        <w:rPr>
          <w:i/>
          <w:iCs/>
        </w:rPr>
        <w:t>UCPM</w:t>
      </w:r>
      <w:r>
        <w:t xml:space="preserve"> ietvaros, vienlaikus stiprinot brīvprātīgo lomu;</w:t>
      </w:r>
    </w:p>
    <w:p w14:paraId="22A0C91D" w14:textId="77777777" w:rsidR="000122F3" w:rsidRPr="000122F3" w:rsidRDefault="000122F3" w:rsidP="00054C58">
      <w:pPr>
        <w:widowControl w:val="0"/>
        <w:numPr>
          <w:ilvl w:val="0"/>
          <w:numId w:val="30"/>
        </w:numPr>
        <w:overflowPunct w:val="0"/>
        <w:autoSpaceDE w:val="0"/>
        <w:autoSpaceDN w:val="0"/>
        <w:adjustRightInd w:val="0"/>
        <w:ind w:left="284" w:hanging="284"/>
      </w:pPr>
      <w:r>
        <w:rPr>
          <w:b/>
        </w:rPr>
        <w:t xml:space="preserve">veidot tādu </w:t>
      </w:r>
      <w:r>
        <w:rPr>
          <w:b/>
          <w:i/>
          <w:iCs/>
        </w:rPr>
        <w:t>UCPM</w:t>
      </w:r>
      <w:r>
        <w:rPr>
          <w:b/>
        </w:rPr>
        <w:t>, kura pamatā ir elastība</w:t>
      </w:r>
      <w:r>
        <w:t xml:space="preserve">, kas dod iespēju ņemt vērā valstu katastrofu pārvaldības sistēmu daudzveidību, vienlaikus </w:t>
      </w:r>
      <w:r>
        <w:rPr>
          <w:b/>
        </w:rPr>
        <w:t>nodrošinot pārrobežu sadarbību</w:t>
      </w:r>
      <w:r>
        <w:t xml:space="preserve"> un koordināciju, lai varētu ātri un efektīvi reaģēt uz katastrofām, kurām nav robežu, visaptveroši iesaistot organizētu pilsonisko sabiedrību;</w:t>
      </w:r>
    </w:p>
    <w:p w14:paraId="0D503548"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pielāgot iepirkuma noteikumus, lai </w:t>
      </w:r>
      <w:r>
        <w:rPr>
          <w:b/>
        </w:rPr>
        <w:t>garantētu kritiski svarīgu piegāžu</w:t>
      </w:r>
      <w:r>
        <w:t xml:space="preserve"> un pakalpojumu </w:t>
      </w:r>
      <w:r>
        <w:rPr>
          <w:b/>
        </w:rPr>
        <w:t>ātru un efektīvu nodrošināšanu</w:t>
      </w:r>
      <w:r>
        <w:t xml:space="preserve"> krīzes laikā;</w:t>
      </w:r>
    </w:p>
    <w:p w14:paraId="5918B32B"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izveidot </w:t>
      </w:r>
      <w:r>
        <w:rPr>
          <w:b/>
        </w:rPr>
        <w:t>standartizētu veidlapu ziņošanai</w:t>
      </w:r>
      <w:r>
        <w:t xml:space="preserve"> </w:t>
      </w:r>
      <w:r>
        <w:rPr>
          <w:b/>
        </w:rPr>
        <w:t>par katastrofām</w:t>
      </w:r>
      <w:r>
        <w:t xml:space="preserve"> un noteikt, ka tā jāizmanto visām dalībvalstīm.</w:t>
      </w:r>
    </w:p>
    <w:p w14:paraId="239E5250" w14:textId="77777777" w:rsidR="000122F3" w:rsidRPr="000122F3" w:rsidRDefault="000122F3" w:rsidP="000122F3">
      <w:pPr>
        <w:widowControl w:val="0"/>
        <w:overflowPunct w:val="0"/>
        <w:autoSpaceDE w:val="0"/>
        <w:autoSpaceDN w:val="0"/>
        <w:adjustRightInd w:val="0"/>
        <w:ind w:left="709"/>
        <w:rPr>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0122F3" w14:paraId="315A6780" w14:textId="77777777">
        <w:tc>
          <w:tcPr>
            <w:tcW w:w="1077" w:type="pct"/>
            <w:hideMark/>
          </w:tcPr>
          <w:p w14:paraId="0BC88ACD" w14:textId="77777777" w:rsidR="000122F3" w:rsidRPr="000122F3" w:rsidRDefault="000122F3" w:rsidP="000122F3">
            <w:pPr>
              <w:overflowPunct w:val="0"/>
              <w:autoSpaceDE w:val="0"/>
              <w:autoSpaceDN w:val="0"/>
              <w:adjustRightInd w:val="0"/>
              <w:rPr>
                <w:i/>
                <w:iCs/>
              </w:rPr>
            </w:pPr>
            <w:r>
              <w:rPr>
                <w:b/>
                <w:i/>
              </w:rPr>
              <w:t>Kontaktpersona:</w:t>
            </w:r>
          </w:p>
        </w:tc>
        <w:tc>
          <w:tcPr>
            <w:tcW w:w="3923" w:type="pct"/>
            <w:hideMark/>
          </w:tcPr>
          <w:p w14:paraId="278195BE" w14:textId="77777777" w:rsidR="000122F3" w:rsidRPr="000122F3" w:rsidRDefault="000122F3" w:rsidP="000122F3">
            <w:pPr>
              <w:overflowPunct w:val="0"/>
              <w:autoSpaceDE w:val="0"/>
              <w:autoSpaceDN w:val="0"/>
              <w:adjustRightInd w:val="0"/>
              <w:rPr>
                <w:i/>
                <w:iCs/>
              </w:rPr>
            </w:pPr>
            <w:proofErr w:type="spellStart"/>
            <w:r>
              <w:rPr>
                <w:i/>
              </w:rPr>
              <w:t>Arturo</w:t>
            </w:r>
            <w:proofErr w:type="spellEnd"/>
            <w:r>
              <w:rPr>
                <w:i/>
              </w:rPr>
              <w:t xml:space="preserve"> </w:t>
            </w:r>
            <w:proofErr w:type="spellStart"/>
            <w:r>
              <w:rPr>
                <w:i/>
              </w:rPr>
              <w:t>Iniguez</w:t>
            </w:r>
            <w:proofErr w:type="spellEnd"/>
            <w:r>
              <w:rPr>
                <w:i/>
              </w:rPr>
              <w:t xml:space="preserve"> </w:t>
            </w:r>
            <w:proofErr w:type="spellStart"/>
            <w:r>
              <w:rPr>
                <w:i/>
              </w:rPr>
              <w:t>Yuste</w:t>
            </w:r>
            <w:proofErr w:type="spellEnd"/>
          </w:p>
        </w:tc>
      </w:tr>
      <w:tr w:rsidR="000122F3" w:rsidRPr="000122F3" w14:paraId="326D7576" w14:textId="77777777">
        <w:tc>
          <w:tcPr>
            <w:tcW w:w="1077" w:type="pct"/>
            <w:hideMark/>
          </w:tcPr>
          <w:p w14:paraId="74416C4B" w14:textId="77777777" w:rsidR="000122F3" w:rsidRPr="000122F3" w:rsidRDefault="000122F3" w:rsidP="000122F3">
            <w:pPr>
              <w:overflowPunct w:val="0"/>
              <w:autoSpaceDE w:val="0"/>
              <w:autoSpaceDN w:val="0"/>
              <w:adjustRightInd w:val="0"/>
              <w:rPr>
                <w:i/>
              </w:rPr>
            </w:pPr>
            <w:r>
              <w:rPr>
                <w:i/>
              </w:rPr>
              <w:t>Tālr.:</w:t>
            </w:r>
          </w:p>
        </w:tc>
        <w:tc>
          <w:tcPr>
            <w:tcW w:w="3923" w:type="pct"/>
            <w:hideMark/>
          </w:tcPr>
          <w:p w14:paraId="0CE46E70" w14:textId="77777777" w:rsidR="000122F3" w:rsidRPr="000122F3" w:rsidRDefault="000122F3" w:rsidP="000122F3">
            <w:pPr>
              <w:overflowPunct w:val="0"/>
              <w:autoSpaceDE w:val="0"/>
              <w:autoSpaceDN w:val="0"/>
              <w:adjustRightInd w:val="0"/>
              <w:rPr>
                <w:i/>
              </w:rPr>
            </w:pPr>
            <w:r>
              <w:rPr>
                <w:i/>
              </w:rPr>
              <w:t>+32 25468768</w:t>
            </w:r>
          </w:p>
        </w:tc>
      </w:tr>
      <w:tr w:rsidR="000122F3" w:rsidRPr="000122F3" w14:paraId="753D0F57" w14:textId="77777777">
        <w:tc>
          <w:tcPr>
            <w:tcW w:w="1077" w:type="pct"/>
            <w:hideMark/>
          </w:tcPr>
          <w:p w14:paraId="2C40013E" w14:textId="77777777" w:rsidR="000122F3" w:rsidRPr="000122F3" w:rsidRDefault="000122F3" w:rsidP="000122F3">
            <w:pPr>
              <w:overflowPunct w:val="0"/>
              <w:autoSpaceDE w:val="0"/>
              <w:autoSpaceDN w:val="0"/>
              <w:adjustRightInd w:val="0"/>
              <w:rPr>
                <w:i/>
              </w:rPr>
            </w:pPr>
            <w:r>
              <w:rPr>
                <w:i/>
              </w:rPr>
              <w:t>E-pasts:</w:t>
            </w:r>
          </w:p>
        </w:tc>
        <w:tc>
          <w:tcPr>
            <w:tcW w:w="3923" w:type="pct"/>
            <w:hideMark/>
          </w:tcPr>
          <w:p w14:paraId="2E7C650A" w14:textId="77777777" w:rsidR="000122F3" w:rsidRPr="000122F3" w:rsidRDefault="00E27DEE" w:rsidP="000122F3">
            <w:pPr>
              <w:overflowPunct w:val="0"/>
              <w:autoSpaceDE w:val="0"/>
              <w:autoSpaceDN w:val="0"/>
              <w:adjustRightInd w:val="0"/>
              <w:rPr>
                <w:i/>
              </w:rPr>
            </w:pPr>
            <w:hyperlink r:id="rId45" w:history="1">
              <w:r w:rsidR="00B9028C">
                <w:rPr>
                  <w:i/>
                  <w:color w:val="0000FF"/>
                  <w:u w:val="single"/>
                </w:rPr>
                <w:t>Arturo.Iniguez@eesc.europa.eu</w:t>
              </w:r>
            </w:hyperlink>
          </w:p>
        </w:tc>
      </w:tr>
    </w:tbl>
    <w:p w14:paraId="715DB2BD" w14:textId="599992C3" w:rsidR="00395794" w:rsidRDefault="00395794">
      <w:pPr>
        <w:spacing w:after="160" w:line="259" w:lineRule="auto"/>
        <w:jc w:val="left"/>
      </w:pPr>
    </w:p>
    <w:p w14:paraId="73A0193B" w14:textId="77777777" w:rsidR="00395794" w:rsidRDefault="00395794">
      <w:pPr>
        <w:spacing w:after="160" w:line="259" w:lineRule="auto"/>
        <w:jc w:val="left"/>
      </w:pPr>
      <w:r>
        <w:br w:type="page"/>
      </w:r>
    </w:p>
    <w:p w14:paraId="14026A78" w14:textId="4FAE1588" w:rsidR="007F5784" w:rsidRDefault="007F5784" w:rsidP="007F5784">
      <w:pPr>
        <w:pStyle w:val="Heading1"/>
        <w:rPr>
          <w:b/>
        </w:rPr>
      </w:pPr>
      <w:bookmarkStart w:id="15" w:name="_Toc217287880"/>
      <w:r>
        <w:rPr>
          <w:b/>
        </w:rPr>
        <w:lastRenderedPageBreak/>
        <w:t>ĀRĒJĀS ATTIECĪBAS</w:t>
      </w:r>
      <w:bookmarkEnd w:id="15"/>
    </w:p>
    <w:p w14:paraId="3BBB3E68" w14:textId="77777777" w:rsidR="007F5784" w:rsidRDefault="007F5784" w:rsidP="007F5784"/>
    <w:p w14:paraId="15F03B8E" w14:textId="19987F61" w:rsidR="00237C67" w:rsidRPr="00C62A6C" w:rsidRDefault="00237C67" w:rsidP="00237C67">
      <w:pPr>
        <w:widowControl w:val="0"/>
        <w:numPr>
          <w:ilvl w:val="0"/>
          <w:numId w:val="15"/>
        </w:numPr>
        <w:overflowPunct w:val="0"/>
        <w:autoSpaceDE w:val="0"/>
        <w:autoSpaceDN w:val="0"/>
        <w:adjustRightInd w:val="0"/>
        <w:spacing w:line="276" w:lineRule="auto"/>
        <w:ind w:left="567" w:hanging="567"/>
        <w:contextualSpacing/>
        <w:jc w:val="left"/>
        <w:textAlignment w:val="baseline"/>
        <w:rPr>
          <w:sz w:val="28"/>
          <w:szCs w:val="28"/>
        </w:rPr>
      </w:pPr>
      <w:r w:rsidRPr="00C62A6C">
        <w:rPr>
          <w:b/>
          <w:i/>
          <w:sz w:val="28"/>
        </w:rPr>
        <w:fldChar w:fldCharType="begin"/>
      </w:r>
      <w:r w:rsidRPr="00C62A6C">
        <w:rPr>
          <w:b/>
          <w:i/>
          <w:sz w:val="28"/>
        </w:rPr>
        <w:instrText>HYPERLINK "https://www.eesc.europa.eu/lv/our-work/opinions-information-reports/opinions/european-unions-strategic-approach-black-sea-region"</w:instrText>
      </w:r>
      <w:r w:rsidRPr="00C62A6C">
        <w:rPr>
          <w:b/>
          <w:i/>
          <w:sz w:val="28"/>
        </w:rPr>
        <w:fldChar w:fldCharType="separate"/>
      </w:r>
      <w:r>
        <w:rPr>
          <w:b/>
          <w:i/>
          <w:color w:val="0000FF"/>
          <w:sz w:val="28"/>
          <w:u w:val="single"/>
        </w:rPr>
        <w:t>Eiropas Savienības stratēģiskā pieeja Melnās jūras reģionam</w:t>
      </w:r>
    </w:p>
    <w:p w14:paraId="3C2969D6"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sidRPr="00C62A6C">
        <w:rPr>
          <w:b/>
          <w:i/>
          <w:sz w:val="28"/>
        </w:rPr>
        <w:fldChar w:fldCharType="end"/>
      </w:r>
    </w:p>
    <w:tbl>
      <w:tblPr>
        <w:tblStyle w:val="TableGrid14"/>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12"/>
      </w:tblGrid>
      <w:tr w:rsidR="00237C67" w:rsidRPr="00237C67" w14:paraId="7F23DD4D" w14:textId="77777777" w:rsidTr="00C201AB">
        <w:trPr>
          <w:trHeight w:val="445"/>
        </w:trPr>
        <w:tc>
          <w:tcPr>
            <w:tcW w:w="1111" w:type="pct"/>
          </w:tcPr>
          <w:p w14:paraId="1BCE19E0"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rPr>
              <w:t>Ziņotāja</w:t>
            </w:r>
          </w:p>
        </w:tc>
        <w:tc>
          <w:tcPr>
            <w:tcW w:w="3889" w:type="pct"/>
          </w:tcPr>
          <w:p w14:paraId="4CC365C4" w14:textId="0A5B6F9A" w:rsidR="00237C67" w:rsidRPr="00237C67" w:rsidRDefault="00237C67" w:rsidP="00237C67">
            <w:pPr>
              <w:tabs>
                <w:tab w:val="center" w:pos="284"/>
              </w:tabs>
              <w:overflowPunct w:val="0"/>
              <w:autoSpaceDE w:val="0"/>
              <w:autoSpaceDN w:val="0"/>
              <w:adjustRightInd w:val="0"/>
              <w:ind w:left="266" w:hanging="266"/>
              <w:textAlignment w:val="baseline"/>
            </w:pPr>
            <w:r>
              <w:t>Milena ANGELOVA (Darba devēju grupa – BG)</w:t>
            </w:r>
          </w:p>
        </w:tc>
      </w:tr>
      <w:tr w:rsidR="00237C67" w:rsidRPr="00237C67" w14:paraId="1B1D2359" w14:textId="77777777" w:rsidTr="00C201AB">
        <w:tc>
          <w:tcPr>
            <w:tcW w:w="1111" w:type="pct"/>
          </w:tcPr>
          <w:p w14:paraId="1DEDCFA8"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rPr>
              <w:t>Atsauces</w:t>
            </w:r>
          </w:p>
        </w:tc>
        <w:tc>
          <w:tcPr>
            <w:tcW w:w="3889" w:type="pct"/>
          </w:tcPr>
          <w:p w14:paraId="25C8A6CE" w14:textId="16BE3594" w:rsidR="001A7442" w:rsidRDefault="001A7442" w:rsidP="00237C67">
            <w:pPr>
              <w:tabs>
                <w:tab w:val="center" w:pos="284"/>
              </w:tabs>
              <w:overflowPunct w:val="0"/>
              <w:autoSpaceDE w:val="0"/>
              <w:autoSpaceDN w:val="0"/>
              <w:adjustRightInd w:val="0"/>
              <w:ind w:left="266" w:hanging="266"/>
              <w:textAlignment w:val="baseline"/>
            </w:pPr>
            <w:r>
              <w:t xml:space="preserve">JOIN(2025) 135 </w:t>
            </w:r>
            <w:proofErr w:type="spellStart"/>
            <w:r>
              <w:t>final</w:t>
            </w:r>
            <w:proofErr w:type="spellEnd"/>
          </w:p>
          <w:p w14:paraId="47441D19" w14:textId="338F915F" w:rsidR="00237C67" w:rsidRPr="00237C67" w:rsidRDefault="00237C67" w:rsidP="00237C67">
            <w:pPr>
              <w:tabs>
                <w:tab w:val="center" w:pos="284"/>
              </w:tabs>
              <w:overflowPunct w:val="0"/>
              <w:autoSpaceDE w:val="0"/>
              <w:autoSpaceDN w:val="0"/>
              <w:adjustRightInd w:val="0"/>
              <w:ind w:left="266" w:hanging="266"/>
              <w:textAlignment w:val="baseline"/>
            </w:pPr>
            <w:r>
              <w:t>EESC-2025-02608-00-00-AC</w:t>
            </w:r>
          </w:p>
        </w:tc>
      </w:tr>
    </w:tbl>
    <w:p w14:paraId="47E1C9F3"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3C0D4718"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rPr>
      </w:pPr>
      <w:r>
        <w:rPr>
          <w:b/>
        </w:rPr>
        <w:t>Galvenās nostādnes</w:t>
      </w:r>
    </w:p>
    <w:p w14:paraId="646D390F"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4D32F061" w14:textId="77777777" w:rsidR="00237C67" w:rsidRDefault="00237C67" w:rsidP="00237C67">
      <w:pPr>
        <w:overflowPunct w:val="0"/>
        <w:autoSpaceDE w:val="0"/>
        <w:autoSpaceDN w:val="0"/>
        <w:adjustRightInd w:val="0"/>
        <w:textAlignment w:val="baseline"/>
        <w:rPr>
          <w:bCs/>
          <w:iCs/>
        </w:rPr>
      </w:pPr>
      <w:r>
        <w:t>EESK:</w:t>
      </w:r>
    </w:p>
    <w:p w14:paraId="0A01AEAC" w14:textId="77777777" w:rsidR="001A7442" w:rsidRPr="00237C67" w:rsidRDefault="001A7442" w:rsidP="00237C67">
      <w:pPr>
        <w:overflowPunct w:val="0"/>
        <w:autoSpaceDE w:val="0"/>
        <w:autoSpaceDN w:val="0"/>
        <w:adjustRightInd w:val="0"/>
        <w:textAlignment w:val="baseline"/>
        <w:rPr>
          <w:bCs/>
          <w:iCs/>
          <w:lang w:val="en-GB"/>
        </w:rPr>
      </w:pPr>
    </w:p>
    <w:p w14:paraId="363CA3B6"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atzinīgi vērtē </w:t>
      </w:r>
      <w:r>
        <w:rPr>
          <w:b/>
        </w:rPr>
        <w:t>ilgi gaidīto iniciatīvu</w:t>
      </w:r>
      <w:r>
        <w:t xml:space="preserve"> īpašu </w:t>
      </w:r>
      <w:r>
        <w:rPr>
          <w:b/>
          <w:bCs/>
        </w:rPr>
        <w:t xml:space="preserve">uzmanību </w:t>
      </w:r>
      <w:r>
        <w:t xml:space="preserve">veltīt </w:t>
      </w:r>
      <w:r>
        <w:rPr>
          <w:b/>
        </w:rPr>
        <w:t>Melnās jūras reģionam</w:t>
      </w:r>
      <w:r>
        <w:t xml:space="preserve"> un ierosināt stratēģisku Eiropas Savienības (ES) pieeju, tomēr norāda, ka tas notiek ar </w:t>
      </w:r>
      <w:r>
        <w:rPr>
          <w:b/>
        </w:rPr>
        <w:t>zināmu kavēšanos</w:t>
      </w:r>
      <w:r>
        <w:t xml:space="preserve">, un tādēļ aicina </w:t>
      </w:r>
      <w:r>
        <w:rPr>
          <w:b/>
        </w:rPr>
        <w:t>ātri un izlēmīgi rīkoties, lai to īstenotu</w:t>
      </w:r>
      <w:r>
        <w:t xml:space="preserve"> un </w:t>
      </w:r>
      <w:r>
        <w:rPr>
          <w:b/>
        </w:rPr>
        <w:t>nodrošinātu ar pietiekamiem resursiem</w:t>
      </w:r>
      <w:r>
        <w:t>;</w:t>
      </w:r>
    </w:p>
    <w:p w14:paraId="4F615B3A"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uzsver, ka </w:t>
      </w:r>
      <w:r>
        <w:rPr>
          <w:b/>
        </w:rPr>
        <w:t>visas reģiona valstis</w:t>
      </w:r>
      <w:r>
        <w:t xml:space="preserve"> saskaras ar </w:t>
      </w:r>
      <w:r>
        <w:rPr>
          <w:b/>
        </w:rPr>
        <w:t>militārās karadarbības negatīvajām sekām</w:t>
      </w:r>
      <w:r>
        <w:t xml:space="preserve">, </w:t>
      </w:r>
      <w:r>
        <w:rPr>
          <w:b/>
        </w:rPr>
        <w:t>taču ne visām ir sniegts mērķtiecīgs sociālais un ekonomiskais atbalsts proporcionāli to centieniem un nestajiem upuriem</w:t>
      </w:r>
      <w:r>
        <w:t>;</w:t>
      </w:r>
    </w:p>
    <w:p w14:paraId="64F59F4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mudina Komisiju, apspriežoties ar ES dalībvalstīm, Melnās jūras reģiona valstīm un visām ieinteresētajām personām, </w:t>
      </w:r>
      <w:r>
        <w:rPr>
          <w:b/>
        </w:rPr>
        <w:t>rīkoties ātri</w:t>
      </w:r>
      <w:r>
        <w:t xml:space="preserve"> un ideālā gadījumā līdz 2025. gada beigām </w:t>
      </w:r>
      <w:r>
        <w:rPr>
          <w:b/>
        </w:rPr>
        <w:t>sagatavot pragmatisku un pienācīgi finansētu reģiona attīstības stratēģiju</w:t>
      </w:r>
      <w:r>
        <w:t>;</w:t>
      </w:r>
    </w:p>
    <w:p w14:paraId="3DED480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pauž nožēlu par to, ka </w:t>
      </w:r>
      <w:r>
        <w:rPr>
          <w:b/>
        </w:rPr>
        <w:t>iepriekšējais ES politikas satvars</w:t>
      </w:r>
      <w:r>
        <w:t xml:space="preserve"> šim reģionam (Melnās jūras reģiona sinerģija kopš 2007. gada) neaptvēra </w:t>
      </w:r>
      <w:r>
        <w:rPr>
          <w:b/>
        </w:rPr>
        <w:t>drošības dimensiju</w:t>
      </w:r>
      <w:r>
        <w:t xml:space="preserve">, un norāda, ka </w:t>
      </w:r>
      <w:r>
        <w:rPr>
          <w:b/>
        </w:rPr>
        <w:t>ES drošības iniciatīvām Melnās jūras reģionā ir jāsniedz taustāmi rezultāti</w:t>
      </w:r>
      <w:r>
        <w:t>;</w:t>
      </w:r>
    </w:p>
    <w:p w14:paraId="52F031F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uzsver, ka </w:t>
      </w:r>
      <w:r>
        <w:rPr>
          <w:b/>
        </w:rPr>
        <w:t>ilgstoša miera panākšana</w:t>
      </w:r>
      <w:r>
        <w:t xml:space="preserve"> ir </w:t>
      </w:r>
      <w:r>
        <w:rPr>
          <w:b/>
        </w:rPr>
        <w:t>nepieciešams un būtisks ekonomikas ilgtspējīgas attīstības priekšnoteikums</w:t>
      </w:r>
      <w:r>
        <w:t>, un ar nožēlu secina, ka tas dokumentā nav minēts kā viens no mērķiem;</w:t>
      </w:r>
    </w:p>
    <w:p w14:paraId="63B8D3C0"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uzskata, ka </w:t>
      </w:r>
      <w:r>
        <w:rPr>
          <w:b/>
        </w:rPr>
        <w:t>stratēģisko pieeju būtiski ierobežo</w:t>
      </w:r>
      <w:r>
        <w:t xml:space="preserve"> tas, ka tā pilnībā balstīta uz </w:t>
      </w:r>
      <w:r>
        <w:rPr>
          <w:b/>
        </w:rPr>
        <w:t>esošajiem finanšu instrumentiem</w:t>
      </w:r>
      <w:r>
        <w:t xml:space="preserve"> un </w:t>
      </w:r>
      <w:r>
        <w:rPr>
          <w:b/>
        </w:rPr>
        <w:t>budžeta resursiem, kas iekļauti daudzgadu finanšu shēmā 2021.–2027. gadam</w:t>
      </w:r>
      <w:r>
        <w:t xml:space="preserve">; prasa </w:t>
      </w:r>
      <w:r>
        <w:rPr>
          <w:b/>
        </w:rPr>
        <w:t xml:space="preserve">vienkāršot, konsolidēt un </w:t>
      </w:r>
      <w:proofErr w:type="spellStart"/>
      <w:r>
        <w:rPr>
          <w:b/>
        </w:rPr>
        <w:t>prioritizēt</w:t>
      </w:r>
      <w:proofErr w:type="spellEnd"/>
      <w:r>
        <w:rPr>
          <w:b/>
        </w:rPr>
        <w:t xml:space="preserve"> instrumentus</w:t>
      </w:r>
      <w:r>
        <w:t>, lai tiem būtu tūlītēja un pamanāma ietekme;</w:t>
      </w:r>
    </w:p>
    <w:p w14:paraId="44A0477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iesaka </w:t>
      </w:r>
      <w:r>
        <w:rPr>
          <w:b/>
        </w:rPr>
        <w:t>padziļināti analizēt visu līdz šim izmantoto instrumentu ietekmi</w:t>
      </w:r>
      <w:r>
        <w:t xml:space="preserve"> un, pamatojoties uz šīs analīzes secinājumiem, formulēt </w:t>
      </w:r>
      <w:r>
        <w:rPr>
          <w:b/>
        </w:rPr>
        <w:t>konkrētākas</w:t>
      </w:r>
      <w:r>
        <w:t xml:space="preserve"> un </w:t>
      </w:r>
      <w:r>
        <w:rPr>
          <w:b/>
        </w:rPr>
        <w:t>skaidrākas saistības</w:t>
      </w:r>
      <w:r>
        <w:t xml:space="preserve"> attiecībā uz turpmāku to izmantošanu;</w:t>
      </w:r>
    </w:p>
    <w:p w14:paraId="53E35EF9" w14:textId="77777777" w:rsidR="00237C67" w:rsidRPr="00237C67" w:rsidRDefault="00237C67" w:rsidP="00054C58">
      <w:pPr>
        <w:widowControl w:val="0"/>
        <w:numPr>
          <w:ilvl w:val="0"/>
          <w:numId w:val="31"/>
        </w:numPr>
        <w:overflowPunct w:val="0"/>
        <w:autoSpaceDE w:val="0"/>
        <w:autoSpaceDN w:val="0"/>
        <w:adjustRightInd w:val="0"/>
        <w:ind w:left="284" w:hanging="284"/>
        <w:contextualSpacing/>
        <w:textAlignment w:val="baseline"/>
      </w:pPr>
      <w:r>
        <w:t xml:space="preserve">uzskata, ka vairāk uzmanības būtu jāpievērš </w:t>
      </w:r>
      <w:proofErr w:type="spellStart"/>
      <w:r>
        <w:rPr>
          <w:b/>
        </w:rPr>
        <w:t>hibrīddraudu</w:t>
      </w:r>
      <w:proofErr w:type="spellEnd"/>
      <w:r>
        <w:rPr>
          <w:b/>
        </w:rPr>
        <w:t xml:space="preserve"> novēršanai</w:t>
      </w:r>
      <w:r>
        <w:t xml:space="preserve"> un </w:t>
      </w:r>
      <w:r>
        <w:rPr>
          <w:b/>
        </w:rPr>
        <w:t>pārvaldības traucējumiem</w:t>
      </w:r>
      <w:r>
        <w:t>, kas var apdraudēt reģiona stabilitāti.</w:t>
      </w:r>
    </w:p>
    <w:p w14:paraId="54BF6B1F" w14:textId="77777777" w:rsidR="00237C67" w:rsidRPr="00237C67" w:rsidRDefault="00237C67" w:rsidP="00237C67">
      <w:pPr>
        <w:widowControl w:val="0"/>
        <w:overflowPunct w:val="0"/>
        <w:autoSpaceDE w:val="0"/>
        <w:autoSpaceDN w:val="0"/>
        <w:adjustRightInd w:val="0"/>
        <w:ind w:left="709"/>
        <w:textAlignment w:val="baseline"/>
        <w:rPr>
          <w:szCs w:val="20"/>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237C67" w:rsidRPr="00237C67" w14:paraId="500155AD" w14:textId="77777777" w:rsidTr="00C201AB">
        <w:tc>
          <w:tcPr>
            <w:tcW w:w="1090" w:type="pct"/>
          </w:tcPr>
          <w:p w14:paraId="4E7D56FB" w14:textId="77777777" w:rsidR="00237C67" w:rsidRPr="00237C67" w:rsidRDefault="00237C67" w:rsidP="00237C67">
            <w:pPr>
              <w:overflowPunct w:val="0"/>
              <w:autoSpaceDE w:val="0"/>
              <w:autoSpaceDN w:val="0"/>
              <w:adjustRightInd w:val="0"/>
              <w:textAlignment w:val="baseline"/>
              <w:rPr>
                <w:i/>
              </w:rPr>
            </w:pPr>
            <w:r>
              <w:rPr>
                <w:b/>
                <w:i/>
              </w:rPr>
              <w:t>Kontaktpersona:</w:t>
            </w:r>
          </w:p>
        </w:tc>
        <w:tc>
          <w:tcPr>
            <w:tcW w:w="3910" w:type="pct"/>
          </w:tcPr>
          <w:p w14:paraId="397EC967" w14:textId="77777777" w:rsidR="00237C67" w:rsidRPr="00237C67" w:rsidRDefault="00237C67" w:rsidP="00237C67">
            <w:pPr>
              <w:overflowPunct w:val="0"/>
              <w:autoSpaceDE w:val="0"/>
              <w:autoSpaceDN w:val="0"/>
              <w:adjustRightInd w:val="0"/>
              <w:textAlignment w:val="baseline"/>
              <w:rPr>
                <w:i/>
                <w:iCs/>
              </w:rPr>
            </w:pPr>
            <w:proofErr w:type="spellStart"/>
            <w:r>
              <w:t>Marie-Laurence</w:t>
            </w:r>
            <w:proofErr w:type="spellEnd"/>
            <w:r>
              <w:t xml:space="preserve"> </w:t>
            </w:r>
            <w:proofErr w:type="spellStart"/>
            <w:r>
              <w:t>Drillon</w:t>
            </w:r>
            <w:proofErr w:type="spellEnd"/>
          </w:p>
        </w:tc>
      </w:tr>
      <w:tr w:rsidR="00237C67" w:rsidRPr="00237C67" w14:paraId="4A4056F6" w14:textId="77777777" w:rsidTr="00C201AB">
        <w:tc>
          <w:tcPr>
            <w:tcW w:w="1090" w:type="pct"/>
          </w:tcPr>
          <w:p w14:paraId="5E409ED8" w14:textId="77777777" w:rsidR="00237C67" w:rsidRPr="00237C67" w:rsidRDefault="00237C67" w:rsidP="00237C67">
            <w:pPr>
              <w:overflowPunct w:val="0"/>
              <w:autoSpaceDE w:val="0"/>
              <w:autoSpaceDN w:val="0"/>
              <w:adjustRightInd w:val="0"/>
              <w:textAlignment w:val="baseline"/>
              <w:rPr>
                <w:i/>
              </w:rPr>
            </w:pPr>
            <w:r>
              <w:rPr>
                <w:i/>
              </w:rPr>
              <w:t>Tālr.:</w:t>
            </w:r>
          </w:p>
        </w:tc>
        <w:tc>
          <w:tcPr>
            <w:tcW w:w="3910" w:type="pct"/>
          </w:tcPr>
          <w:p w14:paraId="701AABDE" w14:textId="70D525BC" w:rsidR="00237C67" w:rsidRPr="00237C67" w:rsidRDefault="00237C67" w:rsidP="00237C67">
            <w:pPr>
              <w:overflowPunct w:val="0"/>
              <w:autoSpaceDE w:val="0"/>
              <w:autoSpaceDN w:val="0"/>
              <w:adjustRightInd w:val="0"/>
              <w:textAlignment w:val="baseline"/>
              <w:rPr>
                <w:i/>
              </w:rPr>
            </w:pPr>
            <w:r>
              <w:rPr>
                <w:i/>
              </w:rPr>
              <w:t>+32 2546 8320</w:t>
            </w:r>
          </w:p>
        </w:tc>
      </w:tr>
      <w:tr w:rsidR="00237C67" w:rsidRPr="00237C67" w14:paraId="532005DF" w14:textId="77777777" w:rsidTr="00C201AB">
        <w:tc>
          <w:tcPr>
            <w:tcW w:w="1090" w:type="pct"/>
          </w:tcPr>
          <w:p w14:paraId="21550A30" w14:textId="77777777" w:rsidR="00237C67" w:rsidRPr="00237C67" w:rsidRDefault="00237C67" w:rsidP="00237C67">
            <w:pPr>
              <w:overflowPunct w:val="0"/>
              <w:autoSpaceDE w:val="0"/>
              <w:autoSpaceDN w:val="0"/>
              <w:adjustRightInd w:val="0"/>
              <w:textAlignment w:val="baseline"/>
              <w:rPr>
                <w:i/>
              </w:rPr>
            </w:pPr>
            <w:r>
              <w:rPr>
                <w:i/>
              </w:rPr>
              <w:t>E-pasts:</w:t>
            </w:r>
          </w:p>
        </w:tc>
        <w:tc>
          <w:tcPr>
            <w:tcW w:w="3910" w:type="pct"/>
          </w:tcPr>
          <w:p w14:paraId="56749FB7" w14:textId="77777777" w:rsidR="00237C67" w:rsidRPr="00237C67" w:rsidRDefault="00E27DEE" w:rsidP="00237C67">
            <w:pPr>
              <w:overflowPunct w:val="0"/>
              <w:autoSpaceDE w:val="0"/>
              <w:autoSpaceDN w:val="0"/>
              <w:adjustRightInd w:val="0"/>
              <w:textAlignment w:val="baseline"/>
              <w:rPr>
                <w:i/>
              </w:rPr>
            </w:pPr>
            <w:hyperlink r:id="rId46" w:history="1">
              <w:r w:rsidR="00B9028C">
                <w:rPr>
                  <w:i/>
                  <w:color w:val="0000FF"/>
                  <w:u w:val="single"/>
                </w:rPr>
                <w:t>Marie-Laurence.Drillon@eesc.europa.eu</w:t>
              </w:r>
            </w:hyperlink>
          </w:p>
        </w:tc>
      </w:tr>
    </w:tbl>
    <w:p w14:paraId="74D4B137" w14:textId="77777777" w:rsidR="007F5784" w:rsidRDefault="007F5784" w:rsidP="007F5784">
      <w:pPr>
        <w:spacing w:after="160" w:line="259" w:lineRule="auto"/>
        <w:jc w:val="left"/>
      </w:pPr>
    </w:p>
    <w:p w14:paraId="210E1333" w14:textId="1FC47D3D" w:rsidR="00C913CA" w:rsidRPr="00C913CA" w:rsidRDefault="006D2C8A" w:rsidP="00C913CA">
      <w:pPr>
        <w:widowControl w:val="0"/>
        <w:numPr>
          <w:ilvl w:val="0"/>
          <w:numId w:val="4"/>
        </w:numPr>
        <w:overflowPunct w:val="0"/>
        <w:autoSpaceDE w:val="0"/>
        <w:autoSpaceDN w:val="0"/>
        <w:adjustRightInd w:val="0"/>
        <w:ind w:hanging="567"/>
        <w:textAlignment w:val="baseline"/>
        <w:rPr>
          <w:sz w:val="20"/>
          <w:szCs w:val="20"/>
        </w:rPr>
      </w:pPr>
      <w:r>
        <w:br w:type="page"/>
      </w:r>
      <w:hyperlink r:id="rId47" w:history="1">
        <w:r>
          <w:rPr>
            <w:b/>
            <w:i/>
            <w:color w:val="0000FF"/>
            <w:sz w:val="28"/>
            <w:u w:val="single"/>
          </w:rPr>
          <w:t>Eiropa pasaulē (priekšlikums daudzgadu finanšu shēmai)</w:t>
        </w:r>
      </w:hyperlink>
    </w:p>
    <w:p w14:paraId="340361FF"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C913CA" w14:paraId="617F8D50" w14:textId="77777777" w:rsidTr="00C201AB">
        <w:tc>
          <w:tcPr>
            <w:tcW w:w="1077" w:type="pct"/>
          </w:tcPr>
          <w:p w14:paraId="00D33EA5"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Ziņotājs</w:t>
            </w:r>
          </w:p>
        </w:tc>
        <w:tc>
          <w:tcPr>
            <w:tcW w:w="3923" w:type="pct"/>
          </w:tcPr>
          <w:p w14:paraId="4316EC99" w14:textId="50054E32" w:rsidR="00C913CA" w:rsidRPr="00C913CA" w:rsidRDefault="00C913CA" w:rsidP="00C913CA">
            <w:pPr>
              <w:tabs>
                <w:tab w:val="center" w:pos="284"/>
              </w:tabs>
              <w:overflowPunct w:val="0"/>
              <w:autoSpaceDE w:val="0"/>
              <w:autoSpaceDN w:val="0"/>
              <w:adjustRightInd w:val="0"/>
              <w:ind w:left="266" w:right="-3091" w:hanging="266"/>
              <w:textAlignment w:val="baseline"/>
            </w:pPr>
            <w:proofErr w:type="spellStart"/>
            <w:r>
              <w:t>Mateusz</w:t>
            </w:r>
            <w:proofErr w:type="spellEnd"/>
            <w:r>
              <w:t> SZYMAŃSKI (Darba ņēmēju grupa – PL)</w:t>
            </w:r>
          </w:p>
        </w:tc>
      </w:tr>
      <w:tr w:rsidR="00C913CA" w:rsidRPr="00C913CA" w14:paraId="59C9D0E5" w14:textId="77777777" w:rsidTr="00C201AB">
        <w:tc>
          <w:tcPr>
            <w:tcW w:w="1077" w:type="pct"/>
          </w:tcPr>
          <w:p w14:paraId="755D124C"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Līdzziņotājs</w:t>
            </w:r>
          </w:p>
        </w:tc>
        <w:tc>
          <w:tcPr>
            <w:tcW w:w="3923" w:type="pct"/>
          </w:tcPr>
          <w:p w14:paraId="7376BE83" w14:textId="7695C77A" w:rsidR="00C913CA" w:rsidRDefault="00C913CA" w:rsidP="00C913CA">
            <w:pPr>
              <w:tabs>
                <w:tab w:val="center" w:pos="284"/>
              </w:tabs>
              <w:overflowPunct w:val="0"/>
              <w:autoSpaceDE w:val="0"/>
              <w:autoSpaceDN w:val="0"/>
              <w:adjustRightInd w:val="0"/>
              <w:ind w:left="266" w:right="-3091" w:hanging="266"/>
              <w:textAlignment w:val="baseline"/>
            </w:pPr>
            <w:proofErr w:type="spellStart"/>
            <w:r>
              <w:t>Luca</w:t>
            </w:r>
            <w:proofErr w:type="spellEnd"/>
            <w:r>
              <w:t xml:space="preserve"> JAHIER (Pilsoniskās sabiedrības organizāciju grupa – IT)</w:t>
            </w:r>
          </w:p>
          <w:p w14:paraId="0E93DE74" w14:textId="1F3DE290" w:rsidR="00515DDF" w:rsidRPr="00C913CA" w:rsidRDefault="00515DDF" w:rsidP="00C913CA">
            <w:pPr>
              <w:tabs>
                <w:tab w:val="center" w:pos="284"/>
              </w:tabs>
              <w:overflowPunct w:val="0"/>
              <w:autoSpaceDE w:val="0"/>
              <w:autoSpaceDN w:val="0"/>
              <w:adjustRightInd w:val="0"/>
              <w:ind w:left="266" w:right="-3091" w:hanging="266"/>
              <w:textAlignment w:val="baseline"/>
            </w:pPr>
          </w:p>
        </w:tc>
      </w:tr>
      <w:tr w:rsidR="00C913CA" w:rsidRPr="00C913CA" w14:paraId="65944F45" w14:textId="77777777" w:rsidTr="00C201AB">
        <w:tc>
          <w:tcPr>
            <w:tcW w:w="1077" w:type="pct"/>
          </w:tcPr>
          <w:p w14:paraId="2E5FC958"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Atsauces</w:t>
            </w:r>
          </w:p>
        </w:tc>
        <w:tc>
          <w:tcPr>
            <w:tcW w:w="3923" w:type="pct"/>
          </w:tcPr>
          <w:p w14:paraId="6347258A" w14:textId="51379C47" w:rsidR="00515DDF" w:rsidRDefault="00515DDF" w:rsidP="00C913CA">
            <w:pPr>
              <w:tabs>
                <w:tab w:val="center" w:pos="284"/>
              </w:tabs>
              <w:overflowPunct w:val="0"/>
              <w:autoSpaceDE w:val="0"/>
              <w:autoSpaceDN w:val="0"/>
              <w:adjustRightInd w:val="0"/>
              <w:ind w:left="266" w:right="-3091" w:hanging="266"/>
              <w:textAlignment w:val="baseline"/>
            </w:pPr>
            <w:r>
              <w:t xml:space="preserve">COM(2025) 551 </w:t>
            </w:r>
            <w:proofErr w:type="spellStart"/>
            <w:r>
              <w:t>final</w:t>
            </w:r>
            <w:proofErr w:type="spellEnd"/>
          </w:p>
          <w:p w14:paraId="2BBBFAE1" w14:textId="6B128210" w:rsidR="00C913CA" w:rsidRPr="00C913CA" w:rsidRDefault="00C913CA" w:rsidP="00C913CA">
            <w:pPr>
              <w:tabs>
                <w:tab w:val="center" w:pos="284"/>
              </w:tabs>
              <w:overflowPunct w:val="0"/>
              <w:autoSpaceDE w:val="0"/>
              <w:autoSpaceDN w:val="0"/>
              <w:adjustRightInd w:val="0"/>
              <w:ind w:left="266" w:right="-3091" w:hanging="266"/>
              <w:textAlignment w:val="baseline"/>
            </w:pPr>
            <w:r>
              <w:t>EESC-2025-02605-00-00-AC</w:t>
            </w:r>
          </w:p>
        </w:tc>
      </w:tr>
    </w:tbl>
    <w:p w14:paraId="05B1F97D"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p w14:paraId="17BCE7B6"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rPr>
      </w:pPr>
      <w:r>
        <w:rPr>
          <w:b/>
        </w:rPr>
        <w:t>Galvenās nostādnes</w:t>
      </w:r>
    </w:p>
    <w:p w14:paraId="4511E68B"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lang w:val="en-GB"/>
        </w:rPr>
      </w:pPr>
    </w:p>
    <w:p w14:paraId="5AC62987" w14:textId="77777777" w:rsidR="00C913CA" w:rsidRDefault="00C913CA" w:rsidP="00C913CA">
      <w:pPr>
        <w:overflowPunct w:val="0"/>
        <w:autoSpaceDE w:val="0"/>
        <w:autoSpaceDN w:val="0"/>
        <w:adjustRightInd w:val="0"/>
        <w:textAlignment w:val="baseline"/>
        <w:rPr>
          <w:bCs/>
          <w:iCs/>
        </w:rPr>
      </w:pPr>
      <w:r>
        <w:t>EESK:</w:t>
      </w:r>
    </w:p>
    <w:p w14:paraId="7F34015F"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atzinīgi vērtē Komisijas priekšlikumu nākamajā daudzgadu finanšu shēmā (DFS) palielināt izdevumus ES ārpolitikai, izveidojot instrumentu “Eiropa pasaulē”, tostarp “Ukrainas rezervi”, un uzskata, ka šis palielinājums ir būtisks, lai ES apstiprinātu savu globālo procesu dalībnieces lomu un savas vērtības, kā arī veidotu stratēģisku autonomiju;</w:t>
      </w:r>
    </w:p>
    <w:p w14:paraId="092597D8" w14:textId="40148BA2"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uzskata, ka Eiropas Savienībai būtu jāuzņemas vadoša loma attīstības un humānās palīdzības centienos un ANO sistēmas atdzīvināšanā, un par tās galveno instrumentu jākļūst stratēģijai </w:t>
      </w:r>
      <w:proofErr w:type="spellStart"/>
      <w:r>
        <w:rPr>
          <w:i/>
          <w:iCs/>
        </w:rPr>
        <w:t>Global</w:t>
      </w:r>
      <w:proofErr w:type="spellEnd"/>
      <w:r>
        <w:rPr>
          <w:i/>
          <w:iCs/>
        </w:rPr>
        <w:t xml:space="preserve"> </w:t>
      </w:r>
      <w:proofErr w:type="spellStart"/>
      <w:r>
        <w:rPr>
          <w:i/>
          <w:iCs/>
        </w:rPr>
        <w:t>Gateway</w:t>
      </w:r>
      <w:proofErr w:type="spellEnd"/>
      <w:r>
        <w:t xml:space="preserve">; </w:t>
      </w:r>
    </w:p>
    <w:p w14:paraId="023EF68A"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norāda, ka Pilsoniskās sabiedrības organizāciju un vietējo pašvaldību konsultatīvā padome </w:t>
      </w:r>
      <w:proofErr w:type="spellStart"/>
      <w:r>
        <w:rPr>
          <w:i/>
          <w:iCs/>
        </w:rPr>
        <w:t>Global</w:t>
      </w:r>
      <w:proofErr w:type="spellEnd"/>
      <w:r>
        <w:rPr>
          <w:i/>
          <w:iCs/>
        </w:rPr>
        <w:t xml:space="preserve"> </w:t>
      </w:r>
      <w:proofErr w:type="spellStart"/>
      <w:r>
        <w:rPr>
          <w:i/>
          <w:iCs/>
        </w:rPr>
        <w:t>Gateway</w:t>
      </w:r>
      <w:proofErr w:type="spellEnd"/>
      <w:r>
        <w:t xml:space="preserve"> jautājumos joprojām ir atrauta no lēmumu pieņemšanas un ir radījusi sadrumstalotu dialogu. EESK aicina nodrošināt jēgpilnu līdzdalību, tostarp EESK un RK līdzdalību;</w:t>
      </w:r>
    </w:p>
    <w:p w14:paraId="4484C10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uzsver, ka jāveido saskaņotība starp ārpolitiku, attīstību, tirdzniecību un Eiropas Konkurētspējas fondu, lai panāktu ilgtspējīgu attīstību un ekonomisko noturību;</w:t>
      </w:r>
    </w:p>
    <w:p w14:paraId="33EE32E4"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neraugoties uz pozitīvo novērtējumu par ierosināto elastību ārējā darbībā, sagaida pilnīgu pārredzamību un pārskatatbildību līdzekļu izmantojumā;</w:t>
      </w:r>
    </w:p>
    <w:p w14:paraId="54231D4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aicina attiecināt Komisijas ieviesto nevienlīdzības rādītāju arī uz </w:t>
      </w:r>
      <w:proofErr w:type="spellStart"/>
      <w:r>
        <w:rPr>
          <w:i/>
          <w:iCs/>
        </w:rPr>
        <w:t>Global</w:t>
      </w:r>
      <w:proofErr w:type="spellEnd"/>
      <w:r>
        <w:rPr>
          <w:i/>
          <w:iCs/>
        </w:rPr>
        <w:t xml:space="preserve"> </w:t>
      </w:r>
      <w:proofErr w:type="spellStart"/>
      <w:r>
        <w:rPr>
          <w:i/>
          <w:iCs/>
        </w:rPr>
        <w:t>Gateway</w:t>
      </w:r>
      <w:proofErr w:type="spellEnd"/>
      <w:r>
        <w:t xml:space="preserve"> projektiem; </w:t>
      </w:r>
    </w:p>
    <w:p w14:paraId="622745CB"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sagaida, ka esošās struktūras, piemēram, pilsoniskās sabiedrības platformas, tiks plašāk iesaistītas attiecību uzturēšanā ar organizācijām partnervalstīs; </w:t>
      </w:r>
    </w:p>
    <w:p w14:paraId="17AD7981"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atbalsta visus centienus stiprināt labklājību un drošību mūsu kaimiņvalstīs un tādējādi arī Eiropas Savienībā, un atbalsta Savienības turpmāko paplašināšanos;</w:t>
      </w:r>
    </w:p>
    <w:p w14:paraId="751B0DE5"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uzsver, ka ir vajadzīgs prognozējams un stabils finansējums pilsoniskās sabiedrības organizācijām, it īpaši, lai stiprinātu demokrātiju, pilsonisko telpu un dzimumu līdztiesību;</w:t>
      </w:r>
    </w:p>
    <w:p w14:paraId="29F107B3"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sagaida, ka ekonomiskās sadarbības un uzņēmējdarbības mērķi tiks papildināti ar vērienīgām sociālajām, cilvēktiesību un </w:t>
      </w:r>
      <w:proofErr w:type="spellStart"/>
      <w:r>
        <w:t>vidiskajām</w:t>
      </w:r>
      <w:proofErr w:type="spellEnd"/>
      <w:r>
        <w:t xml:space="preserve"> garantijām;</w:t>
      </w:r>
    </w:p>
    <w:p w14:paraId="1EC11B19"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iebilst pret pieeju apturēt maksājumus saistībā ar migrācijas politiku, uzsverot, ka ir vajadzīgi pozitīvi stimuli, lai sasniegtu izvirzītos mērķus.</w:t>
      </w:r>
    </w:p>
    <w:p w14:paraId="713942FB" w14:textId="77777777" w:rsidR="00C913CA" w:rsidRPr="00C913CA" w:rsidRDefault="00C913CA" w:rsidP="00C913CA">
      <w:pPr>
        <w:widowControl w:val="0"/>
        <w:overflowPunct w:val="0"/>
        <w:autoSpaceDE w:val="0"/>
        <w:autoSpaceDN w:val="0"/>
        <w:adjustRightInd w:val="0"/>
        <w:ind w:left="709"/>
        <w:textAlignment w:val="baseline"/>
        <w:rPr>
          <w:szCs w:val="20"/>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906"/>
      </w:tblGrid>
      <w:tr w:rsidR="00C913CA" w:rsidRPr="00C913CA" w14:paraId="430D0F1E" w14:textId="77777777" w:rsidTr="00C201AB">
        <w:tc>
          <w:tcPr>
            <w:tcW w:w="1077"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2650"/>
            </w:tblGrid>
            <w:tr w:rsidR="006559C7" w:rsidRPr="00A6689B" w14:paraId="566687C9" w14:textId="77777777" w:rsidTr="002238FF">
              <w:tc>
                <w:tcPr>
                  <w:tcW w:w="1077" w:type="pct"/>
                </w:tcPr>
                <w:p w14:paraId="5EE88CD7" w14:textId="77777777" w:rsidR="006559C7" w:rsidRPr="006559C7" w:rsidRDefault="006559C7" w:rsidP="006559C7">
                  <w:pPr>
                    <w:ind w:hanging="78"/>
                    <w:rPr>
                      <w:i/>
                      <w:sz w:val="20"/>
                      <w:szCs w:val="20"/>
                    </w:rPr>
                  </w:pPr>
                  <w:r>
                    <w:rPr>
                      <w:b/>
                      <w:i/>
                      <w:sz w:val="20"/>
                    </w:rPr>
                    <w:t>Kontaktpersona:</w:t>
                  </w:r>
                </w:p>
              </w:tc>
              <w:tc>
                <w:tcPr>
                  <w:tcW w:w="3923" w:type="pct"/>
                </w:tcPr>
                <w:p w14:paraId="1A70046D" w14:textId="77777777" w:rsidR="006559C7" w:rsidRPr="006559C7" w:rsidRDefault="006559C7" w:rsidP="006559C7">
                  <w:pPr>
                    <w:ind w:hanging="78"/>
                    <w:rPr>
                      <w:i/>
                      <w:sz w:val="20"/>
                      <w:szCs w:val="20"/>
                    </w:rPr>
                  </w:pPr>
                  <w:proofErr w:type="spellStart"/>
                  <w:r>
                    <w:rPr>
                      <w:i/>
                      <w:sz w:val="20"/>
                    </w:rPr>
                    <w:t>Daniele</w:t>
                  </w:r>
                  <w:proofErr w:type="spellEnd"/>
                  <w:r>
                    <w:rPr>
                      <w:i/>
                      <w:sz w:val="20"/>
                    </w:rPr>
                    <w:t xml:space="preserve"> </w:t>
                  </w:r>
                  <w:proofErr w:type="spellStart"/>
                  <w:r>
                    <w:rPr>
                      <w:i/>
                      <w:sz w:val="20"/>
                    </w:rPr>
                    <w:t>Vitali</w:t>
                  </w:r>
                  <w:proofErr w:type="spellEnd"/>
                  <w:r>
                    <w:rPr>
                      <w:i/>
                      <w:sz w:val="20"/>
                    </w:rPr>
                    <w:t xml:space="preserve"> </w:t>
                  </w:r>
                </w:p>
              </w:tc>
            </w:tr>
            <w:tr w:rsidR="006559C7" w:rsidRPr="00A6689B" w14:paraId="6A2E51F7" w14:textId="77777777" w:rsidTr="002238FF">
              <w:tc>
                <w:tcPr>
                  <w:tcW w:w="1077" w:type="pct"/>
                </w:tcPr>
                <w:p w14:paraId="36742115" w14:textId="77777777" w:rsidR="006559C7" w:rsidRPr="006559C7" w:rsidRDefault="006559C7" w:rsidP="006559C7">
                  <w:pPr>
                    <w:ind w:hanging="78"/>
                    <w:rPr>
                      <w:i/>
                      <w:sz w:val="20"/>
                      <w:szCs w:val="20"/>
                    </w:rPr>
                  </w:pPr>
                  <w:r>
                    <w:rPr>
                      <w:i/>
                      <w:sz w:val="20"/>
                    </w:rPr>
                    <w:t>Tālr.:</w:t>
                  </w:r>
                </w:p>
              </w:tc>
              <w:tc>
                <w:tcPr>
                  <w:tcW w:w="3923" w:type="pct"/>
                </w:tcPr>
                <w:p w14:paraId="2025EE29" w14:textId="2C5781A0" w:rsidR="006559C7" w:rsidRPr="006559C7" w:rsidRDefault="006559C7" w:rsidP="006559C7">
                  <w:pPr>
                    <w:ind w:hanging="78"/>
                    <w:rPr>
                      <w:i/>
                      <w:sz w:val="20"/>
                      <w:szCs w:val="20"/>
                    </w:rPr>
                  </w:pPr>
                  <w:r>
                    <w:rPr>
                      <w:i/>
                      <w:sz w:val="20"/>
                    </w:rPr>
                    <w:t>+32 25468817</w:t>
                  </w:r>
                </w:p>
              </w:tc>
            </w:tr>
            <w:tr w:rsidR="006559C7" w:rsidRPr="00A6689B" w14:paraId="40EB0530" w14:textId="77777777" w:rsidTr="002238FF">
              <w:tc>
                <w:tcPr>
                  <w:tcW w:w="1077" w:type="pct"/>
                </w:tcPr>
                <w:p w14:paraId="0E0B5DFB" w14:textId="77777777" w:rsidR="006559C7" w:rsidRPr="006559C7" w:rsidRDefault="006559C7" w:rsidP="006559C7">
                  <w:pPr>
                    <w:ind w:hanging="78"/>
                    <w:rPr>
                      <w:i/>
                      <w:sz w:val="20"/>
                      <w:szCs w:val="20"/>
                    </w:rPr>
                  </w:pPr>
                  <w:r>
                    <w:rPr>
                      <w:i/>
                      <w:sz w:val="20"/>
                    </w:rPr>
                    <w:t>E-pasts:</w:t>
                  </w:r>
                </w:p>
              </w:tc>
              <w:tc>
                <w:tcPr>
                  <w:tcW w:w="3923" w:type="pct"/>
                </w:tcPr>
                <w:p w14:paraId="65211337" w14:textId="77777777" w:rsidR="006559C7" w:rsidRPr="006559C7" w:rsidRDefault="00E27DEE" w:rsidP="006559C7">
                  <w:pPr>
                    <w:ind w:hanging="78"/>
                    <w:rPr>
                      <w:i/>
                      <w:sz w:val="20"/>
                      <w:szCs w:val="20"/>
                    </w:rPr>
                  </w:pPr>
                  <w:hyperlink r:id="rId48" w:history="1">
                    <w:r w:rsidR="00B9028C">
                      <w:rPr>
                        <w:rStyle w:val="Hyperlink"/>
                        <w:i/>
                        <w:sz w:val="20"/>
                      </w:rPr>
                      <w:t>Daniele.Vitali@eesc.europa.eu</w:t>
                    </w:r>
                  </w:hyperlink>
                </w:p>
              </w:tc>
            </w:tr>
          </w:tbl>
          <w:p w14:paraId="3CCB7A2A" w14:textId="391432AF" w:rsidR="00C913CA" w:rsidRPr="00C913CA" w:rsidRDefault="00C913CA" w:rsidP="00C913CA">
            <w:pPr>
              <w:overflowPunct w:val="0"/>
              <w:autoSpaceDE w:val="0"/>
              <w:autoSpaceDN w:val="0"/>
              <w:adjustRightInd w:val="0"/>
              <w:textAlignment w:val="baseline"/>
              <w:rPr>
                <w:i/>
              </w:rPr>
            </w:pPr>
          </w:p>
        </w:tc>
        <w:tc>
          <w:tcPr>
            <w:tcW w:w="3923" w:type="pct"/>
          </w:tcPr>
          <w:p w14:paraId="651A7526" w14:textId="52EF1562" w:rsidR="00C913CA" w:rsidRPr="00C913CA" w:rsidRDefault="00C913CA" w:rsidP="00C913CA">
            <w:pPr>
              <w:overflowPunct w:val="0"/>
              <w:autoSpaceDE w:val="0"/>
              <w:autoSpaceDN w:val="0"/>
              <w:adjustRightInd w:val="0"/>
              <w:textAlignment w:val="baseline"/>
              <w:rPr>
                <w:i/>
              </w:rPr>
            </w:pPr>
          </w:p>
        </w:tc>
      </w:tr>
      <w:tr w:rsidR="00C913CA" w:rsidRPr="00C913CA" w14:paraId="6C24B983" w14:textId="77777777" w:rsidTr="00C201AB">
        <w:tc>
          <w:tcPr>
            <w:tcW w:w="1077" w:type="pct"/>
          </w:tcPr>
          <w:p w14:paraId="6709C358" w14:textId="56E9347F" w:rsidR="00C913CA" w:rsidRPr="00C913CA" w:rsidRDefault="00C913CA" w:rsidP="00C913CA">
            <w:pPr>
              <w:overflowPunct w:val="0"/>
              <w:autoSpaceDE w:val="0"/>
              <w:autoSpaceDN w:val="0"/>
              <w:adjustRightInd w:val="0"/>
              <w:textAlignment w:val="baseline"/>
              <w:rPr>
                <w:i/>
              </w:rPr>
            </w:pPr>
          </w:p>
        </w:tc>
        <w:tc>
          <w:tcPr>
            <w:tcW w:w="3923" w:type="pct"/>
          </w:tcPr>
          <w:p w14:paraId="7C97F1D0" w14:textId="77777777" w:rsidR="009041AE" w:rsidRPr="00C913CA" w:rsidRDefault="009041AE" w:rsidP="00C913CA">
            <w:pPr>
              <w:overflowPunct w:val="0"/>
              <w:autoSpaceDE w:val="0"/>
              <w:autoSpaceDN w:val="0"/>
              <w:adjustRightInd w:val="0"/>
              <w:textAlignment w:val="baseline"/>
              <w:rPr>
                <w:i/>
              </w:rPr>
            </w:pPr>
          </w:p>
        </w:tc>
      </w:tr>
    </w:tbl>
    <w:p w14:paraId="0D67EAE9" w14:textId="1879C98B" w:rsidR="004503DC" w:rsidRPr="004503DC" w:rsidRDefault="00C913CA" w:rsidP="004503DC">
      <w:pPr>
        <w:widowControl w:val="0"/>
        <w:numPr>
          <w:ilvl w:val="0"/>
          <w:numId w:val="4"/>
        </w:numPr>
        <w:overflowPunct w:val="0"/>
        <w:autoSpaceDE w:val="0"/>
        <w:autoSpaceDN w:val="0"/>
        <w:adjustRightInd w:val="0"/>
        <w:ind w:hanging="567"/>
        <w:textAlignment w:val="baseline"/>
        <w:rPr>
          <w:sz w:val="20"/>
          <w:szCs w:val="20"/>
        </w:rPr>
      </w:pPr>
      <w:r>
        <w:br w:type="page"/>
      </w:r>
      <w:hyperlink r:id="rId49" w:history="1">
        <w:r>
          <w:rPr>
            <w:b/>
            <w:i/>
            <w:color w:val="0000FF"/>
            <w:sz w:val="28"/>
            <w:u w:val="single"/>
          </w:rPr>
          <w:t>Prognozējams un kopīgs Eiropas ceļš ukraiņu nākotnei Eiropas Savienībā</w:t>
        </w:r>
      </w:hyperlink>
    </w:p>
    <w:p w14:paraId="66ABB207"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4503DC" w14:paraId="6E6B74AA" w14:textId="77777777" w:rsidTr="00C201AB">
        <w:tc>
          <w:tcPr>
            <w:tcW w:w="1077" w:type="pct"/>
          </w:tcPr>
          <w:p w14:paraId="63D99806"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 xml:space="preserve">Ziņotājs </w:t>
            </w:r>
          </w:p>
        </w:tc>
        <w:tc>
          <w:tcPr>
            <w:tcW w:w="3923" w:type="pct"/>
          </w:tcPr>
          <w:p w14:paraId="2DAA0415" w14:textId="1B2B62CA" w:rsidR="006559C7" w:rsidRPr="004503DC" w:rsidRDefault="004503DC" w:rsidP="00F733BE">
            <w:pPr>
              <w:tabs>
                <w:tab w:val="center" w:pos="284"/>
              </w:tabs>
              <w:overflowPunct w:val="0"/>
              <w:autoSpaceDE w:val="0"/>
              <w:autoSpaceDN w:val="0"/>
              <w:adjustRightInd w:val="0"/>
              <w:ind w:left="266" w:right="-3091" w:hanging="266"/>
              <w:textAlignment w:val="baseline"/>
            </w:pPr>
            <w:proofErr w:type="spellStart"/>
            <w:r>
              <w:t>Mateusz</w:t>
            </w:r>
            <w:proofErr w:type="spellEnd"/>
            <w:r>
              <w:t> SZYMAŃSKI (Darba ņēmēju grupa – PL)</w:t>
            </w:r>
          </w:p>
        </w:tc>
      </w:tr>
      <w:tr w:rsidR="004503DC" w:rsidRPr="004503DC" w14:paraId="712EFFED" w14:textId="77777777" w:rsidTr="00C201AB">
        <w:tc>
          <w:tcPr>
            <w:tcW w:w="1077" w:type="pct"/>
          </w:tcPr>
          <w:p w14:paraId="2B679233"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Līdzziņotājs</w:t>
            </w:r>
          </w:p>
        </w:tc>
        <w:tc>
          <w:tcPr>
            <w:tcW w:w="3923" w:type="pct"/>
          </w:tcPr>
          <w:p w14:paraId="38932FB0" w14:textId="77777777" w:rsidR="004503DC" w:rsidRDefault="004503DC" w:rsidP="004503DC">
            <w:pPr>
              <w:tabs>
                <w:tab w:val="center" w:pos="284"/>
              </w:tabs>
              <w:overflowPunct w:val="0"/>
              <w:autoSpaceDE w:val="0"/>
              <w:autoSpaceDN w:val="0"/>
              <w:adjustRightInd w:val="0"/>
              <w:ind w:left="266" w:right="-3091" w:hanging="266"/>
              <w:textAlignment w:val="baseline"/>
            </w:pPr>
            <w:proofErr w:type="spellStart"/>
            <w:r>
              <w:t>Krzysztof</w:t>
            </w:r>
            <w:proofErr w:type="spellEnd"/>
            <w:r>
              <w:t> BALON (Pilsoniskās sabiedrības organizāciju grupa – PL)</w:t>
            </w:r>
          </w:p>
          <w:p w14:paraId="3F606C7E" w14:textId="77777777" w:rsidR="00F733BE" w:rsidRPr="004503DC" w:rsidRDefault="00F733BE" w:rsidP="004503DC">
            <w:pPr>
              <w:tabs>
                <w:tab w:val="center" w:pos="284"/>
              </w:tabs>
              <w:overflowPunct w:val="0"/>
              <w:autoSpaceDE w:val="0"/>
              <w:autoSpaceDN w:val="0"/>
              <w:adjustRightInd w:val="0"/>
              <w:ind w:left="266" w:right="-3091" w:hanging="266"/>
              <w:textAlignment w:val="baseline"/>
            </w:pPr>
          </w:p>
        </w:tc>
      </w:tr>
      <w:tr w:rsidR="004503DC" w:rsidRPr="004503DC" w14:paraId="1E0B600C" w14:textId="77777777" w:rsidTr="00C201AB">
        <w:tc>
          <w:tcPr>
            <w:tcW w:w="1077" w:type="pct"/>
          </w:tcPr>
          <w:p w14:paraId="331D255A"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Atsauces</w:t>
            </w:r>
          </w:p>
        </w:tc>
        <w:tc>
          <w:tcPr>
            <w:tcW w:w="3923" w:type="pct"/>
          </w:tcPr>
          <w:p w14:paraId="2C22F4DD" w14:textId="16761502" w:rsidR="00F733BE" w:rsidRDefault="00F733BE" w:rsidP="004503DC">
            <w:pPr>
              <w:tabs>
                <w:tab w:val="center" w:pos="284"/>
              </w:tabs>
              <w:overflowPunct w:val="0"/>
              <w:autoSpaceDE w:val="0"/>
              <w:autoSpaceDN w:val="0"/>
              <w:adjustRightInd w:val="0"/>
              <w:ind w:left="266" w:right="-3091" w:hanging="266"/>
              <w:textAlignment w:val="baseline"/>
            </w:pPr>
            <w:r>
              <w:t xml:space="preserve">COM(2025) 649 </w:t>
            </w:r>
            <w:proofErr w:type="spellStart"/>
            <w:r>
              <w:t>final</w:t>
            </w:r>
            <w:proofErr w:type="spellEnd"/>
          </w:p>
          <w:p w14:paraId="002ECA16" w14:textId="7A871AFA" w:rsidR="004503DC" w:rsidRPr="004503DC" w:rsidRDefault="004503DC" w:rsidP="004503DC">
            <w:pPr>
              <w:tabs>
                <w:tab w:val="center" w:pos="284"/>
              </w:tabs>
              <w:overflowPunct w:val="0"/>
              <w:autoSpaceDE w:val="0"/>
              <w:autoSpaceDN w:val="0"/>
              <w:adjustRightInd w:val="0"/>
              <w:ind w:left="266" w:right="-3091" w:hanging="266"/>
              <w:textAlignment w:val="baseline"/>
            </w:pPr>
            <w:r>
              <w:t>EESC-2025-02613-00-00-AC</w:t>
            </w:r>
          </w:p>
        </w:tc>
      </w:tr>
    </w:tbl>
    <w:p w14:paraId="35706CBA"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p w14:paraId="3507DE8F"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rPr>
      </w:pPr>
      <w:r>
        <w:rPr>
          <w:b/>
        </w:rPr>
        <w:t>Galvenās nostādnes</w:t>
      </w:r>
    </w:p>
    <w:p w14:paraId="09F1D644"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lang w:val="en-GB"/>
        </w:rPr>
      </w:pPr>
    </w:p>
    <w:p w14:paraId="1DB598AA" w14:textId="77777777" w:rsidR="004503DC" w:rsidRDefault="004503DC" w:rsidP="004503DC">
      <w:pPr>
        <w:overflowPunct w:val="0"/>
        <w:autoSpaceDE w:val="0"/>
        <w:autoSpaceDN w:val="0"/>
        <w:adjustRightInd w:val="0"/>
        <w:textAlignment w:val="baseline"/>
        <w:rPr>
          <w:bCs/>
          <w:iCs/>
        </w:rPr>
      </w:pPr>
      <w:r>
        <w:t>EESK:</w:t>
      </w:r>
    </w:p>
    <w:p w14:paraId="446A35DC" w14:textId="77777777" w:rsidR="00F733BE" w:rsidRPr="004503DC" w:rsidRDefault="00F733BE" w:rsidP="004503DC">
      <w:pPr>
        <w:overflowPunct w:val="0"/>
        <w:autoSpaceDE w:val="0"/>
        <w:autoSpaceDN w:val="0"/>
        <w:adjustRightInd w:val="0"/>
        <w:textAlignment w:val="baseline"/>
        <w:rPr>
          <w:bCs/>
          <w:iCs/>
          <w:lang w:val="en-GB"/>
        </w:rPr>
      </w:pPr>
    </w:p>
    <w:p w14:paraId="5AAE80CE"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atkārtoti pauž solidaritāti ar Ukrainas tautu un atgādina, ka Krievijas agresijas pret Ukrainu dēļ miljoniem ukraiņu bija jābēg no briesmām, un uzsver pilsoniskās sabiedrības organizāciju lomu laikā, kad no Ukrainas ieradās vislielākais pārvietoto cilvēku skaits;</w:t>
      </w:r>
    </w:p>
    <w:p w14:paraId="739050E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norāda, ka pagaidu aizsardzība ir izrādījies no Ukrainas pārvietotajām personām labvēlīgs risinājums. Tajā pašā laikā joprojām nepastāv nosacījumi, lai viņi varētu atgriezties Ukrainā, jo tur turpinās Krievijas agresija, un atzinīgi vērtē lēmumu pagarināt pagaidu aizsardzību;</w:t>
      </w:r>
    </w:p>
    <w:p w14:paraId="027B8CC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uzsver, ka cilvēkiem, kuriem piešķirta pagaidu aizsardzība, ir nepieciešama ilgtermiņa perspektīva, un aicina Eiropas Komisiju un dalībvalstis rīkoties, lai atvieglotu pāreju uz pastāvīgāku uzturēšanās pamatu un pakāpenisku atteikšanos no pagaidu aizsardzības;</w:t>
      </w:r>
    </w:p>
    <w:p w14:paraId="58D36077"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norāda, ka situācija, kas izriet no ukraiņu ierašanās ES, ir palielinājusi spiedienu uz dalībvalstu sabiedrisko pakalpojumu sistēmām un uzsver, ka jāpalielina investīcijas kvalitatīvos vispārējas nozīmes pakalpojumos, tostarp mājokļos, un tiem jābūt vienlīdzīgi pieejamiem visiem cilvēkiem, kuri likumīgi uzturas ES;</w:t>
      </w:r>
    </w:p>
    <w:p w14:paraId="40289059"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pPr>
      <w:r>
        <w:t xml:space="preserve">atzīmē, ka būtu jācenšas nodrošināt ukraiņu sekmīgu integrāciju Eiropas Savienībā, atbalstot </w:t>
      </w:r>
      <w:proofErr w:type="spellStart"/>
      <w:r>
        <w:t>uzņēmējvalstu</w:t>
      </w:r>
      <w:proofErr w:type="spellEnd"/>
      <w:r>
        <w:t xml:space="preserve"> valodu apguvi, vietējās kopienas iniciatīvas, ukraiņu bērnu izglītošanu dalībvalstīs, kā arī apkarojot dezinformāciju un Krievijas izlūkošanas darbības un iesaistot cilvēkus organizācijās, kas darbojas viņu vietējās kopienās;</w:t>
      </w:r>
    </w:p>
    <w:p w14:paraId="6F366C03"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szCs w:val="20"/>
        </w:rPr>
      </w:pPr>
      <w:r>
        <w:t>norāda, ka ir svarīgi nodrošināt taisnīgus darba apstākļus ukraiņiem gan Eiropas Savienībā, gan Ukrainā. Tiek sagaidīts, ka dalībvalstis apkaros ekspluatāciju un nevienlīdzīgu attieksmi pret ukraiņiem nodarbinātības jomā, savukārt Ukrainas valdība, izmantojot dialogu ar sociālajiem partneriem, atjaunos darba ņēmējiem un arodbiedrību darbībai labvēlīgus risinājumus.</w:t>
      </w:r>
    </w:p>
    <w:p w14:paraId="15DAAC73" w14:textId="77777777" w:rsidR="004503DC" w:rsidRPr="004503DC" w:rsidRDefault="004503DC" w:rsidP="004503DC">
      <w:pPr>
        <w:widowControl w:val="0"/>
        <w:overflowPunct w:val="0"/>
        <w:autoSpaceDE w:val="0"/>
        <w:autoSpaceDN w:val="0"/>
        <w:adjustRightInd w:val="0"/>
        <w:ind w:left="709"/>
        <w:textAlignment w:val="baseline"/>
        <w:rPr>
          <w:szCs w:val="20"/>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4503DC" w14:paraId="0C28C241" w14:textId="77777777" w:rsidTr="00C201AB">
        <w:tc>
          <w:tcPr>
            <w:tcW w:w="1077" w:type="pct"/>
          </w:tcPr>
          <w:p w14:paraId="011666E9" w14:textId="77777777" w:rsidR="004503DC" w:rsidRPr="004503DC" w:rsidRDefault="004503DC" w:rsidP="004503DC">
            <w:pPr>
              <w:overflowPunct w:val="0"/>
              <w:autoSpaceDE w:val="0"/>
              <w:autoSpaceDN w:val="0"/>
              <w:adjustRightInd w:val="0"/>
              <w:textAlignment w:val="baseline"/>
              <w:rPr>
                <w:i/>
              </w:rPr>
            </w:pPr>
            <w:r>
              <w:rPr>
                <w:b/>
                <w:i/>
              </w:rPr>
              <w:t>Kontaktpersona:</w:t>
            </w:r>
          </w:p>
        </w:tc>
        <w:tc>
          <w:tcPr>
            <w:tcW w:w="3923" w:type="pct"/>
          </w:tcPr>
          <w:p w14:paraId="5376B5C9" w14:textId="1E39C147" w:rsidR="004503DC" w:rsidRPr="004503DC" w:rsidRDefault="004503DC" w:rsidP="004503DC">
            <w:pPr>
              <w:overflowPunct w:val="0"/>
              <w:autoSpaceDE w:val="0"/>
              <w:autoSpaceDN w:val="0"/>
              <w:adjustRightInd w:val="0"/>
              <w:textAlignment w:val="baseline"/>
              <w:rPr>
                <w:i/>
              </w:rPr>
            </w:pPr>
            <w:proofErr w:type="spellStart"/>
            <w:r>
              <w:rPr>
                <w:i/>
              </w:rPr>
              <w:t>Katarína</w:t>
            </w:r>
            <w:proofErr w:type="spellEnd"/>
            <w:r>
              <w:rPr>
                <w:i/>
              </w:rPr>
              <w:t xml:space="preserve"> </w:t>
            </w:r>
            <w:proofErr w:type="spellStart"/>
            <w:r>
              <w:rPr>
                <w:i/>
              </w:rPr>
              <w:t>Grzeszczyk</w:t>
            </w:r>
            <w:proofErr w:type="spellEnd"/>
            <w:r>
              <w:rPr>
                <w:i/>
              </w:rPr>
              <w:t xml:space="preserve"> </w:t>
            </w:r>
            <w:proofErr w:type="spellStart"/>
            <w:r>
              <w:rPr>
                <w:i/>
              </w:rPr>
              <w:t>Albrechtová</w:t>
            </w:r>
            <w:proofErr w:type="spellEnd"/>
          </w:p>
        </w:tc>
      </w:tr>
      <w:tr w:rsidR="004503DC" w:rsidRPr="004503DC" w14:paraId="3DF91CE1" w14:textId="77777777" w:rsidTr="00C201AB">
        <w:tc>
          <w:tcPr>
            <w:tcW w:w="1077" w:type="pct"/>
          </w:tcPr>
          <w:p w14:paraId="12B0FB94" w14:textId="77777777" w:rsidR="004503DC" w:rsidRPr="004503DC" w:rsidRDefault="004503DC" w:rsidP="004503DC">
            <w:pPr>
              <w:overflowPunct w:val="0"/>
              <w:autoSpaceDE w:val="0"/>
              <w:autoSpaceDN w:val="0"/>
              <w:adjustRightInd w:val="0"/>
              <w:textAlignment w:val="baseline"/>
              <w:rPr>
                <w:i/>
              </w:rPr>
            </w:pPr>
            <w:r>
              <w:rPr>
                <w:i/>
              </w:rPr>
              <w:t>Tālr.:</w:t>
            </w:r>
          </w:p>
        </w:tc>
        <w:tc>
          <w:tcPr>
            <w:tcW w:w="3923" w:type="pct"/>
          </w:tcPr>
          <w:p w14:paraId="2AB00694" w14:textId="77777777" w:rsidR="004503DC" w:rsidRPr="004503DC" w:rsidRDefault="004503DC" w:rsidP="004503DC">
            <w:pPr>
              <w:overflowPunct w:val="0"/>
              <w:autoSpaceDE w:val="0"/>
              <w:autoSpaceDN w:val="0"/>
              <w:adjustRightInd w:val="0"/>
              <w:textAlignment w:val="baseline"/>
              <w:rPr>
                <w:i/>
              </w:rPr>
            </w:pPr>
            <w:r>
              <w:rPr>
                <w:i/>
              </w:rPr>
              <w:t>+32 25469460</w:t>
            </w:r>
          </w:p>
        </w:tc>
      </w:tr>
      <w:tr w:rsidR="004503DC" w:rsidRPr="004503DC" w14:paraId="704DFCB6" w14:textId="77777777" w:rsidTr="00C201AB">
        <w:tc>
          <w:tcPr>
            <w:tcW w:w="1077" w:type="pct"/>
          </w:tcPr>
          <w:p w14:paraId="18D5B7A9" w14:textId="77777777" w:rsidR="004503DC" w:rsidRPr="004503DC" w:rsidRDefault="004503DC" w:rsidP="004503DC">
            <w:pPr>
              <w:overflowPunct w:val="0"/>
              <w:autoSpaceDE w:val="0"/>
              <w:autoSpaceDN w:val="0"/>
              <w:adjustRightInd w:val="0"/>
              <w:textAlignment w:val="baseline"/>
              <w:rPr>
                <w:i/>
              </w:rPr>
            </w:pPr>
            <w:r>
              <w:rPr>
                <w:i/>
              </w:rPr>
              <w:t>E-pasts:</w:t>
            </w:r>
          </w:p>
        </w:tc>
        <w:tc>
          <w:tcPr>
            <w:tcW w:w="3923" w:type="pct"/>
          </w:tcPr>
          <w:p w14:paraId="59F392A7" w14:textId="77777777" w:rsidR="004503DC" w:rsidRPr="004503DC" w:rsidRDefault="00E27DEE" w:rsidP="004503DC">
            <w:pPr>
              <w:overflowPunct w:val="0"/>
              <w:autoSpaceDE w:val="0"/>
              <w:autoSpaceDN w:val="0"/>
              <w:adjustRightInd w:val="0"/>
              <w:textAlignment w:val="baseline"/>
              <w:rPr>
                <w:i/>
              </w:rPr>
            </w:pPr>
            <w:hyperlink r:id="rId50" w:history="1">
              <w:r w:rsidR="00B9028C">
                <w:rPr>
                  <w:i/>
                  <w:color w:val="0000FF"/>
                  <w:u w:val="single"/>
                </w:rPr>
                <w:t>Katarina.Albrechtova@eesc.europa.eu</w:t>
              </w:r>
            </w:hyperlink>
            <w:r w:rsidR="00B9028C">
              <w:rPr>
                <w:i/>
              </w:rPr>
              <w:t xml:space="preserve"> </w:t>
            </w:r>
          </w:p>
        </w:tc>
      </w:tr>
    </w:tbl>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C913CA" w14:paraId="2C0E6338" w14:textId="77777777" w:rsidTr="00C201AB">
        <w:tc>
          <w:tcPr>
            <w:tcW w:w="1077" w:type="pct"/>
          </w:tcPr>
          <w:p w14:paraId="57EDC7A8" w14:textId="6955C181" w:rsidR="00C913CA" w:rsidRPr="00C913CA" w:rsidRDefault="00C913CA" w:rsidP="00C913CA">
            <w:pPr>
              <w:overflowPunct w:val="0"/>
              <w:autoSpaceDE w:val="0"/>
              <w:autoSpaceDN w:val="0"/>
              <w:adjustRightInd w:val="0"/>
              <w:textAlignment w:val="baseline"/>
              <w:rPr>
                <w:i/>
              </w:rPr>
            </w:pPr>
          </w:p>
        </w:tc>
        <w:tc>
          <w:tcPr>
            <w:tcW w:w="3923" w:type="pct"/>
          </w:tcPr>
          <w:p w14:paraId="5811559E" w14:textId="50EE8449" w:rsidR="00C913CA" w:rsidRPr="00C913CA" w:rsidRDefault="00C913CA" w:rsidP="00C913CA">
            <w:pPr>
              <w:overflowPunct w:val="0"/>
              <w:autoSpaceDE w:val="0"/>
              <w:autoSpaceDN w:val="0"/>
              <w:adjustRightInd w:val="0"/>
              <w:textAlignment w:val="baseline"/>
              <w:rPr>
                <w:i/>
              </w:rPr>
            </w:pPr>
          </w:p>
        </w:tc>
      </w:tr>
    </w:tbl>
    <w:p w14:paraId="4464305F" w14:textId="38E0F292" w:rsidR="004503DC" w:rsidRDefault="004503DC">
      <w:pPr>
        <w:spacing w:after="160" w:line="259" w:lineRule="auto"/>
        <w:jc w:val="left"/>
      </w:pPr>
    </w:p>
    <w:p w14:paraId="28C69286" w14:textId="77777777" w:rsidR="004503DC" w:rsidRDefault="004503DC">
      <w:pPr>
        <w:spacing w:after="160" w:line="259" w:lineRule="auto"/>
        <w:jc w:val="left"/>
      </w:pPr>
      <w:r>
        <w:br w:type="page"/>
      </w:r>
    </w:p>
    <w:p w14:paraId="528C73AA" w14:textId="46DE726B" w:rsidR="006D2C8A" w:rsidRPr="006D2C8A" w:rsidRDefault="006D2C8A" w:rsidP="006D2C8A">
      <w:pPr>
        <w:pStyle w:val="Heading1"/>
        <w:rPr>
          <w:b/>
        </w:rPr>
      </w:pPr>
      <w:bookmarkStart w:id="16" w:name="_Toc217287881"/>
      <w:r>
        <w:rPr>
          <w:b/>
          <w:color w:val="222A35" w:themeColor="text2" w:themeShade="80"/>
        </w:rPr>
        <w:lastRenderedPageBreak/>
        <w:t>RŪPNIECĪBAS PĀRMAIŅU KONSULTATĪVĀ KOMISIJA</w:t>
      </w:r>
      <w:bookmarkEnd w:id="16"/>
    </w:p>
    <w:p w14:paraId="713E272F" w14:textId="77777777" w:rsidR="006D2C8A" w:rsidRDefault="006D2C8A" w:rsidP="006D2C8A"/>
    <w:p w14:paraId="7383D97E" w14:textId="13359D4F" w:rsidR="00ED76AC" w:rsidRPr="00ED76AC" w:rsidRDefault="00E27DEE" w:rsidP="00ED76AC">
      <w:pPr>
        <w:widowControl w:val="0"/>
        <w:numPr>
          <w:ilvl w:val="0"/>
          <w:numId w:val="16"/>
        </w:numPr>
        <w:overflowPunct w:val="0"/>
        <w:autoSpaceDE w:val="0"/>
        <w:autoSpaceDN w:val="0"/>
        <w:adjustRightInd w:val="0"/>
        <w:ind w:hanging="567"/>
        <w:rPr>
          <w:sz w:val="20"/>
          <w:szCs w:val="20"/>
        </w:rPr>
      </w:pPr>
      <w:hyperlink r:id="rId51" w:history="1">
        <w:r w:rsidR="00B9028C">
          <w:rPr>
            <w:b/>
            <w:i/>
            <w:color w:val="0000FF"/>
            <w:sz w:val="28"/>
            <w:u w:val="single"/>
          </w:rPr>
          <w:t>Pastāvīgo materiālu potenciāla veicināšana ES aprites ekonomikā</w:t>
        </w:r>
      </w:hyperlink>
    </w:p>
    <w:p w14:paraId="243BA033" w14:textId="77777777" w:rsidR="00ED76AC" w:rsidRPr="00ED76AC" w:rsidRDefault="00ED76AC" w:rsidP="00ED76AC">
      <w:pPr>
        <w:widowControl w:val="0"/>
        <w:overflowPunct w:val="0"/>
        <w:autoSpaceDE w:val="0"/>
        <w:autoSpaceDN w:val="0"/>
        <w:adjustRightInd w:val="0"/>
        <w:ind w:left="567"/>
        <w:rPr>
          <w:sz w:val="20"/>
          <w:szCs w:val="20"/>
          <w:lang w:val="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ED76AC" w14:paraId="3E004ABC" w14:textId="77777777">
        <w:tc>
          <w:tcPr>
            <w:tcW w:w="1077" w:type="pct"/>
            <w:hideMark/>
          </w:tcPr>
          <w:p w14:paraId="1E7D8DE2" w14:textId="77777777" w:rsidR="00ED76AC" w:rsidRPr="00ED76AC" w:rsidRDefault="00ED76AC" w:rsidP="00ED76AC">
            <w:pPr>
              <w:tabs>
                <w:tab w:val="center" w:pos="284"/>
              </w:tabs>
              <w:overflowPunct w:val="0"/>
              <w:autoSpaceDE w:val="0"/>
              <w:autoSpaceDN w:val="0"/>
              <w:adjustRightInd w:val="0"/>
              <w:ind w:left="266" w:hanging="266"/>
              <w:rPr>
                <w:b/>
              </w:rPr>
            </w:pPr>
            <w:r>
              <w:rPr>
                <w:b/>
              </w:rPr>
              <w:t>Ziņotājs</w:t>
            </w:r>
          </w:p>
        </w:tc>
        <w:tc>
          <w:tcPr>
            <w:tcW w:w="3923" w:type="pct"/>
            <w:hideMark/>
          </w:tcPr>
          <w:p w14:paraId="51B8EA45" w14:textId="77777777" w:rsidR="00ED76AC" w:rsidRPr="00ED76AC" w:rsidRDefault="00ED76AC" w:rsidP="00ED76AC">
            <w:pPr>
              <w:tabs>
                <w:tab w:val="center" w:pos="284"/>
              </w:tabs>
              <w:overflowPunct w:val="0"/>
              <w:autoSpaceDE w:val="0"/>
              <w:autoSpaceDN w:val="0"/>
              <w:adjustRightInd w:val="0"/>
              <w:ind w:left="266" w:right="-3091" w:hanging="266"/>
            </w:pPr>
            <w:proofErr w:type="spellStart"/>
            <w:r>
              <w:t>Andrea</w:t>
            </w:r>
            <w:proofErr w:type="spellEnd"/>
            <w:r>
              <w:t> MONE (Darba ņēmēju grupa – IT)</w:t>
            </w:r>
          </w:p>
        </w:tc>
      </w:tr>
      <w:tr w:rsidR="00ED76AC" w:rsidRPr="00ED76AC" w14:paraId="21F71A9D" w14:textId="77777777">
        <w:tc>
          <w:tcPr>
            <w:tcW w:w="1077" w:type="pct"/>
            <w:hideMark/>
          </w:tcPr>
          <w:p w14:paraId="2C3FD6D4" w14:textId="77777777" w:rsidR="00ED76AC" w:rsidRPr="00ED76AC" w:rsidRDefault="00ED76AC" w:rsidP="00ED76AC">
            <w:pPr>
              <w:tabs>
                <w:tab w:val="center" w:pos="284"/>
              </w:tabs>
              <w:overflowPunct w:val="0"/>
              <w:autoSpaceDE w:val="0"/>
              <w:autoSpaceDN w:val="0"/>
              <w:adjustRightInd w:val="0"/>
              <w:ind w:left="266" w:hanging="266"/>
              <w:rPr>
                <w:b/>
              </w:rPr>
            </w:pPr>
            <w:r>
              <w:rPr>
                <w:b/>
              </w:rPr>
              <w:t>Līdzziņotājs</w:t>
            </w:r>
          </w:p>
        </w:tc>
        <w:tc>
          <w:tcPr>
            <w:tcW w:w="3923" w:type="pct"/>
            <w:hideMark/>
          </w:tcPr>
          <w:p w14:paraId="1CE8569E" w14:textId="77777777" w:rsidR="00ED76AC" w:rsidRDefault="00ED76AC" w:rsidP="00ED76AC">
            <w:pPr>
              <w:tabs>
                <w:tab w:val="center" w:pos="284"/>
              </w:tabs>
              <w:overflowPunct w:val="0"/>
              <w:autoSpaceDE w:val="0"/>
              <w:autoSpaceDN w:val="0"/>
              <w:adjustRightInd w:val="0"/>
              <w:ind w:left="266" w:right="-3091" w:hanging="266"/>
            </w:pPr>
            <w:proofErr w:type="spellStart"/>
            <w:r>
              <w:t>Michal</w:t>
            </w:r>
            <w:proofErr w:type="spellEnd"/>
            <w:r>
              <w:t xml:space="preserve"> PINTÉR (Darba devēju grupa – SK)</w:t>
            </w:r>
          </w:p>
          <w:p w14:paraId="28215643" w14:textId="77777777" w:rsidR="00707689" w:rsidRPr="00ED76AC" w:rsidRDefault="00707689" w:rsidP="00ED76AC">
            <w:pPr>
              <w:tabs>
                <w:tab w:val="center" w:pos="284"/>
              </w:tabs>
              <w:overflowPunct w:val="0"/>
              <w:autoSpaceDE w:val="0"/>
              <w:autoSpaceDN w:val="0"/>
              <w:adjustRightInd w:val="0"/>
              <w:ind w:left="266" w:right="-3091" w:hanging="266"/>
            </w:pPr>
          </w:p>
        </w:tc>
      </w:tr>
      <w:tr w:rsidR="00ED76AC" w:rsidRPr="00ED76AC" w14:paraId="19833206" w14:textId="77777777">
        <w:tc>
          <w:tcPr>
            <w:tcW w:w="1077" w:type="pct"/>
            <w:hideMark/>
          </w:tcPr>
          <w:p w14:paraId="1FC4BD72" w14:textId="77777777" w:rsidR="00ED76AC" w:rsidRPr="00ED76AC" w:rsidRDefault="00ED76AC" w:rsidP="00ED76AC">
            <w:pPr>
              <w:tabs>
                <w:tab w:val="center" w:pos="284"/>
              </w:tabs>
              <w:overflowPunct w:val="0"/>
              <w:autoSpaceDE w:val="0"/>
              <w:autoSpaceDN w:val="0"/>
              <w:adjustRightInd w:val="0"/>
              <w:ind w:left="266" w:hanging="266"/>
              <w:rPr>
                <w:b/>
              </w:rPr>
            </w:pPr>
            <w:r>
              <w:rPr>
                <w:b/>
              </w:rPr>
              <w:t>Atsauces</w:t>
            </w:r>
          </w:p>
        </w:tc>
        <w:tc>
          <w:tcPr>
            <w:tcW w:w="3923" w:type="pct"/>
            <w:hideMark/>
          </w:tcPr>
          <w:p w14:paraId="340633E9" w14:textId="2162F333" w:rsidR="00707689" w:rsidRDefault="00707689" w:rsidP="00ED76AC">
            <w:pPr>
              <w:tabs>
                <w:tab w:val="center" w:pos="284"/>
              </w:tabs>
              <w:overflowPunct w:val="0"/>
              <w:autoSpaceDE w:val="0"/>
              <w:autoSpaceDN w:val="0"/>
              <w:adjustRightInd w:val="0"/>
              <w:ind w:left="266" w:right="-3091" w:hanging="266"/>
            </w:pPr>
            <w:r>
              <w:t>Pašiniciatīvas atzinums</w:t>
            </w:r>
          </w:p>
          <w:p w14:paraId="59A49208" w14:textId="5D1970B8" w:rsidR="00ED76AC" w:rsidRPr="00ED76AC" w:rsidRDefault="00ED76AC" w:rsidP="00ED76AC">
            <w:pPr>
              <w:tabs>
                <w:tab w:val="center" w:pos="284"/>
              </w:tabs>
              <w:overflowPunct w:val="0"/>
              <w:autoSpaceDE w:val="0"/>
              <w:autoSpaceDN w:val="0"/>
              <w:adjustRightInd w:val="0"/>
              <w:ind w:left="266" w:right="-3091" w:hanging="266"/>
            </w:pPr>
            <w:r>
              <w:t>EESC-2025-02364-00-00-AC</w:t>
            </w:r>
          </w:p>
        </w:tc>
      </w:tr>
    </w:tbl>
    <w:p w14:paraId="5922BFFC" w14:textId="77777777" w:rsidR="00ED76AC" w:rsidRPr="00ED76AC" w:rsidRDefault="00ED76AC" w:rsidP="00ED76AC">
      <w:pPr>
        <w:tabs>
          <w:tab w:val="center" w:pos="284"/>
        </w:tabs>
        <w:overflowPunct w:val="0"/>
        <w:autoSpaceDE w:val="0"/>
        <w:autoSpaceDN w:val="0"/>
        <w:adjustRightInd w:val="0"/>
        <w:ind w:left="266" w:hanging="266"/>
        <w:rPr>
          <w:b/>
          <w:lang w:val="en-GB"/>
        </w:rPr>
      </w:pPr>
    </w:p>
    <w:p w14:paraId="252BFC0B" w14:textId="77777777" w:rsidR="00ED76AC" w:rsidRPr="00ED76AC" w:rsidRDefault="00ED76AC" w:rsidP="00ED76AC">
      <w:pPr>
        <w:keepNext/>
        <w:keepLines/>
        <w:tabs>
          <w:tab w:val="center" w:pos="284"/>
        </w:tabs>
        <w:overflowPunct w:val="0"/>
        <w:autoSpaceDE w:val="0"/>
        <w:autoSpaceDN w:val="0"/>
        <w:adjustRightInd w:val="0"/>
        <w:ind w:left="266" w:hanging="266"/>
        <w:rPr>
          <w:b/>
        </w:rPr>
      </w:pPr>
      <w:r>
        <w:rPr>
          <w:b/>
        </w:rPr>
        <w:t>Galvenās nostādnes</w:t>
      </w:r>
    </w:p>
    <w:p w14:paraId="2370EF24" w14:textId="77777777" w:rsidR="00ED76AC" w:rsidRPr="00ED76AC" w:rsidRDefault="00ED76AC" w:rsidP="00ED76AC">
      <w:pPr>
        <w:keepNext/>
        <w:keepLines/>
        <w:tabs>
          <w:tab w:val="center" w:pos="284"/>
        </w:tabs>
        <w:overflowPunct w:val="0"/>
        <w:autoSpaceDE w:val="0"/>
        <w:autoSpaceDN w:val="0"/>
        <w:adjustRightInd w:val="0"/>
        <w:ind w:left="266" w:hanging="266"/>
        <w:rPr>
          <w:b/>
          <w:lang w:val="en-GB"/>
        </w:rPr>
      </w:pPr>
    </w:p>
    <w:p w14:paraId="3E92F3F2" w14:textId="77777777" w:rsidR="00ED76AC" w:rsidRPr="00ED76AC" w:rsidRDefault="00ED76AC" w:rsidP="00ED76AC">
      <w:pPr>
        <w:overflowPunct w:val="0"/>
        <w:autoSpaceDE w:val="0"/>
        <w:autoSpaceDN w:val="0"/>
        <w:adjustRightInd w:val="0"/>
        <w:rPr>
          <w:bCs/>
          <w:iCs/>
        </w:rPr>
      </w:pPr>
      <w:r>
        <w:t>EESK:</w:t>
      </w:r>
    </w:p>
    <w:p w14:paraId="26A569C6" w14:textId="77777777" w:rsidR="00ED76AC" w:rsidRPr="00ED76AC" w:rsidRDefault="00ED76AC" w:rsidP="00054C58">
      <w:pPr>
        <w:numPr>
          <w:ilvl w:val="0"/>
          <w:numId w:val="34"/>
        </w:numPr>
        <w:overflowPunct w:val="0"/>
        <w:autoSpaceDE w:val="0"/>
        <w:autoSpaceDN w:val="0"/>
        <w:adjustRightInd w:val="0"/>
        <w:ind w:left="284" w:hanging="284"/>
      </w:pPr>
      <w:r>
        <w:rPr>
          <w:b/>
          <w:bCs/>
        </w:rPr>
        <w:t>atzīst pastāvīgo materiālu izšķirošo nozīmi</w:t>
      </w:r>
      <w:r>
        <w:t xml:space="preserve"> patiesas aprites ekonomikas nodrošināšanā, it īpaši iepakojuma jomā, un aicina tos </w:t>
      </w:r>
      <w:r>
        <w:rPr>
          <w:b/>
          <w:bCs/>
        </w:rPr>
        <w:t>skaidri atzīt ES tiesību aktos</w:t>
      </w:r>
      <w:r>
        <w:t>;</w:t>
      </w:r>
    </w:p>
    <w:p w14:paraId="32D7A91F" w14:textId="77777777" w:rsidR="00ED76AC" w:rsidRPr="00ED76AC" w:rsidRDefault="00ED76AC" w:rsidP="00054C58">
      <w:pPr>
        <w:numPr>
          <w:ilvl w:val="0"/>
          <w:numId w:val="34"/>
        </w:numPr>
        <w:overflowPunct w:val="0"/>
        <w:autoSpaceDE w:val="0"/>
        <w:autoSpaceDN w:val="0"/>
        <w:adjustRightInd w:val="0"/>
        <w:ind w:left="284" w:hanging="284"/>
      </w:pPr>
      <w:r>
        <w:t xml:space="preserve">atbalsta </w:t>
      </w:r>
      <w:r>
        <w:rPr>
          <w:b/>
          <w:bCs/>
        </w:rPr>
        <w:t>ES ieceri līdz 2030. gadam sasniegt 90 % dalītās iepakojuma atkritumu savākšanas mērķrādītāju</w:t>
      </w:r>
      <w:r>
        <w:t>, uzsverot, ka progresīvas un labi finansētas savākšanas, šķirošanas un kvalitatīvas reciklēšanas sistēmas ir būtiskas, lai maksimāli palielinātu materiālu saglabāšanu un nodrošinātu pastāvīgu materiālu slēgta cikla reciklēšanu;</w:t>
      </w:r>
    </w:p>
    <w:p w14:paraId="167FDC16" w14:textId="77777777" w:rsidR="00ED76AC" w:rsidRPr="00ED76AC" w:rsidRDefault="00ED76AC" w:rsidP="00054C58">
      <w:pPr>
        <w:numPr>
          <w:ilvl w:val="0"/>
          <w:numId w:val="34"/>
        </w:numPr>
        <w:overflowPunct w:val="0"/>
        <w:autoSpaceDE w:val="0"/>
        <w:autoSpaceDN w:val="0"/>
        <w:adjustRightInd w:val="0"/>
        <w:ind w:left="284" w:hanging="284"/>
      </w:pPr>
      <w:r>
        <w:rPr>
          <w:b/>
          <w:bCs/>
        </w:rPr>
        <w:t xml:space="preserve">aicina </w:t>
      </w:r>
      <w:r>
        <w:t xml:space="preserve">ES dalībvalstīs </w:t>
      </w:r>
      <w:r>
        <w:rPr>
          <w:b/>
        </w:rPr>
        <w:t>stiprināt un saskaņot paplašinātas ražotāja atbildības shēmas</w:t>
      </w:r>
      <w:r>
        <w:t xml:space="preserve">. Tas ietver </w:t>
      </w:r>
      <w:proofErr w:type="spellStart"/>
      <w:r>
        <w:rPr>
          <w:b/>
          <w:bCs/>
        </w:rPr>
        <w:t>ekomodulētu</w:t>
      </w:r>
      <w:proofErr w:type="spellEnd"/>
      <w:r>
        <w:rPr>
          <w:b/>
          <w:bCs/>
        </w:rPr>
        <w:t xml:space="preserve"> maksu piemērošanu, pamatojoties uz pārredzamiem un konsekventiem kritērijiem</w:t>
      </w:r>
      <w:r>
        <w:t xml:space="preserve">, samērīgu maksu struktūru un </w:t>
      </w:r>
      <w:r>
        <w:rPr>
          <w:b/>
          <w:bCs/>
        </w:rPr>
        <w:t>paplašinātas ražotāja atbildības radītu ieņēmumu iezīmēšanu</w:t>
      </w:r>
      <w:r>
        <w:t xml:space="preserve"> atkārtotiem ieguldījumiem tajā pašā materiālu plūsmā;</w:t>
      </w:r>
    </w:p>
    <w:p w14:paraId="422AF8F5" w14:textId="77777777" w:rsidR="00ED76AC" w:rsidRPr="00ED76AC" w:rsidRDefault="00ED76AC" w:rsidP="00054C58">
      <w:pPr>
        <w:numPr>
          <w:ilvl w:val="0"/>
          <w:numId w:val="34"/>
        </w:numPr>
        <w:overflowPunct w:val="0"/>
        <w:autoSpaceDE w:val="0"/>
        <w:autoSpaceDN w:val="0"/>
        <w:adjustRightInd w:val="0"/>
        <w:ind w:left="284" w:hanging="284"/>
      </w:pPr>
      <w:r>
        <w:rPr>
          <w:b/>
        </w:rPr>
        <w:t>norāda, ka par prioritāti jānosaka ieguldījumi</w:t>
      </w:r>
      <w:r>
        <w:t xml:space="preserve"> mūsdienīgā infrastruktūrā iepakojuma atkritumu dalītai savākšanai, šķirošanai un </w:t>
      </w:r>
      <w:proofErr w:type="spellStart"/>
      <w:r>
        <w:t>reciklēšanai</w:t>
      </w:r>
      <w:proofErr w:type="spellEnd"/>
      <w:r>
        <w:t xml:space="preserve">. Komiteja uzsver, ka </w:t>
      </w:r>
      <w:r>
        <w:rPr>
          <w:b/>
          <w:bCs/>
        </w:rPr>
        <w:t>papildu atbalsts būtu jākoncentrē uz reģioniem ar zemākiem rādītājiem un reģioniem ar ierobežotām investīciju spējām</w:t>
      </w:r>
      <w:r>
        <w:t>, nodrošinot, ka visas dalībvalstis var sasniegt aprites ekonomikas mērķus;</w:t>
      </w:r>
    </w:p>
    <w:p w14:paraId="059D94FE" w14:textId="77777777" w:rsidR="00ED76AC" w:rsidRPr="00ED76AC" w:rsidRDefault="00ED76AC" w:rsidP="00054C58">
      <w:pPr>
        <w:numPr>
          <w:ilvl w:val="0"/>
          <w:numId w:val="34"/>
        </w:numPr>
        <w:overflowPunct w:val="0"/>
        <w:autoSpaceDE w:val="0"/>
        <w:autoSpaceDN w:val="0"/>
        <w:adjustRightInd w:val="0"/>
        <w:ind w:left="284" w:hanging="284"/>
      </w:pPr>
      <w:r>
        <w:rPr>
          <w:b/>
          <w:bCs/>
        </w:rPr>
        <w:t>iesaka veikt visaptverošu ES mēroga novērtējumu par iedzīvotāju reciklēšanas paradumiem</w:t>
      </w:r>
      <w:r>
        <w:t>, lai apzinātu trūkumus, šķēršļus un paraugpraksi. Pamatojoties uz šādu novērtējumu, EESK aicina veikt pasākumus, lai stiprinātu patērētāju līdzdalību iepakojuma atkritumu dalītajā savākšanā, atzīstot, ka šķirošana mājsaimniecībās ir svarīgais pirmais solis mājsaimniecību radīto atkritumu reciklēšanas procesā;</w:t>
      </w:r>
    </w:p>
    <w:p w14:paraId="09697A6A" w14:textId="77777777" w:rsidR="00ED76AC" w:rsidRPr="00ED76AC" w:rsidRDefault="00ED76AC" w:rsidP="00054C58">
      <w:pPr>
        <w:numPr>
          <w:ilvl w:val="0"/>
          <w:numId w:val="34"/>
        </w:numPr>
        <w:overflowPunct w:val="0"/>
        <w:autoSpaceDE w:val="0"/>
        <w:autoSpaceDN w:val="0"/>
        <w:adjustRightInd w:val="0"/>
        <w:ind w:left="284" w:hanging="284"/>
      </w:pPr>
      <w:r>
        <w:rPr>
          <w:b/>
          <w:bCs/>
        </w:rPr>
        <w:t>norāda, ka svarīga ir sociāli ilgtspējīga pārkārtošanās</w:t>
      </w:r>
      <w:r>
        <w:t xml:space="preserve"> uz aprites ekonomiku, un mudina savlaicīgi prognozēt ietekmi uz darba tirgu. Komiteja aicina garantēt piekļuvi </w:t>
      </w:r>
      <w:r>
        <w:rPr>
          <w:b/>
          <w:bCs/>
        </w:rPr>
        <w:t>prasmju pilnveides un pārkvalifikācijas iespējām</w:t>
      </w:r>
      <w:r>
        <w:t>, lai atbalstītu netraucētu pāreju no vienas darbavietas uz citu un lai darba ņēmēji varētu pilnībā piedalīties jaunajā aprites ekonomikā un gūt no tās labumu;</w:t>
      </w:r>
    </w:p>
    <w:p w14:paraId="2E89F971" w14:textId="77777777" w:rsidR="00ED76AC" w:rsidRPr="00ED76AC" w:rsidRDefault="00ED76AC" w:rsidP="00054C58">
      <w:pPr>
        <w:numPr>
          <w:ilvl w:val="0"/>
          <w:numId w:val="34"/>
        </w:numPr>
        <w:overflowPunct w:val="0"/>
        <w:autoSpaceDE w:val="0"/>
        <w:autoSpaceDN w:val="0"/>
        <w:adjustRightInd w:val="0"/>
        <w:ind w:left="284" w:hanging="284"/>
      </w:pPr>
      <w:r>
        <w:rPr>
          <w:b/>
          <w:bCs/>
        </w:rPr>
        <w:t>iestājas par spēcīgāku sociālo dialogu un koplīguma sarunām visos līmeņos</w:t>
      </w:r>
      <w:r>
        <w:t xml:space="preserve">, tostarp uzņēmumos, lai nodrošinātu, ka darba ņēmēji tiek informēti, ar viņiem apspriežas un viņi tiek iesaistīti pārejā uz </w:t>
      </w:r>
      <w:proofErr w:type="spellStart"/>
      <w:r>
        <w:t>apritīgiem</w:t>
      </w:r>
      <w:proofErr w:type="spellEnd"/>
      <w:r>
        <w:t xml:space="preserve"> uzņēmējdarbības modeļiem.</w:t>
      </w:r>
    </w:p>
    <w:p w14:paraId="7E334215" w14:textId="77777777" w:rsidR="00ED76AC" w:rsidRPr="00ED76AC" w:rsidRDefault="00ED76AC" w:rsidP="001307DF">
      <w:pPr>
        <w:ind w:left="284" w:hanging="284"/>
        <w:rPr>
          <w:lang w:val="en-GB" w:eastAsia="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ED76AC" w14:paraId="412ADC26" w14:textId="77777777">
        <w:tc>
          <w:tcPr>
            <w:tcW w:w="1077" w:type="pct"/>
            <w:hideMark/>
          </w:tcPr>
          <w:p w14:paraId="0F7B1E43" w14:textId="77777777" w:rsidR="00ED76AC" w:rsidRPr="00ED76AC" w:rsidRDefault="00ED76AC" w:rsidP="00ED76AC">
            <w:pPr>
              <w:overflowPunct w:val="0"/>
              <w:autoSpaceDE w:val="0"/>
              <w:autoSpaceDN w:val="0"/>
              <w:adjustRightInd w:val="0"/>
              <w:rPr>
                <w:i/>
              </w:rPr>
            </w:pPr>
            <w:r>
              <w:rPr>
                <w:b/>
                <w:i/>
              </w:rPr>
              <w:t>Kontaktpersona:</w:t>
            </w:r>
          </w:p>
        </w:tc>
        <w:tc>
          <w:tcPr>
            <w:tcW w:w="3923" w:type="pct"/>
            <w:hideMark/>
          </w:tcPr>
          <w:p w14:paraId="0144A2EC" w14:textId="10811451" w:rsidR="00ED76AC" w:rsidRPr="00ED76AC" w:rsidRDefault="00ED76AC" w:rsidP="00ED76AC">
            <w:pPr>
              <w:overflowPunct w:val="0"/>
              <w:autoSpaceDE w:val="0"/>
              <w:autoSpaceDN w:val="0"/>
              <w:adjustRightInd w:val="0"/>
              <w:rPr>
                <w:i/>
              </w:rPr>
            </w:pPr>
            <w:r>
              <w:rPr>
                <w:i/>
              </w:rPr>
              <w:t xml:space="preserve">Adam </w:t>
            </w:r>
            <w:proofErr w:type="spellStart"/>
            <w:r>
              <w:rPr>
                <w:i/>
              </w:rPr>
              <w:t>Dorywalski</w:t>
            </w:r>
            <w:proofErr w:type="spellEnd"/>
          </w:p>
        </w:tc>
      </w:tr>
      <w:tr w:rsidR="00ED76AC" w:rsidRPr="00ED76AC" w14:paraId="7414D71C" w14:textId="77777777">
        <w:tc>
          <w:tcPr>
            <w:tcW w:w="1077" w:type="pct"/>
            <w:hideMark/>
          </w:tcPr>
          <w:p w14:paraId="244C8249" w14:textId="77777777" w:rsidR="00ED76AC" w:rsidRPr="00ED76AC" w:rsidRDefault="00ED76AC" w:rsidP="00ED76AC">
            <w:pPr>
              <w:overflowPunct w:val="0"/>
              <w:autoSpaceDE w:val="0"/>
              <w:autoSpaceDN w:val="0"/>
              <w:adjustRightInd w:val="0"/>
              <w:rPr>
                <w:i/>
              </w:rPr>
            </w:pPr>
            <w:r>
              <w:rPr>
                <w:i/>
              </w:rPr>
              <w:t>Tālr.:</w:t>
            </w:r>
          </w:p>
        </w:tc>
        <w:tc>
          <w:tcPr>
            <w:tcW w:w="3923" w:type="pct"/>
            <w:hideMark/>
          </w:tcPr>
          <w:p w14:paraId="262EFFB7" w14:textId="66B13D8A" w:rsidR="00ED76AC" w:rsidRPr="00ED76AC" w:rsidRDefault="00ED76AC" w:rsidP="00ED76AC">
            <w:pPr>
              <w:overflowPunct w:val="0"/>
              <w:autoSpaceDE w:val="0"/>
              <w:autoSpaceDN w:val="0"/>
              <w:adjustRightInd w:val="0"/>
              <w:rPr>
                <w:i/>
              </w:rPr>
            </w:pPr>
            <w:r>
              <w:rPr>
                <w:i/>
              </w:rPr>
              <w:t>+32 25469397</w:t>
            </w:r>
          </w:p>
        </w:tc>
      </w:tr>
      <w:tr w:rsidR="00ED76AC" w:rsidRPr="00ED76AC" w14:paraId="760698CC" w14:textId="77777777">
        <w:tc>
          <w:tcPr>
            <w:tcW w:w="1077" w:type="pct"/>
            <w:hideMark/>
          </w:tcPr>
          <w:p w14:paraId="5E8D3FE3" w14:textId="77777777" w:rsidR="00ED76AC" w:rsidRPr="00ED76AC" w:rsidRDefault="00ED76AC" w:rsidP="00ED76AC">
            <w:pPr>
              <w:overflowPunct w:val="0"/>
              <w:autoSpaceDE w:val="0"/>
              <w:autoSpaceDN w:val="0"/>
              <w:adjustRightInd w:val="0"/>
              <w:rPr>
                <w:i/>
              </w:rPr>
            </w:pPr>
            <w:r>
              <w:rPr>
                <w:i/>
              </w:rPr>
              <w:t>E-pasts:</w:t>
            </w:r>
          </w:p>
        </w:tc>
        <w:tc>
          <w:tcPr>
            <w:tcW w:w="3923" w:type="pct"/>
            <w:hideMark/>
          </w:tcPr>
          <w:p w14:paraId="6BD8C4E6" w14:textId="77777777" w:rsidR="00ED76AC" w:rsidRPr="00ED76AC" w:rsidRDefault="00E27DEE" w:rsidP="00ED76AC">
            <w:pPr>
              <w:overflowPunct w:val="0"/>
              <w:autoSpaceDE w:val="0"/>
              <w:autoSpaceDN w:val="0"/>
              <w:adjustRightInd w:val="0"/>
              <w:rPr>
                <w:i/>
              </w:rPr>
            </w:pPr>
            <w:hyperlink r:id="rId52" w:history="1">
              <w:r w:rsidR="00B9028C">
                <w:rPr>
                  <w:i/>
                  <w:color w:val="0000FF"/>
                  <w:u w:val="single"/>
                </w:rPr>
                <w:t>Adam.Dorywalski@eesc.europa.eu</w:t>
              </w:r>
            </w:hyperlink>
          </w:p>
        </w:tc>
      </w:tr>
    </w:tbl>
    <w:p w14:paraId="0FA13A3E" w14:textId="309D4ADD" w:rsidR="00ED76AC" w:rsidRDefault="00ED76AC" w:rsidP="006D2C8A">
      <w:pPr>
        <w:spacing w:after="160" w:line="259" w:lineRule="auto"/>
        <w:jc w:val="left"/>
      </w:pPr>
    </w:p>
    <w:p w14:paraId="1D4DBE8E" w14:textId="77777777" w:rsidR="00ED76AC" w:rsidRDefault="00ED76AC">
      <w:pPr>
        <w:spacing w:after="160" w:line="259" w:lineRule="auto"/>
        <w:jc w:val="left"/>
      </w:pPr>
      <w:r>
        <w:br w:type="page"/>
      </w:r>
    </w:p>
    <w:p w14:paraId="1EC58FCD" w14:textId="735BFB6C" w:rsidR="009F1AE3" w:rsidRPr="009F1AE3" w:rsidRDefault="00E27DEE" w:rsidP="009F1AE3">
      <w:pPr>
        <w:widowControl w:val="0"/>
        <w:numPr>
          <w:ilvl w:val="0"/>
          <w:numId w:val="4"/>
        </w:numPr>
        <w:overflowPunct w:val="0"/>
        <w:autoSpaceDE w:val="0"/>
        <w:autoSpaceDN w:val="0"/>
        <w:adjustRightInd w:val="0"/>
        <w:ind w:hanging="567"/>
        <w:textAlignment w:val="baseline"/>
        <w:rPr>
          <w:sz w:val="20"/>
          <w:szCs w:val="20"/>
        </w:rPr>
      </w:pPr>
      <w:hyperlink r:id="rId53" w:history="1">
        <w:r w:rsidR="009F1AE3">
          <w:rPr>
            <w:b/>
            <w:i/>
            <w:color w:val="0000FF"/>
            <w:sz w:val="28"/>
            <w:u w:val="single"/>
          </w:rPr>
          <w:t>Rūpniecības kooperatīvi: instruments iekļaujošas un ilgtspējīgas konkurētspējas problēmu risināšanai</w:t>
        </w:r>
      </w:hyperlink>
      <w:r w:rsidR="009F1AE3">
        <w:rPr>
          <w:b/>
          <w:i/>
          <w:sz w:val="28"/>
        </w:rPr>
        <w:t xml:space="preserve"> </w:t>
      </w:r>
    </w:p>
    <w:p w14:paraId="1C2A6159"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9F1AE3" w14:paraId="0D01F4D7" w14:textId="77777777" w:rsidTr="007C5DD5">
        <w:tc>
          <w:tcPr>
            <w:tcW w:w="1077" w:type="pct"/>
          </w:tcPr>
          <w:p w14:paraId="20E55DD0"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Ziņotājs</w:t>
            </w:r>
          </w:p>
        </w:tc>
        <w:tc>
          <w:tcPr>
            <w:tcW w:w="3923" w:type="pct"/>
          </w:tcPr>
          <w:p w14:paraId="1A4CBD2C" w14:textId="77777777" w:rsidR="009F1AE3" w:rsidRPr="009F1AE3" w:rsidRDefault="009F1AE3" w:rsidP="009F1AE3">
            <w:pPr>
              <w:tabs>
                <w:tab w:val="center" w:pos="284"/>
              </w:tabs>
              <w:overflowPunct w:val="0"/>
              <w:autoSpaceDE w:val="0"/>
              <w:autoSpaceDN w:val="0"/>
              <w:adjustRightInd w:val="0"/>
              <w:ind w:left="266" w:right="-3091" w:hanging="266"/>
              <w:textAlignment w:val="baseline"/>
            </w:pPr>
            <w:proofErr w:type="spellStart"/>
            <w:r>
              <w:t>Giuseppe</w:t>
            </w:r>
            <w:proofErr w:type="spellEnd"/>
            <w:r>
              <w:t> GUERINI (Pilsoniskās sabiedrības organizāciju grupa – IT)</w:t>
            </w:r>
          </w:p>
        </w:tc>
      </w:tr>
      <w:tr w:rsidR="009F1AE3" w:rsidRPr="009F1AE3" w14:paraId="33F2C2EB" w14:textId="77777777" w:rsidTr="007C5DD5">
        <w:tc>
          <w:tcPr>
            <w:tcW w:w="1077" w:type="pct"/>
          </w:tcPr>
          <w:p w14:paraId="1F1A83E5"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Līdzziņotājs</w:t>
            </w:r>
          </w:p>
        </w:tc>
        <w:tc>
          <w:tcPr>
            <w:tcW w:w="3923" w:type="pct"/>
          </w:tcPr>
          <w:p w14:paraId="33B4BB5B" w14:textId="77777777" w:rsidR="009F1AE3" w:rsidRDefault="009F1AE3" w:rsidP="009F1AE3">
            <w:pPr>
              <w:tabs>
                <w:tab w:val="center" w:pos="284"/>
              </w:tabs>
              <w:overflowPunct w:val="0"/>
              <w:autoSpaceDE w:val="0"/>
              <w:autoSpaceDN w:val="0"/>
              <w:adjustRightInd w:val="0"/>
              <w:ind w:left="266" w:right="-3091" w:hanging="266"/>
              <w:textAlignment w:val="baseline"/>
            </w:pPr>
            <w:proofErr w:type="spellStart"/>
            <w:r>
              <w:t>Michal</w:t>
            </w:r>
            <w:proofErr w:type="spellEnd"/>
            <w:r>
              <w:t xml:space="preserve"> PINTÉR (Darba devēju grupa – SK)</w:t>
            </w:r>
          </w:p>
          <w:p w14:paraId="5742ACF9" w14:textId="77777777" w:rsidR="005A2512" w:rsidRPr="009F1AE3" w:rsidRDefault="005A2512" w:rsidP="009F1AE3">
            <w:pPr>
              <w:tabs>
                <w:tab w:val="center" w:pos="284"/>
              </w:tabs>
              <w:overflowPunct w:val="0"/>
              <w:autoSpaceDE w:val="0"/>
              <w:autoSpaceDN w:val="0"/>
              <w:adjustRightInd w:val="0"/>
              <w:ind w:left="266" w:right="-3091" w:hanging="266"/>
              <w:textAlignment w:val="baseline"/>
            </w:pPr>
          </w:p>
        </w:tc>
      </w:tr>
      <w:tr w:rsidR="009F1AE3" w:rsidRPr="009F1AE3" w14:paraId="7859888A" w14:textId="77777777" w:rsidTr="007C5DD5">
        <w:tc>
          <w:tcPr>
            <w:tcW w:w="1077" w:type="pct"/>
          </w:tcPr>
          <w:p w14:paraId="032C91E2"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Atsauces</w:t>
            </w:r>
          </w:p>
        </w:tc>
        <w:tc>
          <w:tcPr>
            <w:tcW w:w="3923" w:type="pct"/>
          </w:tcPr>
          <w:p w14:paraId="0B0CF888" w14:textId="0BC5D656" w:rsidR="005A2512" w:rsidRDefault="005A2512" w:rsidP="009F1AE3">
            <w:pPr>
              <w:tabs>
                <w:tab w:val="center" w:pos="284"/>
              </w:tabs>
              <w:overflowPunct w:val="0"/>
              <w:autoSpaceDE w:val="0"/>
              <w:autoSpaceDN w:val="0"/>
              <w:adjustRightInd w:val="0"/>
              <w:ind w:left="266" w:right="-3091" w:hanging="266"/>
              <w:textAlignment w:val="baseline"/>
            </w:pPr>
            <w:r>
              <w:t>Pašiniciatīvas atzinums</w:t>
            </w:r>
          </w:p>
          <w:p w14:paraId="5FE53CC7" w14:textId="075CB809" w:rsidR="009F1AE3" w:rsidRPr="009F1AE3" w:rsidRDefault="009F1AE3" w:rsidP="009F1AE3">
            <w:pPr>
              <w:tabs>
                <w:tab w:val="center" w:pos="284"/>
              </w:tabs>
              <w:overflowPunct w:val="0"/>
              <w:autoSpaceDE w:val="0"/>
              <w:autoSpaceDN w:val="0"/>
              <w:adjustRightInd w:val="0"/>
              <w:ind w:left="266" w:right="-3091" w:hanging="266"/>
              <w:textAlignment w:val="baseline"/>
            </w:pPr>
            <w:r>
              <w:t>EESC-2025-01083-00-00-AC</w:t>
            </w:r>
          </w:p>
        </w:tc>
      </w:tr>
    </w:tbl>
    <w:p w14:paraId="1DD81CB5"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p w14:paraId="06D207ED"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rPr>
      </w:pPr>
      <w:r>
        <w:rPr>
          <w:b/>
        </w:rPr>
        <w:t>Galvenās nostādnes</w:t>
      </w:r>
    </w:p>
    <w:p w14:paraId="4286BD1B"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lang w:val="en-GB"/>
        </w:rPr>
      </w:pPr>
    </w:p>
    <w:p w14:paraId="46117C84" w14:textId="77777777" w:rsidR="009F1AE3" w:rsidRDefault="009F1AE3" w:rsidP="009F1AE3">
      <w:pPr>
        <w:overflowPunct w:val="0"/>
        <w:autoSpaceDE w:val="0"/>
        <w:autoSpaceDN w:val="0"/>
        <w:adjustRightInd w:val="0"/>
        <w:textAlignment w:val="baseline"/>
        <w:rPr>
          <w:bCs/>
          <w:iCs/>
        </w:rPr>
      </w:pPr>
      <w:r>
        <w:t>EESK:</w:t>
      </w:r>
    </w:p>
    <w:p w14:paraId="6845B3DF" w14:textId="77777777" w:rsidR="007B326F" w:rsidRPr="009F1AE3" w:rsidRDefault="007B326F" w:rsidP="009F1AE3">
      <w:pPr>
        <w:overflowPunct w:val="0"/>
        <w:autoSpaceDE w:val="0"/>
        <w:autoSpaceDN w:val="0"/>
        <w:adjustRightInd w:val="0"/>
        <w:textAlignment w:val="baseline"/>
        <w:rPr>
          <w:bCs/>
          <w:iCs/>
          <w:lang w:val="en-GB"/>
        </w:rPr>
      </w:pPr>
    </w:p>
    <w:p w14:paraId="27E2A74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norāda, ka Apvienoto Nāciju Organizācija 2025. gadu ir pasludinājusi par Starptautisko kooperatīvu gadu, kura temats ir “Kooperatīvi veido labāku pasauli”, atspoguļojot to, ka dažādās nozarēs arvien vairāk tiek starptautiski atzīts kooperatīvu modelis;</w:t>
      </w:r>
    </w:p>
    <w:p w14:paraId="3D3801AB"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 xml:space="preserve">iesaka integrēt kooperatīvās uzņēmējdarbības izglītību vispārējā uzņēmējdarbības un profesionālajā apmācībā, tostarp finanšu iestāžu izpratnes veicināšanas pasākumos un </w:t>
      </w:r>
      <w:proofErr w:type="spellStart"/>
      <w:r>
        <w:rPr>
          <w:i/>
          <w:iCs/>
        </w:rPr>
        <w:t>Erasmus</w:t>
      </w:r>
      <w:proofErr w:type="spellEnd"/>
      <w:r>
        <w:rPr>
          <w:i/>
          <w:iCs/>
        </w:rPr>
        <w:t>+</w:t>
      </w:r>
      <w:r>
        <w:t xml:space="preserve"> piedāvātajās iespējās;</w:t>
      </w:r>
    </w:p>
    <w:p w14:paraId="28A4E3C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uzskata, ka būtu aktīvi jāpopularizē kooperatīvu darbība jaunuzņēmumu un jauno uzņēmēju vidū;</w:t>
      </w:r>
    </w:p>
    <w:p w14:paraId="58C2F6EC"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 xml:space="preserve">aicina atzīt rūpniecības kooperatīvus par svarīgiem ekonomikas dalībniekiem un paredzēt mērķtiecīgus finansiālus stimulus ES, valstu un reģionālā līmenī (nodokļu atvieglojumi, dotācijas, finansējums ar zemām procentu likmēm), lai atbalstītu industriālo simbiozi un </w:t>
      </w:r>
      <w:proofErr w:type="spellStart"/>
      <w:r>
        <w:t>apritīgumu</w:t>
      </w:r>
      <w:proofErr w:type="spellEnd"/>
      <w:r>
        <w:t>;</w:t>
      </w:r>
    </w:p>
    <w:p w14:paraId="4A87AD53"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 xml:space="preserve">mudina veikt investīcijas kopīgos industriālajos parkos, </w:t>
      </w:r>
      <w:proofErr w:type="spellStart"/>
      <w:r>
        <w:t>ekoindustriālajās</w:t>
      </w:r>
      <w:proofErr w:type="spellEnd"/>
      <w:r>
        <w:t xml:space="preserve"> zonās un kooperatīvu zināšanu apmaiņas platformās, lai stiprinātu kooperatīvu lokalizāciju un ilgtspējīgu ražošanu;</w:t>
      </w:r>
    </w:p>
    <w:p w14:paraId="52113114"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mudina ES kohēzijas programmās un reģionālās attīstības stratēģijās iekļaut uz kooperatīviem vērstus politikas pasākumus, par prioritāti nosakot kooperatīvu virzītas iniciatīvas, lai palielinātu reģionālo noturību un ilgtspēju;</w:t>
      </w:r>
    </w:p>
    <w:p w14:paraId="7894A3A1"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uzsver uz datiem balstītu kooperatīvu pieaugošo stratēģisko nozīmi un aicina ES un valstu iestādes atbalstīt kolektīvas iniciatīvas rūpniecisko datu pārvaldībai un kopīgošanai;</w:t>
      </w:r>
    </w:p>
    <w:p w14:paraId="79564FBF" w14:textId="2AC94D21"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uzsver, ka kooperatīvais modelis sniedz unikālu pievienoto vērtību, pateicoties demokrātiskai pārvaldībai, taisnīgai bagātības sadalei, kopienas iesaistei un spēcīgai pielāgošanās spējai, stiprinot ES stratēģisko autonomiju.</w:t>
      </w:r>
    </w:p>
    <w:p w14:paraId="7F3E40C1" w14:textId="77777777" w:rsidR="009F1AE3" w:rsidRPr="009F1AE3" w:rsidRDefault="009F1AE3" w:rsidP="009F1AE3">
      <w:pPr>
        <w:widowControl w:val="0"/>
        <w:overflowPunct w:val="0"/>
        <w:autoSpaceDE w:val="0"/>
        <w:autoSpaceDN w:val="0"/>
        <w:adjustRightInd w:val="0"/>
        <w:ind w:left="567"/>
        <w:textAlignment w:val="baseline"/>
        <w:rPr>
          <w:bCs/>
          <w:iCs/>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9F1AE3" w14:paraId="23DAFD40" w14:textId="77777777" w:rsidTr="007C5DD5">
        <w:tc>
          <w:tcPr>
            <w:tcW w:w="1077" w:type="pct"/>
          </w:tcPr>
          <w:p w14:paraId="4CF24E66" w14:textId="77777777" w:rsidR="009F1AE3" w:rsidRPr="009F1AE3" w:rsidRDefault="009F1AE3" w:rsidP="009F1AE3">
            <w:pPr>
              <w:overflowPunct w:val="0"/>
              <w:autoSpaceDE w:val="0"/>
              <w:autoSpaceDN w:val="0"/>
              <w:adjustRightInd w:val="0"/>
              <w:textAlignment w:val="baseline"/>
              <w:rPr>
                <w:i/>
              </w:rPr>
            </w:pPr>
            <w:r>
              <w:rPr>
                <w:b/>
                <w:i/>
              </w:rPr>
              <w:t>Kontaktpersona:</w:t>
            </w:r>
          </w:p>
        </w:tc>
        <w:tc>
          <w:tcPr>
            <w:tcW w:w="3923" w:type="pct"/>
          </w:tcPr>
          <w:p w14:paraId="06B68A0E" w14:textId="546486E8" w:rsidR="009F1AE3" w:rsidRPr="009F1AE3" w:rsidRDefault="009F1AE3" w:rsidP="009F1AE3">
            <w:pPr>
              <w:overflowPunct w:val="0"/>
              <w:autoSpaceDE w:val="0"/>
              <w:autoSpaceDN w:val="0"/>
              <w:adjustRightInd w:val="0"/>
              <w:textAlignment w:val="baseline"/>
              <w:rPr>
                <w:i/>
              </w:rPr>
            </w:pPr>
            <w:r>
              <w:rPr>
                <w:i/>
              </w:rPr>
              <w:t xml:space="preserve">Adam </w:t>
            </w:r>
            <w:proofErr w:type="spellStart"/>
            <w:r>
              <w:rPr>
                <w:i/>
              </w:rPr>
              <w:t>Dorywalski</w:t>
            </w:r>
            <w:proofErr w:type="spellEnd"/>
          </w:p>
        </w:tc>
      </w:tr>
      <w:tr w:rsidR="009F1AE3" w:rsidRPr="009F1AE3" w14:paraId="7AF1CC27" w14:textId="77777777" w:rsidTr="007C5DD5">
        <w:tc>
          <w:tcPr>
            <w:tcW w:w="1077" w:type="pct"/>
          </w:tcPr>
          <w:p w14:paraId="233242A3" w14:textId="77777777" w:rsidR="009F1AE3" w:rsidRPr="009F1AE3" w:rsidRDefault="009F1AE3" w:rsidP="009F1AE3">
            <w:pPr>
              <w:overflowPunct w:val="0"/>
              <w:autoSpaceDE w:val="0"/>
              <w:autoSpaceDN w:val="0"/>
              <w:adjustRightInd w:val="0"/>
              <w:textAlignment w:val="baseline"/>
              <w:rPr>
                <w:i/>
              </w:rPr>
            </w:pPr>
            <w:r>
              <w:rPr>
                <w:i/>
              </w:rPr>
              <w:t>Tālr.:</w:t>
            </w:r>
          </w:p>
        </w:tc>
        <w:tc>
          <w:tcPr>
            <w:tcW w:w="3923" w:type="pct"/>
          </w:tcPr>
          <w:p w14:paraId="5A333E81" w14:textId="77777777" w:rsidR="009F1AE3" w:rsidRPr="009F1AE3" w:rsidRDefault="009F1AE3" w:rsidP="009F1AE3">
            <w:pPr>
              <w:overflowPunct w:val="0"/>
              <w:autoSpaceDE w:val="0"/>
              <w:autoSpaceDN w:val="0"/>
              <w:adjustRightInd w:val="0"/>
              <w:textAlignment w:val="baseline"/>
              <w:rPr>
                <w:i/>
              </w:rPr>
            </w:pPr>
            <w:r>
              <w:rPr>
                <w:i/>
              </w:rPr>
              <w:t>+32 25469397</w:t>
            </w:r>
          </w:p>
        </w:tc>
      </w:tr>
      <w:tr w:rsidR="009F1AE3" w:rsidRPr="009F1AE3" w14:paraId="7ABF5273" w14:textId="77777777" w:rsidTr="007C5DD5">
        <w:tc>
          <w:tcPr>
            <w:tcW w:w="1077" w:type="pct"/>
          </w:tcPr>
          <w:p w14:paraId="2931E696" w14:textId="77777777" w:rsidR="009F1AE3" w:rsidRPr="009F1AE3" w:rsidRDefault="009F1AE3" w:rsidP="009F1AE3">
            <w:pPr>
              <w:overflowPunct w:val="0"/>
              <w:autoSpaceDE w:val="0"/>
              <w:autoSpaceDN w:val="0"/>
              <w:adjustRightInd w:val="0"/>
              <w:textAlignment w:val="baseline"/>
              <w:rPr>
                <w:i/>
              </w:rPr>
            </w:pPr>
            <w:r>
              <w:rPr>
                <w:i/>
              </w:rPr>
              <w:t>E-pasts:</w:t>
            </w:r>
          </w:p>
        </w:tc>
        <w:tc>
          <w:tcPr>
            <w:tcW w:w="3923" w:type="pct"/>
          </w:tcPr>
          <w:p w14:paraId="7A67CA0D" w14:textId="77777777" w:rsidR="009F1AE3" w:rsidRPr="009F1AE3" w:rsidRDefault="00E27DEE" w:rsidP="009F1AE3">
            <w:pPr>
              <w:overflowPunct w:val="0"/>
              <w:autoSpaceDE w:val="0"/>
              <w:autoSpaceDN w:val="0"/>
              <w:adjustRightInd w:val="0"/>
              <w:textAlignment w:val="baseline"/>
              <w:rPr>
                <w:i/>
              </w:rPr>
            </w:pPr>
            <w:hyperlink r:id="rId54" w:history="1">
              <w:r w:rsidR="00B9028C">
                <w:rPr>
                  <w:i/>
                  <w:color w:val="0000FF"/>
                  <w:u w:val="single"/>
                </w:rPr>
                <w:t>Adam.Dorywalski@eesc.europa.eu</w:t>
              </w:r>
            </w:hyperlink>
          </w:p>
        </w:tc>
      </w:tr>
    </w:tbl>
    <w:p w14:paraId="09A596F7" w14:textId="77777777" w:rsidR="006D2C8A" w:rsidRDefault="006D2C8A" w:rsidP="006D2C8A">
      <w:pPr>
        <w:spacing w:after="160" w:line="259" w:lineRule="auto"/>
        <w:jc w:val="left"/>
      </w:pPr>
    </w:p>
    <w:p w14:paraId="2E28EF19" w14:textId="3B368787" w:rsidR="000D394D" w:rsidRDefault="00EB462E" w:rsidP="00054C58">
      <w:pPr>
        <w:spacing w:after="160" w:line="259" w:lineRule="auto"/>
        <w:jc w:val="center"/>
      </w:pPr>
      <w:r>
        <w:t>______________</w:t>
      </w:r>
    </w:p>
    <w:sectPr w:rsidR="000D394D" w:rsidSect="00EE6F0B">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0286" w14:textId="77777777" w:rsidR="00BA2A2C" w:rsidRPr="00EE6F0B" w:rsidRDefault="00BA2A2C" w:rsidP="00EE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fldSimple w:instr=" NUMPAGES ">
      <w:r w:rsidR="008541D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E05A" w14:textId="77777777" w:rsidR="00BA2A2C" w:rsidRPr="00EE6F0B" w:rsidRDefault="00BA2A2C" w:rsidP="00EE6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fldSimple w:instr=" NUMPAGES ">
      <w:r w:rsidR="008541DE">
        <w:t>16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64A91302" w14:textId="77777777" w:rsidR="00E972B2" w:rsidRDefault="00E972B2" w:rsidP="00E972B2">
      <w:pPr>
        <w:keepLines/>
        <w:spacing w:after="60" w:line="240" w:lineRule="auto"/>
        <w:ind w:left="567" w:hanging="567"/>
        <w:rPr>
          <w:sz w:val="16"/>
          <w:szCs w:val="16"/>
        </w:rPr>
      </w:pPr>
      <w:r>
        <w:rPr>
          <w:rStyle w:val="FootnoteReference"/>
        </w:rPr>
        <w:footnoteRef/>
      </w:r>
      <w:r>
        <w:rPr>
          <w:sz w:val="16"/>
        </w:rPr>
        <w:tab/>
      </w:r>
      <w:hyperlink r:id="rId1">
        <w:r>
          <w:rPr>
            <w:color w:val="0000FF"/>
            <w:sz w:val="16"/>
            <w:u w:val="single"/>
          </w:rPr>
          <w:t>https://eur-lex.europa.eu/legal-content/LV/TXT/?uri=legissum:4623532</w:t>
        </w:r>
      </w:hyperlink>
      <w:r>
        <w:rPr>
          <w:sz w:val="16"/>
        </w:rPr>
        <w:t>.</w:t>
      </w:r>
    </w:p>
  </w:footnote>
  <w:footnote w:id="2">
    <w:p w14:paraId="454B3162" w14:textId="77777777" w:rsidR="00E972B2" w:rsidRPr="00ED3E39" w:rsidRDefault="00E972B2" w:rsidP="00E972B2">
      <w:pPr>
        <w:keepLines/>
        <w:spacing w:after="60" w:line="240" w:lineRule="auto"/>
        <w:ind w:left="567" w:hanging="567"/>
      </w:pPr>
      <w:r>
        <w:rPr>
          <w:rStyle w:val="FootnoteReference"/>
        </w:rPr>
        <w:footnoteRef/>
      </w:r>
      <w:r>
        <w:rPr>
          <w:sz w:val="16"/>
        </w:rPr>
        <w:tab/>
      </w:r>
      <w:hyperlink r:id="rId2">
        <w:r>
          <w:rPr>
            <w:color w:val="0000FF"/>
            <w:sz w:val="16"/>
            <w:u w:val="single"/>
          </w:rPr>
          <w:t>https://eur-lex.europa.eu/legal-content/LV/TXT/?uri=CELEX%3A52022XC0930%2802%29</w:t>
        </w:r>
      </w:hyperlink>
      <w:r>
        <w:rPr>
          <w:sz w:val="16"/>
        </w:rPr>
        <w:t>.</w:t>
      </w:r>
    </w:p>
  </w:footnote>
  <w:footnote w:id="3">
    <w:p w14:paraId="70B24787" w14:textId="77777777" w:rsidR="00E972B2" w:rsidRPr="0023267D" w:rsidRDefault="00E972B2" w:rsidP="00E972B2">
      <w:pPr>
        <w:keepLines/>
        <w:spacing w:after="60" w:line="240" w:lineRule="auto"/>
        <w:ind w:left="567" w:hanging="567"/>
        <w:rPr>
          <w:color w:val="0000FF"/>
          <w:sz w:val="16"/>
          <w:szCs w:val="16"/>
        </w:rPr>
      </w:pPr>
      <w:r>
        <w:rPr>
          <w:rStyle w:val="FootnoteReference"/>
        </w:rPr>
        <w:footnoteRef/>
      </w:r>
      <w:r>
        <w:rPr>
          <w:sz w:val="16"/>
        </w:rPr>
        <w:tab/>
      </w:r>
      <w:hyperlink r:id="rId3">
        <w:r>
          <w:rPr>
            <w:color w:val="0000FF"/>
            <w:sz w:val="16"/>
            <w:u w:val="single"/>
          </w:rPr>
          <w:t>https://digital-strategy.ec.europa.eu/en/library/recommendation-protection-safety-and-empowerment-journalists</w:t>
        </w:r>
      </w:hyperlink>
      <w:r>
        <w:rPr>
          <w:sz w:val="16"/>
        </w:rPr>
        <w:t>.</w:t>
      </w:r>
    </w:p>
  </w:footnote>
  <w:footnote w:id="4">
    <w:p w14:paraId="026EF876" w14:textId="77777777" w:rsidR="00E972B2" w:rsidRPr="00C510E4" w:rsidRDefault="00E972B2" w:rsidP="00E972B2">
      <w:pPr>
        <w:keepLines/>
        <w:spacing w:after="60" w:line="240" w:lineRule="auto"/>
        <w:ind w:left="567" w:hanging="567"/>
      </w:pPr>
      <w:r>
        <w:rPr>
          <w:rStyle w:val="FootnoteReference"/>
        </w:rPr>
        <w:footnoteRef/>
      </w:r>
      <w:r>
        <w:t xml:space="preserve"> </w:t>
      </w:r>
      <w:r>
        <w:tab/>
      </w:r>
      <w:r>
        <w:rPr>
          <w:sz w:val="16"/>
        </w:rPr>
        <w:t>OV C, C/2025/114, 10.1.2025</w:t>
      </w:r>
      <w:r w:rsidRPr="00A3256E">
        <w:rPr>
          <w:sz w:val="16"/>
          <w:szCs w:val="16"/>
        </w:rPr>
        <w:t xml:space="preserve">., ELI: </w:t>
      </w:r>
      <w:hyperlink r:id="rId4" w:history="1">
        <w:r w:rsidRPr="00A3256E">
          <w:rPr>
            <w:rStyle w:val="Hyperlink"/>
            <w:sz w:val="16"/>
            <w:szCs w:val="16"/>
          </w:rPr>
          <w:t>http://data.europa.eu/eli/C/2025/114/oj</w:t>
        </w:r>
      </w:hyperlink>
      <w:r>
        <w:t>.</w:t>
      </w:r>
    </w:p>
  </w:footnote>
  <w:footnote w:id="5">
    <w:p w14:paraId="01E2CCA5" w14:textId="77777777" w:rsidR="00836765" w:rsidRPr="00360DD3" w:rsidRDefault="00836765" w:rsidP="00836765">
      <w:pPr>
        <w:pStyle w:val="FootnoteText"/>
      </w:pPr>
      <w:r>
        <w:rPr>
          <w:rStyle w:val="FootnoteReference"/>
        </w:rPr>
        <w:footnoteRef/>
      </w:r>
      <w:r>
        <w:tab/>
        <w:t xml:space="preserve">EESK pašiniciatīvas atzinums </w:t>
      </w:r>
      <w:hyperlink r:id="rId5" w:anchor=":~:text=The%20only%20reliable%20way%20to%20preserve%20the%20rainforests%20is%20through" w:history="1">
        <w:r>
          <w:rPr>
            <w:rStyle w:val="Hyperlink"/>
            <w:i/>
          </w:rPr>
          <w:t>Amazones baseina atmežošana: ietekme uz klimata pārmaiņām un globālo vidi; sekas uzņēmumiem, darba ņēmējiem un iedzīvotājiem</w:t>
        </w:r>
      </w:hyperlink>
      <w:r>
        <w:t xml:space="preserve">, </w:t>
      </w:r>
      <w:hyperlink r:id="rId6" w:history="1">
        <w:r>
          <w:rPr>
            <w:rStyle w:val="Hyperlink"/>
          </w:rPr>
          <w:t>OV C/2024/6882, 28.11.2024.</w:t>
        </w:r>
      </w:hyperlink>
    </w:p>
  </w:footnote>
  <w:footnote w:id="6">
    <w:p w14:paraId="74D17928" w14:textId="77777777" w:rsidR="00836765" w:rsidRPr="00360DD3" w:rsidRDefault="00836765" w:rsidP="00836765">
      <w:pPr>
        <w:pStyle w:val="FootnoteText"/>
      </w:pPr>
      <w:r>
        <w:rPr>
          <w:rStyle w:val="FootnoteReference"/>
        </w:rPr>
        <w:footnoteRef/>
      </w:r>
      <w:r>
        <w:t xml:space="preserve"> </w:t>
      </w:r>
      <w:r>
        <w:tab/>
        <w:t xml:space="preserve">EESK atzinums </w:t>
      </w:r>
      <w:hyperlink r:id="rId7" w:history="1">
        <w:r>
          <w:rPr>
            <w:rStyle w:val="Hyperlink"/>
            <w:i/>
          </w:rPr>
          <w:t>Līdz minimumam samazināt atmežošanas un meža degradācijas risku, kas saistīts ar ES tirgū laistiem izstrādājumiem</w:t>
        </w:r>
      </w:hyperlink>
      <w:r>
        <w:t xml:space="preserve">, </w:t>
      </w:r>
      <w:hyperlink r:id="rId8" w:history="1">
        <w:r>
          <w:rPr>
            <w:rStyle w:val="Hyperlink"/>
          </w:rPr>
          <w:t>OV C 275, 18.7.2022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34A7" w14:textId="77777777" w:rsidR="00BA2A2C" w:rsidRPr="00EE6F0B" w:rsidRDefault="00BA2A2C" w:rsidP="00EE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DE50" w14:textId="6A64B190" w:rsidR="00BA2A2C" w:rsidRPr="00EE6F0B" w:rsidRDefault="00BA2A2C" w:rsidP="00EE6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0F6F" w14:textId="77777777" w:rsidR="00BA2A2C" w:rsidRPr="00EE6F0B" w:rsidRDefault="00BA2A2C" w:rsidP="00EE6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14C05"/>
    <w:multiLevelType w:val="hybridMultilevel"/>
    <w:tmpl w:val="4A260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6"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8"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2"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4"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7"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6"/>
  </w:num>
  <w:num w:numId="3">
    <w:abstractNumId w:val="31"/>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7"/>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8"/>
  </w:num>
  <w:num w:numId="8">
    <w:abstractNumId w:val="5"/>
  </w:num>
  <w:num w:numId="9">
    <w:abstractNumId w:val="29"/>
  </w:num>
  <w:num w:numId="10">
    <w:abstractNumId w:val="13"/>
  </w:num>
  <w:num w:numId="11">
    <w:abstractNumId w:val="16"/>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4"/>
  </w:num>
  <w:num w:numId="15">
    <w:abstractNumId w:val="25"/>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5"/>
  </w:num>
  <w:num w:numId="18">
    <w:abstractNumId w:val="7"/>
  </w:num>
  <w:num w:numId="19">
    <w:abstractNumId w:val="4"/>
  </w:num>
  <w:num w:numId="20">
    <w:abstractNumId w:val="17"/>
  </w:num>
  <w:num w:numId="21">
    <w:abstractNumId w:val="30"/>
  </w:num>
  <w:num w:numId="22">
    <w:abstractNumId w:val="12"/>
  </w:num>
  <w:num w:numId="23">
    <w:abstractNumId w:val="32"/>
  </w:num>
  <w:num w:numId="24">
    <w:abstractNumId w:val="28"/>
  </w:num>
  <w:num w:numId="25">
    <w:abstractNumId w:val="2"/>
  </w:num>
  <w:num w:numId="26">
    <w:abstractNumId w:val="18"/>
  </w:num>
  <w:num w:numId="27">
    <w:abstractNumId w:val="19"/>
  </w:num>
  <w:num w:numId="28">
    <w:abstractNumId w:val="20"/>
  </w:num>
  <w:num w:numId="29">
    <w:abstractNumId w:val="3"/>
  </w:num>
  <w:num w:numId="30">
    <w:abstractNumId w:val="10"/>
  </w:num>
  <w:num w:numId="31">
    <w:abstractNumId w:val="22"/>
  </w:num>
  <w:num w:numId="32">
    <w:abstractNumId w:val="9"/>
  </w:num>
  <w:num w:numId="33">
    <w:abstractNumId w:val="6"/>
  </w:num>
  <w:num w:numId="34">
    <w:abstractNumId w:val="23"/>
  </w:num>
  <w:num w:numId="35">
    <w:abstractNumId w:val="1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2F3"/>
    <w:rsid w:val="00034990"/>
    <w:rsid w:val="0005334D"/>
    <w:rsid w:val="00054433"/>
    <w:rsid w:val="00054C58"/>
    <w:rsid w:val="00056F0F"/>
    <w:rsid w:val="00063DFF"/>
    <w:rsid w:val="00085AF6"/>
    <w:rsid w:val="000A1597"/>
    <w:rsid w:val="000C7C8B"/>
    <w:rsid w:val="000D394D"/>
    <w:rsid w:val="000E7346"/>
    <w:rsid w:val="001307DF"/>
    <w:rsid w:val="00145DF7"/>
    <w:rsid w:val="00174C07"/>
    <w:rsid w:val="00194E7D"/>
    <w:rsid w:val="001A7442"/>
    <w:rsid w:val="001E391D"/>
    <w:rsid w:val="00237C67"/>
    <w:rsid w:val="002A5636"/>
    <w:rsid w:val="002B0636"/>
    <w:rsid w:val="002B5AEF"/>
    <w:rsid w:val="002B7981"/>
    <w:rsid w:val="002D3663"/>
    <w:rsid w:val="003066BE"/>
    <w:rsid w:val="003227CC"/>
    <w:rsid w:val="00326313"/>
    <w:rsid w:val="00340927"/>
    <w:rsid w:val="00366C6A"/>
    <w:rsid w:val="00381A92"/>
    <w:rsid w:val="00384191"/>
    <w:rsid w:val="00395794"/>
    <w:rsid w:val="003C16C3"/>
    <w:rsid w:val="003D4EDF"/>
    <w:rsid w:val="003F190C"/>
    <w:rsid w:val="003F326D"/>
    <w:rsid w:val="003F79EF"/>
    <w:rsid w:val="0040402B"/>
    <w:rsid w:val="0043191A"/>
    <w:rsid w:val="00446882"/>
    <w:rsid w:val="004503DC"/>
    <w:rsid w:val="0045787F"/>
    <w:rsid w:val="00463600"/>
    <w:rsid w:val="00465162"/>
    <w:rsid w:val="004A5CD7"/>
    <w:rsid w:val="004A6CE5"/>
    <w:rsid w:val="004D7AC0"/>
    <w:rsid w:val="004E64BE"/>
    <w:rsid w:val="00505C80"/>
    <w:rsid w:val="00515DDF"/>
    <w:rsid w:val="00532089"/>
    <w:rsid w:val="00537F29"/>
    <w:rsid w:val="005650A9"/>
    <w:rsid w:val="00586B4B"/>
    <w:rsid w:val="00591A62"/>
    <w:rsid w:val="00593110"/>
    <w:rsid w:val="005A0BDA"/>
    <w:rsid w:val="005A2512"/>
    <w:rsid w:val="005B225E"/>
    <w:rsid w:val="005B6DD4"/>
    <w:rsid w:val="005E7651"/>
    <w:rsid w:val="00601DF4"/>
    <w:rsid w:val="00612898"/>
    <w:rsid w:val="00625CA3"/>
    <w:rsid w:val="00635AF7"/>
    <w:rsid w:val="00641262"/>
    <w:rsid w:val="006559C7"/>
    <w:rsid w:val="00665929"/>
    <w:rsid w:val="00673B8C"/>
    <w:rsid w:val="0068013D"/>
    <w:rsid w:val="00685A3A"/>
    <w:rsid w:val="006D249E"/>
    <w:rsid w:val="006D2C8A"/>
    <w:rsid w:val="006D2D64"/>
    <w:rsid w:val="006E6F14"/>
    <w:rsid w:val="007068C8"/>
    <w:rsid w:val="00707689"/>
    <w:rsid w:val="0072769B"/>
    <w:rsid w:val="00740A23"/>
    <w:rsid w:val="007417EF"/>
    <w:rsid w:val="00754027"/>
    <w:rsid w:val="00766B1A"/>
    <w:rsid w:val="0076787A"/>
    <w:rsid w:val="007B245D"/>
    <w:rsid w:val="007B326F"/>
    <w:rsid w:val="007F5784"/>
    <w:rsid w:val="00802750"/>
    <w:rsid w:val="00803D75"/>
    <w:rsid w:val="0080647A"/>
    <w:rsid w:val="00811D4F"/>
    <w:rsid w:val="00836765"/>
    <w:rsid w:val="00845F24"/>
    <w:rsid w:val="008541DE"/>
    <w:rsid w:val="00871818"/>
    <w:rsid w:val="0088219D"/>
    <w:rsid w:val="00896BC8"/>
    <w:rsid w:val="008A27AD"/>
    <w:rsid w:val="008A6059"/>
    <w:rsid w:val="008C414B"/>
    <w:rsid w:val="008D0052"/>
    <w:rsid w:val="009041AE"/>
    <w:rsid w:val="00926A3C"/>
    <w:rsid w:val="00946B15"/>
    <w:rsid w:val="009679E7"/>
    <w:rsid w:val="00973F68"/>
    <w:rsid w:val="009E1915"/>
    <w:rsid w:val="009E4148"/>
    <w:rsid w:val="009F1AE3"/>
    <w:rsid w:val="00A20E9D"/>
    <w:rsid w:val="00A23E40"/>
    <w:rsid w:val="00A272B2"/>
    <w:rsid w:val="00A3256E"/>
    <w:rsid w:val="00A44608"/>
    <w:rsid w:val="00A50553"/>
    <w:rsid w:val="00A51688"/>
    <w:rsid w:val="00A96C92"/>
    <w:rsid w:val="00AA61BE"/>
    <w:rsid w:val="00B203DA"/>
    <w:rsid w:val="00B3176C"/>
    <w:rsid w:val="00B518C9"/>
    <w:rsid w:val="00B631EC"/>
    <w:rsid w:val="00B730AD"/>
    <w:rsid w:val="00B8543B"/>
    <w:rsid w:val="00B9028C"/>
    <w:rsid w:val="00B94F6D"/>
    <w:rsid w:val="00BA2A2C"/>
    <w:rsid w:val="00BC676C"/>
    <w:rsid w:val="00BE54B3"/>
    <w:rsid w:val="00BF235F"/>
    <w:rsid w:val="00C008B4"/>
    <w:rsid w:val="00C1207D"/>
    <w:rsid w:val="00C17ABD"/>
    <w:rsid w:val="00C2078A"/>
    <w:rsid w:val="00C24C34"/>
    <w:rsid w:val="00C26C67"/>
    <w:rsid w:val="00C61F36"/>
    <w:rsid w:val="00C62A6C"/>
    <w:rsid w:val="00C7741D"/>
    <w:rsid w:val="00C821A5"/>
    <w:rsid w:val="00C82E34"/>
    <w:rsid w:val="00C913CA"/>
    <w:rsid w:val="00CC18D0"/>
    <w:rsid w:val="00D07777"/>
    <w:rsid w:val="00D40BB6"/>
    <w:rsid w:val="00D43613"/>
    <w:rsid w:val="00D6499D"/>
    <w:rsid w:val="00D7076A"/>
    <w:rsid w:val="00D81F5E"/>
    <w:rsid w:val="00D92269"/>
    <w:rsid w:val="00DB1B79"/>
    <w:rsid w:val="00DE176A"/>
    <w:rsid w:val="00DF03F8"/>
    <w:rsid w:val="00E00A6B"/>
    <w:rsid w:val="00E13363"/>
    <w:rsid w:val="00E22D43"/>
    <w:rsid w:val="00E27DEE"/>
    <w:rsid w:val="00E77899"/>
    <w:rsid w:val="00E82D3E"/>
    <w:rsid w:val="00E95CBE"/>
    <w:rsid w:val="00E972B2"/>
    <w:rsid w:val="00EA023B"/>
    <w:rsid w:val="00EB462E"/>
    <w:rsid w:val="00ED76AC"/>
    <w:rsid w:val="00EE6F0B"/>
    <w:rsid w:val="00EF2BEB"/>
    <w:rsid w:val="00F104CA"/>
    <w:rsid w:val="00F2608E"/>
    <w:rsid w:val="00F26C84"/>
    <w:rsid w:val="00F41BE1"/>
    <w:rsid w:val="00F65006"/>
    <w:rsid w:val="00F733BE"/>
    <w:rsid w:val="00F73CD8"/>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TOC2">
    <w:name w:val="toc 2"/>
    <w:basedOn w:val="Normal"/>
    <w:next w:val="Normal"/>
    <w:autoRedefine/>
    <w:uiPriority w:val="39"/>
    <w:unhideWhenUsed/>
    <w:rsid w:val="00174C0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lv/our-work/opinions-information-reports/opinions/agoraeu-and-justice-programmes" TargetMode="External"/><Relationship Id="rId39" Type="http://schemas.openxmlformats.org/officeDocument/2006/relationships/hyperlink" Target="mailto:Silvia.Staff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lv/our-work/opinions-information-reports/opinions/single-market-strategy" TargetMode="External"/><Relationship Id="rId42" Type="http://schemas.openxmlformats.org/officeDocument/2006/relationships/hyperlink" Target="https://www.eesc.europa.eu/lv/our-work/opinions-information-reports/opinions/amendment-deforestation-regulation-eu-20231115" TargetMode="External"/><Relationship Id="rId47" Type="http://schemas.openxmlformats.org/officeDocument/2006/relationships/hyperlink" Target="https://www.eesc.europa.eu/lv/our-work/opinions-information-reports/opinions/global-europe-multiannual-financial-framework-proposal" TargetMode="External"/><Relationship Id="rId50" Type="http://schemas.openxmlformats.org/officeDocument/2006/relationships/hyperlink" Target="mailto:Katarina.Albrechtova@eesc.europa.e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lv/our-work/opinions-information-reports/opinions/implementation-eu-macro-regional-strategies-5th-report" TargetMode="External"/><Relationship Id="rId29" Type="http://schemas.openxmlformats.org/officeDocument/2006/relationships/hyperlink" Target="https://eur-lex.europa.eu/eli/C/2023/874/oj" TargetMode="External"/><Relationship Id="rId41" Type="http://schemas.openxmlformats.org/officeDocument/2006/relationships/hyperlink" Target="mailto:Annalisa.Tessarolo@eesc.europa.eu" TargetMode="External"/><Relationship Id="rId54" Type="http://schemas.openxmlformats.org/officeDocument/2006/relationships/hyperlink" Target="mailto:Adam.Dorywalski@eesc.europa.e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en/our-work/opinions-information-reports/opinions/labour-rights-journalists-and-media-professionals-safeguard-independence-and-truthful-information" TargetMode="External"/><Relationship Id="rId32" Type="http://schemas.openxmlformats.org/officeDocument/2006/relationships/hyperlink" Target="https://www.eesc.europa.eu/lv/our-work/opinions-information-reports/opinions/nuclear-illustrative-programme-1" TargetMode="External"/><Relationship Id="rId37" Type="http://schemas.openxmlformats.org/officeDocument/2006/relationships/hyperlink" Target="mailto:Silvia.Staffa@eesc.europa.eu" TargetMode="External"/><Relationship Id="rId40" Type="http://schemas.openxmlformats.org/officeDocument/2006/relationships/hyperlink" Target="https://www.eesc.europa.eu/lv/our-work/opinions-information-reports/opinions/review-european-public-procurement-legal-framework" TargetMode="External"/><Relationship Id="rId45" Type="http://schemas.openxmlformats.org/officeDocument/2006/relationships/hyperlink" Target="mailto:Arturo.Iniguez@eesc.europa.eu" TargetMode="External"/><Relationship Id="rId53" Type="http://schemas.openxmlformats.org/officeDocument/2006/relationships/hyperlink" Target="https://www.eesc.europa.eu/lv/our-work/opinions-information-reports/opinions/industrial-cooperatives-tool-challenge-inclusive-and-sustainable-competitiveness"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lv/our-work/opinions-information-reports/opinions/co2-emission-class-heavy-duty-vehicles-trailers-0" TargetMode="External"/><Relationship Id="rId36" Type="http://schemas.openxmlformats.org/officeDocument/2006/relationships/hyperlink" Target="https://www.eesc.europa.eu/lv/our-work/opinions-information-reports/opinions/report-competition-policy-2024" TargetMode="External"/><Relationship Id="rId49" Type="http://schemas.openxmlformats.org/officeDocument/2006/relationships/hyperlink" Target="https://www.eesc.europa.eu/lv/our-work/opinions-information-reports/opinions/predictable-and-common-european-way-forward-ukrainians-eu"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GiorgiaAndrea.Bordignon@eesc.europa.eu" TargetMode="External"/><Relationship Id="rId44" Type="http://schemas.openxmlformats.org/officeDocument/2006/relationships/hyperlink" Target="https://www.eesc.europa.eu/lv/our-work/opinions-information-reports/opinions/revision-union-civil-protection-mechanism" TargetMode="External"/><Relationship Id="rId52" Type="http://schemas.openxmlformats.org/officeDocument/2006/relationships/hyperlink" Target="mailto:Adam.Dorywalski@eesc.europa.eu"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lv/our-work/opinions-information-reports/opinions/establishing-european-fund-regional-development-including-european-territorial-cooperation-interreg-and-cohesion-fund" TargetMode="External"/><Relationship Id="rId27" Type="http://schemas.openxmlformats.org/officeDocument/2006/relationships/hyperlink" Target="mailto:Alessia.Cova@eesc.europa.eu" TargetMode="External"/><Relationship Id="rId30" Type="http://schemas.openxmlformats.org/officeDocument/2006/relationships/hyperlink" Target="mailto:Maja.Radman@eesc.europa.eu" TargetMode="External"/><Relationship Id="rId35" Type="http://schemas.openxmlformats.org/officeDocument/2006/relationships/hyperlink" Target="mailto:Annalisa.Tessarolo@eesc.europa.eu" TargetMode="External"/><Relationship Id="rId43" Type="http://schemas.openxmlformats.org/officeDocument/2006/relationships/hyperlink" Target="mailto:Martine.Delanoy@eesc.europa.eu" TargetMode="External"/><Relationship Id="rId48" Type="http://schemas.openxmlformats.org/officeDocument/2006/relationships/hyperlink" Target="mailto:Daniele.Vitali@eesc.europa.eu"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eesc.europa.eu/lv/our-work/opinions-information-reports/opinions/facilitating-potential-permanent-materials-eu-circular-economy" TargetMode="External"/><Relationship Id="rId3" Type="http://schemas.openxmlformats.org/officeDocument/2006/relationships/customXml" Target="../customXml/item3.xml"/><Relationship Id="rId12" Type="http://schemas.openxmlformats.org/officeDocument/2006/relationships/hyperlink" Target="https://www.eesc.europa.eu/lv/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une.bedaton@eesc.europa.eu" TargetMode="External"/><Relationship Id="rId33" Type="http://schemas.openxmlformats.org/officeDocument/2006/relationships/hyperlink" Target="mailto:Albert.Precup@eesc.europa.eu" TargetMode="External"/><Relationship Id="rId38" Type="http://schemas.openxmlformats.org/officeDocument/2006/relationships/hyperlink" Target="https://www.eesc.europa.eu/lv/our-work/opinions-information-reports/opinions/competitiveness-fund" TargetMode="External"/><Relationship Id="rId46" Type="http://schemas.openxmlformats.org/officeDocument/2006/relationships/hyperlink" Target="mailto:Marie-Laurence.Drillon@eesc.europa.eu" TargetMode="External"/><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V/TXT/?uri=uriserv%3AOJ.C_.2022.275.01.0088.01.LAV&amp;toc=OJ%3AC%3A2022%3A275%3ATOC" TargetMode="External"/><Relationship Id="rId3" Type="http://schemas.openxmlformats.org/officeDocument/2006/relationships/hyperlink" Target="https://digital-strategy.ec.europa.eu/en/library/recommendation-protection-safety-and-empowerment-journalists" TargetMode="External"/><Relationship Id="rId7" Type="http://schemas.openxmlformats.org/officeDocument/2006/relationships/hyperlink" Target="https://www.eesc.europa.eu/lv/our-work/opinions-information-reports/opinions/minimising-risk-deforestation-and-forest-degradation-associated-products-placed-eu-market" TargetMode="External"/><Relationship Id="rId2" Type="http://schemas.openxmlformats.org/officeDocument/2006/relationships/hyperlink" Target="https://eur-lex.europa.eu/legal-content/LV/TXT/?uri=CELEX%3A52022XC0930%2802%29" TargetMode="External"/><Relationship Id="rId1" Type="http://schemas.openxmlformats.org/officeDocument/2006/relationships/hyperlink" Target="https://eur-lex.europa.eu/legal-content/LV/TXT/?uri=legissum:4623532" TargetMode="External"/><Relationship Id="rId6" Type="http://schemas.openxmlformats.org/officeDocument/2006/relationships/hyperlink" Target="https://eur-lex.europa.eu/legal-content/LV/TXT/?uri=OJ:C_202406882" TargetMode="External"/><Relationship Id="rId5" Type="http://schemas.openxmlformats.org/officeDocument/2006/relationships/hyperlink" Target="https://www.eesc.europa.eu/lv/our-work/opinions-information-reports/opinions/deforestation-amazon-rainforest-impact-climate-change-and-global-environment-consequences-companies-workers-and" TargetMode="External"/><Relationship Id="rId4" Type="http://schemas.openxmlformats.org/officeDocument/2006/relationships/hyperlink" Target="https://eur-lex.europa.eu/eli/C/2025/114/oj?eliuri=eli%3AC%3A2025%3A114%3Aoj&amp;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A6WAAD5KZT2Q-284857674-6430</_dlc_DocId>
    <_dlc_DocIdUrl xmlns="1a33af13-4045-4f88-9d7b-618e30f79918">
      <Url>http://dm/eesc/2025/_layouts/15/DocIdRedir.aspx?ID=A6WAAD5KZT2Q-284857674-6430</Url>
      <Description>A6WAAD5KZT2Q-284857674-6430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2025-12-22T12:00:00+00:00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Skubina Ieva</DisplayName>
        <AccountId>1670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2.xml><?xml version="1.0" encoding="utf-8"?>
<ds:datastoreItem xmlns:ds="http://schemas.openxmlformats.org/officeDocument/2006/customXml" ds:itemID="{B7DE2FEE-8169-497A-AFF8-370624653D6F}"/>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4.xml><?xml version="1.0" encoding="utf-8"?>
<ds:datastoreItem xmlns:ds="http://schemas.openxmlformats.org/officeDocument/2006/customXml" ds:itemID="{4550B7D9-B944-4719-A93C-2F495E0415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6506</Words>
  <Characters>37085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Pieņemto atzinumu kopsavilkums - 601. plenārā sesija - 2025. gada decembrī</dc:title>
  <dc:subject>ADMIN</dc:subject>
  <dc:creator/>
  <cp:keywords>COR-EESC-2022-02583-00-00-ADMIN-TRA-EN</cp:keywords>
  <dc:description>Rapporteur:  - Original language: EN - Date of document: 20/05/2022 - Date of meeting:  - External documents:  - Administrator:  SUCIU Serban</dc:description>
  <cp:lastModifiedBy/>
  <cp:revision>10</cp:revision>
  <dcterms:created xsi:type="dcterms:W3CDTF">2025-12-15T10:39:00Z</dcterms:created>
  <dcterms:modified xsi:type="dcterms:W3CDTF">2025-12-22T08:26:00Z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8e93ba59-25a8-497f-9cc2-58f93a82c709</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42;#EL|6d4f4d51-af9b-4650-94b4-4276bee85c91;#35;#FI|87606a43-d45f-42d6-b8c9-e1a3457db5b7;#34;#IT|0774613c-01ed-4e5d-a25d-11d2388de825;#33;#PT|50ccc04a-eadd-42ae-a0cb-acaf45f812ba;#31;#SL|98a412ae-eb01-49e9-ae3d-585a81724cfc;#30;#LT|a7ff5ce7-6123-4f68-865a-a57c31810414;#67;#SPL-CES|32d8cb1f-c9ec-4365-95c7-8385a18618ac;#28;#SV|c2ed69e7-a339-43d7-8f22-d93680a92aa0;#27;#NL|55c6556c-b4f4-441d-9acf-c498d4f838bd;#50;#HR|2f555653-ed1a-4fe6-8362-9082d95989e5;#19;#TCD|cd9d6eb6-3f4f-424a-b2d1-57c9d450eaaf;#16;#ES|e7a6b05b-ae16-40c8-add9-68b64b03aeba;#15;#Unrestricted|826e22d7-d029-4ec0-a450-0c28ff673572;#13;#TRA|150d2a88-1431-44e6-a8ca-0bb753ab8672;#12;#FR|d2afafd3-4c81-4f60-8f52-ee33f2f54ff3;#8;#Final|ea5e6674-7b27-4bac-b091-73adbb394efe;#5;#EN|f2175f21-25d7-44a3-96da-d6a61b075e1b;#40;#DA|5d49c027-8956-412b-aa16-e85a0f96ad0e;#36;#RO|feb747a2-64cd-4299-af12-4833ddc30497;#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39;#LV|46f7e311-5d9f-4663-b433-18aeccb7ace7</vt:lpwstr>
  </property>
  <property fmtid="{D5CDD505-2E9C-101B-9397-08002B2CF9AE}" pid="33" name="AvailableTranslations_0">
    <vt:lpwstr>LT|a7ff5ce7-6123-4f68-865a-a57c31810414;SV|c2ed69e7-a339-43d7-8f22-d93680a92aa0;NL|55c6556c-b4f4-441d-9acf-c498d4f838bd;EN|f2175f21-25d7-44a3-96da-d6a61b075e1b;FI|87606a43-d45f-42d6-b8c9-e1a3457db5b7;DA|5d49c027-8956-412b-aa16-e85a0f96ad0e;EL|6d4f4d51-af9b-4650-94b4-4276bee85c91;IT|0774613c-01ed-4e5d-a25d-11d2388de825;FR|d2afafd3-4c81-4f60-8f52-ee33f2f54ff3;HR|2f555653-ed1a-4fe6-8362-9082d95989e5;SL|98a412ae-eb01-49e9-ae3d-585a81724cfc;HU|6b229040-c589-4408-b4c1-4285663d20a8;RO|feb747a2-64cd-4299-af12-4833ddc30497;ES|e7a6b05b-ae16-40c8-add9-68b64b03aeba;PT|50ccc04a-eadd-42ae-a0cb-acaf45f812ba</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