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2DD4D" w14:textId="44B6FB24" w:rsidR="004D7AC0" w:rsidRPr="005835DE" w:rsidRDefault="00A27BD2" w:rsidP="004D7AC0">
      <w:pPr>
        <w:jc w:val="center"/>
      </w:pPr>
      <w:r w:rsidRPr="005835DE">
        <w:rPr>
          <w:noProof/>
        </w:rPr>
        <w:drawing>
          <wp:inline distT="0" distB="0" distL="0" distR="0" wp14:anchorId="59D2379E" wp14:editId="7E37FB77">
            <wp:extent cx="1792605" cy="1239520"/>
            <wp:effectExtent l="0" t="0" r="0" b="0"/>
            <wp:docPr id="1" name="Picture 1" title="EESCLogo_IT"/>
            <wp:cNvGraphicFramePr/>
            <a:graphic xmlns:a="http://schemas.openxmlformats.org/drawingml/2006/main">
              <a:graphicData uri="http://schemas.openxmlformats.org/drawingml/2006/picture">
                <pic:pic xmlns:pic="http://schemas.openxmlformats.org/drawingml/2006/picture">
                  <pic:nvPicPr>
                    <pic:cNvPr id="1" name="Picture 1" title="EESCLogo_I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4D7AC0" w:rsidRPr="005835DE">
        <w:rPr>
          <w:noProof/>
          <w:sz w:val="20"/>
        </w:rPr>
        <mc:AlternateContent>
          <mc:Choice Requires="wps">
            <w:drawing>
              <wp:anchor distT="0" distB="0" distL="114300" distR="114300" simplePos="0" relativeHeight="251659264" behindDoc="1" locked="0" layoutInCell="0" allowOverlap="1" wp14:anchorId="4982DE48" wp14:editId="3ACD781C">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2DE54" w14:textId="77777777" w:rsidR="004D7AC0" w:rsidRPr="00260E65" w:rsidRDefault="004D7AC0" w:rsidP="004D7AC0">
                            <w:pPr>
                              <w:jc w:val="center"/>
                              <w:rPr>
                                <w:rFonts w:ascii="Arial" w:hAnsi="Arial" w:cs="Arial"/>
                                <w:b/>
                                <w:bCs/>
                                <w:sz w:val="48"/>
                              </w:rPr>
                            </w:pPr>
                            <w:r>
                              <w:rPr>
                                <w:rFonts w:ascii="Arial" w:hAnsi="Arial"/>
                                <w:b/>
                                <w:sz w:val="48"/>
                              </w:rPr>
                              <w:t>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82DE48"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4982DE54" w14:textId="77777777" w:rsidR="004D7AC0" w:rsidRPr="00260E65" w:rsidRDefault="004D7AC0" w:rsidP="004D7AC0">
                      <w:pPr>
                        <w:jc w:val="center"/>
                        <w:rPr>
                          <w:rFonts w:ascii="Arial" w:hAnsi="Arial" w:cs="Arial"/>
                          <w:b/>
                          <w:bCs/>
                          <w:sz w:val="48"/>
                        </w:rPr>
                      </w:pPr>
                      <w:r>
                        <w:rPr>
                          <w:rFonts w:ascii="Arial" w:hAnsi="Arial"/>
                          <w:b/>
                          <w:sz w:val="48"/>
                        </w:rPr>
                        <w:t>IT</w:t>
                      </w:r>
                    </w:p>
                  </w:txbxContent>
                </v:textbox>
                <w10:wrap anchorx="page" anchory="page"/>
              </v:shape>
            </w:pict>
          </mc:Fallback>
        </mc:AlternateContent>
      </w:r>
    </w:p>
    <w:p w14:paraId="4982DD4E" w14:textId="77777777" w:rsidR="004D7AC0" w:rsidRPr="005835DE" w:rsidRDefault="004D7AC0" w:rsidP="004D7AC0"/>
    <w:p w14:paraId="4982DD4F" w14:textId="583AC3F3" w:rsidR="004D7AC0" w:rsidRPr="005835DE" w:rsidRDefault="004D7AC0" w:rsidP="004D7AC0">
      <w:pPr>
        <w:jc w:val="right"/>
      </w:pPr>
      <w:r w:rsidRPr="005835DE">
        <w:t>Bruxelles, 17 dicembre 2025</w:t>
      </w:r>
    </w:p>
    <w:p w14:paraId="4982DD50" w14:textId="77777777" w:rsidR="004D7AC0" w:rsidRPr="005835DE" w:rsidRDefault="004D7AC0" w:rsidP="004D7AC0"/>
    <w:p w14:paraId="4982DD51" w14:textId="77777777" w:rsidR="004D7AC0" w:rsidRPr="005835DE" w:rsidRDefault="004D7AC0" w:rsidP="004D7AC0"/>
    <w:p w14:paraId="4982DD52" w14:textId="77777777" w:rsidR="004D7AC0" w:rsidRPr="005835DE" w:rsidRDefault="004D7AC0" w:rsidP="004D7AC0"/>
    <w:tbl>
      <w:tblPr>
        <w:tblW w:w="0" w:type="auto"/>
        <w:tblLook w:val="04A0" w:firstRow="1" w:lastRow="0" w:firstColumn="1" w:lastColumn="0" w:noHBand="0" w:noVBand="1"/>
      </w:tblPr>
      <w:tblGrid>
        <w:gridCol w:w="9073"/>
      </w:tblGrid>
      <w:tr w:rsidR="004D7AC0" w:rsidRPr="005835DE" w14:paraId="4982DD59" w14:textId="77777777" w:rsidTr="00600C84">
        <w:tc>
          <w:tcPr>
            <w:tcW w:w="9289" w:type="dxa"/>
            <w:tcBorders>
              <w:bottom w:val="double" w:sz="4" w:space="0" w:color="auto"/>
            </w:tcBorders>
          </w:tcPr>
          <w:p w14:paraId="4982DD53" w14:textId="02802AB8" w:rsidR="003066BE" w:rsidRPr="005835DE" w:rsidRDefault="00340927" w:rsidP="00600C84">
            <w:pPr>
              <w:snapToGrid w:val="0"/>
              <w:jc w:val="center"/>
              <w:rPr>
                <w:b/>
                <w:sz w:val="32"/>
                <w:szCs w:val="32"/>
              </w:rPr>
            </w:pPr>
            <w:r w:rsidRPr="005835DE">
              <w:rPr>
                <w:b/>
                <w:sz w:val="32"/>
              </w:rPr>
              <w:t>601ª SESSIONE PLENARIA</w:t>
            </w:r>
          </w:p>
          <w:p w14:paraId="4982DD54" w14:textId="77777777" w:rsidR="003066BE" w:rsidRPr="005835DE" w:rsidRDefault="003066BE" w:rsidP="00600C84">
            <w:pPr>
              <w:snapToGrid w:val="0"/>
              <w:jc w:val="center"/>
              <w:rPr>
                <w:b/>
                <w:sz w:val="32"/>
                <w:szCs w:val="32"/>
              </w:rPr>
            </w:pPr>
          </w:p>
          <w:p w14:paraId="4982DD55" w14:textId="2F334972" w:rsidR="003066BE" w:rsidRPr="005835DE" w:rsidRDefault="00340927" w:rsidP="00600C84">
            <w:pPr>
              <w:snapToGrid w:val="0"/>
              <w:jc w:val="center"/>
              <w:rPr>
                <w:b/>
                <w:sz w:val="32"/>
                <w:szCs w:val="32"/>
              </w:rPr>
            </w:pPr>
            <w:r w:rsidRPr="005835DE">
              <w:rPr>
                <w:b/>
                <w:sz w:val="32"/>
              </w:rPr>
              <w:t>3 e 4 dicembre 2025</w:t>
            </w:r>
          </w:p>
          <w:p w14:paraId="4982DD56" w14:textId="77777777" w:rsidR="003066BE" w:rsidRPr="005835DE" w:rsidRDefault="003066BE" w:rsidP="00600C84">
            <w:pPr>
              <w:snapToGrid w:val="0"/>
              <w:jc w:val="center"/>
              <w:rPr>
                <w:b/>
                <w:sz w:val="32"/>
                <w:szCs w:val="32"/>
              </w:rPr>
            </w:pPr>
          </w:p>
          <w:p w14:paraId="4982DD57" w14:textId="4CD0A070" w:rsidR="004D7AC0" w:rsidRPr="005835DE" w:rsidRDefault="00754027" w:rsidP="00600C84">
            <w:pPr>
              <w:snapToGrid w:val="0"/>
              <w:jc w:val="center"/>
              <w:rPr>
                <w:rFonts w:eastAsia="MS Mincho"/>
                <w:b/>
                <w:sz w:val="32"/>
                <w:szCs w:val="32"/>
              </w:rPr>
            </w:pPr>
            <w:r w:rsidRPr="005835DE">
              <w:rPr>
                <w:b/>
                <w:sz w:val="32"/>
              </w:rPr>
              <w:t xml:space="preserve">SINTESI DEI PARERI, </w:t>
            </w:r>
            <w:r w:rsidRPr="005835DE">
              <w:rPr>
                <w:b/>
                <w:sz w:val="32"/>
              </w:rPr>
              <w:br/>
              <w:t xml:space="preserve">DELLE RISOLUZIONI </w:t>
            </w:r>
            <w:r w:rsidR="00332E33" w:rsidRPr="005835DE">
              <w:rPr>
                <w:b/>
                <w:sz w:val="32"/>
              </w:rPr>
              <w:t>E</w:t>
            </w:r>
            <w:r w:rsidRPr="005835DE">
              <w:rPr>
                <w:b/>
                <w:sz w:val="32"/>
              </w:rPr>
              <w:t xml:space="preserve"> DELLE RELAZIONI INFORMATIVE/DI VALUTAZIONE ADOTTATI</w:t>
            </w:r>
          </w:p>
          <w:p w14:paraId="4982DD58" w14:textId="77777777" w:rsidR="004D7AC0" w:rsidRPr="005835DE" w:rsidRDefault="004D7AC0" w:rsidP="00600C84">
            <w:pPr>
              <w:snapToGrid w:val="0"/>
            </w:pPr>
          </w:p>
        </w:tc>
      </w:tr>
      <w:tr w:rsidR="004D7AC0" w:rsidRPr="005835DE" w14:paraId="4982DD5F" w14:textId="77777777" w:rsidTr="00600C84">
        <w:tc>
          <w:tcPr>
            <w:tcW w:w="9289" w:type="dxa"/>
            <w:tcBorders>
              <w:top w:val="double" w:sz="4" w:space="0" w:color="auto"/>
              <w:left w:val="double" w:sz="4" w:space="0" w:color="auto"/>
              <w:bottom w:val="double" w:sz="4" w:space="0" w:color="auto"/>
              <w:right w:val="double" w:sz="4" w:space="0" w:color="auto"/>
            </w:tcBorders>
          </w:tcPr>
          <w:p w14:paraId="4982DD5A" w14:textId="0C0FF99D" w:rsidR="004D7AC0" w:rsidRPr="005835DE" w:rsidRDefault="004D7AC0" w:rsidP="00600C84">
            <w:pPr>
              <w:snapToGrid w:val="0"/>
              <w:jc w:val="center"/>
            </w:pPr>
            <w:r w:rsidRPr="005835DE">
              <w:t xml:space="preserve">Il presente documento è accessibile in tutte le lingue ufficiali dell'Unione europea </w:t>
            </w:r>
            <w:r w:rsidRPr="005835DE">
              <w:br/>
              <w:t>sul sito Internet del CESE al seguente indirizzo:</w:t>
            </w:r>
            <w:r w:rsidRPr="005835DE">
              <w:br/>
            </w:r>
            <w:hyperlink r:id="rId12" w:history="1">
              <w:r w:rsidRPr="005835DE">
                <w:rPr>
                  <w:rStyle w:val="Hyperlink"/>
                </w:rPr>
                <w:t>https://www.eesc.europa.eu/it/our-work/opinions-information-reports/plenary-session-summaries</w:t>
              </w:r>
            </w:hyperlink>
          </w:p>
          <w:p w14:paraId="4982DD5B" w14:textId="77777777" w:rsidR="004D7AC0" w:rsidRPr="005835DE" w:rsidRDefault="004D7AC0" w:rsidP="00600C84">
            <w:pPr>
              <w:snapToGrid w:val="0"/>
              <w:jc w:val="center"/>
            </w:pPr>
          </w:p>
          <w:p w14:paraId="4982DD5C" w14:textId="77777777" w:rsidR="004D7AC0" w:rsidRPr="005835DE" w:rsidRDefault="004D7AC0" w:rsidP="00600C84">
            <w:pPr>
              <w:snapToGrid w:val="0"/>
              <w:jc w:val="center"/>
              <w:rPr>
                <w:rFonts w:eastAsia="SimSun"/>
              </w:rPr>
            </w:pPr>
          </w:p>
          <w:p w14:paraId="4982DD5D" w14:textId="77777777" w:rsidR="004D7AC0" w:rsidRPr="005835DE" w:rsidRDefault="004D7AC0" w:rsidP="00600C84">
            <w:pPr>
              <w:snapToGrid w:val="0"/>
              <w:jc w:val="center"/>
            </w:pPr>
            <w:r w:rsidRPr="005835DE">
              <w:t>I pareri menzionati possono essere consultati online tramite il motore di ricerca del CESE:</w:t>
            </w:r>
            <w:r w:rsidRPr="005835DE">
              <w:br/>
            </w:r>
            <w:hyperlink r:id="rId13" w:history="1">
              <w:r w:rsidRPr="005835DE">
                <w:rPr>
                  <w:rStyle w:val="Hyperlink"/>
                </w:rPr>
                <w:t>https://dmsearch.eesc.europa.eu/search/opinion</w:t>
              </w:r>
            </w:hyperlink>
          </w:p>
          <w:p w14:paraId="4982DD5E" w14:textId="77777777" w:rsidR="004D7AC0" w:rsidRPr="005835DE" w:rsidRDefault="004D7AC0" w:rsidP="00600C84">
            <w:pPr>
              <w:snapToGrid w:val="0"/>
              <w:jc w:val="center"/>
            </w:pPr>
          </w:p>
        </w:tc>
      </w:tr>
    </w:tbl>
    <w:p w14:paraId="4982DD60" w14:textId="77777777" w:rsidR="004D7AC0" w:rsidRPr="005835DE" w:rsidRDefault="004D7AC0" w:rsidP="004D7AC0"/>
    <w:p w14:paraId="4982DD61" w14:textId="77777777" w:rsidR="004D7AC0" w:rsidRPr="005835DE" w:rsidRDefault="004D7AC0" w:rsidP="004D7AC0"/>
    <w:p w14:paraId="4982DD62" w14:textId="77777777" w:rsidR="004D7AC0" w:rsidRPr="005835DE" w:rsidRDefault="004D7AC0" w:rsidP="004D7AC0">
      <w:pPr>
        <w:sectPr w:rsidR="004D7AC0" w:rsidRPr="005835DE" w:rsidSect="00EE6F0B">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pgNumType w:start="1"/>
          <w:cols w:space="708"/>
          <w:docGrid w:linePitch="360"/>
        </w:sectPr>
      </w:pPr>
    </w:p>
    <w:p w14:paraId="4982DD63" w14:textId="77777777" w:rsidR="004D7AC0" w:rsidRPr="005835DE" w:rsidRDefault="004D7AC0" w:rsidP="004D7AC0">
      <w:pPr>
        <w:rPr>
          <w:b/>
        </w:rPr>
      </w:pPr>
      <w:r w:rsidRPr="005835DE">
        <w:rPr>
          <w:b/>
        </w:rPr>
        <w:lastRenderedPageBreak/>
        <w:t>Indice:</w:t>
      </w:r>
    </w:p>
    <w:sdt>
      <w:sdtPr>
        <w:rPr>
          <w:rFonts w:ascii="Times New Roman" w:eastAsia="Times New Roman" w:hAnsi="Times New Roman" w:cs="Times New Roman"/>
          <w:color w:val="auto"/>
          <w:sz w:val="22"/>
          <w:szCs w:val="22"/>
        </w:rPr>
        <w:id w:val="-17007477"/>
        <w:docPartObj>
          <w:docPartGallery w:val="Table of Contents"/>
          <w:docPartUnique/>
        </w:docPartObj>
      </w:sdtPr>
      <w:sdtEndPr>
        <w:rPr>
          <w:b/>
          <w:bCs/>
          <w:noProof/>
        </w:rPr>
      </w:sdtEndPr>
      <w:sdtContent>
        <w:p w14:paraId="4982DD64" w14:textId="77777777" w:rsidR="004D7AC0" w:rsidRPr="005835DE" w:rsidRDefault="004D7AC0" w:rsidP="004D7AC0">
          <w:pPr>
            <w:pStyle w:val="TOCHeading"/>
            <w:rPr>
              <w:rFonts w:ascii="Times New Roman" w:hAnsi="Times New Roman" w:cs="Times New Roman"/>
              <w:color w:val="auto"/>
              <w:sz w:val="22"/>
              <w:szCs w:val="22"/>
            </w:rPr>
          </w:pPr>
        </w:p>
        <w:p w14:paraId="48E1286D" w14:textId="35CA0F9B" w:rsidR="00F00B42" w:rsidRDefault="004D7AC0">
          <w:pPr>
            <w:pStyle w:val="TOC1"/>
            <w:tabs>
              <w:tab w:val="left" w:pos="440"/>
              <w:tab w:val="right" w:leader="dot" w:pos="9063"/>
            </w:tabs>
            <w:rPr>
              <w:rFonts w:asciiTheme="minorHAnsi" w:eastAsiaTheme="minorEastAsia" w:hAnsiTheme="minorHAnsi" w:cstheme="minorBidi"/>
              <w:noProof/>
              <w:lang w:val="en-US"/>
            </w:rPr>
          </w:pPr>
          <w:r w:rsidRPr="005835DE">
            <w:fldChar w:fldCharType="begin"/>
          </w:r>
          <w:r w:rsidRPr="005835DE">
            <w:instrText xml:space="preserve"> TOC \o "1-3" \h \z \u </w:instrText>
          </w:r>
          <w:r w:rsidRPr="005835DE">
            <w:fldChar w:fldCharType="separate"/>
          </w:r>
          <w:hyperlink w:anchor="_Toc216702587" w:history="1">
            <w:r w:rsidR="00F00B42" w:rsidRPr="00A76475">
              <w:rPr>
                <w:rStyle w:val="Hyperlink"/>
                <w:b/>
                <w:noProof/>
              </w:rPr>
              <w:t>1.</w:t>
            </w:r>
            <w:r w:rsidR="00F00B42">
              <w:rPr>
                <w:rFonts w:asciiTheme="minorHAnsi" w:eastAsiaTheme="minorEastAsia" w:hAnsiTheme="minorHAnsi" w:cstheme="minorBidi"/>
                <w:noProof/>
                <w:lang w:val="en-US"/>
              </w:rPr>
              <w:tab/>
            </w:r>
            <w:r w:rsidR="00F00B42" w:rsidRPr="00A76475">
              <w:rPr>
                <w:rStyle w:val="Hyperlink"/>
                <w:b/>
                <w:noProof/>
              </w:rPr>
              <w:t>UNIONE ECONOMICA E MONETARIA, COESIONE ECONOMICA E SOCIALE</w:t>
            </w:r>
            <w:r w:rsidR="00F00B42">
              <w:rPr>
                <w:noProof/>
                <w:webHidden/>
              </w:rPr>
              <w:tab/>
            </w:r>
            <w:r w:rsidR="00F00B42">
              <w:rPr>
                <w:noProof/>
                <w:webHidden/>
              </w:rPr>
              <w:fldChar w:fldCharType="begin"/>
            </w:r>
            <w:r w:rsidR="00F00B42">
              <w:rPr>
                <w:noProof/>
                <w:webHidden/>
              </w:rPr>
              <w:instrText xml:space="preserve"> PAGEREF _Toc216702587 \h </w:instrText>
            </w:r>
            <w:r w:rsidR="00F00B42">
              <w:rPr>
                <w:noProof/>
                <w:webHidden/>
              </w:rPr>
            </w:r>
            <w:r w:rsidR="00F00B42">
              <w:rPr>
                <w:noProof/>
                <w:webHidden/>
              </w:rPr>
              <w:fldChar w:fldCharType="separate"/>
            </w:r>
            <w:r w:rsidR="00520E78">
              <w:rPr>
                <w:noProof/>
                <w:webHidden/>
              </w:rPr>
              <w:t>3</w:t>
            </w:r>
            <w:r w:rsidR="00F00B42">
              <w:rPr>
                <w:noProof/>
                <w:webHidden/>
              </w:rPr>
              <w:fldChar w:fldCharType="end"/>
            </w:r>
          </w:hyperlink>
        </w:p>
        <w:p w14:paraId="75C2A254" w14:textId="436EC83E" w:rsidR="00F00B42" w:rsidRPr="00F00B42" w:rsidRDefault="00520E78" w:rsidP="00F00B42">
          <w:pPr>
            <w:pStyle w:val="TOC1"/>
            <w:tabs>
              <w:tab w:val="left" w:pos="440"/>
              <w:tab w:val="right" w:leader="dot" w:pos="9063"/>
            </w:tabs>
            <w:rPr>
              <w:rFonts w:asciiTheme="minorHAnsi" w:eastAsiaTheme="minorEastAsia" w:hAnsiTheme="minorHAnsi" w:cstheme="minorBidi"/>
              <w:noProof/>
              <w:lang w:val="en-US"/>
            </w:rPr>
          </w:pPr>
          <w:hyperlink w:anchor="_Toc216702588" w:history="1">
            <w:r w:rsidR="00F00B42" w:rsidRPr="00A76475">
              <w:rPr>
                <w:rStyle w:val="Hyperlink"/>
                <w:b/>
                <w:noProof/>
              </w:rPr>
              <w:t>2.</w:t>
            </w:r>
            <w:r w:rsidR="00F00B42">
              <w:rPr>
                <w:rFonts w:asciiTheme="minorHAnsi" w:eastAsiaTheme="minorEastAsia" w:hAnsiTheme="minorHAnsi" w:cstheme="minorBidi"/>
                <w:noProof/>
                <w:lang w:val="en-US"/>
              </w:rPr>
              <w:tab/>
            </w:r>
            <w:r w:rsidR="00F00B42" w:rsidRPr="00A76475">
              <w:rPr>
                <w:rStyle w:val="Hyperlink"/>
                <w:b/>
                <w:noProof/>
              </w:rPr>
              <w:t>OCCUPAZIONE, AFFARI SOCIALI E CITTADINANZA</w:t>
            </w:r>
            <w:r w:rsidR="00F00B42">
              <w:rPr>
                <w:noProof/>
                <w:webHidden/>
              </w:rPr>
              <w:tab/>
            </w:r>
            <w:r w:rsidR="00F00B42">
              <w:rPr>
                <w:noProof/>
                <w:webHidden/>
              </w:rPr>
              <w:fldChar w:fldCharType="begin"/>
            </w:r>
            <w:r w:rsidR="00F00B42">
              <w:rPr>
                <w:noProof/>
                <w:webHidden/>
              </w:rPr>
              <w:instrText xml:space="preserve"> PAGEREF _Toc216702588 \h </w:instrText>
            </w:r>
            <w:r w:rsidR="00F00B42">
              <w:rPr>
                <w:noProof/>
                <w:webHidden/>
              </w:rPr>
            </w:r>
            <w:r w:rsidR="00F00B42">
              <w:rPr>
                <w:noProof/>
                <w:webHidden/>
              </w:rPr>
              <w:fldChar w:fldCharType="separate"/>
            </w:r>
            <w:r>
              <w:rPr>
                <w:noProof/>
                <w:webHidden/>
              </w:rPr>
              <w:t>7</w:t>
            </w:r>
            <w:r w:rsidR="00F00B42">
              <w:rPr>
                <w:noProof/>
                <w:webHidden/>
              </w:rPr>
              <w:fldChar w:fldCharType="end"/>
            </w:r>
          </w:hyperlink>
        </w:p>
        <w:p w14:paraId="46DA6EA9" w14:textId="3179A26E" w:rsidR="00F00B42" w:rsidRDefault="00520E78">
          <w:pPr>
            <w:pStyle w:val="TOC1"/>
            <w:tabs>
              <w:tab w:val="left" w:pos="440"/>
              <w:tab w:val="right" w:leader="dot" w:pos="9063"/>
            </w:tabs>
            <w:rPr>
              <w:rFonts w:asciiTheme="minorHAnsi" w:eastAsiaTheme="minorEastAsia" w:hAnsiTheme="minorHAnsi" w:cstheme="minorBidi"/>
              <w:noProof/>
              <w:lang w:val="en-US"/>
            </w:rPr>
          </w:pPr>
          <w:hyperlink w:anchor="_Toc216702593" w:history="1">
            <w:r w:rsidR="00F00B42" w:rsidRPr="00A76475">
              <w:rPr>
                <w:rStyle w:val="Hyperlink"/>
                <w:b/>
                <w:noProof/>
              </w:rPr>
              <w:t>3.</w:t>
            </w:r>
            <w:r w:rsidR="00F00B42">
              <w:rPr>
                <w:rFonts w:asciiTheme="minorHAnsi" w:eastAsiaTheme="minorEastAsia" w:hAnsiTheme="minorHAnsi" w:cstheme="minorBidi"/>
                <w:noProof/>
                <w:lang w:val="en-US"/>
              </w:rPr>
              <w:tab/>
            </w:r>
            <w:r w:rsidR="00F00B42" w:rsidRPr="00A76475">
              <w:rPr>
                <w:rStyle w:val="Hyperlink"/>
                <w:b/>
                <w:noProof/>
              </w:rPr>
              <w:t>TRASPORTI, ENERGIA, INFRASTRUTTURE E SOCIETÀ DELL'INFORMAZIONE</w:t>
            </w:r>
            <w:r w:rsidR="00F00B42">
              <w:rPr>
                <w:noProof/>
                <w:webHidden/>
              </w:rPr>
              <w:tab/>
            </w:r>
            <w:r w:rsidR="00F00B42">
              <w:rPr>
                <w:noProof/>
                <w:webHidden/>
              </w:rPr>
              <w:fldChar w:fldCharType="begin"/>
            </w:r>
            <w:r w:rsidR="00F00B42">
              <w:rPr>
                <w:noProof/>
                <w:webHidden/>
              </w:rPr>
              <w:instrText xml:space="preserve"> PAGEREF _Toc216702593 \h </w:instrText>
            </w:r>
            <w:r w:rsidR="00F00B42">
              <w:rPr>
                <w:noProof/>
                <w:webHidden/>
              </w:rPr>
            </w:r>
            <w:r w:rsidR="00F00B42">
              <w:rPr>
                <w:noProof/>
                <w:webHidden/>
              </w:rPr>
              <w:fldChar w:fldCharType="separate"/>
            </w:r>
            <w:r>
              <w:rPr>
                <w:noProof/>
                <w:webHidden/>
              </w:rPr>
              <w:t>11</w:t>
            </w:r>
            <w:r w:rsidR="00F00B42">
              <w:rPr>
                <w:noProof/>
                <w:webHidden/>
              </w:rPr>
              <w:fldChar w:fldCharType="end"/>
            </w:r>
          </w:hyperlink>
        </w:p>
        <w:p w14:paraId="44D413A6" w14:textId="4FE25BCB" w:rsidR="00F00B42" w:rsidRDefault="00520E78">
          <w:pPr>
            <w:pStyle w:val="TOC1"/>
            <w:tabs>
              <w:tab w:val="left" w:pos="440"/>
              <w:tab w:val="right" w:leader="dot" w:pos="9063"/>
            </w:tabs>
            <w:rPr>
              <w:rFonts w:asciiTheme="minorHAnsi" w:eastAsiaTheme="minorEastAsia" w:hAnsiTheme="minorHAnsi" w:cstheme="minorBidi"/>
              <w:noProof/>
              <w:lang w:val="en-US"/>
            </w:rPr>
          </w:pPr>
          <w:hyperlink w:anchor="_Toc216702594" w:history="1">
            <w:r w:rsidR="00F00B42" w:rsidRPr="00A76475">
              <w:rPr>
                <w:rStyle w:val="Hyperlink"/>
                <w:b/>
                <w:noProof/>
              </w:rPr>
              <w:t>4.</w:t>
            </w:r>
            <w:r w:rsidR="00F00B42">
              <w:rPr>
                <w:rFonts w:asciiTheme="minorHAnsi" w:eastAsiaTheme="minorEastAsia" w:hAnsiTheme="minorHAnsi" w:cstheme="minorBidi"/>
                <w:noProof/>
                <w:lang w:val="en-US"/>
              </w:rPr>
              <w:tab/>
            </w:r>
            <w:r w:rsidR="00F00B42" w:rsidRPr="00A76475">
              <w:rPr>
                <w:rStyle w:val="Hyperlink"/>
                <w:b/>
                <w:noProof/>
              </w:rPr>
              <w:t>MERCATO UNICO, PRODUZIONE E CONSUMO</w:t>
            </w:r>
            <w:r w:rsidR="00F00B42">
              <w:rPr>
                <w:noProof/>
                <w:webHidden/>
              </w:rPr>
              <w:tab/>
            </w:r>
            <w:r w:rsidR="00F00B42">
              <w:rPr>
                <w:noProof/>
                <w:webHidden/>
              </w:rPr>
              <w:fldChar w:fldCharType="begin"/>
            </w:r>
            <w:r w:rsidR="00F00B42">
              <w:rPr>
                <w:noProof/>
                <w:webHidden/>
              </w:rPr>
              <w:instrText xml:space="preserve"> PAGEREF _Toc216702594 \h </w:instrText>
            </w:r>
            <w:r w:rsidR="00F00B42">
              <w:rPr>
                <w:noProof/>
                <w:webHidden/>
              </w:rPr>
            </w:r>
            <w:r w:rsidR="00F00B42">
              <w:rPr>
                <w:noProof/>
                <w:webHidden/>
              </w:rPr>
              <w:fldChar w:fldCharType="separate"/>
            </w:r>
            <w:r>
              <w:rPr>
                <w:noProof/>
                <w:webHidden/>
              </w:rPr>
              <w:t>15</w:t>
            </w:r>
            <w:r w:rsidR="00F00B42">
              <w:rPr>
                <w:noProof/>
                <w:webHidden/>
              </w:rPr>
              <w:fldChar w:fldCharType="end"/>
            </w:r>
          </w:hyperlink>
        </w:p>
        <w:p w14:paraId="1702A15F" w14:textId="2394128D" w:rsidR="00F00B42" w:rsidRDefault="00520E78">
          <w:pPr>
            <w:pStyle w:val="TOC1"/>
            <w:tabs>
              <w:tab w:val="left" w:pos="440"/>
              <w:tab w:val="right" w:leader="dot" w:pos="9063"/>
            </w:tabs>
            <w:rPr>
              <w:rFonts w:asciiTheme="minorHAnsi" w:eastAsiaTheme="minorEastAsia" w:hAnsiTheme="minorHAnsi" w:cstheme="minorBidi"/>
              <w:noProof/>
              <w:lang w:val="en-US"/>
            </w:rPr>
          </w:pPr>
          <w:hyperlink w:anchor="_Toc216702595" w:history="1">
            <w:r w:rsidR="00F00B42" w:rsidRPr="00A76475">
              <w:rPr>
                <w:rStyle w:val="Hyperlink"/>
                <w:b/>
                <w:noProof/>
              </w:rPr>
              <w:t>5.</w:t>
            </w:r>
            <w:r w:rsidR="00F00B42">
              <w:rPr>
                <w:rFonts w:asciiTheme="minorHAnsi" w:eastAsiaTheme="minorEastAsia" w:hAnsiTheme="minorHAnsi" w:cstheme="minorBidi"/>
                <w:noProof/>
                <w:lang w:val="en-US"/>
              </w:rPr>
              <w:tab/>
            </w:r>
            <w:r w:rsidR="00F00B42" w:rsidRPr="00A76475">
              <w:rPr>
                <w:rStyle w:val="Hyperlink"/>
                <w:b/>
                <w:noProof/>
              </w:rPr>
              <w:t>AGRICOLTURA, SVILUPPO RURALE E AMBIENTE</w:t>
            </w:r>
            <w:r w:rsidR="00F00B42">
              <w:rPr>
                <w:noProof/>
                <w:webHidden/>
              </w:rPr>
              <w:tab/>
            </w:r>
            <w:r w:rsidR="00F00B42">
              <w:rPr>
                <w:noProof/>
                <w:webHidden/>
              </w:rPr>
              <w:fldChar w:fldCharType="begin"/>
            </w:r>
            <w:r w:rsidR="00F00B42">
              <w:rPr>
                <w:noProof/>
                <w:webHidden/>
              </w:rPr>
              <w:instrText xml:space="preserve"> PAGEREF _Toc216702595 \h </w:instrText>
            </w:r>
            <w:r w:rsidR="00F00B42">
              <w:rPr>
                <w:noProof/>
                <w:webHidden/>
              </w:rPr>
            </w:r>
            <w:r w:rsidR="00F00B42">
              <w:rPr>
                <w:noProof/>
                <w:webHidden/>
              </w:rPr>
              <w:fldChar w:fldCharType="separate"/>
            </w:r>
            <w:r>
              <w:rPr>
                <w:noProof/>
                <w:webHidden/>
              </w:rPr>
              <w:t>19</w:t>
            </w:r>
            <w:r w:rsidR="00F00B42">
              <w:rPr>
                <w:noProof/>
                <w:webHidden/>
              </w:rPr>
              <w:fldChar w:fldCharType="end"/>
            </w:r>
          </w:hyperlink>
        </w:p>
        <w:p w14:paraId="5AF579B9" w14:textId="2CB1D0F7" w:rsidR="00F00B42" w:rsidRDefault="00520E78">
          <w:pPr>
            <w:pStyle w:val="TOC1"/>
            <w:tabs>
              <w:tab w:val="left" w:pos="440"/>
              <w:tab w:val="right" w:leader="dot" w:pos="9063"/>
            </w:tabs>
            <w:rPr>
              <w:rFonts w:asciiTheme="minorHAnsi" w:eastAsiaTheme="minorEastAsia" w:hAnsiTheme="minorHAnsi" w:cstheme="minorBidi"/>
              <w:noProof/>
              <w:lang w:val="en-US"/>
            </w:rPr>
          </w:pPr>
          <w:hyperlink w:anchor="_Toc216702596" w:history="1">
            <w:r w:rsidR="00F00B42" w:rsidRPr="00A76475">
              <w:rPr>
                <w:rStyle w:val="Hyperlink"/>
                <w:b/>
                <w:noProof/>
              </w:rPr>
              <w:t>6.</w:t>
            </w:r>
            <w:r w:rsidR="00F00B42">
              <w:rPr>
                <w:rFonts w:asciiTheme="minorHAnsi" w:eastAsiaTheme="minorEastAsia" w:hAnsiTheme="minorHAnsi" w:cstheme="minorBidi"/>
                <w:noProof/>
                <w:lang w:val="en-US"/>
              </w:rPr>
              <w:tab/>
            </w:r>
            <w:r w:rsidR="00F00B42" w:rsidRPr="00A76475">
              <w:rPr>
                <w:rStyle w:val="Hyperlink"/>
                <w:b/>
                <w:noProof/>
              </w:rPr>
              <w:t>RELAZIONI ESTERNE</w:t>
            </w:r>
            <w:r w:rsidR="00F00B42">
              <w:rPr>
                <w:noProof/>
                <w:webHidden/>
              </w:rPr>
              <w:tab/>
            </w:r>
            <w:r w:rsidR="00F00B42">
              <w:rPr>
                <w:noProof/>
                <w:webHidden/>
              </w:rPr>
              <w:fldChar w:fldCharType="begin"/>
            </w:r>
            <w:r w:rsidR="00F00B42">
              <w:rPr>
                <w:noProof/>
                <w:webHidden/>
              </w:rPr>
              <w:instrText xml:space="preserve"> PAGEREF _Toc216702596 \h </w:instrText>
            </w:r>
            <w:r w:rsidR="00F00B42">
              <w:rPr>
                <w:noProof/>
                <w:webHidden/>
              </w:rPr>
            </w:r>
            <w:r w:rsidR="00F00B42">
              <w:rPr>
                <w:noProof/>
                <w:webHidden/>
              </w:rPr>
              <w:fldChar w:fldCharType="separate"/>
            </w:r>
            <w:r>
              <w:rPr>
                <w:noProof/>
                <w:webHidden/>
              </w:rPr>
              <w:t>21</w:t>
            </w:r>
            <w:r w:rsidR="00F00B42">
              <w:rPr>
                <w:noProof/>
                <w:webHidden/>
              </w:rPr>
              <w:fldChar w:fldCharType="end"/>
            </w:r>
          </w:hyperlink>
        </w:p>
        <w:p w14:paraId="164BA199" w14:textId="6EFE5C72" w:rsidR="00F00B42" w:rsidRDefault="00520E78">
          <w:pPr>
            <w:pStyle w:val="TOC1"/>
            <w:tabs>
              <w:tab w:val="left" w:pos="440"/>
              <w:tab w:val="right" w:leader="dot" w:pos="9063"/>
            </w:tabs>
            <w:rPr>
              <w:rFonts w:asciiTheme="minorHAnsi" w:eastAsiaTheme="minorEastAsia" w:hAnsiTheme="minorHAnsi" w:cstheme="minorBidi"/>
              <w:noProof/>
              <w:lang w:val="en-US"/>
            </w:rPr>
          </w:pPr>
          <w:hyperlink w:anchor="_Toc216702597" w:history="1">
            <w:r w:rsidR="00F00B42" w:rsidRPr="00A76475">
              <w:rPr>
                <w:rStyle w:val="Hyperlink"/>
                <w:b/>
                <w:noProof/>
              </w:rPr>
              <w:t>7.</w:t>
            </w:r>
            <w:r w:rsidR="00F00B42">
              <w:rPr>
                <w:rFonts w:asciiTheme="minorHAnsi" w:eastAsiaTheme="minorEastAsia" w:hAnsiTheme="minorHAnsi" w:cstheme="minorBidi"/>
                <w:noProof/>
                <w:lang w:val="en-US"/>
              </w:rPr>
              <w:tab/>
            </w:r>
            <w:r w:rsidR="00F00B42" w:rsidRPr="00A76475">
              <w:rPr>
                <w:rStyle w:val="Hyperlink"/>
                <w:b/>
                <w:noProof/>
              </w:rPr>
              <w:t>COMMISSIONE CONSULTIVA PER LE TRASFORMAZIONI INDUSTRIALI</w:t>
            </w:r>
            <w:r w:rsidR="00F00B42">
              <w:rPr>
                <w:noProof/>
                <w:webHidden/>
              </w:rPr>
              <w:tab/>
            </w:r>
            <w:r w:rsidR="00F00B42">
              <w:rPr>
                <w:noProof/>
                <w:webHidden/>
              </w:rPr>
              <w:fldChar w:fldCharType="begin"/>
            </w:r>
            <w:r w:rsidR="00F00B42">
              <w:rPr>
                <w:noProof/>
                <w:webHidden/>
              </w:rPr>
              <w:instrText xml:space="preserve"> PAGEREF _Toc216702597 \h </w:instrText>
            </w:r>
            <w:r w:rsidR="00F00B42">
              <w:rPr>
                <w:noProof/>
                <w:webHidden/>
              </w:rPr>
            </w:r>
            <w:r w:rsidR="00F00B42">
              <w:rPr>
                <w:noProof/>
                <w:webHidden/>
              </w:rPr>
              <w:fldChar w:fldCharType="separate"/>
            </w:r>
            <w:r>
              <w:rPr>
                <w:noProof/>
                <w:webHidden/>
              </w:rPr>
              <w:t>24</w:t>
            </w:r>
            <w:r w:rsidR="00F00B42">
              <w:rPr>
                <w:noProof/>
                <w:webHidden/>
              </w:rPr>
              <w:fldChar w:fldCharType="end"/>
            </w:r>
          </w:hyperlink>
        </w:p>
        <w:p w14:paraId="4982DD6A" w14:textId="6E8339EE" w:rsidR="004D7AC0" w:rsidRPr="005835DE" w:rsidRDefault="004D7AC0" w:rsidP="004D7AC0">
          <w:r w:rsidRPr="005835DE">
            <w:rPr>
              <w:b/>
            </w:rPr>
            <w:fldChar w:fldCharType="end"/>
          </w:r>
        </w:p>
      </w:sdtContent>
    </w:sdt>
    <w:p w14:paraId="4982DD6B" w14:textId="77777777" w:rsidR="004D7AC0" w:rsidRPr="005835DE" w:rsidRDefault="004D7AC0" w:rsidP="004D7AC0"/>
    <w:p w14:paraId="4982DD6C" w14:textId="77777777" w:rsidR="004D7AC0" w:rsidRPr="005835DE" w:rsidRDefault="004D7AC0" w:rsidP="004D7AC0">
      <w:pPr>
        <w:spacing w:after="160" w:line="259" w:lineRule="auto"/>
        <w:jc w:val="left"/>
      </w:pPr>
      <w:r w:rsidRPr="005835DE">
        <w:br w:type="page"/>
      </w:r>
    </w:p>
    <w:p w14:paraId="4982DD6D" w14:textId="195F8BD2" w:rsidR="004D7AC0" w:rsidRPr="005835DE" w:rsidRDefault="004D7AC0" w:rsidP="004D7AC0">
      <w:pPr>
        <w:pStyle w:val="Heading1"/>
        <w:rPr>
          <w:b/>
        </w:rPr>
      </w:pPr>
      <w:bookmarkStart w:id="0" w:name="_Toc216702587"/>
      <w:r w:rsidRPr="005835DE">
        <w:rPr>
          <w:b/>
        </w:rPr>
        <w:lastRenderedPageBreak/>
        <w:t xml:space="preserve">UNIONE ECONOMICA </w:t>
      </w:r>
      <w:r w:rsidR="00332E33" w:rsidRPr="005835DE">
        <w:rPr>
          <w:b/>
        </w:rPr>
        <w:t>E</w:t>
      </w:r>
      <w:r w:rsidRPr="005835DE">
        <w:rPr>
          <w:b/>
        </w:rPr>
        <w:t xml:space="preserve"> MONETARIA, COESIONE ECONOMICA </w:t>
      </w:r>
      <w:r w:rsidR="00332E33" w:rsidRPr="005835DE">
        <w:rPr>
          <w:b/>
        </w:rPr>
        <w:t>E</w:t>
      </w:r>
      <w:r w:rsidRPr="005835DE">
        <w:rPr>
          <w:b/>
        </w:rPr>
        <w:t xml:space="preserve"> SOCIALE</w:t>
      </w:r>
      <w:bookmarkEnd w:id="0"/>
    </w:p>
    <w:p w14:paraId="4982DD6E" w14:textId="77777777" w:rsidR="004D7AC0" w:rsidRPr="005835DE" w:rsidRDefault="004D7AC0" w:rsidP="004D7AC0"/>
    <w:p w14:paraId="7E506423" w14:textId="4B34D16E" w:rsidR="00612898" w:rsidRPr="005835DE" w:rsidRDefault="00520E78" w:rsidP="00612898">
      <w:pPr>
        <w:widowControl w:val="0"/>
        <w:numPr>
          <w:ilvl w:val="0"/>
          <w:numId w:val="4"/>
        </w:numPr>
        <w:overflowPunct w:val="0"/>
        <w:autoSpaceDE w:val="0"/>
        <w:autoSpaceDN w:val="0"/>
        <w:adjustRightInd w:val="0"/>
        <w:spacing w:after="120"/>
        <w:ind w:hanging="567"/>
        <w:textAlignment w:val="baseline"/>
        <w:rPr>
          <w:b/>
          <w:i/>
          <w:iCs/>
          <w:sz w:val="28"/>
          <w:szCs w:val="28"/>
        </w:rPr>
      </w:pPr>
      <w:hyperlink r:id="rId20" w:history="1">
        <w:r w:rsidR="00A27BD2" w:rsidRPr="005835DE">
          <w:rPr>
            <w:b/>
            <w:i/>
            <w:color w:val="0000FF"/>
            <w:sz w:val="28"/>
            <w:szCs w:val="28"/>
            <w:u w:val="single"/>
          </w:rPr>
          <w:t>Attuazione delle strategie macroregionali dell'UE - 5ª relazione</w:t>
        </w:r>
      </w:hyperlink>
    </w:p>
    <w:p w14:paraId="6D1E8521" w14:textId="77777777" w:rsidR="00612898" w:rsidRPr="005835DE" w:rsidRDefault="00612898" w:rsidP="00612898">
      <w:pPr>
        <w:widowControl w:val="0"/>
        <w:overflowPunct w:val="0"/>
        <w:autoSpaceDE w:val="0"/>
        <w:autoSpaceDN w:val="0"/>
        <w:adjustRightInd w:val="0"/>
        <w:ind w:left="284"/>
        <w:textAlignment w:val="baseline"/>
        <w:rPr>
          <w:b/>
          <w:i/>
          <w:iCs/>
          <w:sz w:val="20"/>
          <w:szCs w:val="20"/>
          <w:lang w:val="en-GB"/>
        </w:rPr>
      </w:pPr>
    </w:p>
    <w:tbl>
      <w:tblPr>
        <w:tblStyle w:val="TableGrid1"/>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21"/>
      </w:tblGrid>
      <w:tr w:rsidR="00612898" w:rsidRPr="005835DE" w14:paraId="05AE56A5" w14:textId="77777777" w:rsidTr="0036489A">
        <w:tc>
          <w:tcPr>
            <w:tcW w:w="1701" w:type="dxa"/>
          </w:tcPr>
          <w:p w14:paraId="46E62AEA" w14:textId="1875D18D" w:rsidR="00612898" w:rsidRPr="005835DE" w:rsidRDefault="00332E33" w:rsidP="00054C58">
            <w:pPr>
              <w:tabs>
                <w:tab w:val="center" w:pos="284"/>
              </w:tabs>
              <w:overflowPunct w:val="0"/>
              <w:autoSpaceDE w:val="0"/>
              <w:autoSpaceDN w:val="0"/>
              <w:adjustRightInd w:val="0"/>
              <w:ind w:left="266" w:hanging="376"/>
              <w:textAlignment w:val="baseline"/>
              <w:rPr>
                <w:b/>
              </w:rPr>
            </w:pPr>
            <w:r w:rsidRPr="005835DE">
              <w:rPr>
                <w:b/>
              </w:rPr>
              <w:t>Relatore</w:t>
            </w:r>
          </w:p>
        </w:tc>
        <w:tc>
          <w:tcPr>
            <w:tcW w:w="7621" w:type="dxa"/>
          </w:tcPr>
          <w:p w14:paraId="07092A74" w14:textId="32DD6781" w:rsidR="008C414B" w:rsidRPr="005835DE" w:rsidRDefault="00612898" w:rsidP="00E1278A">
            <w:pPr>
              <w:tabs>
                <w:tab w:val="center" w:pos="284"/>
              </w:tabs>
              <w:overflowPunct w:val="0"/>
              <w:autoSpaceDE w:val="0"/>
              <w:autoSpaceDN w:val="0"/>
              <w:adjustRightInd w:val="0"/>
              <w:ind w:left="266" w:hanging="376"/>
              <w:textAlignment w:val="baseline"/>
              <w:rPr>
                <w:bCs/>
              </w:rPr>
            </w:pPr>
            <w:r w:rsidRPr="005835DE">
              <w:t xml:space="preserve">Stefano PALMIERI (Lavoratori </w:t>
            </w:r>
            <w:r w:rsidRPr="005835DE">
              <w:rPr>
                <w:b/>
                <w:i/>
              </w:rPr>
              <w:t>-</w:t>
            </w:r>
            <w:r w:rsidRPr="005835DE">
              <w:t xml:space="preserve"> IT)</w:t>
            </w:r>
          </w:p>
        </w:tc>
      </w:tr>
      <w:tr w:rsidR="00E1278A" w:rsidRPr="005835DE" w14:paraId="072B87A7" w14:textId="77777777" w:rsidTr="0036489A">
        <w:tc>
          <w:tcPr>
            <w:tcW w:w="1701" w:type="dxa"/>
          </w:tcPr>
          <w:p w14:paraId="543B3A18" w14:textId="77777777" w:rsidR="00E1278A" w:rsidRPr="005835DE" w:rsidRDefault="00E1278A" w:rsidP="00054C58">
            <w:pPr>
              <w:tabs>
                <w:tab w:val="center" w:pos="284"/>
              </w:tabs>
              <w:overflowPunct w:val="0"/>
              <w:autoSpaceDE w:val="0"/>
              <w:autoSpaceDN w:val="0"/>
              <w:adjustRightInd w:val="0"/>
              <w:ind w:left="266" w:hanging="376"/>
              <w:textAlignment w:val="baseline"/>
              <w:rPr>
                <w:b/>
                <w:sz w:val="16"/>
                <w:szCs w:val="16"/>
              </w:rPr>
            </w:pPr>
          </w:p>
        </w:tc>
        <w:tc>
          <w:tcPr>
            <w:tcW w:w="7621" w:type="dxa"/>
          </w:tcPr>
          <w:p w14:paraId="7F309E08" w14:textId="77777777" w:rsidR="00E1278A" w:rsidRPr="005835DE" w:rsidRDefault="00E1278A" w:rsidP="00E1278A">
            <w:pPr>
              <w:tabs>
                <w:tab w:val="center" w:pos="284"/>
              </w:tabs>
              <w:overflowPunct w:val="0"/>
              <w:autoSpaceDE w:val="0"/>
              <w:autoSpaceDN w:val="0"/>
              <w:adjustRightInd w:val="0"/>
              <w:ind w:left="266" w:hanging="376"/>
              <w:textAlignment w:val="baseline"/>
              <w:rPr>
                <w:sz w:val="16"/>
                <w:szCs w:val="16"/>
              </w:rPr>
            </w:pPr>
          </w:p>
        </w:tc>
      </w:tr>
      <w:tr w:rsidR="00612898" w:rsidRPr="005835DE" w14:paraId="257F78E5" w14:textId="77777777" w:rsidTr="0036489A">
        <w:tc>
          <w:tcPr>
            <w:tcW w:w="1701" w:type="dxa"/>
          </w:tcPr>
          <w:p w14:paraId="0C3EBBC1" w14:textId="77777777" w:rsidR="00612898" w:rsidRPr="005835DE" w:rsidRDefault="00612898" w:rsidP="00054C58">
            <w:pPr>
              <w:tabs>
                <w:tab w:val="center" w:pos="284"/>
              </w:tabs>
              <w:overflowPunct w:val="0"/>
              <w:autoSpaceDE w:val="0"/>
              <w:autoSpaceDN w:val="0"/>
              <w:adjustRightInd w:val="0"/>
              <w:ind w:left="266" w:hanging="376"/>
              <w:textAlignment w:val="baseline"/>
              <w:rPr>
                <w:b/>
              </w:rPr>
            </w:pPr>
            <w:r w:rsidRPr="005835DE">
              <w:rPr>
                <w:b/>
              </w:rPr>
              <w:t>Riferimento</w:t>
            </w:r>
          </w:p>
        </w:tc>
        <w:tc>
          <w:tcPr>
            <w:tcW w:w="7621" w:type="dxa"/>
          </w:tcPr>
          <w:p w14:paraId="58F0DB08" w14:textId="4B9508DB" w:rsidR="00896BC8" w:rsidRPr="005835DE" w:rsidRDefault="00612898">
            <w:pPr>
              <w:tabs>
                <w:tab w:val="center" w:pos="284"/>
              </w:tabs>
              <w:overflowPunct w:val="0"/>
              <w:autoSpaceDE w:val="0"/>
              <w:autoSpaceDN w:val="0"/>
              <w:adjustRightInd w:val="0"/>
              <w:ind w:left="266" w:hanging="376"/>
              <w:textAlignment w:val="baseline"/>
            </w:pPr>
            <w:r w:rsidRPr="005835DE">
              <w:t>COM(2025) 191 final</w:t>
            </w:r>
          </w:p>
          <w:p w14:paraId="5DB59D59" w14:textId="2F819FC3" w:rsidR="00612898" w:rsidRPr="005835DE" w:rsidRDefault="00612898" w:rsidP="00054C58">
            <w:pPr>
              <w:tabs>
                <w:tab w:val="center" w:pos="284"/>
              </w:tabs>
              <w:overflowPunct w:val="0"/>
              <w:autoSpaceDE w:val="0"/>
              <w:autoSpaceDN w:val="0"/>
              <w:adjustRightInd w:val="0"/>
              <w:ind w:left="266" w:hanging="376"/>
              <w:textAlignment w:val="baseline"/>
            </w:pPr>
            <w:r w:rsidRPr="005835DE">
              <w:t>COM(2025) 196 final</w:t>
            </w:r>
          </w:p>
          <w:p w14:paraId="1B624F0D" w14:textId="1ADACC64" w:rsidR="00612898" w:rsidRPr="005835DE" w:rsidRDefault="00612898" w:rsidP="00054C58">
            <w:pPr>
              <w:tabs>
                <w:tab w:val="center" w:pos="284"/>
              </w:tabs>
              <w:overflowPunct w:val="0"/>
              <w:autoSpaceDE w:val="0"/>
              <w:autoSpaceDN w:val="0"/>
              <w:adjustRightInd w:val="0"/>
              <w:ind w:left="266" w:hanging="376"/>
              <w:textAlignment w:val="baseline"/>
            </w:pPr>
            <w:r w:rsidRPr="005835DE">
              <w:t>EESC-2025-02216-00-00-AC</w:t>
            </w:r>
          </w:p>
        </w:tc>
      </w:tr>
    </w:tbl>
    <w:p w14:paraId="367641D7" w14:textId="77777777" w:rsidR="00A841F3" w:rsidRPr="005835DE" w:rsidRDefault="00A841F3" w:rsidP="00A841F3">
      <w:pPr>
        <w:keepNext/>
        <w:keepLines/>
        <w:tabs>
          <w:tab w:val="center" w:pos="284"/>
        </w:tabs>
        <w:overflowPunct w:val="0"/>
        <w:autoSpaceDE w:val="0"/>
        <w:autoSpaceDN w:val="0"/>
        <w:adjustRightInd w:val="0"/>
        <w:ind w:left="266" w:hanging="266"/>
        <w:textAlignment w:val="baseline"/>
        <w:rPr>
          <w:bCs/>
        </w:rPr>
      </w:pPr>
    </w:p>
    <w:p w14:paraId="264DB47F" w14:textId="4431682C" w:rsidR="00612898" w:rsidRPr="005835DE" w:rsidRDefault="00612898" w:rsidP="00A841F3">
      <w:pPr>
        <w:keepNext/>
        <w:keepLines/>
        <w:tabs>
          <w:tab w:val="center" w:pos="284"/>
        </w:tabs>
        <w:overflowPunct w:val="0"/>
        <w:autoSpaceDE w:val="0"/>
        <w:autoSpaceDN w:val="0"/>
        <w:adjustRightInd w:val="0"/>
        <w:ind w:left="266" w:hanging="266"/>
        <w:textAlignment w:val="baseline"/>
        <w:rPr>
          <w:b/>
        </w:rPr>
      </w:pPr>
      <w:r w:rsidRPr="005835DE">
        <w:rPr>
          <w:b/>
        </w:rPr>
        <w:t>Punti principali</w:t>
      </w:r>
    </w:p>
    <w:p w14:paraId="7E8CAAEB" w14:textId="77777777" w:rsidR="004A6CE5" w:rsidRPr="005835DE" w:rsidRDefault="004A6CE5" w:rsidP="00A841F3">
      <w:pPr>
        <w:keepNext/>
        <w:keepLines/>
        <w:tabs>
          <w:tab w:val="center" w:pos="284"/>
        </w:tabs>
        <w:overflowPunct w:val="0"/>
        <w:autoSpaceDE w:val="0"/>
        <w:autoSpaceDN w:val="0"/>
        <w:adjustRightInd w:val="0"/>
        <w:ind w:left="266" w:hanging="266"/>
        <w:textAlignment w:val="baseline"/>
        <w:rPr>
          <w:b/>
          <w:lang w:val="en-GB"/>
        </w:rPr>
      </w:pPr>
    </w:p>
    <w:p w14:paraId="0E1234AC" w14:textId="77777777" w:rsidR="00612898" w:rsidRPr="005835DE" w:rsidRDefault="00612898" w:rsidP="00612898">
      <w:pPr>
        <w:overflowPunct w:val="0"/>
        <w:autoSpaceDE w:val="0"/>
        <w:autoSpaceDN w:val="0"/>
        <w:adjustRightInd w:val="0"/>
        <w:textAlignment w:val="baseline"/>
        <w:rPr>
          <w:bCs/>
          <w:iCs/>
        </w:rPr>
      </w:pPr>
      <w:r w:rsidRPr="005835DE">
        <w:t>Il CESE:</w:t>
      </w:r>
    </w:p>
    <w:p w14:paraId="1B6220CA" w14:textId="77777777" w:rsidR="004A6CE5" w:rsidRPr="005835DE" w:rsidRDefault="004A6CE5" w:rsidP="00612898">
      <w:pPr>
        <w:overflowPunct w:val="0"/>
        <w:autoSpaceDE w:val="0"/>
        <w:autoSpaceDN w:val="0"/>
        <w:adjustRightInd w:val="0"/>
        <w:textAlignment w:val="baseline"/>
        <w:rPr>
          <w:bCs/>
          <w:iCs/>
          <w:lang w:val="en-GB"/>
        </w:rPr>
      </w:pPr>
    </w:p>
    <w:p w14:paraId="6B7B575D" w14:textId="56DFD5EB" w:rsidR="00612898" w:rsidRPr="005835DE" w:rsidRDefault="00612898" w:rsidP="006028E5">
      <w:pPr>
        <w:numPr>
          <w:ilvl w:val="0"/>
          <w:numId w:val="18"/>
        </w:numPr>
        <w:overflowPunct w:val="0"/>
        <w:autoSpaceDE w:val="0"/>
        <w:autoSpaceDN w:val="0"/>
        <w:adjustRightInd w:val="0"/>
        <w:ind w:left="426" w:hanging="426"/>
        <w:contextualSpacing/>
        <w:textAlignment w:val="baseline"/>
        <w:rPr>
          <w:szCs w:val="20"/>
        </w:rPr>
      </w:pPr>
      <w:r w:rsidRPr="005835DE">
        <w:t>riconosce il ruolo delle strategie macroregionali (MRS) nel generare sinergie multilivello tra politiche, programmi e attori diversi. Tali strategie hanno sostenuto e sostengono la transizione verde e digitale e hanno sviluppato e sviluppano un'importante capacità di resilienza e solidarietà durante la pandemia e le crisi in atto;</w:t>
      </w:r>
    </w:p>
    <w:p w14:paraId="75D3836B" w14:textId="641E7E0C" w:rsidR="00612898" w:rsidRPr="005835DE" w:rsidRDefault="00612898" w:rsidP="006028E5">
      <w:pPr>
        <w:numPr>
          <w:ilvl w:val="0"/>
          <w:numId w:val="18"/>
        </w:numPr>
        <w:overflowPunct w:val="0"/>
        <w:autoSpaceDE w:val="0"/>
        <w:autoSpaceDN w:val="0"/>
        <w:adjustRightInd w:val="0"/>
        <w:ind w:left="426" w:hanging="426"/>
        <w:contextualSpacing/>
        <w:textAlignment w:val="baseline"/>
        <w:rPr>
          <w:szCs w:val="20"/>
        </w:rPr>
      </w:pPr>
      <w:r w:rsidRPr="005835DE">
        <w:t>invita a rafforzare la governance multilivello verticale e orizzontale garantendo il coinvolgimento delle strutture locali;</w:t>
      </w:r>
    </w:p>
    <w:p w14:paraId="4E658ACB" w14:textId="00D67EDC" w:rsidR="00612898" w:rsidRPr="005835DE" w:rsidRDefault="00612898" w:rsidP="006028E5">
      <w:pPr>
        <w:numPr>
          <w:ilvl w:val="0"/>
          <w:numId w:val="18"/>
        </w:numPr>
        <w:overflowPunct w:val="0"/>
        <w:autoSpaceDE w:val="0"/>
        <w:autoSpaceDN w:val="0"/>
        <w:adjustRightInd w:val="0"/>
        <w:ind w:left="426" w:hanging="426"/>
        <w:contextualSpacing/>
        <w:textAlignment w:val="baseline"/>
        <w:rPr>
          <w:szCs w:val="20"/>
        </w:rPr>
      </w:pPr>
      <w:r w:rsidRPr="005835DE">
        <w:t>accoglie positivamente i processi di revisione e chiede di rafforzare la dimensione sociale, di partecipazione civica (compresa quella giovanile) e di cooperazione interregionale. Le MRS devono fungere da laboratori di inclusione e innovazione sociale, sostenendo fiscalità verde e capitale umano;</w:t>
      </w:r>
    </w:p>
    <w:p w14:paraId="288A6F61" w14:textId="77777777" w:rsidR="00612898" w:rsidRPr="005835DE" w:rsidRDefault="00612898" w:rsidP="006028E5">
      <w:pPr>
        <w:numPr>
          <w:ilvl w:val="0"/>
          <w:numId w:val="18"/>
        </w:numPr>
        <w:overflowPunct w:val="0"/>
        <w:autoSpaceDE w:val="0"/>
        <w:autoSpaceDN w:val="0"/>
        <w:adjustRightInd w:val="0"/>
        <w:ind w:left="426" w:hanging="426"/>
        <w:contextualSpacing/>
        <w:textAlignment w:val="baseline"/>
        <w:rPr>
          <w:szCs w:val="20"/>
        </w:rPr>
      </w:pPr>
      <w:r w:rsidRPr="005835DE">
        <w:t xml:space="preserve">prende atto dei risultati della strategia macroregionale per il Mar Baltico (EUSBSR), che ha promosso la sostenibilità e le connessioni nel Mar Baltico. La revisione del 2021, con il </w:t>
      </w:r>
      <w:r w:rsidRPr="005835DE">
        <w:rPr>
          <w:i/>
          <w:iCs/>
        </w:rPr>
        <w:t>Baltic Sea Strategic Point</w:t>
      </w:r>
      <w:r w:rsidRPr="005835DE">
        <w:t>, ha rafforzato la cooperazione e la gestione. Pur con la sospensione dei rapporti con Russia e Bielorussia, la strategia rimane valida;</w:t>
      </w:r>
    </w:p>
    <w:p w14:paraId="61DFA9B6" w14:textId="3FCD71FF" w:rsidR="00612898" w:rsidRPr="005835DE" w:rsidRDefault="00612898" w:rsidP="006028E5">
      <w:pPr>
        <w:numPr>
          <w:ilvl w:val="0"/>
          <w:numId w:val="18"/>
        </w:numPr>
        <w:overflowPunct w:val="0"/>
        <w:autoSpaceDE w:val="0"/>
        <w:autoSpaceDN w:val="0"/>
        <w:adjustRightInd w:val="0"/>
        <w:ind w:left="426" w:hanging="426"/>
        <w:contextualSpacing/>
        <w:textAlignment w:val="baseline"/>
        <w:rPr>
          <w:szCs w:val="20"/>
        </w:rPr>
      </w:pPr>
      <w:r w:rsidRPr="005835DE">
        <w:t>evidenzia i progressi della strategia macroregionale per il Danubio (EUSDR). La revisione del 2020 ne ha migliorato la coerenza con le priorità dell'UE e ha rafforzato la partecipazione giovanile, malgrado persistano disuguaglianze e l'impegno politico rimanga disomogeneo. Le ultime presidenze hanno rilanciato l'innovazione e la governance;</w:t>
      </w:r>
    </w:p>
    <w:p w14:paraId="5C7EA446" w14:textId="479B26B1" w:rsidR="00612898" w:rsidRPr="005835DE" w:rsidRDefault="00612898" w:rsidP="006028E5">
      <w:pPr>
        <w:numPr>
          <w:ilvl w:val="0"/>
          <w:numId w:val="18"/>
        </w:numPr>
        <w:overflowPunct w:val="0"/>
        <w:autoSpaceDE w:val="0"/>
        <w:autoSpaceDN w:val="0"/>
        <w:adjustRightInd w:val="0"/>
        <w:ind w:left="426" w:hanging="426"/>
        <w:contextualSpacing/>
        <w:textAlignment w:val="baseline"/>
        <w:rPr>
          <w:szCs w:val="20"/>
        </w:rPr>
      </w:pPr>
      <w:r w:rsidRPr="005835DE">
        <w:t>sottolinea i risultati della strategia macroregionale per l'Adriatico e lo Ionio (EUSAIR), che ha di recente aggiornato il suo piano d'azione introducendo un quinto pilastro sociale. La strategia integra l'allargamento, l'economia circolare e la digitalizzazione, rafforzando i partenariati e la resilienza;</w:t>
      </w:r>
    </w:p>
    <w:p w14:paraId="0171069F" w14:textId="26283E8D" w:rsidR="00612898" w:rsidRPr="005835DE" w:rsidRDefault="00612898" w:rsidP="006028E5">
      <w:pPr>
        <w:numPr>
          <w:ilvl w:val="0"/>
          <w:numId w:val="18"/>
        </w:numPr>
        <w:overflowPunct w:val="0"/>
        <w:autoSpaceDE w:val="0"/>
        <w:autoSpaceDN w:val="0"/>
        <w:adjustRightInd w:val="0"/>
        <w:ind w:left="426" w:hanging="426"/>
        <w:contextualSpacing/>
        <w:textAlignment w:val="baseline"/>
        <w:rPr>
          <w:szCs w:val="20"/>
        </w:rPr>
      </w:pPr>
      <w:r w:rsidRPr="005835DE">
        <w:t>valuta positivamente la strategia macroregionale per le Alpi (EUSALP), che ha consolidato la cooperazione e una governance stabile aprendosi ai paesi terzi. La sua revisione integra priorità riguardanti la digitalizzazione, l'energia, le risorse idriche e l'economia circolare;</w:t>
      </w:r>
    </w:p>
    <w:p w14:paraId="6817B888" w14:textId="70F4706D" w:rsidR="00612898" w:rsidRPr="005835DE" w:rsidRDefault="00612898" w:rsidP="006028E5">
      <w:pPr>
        <w:numPr>
          <w:ilvl w:val="0"/>
          <w:numId w:val="18"/>
        </w:numPr>
        <w:overflowPunct w:val="0"/>
        <w:autoSpaceDE w:val="0"/>
        <w:autoSpaceDN w:val="0"/>
        <w:adjustRightInd w:val="0"/>
        <w:ind w:left="426" w:hanging="426"/>
        <w:contextualSpacing/>
        <w:textAlignment w:val="baseline"/>
        <w:rPr>
          <w:szCs w:val="20"/>
        </w:rPr>
      </w:pPr>
      <w:r w:rsidRPr="005835DE">
        <w:t>prende atto che l'allargamento ai Balcani occidentali, all'Ucraina e alla Moldova è una priorità strategica e che le MRS hanno un potenziale nel rafforzare la cooperazione e le capacità istituzionali;</w:t>
      </w:r>
    </w:p>
    <w:p w14:paraId="710F3124" w14:textId="6C89F131" w:rsidR="00612898" w:rsidRPr="005835DE" w:rsidRDefault="00612898" w:rsidP="006028E5">
      <w:pPr>
        <w:numPr>
          <w:ilvl w:val="0"/>
          <w:numId w:val="18"/>
        </w:numPr>
        <w:overflowPunct w:val="0"/>
        <w:autoSpaceDE w:val="0"/>
        <w:autoSpaceDN w:val="0"/>
        <w:adjustRightInd w:val="0"/>
        <w:ind w:left="426" w:hanging="426"/>
        <w:contextualSpacing/>
        <w:textAlignment w:val="baseline"/>
        <w:rPr>
          <w:szCs w:val="20"/>
        </w:rPr>
      </w:pPr>
      <w:r w:rsidRPr="005835DE">
        <w:t>rileva che l'aggressione militare della Russia all'Ucraina ha confermato il ruolo delle MRS quali strumenti di solidarietà e resilienza;</w:t>
      </w:r>
    </w:p>
    <w:p w14:paraId="6EDD216B" w14:textId="02F6DEB7" w:rsidR="00612898" w:rsidRPr="005835DE" w:rsidRDefault="00612898" w:rsidP="006028E5">
      <w:pPr>
        <w:numPr>
          <w:ilvl w:val="0"/>
          <w:numId w:val="18"/>
        </w:numPr>
        <w:overflowPunct w:val="0"/>
        <w:autoSpaceDE w:val="0"/>
        <w:autoSpaceDN w:val="0"/>
        <w:adjustRightInd w:val="0"/>
        <w:ind w:left="426" w:hanging="426"/>
        <w:contextualSpacing/>
        <w:textAlignment w:val="baseline"/>
        <w:rPr>
          <w:szCs w:val="20"/>
        </w:rPr>
      </w:pPr>
      <w:r w:rsidRPr="005835DE">
        <w:t xml:space="preserve">considera essenziale l'approccio basato sul territorio adottato dalle MRS, che adatta le priorità europee alle specificità territoriali e favorisce la coesione sia attraverso strumenti come lo sviluppo </w:t>
      </w:r>
      <w:r w:rsidRPr="005835DE">
        <w:lastRenderedPageBreak/>
        <w:t>locale di tipo partecipativo che mediante iniziative innovative, tali da promuovere la partecipazione civica e giovanile;</w:t>
      </w:r>
    </w:p>
    <w:p w14:paraId="34580314" w14:textId="53CAB3F9" w:rsidR="00612898" w:rsidRPr="005835DE" w:rsidRDefault="00612898" w:rsidP="006028E5">
      <w:pPr>
        <w:numPr>
          <w:ilvl w:val="0"/>
          <w:numId w:val="18"/>
        </w:numPr>
        <w:overflowPunct w:val="0"/>
        <w:autoSpaceDE w:val="0"/>
        <w:autoSpaceDN w:val="0"/>
        <w:adjustRightInd w:val="0"/>
        <w:ind w:left="426" w:hanging="426"/>
        <w:contextualSpacing/>
        <w:textAlignment w:val="baseline"/>
        <w:rPr>
          <w:szCs w:val="20"/>
        </w:rPr>
      </w:pPr>
      <w:r w:rsidRPr="005835DE">
        <w:t>invita a rafforzare la governance e i finanziamenti, integrando le priorità delle MRS nei principali programmi dell'UE. È necessario potenziare le competenze locali, consolidare i partenariati e coinvolgere attivamente la società civile e i giovani;</w:t>
      </w:r>
    </w:p>
    <w:p w14:paraId="2F7ADDD3" w14:textId="226738B8" w:rsidR="00612898" w:rsidRPr="005835DE" w:rsidRDefault="003C16C3" w:rsidP="006028E5">
      <w:pPr>
        <w:numPr>
          <w:ilvl w:val="0"/>
          <w:numId w:val="18"/>
        </w:numPr>
        <w:overflowPunct w:val="0"/>
        <w:autoSpaceDE w:val="0"/>
        <w:autoSpaceDN w:val="0"/>
        <w:adjustRightInd w:val="0"/>
        <w:ind w:left="426" w:hanging="426"/>
        <w:contextualSpacing/>
        <w:textAlignment w:val="baseline"/>
        <w:rPr>
          <w:szCs w:val="20"/>
        </w:rPr>
      </w:pPr>
      <w:r w:rsidRPr="005835DE">
        <w:t>è dell'avviso che il nuovo QFP (ossia quello per il periodo 2028-2034) comporti rischi per il corretto funzionamento delle MRS e che pertanto sia cruciale includere le priorità relative alle MRS nei piani di partenariato;</w:t>
      </w:r>
    </w:p>
    <w:p w14:paraId="179CAD0A" w14:textId="6CF7AC7B" w:rsidR="00612898" w:rsidRPr="005835DE" w:rsidRDefault="00612898" w:rsidP="006028E5">
      <w:pPr>
        <w:numPr>
          <w:ilvl w:val="0"/>
          <w:numId w:val="18"/>
        </w:numPr>
        <w:overflowPunct w:val="0"/>
        <w:autoSpaceDE w:val="0"/>
        <w:autoSpaceDN w:val="0"/>
        <w:adjustRightInd w:val="0"/>
        <w:ind w:left="426" w:hanging="426"/>
        <w:contextualSpacing/>
        <w:textAlignment w:val="baseline"/>
        <w:rPr>
          <w:szCs w:val="20"/>
        </w:rPr>
      </w:pPr>
      <w:r w:rsidRPr="005835DE">
        <w:t>sottolinea la necessità di una governance trasparente, responsabile e senza corruzione nelle istituzioni coinvolte nelle MRS;</w:t>
      </w:r>
    </w:p>
    <w:p w14:paraId="70A713C0" w14:textId="77777777" w:rsidR="00612898" w:rsidRPr="005835DE" w:rsidRDefault="00612898" w:rsidP="006028E5">
      <w:pPr>
        <w:numPr>
          <w:ilvl w:val="0"/>
          <w:numId w:val="18"/>
        </w:numPr>
        <w:overflowPunct w:val="0"/>
        <w:autoSpaceDE w:val="0"/>
        <w:autoSpaceDN w:val="0"/>
        <w:adjustRightInd w:val="0"/>
        <w:ind w:left="426" w:hanging="426"/>
        <w:contextualSpacing/>
        <w:textAlignment w:val="baseline"/>
        <w:rPr>
          <w:bCs/>
          <w:iCs/>
        </w:rPr>
      </w:pPr>
      <w:r w:rsidRPr="005835DE">
        <w:t>sollecita la creazione di una nuova strategia macroregionale per la regione del Mediterraneo per affrontare sfide comuni come cambiamenti climatici, flussi migratori, transizione energetica e sostenibilità blu.</w:t>
      </w:r>
    </w:p>
    <w:p w14:paraId="54AD92A7" w14:textId="77777777" w:rsidR="00612898" w:rsidRPr="005835DE" w:rsidRDefault="00612898" w:rsidP="00612898">
      <w:pPr>
        <w:overflowPunct w:val="0"/>
        <w:autoSpaceDE w:val="0"/>
        <w:autoSpaceDN w:val="0"/>
        <w:adjustRightInd w:val="0"/>
        <w:ind w:left="360"/>
        <w:contextualSpacing/>
        <w:textAlignment w:val="baseline"/>
        <w:rPr>
          <w:bCs/>
          <w:iCs/>
          <w:lang w:val="en-GB"/>
        </w:rPr>
      </w:pPr>
    </w:p>
    <w:tbl>
      <w:tblPr>
        <w:tblStyle w:val="TableGrid1"/>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904"/>
      </w:tblGrid>
      <w:tr w:rsidR="00612898" w:rsidRPr="005835DE" w14:paraId="242A4532" w14:textId="77777777" w:rsidTr="0036489A">
        <w:tc>
          <w:tcPr>
            <w:tcW w:w="1418" w:type="dxa"/>
          </w:tcPr>
          <w:p w14:paraId="21DFEBB5" w14:textId="77777777" w:rsidR="00612898" w:rsidRPr="005835DE" w:rsidRDefault="00612898" w:rsidP="00612898">
            <w:pPr>
              <w:overflowPunct w:val="0"/>
              <w:autoSpaceDE w:val="0"/>
              <w:autoSpaceDN w:val="0"/>
              <w:adjustRightInd w:val="0"/>
              <w:textAlignment w:val="baseline"/>
              <w:rPr>
                <w:i/>
              </w:rPr>
            </w:pPr>
            <w:r w:rsidRPr="005835DE">
              <w:rPr>
                <w:b/>
                <w:i/>
              </w:rPr>
              <w:t>Contatto</w:t>
            </w:r>
          </w:p>
        </w:tc>
        <w:tc>
          <w:tcPr>
            <w:tcW w:w="7904" w:type="dxa"/>
          </w:tcPr>
          <w:p w14:paraId="26624CD5" w14:textId="0E28249F" w:rsidR="00612898" w:rsidRPr="005835DE" w:rsidRDefault="00612898" w:rsidP="00612898">
            <w:pPr>
              <w:overflowPunct w:val="0"/>
              <w:autoSpaceDE w:val="0"/>
              <w:autoSpaceDN w:val="0"/>
              <w:adjustRightInd w:val="0"/>
              <w:textAlignment w:val="baseline"/>
              <w:rPr>
                <w:i/>
              </w:rPr>
            </w:pPr>
            <w:r w:rsidRPr="005835DE">
              <w:rPr>
                <w:i/>
              </w:rPr>
              <w:t>Georgios MELEAS</w:t>
            </w:r>
          </w:p>
        </w:tc>
      </w:tr>
      <w:tr w:rsidR="00612898" w:rsidRPr="005835DE" w14:paraId="169FB5DD" w14:textId="77777777" w:rsidTr="0036489A">
        <w:tc>
          <w:tcPr>
            <w:tcW w:w="1418" w:type="dxa"/>
          </w:tcPr>
          <w:p w14:paraId="04AD6363" w14:textId="77777777" w:rsidR="00612898" w:rsidRPr="005835DE" w:rsidRDefault="00612898" w:rsidP="00612898">
            <w:pPr>
              <w:overflowPunct w:val="0"/>
              <w:autoSpaceDE w:val="0"/>
              <w:autoSpaceDN w:val="0"/>
              <w:adjustRightInd w:val="0"/>
              <w:textAlignment w:val="baseline"/>
              <w:rPr>
                <w:i/>
              </w:rPr>
            </w:pPr>
            <w:r w:rsidRPr="005835DE">
              <w:rPr>
                <w:i/>
              </w:rPr>
              <w:t>Tel.</w:t>
            </w:r>
          </w:p>
        </w:tc>
        <w:tc>
          <w:tcPr>
            <w:tcW w:w="7904" w:type="dxa"/>
          </w:tcPr>
          <w:p w14:paraId="0ACA86BD" w14:textId="574C92AA" w:rsidR="00612898" w:rsidRPr="005835DE" w:rsidRDefault="00612898" w:rsidP="00612898">
            <w:pPr>
              <w:overflowPunct w:val="0"/>
              <w:autoSpaceDE w:val="0"/>
              <w:autoSpaceDN w:val="0"/>
              <w:adjustRightInd w:val="0"/>
              <w:textAlignment w:val="baseline"/>
              <w:rPr>
                <w:i/>
              </w:rPr>
            </w:pPr>
            <w:r w:rsidRPr="005835DE">
              <w:rPr>
                <w:i/>
              </w:rPr>
              <w:t>+32 25469795</w:t>
            </w:r>
          </w:p>
        </w:tc>
      </w:tr>
      <w:tr w:rsidR="00612898" w:rsidRPr="005835DE" w14:paraId="74BB4CF2" w14:textId="77777777" w:rsidTr="0036489A">
        <w:tc>
          <w:tcPr>
            <w:tcW w:w="1418" w:type="dxa"/>
          </w:tcPr>
          <w:p w14:paraId="0810916A" w14:textId="0439144A" w:rsidR="00612898" w:rsidRPr="005835DE" w:rsidRDefault="00332E33" w:rsidP="00612898">
            <w:pPr>
              <w:overflowPunct w:val="0"/>
              <w:autoSpaceDE w:val="0"/>
              <w:autoSpaceDN w:val="0"/>
              <w:adjustRightInd w:val="0"/>
              <w:textAlignment w:val="baseline"/>
              <w:rPr>
                <w:i/>
              </w:rPr>
            </w:pPr>
            <w:r w:rsidRPr="005835DE">
              <w:rPr>
                <w:i/>
              </w:rPr>
              <w:t>E</w:t>
            </w:r>
            <w:r w:rsidR="00612898" w:rsidRPr="005835DE">
              <w:rPr>
                <w:i/>
              </w:rPr>
              <w:t>-mail</w:t>
            </w:r>
          </w:p>
        </w:tc>
        <w:tc>
          <w:tcPr>
            <w:tcW w:w="7904" w:type="dxa"/>
          </w:tcPr>
          <w:p w14:paraId="7EA756D6" w14:textId="77777777" w:rsidR="00612898" w:rsidRPr="005835DE" w:rsidRDefault="00520E78" w:rsidP="00612898">
            <w:pPr>
              <w:overflowPunct w:val="0"/>
              <w:autoSpaceDE w:val="0"/>
              <w:autoSpaceDN w:val="0"/>
              <w:adjustRightInd w:val="0"/>
              <w:textAlignment w:val="baseline"/>
              <w:rPr>
                <w:i/>
                <w:iCs/>
              </w:rPr>
            </w:pPr>
            <w:hyperlink r:id="rId21" w:history="1">
              <w:r w:rsidR="00A27BD2" w:rsidRPr="005835DE">
                <w:rPr>
                  <w:i/>
                  <w:color w:val="0000FF"/>
                  <w:u w:val="single"/>
                </w:rPr>
                <w:t>Georgios.Meleas@eesc.europa.eu</w:t>
              </w:r>
            </w:hyperlink>
          </w:p>
        </w:tc>
      </w:tr>
    </w:tbl>
    <w:p w14:paraId="4982DD96" w14:textId="77777777" w:rsidR="004D7AC0" w:rsidRPr="005835DE" w:rsidRDefault="004D7AC0" w:rsidP="004D7AC0">
      <w:pPr>
        <w:pStyle w:val="ListParagraph"/>
        <w:ind w:left="0"/>
      </w:pPr>
    </w:p>
    <w:p w14:paraId="4B3225FD" w14:textId="69ABDE54" w:rsidR="00C82E34" w:rsidRPr="005835DE" w:rsidRDefault="00612898" w:rsidP="0087455D">
      <w:pPr>
        <w:pStyle w:val="ListParagraph"/>
        <w:numPr>
          <w:ilvl w:val="0"/>
          <w:numId w:val="36"/>
        </w:numPr>
        <w:spacing w:after="160" w:line="259" w:lineRule="auto"/>
        <w:ind w:left="567" w:hanging="567"/>
        <w:rPr>
          <w:b/>
          <w:i/>
          <w:iCs/>
          <w:sz w:val="28"/>
          <w:szCs w:val="28"/>
        </w:rPr>
      </w:pPr>
      <w:r w:rsidRPr="005835DE">
        <w:br w:type="page"/>
      </w:r>
      <w:hyperlink r:id="rId22" w:history="1">
        <w:r w:rsidRPr="005835DE">
          <w:rPr>
            <w:b/>
            <w:i/>
            <w:color w:val="0000FF"/>
            <w:sz w:val="28"/>
            <w:szCs w:val="28"/>
            <w:u w:val="single"/>
          </w:rPr>
          <w:t>Fondo europeo di sviluppo regionale, comprensivo della Cooperazione territoriale europea (Interreg), e il Fondo di coesione</w:t>
        </w:r>
      </w:hyperlink>
    </w:p>
    <w:p w14:paraId="5DE846E1" w14:textId="77777777" w:rsidR="00C82E34" w:rsidRPr="005835DE" w:rsidRDefault="00C82E34" w:rsidP="00C82E34">
      <w:pPr>
        <w:widowControl w:val="0"/>
        <w:overflowPunct w:val="0"/>
        <w:autoSpaceDE w:val="0"/>
        <w:autoSpaceDN w:val="0"/>
        <w:adjustRightInd w:val="0"/>
        <w:ind w:left="284"/>
        <w:textAlignment w:val="baseline"/>
        <w:rPr>
          <w:b/>
          <w:i/>
          <w:iCs/>
          <w:sz w:val="20"/>
          <w:szCs w:val="20"/>
          <w:lang w:val="en-GB"/>
        </w:rPr>
      </w:pPr>
    </w:p>
    <w:tbl>
      <w:tblPr>
        <w:tblStyle w:val="TableGrid2"/>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21"/>
      </w:tblGrid>
      <w:tr w:rsidR="00C82E34" w:rsidRPr="005835DE" w14:paraId="2D50146C" w14:textId="77777777" w:rsidTr="0036489A">
        <w:tc>
          <w:tcPr>
            <w:tcW w:w="1701" w:type="dxa"/>
          </w:tcPr>
          <w:p w14:paraId="32F41C20" w14:textId="6D636196" w:rsidR="00C82E34" w:rsidRPr="005835DE" w:rsidRDefault="00332E33" w:rsidP="00C82E34">
            <w:pPr>
              <w:tabs>
                <w:tab w:val="center" w:pos="284"/>
              </w:tabs>
              <w:overflowPunct w:val="0"/>
              <w:autoSpaceDE w:val="0"/>
              <w:autoSpaceDN w:val="0"/>
              <w:adjustRightInd w:val="0"/>
              <w:ind w:left="266" w:hanging="266"/>
              <w:textAlignment w:val="baseline"/>
              <w:rPr>
                <w:b/>
              </w:rPr>
            </w:pPr>
            <w:r w:rsidRPr="005835DE">
              <w:rPr>
                <w:b/>
              </w:rPr>
              <w:t>Relatore</w:t>
            </w:r>
          </w:p>
        </w:tc>
        <w:tc>
          <w:tcPr>
            <w:tcW w:w="7621" w:type="dxa"/>
          </w:tcPr>
          <w:p w14:paraId="59E7D12A" w14:textId="688CC6AD" w:rsidR="00446882" w:rsidRPr="005835DE" w:rsidRDefault="00C82E34" w:rsidP="00D74212">
            <w:pPr>
              <w:tabs>
                <w:tab w:val="center" w:pos="284"/>
              </w:tabs>
              <w:overflowPunct w:val="0"/>
              <w:autoSpaceDE w:val="0"/>
              <w:autoSpaceDN w:val="0"/>
              <w:adjustRightInd w:val="0"/>
              <w:ind w:left="266" w:hanging="266"/>
              <w:textAlignment w:val="baseline"/>
              <w:rPr>
                <w:bCs/>
              </w:rPr>
            </w:pPr>
            <w:r w:rsidRPr="005835DE">
              <w:t>David SVENTEK (Datori di lavoro - CZ)</w:t>
            </w:r>
          </w:p>
        </w:tc>
      </w:tr>
      <w:tr w:rsidR="00D74212" w:rsidRPr="005835DE" w14:paraId="2B235712" w14:textId="77777777" w:rsidTr="0036489A">
        <w:tc>
          <w:tcPr>
            <w:tcW w:w="1701" w:type="dxa"/>
          </w:tcPr>
          <w:p w14:paraId="2C1AC99A" w14:textId="77777777" w:rsidR="00D74212" w:rsidRPr="005835DE" w:rsidRDefault="00D74212" w:rsidP="00C82E34">
            <w:pPr>
              <w:tabs>
                <w:tab w:val="center" w:pos="284"/>
              </w:tabs>
              <w:overflowPunct w:val="0"/>
              <w:autoSpaceDE w:val="0"/>
              <w:autoSpaceDN w:val="0"/>
              <w:adjustRightInd w:val="0"/>
              <w:ind w:left="266" w:hanging="266"/>
              <w:textAlignment w:val="baseline"/>
              <w:rPr>
                <w:b/>
                <w:sz w:val="16"/>
                <w:szCs w:val="16"/>
              </w:rPr>
            </w:pPr>
          </w:p>
        </w:tc>
        <w:tc>
          <w:tcPr>
            <w:tcW w:w="7621" w:type="dxa"/>
          </w:tcPr>
          <w:p w14:paraId="1AB4F4E3" w14:textId="77777777" w:rsidR="00D74212" w:rsidRPr="005835DE" w:rsidRDefault="00D74212" w:rsidP="00D74212">
            <w:pPr>
              <w:tabs>
                <w:tab w:val="center" w:pos="284"/>
              </w:tabs>
              <w:overflowPunct w:val="0"/>
              <w:autoSpaceDE w:val="0"/>
              <w:autoSpaceDN w:val="0"/>
              <w:adjustRightInd w:val="0"/>
              <w:ind w:left="266" w:hanging="266"/>
              <w:textAlignment w:val="baseline"/>
              <w:rPr>
                <w:sz w:val="16"/>
                <w:szCs w:val="16"/>
              </w:rPr>
            </w:pPr>
          </w:p>
        </w:tc>
      </w:tr>
      <w:tr w:rsidR="00C82E34" w:rsidRPr="005835DE" w14:paraId="4B15388C" w14:textId="77777777" w:rsidTr="0036489A">
        <w:tc>
          <w:tcPr>
            <w:tcW w:w="1701" w:type="dxa"/>
          </w:tcPr>
          <w:p w14:paraId="742C36BE" w14:textId="77777777" w:rsidR="00C82E34" w:rsidRPr="005835DE" w:rsidRDefault="00C82E34" w:rsidP="00C82E34">
            <w:pPr>
              <w:tabs>
                <w:tab w:val="center" w:pos="284"/>
              </w:tabs>
              <w:overflowPunct w:val="0"/>
              <w:autoSpaceDE w:val="0"/>
              <w:autoSpaceDN w:val="0"/>
              <w:adjustRightInd w:val="0"/>
              <w:ind w:left="266" w:hanging="266"/>
              <w:textAlignment w:val="baseline"/>
              <w:rPr>
                <w:b/>
              </w:rPr>
            </w:pPr>
            <w:r w:rsidRPr="005835DE">
              <w:rPr>
                <w:b/>
              </w:rPr>
              <w:t>Riferimento</w:t>
            </w:r>
          </w:p>
        </w:tc>
        <w:tc>
          <w:tcPr>
            <w:tcW w:w="7621" w:type="dxa"/>
          </w:tcPr>
          <w:p w14:paraId="5F3D0A1D" w14:textId="77777777" w:rsidR="00C82E34" w:rsidRPr="005835DE" w:rsidRDefault="00C82E34" w:rsidP="00C82E34">
            <w:pPr>
              <w:tabs>
                <w:tab w:val="center" w:pos="284"/>
              </w:tabs>
              <w:overflowPunct w:val="0"/>
              <w:autoSpaceDE w:val="0"/>
              <w:autoSpaceDN w:val="0"/>
              <w:adjustRightInd w:val="0"/>
              <w:ind w:left="266" w:hanging="266"/>
              <w:textAlignment w:val="baseline"/>
            </w:pPr>
            <w:r w:rsidRPr="005835DE">
              <w:t>COM(2025) 552 final</w:t>
            </w:r>
          </w:p>
          <w:p w14:paraId="43B9D460" w14:textId="38B53CE0" w:rsidR="00C82E34" w:rsidRPr="005835DE" w:rsidRDefault="00C82E34" w:rsidP="00C82E34">
            <w:pPr>
              <w:tabs>
                <w:tab w:val="center" w:pos="284"/>
              </w:tabs>
              <w:overflowPunct w:val="0"/>
              <w:autoSpaceDE w:val="0"/>
              <w:autoSpaceDN w:val="0"/>
              <w:adjustRightInd w:val="0"/>
              <w:ind w:left="266" w:hanging="266"/>
              <w:textAlignment w:val="baseline"/>
            </w:pPr>
            <w:r w:rsidRPr="005835DE">
              <w:t>EESC-2025-03305-00-00-AC</w:t>
            </w:r>
          </w:p>
        </w:tc>
      </w:tr>
    </w:tbl>
    <w:p w14:paraId="1D66C735" w14:textId="77777777" w:rsidR="00D74212" w:rsidRPr="005835DE" w:rsidRDefault="00D74212" w:rsidP="00D74212">
      <w:pPr>
        <w:keepNext/>
        <w:keepLines/>
        <w:tabs>
          <w:tab w:val="center" w:pos="284"/>
        </w:tabs>
        <w:overflowPunct w:val="0"/>
        <w:autoSpaceDE w:val="0"/>
        <w:autoSpaceDN w:val="0"/>
        <w:adjustRightInd w:val="0"/>
        <w:ind w:left="266" w:hanging="266"/>
        <w:textAlignment w:val="baseline"/>
        <w:rPr>
          <w:b/>
        </w:rPr>
      </w:pPr>
    </w:p>
    <w:p w14:paraId="08272C41" w14:textId="05D026A2" w:rsidR="00C82E34" w:rsidRPr="005835DE" w:rsidRDefault="00C82E34" w:rsidP="00D74212">
      <w:pPr>
        <w:keepNext/>
        <w:keepLines/>
        <w:tabs>
          <w:tab w:val="center" w:pos="284"/>
        </w:tabs>
        <w:overflowPunct w:val="0"/>
        <w:autoSpaceDE w:val="0"/>
        <w:autoSpaceDN w:val="0"/>
        <w:adjustRightInd w:val="0"/>
        <w:ind w:left="266" w:hanging="266"/>
        <w:textAlignment w:val="baseline"/>
        <w:rPr>
          <w:b/>
        </w:rPr>
      </w:pPr>
      <w:r w:rsidRPr="005835DE">
        <w:rPr>
          <w:b/>
        </w:rPr>
        <w:t>Punti principali</w:t>
      </w:r>
    </w:p>
    <w:p w14:paraId="61DEFF14" w14:textId="77777777" w:rsidR="00C2078A" w:rsidRPr="005835DE" w:rsidRDefault="00C2078A" w:rsidP="00D74212">
      <w:pPr>
        <w:keepNext/>
        <w:keepLines/>
        <w:tabs>
          <w:tab w:val="center" w:pos="284"/>
        </w:tabs>
        <w:overflowPunct w:val="0"/>
        <w:autoSpaceDE w:val="0"/>
        <w:autoSpaceDN w:val="0"/>
        <w:adjustRightInd w:val="0"/>
        <w:ind w:left="266" w:hanging="266"/>
        <w:textAlignment w:val="baseline"/>
        <w:rPr>
          <w:b/>
          <w:lang w:val="en-GB"/>
        </w:rPr>
      </w:pPr>
    </w:p>
    <w:p w14:paraId="61D96179" w14:textId="0AF4F222" w:rsidR="00C82E34" w:rsidRPr="005835DE" w:rsidRDefault="00C82E34" w:rsidP="00C82E34">
      <w:pPr>
        <w:overflowPunct w:val="0"/>
        <w:autoSpaceDE w:val="0"/>
        <w:autoSpaceDN w:val="0"/>
        <w:adjustRightInd w:val="0"/>
        <w:textAlignment w:val="baseline"/>
      </w:pPr>
      <w:r w:rsidRPr="005835DE">
        <w:t>Il CESE:</w:t>
      </w:r>
    </w:p>
    <w:p w14:paraId="71F9A677" w14:textId="77777777" w:rsidR="00D74212" w:rsidRPr="005835DE" w:rsidRDefault="00D74212" w:rsidP="00C82E34">
      <w:pPr>
        <w:overflowPunct w:val="0"/>
        <w:autoSpaceDE w:val="0"/>
        <w:autoSpaceDN w:val="0"/>
        <w:adjustRightInd w:val="0"/>
        <w:textAlignment w:val="baseline"/>
        <w:rPr>
          <w:bCs/>
          <w:iCs/>
        </w:rPr>
      </w:pPr>
    </w:p>
    <w:p w14:paraId="6B7D5112" w14:textId="77777777" w:rsidR="00C82E34" w:rsidRPr="005835DE" w:rsidRDefault="00C82E34" w:rsidP="006028E5">
      <w:pPr>
        <w:numPr>
          <w:ilvl w:val="0"/>
          <w:numId w:val="19"/>
        </w:numPr>
        <w:overflowPunct w:val="0"/>
        <w:autoSpaceDE w:val="0"/>
        <w:autoSpaceDN w:val="0"/>
        <w:adjustRightInd w:val="0"/>
        <w:ind w:left="426" w:hanging="426"/>
        <w:contextualSpacing/>
        <w:textAlignment w:val="baseline"/>
        <w:rPr>
          <w:szCs w:val="20"/>
        </w:rPr>
      </w:pPr>
      <w:r w:rsidRPr="005835DE">
        <w:t>sottolinea che la necessità di ridurre le disparità regionali e territoriali rimane una delle priorità fondamentali dell'integrazione nell'UE e che il ricorso agli strumenti tradizionali, comprovati ed efficaci della politica di coesione è la giusta via da seguire per promuovere una prosperità sostenibile in tutte le regioni dell'UE;</w:t>
      </w:r>
    </w:p>
    <w:p w14:paraId="419C11E1" w14:textId="77777777" w:rsidR="00C82E34" w:rsidRPr="005835DE" w:rsidRDefault="00C82E34" w:rsidP="006028E5">
      <w:pPr>
        <w:numPr>
          <w:ilvl w:val="0"/>
          <w:numId w:val="19"/>
        </w:numPr>
        <w:overflowPunct w:val="0"/>
        <w:autoSpaceDE w:val="0"/>
        <w:autoSpaceDN w:val="0"/>
        <w:adjustRightInd w:val="0"/>
        <w:ind w:left="426" w:hanging="426"/>
        <w:contextualSpacing/>
        <w:textAlignment w:val="baseline"/>
        <w:rPr>
          <w:szCs w:val="20"/>
        </w:rPr>
      </w:pPr>
      <w:r w:rsidRPr="005835DE">
        <w:t>raccomanda di chiarire il ruolo del Fondo europeo di sviluppo regionale (FESR) e del Fondo di coesione nell'ambito del Fondo di partenariato nazionale e regionale (Fondo NRP), non solo mediante obiettivi generali e specifici, ma anche attraverso un approfondimento specifico nel regolamento. Il CESE apprezzerebbe che il progetto di regolamento in esame fosse elaborato in maggiore dettaglio e corredato di almeno un allegato complementare contenente orientamenti su come integrare efficacemente il FESR e il Fondo di coesione nel Fondo NRP;</w:t>
      </w:r>
    </w:p>
    <w:p w14:paraId="1B66C5C6" w14:textId="77777777" w:rsidR="00C82E34" w:rsidRPr="005835DE" w:rsidRDefault="00C82E34" w:rsidP="006028E5">
      <w:pPr>
        <w:numPr>
          <w:ilvl w:val="0"/>
          <w:numId w:val="19"/>
        </w:numPr>
        <w:overflowPunct w:val="0"/>
        <w:autoSpaceDE w:val="0"/>
        <w:autoSpaceDN w:val="0"/>
        <w:adjustRightInd w:val="0"/>
        <w:ind w:left="426" w:hanging="426"/>
        <w:contextualSpacing/>
        <w:textAlignment w:val="baseline"/>
        <w:rPr>
          <w:szCs w:val="20"/>
        </w:rPr>
      </w:pPr>
      <w:r w:rsidRPr="005835DE">
        <w:t>insiste sul fatto che le nuove disposizioni non dovrebbero portare a una riduzione dell'importanza e della missione del FESR e del Fondo di coesione, in particolare per quanto riguarda il sostegno allo sviluppo delle regioni in ritardo e alla trasformazione delle aree industriali. Sottolinea altresì l'importanza del principio di partenariato nell'elaborazione dei programmi futuri;</w:t>
      </w:r>
    </w:p>
    <w:p w14:paraId="50BDF906" w14:textId="77777777" w:rsidR="00C82E34" w:rsidRPr="005835DE" w:rsidRDefault="00C82E34" w:rsidP="006028E5">
      <w:pPr>
        <w:numPr>
          <w:ilvl w:val="0"/>
          <w:numId w:val="19"/>
        </w:numPr>
        <w:overflowPunct w:val="0"/>
        <w:autoSpaceDE w:val="0"/>
        <w:autoSpaceDN w:val="0"/>
        <w:adjustRightInd w:val="0"/>
        <w:ind w:left="426" w:hanging="426"/>
        <w:contextualSpacing/>
        <w:textAlignment w:val="baseline"/>
        <w:rPr>
          <w:szCs w:val="20"/>
        </w:rPr>
      </w:pPr>
      <w:r w:rsidRPr="005835DE">
        <w:t>concorda sul contenuto e sull'orientamento tematico del futuro programma Interreg, nonché sulle sue sinergie con lo strumento Europa globale nei casi specifici proposti;</w:t>
      </w:r>
    </w:p>
    <w:p w14:paraId="23072895" w14:textId="34ECD5ED" w:rsidR="00C82E34" w:rsidRPr="005835DE" w:rsidRDefault="00C82E34" w:rsidP="006028E5">
      <w:pPr>
        <w:numPr>
          <w:ilvl w:val="0"/>
          <w:numId w:val="19"/>
        </w:numPr>
        <w:overflowPunct w:val="0"/>
        <w:autoSpaceDE w:val="0"/>
        <w:autoSpaceDN w:val="0"/>
        <w:adjustRightInd w:val="0"/>
        <w:ind w:left="426" w:hanging="426"/>
        <w:contextualSpacing/>
        <w:textAlignment w:val="baseline"/>
        <w:rPr>
          <w:szCs w:val="20"/>
        </w:rPr>
      </w:pPr>
      <w:r w:rsidRPr="005835DE">
        <w:t xml:space="preserve">concorda altresì, in linea generale, sull'approccio innovativo della proposta </w:t>
      </w:r>
      <w:r w:rsidR="00332E33" w:rsidRPr="005835DE">
        <w:t>in merito al</w:t>
      </w:r>
      <w:r w:rsidRPr="005835DE">
        <w:t xml:space="preserve"> futuro del programma Interreg attuale, in particolare per quanto riguarda l'accettazione della struttura di attuazione al livello dei singoli capitoli del piano Interreg;</w:t>
      </w:r>
    </w:p>
    <w:p w14:paraId="64ACA7F4" w14:textId="77777777" w:rsidR="00C82E34" w:rsidRPr="005835DE" w:rsidRDefault="00C82E34" w:rsidP="006028E5">
      <w:pPr>
        <w:numPr>
          <w:ilvl w:val="0"/>
          <w:numId w:val="19"/>
        </w:numPr>
        <w:overflowPunct w:val="0"/>
        <w:autoSpaceDE w:val="0"/>
        <w:autoSpaceDN w:val="0"/>
        <w:adjustRightInd w:val="0"/>
        <w:ind w:left="426" w:hanging="426"/>
        <w:contextualSpacing/>
        <w:textAlignment w:val="baseline"/>
        <w:rPr>
          <w:szCs w:val="20"/>
        </w:rPr>
      </w:pPr>
      <w:r w:rsidRPr="005835DE">
        <w:t>avverte del rischio che gli attori pertinenti a livello transfrontaliero regionale non siano in grado di raggiungere un accordo, dato che la proposta di regolamento non è molto dettagliata. Raccomanda di adottare l'atto di esecuzione immediatamente dopo l'adozione del regolamento;</w:t>
      </w:r>
    </w:p>
    <w:p w14:paraId="4EB434F3" w14:textId="77777777" w:rsidR="00C82E34" w:rsidRPr="005835DE" w:rsidRDefault="00C82E34" w:rsidP="006028E5">
      <w:pPr>
        <w:numPr>
          <w:ilvl w:val="0"/>
          <w:numId w:val="19"/>
        </w:numPr>
        <w:overflowPunct w:val="0"/>
        <w:autoSpaceDE w:val="0"/>
        <w:autoSpaceDN w:val="0"/>
        <w:adjustRightInd w:val="0"/>
        <w:ind w:left="426" w:hanging="426"/>
        <w:contextualSpacing/>
        <w:textAlignment w:val="baseline"/>
        <w:rPr>
          <w:szCs w:val="20"/>
        </w:rPr>
      </w:pPr>
      <w:r w:rsidRPr="005835DE">
        <w:t>raccomanda altresì di garantire che l'interpretazione e l'attuazione dei fondi a livello di Stati membri siano comparabili e che non vi siano differenze significative tra gli Stati membri;</w:t>
      </w:r>
    </w:p>
    <w:p w14:paraId="72602B09" w14:textId="77777777" w:rsidR="00C82E34" w:rsidRPr="005835DE" w:rsidRDefault="00C82E34" w:rsidP="006028E5">
      <w:pPr>
        <w:numPr>
          <w:ilvl w:val="0"/>
          <w:numId w:val="19"/>
        </w:numPr>
        <w:overflowPunct w:val="0"/>
        <w:autoSpaceDE w:val="0"/>
        <w:autoSpaceDN w:val="0"/>
        <w:adjustRightInd w:val="0"/>
        <w:ind w:left="426" w:hanging="426"/>
        <w:contextualSpacing/>
        <w:textAlignment w:val="baseline"/>
        <w:rPr>
          <w:szCs w:val="20"/>
        </w:rPr>
      </w:pPr>
      <w:r w:rsidRPr="005835DE">
        <w:t>sostiene la semplificazione dei processi attuativi e amministrativi per un uso più efficiente dei fondi;</w:t>
      </w:r>
    </w:p>
    <w:p w14:paraId="6E5FF386" w14:textId="77777777" w:rsidR="00C82E34" w:rsidRPr="005835DE" w:rsidRDefault="00C82E34" w:rsidP="006028E5">
      <w:pPr>
        <w:numPr>
          <w:ilvl w:val="0"/>
          <w:numId w:val="19"/>
        </w:numPr>
        <w:overflowPunct w:val="0"/>
        <w:autoSpaceDE w:val="0"/>
        <w:autoSpaceDN w:val="0"/>
        <w:adjustRightInd w:val="0"/>
        <w:ind w:left="426" w:hanging="426"/>
        <w:contextualSpacing/>
        <w:textAlignment w:val="baseline"/>
        <w:rPr>
          <w:bCs/>
          <w:iCs/>
        </w:rPr>
      </w:pPr>
      <w:r w:rsidRPr="005835DE">
        <w:t>apprezza il fatto che la proposta di regolamento sul FESR e sul Fondo di coesione preveda anche la possibilità di sostenere lo sviluppo urbano sostenibile e, in tale contesto, strategie integrate di sviluppo urbano e territoriale incentrate sullo sviluppo sostenibile e che affrontino le sfide nei settori dell'ambiente, dell'energia e del clima, della transizione equa verso un'economia pulita, climaticamente neutra e resiliente, con particolare attenzione agli alloggi a prezzi accessibili, alla povertà, al patrimonio culturale e all'uso del potenziale delle tecnologie digitali per l'innovazione e l'efficienza energetica.</w:t>
      </w:r>
    </w:p>
    <w:p w14:paraId="63EC4849" w14:textId="77777777" w:rsidR="00056F0F" w:rsidRPr="005835DE" w:rsidRDefault="00056F0F" w:rsidP="00054C58">
      <w:pPr>
        <w:overflowPunct w:val="0"/>
        <w:autoSpaceDE w:val="0"/>
        <w:autoSpaceDN w:val="0"/>
        <w:adjustRightInd w:val="0"/>
        <w:ind w:left="284"/>
        <w:contextualSpacing/>
        <w:textAlignment w:val="baseline"/>
        <w:rPr>
          <w:bCs/>
          <w:iCs/>
          <w:lang w:val="en-GB"/>
        </w:rPr>
      </w:pPr>
    </w:p>
    <w:tbl>
      <w:tblPr>
        <w:tblStyle w:val="TableGrid2"/>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904"/>
      </w:tblGrid>
      <w:tr w:rsidR="00C82E34" w:rsidRPr="005835DE" w14:paraId="04833A6C" w14:textId="77777777" w:rsidTr="0036489A">
        <w:tc>
          <w:tcPr>
            <w:tcW w:w="1418" w:type="dxa"/>
          </w:tcPr>
          <w:p w14:paraId="720E543D" w14:textId="77777777" w:rsidR="00C82E34" w:rsidRPr="005835DE" w:rsidRDefault="00C82E34" w:rsidP="00C82E34">
            <w:pPr>
              <w:overflowPunct w:val="0"/>
              <w:autoSpaceDE w:val="0"/>
              <w:autoSpaceDN w:val="0"/>
              <w:adjustRightInd w:val="0"/>
              <w:textAlignment w:val="baseline"/>
              <w:rPr>
                <w:i/>
              </w:rPr>
            </w:pPr>
            <w:r w:rsidRPr="005835DE">
              <w:rPr>
                <w:b/>
                <w:i/>
              </w:rPr>
              <w:lastRenderedPageBreak/>
              <w:t>Contatto</w:t>
            </w:r>
          </w:p>
        </w:tc>
        <w:tc>
          <w:tcPr>
            <w:tcW w:w="7904" w:type="dxa"/>
          </w:tcPr>
          <w:p w14:paraId="2AC28C0B" w14:textId="5FFF53BD" w:rsidR="00C82E34" w:rsidRPr="005835DE" w:rsidRDefault="00C82E34" w:rsidP="00C82E34">
            <w:pPr>
              <w:overflowPunct w:val="0"/>
              <w:autoSpaceDE w:val="0"/>
              <w:autoSpaceDN w:val="0"/>
              <w:adjustRightInd w:val="0"/>
              <w:textAlignment w:val="baseline"/>
              <w:rPr>
                <w:i/>
              </w:rPr>
            </w:pPr>
            <w:r w:rsidRPr="005835DE">
              <w:rPr>
                <w:i/>
              </w:rPr>
              <w:t>Georgios MELEAS</w:t>
            </w:r>
          </w:p>
        </w:tc>
      </w:tr>
      <w:tr w:rsidR="00C82E34" w:rsidRPr="005835DE" w14:paraId="06EB7C5A" w14:textId="77777777" w:rsidTr="0036489A">
        <w:tc>
          <w:tcPr>
            <w:tcW w:w="1418" w:type="dxa"/>
          </w:tcPr>
          <w:p w14:paraId="3964EC18" w14:textId="77777777" w:rsidR="00C82E34" w:rsidRPr="005835DE" w:rsidRDefault="00C82E34" w:rsidP="00C82E34">
            <w:pPr>
              <w:overflowPunct w:val="0"/>
              <w:autoSpaceDE w:val="0"/>
              <w:autoSpaceDN w:val="0"/>
              <w:adjustRightInd w:val="0"/>
              <w:textAlignment w:val="baseline"/>
              <w:rPr>
                <w:i/>
              </w:rPr>
            </w:pPr>
            <w:r w:rsidRPr="005835DE">
              <w:rPr>
                <w:i/>
              </w:rPr>
              <w:t>Tel.</w:t>
            </w:r>
          </w:p>
        </w:tc>
        <w:tc>
          <w:tcPr>
            <w:tcW w:w="7904" w:type="dxa"/>
          </w:tcPr>
          <w:p w14:paraId="6FC22AA9" w14:textId="7577C11B" w:rsidR="00C82E34" w:rsidRPr="005835DE" w:rsidRDefault="00C82E34" w:rsidP="00C82E34">
            <w:pPr>
              <w:overflowPunct w:val="0"/>
              <w:autoSpaceDE w:val="0"/>
              <w:autoSpaceDN w:val="0"/>
              <w:adjustRightInd w:val="0"/>
              <w:textAlignment w:val="baseline"/>
              <w:rPr>
                <w:i/>
              </w:rPr>
            </w:pPr>
            <w:r w:rsidRPr="005835DE">
              <w:rPr>
                <w:i/>
              </w:rPr>
              <w:t>+32 25469795</w:t>
            </w:r>
          </w:p>
        </w:tc>
      </w:tr>
      <w:tr w:rsidR="00C82E34" w:rsidRPr="005835DE" w14:paraId="03D8EF0B" w14:textId="77777777" w:rsidTr="0036489A">
        <w:tc>
          <w:tcPr>
            <w:tcW w:w="1418" w:type="dxa"/>
          </w:tcPr>
          <w:p w14:paraId="130E2BFD" w14:textId="1F3E2514" w:rsidR="00C82E34" w:rsidRPr="005835DE" w:rsidRDefault="00332E33" w:rsidP="00C82E34">
            <w:pPr>
              <w:overflowPunct w:val="0"/>
              <w:autoSpaceDE w:val="0"/>
              <w:autoSpaceDN w:val="0"/>
              <w:adjustRightInd w:val="0"/>
              <w:textAlignment w:val="baseline"/>
              <w:rPr>
                <w:i/>
              </w:rPr>
            </w:pPr>
            <w:r w:rsidRPr="005835DE">
              <w:rPr>
                <w:i/>
              </w:rPr>
              <w:t>E</w:t>
            </w:r>
            <w:r w:rsidR="00C82E34" w:rsidRPr="005835DE">
              <w:rPr>
                <w:i/>
              </w:rPr>
              <w:t>-mail</w:t>
            </w:r>
          </w:p>
        </w:tc>
        <w:tc>
          <w:tcPr>
            <w:tcW w:w="7904" w:type="dxa"/>
          </w:tcPr>
          <w:p w14:paraId="3D770788" w14:textId="77777777" w:rsidR="00C82E34" w:rsidRPr="005835DE" w:rsidRDefault="00520E78" w:rsidP="00C82E34">
            <w:pPr>
              <w:overflowPunct w:val="0"/>
              <w:autoSpaceDE w:val="0"/>
              <w:autoSpaceDN w:val="0"/>
              <w:adjustRightInd w:val="0"/>
              <w:textAlignment w:val="baseline"/>
            </w:pPr>
            <w:hyperlink r:id="rId23" w:history="1">
              <w:r w:rsidR="00A27BD2" w:rsidRPr="005835DE">
                <w:rPr>
                  <w:i/>
                  <w:color w:val="0000FF"/>
                  <w:u w:val="single"/>
                </w:rPr>
                <w:t>Georgios.Meleas@eesc.europa.eu</w:t>
              </w:r>
            </w:hyperlink>
          </w:p>
          <w:p w14:paraId="21BA5198" w14:textId="77777777" w:rsidR="00D6499D" w:rsidRPr="005835DE" w:rsidRDefault="00D6499D" w:rsidP="00C82E34">
            <w:pPr>
              <w:overflowPunct w:val="0"/>
              <w:autoSpaceDE w:val="0"/>
              <w:autoSpaceDN w:val="0"/>
              <w:adjustRightInd w:val="0"/>
              <w:textAlignment w:val="baseline"/>
              <w:rPr>
                <w:i/>
                <w:iCs/>
                <w:lang w:val="en-GB"/>
              </w:rPr>
            </w:pPr>
          </w:p>
        </w:tc>
      </w:tr>
    </w:tbl>
    <w:p w14:paraId="1DA28233" w14:textId="77777777" w:rsidR="006028E5" w:rsidRPr="005835DE" w:rsidRDefault="006028E5" w:rsidP="006028E5">
      <w:pPr>
        <w:pStyle w:val="Heading1"/>
        <w:numPr>
          <w:ilvl w:val="0"/>
          <w:numId w:val="0"/>
        </w:numPr>
        <w:ind w:left="567"/>
        <w:rPr>
          <w:b/>
        </w:rPr>
      </w:pPr>
      <w:bookmarkStart w:id="1" w:name="_Toc75527081"/>
    </w:p>
    <w:p w14:paraId="3440D475" w14:textId="77777777" w:rsidR="006028E5" w:rsidRPr="005835DE" w:rsidRDefault="006028E5">
      <w:pPr>
        <w:spacing w:after="160" w:line="259" w:lineRule="auto"/>
        <w:jc w:val="left"/>
        <w:rPr>
          <w:b/>
          <w:kern w:val="28"/>
        </w:rPr>
      </w:pPr>
      <w:r w:rsidRPr="005835DE">
        <w:rPr>
          <w:b/>
        </w:rPr>
        <w:br w:type="page"/>
      </w:r>
    </w:p>
    <w:p w14:paraId="4982DD99" w14:textId="7E6999DE" w:rsidR="004D7AC0" w:rsidRPr="005835DE" w:rsidRDefault="004D7AC0" w:rsidP="004D7AC0">
      <w:pPr>
        <w:pStyle w:val="Heading1"/>
        <w:rPr>
          <w:b/>
        </w:rPr>
      </w:pPr>
      <w:bookmarkStart w:id="2" w:name="_Toc216702588"/>
      <w:r w:rsidRPr="005835DE">
        <w:rPr>
          <w:b/>
        </w:rPr>
        <w:lastRenderedPageBreak/>
        <w:t xml:space="preserve">OCCUPAZIONE, AFFARI SOCIALI </w:t>
      </w:r>
      <w:r w:rsidR="00332E33" w:rsidRPr="005835DE">
        <w:rPr>
          <w:b/>
        </w:rPr>
        <w:t>E</w:t>
      </w:r>
      <w:r w:rsidRPr="005835DE">
        <w:rPr>
          <w:b/>
        </w:rPr>
        <w:t xml:space="preserve"> CITTADINANZA</w:t>
      </w:r>
      <w:bookmarkEnd w:id="1"/>
      <w:bookmarkEnd w:id="2"/>
    </w:p>
    <w:p w14:paraId="0203F323" w14:textId="77777777" w:rsidR="00C24C34" w:rsidRPr="005835DE" w:rsidRDefault="00C24C34" w:rsidP="004D7AC0"/>
    <w:p w14:paraId="0D85C8AE" w14:textId="4B607989" w:rsidR="00E972B2" w:rsidRPr="005835DE" w:rsidRDefault="00520E78" w:rsidP="00E972B2">
      <w:pPr>
        <w:widowControl w:val="0"/>
        <w:numPr>
          <w:ilvl w:val="0"/>
          <w:numId w:val="6"/>
        </w:numPr>
        <w:overflowPunct w:val="0"/>
        <w:autoSpaceDE w:val="0"/>
        <w:autoSpaceDN w:val="0"/>
        <w:adjustRightInd w:val="0"/>
        <w:ind w:left="567" w:hanging="567"/>
        <w:textAlignment w:val="baseline"/>
        <w:rPr>
          <w:b/>
          <w:sz w:val="28"/>
          <w:szCs w:val="28"/>
        </w:rPr>
      </w:pPr>
      <w:hyperlink r:id="rId24" w:history="1">
        <w:r w:rsidR="00E972B2" w:rsidRPr="005835DE">
          <w:rPr>
            <w:rStyle w:val="Hyperlink"/>
            <w:b/>
            <w:i/>
            <w:sz w:val="28"/>
            <w:szCs w:val="28"/>
          </w:rPr>
          <w:t>Diritti del lavoro dei giornalisti</w:t>
        </w:r>
      </w:hyperlink>
    </w:p>
    <w:p w14:paraId="0ABA41B8" w14:textId="77777777" w:rsidR="000C7C8B" w:rsidRPr="005835DE" w:rsidRDefault="000C7C8B" w:rsidP="00E972B2">
      <w:pPr>
        <w:tabs>
          <w:tab w:val="center" w:pos="284"/>
        </w:tabs>
        <w:overflowPunct w:val="0"/>
        <w:autoSpaceDE w:val="0"/>
        <w:autoSpaceDN w:val="0"/>
        <w:adjustRightInd w:val="0"/>
        <w:ind w:left="567" w:hanging="567"/>
        <w:textAlignment w:val="baseline"/>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237"/>
      </w:tblGrid>
      <w:tr w:rsidR="00E972B2" w:rsidRPr="005835DE" w14:paraId="7386250C" w14:textId="77777777" w:rsidTr="0036489A">
        <w:tc>
          <w:tcPr>
            <w:tcW w:w="1701" w:type="dxa"/>
          </w:tcPr>
          <w:p w14:paraId="55083F76" w14:textId="586D9B57" w:rsidR="00E972B2" w:rsidRPr="005835DE" w:rsidRDefault="00332E33" w:rsidP="00E972B2">
            <w:pPr>
              <w:tabs>
                <w:tab w:val="center" w:pos="284"/>
              </w:tabs>
              <w:overflowPunct w:val="0"/>
              <w:autoSpaceDE w:val="0"/>
              <w:autoSpaceDN w:val="0"/>
              <w:adjustRightInd w:val="0"/>
              <w:ind w:left="567" w:hanging="567"/>
              <w:textAlignment w:val="baseline"/>
              <w:rPr>
                <w:b/>
              </w:rPr>
            </w:pPr>
            <w:r w:rsidRPr="005835DE">
              <w:rPr>
                <w:b/>
              </w:rPr>
              <w:t>Relatore</w:t>
            </w:r>
          </w:p>
          <w:p w14:paraId="3877742D" w14:textId="65A6189F" w:rsidR="00E972B2" w:rsidRPr="005835DE" w:rsidRDefault="00332E33" w:rsidP="00E972B2">
            <w:pPr>
              <w:tabs>
                <w:tab w:val="center" w:pos="284"/>
              </w:tabs>
              <w:overflowPunct w:val="0"/>
              <w:autoSpaceDE w:val="0"/>
              <w:autoSpaceDN w:val="0"/>
              <w:adjustRightInd w:val="0"/>
              <w:ind w:left="567" w:hanging="567"/>
              <w:textAlignment w:val="baseline"/>
              <w:rPr>
                <w:b/>
              </w:rPr>
            </w:pPr>
            <w:r w:rsidRPr="005835DE">
              <w:rPr>
                <w:b/>
              </w:rPr>
              <w:t>Correlatore</w:t>
            </w:r>
          </w:p>
        </w:tc>
        <w:tc>
          <w:tcPr>
            <w:tcW w:w="6237" w:type="dxa"/>
          </w:tcPr>
          <w:p w14:paraId="59B0A1D0" w14:textId="77777777" w:rsidR="00E972B2" w:rsidRPr="005835DE" w:rsidRDefault="00E972B2" w:rsidP="00E972B2">
            <w:pPr>
              <w:overflowPunct w:val="0"/>
              <w:autoSpaceDE w:val="0"/>
              <w:autoSpaceDN w:val="0"/>
              <w:adjustRightInd w:val="0"/>
              <w:ind w:left="567" w:hanging="567"/>
              <w:textAlignment w:val="baseline"/>
            </w:pPr>
            <w:r w:rsidRPr="005835DE">
              <w:t>José Antonio MORENO DÍAZ (Lavoratori - ES)</w:t>
            </w:r>
          </w:p>
          <w:p w14:paraId="683C7CA1" w14:textId="4F234B12" w:rsidR="00E972B2" w:rsidRPr="005835DE" w:rsidRDefault="00E972B2" w:rsidP="00E972B2">
            <w:pPr>
              <w:overflowPunct w:val="0"/>
              <w:autoSpaceDE w:val="0"/>
              <w:autoSpaceDN w:val="0"/>
              <w:adjustRightInd w:val="0"/>
              <w:ind w:left="567" w:hanging="567"/>
              <w:textAlignment w:val="baseline"/>
            </w:pPr>
            <w:r w:rsidRPr="005835DE">
              <w:t>Christian MOOS (Organizzazioni della società civile - DE)</w:t>
            </w:r>
          </w:p>
        </w:tc>
      </w:tr>
      <w:tr w:rsidR="00271662" w:rsidRPr="005835DE" w14:paraId="3F1EEDE1" w14:textId="77777777" w:rsidTr="0036489A">
        <w:tc>
          <w:tcPr>
            <w:tcW w:w="1701" w:type="dxa"/>
          </w:tcPr>
          <w:p w14:paraId="3B2006C3" w14:textId="77777777" w:rsidR="00271662" w:rsidRPr="005835DE" w:rsidRDefault="00271662" w:rsidP="00E972B2">
            <w:pPr>
              <w:tabs>
                <w:tab w:val="center" w:pos="284"/>
              </w:tabs>
              <w:overflowPunct w:val="0"/>
              <w:autoSpaceDE w:val="0"/>
              <w:autoSpaceDN w:val="0"/>
              <w:adjustRightInd w:val="0"/>
              <w:ind w:left="567" w:hanging="567"/>
              <w:textAlignment w:val="baseline"/>
              <w:rPr>
                <w:b/>
                <w:sz w:val="16"/>
                <w:szCs w:val="16"/>
              </w:rPr>
            </w:pPr>
          </w:p>
        </w:tc>
        <w:tc>
          <w:tcPr>
            <w:tcW w:w="6237" w:type="dxa"/>
          </w:tcPr>
          <w:p w14:paraId="56B028ED" w14:textId="77777777" w:rsidR="00271662" w:rsidRPr="005835DE" w:rsidRDefault="00271662" w:rsidP="00E972B2">
            <w:pPr>
              <w:overflowPunct w:val="0"/>
              <w:autoSpaceDE w:val="0"/>
              <w:autoSpaceDN w:val="0"/>
              <w:adjustRightInd w:val="0"/>
              <w:ind w:left="567" w:hanging="567"/>
              <w:textAlignment w:val="baseline"/>
              <w:rPr>
                <w:sz w:val="16"/>
                <w:szCs w:val="16"/>
              </w:rPr>
            </w:pPr>
          </w:p>
        </w:tc>
      </w:tr>
      <w:tr w:rsidR="00E972B2" w:rsidRPr="005835DE" w14:paraId="403DF22C" w14:textId="77777777" w:rsidTr="0036489A">
        <w:tc>
          <w:tcPr>
            <w:tcW w:w="1701" w:type="dxa"/>
            <w:vMerge w:val="restart"/>
          </w:tcPr>
          <w:p w14:paraId="762D1FFF" w14:textId="77777777" w:rsidR="00E972B2" w:rsidRPr="005835DE" w:rsidRDefault="00E972B2" w:rsidP="00E972B2">
            <w:pPr>
              <w:tabs>
                <w:tab w:val="center" w:pos="284"/>
              </w:tabs>
              <w:overflowPunct w:val="0"/>
              <w:autoSpaceDE w:val="0"/>
              <w:autoSpaceDN w:val="0"/>
              <w:adjustRightInd w:val="0"/>
              <w:ind w:left="567" w:hanging="567"/>
              <w:textAlignment w:val="baseline"/>
              <w:rPr>
                <w:b/>
              </w:rPr>
            </w:pPr>
            <w:r w:rsidRPr="005835DE">
              <w:rPr>
                <w:b/>
              </w:rPr>
              <w:t>Riferimento</w:t>
            </w:r>
          </w:p>
        </w:tc>
        <w:tc>
          <w:tcPr>
            <w:tcW w:w="6237" w:type="dxa"/>
          </w:tcPr>
          <w:p w14:paraId="29981116" w14:textId="11CD9731" w:rsidR="00DB1B79" w:rsidRPr="005835DE" w:rsidRDefault="00DB1B79" w:rsidP="00E972B2">
            <w:pPr>
              <w:tabs>
                <w:tab w:val="center" w:pos="284"/>
              </w:tabs>
              <w:overflowPunct w:val="0"/>
              <w:autoSpaceDE w:val="0"/>
              <w:autoSpaceDN w:val="0"/>
              <w:adjustRightInd w:val="0"/>
              <w:ind w:left="567" w:hanging="567"/>
              <w:textAlignment w:val="baseline"/>
            </w:pPr>
            <w:r w:rsidRPr="005835DE">
              <w:t>Parere d'iniziativa</w:t>
            </w:r>
          </w:p>
          <w:p w14:paraId="4F671282" w14:textId="1803C443" w:rsidR="00E972B2" w:rsidRPr="005835DE" w:rsidRDefault="00E972B2" w:rsidP="00E972B2">
            <w:pPr>
              <w:tabs>
                <w:tab w:val="center" w:pos="284"/>
              </w:tabs>
              <w:overflowPunct w:val="0"/>
              <w:autoSpaceDE w:val="0"/>
              <w:autoSpaceDN w:val="0"/>
              <w:adjustRightInd w:val="0"/>
              <w:ind w:left="567" w:hanging="567"/>
              <w:textAlignment w:val="baseline"/>
            </w:pPr>
            <w:r w:rsidRPr="005835DE">
              <w:t>EESC-2025-01400-00-00-AC</w:t>
            </w:r>
          </w:p>
        </w:tc>
      </w:tr>
      <w:tr w:rsidR="00E972B2" w:rsidRPr="005835DE" w14:paraId="5DAEC2A3" w14:textId="77777777" w:rsidTr="0036489A">
        <w:tc>
          <w:tcPr>
            <w:tcW w:w="1701" w:type="dxa"/>
            <w:vMerge/>
          </w:tcPr>
          <w:p w14:paraId="23805FDF" w14:textId="77777777" w:rsidR="00E972B2" w:rsidRPr="005835DE" w:rsidRDefault="00E972B2" w:rsidP="00E972B2">
            <w:pPr>
              <w:tabs>
                <w:tab w:val="center" w:pos="284"/>
              </w:tabs>
              <w:overflowPunct w:val="0"/>
              <w:autoSpaceDE w:val="0"/>
              <w:autoSpaceDN w:val="0"/>
              <w:adjustRightInd w:val="0"/>
              <w:ind w:left="266" w:hanging="266"/>
              <w:textAlignment w:val="baseline"/>
              <w:rPr>
                <w:b/>
                <w:lang w:val="en-GB"/>
              </w:rPr>
            </w:pPr>
          </w:p>
        </w:tc>
        <w:tc>
          <w:tcPr>
            <w:tcW w:w="6237" w:type="dxa"/>
          </w:tcPr>
          <w:p w14:paraId="0EEAB858" w14:textId="77777777" w:rsidR="00E972B2" w:rsidRPr="005835DE" w:rsidRDefault="00E972B2" w:rsidP="00E972B2">
            <w:pPr>
              <w:tabs>
                <w:tab w:val="center" w:pos="284"/>
              </w:tabs>
              <w:overflowPunct w:val="0"/>
              <w:autoSpaceDE w:val="0"/>
              <w:autoSpaceDN w:val="0"/>
              <w:adjustRightInd w:val="0"/>
              <w:ind w:left="266" w:hanging="266"/>
              <w:textAlignment w:val="baseline"/>
              <w:rPr>
                <w:sz w:val="16"/>
                <w:szCs w:val="16"/>
                <w:lang w:val="en-GB"/>
              </w:rPr>
            </w:pPr>
          </w:p>
        </w:tc>
      </w:tr>
    </w:tbl>
    <w:p w14:paraId="770A689E" w14:textId="77777777" w:rsidR="00C24C34" w:rsidRPr="005835DE" w:rsidRDefault="00C24C34" w:rsidP="00E972B2">
      <w:pPr>
        <w:keepNext/>
        <w:keepLines/>
        <w:tabs>
          <w:tab w:val="center" w:pos="284"/>
        </w:tabs>
        <w:overflowPunct w:val="0"/>
        <w:autoSpaceDE w:val="0"/>
        <w:autoSpaceDN w:val="0"/>
        <w:adjustRightInd w:val="0"/>
        <w:ind w:left="266" w:hanging="266"/>
        <w:textAlignment w:val="baseline"/>
        <w:rPr>
          <w:b/>
          <w:lang w:val="en-GB"/>
        </w:rPr>
      </w:pPr>
    </w:p>
    <w:p w14:paraId="146DC9AC" w14:textId="5044B617" w:rsidR="00E972B2" w:rsidRPr="005835DE" w:rsidRDefault="00E972B2" w:rsidP="00E972B2">
      <w:pPr>
        <w:keepNext/>
        <w:keepLines/>
        <w:tabs>
          <w:tab w:val="center" w:pos="284"/>
        </w:tabs>
        <w:overflowPunct w:val="0"/>
        <w:autoSpaceDE w:val="0"/>
        <w:autoSpaceDN w:val="0"/>
        <w:adjustRightInd w:val="0"/>
        <w:ind w:left="266" w:hanging="266"/>
        <w:textAlignment w:val="baseline"/>
        <w:rPr>
          <w:b/>
        </w:rPr>
      </w:pPr>
      <w:r w:rsidRPr="005835DE">
        <w:rPr>
          <w:b/>
        </w:rPr>
        <w:t>Punti principali</w:t>
      </w:r>
    </w:p>
    <w:p w14:paraId="7CEC89B2" w14:textId="77777777" w:rsidR="00C24C34" w:rsidRPr="005835DE" w:rsidRDefault="00C24C34" w:rsidP="00E972B2">
      <w:pPr>
        <w:keepNext/>
        <w:keepLines/>
        <w:tabs>
          <w:tab w:val="center" w:pos="284"/>
        </w:tabs>
        <w:overflowPunct w:val="0"/>
        <w:autoSpaceDE w:val="0"/>
        <w:autoSpaceDN w:val="0"/>
        <w:adjustRightInd w:val="0"/>
        <w:ind w:left="266" w:hanging="266"/>
        <w:textAlignment w:val="baseline"/>
        <w:rPr>
          <w:b/>
          <w:lang w:val="en-GB"/>
        </w:rPr>
      </w:pPr>
    </w:p>
    <w:p w14:paraId="409C084B" w14:textId="11E1ED7F" w:rsidR="00E972B2" w:rsidRPr="005835DE" w:rsidRDefault="00E972B2" w:rsidP="00E972B2">
      <w:pPr>
        <w:keepNext/>
        <w:keepLines/>
        <w:tabs>
          <w:tab w:val="center" w:pos="284"/>
        </w:tabs>
        <w:overflowPunct w:val="0"/>
        <w:autoSpaceDE w:val="0"/>
        <w:autoSpaceDN w:val="0"/>
        <w:adjustRightInd w:val="0"/>
        <w:ind w:left="266" w:hanging="266"/>
        <w:textAlignment w:val="baseline"/>
        <w:rPr>
          <w:szCs w:val="20"/>
        </w:rPr>
      </w:pPr>
      <w:r w:rsidRPr="005835DE">
        <w:t>Il CESE:</w:t>
      </w:r>
    </w:p>
    <w:p w14:paraId="466A1A93" w14:textId="77777777" w:rsidR="00C24C34" w:rsidRPr="005835DE" w:rsidRDefault="00C24C34" w:rsidP="00E972B2">
      <w:pPr>
        <w:keepNext/>
        <w:keepLines/>
        <w:tabs>
          <w:tab w:val="center" w:pos="284"/>
        </w:tabs>
        <w:overflowPunct w:val="0"/>
        <w:autoSpaceDE w:val="0"/>
        <w:autoSpaceDN w:val="0"/>
        <w:adjustRightInd w:val="0"/>
        <w:ind w:left="266" w:hanging="266"/>
        <w:textAlignment w:val="baseline"/>
        <w:rPr>
          <w:szCs w:val="20"/>
          <w:lang w:val="en-GB"/>
        </w:rPr>
      </w:pPr>
    </w:p>
    <w:p w14:paraId="3CF6F831" w14:textId="77777777" w:rsidR="00E972B2" w:rsidRPr="005835DE" w:rsidRDefault="00E972B2" w:rsidP="00EB4962">
      <w:pPr>
        <w:numPr>
          <w:ilvl w:val="1"/>
          <w:numId w:val="20"/>
        </w:numPr>
        <w:overflowPunct w:val="0"/>
        <w:autoSpaceDE w:val="0"/>
        <w:autoSpaceDN w:val="0"/>
        <w:adjustRightInd w:val="0"/>
        <w:spacing w:line="276" w:lineRule="auto"/>
        <w:ind w:left="426" w:hanging="426"/>
        <w:textAlignment w:val="baseline"/>
        <w:outlineLvl w:val="1"/>
        <w:rPr>
          <w:szCs w:val="20"/>
        </w:rPr>
      </w:pPr>
      <w:bookmarkStart w:id="3" w:name="_Toc216702589"/>
      <w:r w:rsidRPr="005835DE">
        <w:t>esorta le autorità ad adottare misure protettive urgenti contro la crescente insicurezza dei giornalisti e chiede la piena applicazione del regolamento europeo sulla libertà dei media. Chiede inoltre l'adozione di misure di sostegno indipendenti per gli organi di informazione, in aggiunta alle sovvenzioni esistenti, per garantire la sostenibilità del settore europeo dei media, e raccomanda un aumento consistente dei fondi per la protezione di un solido ecosistema dell'informazione;</w:t>
      </w:r>
      <w:bookmarkEnd w:id="3"/>
    </w:p>
    <w:p w14:paraId="699C4C8F" w14:textId="7D0D9371" w:rsidR="00E972B2" w:rsidRPr="005835DE" w:rsidRDefault="00E972B2" w:rsidP="00EB4962">
      <w:pPr>
        <w:numPr>
          <w:ilvl w:val="1"/>
          <w:numId w:val="20"/>
        </w:numPr>
        <w:overflowPunct w:val="0"/>
        <w:autoSpaceDE w:val="0"/>
        <w:autoSpaceDN w:val="0"/>
        <w:adjustRightInd w:val="0"/>
        <w:spacing w:line="276" w:lineRule="auto"/>
        <w:ind w:left="426" w:hanging="426"/>
        <w:textAlignment w:val="baseline"/>
        <w:outlineLvl w:val="1"/>
        <w:rPr>
          <w:bCs/>
          <w:szCs w:val="20"/>
        </w:rPr>
      </w:pPr>
      <w:bookmarkStart w:id="4" w:name="_Toc216702590"/>
      <w:r w:rsidRPr="005835DE">
        <w:t>invita la Commissione europea a presentare un pacchetto ambizioso con misure politiche e investimenti volti a sostenere posti di lavoro di qualità nel settore dei media, e sollecita i governi a promuovere il dialogo sociale e la contrattazione collettiva per tutti i giornalisti, compresi gli autonomi (free-lance), attraverso il recepimento della direttiva relativa a salari minimi adeguati se del caso</w:t>
      </w:r>
      <w:r w:rsidRPr="005835DE">
        <w:rPr>
          <w:sz w:val="24"/>
          <w:szCs w:val="24"/>
          <w:vertAlign w:val="superscript"/>
          <w:lang w:val="en-GB"/>
        </w:rPr>
        <w:footnoteReference w:id="1"/>
      </w:r>
      <w:r w:rsidRPr="005835DE">
        <w:t xml:space="preserve"> e gli orientamenti sull'applicazione del diritto della concorrenza dell'Unione agli accordi collettivi concernenti le condizioni di lavoro dei lavoratori autonomi individuali</w:t>
      </w:r>
      <w:r w:rsidRPr="005835DE">
        <w:rPr>
          <w:sz w:val="24"/>
          <w:szCs w:val="24"/>
          <w:vertAlign w:val="superscript"/>
          <w:lang w:val="en-GB"/>
        </w:rPr>
        <w:footnoteReference w:id="2"/>
      </w:r>
      <w:r w:rsidRPr="005835DE">
        <w:t>.</w:t>
      </w:r>
      <w:r w:rsidR="00332E33" w:rsidRPr="005835DE">
        <w:t xml:space="preserve"> </w:t>
      </w:r>
      <w:r w:rsidRPr="005835DE">
        <w:t>Invita inoltre la Commissione europea e gli Stati membri a combattere il lavoro autonomo fittizio;</w:t>
      </w:r>
      <w:bookmarkEnd w:id="4"/>
    </w:p>
    <w:p w14:paraId="2C320535" w14:textId="77777777" w:rsidR="00E972B2" w:rsidRPr="005835DE" w:rsidRDefault="00E972B2" w:rsidP="00EB4962">
      <w:pPr>
        <w:numPr>
          <w:ilvl w:val="1"/>
          <w:numId w:val="20"/>
        </w:numPr>
        <w:overflowPunct w:val="0"/>
        <w:autoSpaceDE w:val="0"/>
        <w:autoSpaceDN w:val="0"/>
        <w:adjustRightInd w:val="0"/>
        <w:spacing w:line="276" w:lineRule="auto"/>
        <w:ind w:left="426" w:hanging="426"/>
        <w:textAlignment w:val="baseline"/>
        <w:outlineLvl w:val="1"/>
        <w:rPr>
          <w:szCs w:val="20"/>
        </w:rPr>
      </w:pPr>
      <w:bookmarkStart w:id="5" w:name="_Toc216702591"/>
      <w:r w:rsidRPr="005835DE">
        <w:t>chiede alla Commissione europea di dare seguito alla raccomandazione relativa alla garanzia della protezione, della sicurezza e dell'empowerment dei giornalisti</w:t>
      </w:r>
      <w:r w:rsidRPr="005835DE">
        <w:rPr>
          <w:sz w:val="24"/>
          <w:szCs w:val="24"/>
          <w:vertAlign w:val="superscript"/>
          <w:lang w:val="en-GB"/>
        </w:rPr>
        <w:footnoteReference w:id="3"/>
      </w:r>
      <w:r w:rsidRPr="005835DE">
        <w:t xml:space="preserve"> e sottolinea la necessità di un maggiore impegno con le organizzazioni dei giornalisti per creare strutture in grado di salvaguardare la sicurezza dei giornalisti. I giornalisti sono lavoratori esposti in modo significativo a stress, burnout, molestie online e sovraccarico digitale. Sarebbe utile che la Commissione esaminasse come dare seguito alla risoluzione del Parlamento europeo del 10 marzo 2022 che chiede l'adozione di una direttiva sui rischi psicosociali. Il Comitato intende elaborare un parere sull'argomento</w:t>
      </w:r>
      <w:r w:rsidRPr="005835DE">
        <w:rPr>
          <w:sz w:val="24"/>
          <w:szCs w:val="20"/>
          <w:vertAlign w:val="superscript"/>
          <w:lang w:val="en-GB"/>
        </w:rPr>
        <w:footnoteReference w:id="4"/>
      </w:r>
      <w:r w:rsidRPr="005835DE">
        <w:t>;</w:t>
      </w:r>
      <w:bookmarkEnd w:id="5"/>
    </w:p>
    <w:p w14:paraId="15FE9461" w14:textId="77777777" w:rsidR="00E972B2" w:rsidRPr="005835DE" w:rsidRDefault="00E972B2" w:rsidP="00EB4962">
      <w:pPr>
        <w:numPr>
          <w:ilvl w:val="1"/>
          <w:numId w:val="20"/>
        </w:numPr>
        <w:pBdr>
          <w:top w:val="nil"/>
          <w:left w:val="nil"/>
          <w:bottom w:val="nil"/>
          <w:right w:val="nil"/>
          <w:between w:val="nil"/>
        </w:pBdr>
        <w:overflowPunct w:val="0"/>
        <w:autoSpaceDE w:val="0"/>
        <w:autoSpaceDN w:val="0"/>
        <w:adjustRightInd w:val="0"/>
        <w:spacing w:line="276" w:lineRule="auto"/>
        <w:ind w:left="426" w:hanging="426"/>
        <w:textAlignment w:val="baseline"/>
        <w:outlineLvl w:val="1"/>
        <w:rPr>
          <w:szCs w:val="20"/>
        </w:rPr>
      </w:pPr>
      <w:bookmarkStart w:id="6" w:name="_Toc216702592"/>
      <w:r w:rsidRPr="005835DE">
        <w:t xml:space="preserve">invita la Commissione europea a monitorare l'applicazione del quadro legislativo dell'UE sull'uso dell'intelligenza artificiale (IA) al fine di proteggere i giornalisti, ed esorta i sindacati dei giornalisti e le organizzazioni dei media ad affrontare la questione dell'uso dell'IA nelle redazioni, nel quadro del dialogo sociale. Chiede inoltre finanziamenti per progetti che sviluppino l'alfabetizzazione dei giornalisti in materia di IA, la valutazione delle possibilità di cofinanziare le "accademie europee del giornalismo", nonché la formazione dei giornalisti ed eventualmente sovvenzioni per gli </w:t>
      </w:r>
      <w:r w:rsidRPr="005835DE">
        <w:lastRenderedPageBreak/>
        <w:t>stipendi dei giovani giornalisti provenienti da imprese del settore dei media che soddisfano standard elevati in materia di giornalismo di qualità e condizioni di lavoro.</w:t>
      </w:r>
      <w:bookmarkEnd w:id="6"/>
    </w:p>
    <w:p w14:paraId="628F03B6" w14:textId="77777777" w:rsidR="00E972B2" w:rsidRPr="005835DE" w:rsidRDefault="00E972B2" w:rsidP="00E972B2">
      <w:pPr>
        <w:overflowPunct w:val="0"/>
        <w:autoSpaceDE w:val="0"/>
        <w:autoSpaceDN w:val="0"/>
        <w:adjustRightInd w:val="0"/>
        <w:textAlignment w:val="baseline"/>
        <w:rPr>
          <w:szCs w:val="20"/>
          <w:lang w:val="en-GB"/>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0"/>
        <w:gridCol w:w="4493"/>
      </w:tblGrid>
      <w:tr w:rsidR="00E972B2" w:rsidRPr="005835DE" w14:paraId="2A48BF49" w14:textId="77777777" w:rsidTr="0036489A">
        <w:tc>
          <w:tcPr>
            <w:tcW w:w="1210" w:type="dxa"/>
          </w:tcPr>
          <w:p w14:paraId="238E38FB" w14:textId="77777777" w:rsidR="00E972B2" w:rsidRPr="005835DE" w:rsidRDefault="00E972B2" w:rsidP="00E972B2">
            <w:pPr>
              <w:overflowPunct w:val="0"/>
              <w:autoSpaceDE w:val="0"/>
              <w:autoSpaceDN w:val="0"/>
              <w:adjustRightInd w:val="0"/>
              <w:spacing w:line="240" w:lineRule="auto"/>
              <w:textAlignment w:val="baseline"/>
              <w:rPr>
                <w:i/>
              </w:rPr>
            </w:pPr>
            <w:r w:rsidRPr="005835DE">
              <w:rPr>
                <w:b/>
                <w:i/>
              </w:rPr>
              <w:t>Contatto</w:t>
            </w:r>
          </w:p>
        </w:tc>
        <w:tc>
          <w:tcPr>
            <w:tcW w:w="4493" w:type="dxa"/>
          </w:tcPr>
          <w:p w14:paraId="222CC330" w14:textId="77777777" w:rsidR="00E972B2" w:rsidRPr="005835DE" w:rsidRDefault="00E972B2" w:rsidP="00E972B2">
            <w:pPr>
              <w:overflowPunct w:val="0"/>
              <w:autoSpaceDE w:val="0"/>
              <w:autoSpaceDN w:val="0"/>
              <w:adjustRightInd w:val="0"/>
              <w:spacing w:line="240" w:lineRule="auto"/>
              <w:ind w:hanging="12"/>
              <w:textAlignment w:val="baseline"/>
              <w:rPr>
                <w:i/>
              </w:rPr>
            </w:pPr>
            <w:r w:rsidRPr="005835DE">
              <w:rPr>
                <w:i/>
              </w:rPr>
              <w:t>June BEDATON</w:t>
            </w:r>
          </w:p>
        </w:tc>
      </w:tr>
      <w:tr w:rsidR="00E972B2" w:rsidRPr="005835DE" w14:paraId="6AAFD04B" w14:textId="77777777" w:rsidTr="0036489A">
        <w:tc>
          <w:tcPr>
            <w:tcW w:w="1210" w:type="dxa"/>
          </w:tcPr>
          <w:p w14:paraId="43DF2BDC" w14:textId="77777777" w:rsidR="00E972B2" w:rsidRPr="005835DE" w:rsidRDefault="00E972B2" w:rsidP="00E972B2">
            <w:pPr>
              <w:overflowPunct w:val="0"/>
              <w:autoSpaceDE w:val="0"/>
              <w:autoSpaceDN w:val="0"/>
              <w:adjustRightInd w:val="0"/>
              <w:spacing w:line="240" w:lineRule="auto"/>
              <w:textAlignment w:val="baseline"/>
              <w:rPr>
                <w:i/>
              </w:rPr>
            </w:pPr>
            <w:r w:rsidRPr="005835DE">
              <w:rPr>
                <w:i/>
              </w:rPr>
              <w:t>Tel.</w:t>
            </w:r>
          </w:p>
        </w:tc>
        <w:tc>
          <w:tcPr>
            <w:tcW w:w="4493" w:type="dxa"/>
          </w:tcPr>
          <w:p w14:paraId="63A276AE" w14:textId="77777777" w:rsidR="00E972B2" w:rsidRPr="005835DE" w:rsidRDefault="00E972B2" w:rsidP="00E972B2">
            <w:pPr>
              <w:overflowPunct w:val="0"/>
              <w:autoSpaceDE w:val="0"/>
              <w:autoSpaceDN w:val="0"/>
              <w:adjustRightInd w:val="0"/>
              <w:spacing w:line="240" w:lineRule="auto"/>
              <w:textAlignment w:val="baseline"/>
              <w:rPr>
                <w:i/>
              </w:rPr>
            </w:pPr>
            <w:r w:rsidRPr="005835DE">
              <w:rPr>
                <w:i/>
              </w:rPr>
              <w:t>+32 25468134</w:t>
            </w:r>
          </w:p>
        </w:tc>
      </w:tr>
      <w:tr w:rsidR="00E972B2" w:rsidRPr="005835DE" w14:paraId="20D34920" w14:textId="77777777" w:rsidTr="0036489A">
        <w:tc>
          <w:tcPr>
            <w:tcW w:w="1210" w:type="dxa"/>
          </w:tcPr>
          <w:p w14:paraId="75D6BA57" w14:textId="2F770F91" w:rsidR="00E972B2" w:rsidRPr="005835DE" w:rsidRDefault="00332E33" w:rsidP="00E972B2">
            <w:pPr>
              <w:overflowPunct w:val="0"/>
              <w:autoSpaceDE w:val="0"/>
              <w:autoSpaceDN w:val="0"/>
              <w:adjustRightInd w:val="0"/>
              <w:spacing w:line="240" w:lineRule="auto"/>
              <w:textAlignment w:val="baseline"/>
              <w:rPr>
                <w:i/>
              </w:rPr>
            </w:pPr>
            <w:r w:rsidRPr="005835DE">
              <w:rPr>
                <w:i/>
              </w:rPr>
              <w:t>E</w:t>
            </w:r>
            <w:r w:rsidR="00E972B2" w:rsidRPr="005835DE">
              <w:rPr>
                <w:i/>
              </w:rPr>
              <w:t>-mail</w:t>
            </w:r>
          </w:p>
        </w:tc>
        <w:tc>
          <w:tcPr>
            <w:tcW w:w="4493" w:type="dxa"/>
          </w:tcPr>
          <w:p w14:paraId="49B7876D" w14:textId="77777777" w:rsidR="00E972B2" w:rsidRPr="005835DE" w:rsidRDefault="00520E78" w:rsidP="00E972B2">
            <w:pPr>
              <w:overflowPunct w:val="0"/>
              <w:autoSpaceDE w:val="0"/>
              <w:autoSpaceDN w:val="0"/>
              <w:adjustRightInd w:val="0"/>
              <w:spacing w:line="240" w:lineRule="auto"/>
              <w:textAlignment w:val="baseline"/>
              <w:rPr>
                <w:i/>
                <w:iCs/>
              </w:rPr>
            </w:pPr>
            <w:hyperlink r:id="rId25" w:history="1">
              <w:r w:rsidR="00A27BD2" w:rsidRPr="005835DE">
                <w:rPr>
                  <w:i/>
                  <w:color w:val="0000FF"/>
                  <w:u w:val="single"/>
                </w:rPr>
                <w:t>june.bedaton@eesc.europa.eu</w:t>
              </w:r>
            </w:hyperlink>
            <w:r w:rsidR="00A27BD2" w:rsidRPr="005835DE">
              <w:rPr>
                <w:i/>
              </w:rPr>
              <w:t xml:space="preserve"> </w:t>
            </w:r>
          </w:p>
        </w:tc>
      </w:tr>
    </w:tbl>
    <w:p w14:paraId="4982DDC2" w14:textId="77777777" w:rsidR="004D7AC0" w:rsidRPr="005835DE" w:rsidRDefault="004D7AC0" w:rsidP="004D7AC0">
      <w:pPr>
        <w:pStyle w:val="ListParagraph"/>
        <w:ind w:left="0"/>
      </w:pPr>
    </w:p>
    <w:p w14:paraId="4982DDC3" w14:textId="77777777" w:rsidR="004D7AC0" w:rsidRPr="005835DE" w:rsidRDefault="004D7AC0" w:rsidP="004D7AC0">
      <w:pPr>
        <w:pStyle w:val="ListParagraph"/>
        <w:ind w:left="0"/>
      </w:pPr>
    </w:p>
    <w:p w14:paraId="4982DDC4" w14:textId="77777777" w:rsidR="004D7AC0" w:rsidRPr="005835DE" w:rsidRDefault="004D7AC0" w:rsidP="004D7AC0">
      <w:pPr>
        <w:pStyle w:val="ListParagraph"/>
        <w:ind w:left="0"/>
      </w:pPr>
    </w:p>
    <w:p w14:paraId="3BBEED3B" w14:textId="2A08F509" w:rsidR="008D0052" w:rsidRPr="005835DE" w:rsidRDefault="004D7AC0" w:rsidP="008D0052">
      <w:pPr>
        <w:widowControl w:val="0"/>
        <w:numPr>
          <w:ilvl w:val="0"/>
          <w:numId w:val="6"/>
        </w:numPr>
        <w:overflowPunct w:val="0"/>
        <w:autoSpaceDE w:val="0"/>
        <w:autoSpaceDN w:val="0"/>
        <w:adjustRightInd w:val="0"/>
        <w:ind w:left="567" w:hanging="567"/>
        <w:textAlignment w:val="baseline"/>
        <w:rPr>
          <w:b/>
          <w:sz w:val="28"/>
          <w:szCs w:val="28"/>
        </w:rPr>
      </w:pPr>
      <w:r w:rsidRPr="005835DE">
        <w:br w:type="page"/>
      </w:r>
      <w:hyperlink r:id="rId26" w:history="1">
        <w:r w:rsidRPr="005835DE">
          <w:rPr>
            <w:b/>
            <w:i/>
            <w:color w:val="0000FF"/>
            <w:sz w:val="28"/>
            <w:szCs w:val="28"/>
            <w:u w:val="single"/>
          </w:rPr>
          <w:t>Programmi AgoraEU e Giustizia</w:t>
        </w:r>
      </w:hyperlink>
    </w:p>
    <w:p w14:paraId="269FC09C" w14:textId="77777777" w:rsidR="008D0052" w:rsidRPr="005835DE" w:rsidRDefault="008D0052" w:rsidP="008D0052">
      <w:pPr>
        <w:tabs>
          <w:tab w:val="center" w:pos="284"/>
        </w:tabs>
        <w:overflowPunct w:val="0"/>
        <w:autoSpaceDE w:val="0"/>
        <w:autoSpaceDN w:val="0"/>
        <w:adjustRightInd w:val="0"/>
        <w:ind w:left="567" w:hanging="567"/>
        <w:textAlignment w:val="baseline"/>
        <w:rPr>
          <w:sz w:val="16"/>
          <w:szCs w:val="16"/>
        </w:r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237"/>
      </w:tblGrid>
      <w:tr w:rsidR="008D0052" w:rsidRPr="005835DE" w14:paraId="439074D0" w14:textId="77777777" w:rsidTr="0036489A">
        <w:tc>
          <w:tcPr>
            <w:tcW w:w="1701" w:type="dxa"/>
          </w:tcPr>
          <w:p w14:paraId="59ACE1C9" w14:textId="30206957" w:rsidR="008D0052" w:rsidRPr="005835DE" w:rsidRDefault="00332E33" w:rsidP="008D0052">
            <w:pPr>
              <w:tabs>
                <w:tab w:val="center" w:pos="284"/>
              </w:tabs>
              <w:overflowPunct w:val="0"/>
              <w:autoSpaceDE w:val="0"/>
              <w:autoSpaceDN w:val="0"/>
              <w:adjustRightInd w:val="0"/>
              <w:ind w:left="567" w:hanging="567"/>
              <w:textAlignment w:val="baseline"/>
              <w:rPr>
                <w:b/>
              </w:rPr>
            </w:pPr>
            <w:r w:rsidRPr="005835DE">
              <w:rPr>
                <w:b/>
              </w:rPr>
              <w:t>Relatore</w:t>
            </w:r>
          </w:p>
        </w:tc>
        <w:tc>
          <w:tcPr>
            <w:tcW w:w="6237" w:type="dxa"/>
          </w:tcPr>
          <w:p w14:paraId="585EAFF0" w14:textId="77777777" w:rsidR="008D0052" w:rsidRPr="005835DE" w:rsidRDefault="008D0052" w:rsidP="008D0052">
            <w:pPr>
              <w:overflowPunct w:val="0"/>
              <w:autoSpaceDE w:val="0"/>
              <w:autoSpaceDN w:val="0"/>
              <w:adjustRightInd w:val="0"/>
              <w:ind w:left="567" w:hanging="567"/>
              <w:textAlignment w:val="baseline"/>
            </w:pPr>
            <w:r w:rsidRPr="005835DE">
              <w:t>Ionuţ SIBIAN (Organizzazioni della società civile - RO)</w:t>
            </w:r>
          </w:p>
        </w:tc>
      </w:tr>
      <w:tr w:rsidR="00C10402" w:rsidRPr="005835DE" w14:paraId="50D63BB2" w14:textId="77777777" w:rsidTr="0036489A">
        <w:tc>
          <w:tcPr>
            <w:tcW w:w="1701" w:type="dxa"/>
          </w:tcPr>
          <w:p w14:paraId="503A73B3" w14:textId="77777777" w:rsidR="00C10402" w:rsidRPr="005835DE" w:rsidRDefault="00C10402" w:rsidP="008D0052">
            <w:pPr>
              <w:tabs>
                <w:tab w:val="center" w:pos="284"/>
              </w:tabs>
              <w:overflowPunct w:val="0"/>
              <w:autoSpaceDE w:val="0"/>
              <w:autoSpaceDN w:val="0"/>
              <w:adjustRightInd w:val="0"/>
              <w:ind w:left="567" w:hanging="567"/>
              <w:textAlignment w:val="baseline"/>
              <w:rPr>
                <w:b/>
                <w:sz w:val="16"/>
                <w:szCs w:val="16"/>
              </w:rPr>
            </w:pPr>
          </w:p>
        </w:tc>
        <w:tc>
          <w:tcPr>
            <w:tcW w:w="6237" w:type="dxa"/>
          </w:tcPr>
          <w:p w14:paraId="6D758758" w14:textId="77777777" w:rsidR="00C10402" w:rsidRPr="005835DE" w:rsidRDefault="00C10402" w:rsidP="008D0052">
            <w:pPr>
              <w:overflowPunct w:val="0"/>
              <w:autoSpaceDE w:val="0"/>
              <w:autoSpaceDN w:val="0"/>
              <w:adjustRightInd w:val="0"/>
              <w:ind w:left="567" w:hanging="567"/>
              <w:textAlignment w:val="baseline"/>
              <w:rPr>
                <w:sz w:val="16"/>
                <w:szCs w:val="16"/>
              </w:rPr>
            </w:pPr>
          </w:p>
        </w:tc>
      </w:tr>
      <w:tr w:rsidR="008D0052" w:rsidRPr="005835DE" w14:paraId="43DDD9C1" w14:textId="77777777" w:rsidTr="0036489A">
        <w:tc>
          <w:tcPr>
            <w:tcW w:w="1701" w:type="dxa"/>
            <w:vMerge w:val="restart"/>
          </w:tcPr>
          <w:p w14:paraId="3DE1E8E1" w14:textId="77777777" w:rsidR="008D0052" w:rsidRPr="005835DE" w:rsidRDefault="008D0052" w:rsidP="008D0052">
            <w:pPr>
              <w:tabs>
                <w:tab w:val="center" w:pos="284"/>
              </w:tabs>
              <w:overflowPunct w:val="0"/>
              <w:autoSpaceDE w:val="0"/>
              <w:autoSpaceDN w:val="0"/>
              <w:adjustRightInd w:val="0"/>
              <w:ind w:left="567" w:hanging="567"/>
              <w:textAlignment w:val="baseline"/>
              <w:rPr>
                <w:b/>
              </w:rPr>
            </w:pPr>
            <w:r w:rsidRPr="005835DE">
              <w:rPr>
                <w:b/>
              </w:rPr>
              <w:t>Riferimento</w:t>
            </w:r>
          </w:p>
        </w:tc>
        <w:tc>
          <w:tcPr>
            <w:tcW w:w="6237" w:type="dxa"/>
          </w:tcPr>
          <w:p w14:paraId="5CB40F8B" w14:textId="72EE90C4" w:rsidR="00D6499D" w:rsidRPr="005835DE" w:rsidRDefault="008D0052" w:rsidP="008D0052">
            <w:pPr>
              <w:tabs>
                <w:tab w:val="center" w:pos="284"/>
              </w:tabs>
              <w:overflowPunct w:val="0"/>
              <w:autoSpaceDE w:val="0"/>
              <w:autoSpaceDN w:val="0"/>
              <w:adjustRightInd w:val="0"/>
              <w:ind w:left="567" w:hanging="567"/>
              <w:textAlignment w:val="baseline"/>
            </w:pPr>
            <w:r w:rsidRPr="005835DE">
              <w:t>COM(2025) 463 final</w:t>
            </w:r>
          </w:p>
          <w:p w14:paraId="1E0886B9" w14:textId="77777777" w:rsidR="008D0052" w:rsidRPr="005835DE" w:rsidRDefault="008D0052" w:rsidP="008D0052">
            <w:pPr>
              <w:tabs>
                <w:tab w:val="center" w:pos="284"/>
              </w:tabs>
              <w:overflowPunct w:val="0"/>
              <w:autoSpaceDE w:val="0"/>
              <w:autoSpaceDN w:val="0"/>
              <w:adjustRightInd w:val="0"/>
              <w:ind w:left="567" w:hanging="567"/>
              <w:textAlignment w:val="baseline"/>
            </w:pPr>
            <w:r w:rsidRPr="005835DE">
              <w:t>COM(2025) 550 final</w:t>
            </w:r>
          </w:p>
          <w:p w14:paraId="53FD9F87" w14:textId="742868E1" w:rsidR="00AA61BE" w:rsidRPr="005835DE" w:rsidRDefault="00F65006" w:rsidP="00A8344C">
            <w:pPr>
              <w:tabs>
                <w:tab w:val="center" w:pos="284"/>
              </w:tabs>
              <w:overflowPunct w:val="0"/>
              <w:autoSpaceDE w:val="0"/>
              <w:autoSpaceDN w:val="0"/>
              <w:adjustRightInd w:val="0"/>
              <w:ind w:left="567" w:hanging="567"/>
              <w:textAlignment w:val="baseline"/>
              <w:rPr>
                <w:lang w:val="pt-PT"/>
              </w:rPr>
            </w:pPr>
            <w:r w:rsidRPr="005835DE">
              <w:t>EESC-2025-02823-00-00-AC</w:t>
            </w:r>
          </w:p>
        </w:tc>
      </w:tr>
      <w:tr w:rsidR="008D0052" w:rsidRPr="005835DE" w14:paraId="53E4D815" w14:textId="77777777" w:rsidTr="0036489A">
        <w:tc>
          <w:tcPr>
            <w:tcW w:w="1701" w:type="dxa"/>
            <w:vMerge/>
          </w:tcPr>
          <w:p w14:paraId="30F7A78B" w14:textId="77777777" w:rsidR="008D0052" w:rsidRPr="005835DE" w:rsidRDefault="008D0052" w:rsidP="008D0052">
            <w:pPr>
              <w:tabs>
                <w:tab w:val="center" w:pos="284"/>
              </w:tabs>
              <w:overflowPunct w:val="0"/>
              <w:autoSpaceDE w:val="0"/>
              <w:autoSpaceDN w:val="0"/>
              <w:adjustRightInd w:val="0"/>
              <w:ind w:left="266" w:hanging="266"/>
              <w:textAlignment w:val="baseline"/>
              <w:rPr>
                <w:b/>
                <w:lang w:val="pt-PT"/>
              </w:rPr>
            </w:pPr>
          </w:p>
        </w:tc>
        <w:tc>
          <w:tcPr>
            <w:tcW w:w="6237" w:type="dxa"/>
          </w:tcPr>
          <w:p w14:paraId="27E33E96" w14:textId="77777777" w:rsidR="008D0052" w:rsidRPr="005835DE" w:rsidRDefault="008D0052" w:rsidP="008D0052">
            <w:pPr>
              <w:tabs>
                <w:tab w:val="center" w:pos="284"/>
              </w:tabs>
              <w:overflowPunct w:val="0"/>
              <w:autoSpaceDE w:val="0"/>
              <w:autoSpaceDN w:val="0"/>
              <w:adjustRightInd w:val="0"/>
              <w:ind w:left="266" w:hanging="266"/>
              <w:textAlignment w:val="baseline"/>
              <w:rPr>
                <w:sz w:val="22"/>
                <w:szCs w:val="22"/>
                <w:lang w:val="pt-PT"/>
              </w:rPr>
            </w:pPr>
          </w:p>
        </w:tc>
      </w:tr>
    </w:tbl>
    <w:p w14:paraId="0D42846F" w14:textId="77777777" w:rsidR="008D0052" w:rsidRPr="005835DE" w:rsidRDefault="008D0052" w:rsidP="008D0052">
      <w:pPr>
        <w:keepNext/>
        <w:keepLines/>
        <w:tabs>
          <w:tab w:val="center" w:pos="284"/>
        </w:tabs>
        <w:overflowPunct w:val="0"/>
        <w:autoSpaceDE w:val="0"/>
        <w:autoSpaceDN w:val="0"/>
        <w:adjustRightInd w:val="0"/>
        <w:ind w:left="266" w:hanging="266"/>
        <w:textAlignment w:val="baseline"/>
        <w:rPr>
          <w:b/>
        </w:rPr>
      </w:pPr>
      <w:r w:rsidRPr="005835DE">
        <w:rPr>
          <w:b/>
        </w:rPr>
        <w:t>Punti principali</w:t>
      </w:r>
    </w:p>
    <w:p w14:paraId="4BDF51E4" w14:textId="77777777" w:rsidR="008D0052" w:rsidRPr="005835DE" w:rsidRDefault="008D0052" w:rsidP="008D0052">
      <w:pPr>
        <w:keepNext/>
        <w:keepLines/>
        <w:tabs>
          <w:tab w:val="center" w:pos="284"/>
        </w:tabs>
        <w:overflowPunct w:val="0"/>
        <w:autoSpaceDE w:val="0"/>
        <w:autoSpaceDN w:val="0"/>
        <w:adjustRightInd w:val="0"/>
        <w:ind w:left="266" w:hanging="266"/>
        <w:textAlignment w:val="baseline"/>
        <w:rPr>
          <w:b/>
          <w:lang w:val="en-GB"/>
        </w:rPr>
      </w:pPr>
    </w:p>
    <w:p w14:paraId="5155812D" w14:textId="77777777" w:rsidR="008D0052" w:rsidRPr="005835DE" w:rsidRDefault="008D0052" w:rsidP="008D0052">
      <w:pPr>
        <w:jc w:val="left"/>
        <w:rPr>
          <w:bCs/>
        </w:rPr>
      </w:pPr>
      <w:r w:rsidRPr="005835DE">
        <w:rPr>
          <w:bCs/>
        </w:rPr>
        <w:t>Il CESE:</w:t>
      </w:r>
    </w:p>
    <w:p w14:paraId="6CD2846B" w14:textId="77777777" w:rsidR="00F65006" w:rsidRPr="005835DE" w:rsidRDefault="00F65006" w:rsidP="008D0052">
      <w:pPr>
        <w:jc w:val="left"/>
        <w:rPr>
          <w:lang w:val="fr-BE" w:eastAsia="fr-BE"/>
        </w:rPr>
      </w:pPr>
    </w:p>
    <w:p w14:paraId="58498405" w14:textId="77777777" w:rsidR="008D0052" w:rsidRPr="005835DE" w:rsidRDefault="008D0052" w:rsidP="00224116">
      <w:pPr>
        <w:numPr>
          <w:ilvl w:val="0"/>
          <w:numId w:val="21"/>
        </w:numPr>
        <w:tabs>
          <w:tab w:val="clear" w:pos="720"/>
        </w:tabs>
        <w:overflowPunct w:val="0"/>
        <w:autoSpaceDE w:val="0"/>
        <w:autoSpaceDN w:val="0"/>
        <w:adjustRightInd w:val="0"/>
        <w:ind w:left="426" w:hanging="426"/>
        <w:textAlignment w:val="baseline"/>
      </w:pPr>
      <w:r w:rsidRPr="005835DE">
        <w:t>accoglie con favore le proposte della Commissione per i programmi AgoraEU e Giustizia ed esorta il Parlamento europeo e il Consiglio ad approvare tali proposte senza ridurne la dotazione finanziaria;</w:t>
      </w:r>
    </w:p>
    <w:p w14:paraId="175AAA81" w14:textId="77777777" w:rsidR="008D0052" w:rsidRPr="005835DE" w:rsidRDefault="008D0052" w:rsidP="00224116">
      <w:pPr>
        <w:numPr>
          <w:ilvl w:val="0"/>
          <w:numId w:val="21"/>
        </w:numPr>
        <w:tabs>
          <w:tab w:val="clear" w:pos="720"/>
        </w:tabs>
        <w:overflowPunct w:val="0"/>
        <w:autoSpaceDE w:val="0"/>
        <w:autoSpaceDN w:val="0"/>
        <w:adjustRightInd w:val="0"/>
        <w:ind w:left="426" w:hanging="426"/>
        <w:textAlignment w:val="baseline"/>
      </w:pPr>
      <w:r w:rsidRPr="005835DE">
        <w:t>chiede il riconoscimento esplicito delle attività di sensibilizzazione quale parte essenziale del lavoro delle organizzazioni della società civile (OSC) e del loro ruolo nell'elaborazione delle politiche per rafforzare la democrazia e la resilienza;</w:t>
      </w:r>
    </w:p>
    <w:p w14:paraId="0C4BE5EB" w14:textId="77777777" w:rsidR="008D0052" w:rsidRPr="005835DE" w:rsidRDefault="008D0052" w:rsidP="00224116">
      <w:pPr>
        <w:numPr>
          <w:ilvl w:val="0"/>
          <w:numId w:val="21"/>
        </w:numPr>
        <w:tabs>
          <w:tab w:val="clear" w:pos="720"/>
        </w:tabs>
        <w:overflowPunct w:val="0"/>
        <w:autoSpaceDE w:val="0"/>
        <w:autoSpaceDN w:val="0"/>
        <w:adjustRightInd w:val="0"/>
        <w:ind w:left="426" w:hanging="426"/>
        <w:textAlignment w:val="baseline"/>
      </w:pPr>
      <w:r w:rsidRPr="005835DE">
        <w:t>raccomanda di introdurre sovvenzioni di funzionamento in tutte le sezioni di AgoraEU per rafforzare la stabilità istituzionale delle OSC e chiede di estendere le sovvenzioni di funzionamento nell'ambito del programma Giustizia alle organizzazioni senza scopo di lucro di interesse europeo generale;</w:t>
      </w:r>
    </w:p>
    <w:p w14:paraId="56C00DAF" w14:textId="77777777" w:rsidR="008D0052" w:rsidRPr="005835DE" w:rsidRDefault="008D0052" w:rsidP="00224116">
      <w:pPr>
        <w:numPr>
          <w:ilvl w:val="0"/>
          <w:numId w:val="21"/>
        </w:numPr>
        <w:tabs>
          <w:tab w:val="clear" w:pos="720"/>
        </w:tabs>
        <w:overflowPunct w:val="0"/>
        <w:autoSpaceDE w:val="0"/>
        <w:autoSpaceDN w:val="0"/>
        <w:adjustRightInd w:val="0"/>
        <w:ind w:left="426" w:hanging="426"/>
        <w:textAlignment w:val="baseline"/>
      </w:pPr>
      <w:r w:rsidRPr="005835DE">
        <w:t>sostiene il mantenimento del sostegno finanziario a terzi (FSTP) attraverso organizzazioni intermediarie per raggiungere le organizzazioni più piccole o di base e chiede di garantire l'indipendenza degli intermediari e la conformità della loro governance alla Carta dei diritti fondamentali dell'UE quali criteri fondamentali di ammissibilità nella loro selezione. Il CESE chiede inoltre chiarezza sui tassi di cofinanziamento, e propone finanziamenti dell'UE fino al 100 % per gli intermediari e i beneficiari finali che attuano attività delegate;</w:t>
      </w:r>
    </w:p>
    <w:p w14:paraId="20D9DDF3" w14:textId="77777777" w:rsidR="008D0052" w:rsidRPr="005835DE" w:rsidRDefault="008D0052" w:rsidP="00224116">
      <w:pPr>
        <w:numPr>
          <w:ilvl w:val="0"/>
          <w:numId w:val="21"/>
        </w:numPr>
        <w:tabs>
          <w:tab w:val="clear" w:pos="720"/>
        </w:tabs>
        <w:overflowPunct w:val="0"/>
        <w:autoSpaceDE w:val="0"/>
        <w:autoSpaceDN w:val="0"/>
        <w:adjustRightInd w:val="0"/>
        <w:ind w:left="426" w:hanging="426"/>
        <w:textAlignment w:val="baseline"/>
      </w:pPr>
      <w:r w:rsidRPr="005835DE">
        <w:t>rileva la necessità di adattare il mandato e le risorse degli sportelli di Europa creativa per sostenere efficacemente il più ampio ambito di applicazione di AgoraEU nei settori culturali, dei media e civici;</w:t>
      </w:r>
    </w:p>
    <w:p w14:paraId="612471EA" w14:textId="77777777" w:rsidR="008D0052" w:rsidRPr="005835DE" w:rsidRDefault="008D0052" w:rsidP="00224116">
      <w:pPr>
        <w:numPr>
          <w:ilvl w:val="0"/>
          <w:numId w:val="21"/>
        </w:numPr>
        <w:tabs>
          <w:tab w:val="clear" w:pos="720"/>
        </w:tabs>
        <w:overflowPunct w:val="0"/>
        <w:autoSpaceDE w:val="0"/>
        <w:autoSpaceDN w:val="0"/>
        <w:adjustRightInd w:val="0"/>
        <w:ind w:left="426" w:hanging="426"/>
        <w:textAlignment w:val="baseline"/>
      </w:pPr>
      <w:r w:rsidRPr="005835DE">
        <w:t>chiede flessibilità e garanzie (ad esempio indicizzazione, meccanismi correttivi) nell'uso delle somme forfettarie e delle sovvenzioni pluriennali per evitare di imporre oneri finanziari ai beneficiari;</w:t>
      </w:r>
    </w:p>
    <w:p w14:paraId="4E331884" w14:textId="77777777" w:rsidR="008D0052" w:rsidRPr="005835DE" w:rsidRDefault="008D0052" w:rsidP="00224116">
      <w:pPr>
        <w:numPr>
          <w:ilvl w:val="0"/>
          <w:numId w:val="21"/>
        </w:numPr>
        <w:tabs>
          <w:tab w:val="clear" w:pos="720"/>
        </w:tabs>
        <w:overflowPunct w:val="0"/>
        <w:autoSpaceDE w:val="0"/>
        <w:autoSpaceDN w:val="0"/>
        <w:adjustRightInd w:val="0"/>
        <w:ind w:left="426" w:hanging="426"/>
        <w:textAlignment w:val="baseline"/>
      </w:pPr>
      <w:r w:rsidRPr="005835DE">
        <w:t>chiede maggiore chiarezza sulle sinergie previste tra il Fondo europeo per la competitività (FEC) e la sezione Media+ di AgoraEU; esorta inoltre la Commissione a collegare tra loro i beneficiari delle sovvenzioni e a elaborare un piano d'azione per rendere operativi i finanziamenti combinati e cumulativi a norma di entrambi i regolamenti, compresi gli inviti congiunti, la cooperazione tra le DG e il monitoraggio della performance;</w:t>
      </w:r>
    </w:p>
    <w:p w14:paraId="1940591F" w14:textId="77777777" w:rsidR="008D0052" w:rsidRPr="005835DE" w:rsidRDefault="008D0052" w:rsidP="00224116">
      <w:pPr>
        <w:numPr>
          <w:ilvl w:val="0"/>
          <w:numId w:val="21"/>
        </w:numPr>
        <w:tabs>
          <w:tab w:val="clear" w:pos="720"/>
        </w:tabs>
        <w:overflowPunct w:val="0"/>
        <w:autoSpaceDE w:val="0"/>
        <w:autoSpaceDN w:val="0"/>
        <w:adjustRightInd w:val="0"/>
        <w:ind w:left="426" w:hanging="426"/>
        <w:textAlignment w:val="baseline"/>
      </w:pPr>
      <w:r w:rsidRPr="005835DE">
        <w:t>raccomanda di porre maggiormente l'accento sui diritti delle vittime e sull'accesso alla giustizia nel programma Giustizia, compresi i finanziamenti per le reti di sostegno, la formazione degli operatori e il patrocinio legale transfrontaliero;</w:t>
      </w:r>
    </w:p>
    <w:p w14:paraId="54A7B395" w14:textId="466227C8" w:rsidR="008D0052" w:rsidRPr="005835DE" w:rsidRDefault="008D0052" w:rsidP="00224116">
      <w:pPr>
        <w:numPr>
          <w:ilvl w:val="0"/>
          <w:numId w:val="21"/>
        </w:numPr>
        <w:tabs>
          <w:tab w:val="clear" w:pos="720"/>
        </w:tabs>
        <w:overflowPunct w:val="0"/>
        <w:autoSpaceDE w:val="0"/>
        <w:autoSpaceDN w:val="0"/>
        <w:adjustRightInd w:val="0"/>
        <w:ind w:left="426" w:hanging="426"/>
        <w:textAlignment w:val="baseline"/>
      </w:pPr>
      <w:r w:rsidRPr="005835DE">
        <w:t xml:space="preserve">chiede di affrontare le disparità di finanziamento all'interno dell'UE, in particolare il divario </w:t>
      </w:r>
      <w:r w:rsidR="00332E33" w:rsidRPr="005835DE">
        <w:t>est</w:t>
      </w:r>
      <w:r w:rsidR="0088325A" w:rsidRPr="005835DE">
        <w:noBreakHyphen/>
      </w:r>
      <w:r w:rsidR="00332E33" w:rsidRPr="005835DE">
        <w:t>ovest</w:t>
      </w:r>
      <w:r w:rsidRPr="005835DE">
        <w:t>, in entrambi i programmi;</w:t>
      </w:r>
    </w:p>
    <w:p w14:paraId="40A1333F" w14:textId="77777777" w:rsidR="008D0052" w:rsidRPr="005835DE" w:rsidRDefault="008D0052" w:rsidP="00224116">
      <w:pPr>
        <w:numPr>
          <w:ilvl w:val="0"/>
          <w:numId w:val="21"/>
        </w:numPr>
        <w:tabs>
          <w:tab w:val="clear" w:pos="720"/>
        </w:tabs>
        <w:overflowPunct w:val="0"/>
        <w:autoSpaceDE w:val="0"/>
        <w:autoSpaceDN w:val="0"/>
        <w:adjustRightInd w:val="0"/>
        <w:ind w:left="426" w:hanging="426"/>
        <w:textAlignment w:val="baseline"/>
      </w:pPr>
      <w:r w:rsidRPr="005835DE">
        <w:t>deplora la rimozione del gruppo di lavoro sul dialogo civile dal regolamento AgoraEU e ne sollecita il ripristino;</w:t>
      </w:r>
    </w:p>
    <w:p w14:paraId="0337C2BE" w14:textId="77777777" w:rsidR="008D0052" w:rsidRPr="005835DE" w:rsidRDefault="008D0052" w:rsidP="00224116">
      <w:pPr>
        <w:numPr>
          <w:ilvl w:val="0"/>
          <w:numId w:val="21"/>
        </w:numPr>
        <w:tabs>
          <w:tab w:val="clear" w:pos="720"/>
        </w:tabs>
        <w:overflowPunct w:val="0"/>
        <w:autoSpaceDE w:val="0"/>
        <w:autoSpaceDN w:val="0"/>
        <w:adjustRightInd w:val="0"/>
        <w:ind w:left="426" w:hanging="426"/>
        <w:textAlignment w:val="baseline"/>
      </w:pPr>
      <w:r w:rsidRPr="005835DE">
        <w:lastRenderedPageBreak/>
        <w:t>sottolinea che l'impatto dei programmi dipende da infrastrutture e cofinanziamenti adeguati a livello nazionale e propone di collegare l'accesso ai fondi dell'UE in regime di gestione concorrente al sostegno dimostrato dagli Stati membri agli obiettivi AgoraEU e Giustizia.</w:t>
      </w:r>
    </w:p>
    <w:p w14:paraId="1831EAE3" w14:textId="77777777" w:rsidR="00F65006" w:rsidRPr="005835DE" w:rsidRDefault="00F65006" w:rsidP="00054C58">
      <w:pPr>
        <w:overflowPunct w:val="0"/>
        <w:autoSpaceDE w:val="0"/>
        <w:autoSpaceDN w:val="0"/>
        <w:adjustRightInd w:val="0"/>
        <w:ind w:left="360"/>
        <w:textAlignment w:val="baseline"/>
        <w:rPr>
          <w:lang w:eastAsia="fr-BE"/>
        </w:r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0"/>
        <w:gridCol w:w="4493"/>
      </w:tblGrid>
      <w:tr w:rsidR="008D0052" w:rsidRPr="005835DE" w14:paraId="02CD12AD" w14:textId="77777777" w:rsidTr="0036489A">
        <w:tc>
          <w:tcPr>
            <w:tcW w:w="1210" w:type="dxa"/>
          </w:tcPr>
          <w:p w14:paraId="0D36B81C" w14:textId="77777777" w:rsidR="008D0052" w:rsidRPr="005835DE" w:rsidRDefault="008D0052" w:rsidP="008D0052">
            <w:pPr>
              <w:overflowPunct w:val="0"/>
              <w:autoSpaceDE w:val="0"/>
              <w:autoSpaceDN w:val="0"/>
              <w:adjustRightInd w:val="0"/>
              <w:spacing w:line="240" w:lineRule="auto"/>
              <w:textAlignment w:val="baseline"/>
              <w:rPr>
                <w:i/>
              </w:rPr>
            </w:pPr>
            <w:r w:rsidRPr="005835DE">
              <w:rPr>
                <w:b/>
                <w:i/>
              </w:rPr>
              <w:t>Contatto</w:t>
            </w:r>
          </w:p>
        </w:tc>
        <w:tc>
          <w:tcPr>
            <w:tcW w:w="4493" w:type="dxa"/>
          </w:tcPr>
          <w:p w14:paraId="0741CFC9" w14:textId="77777777" w:rsidR="008D0052" w:rsidRPr="005835DE" w:rsidRDefault="008D0052" w:rsidP="008D0052">
            <w:pPr>
              <w:overflowPunct w:val="0"/>
              <w:autoSpaceDE w:val="0"/>
              <w:autoSpaceDN w:val="0"/>
              <w:adjustRightInd w:val="0"/>
              <w:spacing w:line="240" w:lineRule="auto"/>
              <w:ind w:hanging="12"/>
              <w:textAlignment w:val="baseline"/>
              <w:rPr>
                <w:i/>
              </w:rPr>
            </w:pPr>
            <w:r w:rsidRPr="005835DE">
              <w:rPr>
                <w:i/>
              </w:rPr>
              <w:t>Alessia COVA</w:t>
            </w:r>
          </w:p>
        </w:tc>
      </w:tr>
      <w:tr w:rsidR="008D0052" w:rsidRPr="005835DE" w14:paraId="00343FBD" w14:textId="77777777" w:rsidTr="0036489A">
        <w:tc>
          <w:tcPr>
            <w:tcW w:w="1210" w:type="dxa"/>
          </w:tcPr>
          <w:p w14:paraId="10523811" w14:textId="77777777" w:rsidR="008D0052" w:rsidRPr="005835DE" w:rsidRDefault="008D0052" w:rsidP="008D0052">
            <w:pPr>
              <w:overflowPunct w:val="0"/>
              <w:autoSpaceDE w:val="0"/>
              <w:autoSpaceDN w:val="0"/>
              <w:adjustRightInd w:val="0"/>
              <w:spacing w:line="240" w:lineRule="auto"/>
              <w:textAlignment w:val="baseline"/>
              <w:rPr>
                <w:i/>
              </w:rPr>
            </w:pPr>
            <w:r w:rsidRPr="005835DE">
              <w:rPr>
                <w:i/>
              </w:rPr>
              <w:t>Tel.</w:t>
            </w:r>
          </w:p>
        </w:tc>
        <w:tc>
          <w:tcPr>
            <w:tcW w:w="4493" w:type="dxa"/>
          </w:tcPr>
          <w:p w14:paraId="3D3DA01D" w14:textId="77777777" w:rsidR="008D0052" w:rsidRPr="005835DE" w:rsidRDefault="008D0052" w:rsidP="008D0052">
            <w:pPr>
              <w:overflowPunct w:val="0"/>
              <w:autoSpaceDE w:val="0"/>
              <w:autoSpaceDN w:val="0"/>
              <w:adjustRightInd w:val="0"/>
              <w:spacing w:line="240" w:lineRule="auto"/>
              <w:textAlignment w:val="baseline"/>
              <w:rPr>
                <w:i/>
              </w:rPr>
            </w:pPr>
            <w:r w:rsidRPr="005835DE">
              <w:rPr>
                <w:i/>
              </w:rPr>
              <w:t>+32 25469426</w:t>
            </w:r>
          </w:p>
        </w:tc>
      </w:tr>
      <w:tr w:rsidR="008D0052" w:rsidRPr="005835DE" w14:paraId="6CB55D06" w14:textId="77777777" w:rsidTr="0036489A">
        <w:tc>
          <w:tcPr>
            <w:tcW w:w="1210" w:type="dxa"/>
          </w:tcPr>
          <w:p w14:paraId="6F7DF6B2" w14:textId="62FA3FB0" w:rsidR="008D0052" w:rsidRPr="005835DE" w:rsidRDefault="00332E33" w:rsidP="008D0052">
            <w:pPr>
              <w:overflowPunct w:val="0"/>
              <w:autoSpaceDE w:val="0"/>
              <w:autoSpaceDN w:val="0"/>
              <w:adjustRightInd w:val="0"/>
              <w:spacing w:line="240" w:lineRule="auto"/>
              <w:textAlignment w:val="baseline"/>
              <w:rPr>
                <w:i/>
              </w:rPr>
            </w:pPr>
            <w:r w:rsidRPr="005835DE">
              <w:rPr>
                <w:i/>
              </w:rPr>
              <w:t>E</w:t>
            </w:r>
            <w:r w:rsidR="008D0052" w:rsidRPr="005835DE">
              <w:rPr>
                <w:i/>
              </w:rPr>
              <w:t>-mail</w:t>
            </w:r>
          </w:p>
        </w:tc>
        <w:tc>
          <w:tcPr>
            <w:tcW w:w="4493" w:type="dxa"/>
          </w:tcPr>
          <w:p w14:paraId="4E6DFDFB" w14:textId="77777777" w:rsidR="008D0052" w:rsidRPr="005835DE" w:rsidRDefault="00520E78" w:rsidP="008D0052">
            <w:pPr>
              <w:overflowPunct w:val="0"/>
              <w:autoSpaceDE w:val="0"/>
              <w:autoSpaceDN w:val="0"/>
              <w:adjustRightInd w:val="0"/>
              <w:spacing w:line="240" w:lineRule="auto"/>
              <w:textAlignment w:val="baseline"/>
              <w:rPr>
                <w:i/>
                <w:iCs/>
              </w:rPr>
            </w:pPr>
            <w:hyperlink r:id="rId27" w:history="1">
              <w:r w:rsidR="00A27BD2" w:rsidRPr="005835DE">
                <w:rPr>
                  <w:i/>
                  <w:color w:val="0000FF"/>
                  <w:u w:val="single"/>
                </w:rPr>
                <w:t>Alessia.Cova@eesc.europa.eu</w:t>
              </w:r>
            </w:hyperlink>
          </w:p>
        </w:tc>
      </w:tr>
    </w:tbl>
    <w:p w14:paraId="4982DDC5" w14:textId="1722699D" w:rsidR="00C04670" w:rsidRPr="005835DE" w:rsidRDefault="00C04670" w:rsidP="004D7AC0">
      <w:pPr>
        <w:spacing w:after="160" w:line="259" w:lineRule="auto"/>
        <w:jc w:val="left"/>
      </w:pPr>
    </w:p>
    <w:p w14:paraId="1E3A79D0" w14:textId="77777777" w:rsidR="00C04670" w:rsidRPr="005835DE" w:rsidRDefault="00C04670">
      <w:pPr>
        <w:spacing w:after="160" w:line="259" w:lineRule="auto"/>
        <w:jc w:val="left"/>
      </w:pPr>
      <w:r w:rsidRPr="005835DE">
        <w:br w:type="page"/>
      </w:r>
    </w:p>
    <w:p w14:paraId="4982DDC6" w14:textId="361171AA" w:rsidR="004D7AC0" w:rsidRPr="005835DE" w:rsidRDefault="004D7AC0" w:rsidP="004D7AC0">
      <w:pPr>
        <w:pStyle w:val="Heading1"/>
        <w:rPr>
          <w:b/>
        </w:rPr>
      </w:pPr>
      <w:bookmarkStart w:id="7" w:name="_Toc24617160"/>
      <w:bookmarkStart w:id="8" w:name="_Toc75527082"/>
      <w:bookmarkStart w:id="9" w:name="_Toc216702593"/>
      <w:r w:rsidRPr="005835DE">
        <w:rPr>
          <w:b/>
        </w:rPr>
        <w:lastRenderedPageBreak/>
        <w:t xml:space="preserve">TRASPORTI, ENERGIA, INFRASTRUTTURE </w:t>
      </w:r>
      <w:r w:rsidR="00332E33" w:rsidRPr="005835DE">
        <w:rPr>
          <w:b/>
        </w:rPr>
        <w:t>E</w:t>
      </w:r>
      <w:r w:rsidRPr="005835DE">
        <w:rPr>
          <w:b/>
        </w:rPr>
        <w:t xml:space="preserve"> SOCIETÀ DELL'INFORMAZIONE</w:t>
      </w:r>
      <w:bookmarkEnd w:id="7"/>
      <w:bookmarkEnd w:id="8"/>
      <w:bookmarkEnd w:id="9"/>
    </w:p>
    <w:p w14:paraId="4982DDC7" w14:textId="77777777" w:rsidR="004D7AC0" w:rsidRPr="005835DE" w:rsidRDefault="004D7AC0" w:rsidP="004D7AC0"/>
    <w:p w14:paraId="34EB6B62" w14:textId="3C05ED60" w:rsidR="00BC676C" w:rsidRPr="005835DE" w:rsidRDefault="00520E78" w:rsidP="00BC676C">
      <w:pPr>
        <w:widowControl w:val="0"/>
        <w:numPr>
          <w:ilvl w:val="0"/>
          <w:numId w:val="4"/>
        </w:numPr>
        <w:overflowPunct w:val="0"/>
        <w:autoSpaceDE w:val="0"/>
        <w:autoSpaceDN w:val="0"/>
        <w:adjustRightInd w:val="0"/>
        <w:ind w:hanging="567"/>
        <w:textAlignment w:val="baseline"/>
        <w:rPr>
          <w:sz w:val="28"/>
          <w:szCs w:val="28"/>
        </w:rPr>
      </w:pPr>
      <w:hyperlink r:id="rId28" w:history="1">
        <w:r w:rsidR="00A27BD2" w:rsidRPr="005835DE">
          <w:rPr>
            <w:b/>
            <w:i/>
            <w:color w:val="0000FF"/>
            <w:sz w:val="28"/>
            <w:szCs w:val="28"/>
            <w:u w:val="single"/>
          </w:rPr>
          <w:t xml:space="preserve">Classe di emissione di </w:t>
        </w:r>
        <w:r w:rsidR="00332E33" w:rsidRPr="005835DE">
          <w:rPr>
            <w:b/>
            <w:i/>
            <w:color w:val="0000FF"/>
            <w:sz w:val="28"/>
            <w:szCs w:val="28"/>
            <w:u w:val="single"/>
          </w:rPr>
          <w:t>CO2</w:t>
        </w:r>
        <w:r w:rsidR="00A27BD2" w:rsidRPr="005835DE">
          <w:rPr>
            <w:b/>
            <w:i/>
            <w:color w:val="0000FF"/>
            <w:sz w:val="28"/>
            <w:szCs w:val="28"/>
            <w:u w:val="single"/>
          </w:rPr>
          <w:t xml:space="preserve"> dei veicoli pesanti con rimorchi</w:t>
        </w:r>
      </w:hyperlink>
    </w:p>
    <w:p w14:paraId="46836B10" w14:textId="77777777" w:rsidR="00BC676C" w:rsidRPr="005835DE" w:rsidRDefault="00BC676C" w:rsidP="00BC676C">
      <w:pPr>
        <w:widowControl w:val="0"/>
        <w:overflowPunct w:val="0"/>
        <w:autoSpaceDE w:val="0"/>
        <w:autoSpaceDN w:val="0"/>
        <w:adjustRightInd w:val="0"/>
        <w:ind w:left="567"/>
        <w:textAlignment w:val="baseline"/>
        <w:rPr>
          <w:sz w:val="20"/>
          <w:szCs w:val="20"/>
          <w:lang w:val="en-GB"/>
        </w:rPr>
      </w:pPr>
    </w:p>
    <w:tbl>
      <w:tblPr>
        <w:tblStyle w:val="TableGrid5"/>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21"/>
      </w:tblGrid>
      <w:tr w:rsidR="00BC676C" w:rsidRPr="005835DE" w14:paraId="47E39230" w14:textId="77777777" w:rsidTr="0036489A">
        <w:tc>
          <w:tcPr>
            <w:tcW w:w="1701" w:type="dxa"/>
          </w:tcPr>
          <w:p w14:paraId="573F7BF1" w14:textId="77777777" w:rsidR="00BC676C" w:rsidRPr="005835DE" w:rsidRDefault="00BC676C" w:rsidP="00BC676C">
            <w:pPr>
              <w:tabs>
                <w:tab w:val="center" w:pos="284"/>
              </w:tabs>
              <w:overflowPunct w:val="0"/>
              <w:autoSpaceDE w:val="0"/>
              <w:autoSpaceDN w:val="0"/>
              <w:adjustRightInd w:val="0"/>
              <w:ind w:left="596" w:hanging="709"/>
              <w:textAlignment w:val="baseline"/>
              <w:rPr>
                <w:b/>
              </w:rPr>
            </w:pPr>
            <w:r w:rsidRPr="005835DE">
              <w:rPr>
                <w:b/>
              </w:rPr>
              <w:t>Riferimento</w:t>
            </w:r>
          </w:p>
        </w:tc>
        <w:tc>
          <w:tcPr>
            <w:tcW w:w="7621" w:type="dxa"/>
          </w:tcPr>
          <w:p w14:paraId="02FEC31D" w14:textId="2FEC81BF" w:rsidR="00F2608E" w:rsidRPr="005835DE" w:rsidRDefault="00F2608E" w:rsidP="00BC676C">
            <w:pPr>
              <w:tabs>
                <w:tab w:val="center" w:pos="284"/>
              </w:tabs>
              <w:overflowPunct w:val="0"/>
              <w:autoSpaceDE w:val="0"/>
              <w:autoSpaceDN w:val="0"/>
              <w:adjustRightInd w:val="0"/>
              <w:ind w:left="720" w:hanging="720"/>
              <w:textAlignment w:val="baseline"/>
              <w:rPr>
                <w:bCs/>
              </w:rPr>
            </w:pPr>
            <w:r w:rsidRPr="005835DE">
              <w:t>Parere di categoria C</w:t>
            </w:r>
          </w:p>
          <w:p w14:paraId="3982A737" w14:textId="64E384F6" w:rsidR="00BC676C" w:rsidRPr="005835DE" w:rsidRDefault="00BC676C" w:rsidP="00BC676C">
            <w:pPr>
              <w:tabs>
                <w:tab w:val="center" w:pos="284"/>
              </w:tabs>
              <w:overflowPunct w:val="0"/>
              <w:autoSpaceDE w:val="0"/>
              <w:autoSpaceDN w:val="0"/>
              <w:adjustRightInd w:val="0"/>
              <w:ind w:left="720" w:hanging="720"/>
              <w:textAlignment w:val="baseline"/>
              <w:rPr>
                <w:bCs/>
              </w:rPr>
            </w:pPr>
            <w:r w:rsidRPr="005835DE">
              <w:t xml:space="preserve">COM(2025) 589 final </w:t>
            </w:r>
          </w:p>
          <w:p w14:paraId="6455BA93" w14:textId="77777777" w:rsidR="00BC676C" w:rsidRPr="005835DE" w:rsidRDefault="00BC676C" w:rsidP="00BC676C">
            <w:pPr>
              <w:tabs>
                <w:tab w:val="center" w:pos="284"/>
              </w:tabs>
              <w:overflowPunct w:val="0"/>
              <w:autoSpaceDE w:val="0"/>
              <w:autoSpaceDN w:val="0"/>
              <w:adjustRightInd w:val="0"/>
              <w:ind w:left="720" w:hanging="720"/>
              <w:textAlignment w:val="baseline"/>
            </w:pPr>
            <w:r w:rsidRPr="005835DE">
              <w:t>EESC-2023-03779-00-AC</w:t>
            </w:r>
          </w:p>
        </w:tc>
      </w:tr>
    </w:tbl>
    <w:p w14:paraId="006C0DCA" w14:textId="77777777" w:rsidR="00BC676C" w:rsidRPr="005835DE" w:rsidRDefault="00BC676C" w:rsidP="00BC676C">
      <w:pPr>
        <w:keepNext/>
        <w:keepLines/>
        <w:tabs>
          <w:tab w:val="center" w:pos="284"/>
        </w:tabs>
        <w:overflowPunct w:val="0"/>
        <w:autoSpaceDE w:val="0"/>
        <w:autoSpaceDN w:val="0"/>
        <w:adjustRightInd w:val="0"/>
        <w:ind w:left="720" w:hanging="720"/>
        <w:textAlignment w:val="baseline"/>
        <w:rPr>
          <w:b/>
          <w:lang w:val="en-GB"/>
        </w:rPr>
      </w:pPr>
    </w:p>
    <w:p w14:paraId="4C59A366" w14:textId="77777777" w:rsidR="00BC676C" w:rsidRPr="005835DE" w:rsidRDefault="00BC676C" w:rsidP="00BC676C">
      <w:pPr>
        <w:keepNext/>
        <w:keepLines/>
        <w:tabs>
          <w:tab w:val="center" w:pos="284"/>
        </w:tabs>
        <w:overflowPunct w:val="0"/>
        <w:autoSpaceDE w:val="0"/>
        <w:autoSpaceDN w:val="0"/>
        <w:adjustRightInd w:val="0"/>
        <w:ind w:left="720" w:hanging="720"/>
        <w:textAlignment w:val="baseline"/>
        <w:rPr>
          <w:b/>
        </w:rPr>
      </w:pPr>
      <w:r w:rsidRPr="005835DE">
        <w:rPr>
          <w:b/>
        </w:rPr>
        <w:t>Punti principali</w:t>
      </w:r>
    </w:p>
    <w:p w14:paraId="25DE4F8F" w14:textId="77777777" w:rsidR="00BC676C" w:rsidRPr="005835DE" w:rsidRDefault="00BC676C" w:rsidP="00BC676C">
      <w:pPr>
        <w:keepNext/>
        <w:keepLines/>
        <w:tabs>
          <w:tab w:val="center" w:pos="284"/>
        </w:tabs>
        <w:overflowPunct w:val="0"/>
        <w:autoSpaceDE w:val="0"/>
        <w:autoSpaceDN w:val="0"/>
        <w:adjustRightInd w:val="0"/>
        <w:ind w:left="720" w:hanging="720"/>
        <w:textAlignment w:val="baseline"/>
        <w:rPr>
          <w:b/>
          <w:lang w:val="en-GB"/>
        </w:rPr>
      </w:pPr>
    </w:p>
    <w:p w14:paraId="5C9ED52C" w14:textId="126693E6" w:rsidR="00BC676C" w:rsidRPr="005835DE" w:rsidRDefault="00BC676C" w:rsidP="00BC676C">
      <w:pPr>
        <w:widowControl w:val="0"/>
        <w:numPr>
          <w:ilvl w:val="0"/>
          <w:numId w:val="4"/>
        </w:numPr>
        <w:overflowPunct w:val="0"/>
        <w:autoSpaceDE w:val="0"/>
        <w:autoSpaceDN w:val="0"/>
        <w:adjustRightInd w:val="0"/>
        <w:ind w:hanging="567"/>
        <w:textAlignment w:val="baseline"/>
        <w:rPr>
          <w:bCs/>
          <w:iCs/>
        </w:rPr>
      </w:pPr>
      <w:r w:rsidRPr="005835DE">
        <w:t xml:space="preserve">Essendosi già pronunciato sul contenuto della proposta nel proprio parere TEN/815 </w:t>
      </w:r>
      <w:r w:rsidR="00332E33" w:rsidRPr="005835DE">
        <w:t>sul tema</w:t>
      </w:r>
      <w:r w:rsidRPr="005835DE">
        <w:t xml:space="preserve"> </w:t>
      </w:r>
      <w:r w:rsidRPr="005835DE">
        <w:rPr>
          <w:i/>
          <w:iCs/>
        </w:rPr>
        <w:t xml:space="preserve">Classe di emissione di </w:t>
      </w:r>
      <w:r w:rsidR="00332E33" w:rsidRPr="005835DE">
        <w:rPr>
          <w:i/>
          <w:iCs/>
        </w:rPr>
        <w:t>CO2</w:t>
      </w:r>
      <w:r w:rsidRPr="005835DE">
        <w:rPr>
          <w:i/>
          <w:iCs/>
        </w:rPr>
        <w:t xml:space="preserve"> dei veicoli pesanti con rimorchi</w:t>
      </w:r>
      <w:r w:rsidRPr="005835DE">
        <w:t xml:space="preserve"> (</w:t>
      </w:r>
      <w:hyperlink r:id="rId29" w:history="1">
        <w:r w:rsidRPr="005835DE">
          <w:rPr>
            <w:color w:val="0000FF"/>
            <w:u w:val="single"/>
          </w:rPr>
          <w:t>C/2023/874</w:t>
        </w:r>
      </w:hyperlink>
      <w:r w:rsidRPr="005835DE">
        <w:t>), adottato il 20 settembre 2023, il Comitato ha deciso di non procedere all'elaborazione di un nuovo parere in materia, ma di rinviare alla posizione a suo tempo sostenuta nel documento citato.</w:t>
      </w:r>
    </w:p>
    <w:p w14:paraId="5464E9FA" w14:textId="77777777" w:rsidR="00BC676C" w:rsidRPr="005835DE" w:rsidRDefault="00BC676C" w:rsidP="00BC676C">
      <w:pPr>
        <w:widowControl w:val="0"/>
        <w:overflowPunct w:val="0"/>
        <w:autoSpaceDE w:val="0"/>
        <w:autoSpaceDN w:val="0"/>
        <w:adjustRightInd w:val="0"/>
        <w:ind w:left="720" w:hanging="720"/>
        <w:textAlignment w:val="baseline"/>
        <w:rPr>
          <w:szCs w:val="20"/>
          <w:lang w:val="en-GB"/>
        </w:rPr>
      </w:pPr>
    </w:p>
    <w:tbl>
      <w:tblPr>
        <w:tblStyle w:val="TableGrid5"/>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904"/>
      </w:tblGrid>
      <w:tr w:rsidR="00BC676C" w:rsidRPr="005835DE" w14:paraId="63E00060" w14:textId="77777777" w:rsidTr="0036489A">
        <w:tc>
          <w:tcPr>
            <w:tcW w:w="1418" w:type="dxa"/>
          </w:tcPr>
          <w:p w14:paraId="3E70F25D" w14:textId="77777777" w:rsidR="00BC676C" w:rsidRPr="005835DE" w:rsidRDefault="00BC676C" w:rsidP="00BC676C">
            <w:pPr>
              <w:overflowPunct w:val="0"/>
              <w:autoSpaceDE w:val="0"/>
              <w:autoSpaceDN w:val="0"/>
              <w:adjustRightInd w:val="0"/>
              <w:ind w:left="720" w:hanging="720"/>
              <w:textAlignment w:val="baseline"/>
              <w:rPr>
                <w:i/>
              </w:rPr>
            </w:pPr>
            <w:r w:rsidRPr="005835DE">
              <w:rPr>
                <w:b/>
                <w:i/>
              </w:rPr>
              <w:t>Contatto</w:t>
            </w:r>
          </w:p>
        </w:tc>
        <w:tc>
          <w:tcPr>
            <w:tcW w:w="7904" w:type="dxa"/>
          </w:tcPr>
          <w:p w14:paraId="0E0EABC3" w14:textId="609FD13C" w:rsidR="00BC676C" w:rsidRPr="005835DE" w:rsidRDefault="00BC676C" w:rsidP="00BC676C">
            <w:pPr>
              <w:overflowPunct w:val="0"/>
              <w:autoSpaceDE w:val="0"/>
              <w:autoSpaceDN w:val="0"/>
              <w:adjustRightInd w:val="0"/>
              <w:ind w:left="720" w:hanging="720"/>
              <w:textAlignment w:val="baseline"/>
              <w:rPr>
                <w:i/>
              </w:rPr>
            </w:pPr>
            <w:r w:rsidRPr="005835DE">
              <w:rPr>
                <w:i/>
              </w:rPr>
              <w:t>Maja RADMAN</w:t>
            </w:r>
          </w:p>
        </w:tc>
      </w:tr>
      <w:tr w:rsidR="00BC676C" w:rsidRPr="005835DE" w14:paraId="10A1FE95" w14:textId="77777777" w:rsidTr="0036489A">
        <w:tc>
          <w:tcPr>
            <w:tcW w:w="1418" w:type="dxa"/>
          </w:tcPr>
          <w:p w14:paraId="237B46FB" w14:textId="77777777" w:rsidR="00BC676C" w:rsidRPr="005835DE" w:rsidRDefault="00BC676C" w:rsidP="00BC676C">
            <w:pPr>
              <w:overflowPunct w:val="0"/>
              <w:autoSpaceDE w:val="0"/>
              <w:autoSpaceDN w:val="0"/>
              <w:adjustRightInd w:val="0"/>
              <w:ind w:left="720" w:hanging="720"/>
              <w:textAlignment w:val="baseline"/>
              <w:rPr>
                <w:i/>
              </w:rPr>
            </w:pPr>
            <w:r w:rsidRPr="005835DE">
              <w:rPr>
                <w:i/>
              </w:rPr>
              <w:t>Tel.</w:t>
            </w:r>
          </w:p>
        </w:tc>
        <w:tc>
          <w:tcPr>
            <w:tcW w:w="7904" w:type="dxa"/>
          </w:tcPr>
          <w:p w14:paraId="4B5ED86F" w14:textId="77777777" w:rsidR="00BC676C" w:rsidRPr="005835DE" w:rsidRDefault="00BC676C" w:rsidP="00BC676C">
            <w:pPr>
              <w:overflowPunct w:val="0"/>
              <w:autoSpaceDE w:val="0"/>
              <w:autoSpaceDN w:val="0"/>
              <w:adjustRightInd w:val="0"/>
              <w:ind w:left="720" w:hanging="720"/>
              <w:textAlignment w:val="baseline"/>
              <w:rPr>
                <w:i/>
              </w:rPr>
            </w:pPr>
            <w:r w:rsidRPr="005835DE">
              <w:rPr>
                <w:i/>
              </w:rPr>
              <w:t>+32 254690</w:t>
            </w:r>
            <w:r w:rsidRPr="005835DE">
              <w:t>51</w:t>
            </w:r>
          </w:p>
        </w:tc>
      </w:tr>
      <w:tr w:rsidR="00BC676C" w:rsidRPr="005835DE" w14:paraId="31255C9B" w14:textId="77777777" w:rsidTr="0036489A">
        <w:tc>
          <w:tcPr>
            <w:tcW w:w="1418" w:type="dxa"/>
          </w:tcPr>
          <w:p w14:paraId="31B04EF4" w14:textId="7E46D7EE" w:rsidR="00BC676C" w:rsidRPr="005835DE" w:rsidRDefault="00332E33" w:rsidP="00BC676C">
            <w:pPr>
              <w:overflowPunct w:val="0"/>
              <w:autoSpaceDE w:val="0"/>
              <w:autoSpaceDN w:val="0"/>
              <w:adjustRightInd w:val="0"/>
              <w:ind w:left="720" w:hanging="720"/>
              <w:textAlignment w:val="baseline"/>
              <w:rPr>
                <w:i/>
              </w:rPr>
            </w:pPr>
            <w:r w:rsidRPr="005835DE">
              <w:rPr>
                <w:i/>
              </w:rPr>
              <w:t>E</w:t>
            </w:r>
            <w:r w:rsidR="00BC676C" w:rsidRPr="005835DE">
              <w:rPr>
                <w:i/>
              </w:rPr>
              <w:t>-mail</w:t>
            </w:r>
          </w:p>
        </w:tc>
        <w:tc>
          <w:tcPr>
            <w:tcW w:w="7904" w:type="dxa"/>
          </w:tcPr>
          <w:p w14:paraId="53D1C2A7" w14:textId="77777777" w:rsidR="00BC676C" w:rsidRPr="005835DE" w:rsidRDefault="00520E78" w:rsidP="00BC676C">
            <w:pPr>
              <w:overflowPunct w:val="0"/>
              <w:autoSpaceDE w:val="0"/>
              <w:autoSpaceDN w:val="0"/>
              <w:adjustRightInd w:val="0"/>
              <w:ind w:left="720" w:hanging="720"/>
              <w:textAlignment w:val="baseline"/>
              <w:rPr>
                <w:i/>
              </w:rPr>
            </w:pPr>
            <w:hyperlink r:id="rId30" w:history="1">
              <w:r w:rsidR="00A27BD2" w:rsidRPr="005835DE">
                <w:rPr>
                  <w:i/>
                  <w:color w:val="0000FF"/>
                  <w:u w:val="single"/>
                </w:rPr>
                <w:t>Maja.Radman@eesc.europa.eu</w:t>
              </w:r>
            </w:hyperlink>
          </w:p>
        </w:tc>
      </w:tr>
    </w:tbl>
    <w:p w14:paraId="4982DDEF" w14:textId="77777777" w:rsidR="004D7AC0" w:rsidRPr="005835DE" w:rsidRDefault="004D7AC0" w:rsidP="004D7AC0">
      <w:pPr>
        <w:pStyle w:val="ListParagraph"/>
        <w:ind w:left="0"/>
      </w:pPr>
    </w:p>
    <w:p w14:paraId="4982DDF0" w14:textId="09A1E184" w:rsidR="0005334D" w:rsidRPr="005835DE" w:rsidRDefault="0005334D">
      <w:pPr>
        <w:spacing w:after="160" w:line="259" w:lineRule="auto"/>
        <w:jc w:val="left"/>
      </w:pPr>
      <w:r w:rsidRPr="005835DE">
        <w:br w:type="page"/>
      </w:r>
    </w:p>
    <w:p w14:paraId="15C6E6D3" w14:textId="0770B780" w:rsidR="0005334D" w:rsidRPr="005835DE" w:rsidRDefault="0005334D" w:rsidP="0005334D">
      <w:pPr>
        <w:widowControl w:val="0"/>
        <w:numPr>
          <w:ilvl w:val="0"/>
          <w:numId w:val="4"/>
        </w:numPr>
        <w:overflowPunct w:val="0"/>
        <w:autoSpaceDE w:val="0"/>
        <w:autoSpaceDN w:val="0"/>
        <w:adjustRightInd w:val="0"/>
        <w:ind w:hanging="567"/>
        <w:textAlignment w:val="baseline"/>
        <w:rPr>
          <w:color w:val="0000FF"/>
          <w:sz w:val="28"/>
          <w:szCs w:val="28"/>
          <w:u w:val="single"/>
        </w:rPr>
      </w:pPr>
      <w:r w:rsidRPr="005835DE">
        <w:rPr>
          <w:b/>
          <w:i/>
          <w:sz w:val="28"/>
          <w:szCs w:val="28"/>
        </w:rPr>
        <w:lastRenderedPageBreak/>
        <w:fldChar w:fldCharType="begin"/>
      </w:r>
      <w:r w:rsidRPr="005835DE">
        <w:rPr>
          <w:b/>
          <w:i/>
          <w:sz w:val="28"/>
          <w:szCs w:val="28"/>
        </w:rPr>
        <w:instrText xml:space="preserve"> HYPERLINK "https://www.eesc.europa.eu/it/our-work/opinions-information-reports/opinions/eu-space-act" </w:instrText>
      </w:r>
      <w:r w:rsidRPr="005835DE">
        <w:rPr>
          <w:b/>
          <w:i/>
          <w:sz w:val="28"/>
          <w:szCs w:val="28"/>
        </w:rPr>
        <w:fldChar w:fldCharType="separate"/>
      </w:r>
      <w:r w:rsidRPr="005835DE">
        <w:rPr>
          <w:b/>
          <w:i/>
          <w:color w:val="0000FF"/>
          <w:sz w:val="28"/>
          <w:szCs w:val="28"/>
          <w:u w:val="single"/>
        </w:rPr>
        <w:t>Atto legislativo dell'UE sullo spazio</w:t>
      </w:r>
    </w:p>
    <w:p w14:paraId="0A91F32A" w14:textId="77777777" w:rsidR="0005334D" w:rsidRPr="005835DE" w:rsidRDefault="0005334D" w:rsidP="0005334D">
      <w:pPr>
        <w:tabs>
          <w:tab w:val="center" w:pos="284"/>
        </w:tabs>
        <w:overflowPunct w:val="0"/>
        <w:autoSpaceDE w:val="0"/>
        <w:autoSpaceDN w:val="0"/>
        <w:adjustRightInd w:val="0"/>
        <w:ind w:left="266" w:hanging="266"/>
        <w:textAlignment w:val="baseline"/>
        <w:rPr>
          <w:b/>
        </w:rPr>
      </w:pPr>
      <w:r w:rsidRPr="005835DE">
        <w:rPr>
          <w:b/>
          <w:i/>
          <w:sz w:val="28"/>
          <w:szCs w:val="28"/>
        </w:rPr>
        <w:fldChar w:fldCharType="end"/>
      </w:r>
    </w:p>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387"/>
      </w:tblGrid>
      <w:tr w:rsidR="0005334D" w:rsidRPr="005835DE" w14:paraId="0F0AF7C0" w14:textId="77777777" w:rsidTr="0036489A">
        <w:tc>
          <w:tcPr>
            <w:tcW w:w="1701" w:type="dxa"/>
          </w:tcPr>
          <w:p w14:paraId="1C2A42D0" w14:textId="50B085F9" w:rsidR="0005334D" w:rsidRPr="005835DE" w:rsidRDefault="00332E33" w:rsidP="0005334D">
            <w:pPr>
              <w:tabs>
                <w:tab w:val="center" w:pos="284"/>
              </w:tabs>
              <w:overflowPunct w:val="0"/>
              <w:autoSpaceDE w:val="0"/>
              <w:autoSpaceDN w:val="0"/>
              <w:adjustRightInd w:val="0"/>
              <w:ind w:left="266" w:hanging="266"/>
              <w:textAlignment w:val="baseline"/>
              <w:rPr>
                <w:b/>
              </w:rPr>
            </w:pPr>
            <w:r w:rsidRPr="005835DE">
              <w:rPr>
                <w:b/>
              </w:rPr>
              <w:t>Relatore</w:t>
            </w:r>
          </w:p>
        </w:tc>
        <w:tc>
          <w:tcPr>
            <w:tcW w:w="5387" w:type="dxa"/>
          </w:tcPr>
          <w:p w14:paraId="1C51F404" w14:textId="0A3C4CB8" w:rsidR="0005334D" w:rsidRPr="005835DE" w:rsidRDefault="0005334D" w:rsidP="0005334D">
            <w:pPr>
              <w:tabs>
                <w:tab w:val="center" w:pos="284"/>
              </w:tabs>
              <w:overflowPunct w:val="0"/>
              <w:autoSpaceDE w:val="0"/>
              <w:autoSpaceDN w:val="0"/>
              <w:adjustRightInd w:val="0"/>
              <w:ind w:left="266" w:hanging="266"/>
              <w:textAlignment w:val="baseline"/>
            </w:pPr>
            <w:r w:rsidRPr="005835DE">
              <w:t>Angelo PAGLIARA (Lavoratori - IT)</w:t>
            </w:r>
          </w:p>
        </w:tc>
      </w:tr>
      <w:tr w:rsidR="0005334D" w:rsidRPr="005835DE" w14:paraId="53E511CA" w14:textId="77777777" w:rsidTr="0036489A">
        <w:tc>
          <w:tcPr>
            <w:tcW w:w="7088" w:type="dxa"/>
            <w:gridSpan w:val="2"/>
          </w:tcPr>
          <w:p w14:paraId="32CF405E" w14:textId="77777777" w:rsidR="0005334D" w:rsidRPr="005835DE" w:rsidRDefault="0005334D" w:rsidP="0005334D">
            <w:pPr>
              <w:tabs>
                <w:tab w:val="center" w:pos="284"/>
              </w:tabs>
              <w:overflowPunct w:val="0"/>
              <w:autoSpaceDE w:val="0"/>
              <w:autoSpaceDN w:val="0"/>
              <w:adjustRightInd w:val="0"/>
              <w:spacing w:line="160" w:lineRule="exact"/>
              <w:ind w:left="266" w:hanging="266"/>
              <w:textAlignment w:val="baseline"/>
              <w:rPr>
                <w:sz w:val="16"/>
                <w:szCs w:val="16"/>
              </w:rPr>
            </w:pPr>
          </w:p>
        </w:tc>
      </w:tr>
      <w:tr w:rsidR="0005334D" w:rsidRPr="005835DE" w14:paraId="3F8991D4" w14:textId="77777777" w:rsidTr="0036489A">
        <w:tc>
          <w:tcPr>
            <w:tcW w:w="1701" w:type="dxa"/>
            <w:vMerge w:val="restart"/>
          </w:tcPr>
          <w:p w14:paraId="15E862B4" w14:textId="77777777" w:rsidR="0005334D" w:rsidRPr="005835DE" w:rsidRDefault="0005334D" w:rsidP="0005334D">
            <w:pPr>
              <w:tabs>
                <w:tab w:val="center" w:pos="284"/>
              </w:tabs>
              <w:overflowPunct w:val="0"/>
              <w:autoSpaceDE w:val="0"/>
              <w:autoSpaceDN w:val="0"/>
              <w:adjustRightInd w:val="0"/>
              <w:ind w:left="266" w:hanging="266"/>
              <w:textAlignment w:val="baseline"/>
              <w:rPr>
                <w:b/>
              </w:rPr>
            </w:pPr>
            <w:r w:rsidRPr="005835DE">
              <w:rPr>
                <w:b/>
              </w:rPr>
              <w:t xml:space="preserve">Riferimento </w:t>
            </w:r>
          </w:p>
        </w:tc>
        <w:tc>
          <w:tcPr>
            <w:tcW w:w="5387" w:type="dxa"/>
          </w:tcPr>
          <w:p w14:paraId="0F1F5196" w14:textId="4657F08E" w:rsidR="0005334D" w:rsidRPr="005835DE" w:rsidRDefault="0005334D" w:rsidP="0005334D">
            <w:pPr>
              <w:tabs>
                <w:tab w:val="center" w:pos="284"/>
              </w:tabs>
              <w:overflowPunct w:val="0"/>
              <w:autoSpaceDE w:val="0"/>
              <w:autoSpaceDN w:val="0"/>
              <w:adjustRightInd w:val="0"/>
              <w:ind w:left="266" w:hanging="266"/>
              <w:textAlignment w:val="baseline"/>
            </w:pPr>
            <w:r w:rsidRPr="005835DE">
              <w:t xml:space="preserve">COM(2025) 335 final </w:t>
            </w:r>
          </w:p>
        </w:tc>
      </w:tr>
      <w:tr w:rsidR="0005334D" w:rsidRPr="005835DE" w14:paraId="5CF8C9B4" w14:textId="77777777" w:rsidTr="0036489A">
        <w:tc>
          <w:tcPr>
            <w:tcW w:w="1701" w:type="dxa"/>
            <w:vMerge/>
          </w:tcPr>
          <w:p w14:paraId="1BAC3D8C" w14:textId="77777777" w:rsidR="0005334D" w:rsidRPr="005835DE" w:rsidRDefault="0005334D" w:rsidP="0005334D">
            <w:pPr>
              <w:tabs>
                <w:tab w:val="center" w:pos="284"/>
              </w:tabs>
              <w:overflowPunct w:val="0"/>
              <w:autoSpaceDE w:val="0"/>
              <w:autoSpaceDN w:val="0"/>
              <w:adjustRightInd w:val="0"/>
              <w:ind w:left="266" w:hanging="266"/>
              <w:textAlignment w:val="baseline"/>
              <w:rPr>
                <w:b/>
              </w:rPr>
            </w:pPr>
          </w:p>
        </w:tc>
        <w:tc>
          <w:tcPr>
            <w:tcW w:w="5387" w:type="dxa"/>
          </w:tcPr>
          <w:p w14:paraId="39C1DAEF" w14:textId="77777777" w:rsidR="0005334D" w:rsidRPr="005835DE" w:rsidRDefault="0005334D" w:rsidP="0005334D">
            <w:pPr>
              <w:tabs>
                <w:tab w:val="center" w:pos="284"/>
              </w:tabs>
              <w:overflowPunct w:val="0"/>
              <w:autoSpaceDE w:val="0"/>
              <w:autoSpaceDN w:val="0"/>
              <w:adjustRightInd w:val="0"/>
              <w:ind w:left="266" w:hanging="266"/>
              <w:textAlignment w:val="baseline"/>
            </w:pPr>
            <w:r w:rsidRPr="005835DE">
              <w:t>EESC-2024-00225-00-00-AC</w:t>
            </w:r>
          </w:p>
        </w:tc>
      </w:tr>
    </w:tbl>
    <w:p w14:paraId="4F5EF826" w14:textId="77777777" w:rsidR="0005334D" w:rsidRPr="005835DE" w:rsidRDefault="0005334D" w:rsidP="0005334D">
      <w:pPr>
        <w:tabs>
          <w:tab w:val="center" w:pos="284"/>
        </w:tabs>
        <w:overflowPunct w:val="0"/>
        <w:autoSpaceDE w:val="0"/>
        <w:autoSpaceDN w:val="0"/>
        <w:adjustRightInd w:val="0"/>
        <w:ind w:left="266" w:hanging="266"/>
        <w:textAlignment w:val="baseline"/>
        <w:rPr>
          <w:lang w:val="en-GB"/>
        </w:rPr>
      </w:pPr>
    </w:p>
    <w:p w14:paraId="0962AA04" w14:textId="77777777" w:rsidR="0005334D" w:rsidRPr="005835DE" w:rsidRDefault="0005334D" w:rsidP="0005334D">
      <w:pPr>
        <w:keepNext/>
        <w:keepLines/>
        <w:tabs>
          <w:tab w:val="center" w:pos="284"/>
        </w:tabs>
        <w:overflowPunct w:val="0"/>
        <w:autoSpaceDE w:val="0"/>
        <w:autoSpaceDN w:val="0"/>
        <w:adjustRightInd w:val="0"/>
        <w:ind w:left="266" w:hanging="266"/>
        <w:textAlignment w:val="baseline"/>
        <w:rPr>
          <w:b/>
        </w:rPr>
      </w:pPr>
      <w:r w:rsidRPr="005835DE">
        <w:rPr>
          <w:b/>
        </w:rPr>
        <w:t>Punti principali</w:t>
      </w:r>
    </w:p>
    <w:p w14:paraId="2921179F" w14:textId="77777777" w:rsidR="0005334D" w:rsidRPr="005835DE" w:rsidRDefault="0005334D" w:rsidP="0005334D">
      <w:pPr>
        <w:keepNext/>
        <w:keepLines/>
        <w:tabs>
          <w:tab w:val="center" w:pos="284"/>
        </w:tabs>
        <w:overflowPunct w:val="0"/>
        <w:autoSpaceDE w:val="0"/>
        <w:autoSpaceDN w:val="0"/>
        <w:adjustRightInd w:val="0"/>
        <w:ind w:left="266" w:hanging="266"/>
        <w:textAlignment w:val="baseline"/>
        <w:rPr>
          <w:b/>
          <w:lang w:val="en-GB"/>
        </w:rPr>
      </w:pPr>
    </w:p>
    <w:p w14:paraId="75940321" w14:textId="77777777" w:rsidR="0005334D" w:rsidRPr="005835DE" w:rsidRDefault="0005334D" w:rsidP="0005334D">
      <w:pPr>
        <w:overflowPunct w:val="0"/>
        <w:autoSpaceDE w:val="0"/>
        <w:autoSpaceDN w:val="0"/>
        <w:adjustRightInd w:val="0"/>
        <w:textAlignment w:val="baseline"/>
        <w:rPr>
          <w:bCs/>
          <w:iCs/>
        </w:rPr>
      </w:pPr>
      <w:r w:rsidRPr="005835DE">
        <w:t>Il CESE:</w:t>
      </w:r>
    </w:p>
    <w:p w14:paraId="4A48F70F" w14:textId="77777777" w:rsidR="0005334D" w:rsidRPr="005835DE" w:rsidRDefault="0005334D" w:rsidP="0005334D">
      <w:pPr>
        <w:overflowPunct w:val="0"/>
        <w:autoSpaceDE w:val="0"/>
        <w:autoSpaceDN w:val="0"/>
        <w:adjustRightInd w:val="0"/>
        <w:textAlignment w:val="baseline"/>
        <w:rPr>
          <w:bCs/>
          <w:iCs/>
          <w:lang w:val="en-GB"/>
        </w:rPr>
      </w:pPr>
    </w:p>
    <w:p w14:paraId="6C3ACDD8" w14:textId="77777777" w:rsidR="0005334D" w:rsidRPr="005835DE" w:rsidRDefault="0005334D" w:rsidP="00302A41">
      <w:pPr>
        <w:numPr>
          <w:ilvl w:val="0"/>
          <w:numId w:val="22"/>
        </w:numPr>
        <w:overflowPunct w:val="0"/>
        <w:autoSpaceDE w:val="0"/>
        <w:autoSpaceDN w:val="0"/>
        <w:adjustRightInd w:val="0"/>
        <w:ind w:left="426" w:hanging="426"/>
        <w:textAlignment w:val="baseline"/>
        <w:rPr>
          <w:szCs w:val="20"/>
        </w:rPr>
      </w:pPr>
      <w:r w:rsidRPr="005835DE">
        <w:t xml:space="preserve">raccomanda di </w:t>
      </w:r>
      <w:r w:rsidRPr="005835DE">
        <w:rPr>
          <w:b/>
          <w:bCs/>
        </w:rPr>
        <w:t>rafforzare</w:t>
      </w:r>
      <w:r w:rsidRPr="005835DE">
        <w:t xml:space="preserve"> immediatamente e in modo strutturale </w:t>
      </w:r>
      <w:r w:rsidRPr="005835DE">
        <w:rPr>
          <w:b/>
          <w:bCs/>
        </w:rPr>
        <w:t>gli investimenti pubblici europei nello spazio</w:t>
      </w:r>
      <w:r w:rsidRPr="005835DE">
        <w:t xml:space="preserve"> e di incrementare gli investimenti spaziali portandoli </w:t>
      </w:r>
      <w:r w:rsidRPr="005835DE">
        <w:rPr>
          <w:b/>
          <w:bCs/>
        </w:rPr>
        <w:t>almeno allo 0,2 % del PIL entro il 2030</w:t>
      </w:r>
      <w:r w:rsidRPr="005835DE">
        <w:t>;</w:t>
      </w:r>
    </w:p>
    <w:p w14:paraId="26F7B7AE" w14:textId="77777777" w:rsidR="0005334D" w:rsidRPr="005835DE" w:rsidRDefault="0005334D" w:rsidP="00302A41">
      <w:pPr>
        <w:numPr>
          <w:ilvl w:val="0"/>
          <w:numId w:val="22"/>
        </w:numPr>
        <w:overflowPunct w:val="0"/>
        <w:autoSpaceDE w:val="0"/>
        <w:autoSpaceDN w:val="0"/>
        <w:adjustRightInd w:val="0"/>
        <w:ind w:left="426" w:hanging="426"/>
        <w:textAlignment w:val="baseline"/>
        <w:rPr>
          <w:szCs w:val="20"/>
        </w:rPr>
      </w:pPr>
      <w:r w:rsidRPr="005835DE">
        <w:t xml:space="preserve">raccomanda di </w:t>
      </w:r>
      <w:r w:rsidRPr="005835DE">
        <w:rPr>
          <w:b/>
          <w:bCs/>
        </w:rPr>
        <w:t>spiegare più in dettaglio in che modo l'articolo 114 del TFUE possa essere utilizzato come base giuridica per l'istituzione e il funzionamento del mercato interno dei prodotti, dei servizi e dei dati spaziali</w:t>
      </w:r>
      <w:r w:rsidRPr="005835DE">
        <w:t xml:space="preserve">, e propone di introdurre una clausola in forza della quale le disposizioni dell'atto legislativo sullo spazio debbano essere interpretate tenendo conto degli </w:t>
      </w:r>
      <w:r w:rsidRPr="005835DE">
        <w:rPr>
          <w:b/>
          <w:bCs/>
        </w:rPr>
        <w:t>obblighi internazionali già sottoscritti dagli Stati membri</w:t>
      </w:r>
      <w:r w:rsidRPr="005835DE">
        <w:t>;</w:t>
      </w:r>
    </w:p>
    <w:p w14:paraId="084E4A62" w14:textId="77777777" w:rsidR="0005334D" w:rsidRPr="005835DE" w:rsidRDefault="0005334D" w:rsidP="00302A41">
      <w:pPr>
        <w:numPr>
          <w:ilvl w:val="0"/>
          <w:numId w:val="22"/>
        </w:numPr>
        <w:overflowPunct w:val="0"/>
        <w:autoSpaceDE w:val="0"/>
        <w:autoSpaceDN w:val="0"/>
        <w:adjustRightInd w:val="0"/>
        <w:ind w:left="426" w:hanging="426"/>
        <w:textAlignment w:val="baseline"/>
        <w:rPr>
          <w:szCs w:val="20"/>
        </w:rPr>
      </w:pPr>
      <w:r w:rsidRPr="005835DE">
        <w:t xml:space="preserve">raccomanda di chiarire </w:t>
      </w:r>
      <w:r w:rsidRPr="005835DE">
        <w:rPr>
          <w:b/>
          <w:bCs/>
        </w:rPr>
        <w:t>le ragioni per cui il titolo I della proposta di regolamento si riferisce esclusivamente al criterio dello Stato membro di stabilimento dell'operatore</w:t>
      </w:r>
      <w:r w:rsidRPr="005835DE">
        <w:t xml:space="preserve">, o dell'operatore spaziale di un paese terzo, e raccomanda altresì di </w:t>
      </w:r>
      <w:r w:rsidRPr="005835DE">
        <w:rPr>
          <w:b/>
          <w:bCs/>
        </w:rPr>
        <w:t>chiarire le disposizioni dell'articolo 6, paragrafo 3, così da garantire un migliore coordinamento con le legislazioni nazionali degli Stati membri nel settore dello spazio</w:t>
      </w:r>
      <w:r w:rsidRPr="005835DE">
        <w:t xml:space="preserve"> che individuano gli operatori cui incombe l'obbligo di ottenere l'autorizzazione per lo svolgimento di attività spaziali sulla base della nazionalità o del territorio da cui è effettuata l'attività spaziale in questione;</w:t>
      </w:r>
    </w:p>
    <w:p w14:paraId="3E883F9C" w14:textId="77777777" w:rsidR="0005334D" w:rsidRPr="005835DE" w:rsidRDefault="0005334D" w:rsidP="00302A41">
      <w:pPr>
        <w:numPr>
          <w:ilvl w:val="0"/>
          <w:numId w:val="22"/>
        </w:numPr>
        <w:overflowPunct w:val="0"/>
        <w:autoSpaceDE w:val="0"/>
        <w:autoSpaceDN w:val="0"/>
        <w:adjustRightInd w:val="0"/>
        <w:ind w:left="426" w:hanging="426"/>
        <w:textAlignment w:val="baseline"/>
        <w:rPr>
          <w:szCs w:val="20"/>
        </w:rPr>
      </w:pPr>
      <w:r w:rsidRPr="005835DE">
        <w:t xml:space="preserve">raccomanda di </w:t>
      </w:r>
      <w:r w:rsidRPr="005835DE">
        <w:rPr>
          <w:b/>
          <w:bCs/>
        </w:rPr>
        <w:t>chiarire, nel titolo II, il funzionamento delle deroghe e dei margini di flessibilità nella procedura di autorizzazione</w:t>
      </w:r>
      <w:r w:rsidRPr="005835DE">
        <w:t>, precisando i tempi procedurali, l'applicabilità alle missioni non commerciali, i poteri di ispezione della Commissione e il ruolo operativo dell'Agenzia spaziale europea e dell'Agenzia dell'Unione europea per il programma spaziale (EUSPA);</w:t>
      </w:r>
    </w:p>
    <w:p w14:paraId="0BFD0B62" w14:textId="77777777" w:rsidR="0005334D" w:rsidRPr="005835DE" w:rsidRDefault="0005334D" w:rsidP="00302A41">
      <w:pPr>
        <w:numPr>
          <w:ilvl w:val="0"/>
          <w:numId w:val="22"/>
        </w:numPr>
        <w:overflowPunct w:val="0"/>
        <w:autoSpaceDE w:val="0"/>
        <w:autoSpaceDN w:val="0"/>
        <w:adjustRightInd w:val="0"/>
        <w:ind w:left="426" w:hanging="426"/>
        <w:textAlignment w:val="baseline"/>
        <w:rPr>
          <w:szCs w:val="20"/>
        </w:rPr>
      </w:pPr>
      <w:r w:rsidRPr="005835DE">
        <w:t xml:space="preserve">raccomanda di definire con precisione i </w:t>
      </w:r>
      <w:r w:rsidRPr="005835DE">
        <w:rPr>
          <w:b/>
          <w:bCs/>
        </w:rPr>
        <w:t>limiti entro cui gli Stati membri possono imporre requisiti più stringenti</w:t>
      </w:r>
      <w:r w:rsidRPr="005835DE">
        <w:t xml:space="preserve"> per quanto riguarda la libera circolazione dei dati spaziali e dei servizi spaziali nell'Unione;</w:t>
      </w:r>
    </w:p>
    <w:p w14:paraId="05AA5B90" w14:textId="77777777" w:rsidR="0005334D" w:rsidRPr="005835DE" w:rsidRDefault="0005334D" w:rsidP="00302A41">
      <w:pPr>
        <w:numPr>
          <w:ilvl w:val="0"/>
          <w:numId w:val="22"/>
        </w:numPr>
        <w:overflowPunct w:val="0"/>
        <w:autoSpaceDE w:val="0"/>
        <w:autoSpaceDN w:val="0"/>
        <w:adjustRightInd w:val="0"/>
        <w:ind w:left="426" w:hanging="426"/>
        <w:textAlignment w:val="baseline"/>
        <w:rPr>
          <w:szCs w:val="20"/>
        </w:rPr>
      </w:pPr>
      <w:r w:rsidRPr="005835DE">
        <w:t xml:space="preserve">evidenzia la necessità di </w:t>
      </w:r>
      <w:r w:rsidRPr="005835DE">
        <w:rPr>
          <w:b/>
          <w:bCs/>
        </w:rPr>
        <w:t>rafforzare il principio di riconoscimento reciproco e di norme comuni per evitare la frammentazione</w:t>
      </w:r>
      <w:r w:rsidRPr="005835DE">
        <w:t xml:space="preserve"> e gli ostacoli burocratici;</w:t>
      </w:r>
    </w:p>
    <w:p w14:paraId="73875630" w14:textId="77777777" w:rsidR="0005334D" w:rsidRPr="005835DE" w:rsidRDefault="0005334D" w:rsidP="00302A41">
      <w:pPr>
        <w:numPr>
          <w:ilvl w:val="0"/>
          <w:numId w:val="22"/>
        </w:numPr>
        <w:overflowPunct w:val="0"/>
        <w:autoSpaceDE w:val="0"/>
        <w:autoSpaceDN w:val="0"/>
        <w:adjustRightInd w:val="0"/>
        <w:ind w:left="426" w:hanging="426"/>
        <w:textAlignment w:val="baseline"/>
        <w:rPr>
          <w:szCs w:val="20"/>
        </w:rPr>
      </w:pPr>
      <w:r w:rsidRPr="005835DE">
        <w:t xml:space="preserve">raccomanda di </w:t>
      </w:r>
      <w:r w:rsidRPr="005835DE">
        <w:rPr>
          <w:b/>
          <w:bCs/>
        </w:rPr>
        <w:t>collegare la strategia spaziale dell'UE all'autonomia strategica europea</w:t>
      </w:r>
      <w:r w:rsidRPr="005835DE">
        <w:t xml:space="preserve"> e di favorire l'attivazione di e</w:t>
      </w:r>
      <w:r w:rsidRPr="005835DE">
        <w:rPr>
          <w:b/>
          <w:bCs/>
        </w:rPr>
        <w:t>cosistemi complementari e l'effetto moltiplicatore dell'economia spaziale</w:t>
      </w:r>
      <w:r w:rsidRPr="005835DE">
        <w:t xml:space="preserve"> a sostegno di specifici settori;</w:t>
      </w:r>
    </w:p>
    <w:p w14:paraId="2A025617" w14:textId="42AFC14A" w:rsidR="0005334D" w:rsidRPr="005835DE" w:rsidRDefault="0005334D" w:rsidP="00302A41">
      <w:pPr>
        <w:numPr>
          <w:ilvl w:val="0"/>
          <w:numId w:val="22"/>
        </w:numPr>
        <w:overflowPunct w:val="0"/>
        <w:autoSpaceDE w:val="0"/>
        <w:autoSpaceDN w:val="0"/>
        <w:adjustRightInd w:val="0"/>
        <w:ind w:left="426" w:hanging="426"/>
        <w:textAlignment w:val="baseline"/>
        <w:rPr>
          <w:szCs w:val="20"/>
        </w:rPr>
      </w:pPr>
      <w:r w:rsidRPr="005835DE">
        <w:t xml:space="preserve">raccomanda lo sviluppo di una </w:t>
      </w:r>
      <w:r w:rsidRPr="005835DE">
        <w:rPr>
          <w:b/>
          <w:bCs/>
        </w:rPr>
        <w:t>strategia integrata per le competenze spaziali e l'occupazione</w:t>
      </w:r>
      <w:r w:rsidRPr="005835DE">
        <w:t xml:space="preserve">, come pure l'adozione di una </w:t>
      </w:r>
      <w:r w:rsidRPr="005835DE">
        <w:rPr>
          <w:b/>
          <w:bCs/>
        </w:rPr>
        <w:t xml:space="preserve">European Space Skills </w:t>
      </w:r>
      <w:r w:rsidR="00332E33" w:rsidRPr="005835DE">
        <w:rPr>
          <w:b/>
          <w:bCs/>
        </w:rPr>
        <w:t>Agenda</w:t>
      </w:r>
      <w:r w:rsidRPr="005835DE">
        <w:rPr>
          <w:b/>
          <w:bCs/>
        </w:rPr>
        <w:t xml:space="preserve"> (agenda europea per le competenze spaziali)</w:t>
      </w:r>
      <w:r w:rsidRPr="005835DE">
        <w:t>;</w:t>
      </w:r>
    </w:p>
    <w:p w14:paraId="36AD8480" w14:textId="77777777" w:rsidR="0005334D" w:rsidRPr="005835DE" w:rsidRDefault="0005334D" w:rsidP="00302A41">
      <w:pPr>
        <w:numPr>
          <w:ilvl w:val="0"/>
          <w:numId w:val="22"/>
        </w:numPr>
        <w:overflowPunct w:val="0"/>
        <w:autoSpaceDE w:val="0"/>
        <w:autoSpaceDN w:val="0"/>
        <w:adjustRightInd w:val="0"/>
        <w:ind w:left="426" w:hanging="426"/>
        <w:textAlignment w:val="baseline"/>
        <w:rPr>
          <w:szCs w:val="20"/>
        </w:rPr>
      </w:pPr>
      <w:r w:rsidRPr="005835DE">
        <w:t xml:space="preserve">chiede di garantire risorse adeguate per il </w:t>
      </w:r>
      <w:r w:rsidRPr="005835DE">
        <w:rPr>
          <w:b/>
          <w:bCs/>
        </w:rPr>
        <w:t>rafforzamento operativo dell'EUSPA</w:t>
      </w:r>
      <w:r w:rsidRPr="005835DE">
        <w:t xml:space="preserve"> nel prossimo quadro finanziario pluriennale (QFP) 2028-2034.</w:t>
      </w:r>
    </w:p>
    <w:p w14:paraId="39C0FBAA" w14:textId="4AFAC8F9" w:rsidR="00667D18" w:rsidRPr="005835DE" w:rsidRDefault="00667D18">
      <w:pPr>
        <w:spacing w:after="160" w:line="259" w:lineRule="auto"/>
        <w:jc w:val="left"/>
        <w:rPr>
          <w:lang w:val="en-GB"/>
        </w:rPr>
      </w:pPr>
      <w:r w:rsidRPr="005835DE">
        <w:rPr>
          <w:lang w:val="en-GB"/>
        </w:rPr>
        <w:br w:type="page"/>
      </w:r>
    </w:p>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05334D" w:rsidRPr="005835DE" w14:paraId="2E1C4F7A" w14:textId="77777777" w:rsidTr="0036489A">
        <w:tc>
          <w:tcPr>
            <w:tcW w:w="1418" w:type="dxa"/>
          </w:tcPr>
          <w:p w14:paraId="3B838871" w14:textId="77777777" w:rsidR="0005334D" w:rsidRPr="005835DE" w:rsidRDefault="0005334D" w:rsidP="0005334D">
            <w:pPr>
              <w:overflowPunct w:val="0"/>
              <w:autoSpaceDE w:val="0"/>
              <w:autoSpaceDN w:val="0"/>
              <w:adjustRightInd w:val="0"/>
              <w:textAlignment w:val="baseline"/>
              <w:rPr>
                <w:i/>
              </w:rPr>
            </w:pPr>
            <w:r w:rsidRPr="005835DE">
              <w:rPr>
                <w:b/>
                <w:i/>
              </w:rPr>
              <w:lastRenderedPageBreak/>
              <w:t>Contatto</w:t>
            </w:r>
          </w:p>
        </w:tc>
        <w:tc>
          <w:tcPr>
            <w:tcW w:w="5670" w:type="dxa"/>
          </w:tcPr>
          <w:p w14:paraId="40162F2B" w14:textId="77777777" w:rsidR="0005334D" w:rsidRPr="005835DE" w:rsidRDefault="0005334D" w:rsidP="0005334D">
            <w:pPr>
              <w:overflowPunct w:val="0"/>
              <w:autoSpaceDE w:val="0"/>
              <w:autoSpaceDN w:val="0"/>
              <w:adjustRightInd w:val="0"/>
              <w:textAlignment w:val="baseline"/>
              <w:rPr>
                <w:i/>
              </w:rPr>
            </w:pPr>
            <w:r w:rsidRPr="005835DE">
              <w:rPr>
                <w:i/>
              </w:rPr>
              <w:t>Giorgia BORDIGNON</w:t>
            </w:r>
          </w:p>
        </w:tc>
      </w:tr>
      <w:tr w:rsidR="0005334D" w:rsidRPr="005835DE" w14:paraId="362A9B5A" w14:textId="77777777" w:rsidTr="0036489A">
        <w:tc>
          <w:tcPr>
            <w:tcW w:w="1418" w:type="dxa"/>
          </w:tcPr>
          <w:p w14:paraId="0F21C068" w14:textId="77777777" w:rsidR="0005334D" w:rsidRPr="005835DE" w:rsidRDefault="0005334D" w:rsidP="0005334D">
            <w:pPr>
              <w:overflowPunct w:val="0"/>
              <w:autoSpaceDE w:val="0"/>
              <w:autoSpaceDN w:val="0"/>
              <w:adjustRightInd w:val="0"/>
              <w:textAlignment w:val="baseline"/>
              <w:rPr>
                <w:i/>
              </w:rPr>
            </w:pPr>
            <w:r w:rsidRPr="005835DE">
              <w:rPr>
                <w:i/>
              </w:rPr>
              <w:t>Tel.</w:t>
            </w:r>
          </w:p>
        </w:tc>
        <w:tc>
          <w:tcPr>
            <w:tcW w:w="5670" w:type="dxa"/>
          </w:tcPr>
          <w:p w14:paraId="1CDF1B64" w14:textId="77777777" w:rsidR="0005334D" w:rsidRPr="005835DE" w:rsidRDefault="0005334D" w:rsidP="0005334D">
            <w:pPr>
              <w:overflowPunct w:val="0"/>
              <w:autoSpaceDE w:val="0"/>
              <w:autoSpaceDN w:val="0"/>
              <w:adjustRightInd w:val="0"/>
              <w:textAlignment w:val="baseline"/>
              <w:rPr>
                <w:i/>
              </w:rPr>
            </w:pPr>
            <w:r w:rsidRPr="005835DE">
              <w:rPr>
                <w:i/>
              </w:rPr>
              <w:t>+32 25468</w:t>
            </w:r>
            <w:r w:rsidRPr="005835DE">
              <w:t>535</w:t>
            </w:r>
          </w:p>
        </w:tc>
      </w:tr>
      <w:tr w:rsidR="0005334D" w:rsidRPr="005835DE" w14:paraId="2C7002E1" w14:textId="77777777" w:rsidTr="0036489A">
        <w:tc>
          <w:tcPr>
            <w:tcW w:w="1418" w:type="dxa"/>
          </w:tcPr>
          <w:p w14:paraId="1B96A53D" w14:textId="3386110C" w:rsidR="0005334D" w:rsidRPr="005835DE" w:rsidRDefault="00332E33" w:rsidP="0005334D">
            <w:pPr>
              <w:overflowPunct w:val="0"/>
              <w:autoSpaceDE w:val="0"/>
              <w:autoSpaceDN w:val="0"/>
              <w:adjustRightInd w:val="0"/>
              <w:textAlignment w:val="baseline"/>
              <w:rPr>
                <w:i/>
              </w:rPr>
            </w:pPr>
            <w:r w:rsidRPr="005835DE">
              <w:rPr>
                <w:i/>
              </w:rPr>
              <w:t>E</w:t>
            </w:r>
            <w:r w:rsidR="008C414B" w:rsidRPr="005835DE">
              <w:rPr>
                <w:i/>
              </w:rPr>
              <w:t>-mail</w:t>
            </w:r>
          </w:p>
        </w:tc>
        <w:tc>
          <w:tcPr>
            <w:tcW w:w="5670" w:type="dxa"/>
          </w:tcPr>
          <w:p w14:paraId="7D4DCAF5" w14:textId="77777777" w:rsidR="0005334D" w:rsidRPr="005835DE" w:rsidRDefault="00520E78" w:rsidP="0005334D">
            <w:pPr>
              <w:overflowPunct w:val="0"/>
              <w:autoSpaceDE w:val="0"/>
              <w:autoSpaceDN w:val="0"/>
              <w:adjustRightInd w:val="0"/>
              <w:textAlignment w:val="baseline"/>
              <w:rPr>
                <w:i/>
              </w:rPr>
            </w:pPr>
            <w:hyperlink r:id="rId31" w:history="1">
              <w:r w:rsidR="00A27BD2" w:rsidRPr="005835DE">
                <w:rPr>
                  <w:i/>
                  <w:color w:val="0000FF"/>
                  <w:u w:val="single"/>
                </w:rPr>
                <w:t>GiorgiaAndrea.Bordignon@eesc.europa.eu</w:t>
              </w:r>
            </w:hyperlink>
            <w:r w:rsidR="00A27BD2" w:rsidRPr="005835DE">
              <w:rPr>
                <w:i/>
              </w:rPr>
              <w:t xml:space="preserve"> </w:t>
            </w:r>
          </w:p>
        </w:tc>
      </w:tr>
    </w:tbl>
    <w:p w14:paraId="7416E75B" w14:textId="77777777" w:rsidR="00B8543B" w:rsidRPr="005835DE" w:rsidRDefault="00B8543B">
      <w:pPr>
        <w:spacing w:after="160" w:line="259" w:lineRule="auto"/>
        <w:jc w:val="left"/>
      </w:pPr>
      <w:r w:rsidRPr="005835DE">
        <w:br w:type="page"/>
      </w:r>
    </w:p>
    <w:p w14:paraId="77FAB844" w14:textId="405C607C" w:rsidR="00B8543B" w:rsidRPr="005835DE" w:rsidRDefault="00520E78" w:rsidP="00B8543B">
      <w:pPr>
        <w:widowControl w:val="0"/>
        <w:numPr>
          <w:ilvl w:val="0"/>
          <w:numId w:val="4"/>
        </w:numPr>
        <w:overflowPunct w:val="0"/>
        <w:autoSpaceDE w:val="0"/>
        <w:autoSpaceDN w:val="0"/>
        <w:adjustRightInd w:val="0"/>
        <w:ind w:hanging="567"/>
        <w:textAlignment w:val="baseline"/>
        <w:rPr>
          <w:sz w:val="28"/>
          <w:szCs w:val="28"/>
        </w:rPr>
      </w:pPr>
      <w:hyperlink r:id="rId32" w:history="1">
        <w:r w:rsidR="00A27BD2" w:rsidRPr="005835DE">
          <w:rPr>
            <w:b/>
            <w:i/>
            <w:color w:val="0000FF"/>
            <w:sz w:val="28"/>
            <w:szCs w:val="28"/>
            <w:u w:val="single"/>
          </w:rPr>
          <w:t>Programma indicativo per il settore nucleare</w:t>
        </w:r>
      </w:hyperlink>
    </w:p>
    <w:p w14:paraId="687BF486" w14:textId="77777777" w:rsidR="00B8543B" w:rsidRPr="005835DE" w:rsidRDefault="00B8543B" w:rsidP="00B8543B">
      <w:pPr>
        <w:tabs>
          <w:tab w:val="center" w:pos="284"/>
        </w:tabs>
        <w:overflowPunct w:val="0"/>
        <w:autoSpaceDE w:val="0"/>
        <w:autoSpaceDN w:val="0"/>
        <w:adjustRightInd w:val="0"/>
        <w:ind w:left="266" w:hanging="266"/>
        <w:textAlignment w:val="baseline"/>
        <w:rPr>
          <w:b/>
          <w:lang w:val="en-GB"/>
        </w:rPr>
      </w:pPr>
    </w:p>
    <w:tbl>
      <w:tblPr>
        <w:tblStyle w:val="TableGrid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7134"/>
      </w:tblGrid>
      <w:tr w:rsidR="00B8543B" w:rsidRPr="005835DE" w14:paraId="6BF7DB04" w14:textId="77777777" w:rsidTr="0036489A">
        <w:tc>
          <w:tcPr>
            <w:tcW w:w="1951" w:type="dxa"/>
          </w:tcPr>
          <w:p w14:paraId="7660A134" w14:textId="76C6A2E7" w:rsidR="00B8543B" w:rsidRPr="005835DE" w:rsidRDefault="00332E33" w:rsidP="00B8543B">
            <w:pPr>
              <w:tabs>
                <w:tab w:val="center" w:pos="284"/>
              </w:tabs>
              <w:overflowPunct w:val="0"/>
              <w:autoSpaceDE w:val="0"/>
              <w:autoSpaceDN w:val="0"/>
              <w:adjustRightInd w:val="0"/>
              <w:ind w:left="266" w:hanging="266"/>
              <w:textAlignment w:val="baseline"/>
              <w:rPr>
                <w:b/>
              </w:rPr>
            </w:pPr>
            <w:r w:rsidRPr="005835DE">
              <w:rPr>
                <w:b/>
              </w:rPr>
              <w:t>Relatore</w:t>
            </w:r>
          </w:p>
        </w:tc>
        <w:tc>
          <w:tcPr>
            <w:tcW w:w="7229" w:type="dxa"/>
          </w:tcPr>
          <w:p w14:paraId="741530A3" w14:textId="32EE3DBA" w:rsidR="00B8543B" w:rsidRPr="005835DE" w:rsidRDefault="00B8543B" w:rsidP="00B8543B">
            <w:pPr>
              <w:tabs>
                <w:tab w:val="center" w:pos="284"/>
              </w:tabs>
              <w:overflowPunct w:val="0"/>
              <w:autoSpaceDE w:val="0"/>
              <w:autoSpaceDN w:val="0"/>
              <w:adjustRightInd w:val="0"/>
              <w:ind w:left="266" w:hanging="266"/>
              <w:textAlignment w:val="baseline"/>
            </w:pPr>
            <w:r w:rsidRPr="005835DE">
              <w:t>Dumitru FORNEA (Lavoratori - RO)</w:t>
            </w:r>
          </w:p>
        </w:tc>
      </w:tr>
      <w:tr w:rsidR="00B8543B" w:rsidRPr="005835DE" w14:paraId="1EF069F7" w14:textId="77777777" w:rsidTr="0036489A">
        <w:tc>
          <w:tcPr>
            <w:tcW w:w="1951" w:type="dxa"/>
          </w:tcPr>
          <w:p w14:paraId="1E9A27C2" w14:textId="0AAF73F0" w:rsidR="00B8543B" w:rsidRPr="005835DE" w:rsidRDefault="00332E33" w:rsidP="00B8543B">
            <w:pPr>
              <w:tabs>
                <w:tab w:val="center" w:pos="284"/>
              </w:tabs>
              <w:overflowPunct w:val="0"/>
              <w:autoSpaceDE w:val="0"/>
              <w:autoSpaceDN w:val="0"/>
              <w:adjustRightInd w:val="0"/>
              <w:ind w:left="266" w:hanging="266"/>
              <w:textAlignment w:val="baseline"/>
              <w:rPr>
                <w:b/>
              </w:rPr>
            </w:pPr>
            <w:r w:rsidRPr="005835DE">
              <w:rPr>
                <w:b/>
              </w:rPr>
              <w:t>Correlatrice</w:t>
            </w:r>
          </w:p>
        </w:tc>
        <w:tc>
          <w:tcPr>
            <w:tcW w:w="7229" w:type="dxa"/>
          </w:tcPr>
          <w:p w14:paraId="1AF40855" w14:textId="0FB33EB3" w:rsidR="00F104CA" w:rsidRPr="005835DE" w:rsidRDefault="00B8543B" w:rsidP="00906676">
            <w:pPr>
              <w:tabs>
                <w:tab w:val="center" w:pos="284"/>
              </w:tabs>
              <w:overflowPunct w:val="0"/>
              <w:autoSpaceDE w:val="0"/>
              <w:autoSpaceDN w:val="0"/>
              <w:adjustRightInd w:val="0"/>
              <w:ind w:left="266" w:hanging="266"/>
              <w:textAlignment w:val="baseline"/>
            </w:pPr>
            <w:r w:rsidRPr="005835DE">
              <w:t>Alena MASTANTUONO (Datori di lavoro - CZ)</w:t>
            </w:r>
          </w:p>
        </w:tc>
      </w:tr>
      <w:tr w:rsidR="00906676" w:rsidRPr="005835DE" w14:paraId="6028882B" w14:textId="77777777" w:rsidTr="0036489A">
        <w:tc>
          <w:tcPr>
            <w:tcW w:w="1951" w:type="dxa"/>
          </w:tcPr>
          <w:p w14:paraId="0C68E343" w14:textId="77777777" w:rsidR="00906676" w:rsidRPr="005835DE" w:rsidRDefault="00906676" w:rsidP="00B8543B">
            <w:pPr>
              <w:tabs>
                <w:tab w:val="center" w:pos="284"/>
              </w:tabs>
              <w:overflowPunct w:val="0"/>
              <w:autoSpaceDE w:val="0"/>
              <w:autoSpaceDN w:val="0"/>
              <w:adjustRightInd w:val="0"/>
              <w:ind w:left="266" w:hanging="266"/>
              <w:textAlignment w:val="baseline"/>
              <w:rPr>
                <w:b/>
                <w:sz w:val="16"/>
                <w:szCs w:val="16"/>
              </w:rPr>
            </w:pPr>
          </w:p>
        </w:tc>
        <w:tc>
          <w:tcPr>
            <w:tcW w:w="7229" w:type="dxa"/>
          </w:tcPr>
          <w:p w14:paraId="2EE34706" w14:textId="77777777" w:rsidR="00906676" w:rsidRPr="005835DE" w:rsidRDefault="00906676" w:rsidP="00906676">
            <w:pPr>
              <w:tabs>
                <w:tab w:val="center" w:pos="284"/>
              </w:tabs>
              <w:overflowPunct w:val="0"/>
              <w:autoSpaceDE w:val="0"/>
              <w:autoSpaceDN w:val="0"/>
              <w:adjustRightInd w:val="0"/>
              <w:ind w:left="266" w:hanging="266"/>
              <w:textAlignment w:val="baseline"/>
              <w:rPr>
                <w:sz w:val="16"/>
                <w:szCs w:val="16"/>
              </w:rPr>
            </w:pPr>
          </w:p>
        </w:tc>
      </w:tr>
      <w:tr w:rsidR="00B8543B" w:rsidRPr="005835DE" w14:paraId="6C9EC1C7" w14:textId="77777777" w:rsidTr="0036489A">
        <w:tc>
          <w:tcPr>
            <w:tcW w:w="1951" w:type="dxa"/>
          </w:tcPr>
          <w:p w14:paraId="081DEE58" w14:textId="77777777" w:rsidR="00B8543B" w:rsidRPr="005835DE" w:rsidRDefault="00B8543B" w:rsidP="00B8543B">
            <w:pPr>
              <w:tabs>
                <w:tab w:val="center" w:pos="284"/>
              </w:tabs>
              <w:overflowPunct w:val="0"/>
              <w:autoSpaceDE w:val="0"/>
              <w:autoSpaceDN w:val="0"/>
              <w:adjustRightInd w:val="0"/>
              <w:ind w:left="266" w:hanging="266"/>
              <w:textAlignment w:val="baseline"/>
              <w:rPr>
                <w:b/>
              </w:rPr>
            </w:pPr>
            <w:r w:rsidRPr="005835DE">
              <w:rPr>
                <w:b/>
              </w:rPr>
              <w:t>Riferimento</w:t>
            </w:r>
          </w:p>
        </w:tc>
        <w:tc>
          <w:tcPr>
            <w:tcW w:w="7229" w:type="dxa"/>
          </w:tcPr>
          <w:p w14:paraId="7F4D4FA0" w14:textId="77777777" w:rsidR="00B8543B" w:rsidRPr="005835DE" w:rsidRDefault="00B8543B" w:rsidP="00B8543B">
            <w:pPr>
              <w:tabs>
                <w:tab w:val="center" w:pos="284"/>
              </w:tabs>
              <w:overflowPunct w:val="0"/>
              <w:autoSpaceDE w:val="0"/>
              <w:autoSpaceDN w:val="0"/>
              <w:adjustRightInd w:val="0"/>
              <w:ind w:left="266" w:hanging="266"/>
              <w:textAlignment w:val="baseline"/>
            </w:pPr>
            <w:r w:rsidRPr="005835DE">
              <w:t>COM(2025) 315 final</w:t>
            </w:r>
          </w:p>
          <w:p w14:paraId="53F4AD07" w14:textId="77777777" w:rsidR="00B8543B" w:rsidRPr="005835DE" w:rsidRDefault="00B8543B" w:rsidP="00B8543B">
            <w:pPr>
              <w:tabs>
                <w:tab w:val="center" w:pos="284"/>
              </w:tabs>
              <w:overflowPunct w:val="0"/>
              <w:autoSpaceDE w:val="0"/>
              <w:autoSpaceDN w:val="0"/>
              <w:adjustRightInd w:val="0"/>
              <w:ind w:left="266" w:hanging="266"/>
              <w:textAlignment w:val="baseline"/>
            </w:pPr>
            <w:r w:rsidRPr="005835DE">
              <w:t>EESC-2025-02173-00-00-AC</w:t>
            </w:r>
          </w:p>
        </w:tc>
      </w:tr>
    </w:tbl>
    <w:p w14:paraId="217CE023" w14:textId="77777777" w:rsidR="00B8543B" w:rsidRPr="005835DE" w:rsidRDefault="00B8543B" w:rsidP="00B8543B">
      <w:pPr>
        <w:tabs>
          <w:tab w:val="center" w:pos="284"/>
        </w:tabs>
        <w:overflowPunct w:val="0"/>
        <w:autoSpaceDE w:val="0"/>
        <w:autoSpaceDN w:val="0"/>
        <w:adjustRightInd w:val="0"/>
        <w:ind w:left="266" w:hanging="266"/>
        <w:textAlignment w:val="baseline"/>
        <w:rPr>
          <w:lang w:val="pt-PT"/>
        </w:rPr>
      </w:pPr>
    </w:p>
    <w:p w14:paraId="4EAF6778" w14:textId="77777777" w:rsidR="00B8543B" w:rsidRPr="005835DE" w:rsidRDefault="00B8543B" w:rsidP="00B8543B">
      <w:pPr>
        <w:keepNext/>
        <w:keepLines/>
        <w:tabs>
          <w:tab w:val="center" w:pos="284"/>
        </w:tabs>
        <w:overflowPunct w:val="0"/>
        <w:autoSpaceDE w:val="0"/>
        <w:autoSpaceDN w:val="0"/>
        <w:adjustRightInd w:val="0"/>
        <w:ind w:left="266" w:hanging="266"/>
        <w:textAlignment w:val="baseline"/>
        <w:rPr>
          <w:b/>
        </w:rPr>
      </w:pPr>
      <w:r w:rsidRPr="005835DE">
        <w:rPr>
          <w:b/>
        </w:rPr>
        <w:t>Punti principali</w:t>
      </w:r>
    </w:p>
    <w:p w14:paraId="3A214EBF" w14:textId="77777777" w:rsidR="00B8543B" w:rsidRPr="005835DE" w:rsidRDefault="00B8543B" w:rsidP="00B8543B">
      <w:pPr>
        <w:keepNext/>
        <w:keepLines/>
        <w:tabs>
          <w:tab w:val="center" w:pos="284"/>
        </w:tabs>
        <w:overflowPunct w:val="0"/>
        <w:autoSpaceDE w:val="0"/>
        <w:autoSpaceDN w:val="0"/>
        <w:adjustRightInd w:val="0"/>
        <w:ind w:left="266" w:hanging="266"/>
        <w:textAlignment w:val="baseline"/>
        <w:rPr>
          <w:b/>
          <w:lang w:val="en-GB"/>
        </w:rPr>
      </w:pPr>
    </w:p>
    <w:p w14:paraId="2AD6BB4C" w14:textId="77777777" w:rsidR="00B8543B" w:rsidRPr="005835DE" w:rsidRDefault="00B8543B" w:rsidP="00B8543B">
      <w:pPr>
        <w:overflowPunct w:val="0"/>
        <w:autoSpaceDE w:val="0"/>
        <w:autoSpaceDN w:val="0"/>
        <w:adjustRightInd w:val="0"/>
        <w:textAlignment w:val="baseline"/>
        <w:rPr>
          <w:bCs/>
          <w:iCs/>
        </w:rPr>
      </w:pPr>
      <w:r w:rsidRPr="005835DE">
        <w:t>Il CESE:</w:t>
      </w:r>
    </w:p>
    <w:p w14:paraId="00EA794C" w14:textId="77777777" w:rsidR="00F104CA" w:rsidRPr="005835DE" w:rsidRDefault="00F104CA" w:rsidP="00B8543B">
      <w:pPr>
        <w:overflowPunct w:val="0"/>
        <w:autoSpaceDE w:val="0"/>
        <w:autoSpaceDN w:val="0"/>
        <w:adjustRightInd w:val="0"/>
        <w:textAlignment w:val="baseline"/>
        <w:rPr>
          <w:bCs/>
          <w:iCs/>
          <w:lang w:val="en-GB"/>
        </w:rPr>
      </w:pPr>
    </w:p>
    <w:p w14:paraId="0ADC1825" w14:textId="77777777" w:rsidR="00B8543B" w:rsidRPr="005835DE" w:rsidRDefault="00B8543B" w:rsidP="00556EC8">
      <w:pPr>
        <w:widowControl w:val="0"/>
        <w:numPr>
          <w:ilvl w:val="0"/>
          <w:numId w:val="23"/>
        </w:numPr>
        <w:overflowPunct w:val="0"/>
        <w:autoSpaceDE w:val="0"/>
        <w:autoSpaceDN w:val="0"/>
        <w:adjustRightInd w:val="0"/>
        <w:ind w:left="426" w:hanging="426"/>
        <w:textAlignment w:val="baseline"/>
        <w:rPr>
          <w:bCs/>
          <w:iCs/>
        </w:rPr>
      </w:pPr>
      <w:r w:rsidRPr="005835DE">
        <w:t>ritiene che l'energia nucleare svolga e continuerà a svolgere un ruolo cruciale nella decarbonizzazione del continente europeo e nel rafforzamento della propria autonomia strategica nei settori dell'energia e della tecnologia;</w:t>
      </w:r>
    </w:p>
    <w:p w14:paraId="38970C7F" w14:textId="77777777" w:rsidR="00B8543B" w:rsidRPr="005835DE" w:rsidRDefault="00B8543B" w:rsidP="00556EC8">
      <w:pPr>
        <w:widowControl w:val="0"/>
        <w:numPr>
          <w:ilvl w:val="0"/>
          <w:numId w:val="23"/>
        </w:numPr>
        <w:overflowPunct w:val="0"/>
        <w:autoSpaceDE w:val="0"/>
        <w:autoSpaceDN w:val="0"/>
        <w:adjustRightInd w:val="0"/>
        <w:ind w:left="426" w:hanging="426"/>
        <w:textAlignment w:val="baseline"/>
        <w:rPr>
          <w:bCs/>
          <w:iCs/>
        </w:rPr>
      </w:pPr>
      <w:r w:rsidRPr="005835DE">
        <w:t>raccomanda di applicare per gli investimenti nel settore dell'energia nucleare le stesse condizioni utilizzate per le energie rinnovabili;</w:t>
      </w:r>
    </w:p>
    <w:p w14:paraId="15C741CD" w14:textId="77777777" w:rsidR="00B8543B" w:rsidRPr="005835DE" w:rsidRDefault="00B8543B" w:rsidP="00556EC8">
      <w:pPr>
        <w:widowControl w:val="0"/>
        <w:numPr>
          <w:ilvl w:val="0"/>
          <w:numId w:val="23"/>
        </w:numPr>
        <w:overflowPunct w:val="0"/>
        <w:autoSpaceDE w:val="0"/>
        <w:autoSpaceDN w:val="0"/>
        <w:adjustRightInd w:val="0"/>
        <w:ind w:left="426" w:hanging="426"/>
        <w:textAlignment w:val="baseline"/>
        <w:rPr>
          <w:bCs/>
          <w:iCs/>
        </w:rPr>
      </w:pPr>
      <w:r w:rsidRPr="005835DE">
        <w:t>invita ad accelerare gli investimenti attraverso misure finanziarie e normative specifiche, come un processo semplificato in materia di aiuti di Stato, l'accesso ai fondi di coesione dell'UE, finanziamenti sostenibili, procedure di concessione delle licenze e decisioni più rapide a livello nazionale e dell'UE;</w:t>
      </w:r>
    </w:p>
    <w:p w14:paraId="18340AE6" w14:textId="77777777" w:rsidR="00B8543B" w:rsidRPr="005835DE" w:rsidRDefault="00B8543B" w:rsidP="00556EC8">
      <w:pPr>
        <w:widowControl w:val="0"/>
        <w:numPr>
          <w:ilvl w:val="0"/>
          <w:numId w:val="23"/>
        </w:numPr>
        <w:overflowPunct w:val="0"/>
        <w:autoSpaceDE w:val="0"/>
        <w:autoSpaceDN w:val="0"/>
        <w:adjustRightInd w:val="0"/>
        <w:ind w:left="426" w:hanging="426"/>
        <w:textAlignment w:val="baseline"/>
        <w:rPr>
          <w:bCs/>
          <w:iCs/>
        </w:rPr>
      </w:pPr>
      <w:r w:rsidRPr="005835DE">
        <w:t>ritiene che il dialogo con la società civile sia fondamentale per rafforzare la fiducia, la titolarità e l'accettazione sociale;</w:t>
      </w:r>
    </w:p>
    <w:p w14:paraId="1F92E097" w14:textId="77777777" w:rsidR="00B8543B" w:rsidRPr="005835DE" w:rsidRDefault="00B8543B" w:rsidP="00556EC8">
      <w:pPr>
        <w:widowControl w:val="0"/>
        <w:numPr>
          <w:ilvl w:val="0"/>
          <w:numId w:val="23"/>
        </w:numPr>
        <w:overflowPunct w:val="0"/>
        <w:autoSpaceDE w:val="0"/>
        <w:autoSpaceDN w:val="0"/>
        <w:adjustRightInd w:val="0"/>
        <w:ind w:left="426" w:hanging="426"/>
        <w:textAlignment w:val="baseline"/>
        <w:rPr>
          <w:bCs/>
          <w:iCs/>
        </w:rPr>
      </w:pPr>
      <w:r w:rsidRPr="005835DE">
        <w:t>chiede il rafforzamento della cooperazione in materia di regolamentazione tra gli Stati membri;</w:t>
      </w:r>
    </w:p>
    <w:p w14:paraId="60BEBBD3" w14:textId="77777777" w:rsidR="00B8543B" w:rsidRPr="005835DE" w:rsidRDefault="00B8543B" w:rsidP="00556EC8">
      <w:pPr>
        <w:widowControl w:val="0"/>
        <w:numPr>
          <w:ilvl w:val="0"/>
          <w:numId w:val="23"/>
        </w:numPr>
        <w:overflowPunct w:val="0"/>
        <w:autoSpaceDE w:val="0"/>
        <w:autoSpaceDN w:val="0"/>
        <w:adjustRightInd w:val="0"/>
        <w:ind w:left="426" w:hanging="426"/>
        <w:textAlignment w:val="baseline"/>
      </w:pPr>
      <w:r w:rsidRPr="005835DE">
        <w:t>raccomanda di tenere conto del ruolo svolto dall'energia nucleare nella stabilizzazione della rete e chiede che al PINC sia aggiunto un calcolo dei costi sistemici evitati grazie all'energia nucleare.</w:t>
      </w:r>
    </w:p>
    <w:p w14:paraId="1038659F" w14:textId="77777777" w:rsidR="00B8543B" w:rsidRPr="005835DE" w:rsidRDefault="00B8543B" w:rsidP="00F104CA">
      <w:pPr>
        <w:widowControl w:val="0"/>
        <w:overflowPunct w:val="0"/>
        <w:autoSpaceDE w:val="0"/>
        <w:autoSpaceDN w:val="0"/>
        <w:adjustRightInd w:val="0"/>
        <w:ind w:left="284" w:hanging="284"/>
        <w:textAlignment w:val="baseline"/>
        <w:rPr>
          <w:szCs w:val="20"/>
          <w:lang w:val="en-GB"/>
        </w:rPr>
      </w:pPr>
    </w:p>
    <w:tbl>
      <w:tblPr>
        <w:tblStyle w:val="TableGrid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1"/>
        <w:gridCol w:w="7142"/>
      </w:tblGrid>
      <w:tr w:rsidR="00B8543B" w:rsidRPr="005835DE" w14:paraId="1A87DBFF" w14:textId="77777777" w:rsidTr="0036489A">
        <w:tc>
          <w:tcPr>
            <w:tcW w:w="1951" w:type="dxa"/>
          </w:tcPr>
          <w:p w14:paraId="5E9F41AD" w14:textId="77777777" w:rsidR="00B8543B" w:rsidRPr="005835DE" w:rsidRDefault="00B8543B" w:rsidP="00B8543B">
            <w:pPr>
              <w:overflowPunct w:val="0"/>
              <w:autoSpaceDE w:val="0"/>
              <w:autoSpaceDN w:val="0"/>
              <w:adjustRightInd w:val="0"/>
              <w:textAlignment w:val="baseline"/>
              <w:rPr>
                <w:i/>
              </w:rPr>
            </w:pPr>
            <w:r w:rsidRPr="005835DE">
              <w:rPr>
                <w:b/>
                <w:i/>
              </w:rPr>
              <w:t>Contatto</w:t>
            </w:r>
          </w:p>
        </w:tc>
        <w:tc>
          <w:tcPr>
            <w:tcW w:w="7229" w:type="dxa"/>
          </w:tcPr>
          <w:p w14:paraId="1EA77D8A" w14:textId="6DF16979" w:rsidR="00B8543B" w:rsidRPr="005835DE" w:rsidRDefault="00B8543B" w:rsidP="00B8543B">
            <w:pPr>
              <w:overflowPunct w:val="0"/>
              <w:autoSpaceDE w:val="0"/>
              <w:autoSpaceDN w:val="0"/>
              <w:adjustRightInd w:val="0"/>
              <w:textAlignment w:val="baseline"/>
              <w:rPr>
                <w:i/>
              </w:rPr>
            </w:pPr>
            <w:r w:rsidRPr="005835DE">
              <w:rPr>
                <w:i/>
              </w:rPr>
              <w:t>Albert PRECUP</w:t>
            </w:r>
          </w:p>
        </w:tc>
      </w:tr>
      <w:tr w:rsidR="00B8543B" w:rsidRPr="005835DE" w14:paraId="3CDABFB0" w14:textId="77777777" w:rsidTr="0036489A">
        <w:tc>
          <w:tcPr>
            <w:tcW w:w="1951" w:type="dxa"/>
          </w:tcPr>
          <w:p w14:paraId="690F7657" w14:textId="77777777" w:rsidR="00B8543B" w:rsidRPr="005835DE" w:rsidRDefault="00B8543B" w:rsidP="00B8543B">
            <w:pPr>
              <w:overflowPunct w:val="0"/>
              <w:autoSpaceDE w:val="0"/>
              <w:autoSpaceDN w:val="0"/>
              <w:adjustRightInd w:val="0"/>
              <w:textAlignment w:val="baseline"/>
              <w:rPr>
                <w:i/>
              </w:rPr>
            </w:pPr>
            <w:r w:rsidRPr="005835DE">
              <w:rPr>
                <w:i/>
              </w:rPr>
              <w:t>Tel.</w:t>
            </w:r>
          </w:p>
        </w:tc>
        <w:tc>
          <w:tcPr>
            <w:tcW w:w="7229" w:type="dxa"/>
          </w:tcPr>
          <w:p w14:paraId="113BC3FF" w14:textId="77777777" w:rsidR="00B8543B" w:rsidRPr="005835DE" w:rsidRDefault="00B8543B" w:rsidP="00B8543B">
            <w:pPr>
              <w:overflowPunct w:val="0"/>
              <w:autoSpaceDE w:val="0"/>
              <w:autoSpaceDN w:val="0"/>
              <w:adjustRightInd w:val="0"/>
              <w:textAlignment w:val="baseline"/>
              <w:rPr>
                <w:i/>
              </w:rPr>
            </w:pPr>
            <w:r w:rsidRPr="005835DE">
              <w:rPr>
                <w:i/>
              </w:rPr>
              <w:t>+32 25469326</w:t>
            </w:r>
          </w:p>
        </w:tc>
      </w:tr>
      <w:tr w:rsidR="00B8543B" w:rsidRPr="005835DE" w14:paraId="358EB551" w14:textId="77777777" w:rsidTr="0036489A">
        <w:tc>
          <w:tcPr>
            <w:tcW w:w="1951" w:type="dxa"/>
          </w:tcPr>
          <w:p w14:paraId="2EF8A9AA" w14:textId="40C4DA7E" w:rsidR="00B8543B" w:rsidRPr="005835DE" w:rsidRDefault="00332E33" w:rsidP="00B8543B">
            <w:pPr>
              <w:overflowPunct w:val="0"/>
              <w:autoSpaceDE w:val="0"/>
              <w:autoSpaceDN w:val="0"/>
              <w:adjustRightInd w:val="0"/>
              <w:textAlignment w:val="baseline"/>
              <w:rPr>
                <w:i/>
              </w:rPr>
            </w:pPr>
            <w:r w:rsidRPr="005835DE">
              <w:rPr>
                <w:i/>
              </w:rPr>
              <w:t>E</w:t>
            </w:r>
            <w:r w:rsidR="00B8543B" w:rsidRPr="005835DE">
              <w:rPr>
                <w:i/>
              </w:rPr>
              <w:t>-mail</w:t>
            </w:r>
          </w:p>
        </w:tc>
        <w:tc>
          <w:tcPr>
            <w:tcW w:w="7229" w:type="dxa"/>
          </w:tcPr>
          <w:p w14:paraId="1491B9B9" w14:textId="77777777" w:rsidR="00B8543B" w:rsidRPr="005835DE" w:rsidRDefault="00520E78" w:rsidP="00B8543B">
            <w:pPr>
              <w:overflowPunct w:val="0"/>
              <w:autoSpaceDE w:val="0"/>
              <w:autoSpaceDN w:val="0"/>
              <w:adjustRightInd w:val="0"/>
              <w:textAlignment w:val="baseline"/>
              <w:rPr>
                <w:i/>
              </w:rPr>
            </w:pPr>
            <w:hyperlink r:id="rId33" w:history="1">
              <w:r w:rsidR="00A27BD2" w:rsidRPr="005835DE">
                <w:rPr>
                  <w:i/>
                  <w:color w:val="0000FF"/>
                  <w:u w:val="single"/>
                </w:rPr>
                <w:t>Albert.Precup@eesc.europa.eu</w:t>
              </w:r>
            </w:hyperlink>
          </w:p>
        </w:tc>
      </w:tr>
    </w:tbl>
    <w:p w14:paraId="4C06F621" w14:textId="77777777" w:rsidR="004D7AC0" w:rsidRPr="005835DE" w:rsidRDefault="004D7AC0" w:rsidP="004D7AC0">
      <w:pPr>
        <w:pStyle w:val="ListParagraph"/>
        <w:ind w:left="0"/>
      </w:pPr>
    </w:p>
    <w:p w14:paraId="4982DDF2" w14:textId="0D337987" w:rsidR="00BC676C" w:rsidRPr="005835DE" w:rsidRDefault="004D7AC0">
      <w:pPr>
        <w:spacing w:after="160" w:line="259" w:lineRule="auto"/>
        <w:jc w:val="left"/>
      </w:pPr>
      <w:r w:rsidRPr="005835DE">
        <w:br w:type="page"/>
      </w:r>
    </w:p>
    <w:p w14:paraId="4982DDF3" w14:textId="42AB350D" w:rsidR="004D7AC0" w:rsidRPr="005835DE" w:rsidRDefault="004D7AC0" w:rsidP="004D7AC0">
      <w:pPr>
        <w:pStyle w:val="Heading1"/>
        <w:rPr>
          <w:b/>
        </w:rPr>
      </w:pPr>
      <w:bookmarkStart w:id="10" w:name="_Toc75527083"/>
      <w:bookmarkStart w:id="11" w:name="_Toc216702594"/>
      <w:r w:rsidRPr="005835DE">
        <w:rPr>
          <w:b/>
        </w:rPr>
        <w:lastRenderedPageBreak/>
        <w:t xml:space="preserve">MERCATO UNICO, PRODUZIONE </w:t>
      </w:r>
      <w:r w:rsidR="00332E33" w:rsidRPr="005835DE">
        <w:rPr>
          <w:b/>
        </w:rPr>
        <w:t>E</w:t>
      </w:r>
      <w:r w:rsidRPr="005835DE">
        <w:rPr>
          <w:b/>
        </w:rPr>
        <w:t xml:space="preserve"> CONSUMO</w:t>
      </w:r>
      <w:bookmarkEnd w:id="10"/>
      <w:bookmarkEnd w:id="11"/>
    </w:p>
    <w:p w14:paraId="4982DDF4" w14:textId="77777777" w:rsidR="004D7AC0" w:rsidRPr="005835DE" w:rsidRDefault="004D7AC0" w:rsidP="004D7AC0"/>
    <w:p w14:paraId="5D547137" w14:textId="2DA503B9" w:rsidR="00465162" w:rsidRPr="005835DE" w:rsidRDefault="00520E78" w:rsidP="00465162">
      <w:pPr>
        <w:widowControl w:val="0"/>
        <w:numPr>
          <w:ilvl w:val="0"/>
          <w:numId w:val="4"/>
        </w:numPr>
        <w:overflowPunct w:val="0"/>
        <w:autoSpaceDE w:val="0"/>
        <w:autoSpaceDN w:val="0"/>
        <w:adjustRightInd w:val="0"/>
        <w:ind w:hanging="567"/>
        <w:textAlignment w:val="baseline"/>
        <w:rPr>
          <w:sz w:val="28"/>
          <w:szCs w:val="28"/>
        </w:rPr>
      </w:pPr>
      <w:hyperlink r:id="rId34" w:history="1">
        <w:r w:rsidR="00332E33" w:rsidRPr="005835DE">
          <w:rPr>
            <w:b/>
            <w:i/>
            <w:color w:val="0000FF"/>
            <w:sz w:val="28"/>
            <w:szCs w:val="28"/>
            <w:u w:val="single"/>
          </w:rPr>
          <w:t>Strategia</w:t>
        </w:r>
        <w:r w:rsidR="00A27BD2" w:rsidRPr="005835DE">
          <w:rPr>
            <w:b/>
            <w:i/>
            <w:color w:val="0000FF"/>
            <w:sz w:val="28"/>
            <w:szCs w:val="28"/>
            <w:u w:val="single"/>
          </w:rPr>
          <w:t xml:space="preserve"> per il mercato unico</w:t>
        </w:r>
      </w:hyperlink>
    </w:p>
    <w:p w14:paraId="0B883575" w14:textId="77777777" w:rsidR="00465162" w:rsidRPr="005835DE" w:rsidRDefault="00465162" w:rsidP="00465162">
      <w:pPr>
        <w:tabs>
          <w:tab w:val="center" w:pos="284"/>
        </w:tabs>
        <w:overflowPunct w:val="0"/>
        <w:autoSpaceDE w:val="0"/>
        <w:autoSpaceDN w:val="0"/>
        <w:adjustRightInd w:val="0"/>
        <w:ind w:left="266" w:hanging="266"/>
        <w:textAlignment w:val="baseline"/>
        <w:rPr>
          <w:b/>
          <w:lang w:val="en-GB"/>
        </w:rPr>
      </w:pPr>
    </w:p>
    <w:tbl>
      <w:tblPr>
        <w:tblStyle w:val="TableGrid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521"/>
      </w:tblGrid>
      <w:tr w:rsidR="00465162" w:rsidRPr="005835DE" w14:paraId="79DD90B6" w14:textId="77777777" w:rsidTr="0036489A">
        <w:tc>
          <w:tcPr>
            <w:tcW w:w="1701" w:type="dxa"/>
          </w:tcPr>
          <w:p w14:paraId="03778141" w14:textId="77777777" w:rsidR="00465162" w:rsidRPr="005835DE" w:rsidRDefault="00465162" w:rsidP="00465162">
            <w:pPr>
              <w:tabs>
                <w:tab w:val="center" w:pos="284"/>
              </w:tabs>
              <w:overflowPunct w:val="0"/>
              <w:autoSpaceDE w:val="0"/>
              <w:autoSpaceDN w:val="0"/>
              <w:adjustRightInd w:val="0"/>
              <w:ind w:left="266" w:hanging="266"/>
              <w:textAlignment w:val="baseline"/>
              <w:rPr>
                <w:b/>
              </w:rPr>
            </w:pPr>
            <w:r w:rsidRPr="005835DE">
              <w:rPr>
                <w:b/>
              </w:rPr>
              <w:t>Relatori</w:t>
            </w:r>
          </w:p>
        </w:tc>
        <w:tc>
          <w:tcPr>
            <w:tcW w:w="6521" w:type="dxa"/>
          </w:tcPr>
          <w:p w14:paraId="1AA6537D" w14:textId="384B5F9A" w:rsidR="00465162" w:rsidRPr="005835DE" w:rsidRDefault="00465162" w:rsidP="00465162">
            <w:pPr>
              <w:tabs>
                <w:tab w:val="center" w:pos="284"/>
              </w:tabs>
              <w:overflowPunct w:val="0"/>
              <w:autoSpaceDE w:val="0"/>
              <w:autoSpaceDN w:val="0"/>
              <w:adjustRightInd w:val="0"/>
              <w:ind w:left="266" w:hanging="266"/>
              <w:textAlignment w:val="baseline"/>
            </w:pPr>
            <w:r w:rsidRPr="005835DE">
              <w:t>Emilie PROUZET (Datori di lavoro - FR)</w:t>
            </w:r>
          </w:p>
        </w:tc>
      </w:tr>
      <w:tr w:rsidR="00465162" w:rsidRPr="005835DE" w14:paraId="60565F73" w14:textId="77777777" w:rsidTr="0036489A">
        <w:tc>
          <w:tcPr>
            <w:tcW w:w="1701" w:type="dxa"/>
          </w:tcPr>
          <w:p w14:paraId="4405A00F" w14:textId="77777777" w:rsidR="00465162" w:rsidRPr="005835DE" w:rsidRDefault="00465162" w:rsidP="00465162">
            <w:pPr>
              <w:tabs>
                <w:tab w:val="center" w:pos="284"/>
              </w:tabs>
              <w:overflowPunct w:val="0"/>
              <w:autoSpaceDE w:val="0"/>
              <w:autoSpaceDN w:val="0"/>
              <w:adjustRightInd w:val="0"/>
              <w:ind w:left="266" w:hanging="266"/>
              <w:textAlignment w:val="baseline"/>
              <w:rPr>
                <w:b/>
              </w:rPr>
            </w:pPr>
          </w:p>
        </w:tc>
        <w:tc>
          <w:tcPr>
            <w:tcW w:w="6521" w:type="dxa"/>
          </w:tcPr>
          <w:p w14:paraId="26DA48BA" w14:textId="3E9F6386" w:rsidR="00465162" w:rsidRPr="005835DE" w:rsidRDefault="00465162" w:rsidP="00465162">
            <w:pPr>
              <w:tabs>
                <w:tab w:val="center" w:pos="284"/>
              </w:tabs>
              <w:overflowPunct w:val="0"/>
              <w:autoSpaceDE w:val="0"/>
              <w:autoSpaceDN w:val="0"/>
              <w:adjustRightInd w:val="0"/>
              <w:ind w:left="266" w:hanging="266"/>
              <w:textAlignment w:val="baseline"/>
            </w:pPr>
            <w:r w:rsidRPr="005835DE">
              <w:t>Angelo PAGLIARA (Lavoratori - IT)</w:t>
            </w:r>
          </w:p>
          <w:p w14:paraId="1F24C2EA" w14:textId="03B9D796" w:rsidR="00465162" w:rsidRPr="005835DE" w:rsidRDefault="00465162" w:rsidP="00465162">
            <w:pPr>
              <w:tabs>
                <w:tab w:val="center" w:pos="284"/>
              </w:tabs>
              <w:overflowPunct w:val="0"/>
              <w:autoSpaceDE w:val="0"/>
              <w:autoSpaceDN w:val="0"/>
              <w:adjustRightInd w:val="0"/>
              <w:ind w:left="266" w:hanging="266"/>
              <w:textAlignment w:val="baseline"/>
            </w:pPr>
            <w:r w:rsidRPr="005835DE">
              <w:t>Giuseppe GUERINI (Organizzazioni della società civile - IT)</w:t>
            </w:r>
          </w:p>
        </w:tc>
      </w:tr>
      <w:tr w:rsidR="00465162" w:rsidRPr="005835DE" w14:paraId="39372820" w14:textId="77777777" w:rsidTr="0036489A">
        <w:tc>
          <w:tcPr>
            <w:tcW w:w="8222" w:type="dxa"/>
            <w:gridSpan w:val="2"/>
          </w:tcPr>
          <w:p w14:paraId="6C98B3D0" w14:textId="77777777" w:rsidR="00465162" w:rsidRPr="005835DE" w:rsidRDefault="00465162" w:rsidP="00465162">
            <w:pPr>
              <w:tabs>
                <w:tab w:val="center" w:pos="284"/>
              </w:tabs>
              <w:overflowPunct w:val="0"/>
              <w:autoSpaceDE w:val="0"/>
              <w:autoSpaceDN w:val="0"/>
              <w:adjustRightInd w:val="0"/>
              <w:spacing w:line="160" w:lineRule="exact"/>
              <w:ind w:left="266" w:hanging="266"/>
              <w:textAlignment w:val="baseline"/>
              <w:rPr>
                <w:sz w:val="16"/>
                <w:szCs w:val="16"/>
              </w:rPr>
            </w:pPr>
          </w:p>
        </w:tc>
      </w:tr>
      <w:tr w:rsidR="00465162" w:rsidRPr="005835DE" w14:paraId="7C667684" w14:textId="77777777" w:rsidTr="0036489A">
        <w:tc>
          <w:tcPr>
            <w:tcW w:w="1701" w:type="dxa"/>
            <w:vMerge w:val="restart"/>
          </w:tcPr>
          <w:p w14:paraId="140B2D51" w14:textId="77777777" w:rsidR="00465162" w:rsidRPr="005835DE" w:rsidRDefault="00465162" w:rsidP="00465162">
            <w:pPr>
              <w:tabs>
                <w:tab w:val="center" w:pos="284"/>
              </w:tabs>
              <w:overflowPunct w:val="0"/>
              <w:autoSpaceDE w:val="0"/>
              <w:autoSpaceDN w:val="0"/>
              <w:adjustRightInd w:val="0"/>
              <w:ind w:left="266" w:hanging="266"/>
              <w:textAlignment w:val="baseline"/>
              <w:rPr>
                <w:b/>
              </w:rPr>
            </w:pPr>
            <w:r w:rsidRPr="005835DE">
              <w:rPr>
                <w:b/>
              </w:rPr>
              <w:t>Riferimento</w:t>
            </w:r>
          </w:p>
        </w:tc>
        <w:tc>
          <w:tcPr>
            <w:tcW w:w="6521" w:type="dxa"/>
          </w:tcPr>
          <w:p w14:paraId="0BD6402A" w14:textId="77777777" w:rsidR="00465162" w:rsidRPr="005835DE" w:rsidRDefault="00465162" w:rsidP="00465162">
            <w:pPr>
              <w:tabs>
                <w:tab w:val="center" w:pos="284"/>
              </w:tabs>
              <w:overflowPunct w:val="0"/>
              <w:autoSpaceDE w:val="0"/>
              <w:autoSpaceDN w:val="0"/>
              <w:adjustRightInd w:val="0"/>
              <w:ind w:left="266" w:hanging="266"/>
              <w:textAlignment w:val="baseline"/>
            </w:pPr>
            <w:r w:rsidRPr="005835DE">
              <w:t>COM(2025) 500 final</w:t>
            </w:r>
          </w:p>
          <w:p w14:paraId="35684687" w14:textId="77777777" w:rsidR="00465162" w:rsidRPr="005835DE" w:rsidRDefault="00465162" w:rsidP="00465162">
            <w:pPr>
              <w:tabs>
                <w:tab w:val="center" w:pos="284"/>
              </w:tabs>
              <w:overflowPunct w:val="0"/>
              <w:autoSpaceDE w:val="0"/>
              <w:autoSpaceDN w:val="0"/>
              <w:adjustRightInd w:val="0"/>
              <w:ind w:left="266" w:hanging="266"/>
              <w:textAlignment w:val="baseline"/>
            </w:pPr>
            <w:r w:rsidRPr="005835DE">
              <w:t>EESC-2025-01859-00-00-AC</w:t>
            </w:r>
          </w:p>
        </w:tc>
      </w:tr>
      <w:tr w:rsidR="00465162" w:rsidRPr="005835DE" w14:paraId="3287886F" w14:textId="77777777" w:rsidTr="0036489A">
        <w:tc>
          <w:tcPr>
            <w:tcW w:w="1701" w:type="dxa"/>
            <w:vMerge/>
          </w:tcPr>
          <w:p w14:paraId="01DD9F1E" w14:textId="77777777" w:rsidR="00465162" w:rsidRPr="005835DE" w:rsidRDefault="00465162" w:rsidP="00465162">
            <w:pPr>
              <w:tabs>
                <w:tab w:val="center" w:pos="284"/>
              </w:tabs>
              <w:overflowPunct w:val="0"/>
              <w:autoSpaceDE w:val="0"/>
              <w:autoSpaceDN w:val="0"/>
              <w:adjustRightInd w:val="0"/>
              <w:ind w:left="266" w:hanging="266"/>
              <w:textAlignment w:val="baseline"/>
              <w:rPr>
                <w:b/>
              </w:rPr>
            </w:pPr>
          </w:p>
        </w:tc>
        <w:tc>
          <w:tcPr>
            <w:tcW w:w="6521" w:type="dxa"/>
          </w:tcPr>
          <w:p w14:paraId="2E2DEA70" w14:textId="77777777" w:rsidR="00465162" w:rsidRPr="005835DE" w:rsidRDefault="00465162" w:rsidP="00465162">
            <w:pPr>
              <w:tabs>
                <w:tab w:val="center" w:pos="284"/>
              </w:tabs>
              <w:overflowPunct w:val="0"/>
              <w:autoSpaceDE w:val="0"/>
              <w:autoSpaceDN w:val="0"/>
              <w:adjustRightInd w:val="0"/>
              <w:ind w:left="266" w:hanging="266"/>
              <w:textAlignment w:val="baseline"/>
            </w:pPr>
          </w:p>
        </w:tc>
      </w:tr>
    </w:tbl>
    <w:p w14:paraId="1489C838" w14:textId="77777777" w:rsidR="00465162" w:rsidRPr="005835DE" w:rsidRDefault="00465162" w:rsidP="00465162">
      <w:pPr>
        <w:keepNext/>
        <w:keepLines/>
        <w:tabs>
          <w:tab w:val="center" w:pos="284"/>
        </w:tabs>
        <w:overflowPunct w:val="0"/>
        <w:autoSpaceDE w:val="0"/>
        <w:autoSpaceDN w:val="0"/>
        <w:adjustRightInd w:val="0"/>
        <w:ind w:left="266" w:hanging="266"/>
        <w:textAlignment w:val="baseline"/>
        <w:rPr>
          <w:b/>
        </w:rPr>
      </w:pPr>
      <w:r w:rsidRPr="005835DE">
        <w:rPr>
          <w:b/>
        </w:rPr>
        <w:t>Punti principali</w:t>
      </w:r>
    </w:p>
    <w:p w14:paraId="04D2C12C" w14:textId="77777777" w:rsidR="00465162" w:rsidRPr="005835DE" w:rsidRDefault="00465162" w:rsidP="00465162">
      <w:pPr>
        <w:keepNext/>
        <w:keepLines/>
        <w:tabs>
          <w:tab w:val="center" w:pos="284"/>
        </w:tabs>
        <w:overflowPunct w:val="0"/>
        <w:autoSpaceDE w:val="0"/>
        <w:autoSpaceDN w:val="0"/>
        <w:adjustRightInd w:val="0"/>
        <w:ind w:left="266" w:hanging="266"/>
        <w:textAlignment w:val="baseline"/>
        <w:rPr>
          <w:b/>
          <w:lang w:val="en-GB"/>
        </w:rPr>
      </w:pPr>
    </w:p>
    <w:p w14:paraId="24496AA3" w14:textId="77777777" w:rsidR="00465162" w:rsidRPr="005835DE" w:rsidRDefault="00465162" w:rsidP="00465162">
      <w:pPr>
        <w:overflowPunct w:val="0"/>
        <w:autoSpaceDE w:val="0"/>
        <w:autoSpaceDN w:val="0"/>
        <w:adjustRightInd w:val="0"/>
        <w:textAlignment w:val="baseline"/>
        <w:rPr>
          <w:bCs/>
          <w:iCs/>
        </w:rPr>
      </w:pPr>
      <w:r w:rsidRPr="005835DE">
        <w:t>Il CESE:</w:t>
      </w:r>
    </w:p>
    <w:p w14:paraId="2F8CA4CA" w14:textId="77777777" w:rsidR="00465162" w:rsidRPr="005835DE" w:rsidRDefault="00465162" w:rsidP="00465162">
      <w:pPr>
        <w:overflowPunct w:val="0"/>
        <w:autoSpaceDE w:val="0"/>
        <w:autoSpaceDN w:val="0"/>
        <w:adjustRightInd w:val="0"/>
        <w:textAlignment w:val="baseline"/>
        <w:rPr>
          <w:bCs/>
          <w:iCs/>
          <w:lang w:val="en-GB"/>
        </w:rPr>
      </w:pPr>
    </w:p>
    <w:p w14:paraId="419AAE5A" w14:textId="77777777" w:rsidR="00465162" w:rsidRPr="005835DE" w:rsidRDefault="00465162" w:rsidP="009F1D56">
      <w:pPr>
        <w:widowControl w:val="0"/>
        <w:numPr>
          <w:ilvl w:val="0"/>
          <w:numId w:val="24"/>
        </w:numPr>
        <w:overflowPunct w:val="0"/>
        <w:autoSpaceDE w:val="0"/>
        <w:autoSpaceDN w:val="0"/>
        <w:adjustRightInd w:val="0"/>
        <w:ind w:left="426" w:hanging="426"/>
        <w:textAlignment w:val="baseline"/>
        <w:rPr>
          <w:bCs/>
          <w:iCs/>
        </w:rPr>
      </w:pPr>
      <w:r w:rsidRPr="005835DE">
        <w:t>concorda pienamente con le priorità individuate dalla Commissione europea, che rispondono alle sfide sollevate dalle parti interessate;</w:t>
      </w:r>
    </w:p>
    <w:p w14:paraId="634276BC" w14:textId="77777777" w:rsidR="00465162" w:rsidRPr="005835DE" w:rsidRDefault="00465162" w:rsidP="009F1D56">
      <w:pPr>
        <w:widowControl w:val="0"/>
        <w:numPr>
          <w:ilvl w:val="0"/>
          <w:numId w:val="24"/>
        </w:numPr>
        <w:overflowPunct w:val="0"/>
        <w:autoSpaceDE w:val="0"/>
        <w:autoSpaceDN w:val="0"/>
        <w:adjustRightInd w:val="0"/>
        <w:ind w:left="426" w:hanging="426"/>
        <w:textAlignment w:val="baseline"/>
        <w:rPr>
          <w:bCs/>
          <w:iCs/>
        </w:rPr>
      </w:pPr>
      <w:r w:rsidRPr="005835DE">
        <w:t>ribadisce che la semplificazione normativa deve essere attuata nel pieno rispetto dei diritti sociali e dei diritti dei lavoratori. È pertanto essenziale che i parlamenti europei e nazionali e le parti sociali siano strutturalmente coinvolti fin dalle prime fasi dell'iter legislativo;</w:t>
      </w:r>
    </w:p>
    <w:p w14:paraId="1A85E040" w14:textId="77777777" w:rsidR="00465162" w:rsidRPr="005835DE" w:rsidRDefault="00465162" w:rsidP="009F1D56">
      <w:pPr>
        <w:widowControl w:val="0"/>
        <w:numPr>
          <w:ilvl w:val="0"/>
          <w:numId w:val="24"/>
        </w:numPr>
        <w:overflowPunct w:val="0"/>
        <w:autoSpaceDE w:val="0"/>
        <w:autoSpaceDN w:val="0"/>
        <w:adjustRightInd w:val="0"/>
        <w:ind w:left="426" w:hanging="426"/>
        <w:textAlignment w:val="baseline"/>
        <w:rPr>
          <w:bCs/>
          <w:iCs/>
        </w:rPr>
      </w:pPr>
      <w:r w:rsidRPr="005835DE">
        <w:t>intende contribuire più attivamente alla governance del mercato unico, anche assumendo un ruolo rafforzato nell'ambito del processo della task force per l'applicazione delle norme sul mercato unico (Single Market Enforcement Taskforce - SMET);</w:t>
      </w:r>
    </w:p>
    <w:p w14:paraId="0DE50EC7" w14:textId="77777777" w:rsidR="00465162" w:rsidRPr="005835DE" w:rsidRDefault="00465162" w:rsidP="009F1D56">
      <w:pPr>
        <w:widowControl w:val="0"/>
        <w:numPr>
          <w:ilvl w:val="0"/>
          <w:numId w:val="24"/>
        </w:numPr>
        <w:overflowPunct w:val="0"/>
        <w:autoSpaceDE w:val="0"/>
        <w:autoSpaceDN w:val="0"/>
        <w:adjustRightInd w:val="0"/>
        <w:ind w:left="426" w:hanging="426"/>
        <w:textAlignment w:val="baseline"/>
        <w:rPr>
          <w:bCs/>
          <w:iCs/>
        </w:rPr>
      </w:pPr>
      <w:r w:rsidRPr="005835DE">
        <w:t>invita la Commissione a presentare proposte legislative volte ad affrontare le restrizioni territoriali dell'offerta e ad armonizzare l'etichettatura dei prodotti;</w:t>
      </w:r>
    </w:p>
    <w:p w14:paraId="3DC83A6A" w14:textId="77777777" w:rsidR="00465162" w:rsidRPr="005835DE" w:rsidRDefault="00465162" w:rsidP="009F1D56">
      <w:pPr>
        <w:widowControl w:val="0"/>
        <w:numPr>
          <w:ilvl w:val="0"/>
          <w:numId w:val="24"/>
        </w:numPr>
        <w:overflowPunct w:val="0"/>
        <w:autoSpaceDE w:val="0"/>
        <w:autoSpaceDN w:val="0"/>
        <w:adjustRightInd w:val="0"/>
        <w:ind w:left="426" w:hanging="426"/>
        <w:textAlignment w:val="baseline"/>
        <w:rPr>
          <w:bCs/>
          <w:iCs/>
        </w:rPr>
      </w:pPr>
      <w:r w:rsidRPr="005835DE">
        <w:t>accoglie con favore l'annuncio, da parte della Commissione, della proposta di un "28º regime" facoltativo per le imprese, ma sottolinea la necessità di prevedere garanzie efficaci contro i potenziali abusi;</w:t>
      </w:r>
    </w:p>
    <w:p w14:paraId="52044ED1" w14:textId="77777777" w:rsidR="00465162" w:rsidRPr="005835DE" w:rsidRDefault="00465162" w:rsidP="009F1D56">
      <w:pPr>
        <w:widowControl w:val="0"/>
        <w:numPr>
          <w:ilvl w:val="0"/>
          <w:numId w:val="24"/>
        </w:numPr>
        <w:overflowPunct w:val="0"/>
        <w:autoSpaceDE w:val="0"/>
        <w:autoSpaceDN w:val="0"/>
        <w:adjustRightInd w:val="0"/>
        <w:ind w:left="426" w:hanging="426"/>
        <w:textAlignment w:val="baseline"/>
        <w:rPr>
          <w:bCs/>
          <w:iCs/>
        </w:rPr>
      </w:pPr>
      <w:r w:rsidRPr="005835DE">
        <w:t>riconosce il ruolo chiave della normazione quale motore di integrazione e innovazione, ma pone l'accento sui principi di trasparenza, inclusività e partecipazione strutturata;</w:t>
      </w:r>
    </w:p>
    <w:p w14:paraId="4D4A10FA" w14:textId="77777777" w:rsidR="00465162" w:rsidRPr="005835DE" w:rsidRDefault="00465162" w:rsidP="009F1D56">
      <w:pPr>
        <w:widowControl w:val="0"/>
        <w:numPr>
          <w:ilvl w:val="0"/>
          <w:numId w:val="24"/>
        </w:numPr>
        <w:overflowPunct w:val="0"/>
        <w:autoSpaceDE w:val="0"/>
        <w:autoSpaceDN w:val="0"/>
        <w:adjustRightInd w:val="0"/>
        <w:ind w:left="426" w:hanging="426"/>
        <w:textAlignment w:val="baseline"/>
        <w:rPr>
          <w:bCs/>
          <w:iCs/>
        </w:rPr>
      </w:pPr>
      <w:r w:rsidRPr="005835DE">
        <w:t>è favorevole a semplificare il riconoscimento delle qualifiche professionali, anche per i cittadini di paesi terzi, ma dette qualifiche devono essere chiaramente definite, verificabili e di qualità comprovata;</w:t>
      </w:r>
    </w:p>
    <w:p w14:paraId="44855F90" w14:textId="77777777" w:rsidR="00465162" w:rsidRPr="005835DE" w:rsidRDefault="00465162" w:rsidP="009F1D56">
      <w:pPr>
        <w:widowControl w:val="0"/>
        <w:numPr>
          <w:ilvl w:val="0"/>
          <w:numId w:val="25"/>
        </w:numPr>
        <w:overflowPunct w:val="0"/>
        <w:autoSpaceDE w:val="0"/>
        <w:autoSpaceDN w:val="0"/>
        <w:adjustRightInd w:val="0"/>
        <w:ind w:left="426" w:hanging="426"/>
        <w:textAlignment w:val="baseline"/>
        <w:rPr>
          <w:bCs/>
          <w:iCs/>
        </w:rPr>
      </w:pPr>
      <w:r w:rsidRPr="005835DE">
        <w:t>sostiene il rafforzamento dell'Autorità europea del lavoro (ELA);</w:t>
      </w:r>
    </w:p>
    <w:p w14:paraId="36D1C1B4" w14:textId="77777777" w:rsidR="00465162" w:rsidRPr="005835DE" w:rsidRDefault="00465162" w:rsidP="009F1D56">
      <w:pPr>
        <w:widowControl w:val="0"/>
        <w:numPr>
          <w:ilvl w:val="0"/>
          <w:numId w:val="25"/>
        </w:numPr>
        <w:overflowPunct w:val="0"/>
        <w:autoSpaceDE w:val="0"/>
        <w:autoSpaceDN w:val="0"/>
        <w:adjustRightInd w:val="0"/>
        <w:ind w:left="426" w:hanging="426"/>
        <w:textAlignment w:val="baseline"/>
        <w:rPr>
          <w:bCs/>
          <w:iCs/>
        </w:rPr>
      </w:pPr>
      <w:r w:rsidRPr="005835DE">
        <w:t xml:space="preserve">chiede che il perimetro del mercato unico sia esteso a settori strategici quali l'energia e la finanza. Sottolinea la necessità di una governance inclusiva e chiede una revisione della legislazione in materia di appalti pubblici. Allo stesso tempo, si dovrebbero trovare modalità adeguate per tenere conto degli obiettivi sociali, ambientali e di innovazione. </w:t>
      </w:r>
    </w:p>
    <w:p w14:paraId="471E1854" w14:textId="77777777" w:rsidR="00465162" w:rsidRPr="005835DE" w:rsidRDefault="00465162" w:rsidP="00465162">
      <w:pPr>
        <w:widowControl w:val="0"/>
        <w:overflowPunct w:val="0"/>
        <w:autoSpaceDE w:val="0"/>
        <w:autoSpaceDN w:val="0"/>
        <w:adjustRightInd w:val="0"/>
        <w:ind w:left="709"/>
        <w:textAlignment w:val="baseline"/>
        <w:rPr>
          <w:szCs w:val="20"/>
          <w:lang w:val="en-GB"/>
        </w:rPr>
      </w:pPr>
    </w:p>
    <w:tbl>
      <w:tblPr>
        <w:tblStyle w:val="TableGrid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465162" w:rsidRPr="005835DE" w14:paraId="7E653814" w14:textId="77777777" w:rsidTr="0036489A">
        <w:tc>
          <w:tcPr>
            <w:tcW w:w="1418" w:type="dxa"/>
          </w:tcPr>
          <w:p w14:paraId="6898358A" w14:textId="77777777" w:rsidR="00465162" w:rsidRPr="005835DE" w:rsidRDefault="00465162" w:rsidP="00465162">
            <w:pPr>
              <w:overflowPunct w:val="0"/>
              <w:autoSpaceDE w:val="0"/>
              <w:autoSpaceDN w:val="0"/>
              <w:adjustRightInd w:val="0"/>
              <w:spacing w:line="240" w:lineRule="auto"/>
              <w:textAlignment w:val="baseline"/>
              <w:rPr>
                <w:i/>
              </w:rPr>
            </w:pPr>
            <w:r w:rsidRPr="005835DE">
              <w:rPr>
                <w:b/>
                <w:i/>
              </w:rPr>
              <w:t>Contatto</w:t>
            </w:r>
          </w:p>
        </w:tc>
        <w:tc>
          <w:tcPr>
            <w:tcW w:w="5670" w:type="dxa"/>
          </w:tcPr>
          <w:p w14:paraId="324AE5F8" w14:textId="77777777" w:rsidR="00465162" w:rsidRPr="005835DE" w:rsidRDefault="00465162" w:rsidP="00465162">
            <w:pPr>
              <w:overflowPunct w:val="0"/>
              <w:autoSpaceDE w:val="0"/>
              <w:autoSpaceDN w:val="0"/>
              <w:adjustRightInd w:val="0"/>
              <w:spacing w:line="240" w:lineRule="auto"/>
              <w:textAlignment w:val="baseline"/>
              <w:rPr>
                <w:i/>
              </w:rPr>
            </w:pPr>
            <w:r w:rsidRPr="005835DE">
              <w:rPr>
                <w:i/>
              </w:rPr>
              <w:t>Annalisa TESSAROLO</w:t>
            </w:r>
          </w:p>
        </w:tc>
      </w:tr>
      <w:tr w:rsidR="00465162" w:rsidRPr="005835DE" w14:paraId="3F0424C9" w14:textId="77777777" w:rsidTr="0036489A">
        <w:tc>
          <w:tcPr>
            <w:tcW w:w="1418" w:type="dxa"/>
          </w:tcPr>
          <w:p w14:paraId="0C254111" w14:textId="77777777" w:rsidR="00465162" w:rsidRPr="005835DE" w:rsidRDefault="00465162" w:rsidP="00465162">
            <w:pPr>
              <w:overflowPunct w:val="0"/>
              <w:autoSpaceDE w:val="0"/>
              <w:autoSpaceDN w:val="0"/>
              <w:adjustRightInd w:val="0"/>
              <w:spacing w:line="240" w:lineRule="auto"/>
              <w:textAlignment w:val="baseline"/>
              <w:rPr>
                <w:i/>
              </w:rPr>
            </w:pPr>
            <w:r w:rsidRPr="005835DE">
              <w:rPr>
                <w:i/>
              </w:rPr>
              <w:t>Tel.</w:t>
            </w:r>
          </w:p>
        </w:tc>
        <w:tc>
          <w:tcPr>
            <w:tcW w:w="5670" w:type="dxa"/>
          </w:tcPr>
          <w:p w14:paraId="0C3DEEF0" w14:textId="77777777" w:rsidR="00465162" w:rsidRPr="005835DE" w:rsidRDefault="00465162" w:rsidP="00465162">
            <w:pPr>
              <w:overflowPunct w:val="0"/>
              <w:autoSpaceDE w:val="0"/>
              <w:autoSpaceDN w:val="0"/>
              <w:adjustRightInd w:val="0"/>
              <w:spacing w:line="240" w:lineRule="auto"/>
              <w:textAlignment w:val="baseline"/>
              <w:rPr>
                <w:i/>
              </w:rPr>
            </w:pPr>
            <w:r w:rsidRPr="005835DE">
              <w:rPr>
                <w:i/>
              </w:rPr>
              <w:t>+ 32 25469732</w:t>
            </w:r>
          </w:p>
        </w:tc>
      </w:tr>
      <w:tr w:rsidR="00465162" w:rsidRPr="005835DE" w14:paraId="6449EA12" w14:textId="77777777" w:rsidTr="0036489A">
        <w:tc>
          <w:tcPr>
            <w:tcW w:w="1418" w:type="dxa"/>
          </w:tcPr>
          <w:p w14:paraId="1D040452" w14:textId="36E3F33F" w:rsidR="00465162" w:rsidRPr="005835DE" w:rsidRDefault="00332E33" w:rsidP="00465162">
            <w:pPr>
              <w:overflowPunct w:val="0"/>
              <w:autoSpaceDE w:val="0"/>
              <w:autoSpaceDN w:val="0"/>
              <w:adjustRightInd w:val="0"/>
              <w:spacing w:line="240" w:lineRule="auto"/>
              <w:textAlignment w:val="baseline"/>
              <w:rPr>
                <w:i/>
              </w:rPr>
            </w:pPr>
            <w:r w:rsidRPr="005835DE">
              <w:rPr>
                <w:i/>
              </w:rPr>
              <w:t>E</w:t>
            </w:r>
            <w:r w:rsidR="00034990" w:rsidRPr="005835DE">
              <w:rPr>
                <w:i/>
              </w:rPr>
              <w:t>-mail</w:t>
            </w:r>
          </w:p>
        </w:tc>
        <w:tc>
          <w:tcPr>
            <w:tcW w:w="5670" w:type="dxa"/>
          </w:tcPr>
          <w:p w14:paraId="3E267456" w14:textId="77777777" w:rsidR="00465162" w:rsidRPr="005835DE" w:rsidRDefault="00520E78" w:rsidP="00465162">
            <w:pPr>
              <w:overflowPunct w:val="0"/>
              <w:autoSpaceDE w:val="0"/>
              <w:autoSpaceDN w:val="0"/>
              <w:adjustRightInd w:val="0"/>
              <w:spacing w:line="240" w:lineRule="auto"/>
              <w:textAlignment w:val="baseline"/>
              <w:rPr>
                <w:i/>
              </w:rPr>
            </w:pPr>
            <w:hyperlink r:id="rId35" w:history="1">
              <w:r w:rsidR="00A27BD2" w:rsidRPr="005835DE">
                <w:rPr>
                  <w:i/>
                  <w:color w:val="0000FF"/>
                  <w:u w:val="single"/>
                </w:rPr>
                <w:t>Annalisa.Tessarolo@eesc.europa.eu</w:t>
              </w:r>
            </w:hyperlink>
          </w:p>
        </w:tc>
      </w:tr>
    </w:tbl>
    <w:p w14:paraId="4982DE1C" w14:textId="2C7D6502" w:rsidR="00465162" w:rsidRPr="005835DE" w:rsidRDefault="00465162" w:rsidP="004D7AC0">
      <w:pPr>
        <w:pStyle w:val="ListParagraph"/>
        <w:ind w:left="0"/>
      </w:pPr>
    </w:p>
    <w:p w14:paraId="7BF91C3B" w14:textId="274B597C" w:rsidR="008A6059" w:rsidRPr="005835DE" w:rsidRDefault="00465162" w:rsidP="008A6059">
      <w:pPr>
        <w:widowControl w:val="0"/>
        <w:numPr>
          <w:ilvl w:val="0"/>
          <w:numId w:val="4"/>
        </w:numPr>
        <w:overflowPunct w:val="0"/>
        <w:autoSpaceDE w:val="0"/>
        <w:autoSpaceDN w:val="0"/>
        <w:adjustRightInd w:val="0"/>
        <w:ind w:hanging="567"/>
        <w:textAlignment w:val="baseline"/>
        <w:rPr>
          <w:sz w:val="28"/>
          <w:szCs w:val="28"/>
        </w:rPr>
      </w:pPr>
      <w:r w:rsidRPr="005835DE">
        <w:br w:type="page"/>
      </w:r>
      <w:hyperlink r:id="rId36" w:tgtFrame="_blank" w:history="1">
        <w:r w:rsidRPr="005835DE">
          <w:rPr>
            <w:b/>
            <w:i/>
            <w:color w:val="0000FF"/>
            <w:sz w:val="28"/>
            <w:szCs w:val="28"/>
            <w:u w:val="single"/>
          </w:rPr>
          <w:t>Relazione sulla politica di concorrenza 2024</w:t>
        </w:r>
      </w:hyperlink>
    </w:p>
    <w:p w14:paraId="1EBCF21B" w14:textId="77777777" w:rsidR="008A6059" w:rsidRPr="005835DE" w:rsidRDefault="008A6059" w:rsidP="008A6059">
      <w:pPr>
        <w:tabs>
          <w:tab w:val="center" w:pos="284"/>
        </w:tabs>
        <w:overflowPunct w:val="0"/>
        <w:autoSpaceDE w:val="0"/>
        <w:autoSpaceDN w:val="0"/>
        <w:adjustRightInd w:val="0"/>
        <w:ind w:left="266" w:hanging="266"/>
        <w:textAlignment w:val="baseline"/>
        <w:rPr>
          <w:b/>
          <w:lang w:val="en-GB"/>
        </w:rPr>
      </w:pPr>
    </w:p>
    <w:tbl>
      <w:tblPr>
        <w:tblStyle w:val="TableGrid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387"/>
      </w:tblGrid>
      <w:tr w:rsidR="008A6059" w:rsidRPr="005835DE" w14:paraId="2893C03B" w14:textId="77777777" w:rsidTr="0036489A">
        <w:tc>
          <w:tcPr>
            <w:tcW w:w="1701" w:type="dxa"/>
          </w:tcPr>
          <w:p w14:paraId="51A0B439" w14:textId="4DEBD4D8" w:rsidR="008A6059" w:rsidRPr="005835DE" w:rsidRDefault="00332E33" w:rsidP="008A6059">
            <w:pPr>
              <w:tabs>
                <w:tab w:val="center" w:pos="284"/>
              </w:tabs>
              <w:overflowPunct w:val="0"/>
              <w:autoSpaceDE w:val="0"/>
              <w:autoSpaceDN w:val="0"/>
              <w:adjustRightInd w:val="0"/>
              <w:ind w:left="266" w:hanging="266"/>
              <w:textAlignment w:val="baseline"/>
              <w:rPr>
                <w:b/>
              </w:rPr>
            </w:pPr>
            <w:r w:rsidRPr="005835DE">
              <w:rPr>
                <w:b/>
              </w:rPr>
              <w:t>Relatore</w:t>
            </w:r>
          </w:p>
        </w:tc>
        <w:tc>
          <w:tcPr>
            <w:tcW w:w="5387" w:type="dxa"/>
          </w:tcPr>
          <w:p w14:paraId="1D2ED450" w14:textId="10B4B8A6" w:rsidR="008A6059" w:rsidRPr="005835DE" w:rsidRDefault="008A6059" w:rsidP="008A6059">
            <w:pPr>
              <w:tabs>
                <w:tab w:val="center" w:pos="284"/>
              </w:tabs>
              <w:overflowPunct w:val="0"/>
              <w:autoSpaceDE w:val="0"/>
              <w:autoSpaceDN w:val="0"/>
              <w:adjustRightInd w:val="0"/>
              <w:ind w:left="266" w:hanging="266"/>
              <w:textAlignment w:val="baseline"/>
            </w:pPr>
            <w:r w:rsidRPr="005835DE">
              <w:t>Andrea MONE (Lavoratori - IT)</w:t>
            </w:r>
          </w:p>
        </w:tc>
      </w:tr>
      <w:tr w:rsidR="008A6059" w:rsidRPr="005835DE" w14:paraId="55F5B62B" w14:textId="77777777" w:rsidTr="0036489A">
        <w:tc>
          <w:tcPr>
            <w:tcW w:w="7088" w:type="dxa"/>
            <w:gridSpan w:val="2"/>
          </w:tcPr>
          <w:p w14:paraId="47424FA1" w14:textId="77777777" w:rsidR="008A6059" w:rsidRPr="005835DE" w:rsidRDefault="008A6059" w:rsidP="008A6059">
            <w:pPr>
              <w:tabs>
                <w:tab w:val="center" w:pos="284"/>
              </w:tabs>
              <w:overflowPunct w:val="0"/>
              <w:autoSpaceDE w:val="0"/>
              <w:autoSpaceDN w:val="0"/>
              <w:adjustRightInd w:val="0"/>
              <w:spacing w:line="160" w:lineRule="exact"/>
              <w:ind w:left="266" w:hanging="266"/>
              <w:textAlignment w:val="baseline"/>
              <w:rPr>
                <w:sz w:val="16"/>
                <w:szCs w:val="16"/>
              </w:rPr>
            </w:pPr>
          </w:p>
        </w:tc>
      </w:tr>
      <w:tr w:rsidR="008A6059" w:rsidRPr="005835DE" w14:paraId="6946E1F7" w14:textId="77777777" w:rsidTr="0036489A">
        <w:tc>
          <w:tcPr>
            <w:tcW w:w="1701" w:type="dxa"/>
          </w:tcPr>
          <w:p w14:paraId="4E5A71ED" w14:textId="77777777" w:rsidR="008A6059" w:rsidRPr="005835DE" w:rsidRDefault="008A6059" w:rsidP="008A6059">
            <w:pPr>
              <w:tabs>
                <w:tab w:val="center" w:pos="284"/>
              </w:tabs>
              <w:overflowPunct w:val="0"/>
              <w:autoSpaceDE w:val="0"/>
              <w:autoSpaceDN w:val="0"/>
              <w:adjustRightInd w:val="0"/>
              <w:ind w:left="266" w:hanging="266"/>
              <w:textAlignment w:val="baseline"/>
              <w:rPr>
                <w:b/>
              </w:rPr>
            </w:pPr>
            <w:r w:rsidRPr="005835DE">
              <w:rPr>
                <w:b/>
              </w:rPr>
              <w:t>Riferimento</w:t>
            </w:r>
          </w:p>
        </w:tc>
        <w:tc>
          <w:tcPr>
            <w:tcW w:w="5387" w:type="dxa"/>
          </w:tcPr>
          <w:p w14:paraId="7ED176EC" w14:textId="77777777" w:rsidR="008A6059" w:rsidRPr="005835DE" w:rsidRDefault="008A6059" w:rsidP="008A6059">
            <w:pPr>
              <w:tabs>
                <w:tab w:val="center" w:pos="284"/>
              </w:tabs>
              <w:overflowPunct w:val="0"/>
              <w:autoSpaceDE w:val="0"/>
              <w:autoSpaceDN w:val="0"/>
              <w:adjustRightInd w:val="0"/>
              <w:ind w:left="266" w:hanging="266"/>
              <w:textAlignment w:val="baseline"/>
            </w:pPr>
            <w:r w:rsidRPr="005835DE">
              <w:t>COM(2025) 181 final</w:t>
            </w:r>
          </w:p>
          <w:p w14:paraId="44CC362B" w14:textId="77777777" w:rsidR="008A6059" w:rsidRPr="005835DE" w:rsidRDefault="008A6059" w:rsidP="008A6059">
            <w:pPr>
              <w:tabs>
                <w:tab w:val="center" w:pos="284"/>
              </w:tabs>
              <w:overflowPunct w:val="0"/>
              <w:autoSpaceDE w:val="0"/>
              <w:autoSpaceDN w:val="0"/>
              <w:adjustRightInd w:val="0"/>
              <w:ind w:left="266" w:hanging="266"/>
              <w:textAlignment w:val="baseline"/>
            </w:pPr>
            <w:r w:rsidRPr="005835DE">
              <w:t>EESC-2025-02299-00-00-AC</w:t>
            </w:r>
          </w:p>
        </w:tc>
      </w:tr>
    </w:tbl>
    <w:p w14:paraId="7E134121" w14:textId="77777777" w:rsidR="008A6059" w:rsidRPr="005835DE" w:rsidRDefault="008A6059" w:rsidP="008A6059">
      <w:pPr>
        <w:tabs>
          <w:tab w:val="center" w:pos="284"/>
        </w:tabs>
        <w:overflowPunct w:val="0"/>
        <w:autoSpaceDE w:val="0"/>
        <w:autoSpaceDN w:val="0"/>
        <w:adjustRightInd w:val="0"/>
        <w:ind w:left="266" w:hanging="266"/>
        <w:textAlignment w:val="baseline"/>
        <w:rPr>
          <w:lang w:val="en-GB"/>
        </w:rPr>
      </w:pPr>
    </w:p>
    <w:p w14:paraId="43B69CAE" w14:textId="77777777" w:rsidR="008A6059" w:rsidRPr="005835DE" w:rsidRDefault="008A6059" w:rsidP="008A6059">
      <w:pPr>
        <w:keepNext/>
        <w:keepLines/>
        <w:tabs>
          <w:tab w:val="center" w:pos="284"/>
        </w:tabs>
        <w:overflowPunct w:val="0"/>
        <w:autoSpaceDE w:val="0"/>
        <w:autoSpaceDN w:val="0"/>
        <w:adjustRightInd w:val="0"/>
        <w:ind w:left="266" w:hanging="266"/>
        <w:textAlignment w:val="baseline"/>
        <w:rPr>
          <w:b/>
        </w:rPr>
      </w:pPr>
      <w:r w:rsidRPr="005835DE">
        <w:rPr>
          <w:b/>
        </w:rPr>
        <w:t>Punti principali</w:t>
      </w:r>
    </w:p>
    <w:p w14:paraId="4FA58545" w14:textId="77777777" w:rsidR="008A6059" w:rsidRPr="005835DE" w:rsidRDefault="008A6059" w:rsidP="008A6059">
      <w:pPr>
        <w:keepNext/>
        <w:keepLines/>
        <w:tabs>
          <w:tab w:val="center" w:pos="284"/>
        </w:tabs>
        <w:overflowPunct w:val="0"/>
        <w:autoSpaceDE w:val="0"/>
        <w:autoSpaceDN w:val="0"/>
        <w:adjustRightInd w:val="0"/>
        <w:ind w:left="266" w:hanging="266"/>
        <w:textAlignment w:val="baseline"/>
        <w:rPr>
          <w:b/>
          <w:lang w:val="en-GB"/>
        </w:rPr>
      </w:pPr>
    </w:p>
    <w:p w14:paraId="1BF67B8A" w14:textId="77777777" w:rsidR="008A6059" w:rsidRPr="005835DE" w:rsidRDefault="008A6059" w:rsidP="008A6059">
      <w:pPr>
        <w:overflowPunct w:val="0"/>
        <w:autoSpaceDE w:val="0"/>
        <w:autoSpaceDN w:val="0"/>
        <w:adjustRightInd w:val="0"/>
        <w:textAlignment w:val="baseline"/>
        <w:rPr>
          <w:bCs/>
          <w:iCs/>
        </w:rPr>
      </w:pPr>
      <w:r w:rsidRPr="005835DE">
        <w:t>Il CESE:</w:t>
      </w:r>
    </w:p>
    <w:p w14:paraId="59EE1DF2" w14:textId="77777777" w:rsidR="008A6059" w:rsidRPr="005835DE" w:rsidRDefault="008A6059" w:rsidP="008A6059">
      <w:pPr>
        <w:overflowPunct w:val="0"/>
        <w:autoSpaceDE w:val="0"/>
        <w:autoSpaceDN w:val="0"/>
        <w:adjustRightInd w:val="0"/>
        <w:textAlignment w:val="baseline"/>
        <w:rPr>
          <w:bCs/>
          <w:iCs/>
          <w:lang w:val="en-GB"/>
        </w:rPr>
      </w:pPr>
    </w:p>
    <w:p w14:paraId="1EFFAB53" w14:textId="77777777" w:rsidR="008A6059" w:rsidRPr="005835DE" w:rsidRDefault="008A6059" w:rsidP="00007A3B">
      <w:pPr>
        <w:numPr>
          <w:ilvl w:val="0"/>
          <w:numId w:val="26"/>
        </w:numPr>
        <w:tabs>
          <w:tab w:val="clear" w:pos="720"/>
          <w:tab w:val="num" w:pos="426"/>
        </w:tabs>
        <w:overflowPunct w:val="0"/>
        <w:autoSpaceDE w:val="0"/>
        <w:autoSpaceDN w:val="0"/>
        <w:adjustRightInd w:val="0"/>
        <w:ind w:left="426" w:hanging="426"/>
        <w:textAlignment w:val="baseline"/>
      </w:pPr>
      <w:r w:rsidRPr="005835DE">
        <w:t xml:space="preserve">accoglie con favore </w:t>
      </w:r>
      <w:r w:rsidRPr="005835DE">
        <w:rPr>
          <w:b/>
          <w:bCs/>
        </w:rPr>
        <w:t>l'approccio all'</w:t>
      </w:r>
      <w:r w:rsidRPr="005835DE">
        <w:rPr>
          <w:b/>
          <w:bCs/>
          <w:i/>
          <w:iCs/>
        </w:rPr>
        <w:t>enforcement</w:t>
      </w:r>
      <w:r w:rsidRPr="005835DE">
        <w:rPr>
          <w:b/>
          <w:bCs/>
        </w:rPr>
        <w:t xml:space="preserve"> adottato dalla Commissione europea nel 2024</w:t>
      </w:r>
      <w:r w:rsidRPr="005835DE">
        <w:t>, che allinea la politica di concorrenza agli obiettivi digitali, verdi e di resilienza dell'UE, salvaguardando al contempo un mercato unico competitivo e ben funzionante;</w:t>
      </w:r>
    </w:p>
    <w:p w14:paraId="607132BD" w14:textId="77777777" w:rsidR="008A6059" w:rsidRPr="005835DE" w:rsidRDefault="008A6059" w:rsidP="00007A3B">
      <w:pPr>
        <w:numPr>
          <w:ilvl w:val="0"/>
          <w:numId w:val="26"/>
        </w:numPr>
        <w:tabs>
          <w:tab w:val="clear" w:pos="720"/>
          <w:tab w:val="num" w:pos="426"/>
        </w:tabs>
        <w:overflowPunct w:val="0"/>
        <w:autoSpaceDE w:val="0"/>
        <w:autoSpaceDN w:val="0"/>
        <w:adjustRightInd w:val="0"/>
        <w:ind w:left="426" w:hanging="426"/>
        <w:textAlignment w:val="baseline"/>
      </w:pPr>
      <w:r w:rsidRPr="005835DE">
        <w:t xml:space="preserve">sostiene gli sforzi della Commissione volti a migliorare </w:t>
      </w:r>
      <w:r w:rsidRPr="005835DE">
        <w:rPr>
          <w:b/>
          <w:bCs/>
        </w:rPr>
        <w:t>l'efficacia e la prevedibilità delle norme in materia di concorrenza</w:t>
      </w:r>
      <w:r w:rsidRPr="005835DE">
        <w:t>, tra cui l'elaborazione di nuovi orientamenti sugli abusi di posizione dominante escludenti, la comunicazione aggiornata sulla definizione del mercato rilevante (</w:t>
      </w:r>
      <w:r w:rsidRPr="005835DE">
        <w:rPr>
          <w:i/>
          <w:iCs/>
        </w:rPr>
        <w:t>Market Definition Notice</w:t>
      </w:r>
      <w:r w:rsidRPr="005835DE">
        <w:t xml:space="preserve"> - MDN) e strumenti più efficaci per valutare l'impatto sul benessere dei consumatori;</w:t>
      </w:r>
    </w:p>
    <w:p w14:paraId="30166AC6" w14:textId="77777777" w:rsidR="008A6059" w:rsidRPr="005835DE" w:rsidRDefault="008A6059" w:rsidP="00007A3B">
      <w:pPr>
        <w:numPr>
          <w:ilvl w:val="0"/>
          <w:numId w:val="26"/>
        </w:numPr>
        <w:tabs>
          <w:tab w:val="clear" w:pos="720"/>
          <w:tab w:val="num" w:pos="426"/>
        </w:tabs>
        <w:overflowPunct w:val="0"/>
        <w:autoSpaceDE w:val="0"/>
        <w:autoSpaceDN w:val="0"/>
        <w:adjustRightInd w:val="0"/>
        <w:ind w:left="426" w:hanging="426"/>
        <w:textAlignment w:val="baseline"/>
      </w:pPr>
      <w:r w:rsidRPr="005835DE">
        <w:t xml:space="preserve">sottolinea l'importanza di affrontare le sfide in materia di concorrenza nei </w:t>
      </w:r>
      <w:r w:rsidRPr="005835DE">
        <w:rPr>
          <w:b/>
          <w:bCs/>
        </w:rPr>
        <w:t>mercati digitali</w:t>
      </w:r>
      <w:r w:rsidRPr="005835DE">
        <w:t xml:space="preserve"> e incoraggia la Commissione a continuare a rafforzare l'applicazione nel quadro sia delle norme tradizionali in materia di concorrenza che del regolamento sui mercati digitali (DMA), tenendo conto della posizione dominante strutturale e delle barriere all'ingresso nei modelli aziendali basati su piattaforme;</w:t>
      </w:r>
    </w:p>
    <w:p w14:paraId="2C7DEA84" w14:textId="77777777" w:rsidR="008A6059" w:rsidRPr="005835DE" w:rsidRDefault="008A6059" w:rsidP="00007A3B">
      <w:pPr>
        <w:numPr>
          <w:ilvl w:val="0"/>
          <w:numId w:val="26"/>
        </w:numPr>
        <w:tabs>
          <w:tab w:val="clear" w:pos="720"/>
          <w:tab w:val="num" w:pos="426"/>
        </w:tabs>
        <w:overflowPunct w:val="0"/>
        <w:autoSpaceDE w:val="0"/>
        <w:autoSpaceDN w:val="0"/>
        <w:adjustRightInd w:val="0"/>
        <w:ind w:left="426" w:hanging="426"/>
        <w:textAlignment w:val="baseline"/>
      </w:pPr>
      <w:r w:rsidRPr="005835DE">
        <w:t xml:space="preserve">chiede un </w:t>
      </w:r>
      <w:r w:rsidRPr="005835DE">
        <w:rPr>
          <w:b/>
          <w:bCs/>
        </w:rPr>
        <w:t>maggiore controllo delle concentrazioni</w:t>
      </w:r>
      <w:r w:rsidRPr="005835DE">
        <w:t xml:space="preserve">, compreso un quadro per esaminare le acquisizioni inferiori alla soglia che possono pregiudicare la concorrenza (ad esempio le cosiddette "acquisizioni killer"), ed esorta a </w:t>
      </w:r>
      <w:r w:rsidRPr="005835DE">
        <w:rPr>
          <w:b/>
          <w:bCs/>
        </w:rPr>
        <w:t>tenere maggiormente conto degli impatti sul mercato del lavoro e delle dinamiche di innovazione</w:t>
      </w:r>
      <w:r w:rsidRPr="005835DE">
        <w:t xml:space="preserve"> nella valutazione delle operazioni di concentrazione;</w:t>
      </w:r>
    </w:p>
    <w:p w14:paraId="47C13D78" w14:textId="77777777" w:rsidR="008A6059" w:rsidRPr="005835DE" w:rsidRDefault="008A6059" w:rsidP="00007A3B">
      <w:pPr>
        <w:numPr>
          <w:ilvl w:val="0"/>
          <w:numId w:val="26"/>
        </w:numPr>
        <w:tabs>
          <w:tab w:val="clear" w:pos="720"/>
          <w:tab w:val="num" w:pos="426"/>
        </w:tabs>
        <w:overflowPunct w:val="0"/>
        <w:autoSpaceDE w:val="0"/>
        <w:autoSpaceDN w:val="0"/>
        <w:adjustRightInd w:val="0"/>
        <w:ind w:left="426" w:hanging="426"/>
        <w:textAlignment w:val="baseline"/>
      </w:pPr>
      <w:r w:rsidRPr="005835DE">
        <w:t xml:space="preserve">sottolinea la necessità di stabilire </w:t>
      </w:r>
      <w:r w:rsidRPr="005835DE">
        <w:rPr>
          <w:b/>
          <w:bCs/>
        </w:rPr>
        <w:t>norme in materia di aiuti di Stato</w:t>
      </w:r>
      <w:r w:rsidRPr="005835DE">
        <w:t xml:space="preserve">, in particolare nel quadro della nuova disciplina degli aiuti di Stato nell'ambito del patto per l'industria pulita (CISAF) e degli importanti progetti di comune interesse europeo (IPCEI), per promuovere la </w:t>
      </w:r>
      <w:r w:rsidRPr="005835DE">
        <w:rPr>
          <w:b/>
          <w:bCs/>
        </w:rPr>
        <w:t>partecipazione transfrontaliera, ridurre la frammentazione e sostenere gli investimenti strategici</w:t>
      </w:r>
      <w:r w:rsidRPr="005835DE">
        <w:t xml:space="preserve"> essenziali per il patto per l'industria pulita, garantendo nel contempo la coesione e condizioni di parità in tutti gli Stati membri.</w:t>
      </w:r>
    </w:p>
    <w:p w14:paraId="5B6011EA" w14:textId="77777777" w:rsidR="008A6059" w:rsidRPr="005835DE" w:rsidRDefault="008A6059" w:rsidP="008A6059">
      <w:pPr>
        <w:widowControl w:val="0"/>
        <w:overflowPunct w:val="0"/>
        <w:autoSpaceDE w:val="0"/>
        <w:autoSpaceDN w:val="0"/>
        <w:adjustRightInd w:val="0"/>
        <w:ind w:left="709"/>
        <w:textAlignment w:val="baseline"/>
        <w:rPr>
          <w:szCs w:val="20"/>
          <w:lang w:val="en-GB"/>
        </w:rPr>
      </w:pPr>
    </w:p>
    <w:tbl>
      <w:tblPr>
        <w:tblStyle w:val="TableGrid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8A6059" w:rsidRPr="005835DE" w14:paraId="60D2607C" w14:textId="77777777" w:rsidTr="0036489A">
        <w:tc>
          <w:tcPr>
            <w:tcW w:w="1418" w:type="dxa"/>
          </w:tcPr>
          <w:p w14:paraId="0F9C1860" w14:textId="77777777" w:rsidR="008A6059" w:rsidRPr="005835DE" w:rsidRDefault="008A6059" w:rsidP="008A6059">
            <w:pPr>
              <w:overflowPunct w:val="0"/>
              <w:autoSpaceDE w:val="0"/>
              <w:autoSpaceDN w:val="0"/>
              <w:adjustRightInd w:val="0"/>
              <w:spacing w:line="240" w:lineRule="auto"/>
              <w:textAlignment w:val="baseline"/>
              <w:rPr>
                <w:i/>
              </w:rPr>
            </w:pPr>
            <w:r w:rsidRPr="005835DE">
              <w:rPr>
                <w:b/>
                <w:i/>
              </w:rPr>
              <w:t>Contatto</w:t>
            </w:r>
          </w:p>
        </w:tc>
        <w:tc>
          <w:tcPr>
            <w:tcW w:w="5670" w:type="dxa"/>
          </w:tcPr>
          <w:p w14:paraId="725FD099" w14:textId="77777777" w:rsidR="008A6059" w:rsidRPr="005835DE" w:rsidRDefault="008A6059" w:rsidP="008A6059">
            <w:pPr>
              <w:overflowPunct w:val="0"/>
              <w:autoSpaceDE w:val="0"/>
              <w:autoSpaceDN w:val="0"/>
              <w:adjustRightInd w:val="0"/>
              <w:spacing w:line="240" w:lineRule="auto"/>
              <w:textAlignment w:val="baseline"/>
              <w:rPr>
                <w:i/>
              </w:rPr>
            </w:pPr>
            <w:r w:rsidRPr="005835DE">
              <w:rPr>
                <w:i/>
              </w:rPr>
              <w:t>Silvia STAFFA</w:t>
            </w:r>
          </w:p>
        </w:tc>
      </w:tr>
      <w:tr w:rsidR="008A6059" w:rsidRPr="005835DE" w14:paraId="3BAB393F" w14:textId="77777777" w:rsidTr="0036489A">
        <w:tc>
          <w:tcPr>
            <w:tcW w:w="1418" w:type="dxa"/>
          </w:tcPr>
          <w:p w14:paraId="01CC6C43" w14:textId="77777777" w:rsidR="008A6059" w:rsidRPr="005835DE" w:rsidRDefault="008A6059" w:rsidP="008A6059">
            <w:pPr>
              <w:overflowPunct w:val="0"/>
              <w:autoSpaceDE w:val="0"/>
              <w:autoSpaceDN w:val="0"/>
              <w:adjustRightInd w:val="0"/>
              <w:spacing w:line="240" w:lineRule="auto"/>
              <w:textAlignment w:val="baseline"/>
              <w:rPr>
                <w:i/>
              </w:rPr>
            </w:pPr>
            <w:r w:rsidRPr="005835DE">
              <w:rPr>
                <w:i/>
              </w:rPr>
              <w:t>Tel.</w:t>
            </w:r>
          </w:p>
        </w:tc>
        <w:tc>
          <w:tcPr>
            <w:tcW w:w="5670" w:type="dxa"/>
          </w:tcPr>
          <w:p w14:paraId="1A61F972" w14:textId="77777777" w:rsidR="008A6059" w:rsidRPr="005835DE" w:rsidRDefault="008A6059" w:rsidP="008A6059">
            <w:pPr>
              <w:overflowPunct w:val="0"/>
              <w:autoSpaceDE w:val="0"/>
              <w:autoSpaceDN w:val="0"/>
              <w:adjustRightInd w:val="0"/>
              <w:spacing w:line="240" w:lineRule="auto"/>
              <w:textAlignment w:val="baseline"/>
              <w:rPr>
                <w:i/>
              </w:rPr>
            </w:pPr>
            <w:r w:rsidRPr="005835DE">
              <w:rPr>
                <w:i/>
              </w:rPr>
              <w:t>+ 32 25468378</w:t>
            </w:r>
          </w:p>
        </w:tc>
      </w:tr>
      <w:tr w:rsidR="008A6059" w:rsidRPr="005835DE" w14:paraId="6DC120EA" w14:textId="77777777" w:rsidTr="0036489A">
        <w:tc>
          <w:tcPr>
            <w:tcW w:w="1418" w:type="dxa"/>
          </w:tcPr>
          <w:p w14:paraId="32C00486" w14:textId="65338B2A" w:rsidR="008A6059" w:rsidRPr="005835DE" w:rsidRDefault="00332E33" w:rsidP="008A6059">
            <w:pPr>
              <w:overflowPunct w:val="0"/>
              <w:autoSpaceDE w:val="0"/>
              <w:autoSpaceDN w:val="0"/>
              <w:adjustRightInd w:val="0"/>
              <w:spacing w:line="240" w:lineRule="auto"/>
              <w:textAlignment w:val="baseline"/>
              <w:rPr>
                <w:i/>
              </w:rPr>
            </w:pPr>
            <w:r w:rsidRPr="005835DE">
              <w:rPr>
                <w:i/>
              </w:rPr>
              <w:t>E</w:t>
            </w:r>
            <w:r w:rsidR="006E6F14" w:rsidRPr="005835DE">
              <w:rPr>
                <w:i/>
              </w:rPr>
              <w:t>-mail</w:t>
            </w:r>
          </w:p>
        </w:tc>
        <w:tc>
          <w:tcPr>
            <w:tcW w:w="5670" w:type="dxa"/>
          </w:tcPr>
          <w:p w14:paraId="0B7A4BF8" w14:textId="77777777" w:rsidR="008A6059" w:rsidRPr="005835DE" w:rsidRDefault="00520E78" w:rsidP="008A6059">
            <w:pPr>
              <w:overflowPunct w:val="0"/>
              <w:autoSpaceDE w:val="0"/>
              <w:autoSpaceDN w:val="0"/>
              <w:adjustRightInd w:val="0"/>
              <w:spacing w:line="240" w:lineRule="auto"/>
              <w:textAlignment w:val="baseline"/>
              <w:rPr>
                <w:i/>
              </w:rPr>
            </w:pPr>
            <w:hyperlink r:id="rId37" w:history="1">
              <w:r w:rsidR="00A27BD2" w:rsidRPr="005835DE">
                <w:rPr>
                  <w:i/>
                  <w:color w:val="0000FF"/>
                  <w:u w:val="single"/>
                </w:rPr>
                <w:t>Silvia.Staffa@eesc.europa.eu</w:t>
              </w:r>
            </w:hyperlink>
          </w:p>
        </w:tc>
      </w:tr>
    </w:tbl>
    <w:p w14:paraId="4982DE1D" w14:textId="77777777" w:rsidR="004D7AC0" w:rsidRPr="005835DE" w:rsidRDefault="004D7AC0" w:rsidP="004D7AC0">
      <w:pPr>
        <w:pStyle w:val="ListParagraph"/>
        <w:ind w:left="0"/>
      </w:pPr>
    </w:p>
    <w:p w14:paraId="4E659D6D" w14:textId="0C2068A0" w:rsidR="00685A3A" w:rsidRPr="005835DE" w:rsidRDefault="004D7AC0" w:rsidP="00685A3A">
      <w:pPr>
        <w:widowControl w:val="0"/>
        <w:numPr>
          <w:ilvl w:val="0"/>
          <w:numId w:val="4"/>
        </w:numPr>
        <w:overflowPunct w:val="0"/>
        <w:autoSpaceDE w:val="0"/>
        <w:autoSpaceDN w:val="0"/>
        <w:adjustRightInd w:val="0"/>
        <w:ind w:hanging="567"/>
        <w:textAlignment w:val="baseline"/>
        <w:rPr>
          <w:i/>
          <w:iCs/>
          <w:sz w:val="28"/>
          <w:szCs w:val="28"/>
        </w:rPr>
      </w:pPr>
      <w:r w:rsidRPr="005835DE">
        <w:br w:type="page"/>
      </w:r>
      <w:hyperlink r:id="rId38" w:history="1">
        <w:r w:rsidRPr="005835DE">
          <w:rPr>
            <w:b/>
            <w:i/>
            <w:color w:val="0000FF"/>
            <w:sz w:val="28"/>
            <w:szCs w:val="28"/>
            <w:u w:val="single"/>
          </w:rPr>
          <w:t>Fondo europeo per la competitività</w:t>
        </w:r>
      </w:hyperlink>
    </w:p>
    <w:p w14:paraId="2B552AA7" w14:textId="77777777" w:rsidR="00685A3A" w:rsidRPr="005835DE" w:rsidRDefault="00685A3A" w:rsidP="00685A3A">
      <w:pPr>
        <w:tabs>
          <w:tab w:val="center" w:pos="284"/>
        </w:tabs>
        <w:overflowPunct w:val="0"/>
        <w:autoSpaceDE w:val="0"/>
        <w:autoSpaceDN w:val="0"/>
        <w:adjustRightInd w:val="0"/>
        <w:ind w:left="266" w:hanging="266"/>
        <w:textAlignment w:val="baseline"/>
        <w:rPr>
          <w:b/>
        </w:rPr>
      </w:pPr>
    </w:p>
    <w:tbl>
      <w:tblPr>
        <w:tblStyle w:val="TableGrid10"/>
        <w:tblW w:w="494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7"/>
        <w:gridCol w:w="6979"/>
      </w:tblGrid>
      <w:tr w:rsidR="00685A3A" w:rsidRPr="005835DE" w14:paraId="5D349B8F" w14:textId="77777777" w:rsidTr="003B64AB">
        <w:trPr>
          <w:trHeight w:val="289"/>
        </w:trPr>
        <w:tc>
          <w:tcPr>
            <w:tcW w:w="1108" w:type="pct"/>
          </w:tcPr>
          <w:p w14:paraId="7D52188A" w14:textId="4E76ACE6" w:rsidR="00685A3A" w:rsidRPr="005835DE" w:rsidRDefault="00332E33" w:rsidP="00685A3A">
            <w:pPr>
              <w:tabs>
                <w:tab w:val="center" w:pos="284"/>
              </w:tabs>
              <w:overflowPunct w:val="0"/>
              <w:autoSpaceDE w:val="0"/>
              <w:autoSpaceDN w:val="0"/>
              <w:adjustRightInd w:val="0"/>
              <w:ind w:left="266" w:hanging="266"/>
              <w:textAlignment w:val="baseline"/>
              <w:rPr>
                <w:b/>
              </w:rPr>
            </w:pPr>
            <w:r w:rsidRPr="005835DE">
              <w:rPr>
                <w:b/>
              </w:rPr>
              <w:t>Relatrice</w:t>
            </w:r>
          </w:p>
        </w:tc>
        <w:tc>
          <w:tcPr>
            <w:tcW w:w="3892" w:type="pct"/>
          </w:tcPr>
          <w:p w14:paraId="51845819" w14:textId="525A6D0F" w:rsidR="00685A3A" w:rsidRPr="005835DE" w:rsidRDefault="00685A3A" w:rsidP="00685A3A">
            <w:pPr>
              <w:tabs>
                <w:tab w:val="center" w:pos="0"/>
              </w:tabs>
              <w:overflowPunct w:val="0"/>
              <w:autoSpaceDE w:val="0"/>
              <w:autoSpaceDN w:val="0"/>
              <w:adjustRightInd w:val="0"/>
              <w:ind w:left="266" w:hanging="266"/>
              <w:textAlignment w:val="baseline"/>
            </w:pPr>
            <w:r w:rsidRPr="005835DE">
              <w:t>Milena ANGELOVA (Datori di lavoro - BG)</w:t>
            </w:r>
          </w:p>
        </w:tc>
      </w:tr>
      <w:tr w:rsidR="003B64AB" w:rsidRPr="005835DE" w14:paraId="442B4E8C" w14:textId="77777777" w:rsidTr="003B64AB">
        <w:trPr>
          <w:trHeight w:val="137"/>
        </w:trPr>
        <w:tc>
          <w:tcPr>
            <w:tcW w:w="1108" w:type="pct"/>
          </w:tcPr>
          <w:p w14:paraId="64BC2B3B" w14:textId="77777777" w:rsidR="003B64AB" w:rsidRPr="005835DE" w:rsidRDefault="003B64AB" w:rsidP="00685A3A">
            <w:pPr>
              <w:tabs>
                <w:tab w:val="center" w:pos="284"/>
              </w:tabs>
              <w:overflowPunct w:val="0"/>
              <w:autoSpaceDE w:val="0"/>
              <w:autoSpaceDN w:val="0"/>
              <w:adjustRightInd w:val="0"/>
              <w:ind w:left="266" w:hanging="266"/>
              <w:textAlignment w:val="baseline"/>
              <w:rPr>
                <w:b/>
                <w:sz w:val="16"/>
                <w:szCs w:val="16"/>
              </w:rPr>
            </w:pPr>
          </w:p>
        </w:tc>
        <w:tc>
          <w:tcPr>
            <w:tcW w:w="3892" w:type="pct"/>
          </w:tcPr>
          <w:p w14:paraId="21D359DE" w14:textId="77777777" w:rsidR="003B64AB" w:rsidRPr="005835DE" w:rsidRDefault="003B64AB" w:rsidP="00685A3A">
            <w:pPr>
              <w:tabs>
                <w:tab w:val="center" w:pos="0"/>
              </w:tabs>
              <w:overflowPunct w:val="0"/>
              <w:autoSpaceDE w:val="0"/>
              <w:autoSpaceDN w:val="0"/>
              <w:adjustRightInd w:val="0"/>
              <w:ind w:left="266" w:hanging="266"/>
              <w:textAlignment w:val="baseline"/>
              <w:rPr>
                <w:sz w:val="16"/>
                <w:szCs w:val="16"/>
              </w:rPr>
            </w:pPr>
          </w:p>
        </w:tc>
      </w:tr>
      <w:tr w:rsidR="00685A3A" w:rsidRPr="005835DE" w14:paraId="3F4509C4" w14:textId="77777777" w:rsidTr="0036489A">
        <w:tc>
          <w:tcPr>
            <w:tcW w:w="1108" w:type="pct"/>
          </w:tcPr>
          <w:p w14:paraId="4640AD0B" w14:textId="77777777" w:rsidR="00685A3A" w:rsidRPr="005835DE" w:rsidRDefault="00685A3A" w:rsidP="00685A3A">
            <w:pPr>
              <w:tabs>
                <w:tab w:val="center" w:pos="284"/>
              </w:tabs>
              <w:overflowPunct w:val="0"/>
              <w:autoSpaceDE w:val="0"/>
              <w:autoSpaceDN w:val="0"/>
              <w:adjustRightInd w:val="0"/>
              <w:ind w:left="266" w:hanging="266"/>
              <w:textAlignment w:val="baseline"/>
              <w:rPr>
                <w:b/>
              </w:rPr>
            </w:pPr>
            <w:r w:rsidRPr="005835DE">
              <w:rPr>
                <w:b/>
              </w:rPr>
              <w:t>Riferimento</w:t>
            </w:r>
          </w:p>
        </w:tc>
        <w:tc>
          <w:tcPr>
            <w:tcW w:w="3892" w:type="pct"/>
          </w:tcPr>
          <w:p w14:paraId="3A3B4EA5" w14:textId="6C386D40" w:rsidR="00685A3A" w:rsidRPr="005835DE" w:rsidRDefault="00685A3A" w:rsidP="00685A3A">
            <w:pPr>
              <w:tabs>
                <w:tab w:val="center" w:pos="284"/>
              </w:tabs>
              <w:overflowPunct w:val="0"/>
              <w:autoSpaceDE w:val="0"/>
              <w:autoSpaceDN w:val="0"/>
              <w:adjustRightInd w:val="0"/>
              <w:ind w:left="266" w:hanging="266"/>
              <w:textAlignment w:val="baseline"/>
            </w:pPr>
            <w:r w:rsidRPr="005835DE">
              <w:t>COM(2025) 555 final</w:t>
            </w:r>
          </w:p>
          <w:p w14:paraId="1044ED01" w14:textId="77777777" w:rsidR="00685A3A" w:rsidRPr="005835DE" w:rsidRDefault="00685A3A" w:rsidP="00685A3A">
            <w:pPr>
              <w:tabs>
                <w:tab w:val="center" w:pos="284"/>
              </w:tabs>
              <w:overflowPunct w:val="0"/>
              <w:autoSpaceDE w:val="0"/>
              <w:autoSpaceDN w:val="0"/>
              <w:adjustRightInd w:val="0"/>
              <w:ind w:left="266" w:hanging="266"/>
              <w:textAlignment w:val="baseline"/>
            </w:pPr>
            <w:r w:rsidRPr="005835DE">
              <w:t>EESC-2025-02576-00-00-AC</w:t>
            </w:r>
          </w:p>
        </w:tc>
      </w:tr>
    </w:tbl>
    <w:p w14:paraId="56948C34" w14:textId="77777777" w:rsidR="00685A3A" w:rsidRPr="005835DE" w:rsidRDefault="00685A3A" w:rsidP="00685A3A">
      <w:pPr>
        <w:keepNext/>
        <w:keepLines/>
        <w:tabs>
          <w:tab w:val="center" w:pos="284"/>
        </w:tabs>
        <w:overflowPunct w:val="0"/>
        <w:autoSpaceDE w:val="0"/>
        <w:autoSpaceDN w:val="0"/>
        <w:adjustRightInd w:val="0"/>
        <w:ind w:left="266" w:hanging="266"/>
        <w:textAlignment w:val="baseline"/>
        <w:rPr>
          <w:b/>
          <w:lang w:val="pt-PT"/>
        </w:rPr>
      </w:pPr>
    </w:p>
    <w:p w14:paraId="1BD3853A" w14:textId="77777777" w:rsidR="00685A3A" w:rsidRPr="005835DE" w:rsidRDefault="00685A3A" w:rsidP="00685A3A">
      <w:pPr>
        <w:keepNext/>
        <w:keepLines/>
        <w:tabs>
          <w:tab w:val="center" w:pos="284"/>
        </w:tabs>
        <w:overflowPunct w:val="0"/>
        <w:autoSpaceDE w:val="0"/>
        <w:autoSpaceDN w:val="0"/>
        <w:adjustRightInd w:val="0"/>
        <w:ind w:left="266" w:hanging="266"/>
        <w:textAlignment w:val="baseline"/>
        <w:rPr>
          <w:b/>
        </w:rPr>
      </w:pPr>
      <w:r w:rsidRPr="005835DE">
        <w:rPr>
          <w:b/>
        </w:rPr>
        <w:t>Punti principali</w:t>
      </w:r>
    </w:p>
    <w:p w14:paraId="1CAACFD9" w14:textId="77777777" w:rsidR="00685A3A" w:rsidRPr="005835DE" w:rsidRDefault="00685A3A" w:rsidP="00685A3A">
      <w:pPr>
        <w:keepNext/>
        <w:keepLines/>
        <w:tabs>
          <w:tab w:val="center" w:pos="284"/>
        </w:tabs>
        <w:overflowPunct w:val="0"/>
        <w:autoSpaceDE w:val="0"/>
        <w:autoSpaceDN w:val="0"/>
        <w:adjustRightInd w:val="0"/>
        <w:ind w:left="266" w:hanging="266"/>
        <w:textAlignment w:val="baseline"/>
        <w:rPr>
          <w:bCs/>
          <w:lang w:val="en-GB"/>
        </w:rPr>
      </w:pPr>
    </w:p>
    <w:p w14:paraId="5FF48023" w14:textId="77777777" w:rsidR="00685A3A" w:rsidRPr="005835DE" w:rsidRDefault="00685A3A" w:rsidP="00685A3A">
      <w:pPr>
        <w:overflowPunct w:val="0"/>
        <w:autoSpaceDE w:val="0"/>
        <w:autoSpaceDN w:val="0"/>
        <w:adjustRightInd w:val="0"/>
        <w:textAlignment w:val="baseline"/>
        <w:rPr>
          <w:bCs/>
          <w:iCs/>
        </w:rPr>
      </w:pPr>
      <w:r w:rsidRPr="005835DE">
        <w:t>Il CESE:</w:t>
      </w:r>
    </w:p>
    <w:p w14:paraId="2BFD330A" w14:textId="77777777" w:rsidR="0068013D" w:rsidRPr="005835DE" w:rsidRDefault="0068013D" w:rsidP="00685A3A">
      <w:pPr>
        <w:overflowPunct w:val="0"/>
        <w:autoSpaceDE w:val="0"/>
        <w:autoSpaceDN w:val="0"/>
        <w:adjustRightInd w:val="0"/>
        <w:textAlignment w:val="baseline"/>
        <w:rPr>
          <w:bCs/>
          <w:iCs/>
          <w:lang w:val="en-GB"/>
        </w:rPr>
      </w:pPr>
    </w:p>
    <w:p w14:paraId="41E4A36B" w14:textId="77777777" w:rsidR="00685A3A" w:rsidRPr="005835DE" w:rsidRDefault="00685A3A" w:rsidP="00552363">
      <w:pPr>
        <w:numPr>
          <w:ilvl w:val="0"/>
          <w:numId w:val="27"/>
        </w:numPr>
        <w:overflowPunct w:val="0"/>
        <w:autoSpaceDE w:val="0"/>
        <w:autoSpaceDN w:val="0"/>
        <w:adjustRightInd w:val="0"/>
        <w:ind w:left="426" w:hanging="426"/>
        <w:textAlignment w:val="baseline"/>
      </w:pPr>
      <w:r w:rsidRPr="005835DE">
        <w:t>sostiene l'introduzione di un Fondo europeo per la competitività (</w:t>
      </w:r>
      <w:r w:rsidRPr="005835DE">
        <w:rPr>
          <w:i/>
          <w:iCs/>
        </w:rPr>
        <w:t>European Competitiveness Fund</w:t>
      </w:r>
      <w:r w:rsidRPr="005835DE">
        <w:t xml:space="preserve"> - "ECF") quale chiave di volta del futuro bilancio dell'UE e motore in materia di innovazione, resilienza e sicurezza, sottolineando che </w:t>
      </w:r>
      <w:r w:rsidRPr="005835DE">
        <w:rPr>
          <w:b/>
          <w:bCs/>
        </w:rPr>
        <w:t>i relativi finanziamenti devono rimanere saldamente allineati ai principi di sostenibilità e di economia sociale di mercato dell'UE</w:t>
      </w:r>
      <w:r w:rsidRPr="005835DE">
        <w:t>;</w:t>
      </w:r>
    </w:p>
    <w:p w14:paraId="7B5E1E81" w14:textId="77777777" w:rsidR="00685A3A" w:rsidRPr="005835DE" w:rsidRDefault="00685A3A" w:rsidP="00552363">
      <w:pPr>
        <w:numPr>
          <w:ilvl w:val="0"/>
          <w:numId w:val="27"/>
        </w:numPr>
        <w:overflowPunct w:val="0"/>
        <w:autoSpaceDE w:val="0"/>
        <w:autoSpaceDN w:val="0"/>
        <w:adjustRightInd w:val="0"/>
        <w:ind w:left="426" w:hanging="426"/>
        <w:textAlignment w:val="baseline"/>
      </w:pPr>
      <w:r w:rsidRPr="005835DE">
        <w:t>chiede che l</w:t>
      </w:r>
      <w:r w:rsidRPr="005835DE">
        <w:rPr>
          <w:b/>
          <w:bCs/>
        </w:rPr>
        <w:t>a selezione dei progetti a livello dell'UE avvenga in base al merito</w:t>
      </w:r>
      <w:r w:rsidRPr="005835DE">
        <w:t xml:space="preserve">, con criteri guida chiari come l'eccellenza, l'orientamento verso il futuro e il potenziale economico. Per </w:t>
      </w:r>
      <w:r w:rsidRPr="005835DE">
        <w:rPr>
          <w:b/>
          <w:bCs/>
        </w:rPr>
        <w:t>evitare che venga posto un "filtro" a livello nazionale</w:t>
      </w:r>
      <w:r w:rsidRPr="005835DE">
        <w:t>, chiede altresì procedure trasparenti, parità di accesso per i richiedenti in tutti gli Stati membri e il coinvolgimento attivo delle parti sociali e della società civile nella governance dell'ECF;</w:t>
      </w:r>
    </w:p>
    <w:p w14:paraId="64C52483" w14:textId="77777777" w:rsidR="00685A3A" w:rsidRPr="005835DE" w:rsidRDefault="00685A3A" w:rsidP="00552363">
      <w:pPr>
        <w:numPr>
          <w:ilvl w:val="0"/>
          <w:numId w:val="27"/>
        </w:numPr>
        <w:overflowPunct w:val="0"/>
        <w:autoSpaceDE w:val="0"/>
        <w:autoSpaceDN w:val="0"/>
        <w:adjustRightInd w:val="0"/>
        <w:ind w:left="426" w:hanging="426"/>
        <w:textAlignment w:val="baseline"/>
      </w:pPr>
      <w:r w:rsidRPr="005835DE">
        <w:rPr>
          <w:b/>
          <w:bCs/>
        </w:rPr>
        <w:t>raccomanda l'introduzione del requisito di un "referendum del mercato"</w:t>
      </w:r>
      <w:r w:rsidRPr="005835DE">
        <w:t>, in base al quale i progetti per i quali viene richiesto un importante sostegno integrativo – come gli IPCEI o altri investimenti su larga scala – debbano prima di tutto raccogliere sul mercato una certa quota di finanziamenti privati. Questo meccanismo basato su un test del mercato contribuirebbe a convalidare la qualità dei progetti, ridurre il numero di decisioni di finanziamento politicizzate e rafforzare il collegamento tra sostegno erogato con fondi pubblici e competitività reale;</w:t>
      </w:r>
    </w:p>
    <w:p w14:paraId="7A1693EC" w14:textId="77777777" w:rsidR="00685A3A" w:rsidRPr="005835DE" w:rsidRDefault="00685A3A" w:rsidP="00552363">
      <w:pPr>
        <w:numPr>
          <w:ilvl w:val="0"/>
          <w:numId w:val="27"/>
        </w:numPr>
        <w:overflowPunct w:val="0"/>
        <w:autoSpaceDE w:val="0"/>
        <w:autoSpaceDN w:val="0"/>
        <w:adjustRightInd w:val="0"/>
        <w:ind w:left="426" w:hanging="426"/>
        <w:textAlignment w:val="baseline"/>
      </w:pPr>
      <w:r w:rsidRPr="005835DE">
        <w:rPr>
          <w:b/>
          <w:bCs/>
        </w:rPr>
        <w:t>sottolinea la necessità di solidi strumenti di valutazione e prevenzione dei rischi</w:t>
      </w:r>
      <w:r w:rsidRPr="005835DE">
        <w:t>, per garantire che le risorse dell'ECF siano convogliate solo verso progetti che migliorino realmente la competitività dell'Europa ed evitino che i programmi di finanziamento dell'UE presentino le stesse lacune o carenze constatate in passato;</w:t>
      </w:r>
    </w:p>
    <w:p w14:paraId="4F35B8DF" w14:textId="77777777" w:rsidR="00685A3A" w:rsidRPr="005835DE" w:rsidRDefault="00685A3A" w:rsidP="00552363">
      <w:pPr>
        <w:numPr>
          <w:ilvl w:val="0"/>
          <w:numId w:val="27"/>
        </w:numPr>
        <w:overflowPunct w:val="0"/>
        <w:autoSpaceDE w:val="0"/>
        <w:autoSpaceDN w:val="0"/>
        <w:adjustRightInd w:val="0"/>
        <w:ind w:left="426" w:hanging="426"/>
        <w:textAlignment w:val="baseline"/>
      </w:pPr>
      <w:r w:rsidRPr="005835DE">
        <w:t xml:space="preserve">sottolinea l'importanza di </w:t>
      </w:r>
      <w:r w:rsidRPr="005835DE">
        <w:rPr>
          <w:b/>
          <w:bCs/>
        </w:rPr>
        <w:t>sostenere le PMI, gli ecosistemi regionali e transfrontalieri dell'innovazione nonché investimenti nelle competenze e nel lavoro dignitoso</w:t>
      </w:r>
      <w:r w:rsidRPr="005835DE">
        <w:t>, semplificando nel contempo le procedure e garantendo una governance trasparente, prevedibile e inclusiva.</w:t>
      </w:r>
    </w:p>
    <w:tbl>
      <w:tblPr>
        <w:tblStyle w:val="TableGrid1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7"/>
        <w:gridCol w:w="5286"/>
      </w:tblGrid>
      <w:tr w:rsidR="00685A3A" w:rsidRPr="005835DE" w14:paraId="5EE7D4B5" w14:textId="77777777" w:rsidTr="0036489A">
        <w:tc>
          <w:tcPr>
            <w:tcW w:w="742" w:type="pct"/>
          </w:tcPr>
          <w:p w14:paraId="7E3E84A7" w14:textId="6B50AAD3" w:rsidR="00685A3A" w:rsidRPr="005835DE" w:rsidRDefault="00685A3A" w:rsidP="00685A3A">
            <w:pPr>
              <w:overflowPunct w:val="0"/>
              <w:autoSpaceDE w:val="0"/>
              <w:autoSpaceDN w:val="0"/>
              <w:adjustRightInd w:val="0"/>
              <w:textAlignment w:val="baseline"/>
              <w:rPr>
                <w:i/>
              </w:rPr>
            </w:pPr>
          </w:p>
        </w:tc>
        <w:tc>
          <w:tcPr>
            <w:tcW w:w="4258" w:type="pct"/>
          </w:tcPr>
          <w:p w14:paraId="3F73F76D" w14:textId="15EE200F" w:rsidR="00685A3A" w:rsidRPr="005835DE" w:rsidRDefault="00685A3A" w:rsidP="00685A3A">
            <w:pPr>
              <w:overflowPunct w:val="0"/>
              <w:autoSpaceDE w:val="0"/>
              <w:autoSpaceDN w:val="0"/>
              <w:adjustRightInd w:val="0"/>
              <w:textAlignment w:val="baseline"/>
              <w:rPr>
                <w:i/>
              </w:rPr>
            </w:pPr>
          </w:p>
        </w:tc>
      </w:tr>
      <w:tr w:rsidR="00685A3A" w:rsidRPr="005835DE" w14:paraId="1DB97510" w14:textId="77777777" w:rsidTr="0036489A">
        <w:tc>
          <w:tcPr>
            <w:tcW w:w="742" w:type="pct"/>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9"/>
              <w:gridCol w:w="2572"/>
            </w:tblGrid>
            <w:tr w:rsidR="00E13363" w:rsidRPr="005835DE" w14:paraId="014CFA79" w14:textId="77777777" w:rsidTr="0036489A">
              <w:tc>
                <w:tcPr>
                  <w:tcW w:w="742" w:type="pct"/>
                </w:tcPr>
                <w:p w14:paraId="7EB958FC" w14:textId="77777777" w:rsidR="00E13363" w:rsidRPr="005835DE" w:rsidRDefault="00E13363" w:rsidP="00E13363">
                  <w:pPr>
                    <w:rPr>
                      <w:i/>
                    </w:rPr>
                  </w:pPr>
                  <w:r w:rsidRPr="005835DE">
                    <w:rPr>
                      <w:b/>
                      <w:i/>
                    </w:rPr>
                    <w:t>Contatto</w:t>
                  </w:r>
                </w:p>
              </w:tc>
              <w:tc>
                <w:tcPr>
                  <w:tcW w:w="4258" w:type="pct"/>
                </w:tcPr>
                <w:p w14:paraId="2797B023" w14:textId="00679360" w:rsidR="00E13363" w:rsidRPr="005835DE" w:rsidRDefault="00E13363" w:rsidP="00E13363">
                  <w:pPr>
                    <w:rPr>
                      <w:i/>
                    </w:rPr>
                  </w:pPr>
                  <w:r w:rsidRPr="005835DE">
                    <w:rPr>
                      <w:i/>
                    </w:rPr>
                    <w:t>Silvia STAFFA</w:t>
                  </w:r>
                </w:p>
              </w:tc>
            </w:tr>
            <w:tr w:rsidR="00E13363" w:rsidRPr="005835DE" w14:paraId="545C7BC0" w14:textId="77777777" w:rsidTr="0036489A">
              <w:tc>
                <w:tcPr>
                  <w:tcW w:w="742" w:type="pct"/>
                </w:tcPr>
                <w:p w14:paraId="01319993" w14:textId="77777777" w:rsidR="00E13363" w:rsidRPr="005835DE" w:rsidRDefault="00E13363" w:rsidP="00E13363">
                  <w:pPr>
                    <w:rPr>
                      <w:i/>
                    </w:rPr>
                  </w:pPr>
                  <w:r w:rsidRPr="005835DE">
                    <w:rPr>
                      <w:i/>
                    </w:rPr>
                    <w:t>Tel.</w:t>
                  </w:r>
                </w:p>
              </w:tc>
              <w:tc>
                <w:tcPr>
                  <w:tcW w:w="4258" w:type="pct"/>
                </w:tcPr>
                <w:p w14:paraId="66DD56EC" w14:textId="77777777" w:rsidR="00E13363" w:rsidRPr="005835DE" w:rsidRDefault="00E13363" w:rsidP="00E13363">
                  <w:pPr>
                    <w:rPr>
                      <w:i/>
                    </w:rPr>
                  </w:pPr>
                  <w:r w:rsidRPr="005835DE">
                    <w:rPr>
                      <w:i/>
                    </w:rPr>
                    <w:t>+32 254 68378</w:t>
                  </w:r>
                </w:p>
              </w:tc>
            </w:tr>
            <w:tr w:rsidR="00E13363" w:rsidRPr="005835DE" w14:paraId="4CC970C9" w14:textId="77777777" w:rsidTr="0036489A">
              <w:tc>
                <w:tcPr>
                  <w:tcW w:w="742" w:type="pct"/>
                </w:tcPr>
                <w:p w14:paraId="7B046870" w14:textId="1E8CECC6" w:rsidR="00E13363" w:rsidRPr="005835DE" w:rsidRDefault="00332E33" w:rsidP="00E13363">
                  <w:pPr>
                    <w:rPr>
                      <w:i/>
                    </w:rPr>
                  </w:pPr>
                  <w:r w:rsidRPr="005835DE">
                    <w:rPr>
                      <w:i/>
                    </w:rPr>
                    <w:t>E</w:t>
                  </w:r>
                  <w:r w:rsidR="00E13363" w:rsidRPr="005835DE">
                    <w:rPr>
                      <w:i/>
                    </w:rPr>
                    <w:t>-mail</w:t>
                  </w:r>
                </w:p>
              </w:tc>
              <w:tc>
                <w:tcPr>
                  <w:tcW w:w="4258" w:type="pct"/>
                </w:tcPr>
                <w:p w14:paraId="73277BE8" w14:textId="77777777" w:rsidR="00E13363" w:rsidRPr="005835DE" w:rsidRDefault="00520E78" w:rsidP="00E13363">
                  <w:pPr>
                    <w:rPr>
                      <w:i/>
                      <w:iCs/>
                      <w:sz w:val="20"/>
                    </w:rPr>
                  </w:pPr>
                  <w:hyperlink r:id="rId39" w:history="1">
                    <w:r w:rsidR="00A27BD2" w:rsidRPr="005835DE">
                      <w:rPr>
                        <w:rStyle w:val="Hyperlink"/>
                        <w:i/>
                        <w:sz w:val="20"/>
                      </w:rPr>
                      <w:t>Silvia.Staffa@eesc.europa.eu</w:t>
                    </w:r>
                  </w:hyperlink>
                </w:p>
              </w:tc>
            </w:tr>
          </w:tbl>
          <w:p w14:paraId="7ED801DC" w14:textId="10B65685" w:rsidR="00685A3A" w:rsidRPr="005835DE" w:rsidRDefault="00685A3A" w:rsidP="00685A3A">
            <w:pPr>
              <w:overflowPunct w:val="0"/>
              <w:autoSpaceDE w:val="0"/>
              <w:autoSpaceDN w:val="0"/>
              <w:adjustRightInd w:val="0"/>
              <w:textAlignment w:val="baseline"/>
              <w:rPr>
                <w:i/>
              </w:rPr>
            </w:pPr>
          </w:p>
        </w:tc>
        <w:tc>
          <w:tcPr>
            <w:tcW w:w="4258" w:type="pct"/>
          </w:tcPr>
          <w:p w14:paraId="3FCC5A85" w14:textId="77777777" w:rsidR="00685A3A" w:rsidRPr="005835DE" w:rsidRDefault="00685A3A" w:rsidP="00685A3A">
            <w:pPr>
              <w:overflowPunct w:val="0"/>
              <w:autoSpaceDE w:val="0"/>
              <w:autoSpaceDN w:val="0"/>
              <w:adjustRightInd w:val="0"/>
              <w:textAlignment w:val="baseline"/>
              <w:rPr>
                <w:i/>
              </w:rPr>
            </w:pPr>
          </w:p>
        </w:tc>
      </w:tr>
    </w:tbl>
    <w:p w14:paraId="488199D1" w14:textId="4BC42091" w:rsidR="00685A3A" w:rsidRPr="005835DE" w:rsidRDefault="00685A3A" w:rsidP="00685A3A">
      <w:pPr>
        <w:widowControl w:val="0"/>
        <w:numPr>
          <w:ilvl w:val="0"/>
          <w:numId w:val="4"/>
        </w:numPr>
        <w:overflowPunct w:val="0"/>
        <w:autoSpaceDE w:val="0"/>
        <w:autoSpaceDN w:val="0"/>
        <w:adjustRightInd w:val="0"/>
        <w:ind w:hanging="567"/>
        <w:textAlignment w:val="baseline"/>
        <w:rPr>
          <w:sz w:val="28"/>
          <w:szCs w:val="28"/>
        </w:rPr>
      </w:pPr>
      <w:r w:rsidRPr="005835DE">
        <w:br w:type="page"/>
      </w:r>
      <w:hyperlink r:id="rId40" w:history="1">
        <w:r w:rsidRPr="005835DE">
          <w:rPr>
            <w:b/>
            <w:i/>
            <w:color w:val="0000FF"/>
            <w:sz w:val="28"/>
            <w:szCs w:val="28"/>
            <w:u w:val="single"/>
          </w:rPr>
          <w:t>Revisione del quadro giuridico dell'UE in materia di appalti pubblici</w:t>
        </w:r>
      </w:hyperlink>
    </w:p>
    <w:p w14:paraId="2EF6D0F3" w14:textId="77777777" w:rsidR="00685A3A" w:rsidRPr="005835DE" w:rsidRDefault="00685A3A" w:rsidP="00685A3A">
      <w:pPr>
        <w:tabs>
          <w:tab w:val="center" w:pos="284"/>
        </w:tabs>
        <w:overflowPunct w:val="0"/>
        <w:autoSpaceDE w:val="0"/>
        <w:autoSpaceDN w:val="0"/>
        <w:adjustRightInd w:val="0"/>
        <w:ind w:left="266" w:hanging="266"/>
        <w:textAlignment w:val="baseline"/>
        <w:rPr>
          <w:b/>
        </w:rPr>
      </w:pPr>
    </w:p>
    <w:tbl>
      <w:tblPr>
        <w:tblStyle w:val="TableGrid11"/>
        <w:tblW w:w="494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7"/>
        <w:gridCol w:w="6979"/>
      </w:tblGrid>
      <w:tr w:rsidR="00685A3A" w:rsidRPr="005835DE" w14:paraId="6187CB39" w14:textId="77777777" w:rsidTr="00552363">
        <w:trPr>
          <w:trHeight w:val="289"/>
        </w:trPr>
        <w:tc>
          <w:tcPr>
            <w:tcW w:w="1108" w:type="pct"/>
          </w:tcPr>
          <w:p w14:paraId="4DBAD4F1" w14:textId="4FCC7196" w:rsidR="00685A3A" w:rsidRPr="005835DE" w:rsidRDefault="00332E33" w:rsidP="00685A3A">
            <w:pPr>
              <w:tabs>
                <w:tab w:val="center" w:pos="284"/>
              </w:tabs>
              <w:overflowPunct w:val="0"/>
              <w:autoSpaceDE w:val="0"/>
              <w:autoSpaceDN w:val="0"/>
              <w:adjustRightInd w:val="0"/>
              <w:ind w:left="266" w:hanging="266"/>
              <w:textAlignment w:val="baseline"/>
              <w:rPr>
                <w:b/>
              </w:rPr>
            </w:pPr>
            <w:r w:rsidRPr="005835DE">
              <w:rPr>
                <w:b/>
              </w:rPr>
              <w:t>Relatore</w:t>
            </w:r>
          </w:p>
        </w:tc>
        <w:tc>
          <w:tcPr>
            <w:tcW w:w="3892" w:type="pct"/>
          </w:tcPr>
          <w:p w14:paraId="1387F327" w14:textId="3E223F4E" w:rsidR="00685A3A" w:rsidRPr="005835DE" w:rsidRDefault="00685A3A" w:rsidP="00685A3A">
            <w:pPr>
              <w:tabs>
                <w:tab w:val="center" w:pos="0"/>
              </w:tabs>
              <w:overflowPunct w:val="0"/>
              <w:autoSpaceDE w:val="0"/>
              <w:autoSpaceDN w:val="0"/>
              <w:adjustRightInd w:val="0"/>
              <w:ind w:left="266" w:hanging="266"/>
              <w:textAlignment w:val="baseline"/>
            </w:pPr>
            <w:r w:rsidRPr="005835DE">
              <w:t>Philip VON BROCKDORFF (Lavoratori - MT)</w:t>
            </w:r>
          </w:p>
        </w:tc>
      </w:tr>
      <w:tr w:rsidR="00552363" w:rsidRPr="005835DE" w14:paraId="4866D823" w14:textId="77777777" w:rsidTr="00552363">
        <w:trPr>
          <w:trHeight w:val="138"/>
        </w:trPr>
        <w:tc>
          <w:tcPr>
            <w:tcW w:w="1108" w:type="pct"/>
          </w:tcPr>
          <w:p w14:paraId="59628F50" w14:textId="77777777" w:rsidR="00552363" w:rsidRPr="005835DE" w:rsidRDefault="00552363" w:rsidP="00685A3A">
            <w:pPr>
              <w:tabs>
                <w:tab w:val="center" w:pos="284"/>
              </w:tabs>
              <w:overflowPunct w:val="0"/>
              <w:autoSpaceDE w:val="0"/>
              <w:autoSpaceDN w:val="0"/>
              <w:adjustRightInd w:val="0"/>
              <w:ind w:left="266" w:hanging="266"/>
              <w:textAlignment w:val="baseline"/>
              <w:rPr>
                <w:b/>
                <w:sz w:val="16"/>
                <w:szCs w:val="16"/>
              </w:rPr>
            </w:pPr>
          </w:p>
        </w:tc>
        <w:tc>
          <w:tcPr>
            <w:tcW w:w="3892" w:type="pct"/>
          </w:tcPr>
          <w:p w14:paraId="3520DA63" w14:textId="77777777" w:rsidR="00552363" w:rsidRPr="005835DE" w:rsidRDefault="00552363" w:rsidP="00685A3A">
            <w:pPr>
              <w:tabs>
                <w:tab w:val="center" w:pos="0"/>
              </w:tabs>
              <w:overflowPunct w:val="0"/>
              <w:autoSpaceDE w:val="0"/>
              <w:autoSpaceDN w:val="0"/>
              <w:adjustRightInd w:val="0"/>
              <w:ind w:left="266" w:hanging="266"/>
              <w:textAlignment w:val="baseline"/>
              <w:rPr>
                <w:sz w:val="16"/>
                <w:szCs w:val="16"/>
              </w:rPr>
            </w:pPr>
          </w:p>
        </w:tc>
      </w:tr>
      <w:tr w:rsidR="00685A3A" w:rsidRPr="005835DE" w14:paraId="74E460F2" w14:textId="77777777" w:rsidTr="0036489A">
        <w:tc>
          <w:tcPr>
            <w:tcW w:w="1108" w:type="pct"/>
          </w:tcPr>
          <w:p w14:paraId="318C426B" w14:textId="77777777" w:rsidR="00685A3A" w:rsidRPr="005835DE" w:rsidRDefault="00685A3A" w:rsidP="00685A3A">
            <w:pPr>
              <w:tabs>
                <w:tab w:val="center" w:pos="284"/>
              </w:tabs>
              <w:overflowPunct w:val="0"/>
              <w:autoSpaceDE w:val="0"/>
              <w:autoSpaceDN w:val="0"/>
              <w:adjustRightInd w:val="0"/>
              <w:ind w:left="266" w:hanging="266"/>
              <w:textAlignment w:val="baseline"/>
              <w:rPr>
                <w:b/>
              </w:rPr>
            </w:pPr>
            <w:r w:rsidRPr="005835DE">
              <w:rPr>
                <w:b/>
              </w:rPr>
              <w:t>Riferimento</w:t>
            </w:r>
          </w:p>
        </w:tc>
        <w:tc>
          <w:tcPr>
            <w:tcW w:w="3892" w:type="pct"/>
          </w:tcPr>
          <w:p w14:paraId="6CDCCE3F" w14:textId="74C336A8" w:rsidR="00685A3A" w:rsidRPr="005835DE" w:rsidRDefault="00685A3A" w:rsidP="00685A3A">
            <w:pPr>
              <w:tabs>
                <w:tab w:val="center" w:pos="284"/>
              </w:tabs>
              <w:overflowPunct w:val="0"/>
              <w:autoSpaceDE w:val="0"/>
              <w:autoSpaceDN w:val="0"/>
              <w:adjustRightInd w:val="0"/>
              <w:ind w:left="266" w:hanging="266"/>
              <w:textAlignment w:val="baseline"/>
            </w:pPr>
            <w:r w:rsidRPr="005835DE">
              <w:t>Parere esplorativo richiesto dalla Commissione europea</w:t>
            </w:r>
          </w:p>
          <w:p w14:paraId="6DE13CBF" w14:textId="77777777" w:rsidR="00685A3A" w:rsidRPr="005835DE" w:rsidRDefault="00685A3A" w:rsidP="00685A3A">
            <w:pPr>
              <w:tabs>
                <w:tab w:val="center" w:pos="284"/>
              </w:tabs>
              <w:overflowPunct w:val="0"/>
              <w:autoSpaceDE w:val="0"/>
              <w:autoSpaceDN w:val="0"/>
              <w:adjustRightInd w:val="0"/>
              <w:ind w:left="266" w:hanging="266"/>
              <w:textAlignment w:val="baseline"/>
            </w:pPr>
            <w:r w:rsidRPr="005835DE">
              <w:t>EESC-2025-01402-00-00-AC</w:t>
            </w:r>
          </w:p>
        </w:tc>
      </w:tr>
    </w:tbl>
    <w:p w14:paraId="786823F7" w14:textId="77777777" w:rsidR="00685A3A" w:rsidRPr="005835DE" w:rsidRDefault="00685A3A" w:rsidP="00685A3A">
      <w:pPr>
        <w:keepNext/>
        <w:keepLines/>
        <w:tabs>
          <w:tab w:val="center" w:pos="284"/>
        </w:tabs>
        <w:overflowPunct w:val="0"/>
        <w:autoSpaceDE w:val="0"/>
        <w:autoSpaceDN w:val="0"/>
        <w:adjustRightInd w:val="0"/>
        <w:ind w:left="266" w:hanging="266"/>
        <w:textAlignment w:val="baseline"/>
        <w:rPr>
          <w:b/>
          <w:lang w:val="en-GB"/>
        </w:rPr>
      </w:pPr>
    </w:p>
    <w:p w14:paraId="4E38A4E7" w14:textId="77777777" w:rsidR="00685A3A" w:rsidRPr="005835DE" w:rsidRDefault="00685A3A" w:rsidP="00685A3A">
      <w:pPr>
        <w:keepNext/>
        <w:keepLines/>
        <w:tabs>
          <w:tab w:val="center" w:pos="284"/>
        </w:tabs>
        <w:overflowPunct w:val="0"/>
        <w:autoSpaceDE w:val="0"/>
        <w:autoSpaceDN w:val="0"/>
        <w:adjustRightInd w:val="0"/>
        <w:ind w:left="266" w:hanging="266"/>
        <w:textAlignment w:val="baseline"/>
        <w:rPr>
          <w:b/>
        </w:rPr>
      </w:pPr>
      <w:r w:rsidRPr="005835DE">
        <w:rPr>
          <w:b/>
        </w:rPr>
        <w:t>Punti principali</w:t>
      </w:r>
    </w:p>
    <w:p w14:paraId="6E1B1A97" w14:textId="77777777" w:rsidR="00685A3A" w:rsidRPr="005835DE" w:rsidRDefault="00685A3A" w:rsidP="00685A3A">
      <w:pPr>
        <w:keepNext/>
        <w:keepLines/>
        <w:tabs>
          <w:tab w:val="center" w:pos="284"/>
        </w:tabs>
        <w:overflowPunct w:val="0"/>
        <w:autoSpaceDE w:val="0"/>
        <w:autoSpaceDN w:val="0"/>
        <w:adjustRightInd w:val="0"/>
        <w:ind w:left="266" w:hanging="266"/>
        <w:textAlignment w:val="baseline"/>
        <w:rPr>
          <w:bCs/>
          <w:lang w:val="en-GB"/>
        </w:rPr>
      </w:pPr>
    </w:p>
    <w:p w14:paraId="20D8098B" w14:textId="77777777" w:rsidR="00685A3A" w:rsidRPr="005835DE" w:rsidRDefault="00685A3A" w:rsidP="00685A3A">
      <w:pPr>
        <w:overflowPunct w:val="0"/>
        <w:autoSpaceDE w:val="0"/>
        <w:autoSpaceDN w:val="0"/>
        <w:adjustRightInd w:val="0"/>
        <w:textAlignment w:val="baseline"/>
        <w:rPr>
          <w:bCs/>
          <w:iCs/>
        </w:rPr>
      </w:pPr>
      <w:r w:rsidRPr="005835DE">
        <w:t>Il CESE:</w:t>
      </w:r>
    </w:p>
    <w:p w14:paraId="70A20C64" w14:textId="77777777" w:rsidR="00665929" w:rsidRPr="005835DE" w:rsidRDefault="00665929" w:rsidP="00685A3A">
      <w:pPr>
        <w:overflowPunct w:val="0"/>
        <w:autoSpaceDE w:val="0"/>
        <w:autoSpaceDN w:val="0"/>
        <w:adjustRightInd w:val="0"/>
        <w:textAlignment w:val="baseline"/>
        <w:rPr>
          <w:lang w:val="en-GB"/>
        </w:rPr>
      </w:pPr>
    </w:p>
    <w:p w14:paraId="1AF2E88C" w14:textId="77777777" w:rsidR="00685A3A" w:rsidRPr="005835DE" w:rsidRDefault="00685A3A" w:rsidP="00552363">
      <w:pPr>
        <w:numPr>
          <w:ilvl w:val="0"/>
          <w:numId w:val="28"/>
        </w:numPr>
        <w:overflowPunct w:val="0"/>
        <w:autoSpaceDE w:val="0"/>
        <w:autoSpaceDN w:val="0"/>
        <w:adjustRightInd w:val="0"/>
        <w:spacing w:line="276" w:lineRule="auto"/>
        <w:ind w:left="426" w:hanging="426"/>
        <w:contextualSpacing/>
        <w:textAlignment w:val="baseline"/>
      </w:pPr>
      <w:r w:rsidRPr="005835DE">
        <w:t>concorda sulla necessità di rivedere la legislazione vigente dell'UE per migliorare la semplificazione, ridurre i costi amministrativi e promuovere un'ulteriore armonizzazione del mercato unico;</w:t>
      </w:r>
    </w:p>
    <w:p w14:paraId="73D00E89" w14:textId="77777777" w:rsidR="00685A3A" w:rsidRPr="005835DE" w:rsidRDefault="00685A3A" w:rsidP="00552363">
      <w:pPr>
        <w:numPr>
          <w:ilvl w:val="0"/>
          <w:numId w:val="28"/>
        </w:numPr>
        <w:overflowPunct w:val="0"/>
        <w:autoSpaceDE w:val="0"/>
        <w:autoSpaceDN w:val="0"/>
        <w:adjustRightInd w:val="0"/>
        <w:spacing w:line="276" w:lineRule="auto"/>
        <w:ind w:left="426" w:hanging="426"/>
        <w:contextualSpacing/>
        <w:textAlignment w:val="baseline"/>
      </w:pPr>
      <w:r w:rsidRPr="005835DE">
        <w:t>è del parere che una politica dell'UE sostenibile in materia di appalti possa andare oltre il ristretto paradigma del fallimento del mercato, consentendo appalti strategici orientati al benessere pubblico, e possa inoltre sancire criteri sociali, ambientali e di innovazione ponendoli come obiettivi di pari importanza, nonché garantire un accesso equo agli appalti da parte degli operatori privati;</w:t>
      </w:r>
    </w:p>
    <w:p w14:paraId="0FCA8925" w14:textId="77777777" w:rsidR="00685A3A" w:rsidRPr="005835DE" w:rsidRDefault="00685A3A" w:rsidP="00552363">
      <w:pPr>
        <w:numPr>
          <w:ilvl w:val="0"/>
          <w:numId w:val="28"/>
        </w:numPr>
        <w:overflowPunct w:val="0"/>
        <w:autoSpaceDE w:val="0"/>
        <w:autoSpaceDN w:val="0"/>
        <w:adjustRightInd w:val="0"/>
        <w:spacing w:line="276" w:lineRule="auto"/>
        <w:ind w:left="426" w:hanging="426"/>
        <w:contextualSpacing/>
        <w:textAlignment w:val="baseline"/>
      </w:pPr>
      <w:r w:rsidRPr="005835DE">
        <w:t>ritiene che gli appalti pubblici debbano essere aggiudicati sulla base del criterio dell'"offerta economicamente più vantaggiosa", sottolineando nel contempo l'importanza di criteri diversi dal prezzo, quali la qualità, l'innovazione e considerazioni sociali, ambientali e di sostenibilità, soprattutto in materia di diritti dei lavoratori e di contratti collettivi;</w:t>
      </w:r>
    </w:p>
    <w:p w14:paraId="67FC0F27" w14:textId="77777777" w:rsidR="00685A3A" w:rsidRPr="005835DE" w:rsidRDefault="00685A3A" w:rsidP="00552363">
      <w:pPr>
        <w:numPr>
          <w:ilvl w:val="0"/>
          <w:numId w:val="28"/>
        </w:numPr>
        <w:overflowPunct w:val="0"/>
        <w:autoSpaceDE w:val="0"/>
        <w:autoSpaceDN w:val="0"/>
        <w:adjustRightInd w:val="0"/>
        <w:spacing w:line="276" w:lineRule="auto"/>
        <w:ind w:left="426" w:hanging="426"/>
        <w:contextualSpacing/>
        <w:textAlignment w:val="baseline"/>
      </w:pPr>
      <w:r w:rsidRPr="005835DE">
        <w:t>chiede che venga adottato un approccio a tutto campo alle politiche in materia di servizi di interesse generale (SIG);</w:t>
      </w:r>
    </w:p>
    <w:p w14:paraId="4BDE4CA5" w14:textId="77777777" w:rsidR="00685A3A" w:rsidRPr="005835DE" w:rsidRDefault="00685A3A" w:rsidP="00552363">
      <w:pPr>
        <w:numPr>
          <w:ilvl w:val="0"/>
          <w:numId w:val="28"/>
        </w:numPr>
        <w:overflowPunct w:val="0"/>
        <w:autoSpaceDE w:val="0"/>
        <w:autoSpaceDN w:val="0"/>
        <w:adjustRightInd w:val="0"/>
        <w:spacing w:line="276" w:lineRule="auto"/>
        <w:ind w:left="426" w:hanging="426"/>
        <w:contextualSpacing/>
        <w:textAlignment w:val="baseline"/>
      </w:pPr>
      <w:r w:rsidRPr="005835DE">
        <w:t>reputa che gli appalti pubblici non debbano essere aggiudicati a imprese che violano sistematicamente i diritti fondamentali dei lavoratori o i contratti collettivi cui sono vincolate;</w:t>
      </w:r>
    </w:p>
    <w:p w14:paraId="2A2F2AFD" w14:textId="77777777" w:rsidR="00685A3A" w:rsidRPr="005835DE" w:rsidRDefault="00685A3A" w:rsidP="00552363">
      <w:pPr>
        <w:numPr>
          <w:ilvl w:val="0"/>
          <w:numId w:val="28"/>
        </w:numPr>
        <w:overflowPunct w:val="0"/>
        <w:autoSpaceDE w:val="0"/>
        <w:autoSpaceDN w:val="0"/>
        <w:adjustRightInd w:val="0"/>
        <w:spacing w:line="276" w:lineRule="auto"/>
        <w:ind w:left="426" w:hanging="426"/>
        <w:contextualSpacing/>
        <w:textAlignment w:val="baseline"/>
      </w:pPr>
      <w:r w:rsidRPr="005835DE">
        <w:t>ritiene che, purché siano soddisfatti criteri giuridici adeguati e sia garantita la minor distorsione di concorrenza possibile, la possibilità di ricorrere agli appalti "in house" per soggetti giuridici parzialmente controllati e all'aggiudicazione diretta dovrebbe essere mantenuta nell'ambito della revisione delle direttive dell'UE in materia di appalti;</w:t>
      </w:r>
    </w:p>
    <w:p w14:paraId="6E90E59A" w14:textId="77777777" w:rsidR="00685A3A" w:rsidRPr="005835DE" w:rsidRDefault="00685A3A" w:rsidP="00552363">
      <w:pPr>
        <w:numPr>
          <w:ilvl w:val="0"/>
          <w:numId w:val="28"/>
        </w:numPr>
        <w:overflowPunct w:val="0"/>
        <w:autoSpaceDE w:val="0"/>
        <w:autoSpaceDN w:val="0"/>
        <w:adjustRightInd w:val="0"/>
        <w:spacing w:line="276" w:lineRule="auto"/>
        <w:ind w:left="426" w:hanging="426"/>
        <w:contextualSpacing/>
        <w:textAlignment w:val="baseline"/>
      </w:pPr>
      <w:r w:rsidRPr="005835DE">
        <w:t>raccomanda di introdurre l'obbligo giuridico di valutare gli effetti delle soglie applicate agli appalti pubblici di servizi;</w:t>
      </w:r>
    </w:p>
    <w:p w14:paraId="47C53FE7" w14:textId="77777777" w:rsidR="00685A3A" w:rsidRPr="005835DE" w:rsidRDefault="00685A3A" w:rsidP="00552363">
      <w:pPr>
        <w:numPr>
          <w:ilvl w:val="0"/>
          <w:numId w:val="28"/>
        </w:numPr>
        <w:overflowPunct w:val="0"/>
        <w:autoSpaceDE w:val="0"/>
        <w:autoSpaceDN w:val="0"/>
        <w:adjustRightInd w:val="0"/>
        <w:spacing w:line="276" w:lineRule="auto"/>
        <w:ind w:left="426" w:hanging="426"/>
        <w:contextualSpacing/>
        <w:textAlignment w:val="baseline"/>
      </w:pPr>
      <w:r w:rsidRPr="005835DE">
        <w:t>è dell'avviso che gli appalti pubblici possano sostenere un'Europa socialmente giusta, ecologicamente sostenibile ed economicamente resiliente, a vantaggio del bene;</w:t>
      </w:r>
    </w:p>
    <w:p w14:paraId="75315D9A" w14:textId="77777777" w:rsidR="00685A3A" w:rsidRPr="005835DE" w:rsidRDefault="00685A3A" w:rsidP="00552363">
      <w:pPr>
        <w:numPr>
          <w:ilvl w:val="0"/>
          <w:numId w:val="28"/>
        </w:numPr>
        <w:overflowPunct w:val="0"/>
        <w:autoSpaceDE w:val="0"/>
        <w:autoSpaceDN w:val="0"/>
        <w:adjustRightInd w:val="0"/>
        <w:spacing w:line="276" w:lineRule="auto"/>
        <w:ind w:left="426" w:hanging="426"/>
        <w:contextualSpacing/>
        <w:textAlignment w:val="baseline"/>
        <w:rPr>
          <w:rFonts w:ascii="Calibri" w:hAnsi="Calibri"/>
        </w:rPr>
      </w:pPr>
      <w:r w:rsidRPr="005835DE">
        <w:t>chiede che le clausole obbligatorie di revisione dei prezzi tengano conto delle modifiche relative ai salari introdotte nei contratti collettivi e/o nella legislazione in materia di lavoro, nonché dell'inflazione e di altri fattori pertinenti che incidono sull'esecuzione di un appalto, quali i costi dell'energia.</w:t>
      </w:r>
    </w:p>
    <w:p w14:paraId="01E0D13D" w14:textId="77777777" w:rsidR="00685A3A" w:rsidRPr="005835DE" w:rsidRDefault="00685A3A" w:rsidP="00685A3A">
      <w:pPr>
        <w:spacing w:line="276" w:lineRule="auto"/>
        <w:ind w:left="567"/>
        <w:contextualSpacing/>
        <w:rPr>
          <w:rFonts w:ascii="Calibri" w:hAnsi="Calibri"/>
          <w:bCs/>
          <w:iCs/>
          <w:lang w:val="en-GB" w:eastAsia="zh-CN"/>
        </w:rPr>
      </w:pPr>
    </w:p>
    <w:tbl>
      <w:tblPr>
        <w:tblStyle w:val="TableGrid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6"/>
        <w:gridCol w:w="7727"/>
      </w:tblGrid>
      <w:tr w:rsidR="00685A3A" w:rsidRPr="005835DE" w14:paraId="0E43841C" w14:textId="77777777" w:rsidTr="0036489A">
        <w:tc>
          <w:tcPr>
            <w:tcW w:w="742" w:type="pct"/>
          </w:tcPr>
          <w:p w14:paraId="28C7C10B" w14:textId="77777777" w:rsidR="00685A3A" w:rsidRPr="005835DE" w:rsidRDefault="00685A3A" w:rsidP="00685A3A">
            <w:pPr>
              <w:overflowPunct w:val="0"/>
              <w:autoSpaceDE w:val="0"/>
              <w:autoSpaceDN w:val="0"/>
              <w:adjustRightInd w:val="0"/>
              <w:spacing w:line="240" w:lineRule="auto"/>
              <w:textAlignment w:val="baseline"/>
              <w:rPr>
                <w:i/>
              </w:rPr>
            </w:pPr>
            <w:r w:rsidRPr="005835DE">
              <w:rPr>
                <w:b/>
                <w:i/>
              </w:rPr>
              <w:t>Contatto</w:t>
            </w:r>
          </w:p>
        </w:tc>
        <w:tc>
          <w:tcPr>
            <w:tcW w:w="4258" w:type="pct"/>
          </w:tcPr>
          <w:p w14:paraId="1245791A" w14:textId="77777777" w:rsidR="00685A3A" w:rsidRPr="005835DE" w:rsidRDefault="00685A3A" w:rsidP="00685A3A">
            <w:pPr>
              <w:overflowPunct w:val="0"/>
              <w:autoSpaceDE w:val="0"/>
              <w:autoSpaceDN w:val="0"/>
              <w:adjustRightInd w:val="0"/>
              <w:spacing w:line="240" w:lineRule="auto"/>
              <w:textAlignment w:val="baseline"/>
              <w:rPr>
                <w:i/>
              </w:rPr>
            </w:pPr>
            <w:r w:rsidRPr="005835DE">
              <w:rPr>
                <w:i/>
              </w:rPr>
              <w:t>Annalisa TESSAROLO</w:t>
            </w:r>
          </w:p>
        </w:tc>
      </w:tr>
      <w:tr w:rsidR="00685A3A" w:rsidRPr="005835DE" w14:paraId="3DD656A6" w14:textId="77777777" w:rsidTr="0036489A">
        <w:tc>
          <w:tcPr>
            <w:tcW w:w="742" w:type="pct"/>
          </w:tcPr>
          <w:p w14:paraId="4F2FD959" w14:textId="77777777" w:rsidR="00685A3A" w:rsidRPr="005835DE" w:rsidRDefault="00685A3A" w:rsidP="00685A3A">
            <w:pPr>
              <w:overflowPunct w:val="0"/>
              <w:autoSpaceDE w:val="0"/>
              <w:autoSpaceDN w:val="0"/>
              <w:adjustRightInd w:val="0"/>
              <w:spacing w:line="240" w:lineRule="auto"/>
              <w:textAlignment w:val="baseline"/>
              <w:rPr>
                <w:i/>
              </w:rPr>
            </w:pPr>
            <w:r w:rsidRPr="005835DE">
              <w:rPr>
                <w:i/>
              </w:rPr>
              <w:t>Tel.</w:t>
            </w:r>
          </w:p>
        </w:tc>
        <w:tc>
          <w:tcPr>
            <w:tcW w:w="4258" w:type="pct"/>
          </w:tcPr>
          <w:p w14:paraId="79B2077E" w14:textId="77777777" w:rsidR="00685A3A" w:rsidRPr="005835DE" w:rsidRDefault="00685A3A" w:rsidP="00685A3A">
            <w:pPr>
              <w:overflowPunct w:val="0"/>
              <w:autoSpaceDE w:val="0"/>
              <w:autoSpaceDN w:val="0"/>
              <w:adjustRightInd w:val="0"/>
              <w:spacing w:line="240" w:lineRule="auto"/>
              <w:textAlignment w:val="baseline"/>
              <w:rPr>
                <w:i/>
              </w:rPr>
            </w:pPr>
            <w:r w:rsidRPr="005835DE">
              <w:rPr>
                <w:i/>
              </w:rPr>
              <w:t>+ 32 25469732</w:t>
            </w:r>
          </w:p>
        </w:tc>
      </w:tr>
      <w:tr w:rsidR="00685A3A" w:rsidRPr="005835DE" w14:paraId="31FFB9F3" w14:textId="77777777" w:rsidTr="0036489A">
        <w:tc>
          <w:tcPr>
            <w:tcW w:w="742" w:type="pct"/>
          </w:tcPr>
          <w:p w14:paraId="62C6EB1B" w14:textId="5AEA6EDC" w:rsidR="00685A3A" w:rsidRPr="005835DE" w:rsidRDefault="00332E33" w:rsidP="00685A3A">
            <w:pPr>
              <w:overflowPunct w:val="0"/>
              <w:autoSpaceDE w:val="0"/>
              <w:autoSpaceDN w:val="0"/>
              <w:adjustRightInd w:val="0"/>
              <w:spacing w:line="240" w:lineRule="auto"/>
              <w:textAlignment w:val="baseline"/>
              <w:rPr>
                <w:i/>
              </w:rPr>
            </w:pPr>
            <w:r w:rsidRPr="005835DE">
              <w:rPr>
                <w:i/>
              </w:rPr>
              <w:t>E</w:t>
            </w:r>
            <w:r w:rsidR="00685A3A" w:rsidRPr="005835DE">
              <w:rPr>
                <w:i/>
              </w:rPr>
              <w:t>-mail</w:t>
            </w:r>
          </w:p>
        </w:tc>
        <w:tc>
          <w:tcPr>
            <w:tcW w:w="4258" w:type="pct"/>
          </w:tcPr>
          <w:p w14:paraId="04364B9F" w14:textId="77777777" w:rsidR="00685A3A" w:rsidRPr="005835DE" w:rsidRDefault="00520E78" w:rsidP="00685A3A">
            <w:pPr>
              <w:overflowPunct w:val="0"/>
              <w:autoSpaceDE w:val="0"/>
              <w:autoSpaceDN w:val="0"/>
              <w:adjustRightInd w:val="0"/>
              <w:spacing w:line="240" w:lineRule="auto"/>
              <w:textAlignment w:val="baseline"/>
              <w:rPr>
                <w:i/>
                <w:iCs/>
              </w:rPr>
            </w:pPr>
            <w:hyperlink r:id="rId41" w:history="1">
              <w:r w:rsidR="00A27BD2" w:rsidRPr="005835DE">
                <w:rPr>
                  <w:i/>
                  <w:color w:val="0000FF"/>
                  <w:u w:val="single"/>
                </w:rPr>
                <w:t>Annalisa.Tessarolo@eesc.europa.eu</w:t>
              </w:r>
            </w:hyperlink>
          </w:p>
        </w:tc>
      </w:tr>
    </w:tbl>
    <w:p w14:paraId="40169B8F" w14:textId="3A8D790B" w:rsidR="00685A3A" w:rsidRPr="005835DE" w:rsidRDefault="00685A3A"/>
    <w:p w14:paraId="1E327181" w14:textId="77777777" w:rsidR="00685A3A" w:rsidRPr="005835DE" w:rsidRDefault="00685A3A">
      <w:r w:rsidRPr="005835DE">
        <w:br w:type="page"/>
      </w:r>
    </w:p>
    <w:p w14:paraId="4982DE1F" w14:textId="27DDFB97" w:rsidR="004D7AC0" w:rsidRPr="005835DE" w:rsidRDefault="004D7AC0" w:rsidP="004D7AC0">
      <w:pPr>
        <w:pStyle w:val="Heading1"/>
        <w:rPr>
          <w:b/>
        </w:rPr>
      </w:pPr>
      <w:bookmarkStart w:id="12" w:name="_Toc70322234"/>
      <w:bookmarkStart w:id="13" w:name="_Toc75527084"/>
      <w:bookmarkStart w:id="14" w:name="_Toc216702595"/>
      <w:r w:rsidRPr="005835DE">
        <w:rPr>
          <w:b/>
        </w:rPr>
        <w:lastRenderedPageBreak/>
        <w:t xml:space="preserve">AGRICOLTURA, SVILUPPO RURALE </w:t>
      </w:r>
      <w:r w:rsidR="00332E33" w:rsidRPr="005835DE">
        <w:rPr>
          <w:b/>
        </w:rPr>
        <w:t>E</w:t>
      </w:r>
      <w:r w:rsidRPr="005835DE">
        <w:rPr>
          <w:b/>
        </w:rPr>
        <w:t xml:space="preserve"> AMBIENTE</w:t>
      </w:r>
      <w:bookmarkEnd w:id="12"/>
      <w:bookmarkEnd w:id="13"/>
      <w:bookmarkEnd w:id="14"/>
    </w:p>
    <w:p w14:paraId="4982DE20" w14:textId="77777777" w:rsidR="004D7AC0" w:rsidRPr="005835DE" w:rsidRDefault="004D7AC0" w:rsidP="004D7AC0"/>
    <w:p w14:paraId="280704BE" w14:textId="42E36B01" w:rsidR="00836765" w:rsidRPr="005835DE" w:rsidRDefault="00520E78" w:rsidP="00836765">
      <w:pPr>
        <w:widowControl w:val="0"/>
        <w:numPr>
          <w:ilvl w:val="0"/>
          <w:numId w:val="4"/>
        </w:numPr>
        <w:overflowPunct w:val="0"/>
        <w:autoSpaceDE w:val="0"/>
        <w:autoSpaceDN w:val="0"/>
        <w:adjustRightInd w:val="0"/>
        <w:ind w:hanging="567"/>
        <w:textAlignment w:val="baseline"/>
        <w:rPr>
          <w:b/>
          <w:sz w:val="28"/>
          <w:szCs w:val="28"/>
        </w:rPr>
      </w:pPr>
      <w:hyperlink r:id="rId42" w:history="1">
        <w:r w:rsidR="00A27BD2" w:rsidRPr="005835DE">
          <w:rPr>
            <w:b/>
            <w:i/>
            <w:color w:val="0000FF"/>
            <w:sz w:val="28"/>
            <w:szCs w:val="28"/>
            <w:u w:val="single"/>
          </w:rPr>
          <w:t>Modifiche del regolamento sulla deforestazione (UE) 2023/1115</w:t>
        </w:r>
      </w:hyperlink>
      <w:r w:rsidR="00A27BD2" w:rsidRPr="005835DE">
        <w:rPr>
          <w:b/>
          <w:i/>
          <w:sz w:val="28"/>
          <w:szCs w:val="28"/>
        </w:rPr>
        <w:t xml:space="preserve"> </w:t>
      </w:r>
    </w:p>
    <w:p w14:paraId="32C19EBC" w14:textId="77777777" w:rsidR="00836765" w:rsidRPr="005835DE" w:rsidRDefault="00836765" w:rsidP="00836765">
      <w:pPr>
        <w:widowControl w:val="0"/>
        <w:overflowPunct w:val="0"/>
        <w:autoSpaceDE w:val="0"/>
        <w:autoSpaceDN w:val="0"/>
        <w:adjustRightInd w:val="0"/>
        <w:ind w:left="266"/>
        <w:textAlignment w:val="baseline"/>
        <w:rPr>
          <w:b/>
          <w:lang w:val="en-GB"/>
        </w:rPr>
      </w:pPr>
    </w:p>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9"/>
      </w:tblGrid>
      <w:tr w:rsidR="00836765" w:rsidRPr="005835DE" w14:paraId="353187E9" w14:textId="77777777" w:rsidTr="0036489A">
        <w:tc>
          <w:tcPr>
            <w:tcW w:w="1077" w:type="pct"/>
            <w:vMerge w:val="restart"/>
          </w:tcPr>
          <w:p w14:paraId="48F35E0D" w14:textId="77777777" w:rsidR="00836765" w:rsidRPr="005835DE" w:rsidRDefault="00836765" w:rsidP="00836765">
            <w:pPr>
              <w:tabs>
                <w:tab w:val="center" w:pos="284"/>
              </w:tabs>
              <w:overflowPunct w:val="0"/>
              <w:autoSpaceDE w:val="0"/>
              <w:autoSpaceDN w:val="0"/>
              <w:adjustRightInd w:val="0"/>
              <w:ind w:left="266" w:hanging="266"/>
              <w:textAlignment w:val="baseline"/>
              <w:rPr>
                <w:b/>
              </w:rPr>
            </w:pPr>
            <w:r w:rsidRPr="005835DE">
              <w:rPr>
                <w:b/>
              </w:rPr>
              <w:t>Riferimento</w:t>
            </w:r>
          </w:p>
        </w:tc>
        <w:tc>
          <w:tcPr>
            <w:tcW w:w="3923" w:type="pct"/>
          </w:tcPr>
          <w:p w14:paraId="445830D4" w14:textId="19171181" w:rsidR="00B730AD" w:rsidRPr="005835DE" w:rsidRDefault="00B730AD" w:rsidP="00836765">
            <w:pPr>
              <w:tabs>
                <w:tab w:val="center" w:pos="284"/>
              </w:tabs>
              <w:overflowPunct w:val="0"/>
              <w:autoSpaceDE w:val="0"/>
              <w:autoSpaceDN w:val="0"/>
              <w:adjustRightInd w:val="0"/>
              <w:ind w:left="266" w:right="-3091" w:hanging="266"/>
              <w:textAlignment w:val="baseline"/>
            </w:pPr>
            <w:r w:rsidRPr="005835DE">
              <w:t>Parere di categoria C</w:t>
            </w:r>
          </w:p>
          <w:p w14:paraId="3B6BE4B3" w14:textId="6F87B5D9" w:rsidR="00836765" w:rsidRPr="005835DE" w:rsidRDefault="00836765" w:rsidP="00836765">
            <w:pPr>
              <w:tabs>
                <w:tab w:val="center" w:pos="284"/>
              </w:tabs>
              <w:overflowPunct w:val="0"/>
              <w:autoSpaceDE w:val="0"/>
              <w:autoSpaceDN w:val="0"/>
              <w:adjustRightInd w:val="0"/>
              <w:ind w:left="266" w:right="-3091" w:hanging="266"/>
              <w:textAlignment w:val="baseline"/>
            </w:pPr>
            <w:r w:rsidRPr="005835DE">
              <w:t>COM(2025) 652 final</w:t>
            </w:r>
          </w:p>
        </w:tc>
      </w:tr>
      <w:tr w:rsidR="00836765" w:rsidRPr="005835DE" w14:paraId="61D1A2FF" w14:textId="77777777" w:rsidTr="0036489A">
        <w:tc>
          <w:tcPr>
            <w:tcW w:w="1077" w:type="pct"/>
            <w:vMerge/>
          </w:tcPr>
          <w:p w14:paraId="4837CA2A" w14:textId="77777777" w:rsidR="00836765" w:rsidRPr="005835DE" w:rsidRDefault="00836765" w:rsidP="00836765">
            <w:pPr>
              <w:tabs>
                <w:tab w:val="center" w:pos="284"/>
              </w:tabs>
              <w:overflowPunct w:val="0"/>
              <w:autoSpaceDE w:val="0"/>
              <w:autoSpaceDN w:val="0"/>
              <w:adjustRightInd w:val="0"/>
              <w:ind w:left="266" w:hanging="266"/>
              <w:textAlignment w:val="baseline"/>
              <w:rPr>
                <w:b/>
              </w:rPr>
            </w:pPr>
          </w:p>
        </w:tc>
        <w:tc>
          <w:tcPr>
            <w:tcW w:w="3923" w:type="pct"/>
          </w:tcPr>
          <w:p w14:paraId="1F5382E7" w14:textId="77777777" w:rsidR="00836765" w:rsidRPr="005835DE" w:rsidRDefault="00836765" w:rsidP="00836765">
            <w:pPr>
              <w:tabs>
                <w:tab w:val="center" w:pos="284"/>
              </w:tabs>
              <w:overflowPunct w:val="0"/>
              <w:autoSpaceDE w:val="0"/>
              <w:autoSpaceDN w:val="0"/>
              <w:adjustRightInd w:val="0"/>
              <w:ind w:left="266" w:right="-3091" w:hanging="266"/>
              <w:textAlignment w:val="baseline"/>
            </w:pPr>
            <w:r w:rsidRPr="005835DE">
              <w:t>EESC-2025-03869-00-00-AC-TRA</w:t>
            </w:r>
          </w:p>
        </w:tc>
      </w:tr>
    </w:tbl>
    <w:p w14:paraId="4266EAA0" w14:textId="77777777" w:rsidR="00836765" w:rsidRPr="005835DE" w:rsidRDefault="00836765" w:rsidP="00836765">
      <w:pPr>
        <w:tabs>
          <w:tab w:val="center" w:pos="284"/>
        </w:tabs>
        <w:overflowPunct w:val="0"/>
        <w:autoSpaceDE w:val="0"/>
        <w:autoSpaceDN w:val="0"/>
        <w:adjustRightInd w:val="0"/>
        <w:ind w:left="266" w:hanging="266"/>
        <w:textAlignment w:val="baseline"/>
        <w:rPr>
          <w:b/>
          <w:lang w:val="en-GB"/>
        </w:rPr>
      </w:pPr>
    </w:p>
    <w:p w14:paraId="0143DBBD" w14:textId="77777777" w:rsidR="00836765" w:rsidRPr="005835DE" w:rsidRDefault="00836765" w:rsidP="00836765">
      <w:pPr>
        <w:keepNext/>
        <w:keepLines/>
        <w:tabs>
          <w:tab w:val="center" w:pos="284"/>
        </w:tabs>
        <w:overflowPunct w:val="0"/>
        <w:autoSpaceDE w:val="0"/>
        <w:autoSpaceDN w:val="0"/>
        <w:adjustRightInd w:val="0"/>
        <w:ind w:left="266" w:hanging="266"/>
        <w:textAlignment w:val="baseline"/>
        <w:rPr>
          <w:b/>
        </w:rPr>
      </w:pPr>
      <w:r w:rsidRPr="005835DE">
        <w:rPr>
          <w:b/>
        </w:rPr>
        <w:t>Punti principali</w:t>
      </w:r>
    </w:p>
    <w:p w14:paraId="23518C72" w14:textId="77777777" w:rsidR="00836765" w:rsidRPr="005835DE" w:rsidRDefault="00836765" w:rsidP="00836765">
      <w:pPr>
        <w:keepNext/>
        <w:keepLines/>
        <w:tabs>
          <w:tab w:val="center" w:pos="284"/>
        </w:tabs>
        <w:overflowPunct w:val="0"/>
        <w:autoSpaceDE w:val="0"/>
        <w:autoSpaceDN w:val="0"/>
        <w:adjustRightInd w:val="0"/>
        <w:ind w:left="266" w:hanging="266"/>
        <w:textAlignment w:val="baseline"/>
        <w:rPr>
          <w:b/>
          <w:lang w:val="en-GB"/>
        </w:rPr>
      </w:pPr>
    </w:p>
    <w:p w14:paraId="0A85C065" w14:textId="77777777" w:rsidR="00836765" w:rsidRPr="005835DE" w:rsidRDefault="00836765" w:rsidP="00836765">
      <w:pPr>
        <w:overflowPunct w:val="0"/>
        <w:autoSpaceDE w:val="0"/>
        <w:autoSpaceDN w:val="0"/>
        <w:adjustRightInd w:val="0"/>
        <w:textAlignment w:val="baseline"/>
        <w:rPr>
          <w:bCs/>
          <w:iCs/>
        </w:rPr>
      </w:pPr>
      <w:r w:rsidRPr="005835DE">
        <w:t>Il CESE:</w:t>
      </w:r>
    </w:p>
    <w:p w14:paraId="48328C8A" w14:textId="77777777" w:rsidR="00836765" w:rsidRPr="005835DE" w:rsidRDefault="00836765" w:rsidP="00836765">
      <w:pPr>
        <w:overflowPunct w:val="0"/>
        <w:autoSpaceDE w:val="0"/>
        <w:autoSpaceDN w:val="0"/>
        <w:adjustRightInd w:val="0"/>
        <w:textAlignment w:val="baseline"/>
        <w:rPr>
          <w:bCs/>
          <w:iCs/>
          <w:lang w:val="en-GB"/>
        </w:rPr>
      </w:pPr>
    </w:p>
    <w:p w14:paraId="564661E9" w14:textId="77777777" w:rsidR="00836765" w:rsidRPr="005835DE" w:rsidRDefault="00836765" w:rsidP="00317075">
      <w:pPr>
        <w:widowControl w:val="0"/>
        <w:numPr>
          <w:ilvl w:val="0"/>
          <w:numId w:val="29"/>
        </w:numPr>
        <w:overflowPunct w:val="0"/>
        <w:autoSpaceDE w:val="0"/>
        <w:autoSpaceDN w:val="0"/>
        <w:adjustRightInd w:val="0"/>
        <w:ind w:left="426" w:hanging="426"/>
        <w:textAlignment w:val="baseline"/>
        <w:rPr>
          <w:bCs/>
          <w:iCs/>
        </w:rPr>
      </w:pPr>
      <w:r w:rsidRPr="005835DE">
        <w:t>poiché si era già pronunciato sul contenuto della proposta in esame nei pareri EESC-2024-01183-00-00-AC-TRA, adottato il 19 settembre 2024</w:t>
      </w:r>
      <w:r w:rsidRPr="005835DE">
        <w:rPr>
          <w:sz w:val="24"/>
          <w:szCs w:val="24"/>
          <w:vertAlign w:val="superscript"/>
          <w:lang w:val="en-GB"/>
        </w:rPr>
        <w:footnoteReference w:id="5"/>
      </w:r>
      <w:r w:rsidRPr="005835DE">
        <w:t>, e EESC-2021-05690-00-00-AC-TRA, adottato il 23 febbraio 2022</w:t>
      </w:r>
      <w:r w:rsidRPr="005835DE">
        <w:rPr>
          <w:sz w:val="24"/>
          <w:szCs w:val="24"/>
          <w:vertAlign w:val="superscript"/>
          <w:lang w:val="en-GB"/>
        </w:rPr>
        <w:footnoteReference w:id="6"/>
      </w:r>
      <w:r w:rsidRPr="005835DE">
        <w:t>, ha deciso di non procedere all'elaborazione di un nuovo parere in materia ma di rinviare alla posizione espressa nei documenti succitati.</w:t>
      </w:r>
    </w:p>
    <w:p w14:paraId="261D1073" w14:textId="77777777" w:rsidR="00836765" w:rsidRPr="005835DE" w:rsidRDefault="00836765" w:rsidP="00836765">
      <w:pPr>
        <w:widowControl w:val="0"/>
        <w:overflowPunct w:val="0"/>
        <w:autoSpaceDE w:val="0"/>
        <w:autoSpaceDN w:val="0"/>
        <w:adjustRightInd w:val="0"/>
        <w:ind w:left="709"/>
        <w:textAlignment w:val="baseline"/>
        <w:rPr>
          <w:szCs w:val="20"/>
          <w:lang w:val="en-GB"/>
        </w:rPr>
      </w:pPr>
    </w:p>
    <w:tbl>
      <w:tblPr>
        <w:tblStyle w:val="TableGrid12"/>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7118"/>
      </w:tblGrid>
      <w:tr w:rsidR="00836765" w:rsidRPr="005835DE" w14:paraId="4FE2C2E9" w14:textId="77777777" w:rsidTr="0036489A">
        <w:tc>
          <w:tcPr>
            <w:tcW w:w="1078" w:type="pct"/>
          </w:tcPr>
          <w:p w14:paraId="440CE4F1" w14:textId="77777777" w:rsidR="00836765" w:rsidRPr="005835DE" w:rsidRDefault="00836765" w:rsidP="00836765">
            <w:pPr>
              <w:overflowPunct w:val="0"/>
              <w:autoSpaceDE w:val="0"/>
              <w:autoSpaceDN w:val="0"/>
              <w:adjustRightInd w:val="0"/>
              <w:textAlignment w:val="baseline"/>
              <w:rPr>
                <w:i/>
              </w:rPr>
            </w:pPr>
            <w:r w:rsidRPr="005835DE">
              <w:rPr>
                <w:b/>
                <w:i/>
              </w:rPr>
              <w:t>Contatto</w:t>
            </w:r>
          </w:p>
        </w:tc>
        <w:tc>
          <w:tcPr>
            <w:tcW w:w="3922" w:type="pct"/>
          </w:tcPr>
          <w:p w14:paraId="3DB7D13C" w14:textId="2A0D3DD3" w:rsidR="00836765" w:rsidRPr="005835DE" w:rsidRDefault="00836765" w:rsidP="00836765">
            <w:pPr>
              <w:overflowPunct w:val="0"/>
              <w:autoSpaceDE w:val="0"/>
              <w:autoSpaceDN w:val="0"/>
              <w:adjustRightInd w:val="0"/>
              <w:textAlignment w:val="baseline"/>
              <w:rPr>
                <w:i/>
              </w:rPr>
            </w:pPr>
            <w:r w:rsidRPr="005835DE">
              <w:rPr>
                <w:i/>
              </w:rPr>
              <w:t>Martine DELANOY</w:t>
            </w:r>
          </w:p>
        </w:tc>
      </w:tr>
      <w:tr w:rsidR="00836765" w:rsidRPr="005835DE" w14:paraId="79B8361E" w14:textId="77777777" w:rsidTr="0036489A">
        <w:tc>
          <w:tcPr>
            <w:tcW w:w="1078" w:type="pct"/>
          </w:tcPr>
          <w:p w14:paraId="495C55DC" w14:textId="77777777" w:rsidR="00836765" w:rsidRPr="005835DE" w:rsidRDefault="00836765" w:rsidP="00836765">
            <w:pPr>
              <w:overflowPunct w:val="0"/>
              <w:autoSpaceDE w:val="0"/>
              <w:autoSpaceDN w:val="0"/>
              <w:adjustRightInd w:val="0"/>
              <w:textAlignment w:val="baseline"/>
              <w:rPr>
                <w:i/>
              </w:rPr>
            </w:pPr>
            <w:r w:rsidRPr="005835DE">
              <w:rPr>
                <w:i/>
              </w:rPr>
              <w:t>Tel.</w:t>
            </w:r>
          </w:p>
        </w:tc>
        <w:tc>
          <w:tcPr>
            <w:tcW w:w="3922" w:type="pct"/>
          </w:tcPr>
          <w:p w14:paraId="7656C45E" w14:textId="77777777" w:rsidR="00836765" w:rsidRPr="005835DE" w:rsidRDefault="00836765" w:rsidP="00836765">
            <w:pPr>
              <w:overflowPunct w:val="0"/>
              <w:autoSpaceDE w:val="0"/>
              <w:autoSpaceDN w:val="0"/>
              <w:adjustRightInd w:val="0"/>
              <w:textAlignment w:val="baseline"/>
              <w:rPr>
                <w:i/>
              </w:rPr>
            </w:pPr>
            <w:r w:rsidRPr="005835DE">
              <w:rPr>
                <w:i/>
              </w:rPr>
              <w:t>+32 25469802</w:t>
            </w:r>
          </w:p>
        </w:tc>
      </w:tr>
      <w:tr w:rsidR="00836765" w:rsidRPr="005835DE" w14:paraId="24D7B260" w14:textId="77777777" w:rsidTr="0036489A">
        <w:tc>
          <w:tcPr>
            <w:tcW w:w="1078" w:type="pct"/>
          </w:tcPr>
          <w:p w14:paraId="2B01135D" w14:textId="12BD2D92" w:rsidR="00836765" w:rsidRPr="005835DE" w:rsidRDefault="00332E33" w:rsidP="00836765">
            <w:pPr>
              <w:overflowPunct w:val="0"/>
              <w:autoSpaceDE w:val="0"/>
              <w:autoSpaceDN w:val="0"/>
              <w:adjustRightInd w:val="0"/>
              <w:textAlignment w:val="baseline"/>
              <w:rPr>
                <w:i/>
              </w:rPr>
            </w:pPr>
            <w:r w:rsidRPr="005835DE">
              <w:rPr>
                <w:i/>
              </w:rPr>
              <w:t>E</w:t>
            </w:r>
            <w:r w:rsidR="00836765" w:rsidRPr="005835DE">
              <w:rPr>
                <w:i/>
              </w:rPr>
              <w:t>-mail</w:t>
            </w:r>
          </w:p>
        </w:tc>
        <w:tc>
          <w:tcPr>
            <w:tcW w:w="3922" w:type="pct"/>
          </w:tcPr>
          <w:p w14:paraId="63509101" w14:textId="77777777" w:rsidR="00836765" w:rsidRPr="005835DE" w:rsidRDefault="00520E78" w:rsidP="00836765">
            <w:pPr>
              <w:overflowPunct w:val="0"/>
              <w:autoSpaceDE w:val="0"/>
              <w:autoSpaceDN w:val="0"/>
              <w:adjustRightInd w:val="0"/>
              <w:textAlignment w:val="baseline"/>
              <w:rPr>
                <w:i/>
              </w:rPr>
            </w:pPr>
            <w:hyperlink r:id="rId43" w:history="1">
              <w:r w:rsidR="00A27BD2" w:rsidRPr="005835DE">
                <w:rPr>
                  <w:i/>
                  <w:color w:val="0000FF"/>
                  <w:u w:val="single"/>
                </w:rPr>
                <w:t>Martine.Delanoy@eesc.europa.eu</w:t>
              </w:r>
            </w:hyperlink>
          </w:p>
        </w:tc>
      </w:tr>
    </w:tbl>
    <w:p w14:paraId="4982DE45" w14:textId="52A07963" w:rsidR="007F5784" w:rsidRPr="005835DE" w:rsidRDefault="007F5784">
      <w:pPr>
        <w:spacing w:after="160" w:line="259" w:lineRule="auto"/>
        <w:jc w:val="left"/>
      </w:pPr>
    </w:p>
    <w:p w14:paraId="7B893721" w14:textId="77777777" w:rsidR="00673B8C" w:rsidRPr="005835DE" w:rsidRDefault="00673B8C">
      <w:pPr>
        <w:spacing w:after="160" w:line="259" w:lineRule="auto"/>
        <w:jc w:val="left"/>
      </w:pPr>
    </w:p>
    <w:p w14:paraId="5314991A" w14:textId="298CCCC6" w:rsidR="000122F3" w:rsidRPr="005835DE" w:rsidRDefault="007F5784" w:rsidP="000122F3">
      <w:pPr>
        <w:widowControl w:val="0"/>
        <w:numPr>
          <w:ilvl w:val="0"/>
          <w:numId w:val="12"/>
        </w:numPr>
        <w:overflowPunct w:val="0"/>
        <w:autoSpaceDE w:val="0"/>
        <w:autoSpaceDN w:val="0"/>
        <w:adjustRightInd w:val="0"/>
        <w:ind w:left="567" w:hanging="567"/>
        <w:rPr>
          <w:sz w:val="28"/>
          <w:szCs w:val="28"/>
        </w:rPr>
      </w:pPr>
      <w:r w:rsidRPr="005835DE">
        <w:br w:type="page"/>
      </w:r>
      <w:hyperlink r:id="rId44" w:history="1">
        <w:r w:rsidRPr="005835DE">
          <w:rPr>
            <w:b/>
            <w:i/>
            <w:color w:val="0000FF"/>
            <w:sz w:val="28"/>
            <w:szCs w:val="28"/>
            <w:u w:val="single"/>
          </w:rPr>
          <w:t>Revisione del meccanismo di protezione civile dell'UE</w:t>
        </w:r>
      </w:hyperlink>
    </w:p>
    <w:p w14:paraId="5842569B" w14:textId="77777777" w:rsidR="000122F3" w:rsidRPr="005835DE" w:rsidRDefault="000122F3" w:rsidP="000122F3">
      <w:pPr>
        <w:tabs>
          <w:tab w:val="center" w:pos="284"/>
        </w:tabs>
        <w:overflowPunct w:val="0"/>
        <w:autoSpaceDE w:val="0"/>
        <w:autoSpaceDN w:val="0"/>
        <w:adjustRightInd w:val="0"/>
        <w:ind w:left="266" w:hanging="266"/>
        <w:rPr>
          <w:b/>
          <w:lang w:val="en-GB"/>
        </w:rPr>
      </w:pPr>
    </w:p>
    <w:tbl>
      <w:tblPr>
        <w:tblStyle w:val="TableGrid1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9"/>
      </w:tblGrid>
      <w:tr w:rsidR="000122F3" w:rsidRPr="005835DE" w14:paraId="2BBA9F50" w14:textId="77777777">
        <w:tc>
          <w:tcPr>
            <w:tcW w:w="1077" w:type="pct"/>
            <w:hideMark/>
          </w:tcPr>
          <w:p w14:paraId="04016230" w14:textId="5D9F10B6" w:rsidR="000122F3" w:rsidRPr="005835DE" w:rsidRDefault="00332E33" w:rsidP="000122F3">
            <w:pPr>
              <w:tabs>
                <w:tab w:val="center" w:pos="284"/>
              </w:tabs>
              <w:overflowPunct w:val="0"/>
              <w:autoSpaceDE w:val="0"/>
              <w:autoSpaceDN w:val="0"/>
              <w:adjustRightInd w:val="0"/>
              <w:ind w:left="266" w:hanging="266"/>
              <w:rPr>
                <w:b/>
              </w:rPr>
            </w:pPr>
            <w:r w:rsidRPr="005835DE">
              <w:rPr>
                <w:b/>
              </w:rPr>
              <w:t>Relatore</w:t>
            </w:r>
          </w:p>
        </w:tc>
        <w:tc>
          <w:tcPr>
            <w:tcW w:w="3923" w:type="pct"/>
            <w:hideMark/>
          </w:tcPr>
          <w:p w14:paraId="198FB4FA" w14:textId="073E7805" w:rsidR="000122F3" w:rsidRPr="005835DE" w:rsidRDefault="000122F3" w:rsidP="000122F3">
            <w:pPr>
              <w:tabs>
                <w:tab w:val="center" w:pos="284"/>
              </w:tabs>
              <w:overflowPunct w:val="0"/>
              <w:autoSpaceDE w:val="0"/>
              <w:autoSpaceDN w:val="0"/>
              <w:adjustRightInd w:val="0"/>
              <w:ind w:left="266" w:right="-3091" w:hanging="266"/>
            </w:pPr>
            <w:r w:rsidRPr="005835DE">
              <w:t>Florian MARIN (Lavoratori - RO)</w:t>
            </w:r>
          </w:p>
          <w:p w14:paraId="442071CD" w14:textId="77777777" w:rsidR="00973F68" w:rsidRPr="005835DE" w:rsidRDefault="00973F68" w:rsidP="000122F3">
            <w:pPr>
              <w:tabs>
                <w:tab w:val="center" w:pos="284"/>
              </w:tabs>
              <w:overflowPunct w:val="0"/>
              <w:autoSpaceDE w:val="0"/>
              <w:autoSpaceDN w:val="0"/>
              <w:adjustRightInd w:val="0"/>
              <w:ind w:left="266" w:right="-3091" w:hanging="266"/>
            </w:pPr>
          </w:p>
        </w:tc>
      </w:tr>
      <w:tr w:rsidR="00C41A4D" w:rsidRPr="005835DE" w14:paraId="04FB4800" w14:textId="77777777">
        <w:tc>
          <w:tcPr>
            <w:tcW w:w="1077" w:type="pct"/>
          </w:tcPr>
          <w:p w14:paraId="75757F83" w14:textId="77777777" w:rsidR="00C41A4D" w:rsidRPr="005835DE" w:rsidRDefault="00C41A4D" w:rsidP="000122F3">
            <w:pPr>
              <w:tabs>
                <w:tab w:val="center" w:pos="284"/>
              </w:tabs>
              <w:overflowPunct w:val="0"/>
              <w:autoSpaceDE w:val="0"/>
              <w:autoSpaceDN w:val="0"/>
              <w:adjustRightInd w:val="0"/>
              <w:ind w:left="266" w:hanging="266"/>
              <w:rPr>
                <w:b/>
                <w:sz w:val="16"/>
                <w:szCs w:val="16"/>
              </w:rPr>
            </w:pPr>
          </w:p>
        </w:tc>
        <w:tc>
          <w:tcPr>
            <w:tcW w:w="3923" w:type="pct"/>
          </w:tcPr>
          <w:p w14:paraId="37A9B7C1" w14:textId="77777777" w:rsidR="00C41A4D" w:rsidRPr="005835DE" w:rsidRDefault="00C41A4D" w:rsidP="000122F3">
            <w:pPr>
              <w:tabs>
                <w:tab w:val="center" w:pos="284"/>
              </w:tabs>
              <w:overflowPunct w:val="0"/>
              <w:autoSpaceDE w:val="0"/>
              <w:autoSpaceDN w:val="0"/>
              <w:adjustRightInd w:val="0"/>
              <w:ind w:left="266" w:right="-3091" w:hanging="266"/>
              <w:rPr>
                <w:sz w:val="16"/>
                <w:szCs w:val="16"/>
              </w:rPr>
            </w:pPr>
          </w:p>
        </w:tc>
      </w:tr>
      <w:tr w:rsidR="000122F3" w:rsidRPr="005835DE" w14:paraId="0C38D82B" w14:textId="77777777">
        <w:tc>
          <w:tcPr>
            <w:tcW w:w="1077" w:type="pct"/>
            <w:hideMark/>
          </w:tcPr>
          <w:p w14:paraId="317E91BC" w14:textId="77777777" w:rsidR="000122F3" w:rsidRPr="005835DE" w:rsidRDefault="000122F3" w:rsidP="000122F3">
            <w:pPr>
              <w:tabs>
                <w:tab w:val="center" w:pos="284"/>
              </w:tabs>
              <w:overflowPunct w:val="0"/>
              <w:autoSpaceDE w:val="0"/>
              <w:autoSpaceDN w:val="0"/>
              <w:adjustRightInd w:val="0"/>
              <w:ind w:left="266" w:hanging="266"/>
              <w:rPr>
                <w:b/>
              </w:rPr>
            </w:pPr>
            <w:r w:rsidRPr="005835DE">
              <w:rPr>
                <w:b/>
              </w:rPr>
              <w:t>Riferimento</w:t>
            </w:r>
          </w:p>
        </w:tc>
        <w:tc>
          <w:tcPr>
            <w:tcW w:w="3923" w:type="pct"/>
            <w:hideMark/>
          </w:tcPr>
          <w:p w14:paraId="19D10923" w14:textId="14D39408" w:rsidR="00973F68" w:rsidRPr="005835DE" w:rsidRDefault="00973F68" w:rsidP="000122F3">
            <w:pPr>
              <w:tabs>
                <w:tab w:val="center" w:pos="284"/>
              </w:tabs>
              <w:overflowPunct w:val="0"/>
              <w:autoSpaceDE w:val="0"/>
              <w:autoSpaceDN w:val="0"/>
              <w:adjustRightInd w:val="0"/>
              <w:ind w:left="266" w:right="-3091" w:hanging="266"/>
            </w:pPr>
            <w:r w:rsidRPr="005835DE">
              <w:t>COM(2025) 548 final</w:t>
            </w:r>
          </w:p>
          <w:p w14:paraId="5FA9B2AF" w14:textId="75780E7F" w:rsidR="000122F3" w:rsidRPr="005835DE" w:rsidRDefault="000122F3" w:rsidP="000122F3">
            <w:pPr>
              <w:tabs>
                <w:tab w:val="center" w:pos="284"/>
              </w:tabs>
              <w:overflowPunct w:val="0"/>
              <w:autoSpaceDE w:val="0"/>
              <w:autoSpaceDN w:val="0"/>
              <w:adjustRightInd w:val="0"/>
              <w:ind w:left="266" w:right="-3091" w:hanging="266"/>
            </w:pPr>
            <w:r w:rsidRPr="005835DE">
              <w:t>EESC-2025-03573-00-00-AC</w:t>
            </w:r>
          </w:p>
        </w:tc>
      </w:tr>
    </w:tbl>
    <w:p w14:paraId="7BC98F02" w14:textId="77777777" w:rsidR="000122F3" w:rsidRPr="005835DE" w:rsidRDefault="000122F3" w:rsidP="000122F3">
      <w:pPr>
        <w:tabs>
          <w:tab w:val="center" w:pos="284"/>
        </w:tabs>
        <w:overflowPunct w:val="0"/>
        <w:autoSpaceDE w:val="0"/>
        <w:autoSpaceDN w:val="0"/>
        <w:adjustRightInd w:val="0"/>
        <w:ind w:left="266" w:hanging="266"/>
        <w:rPr>
          <w:b/>
          <w:lang w:val="en-GB"/>
        </w:rPr>
      </w:pPr>
    </w:p>
    <w:p w14:paraId="7E803210" w14:textId="77777777" w:rsidR="000122F3" w:rsidRPr="005835DE" w:rsidRDefault="000122F3" w:rsidP="000122F3">
      <w:pPr>
        <w:keepNext/>
        <w:keepLines/>
        <w:tabs>
          <w:tab w:val="center" w:pos="284"/>
        </w:tabs>
        <w:overflowPunct w:val="0"/>
        <w:autoSpaceDE w:val="0"/>
        <w:autoSpaceDN w:val="0"/>
        <w:adjustRightInd w:val="0"/>
        <w:ind w:left="266" w:hanging="266"/>
        <w:rPr>
          <w:b/>
        </w:rPr>
      </w:pPr>
      <w:r w:rsidRPr="005835DE">
        <w:rPr>
          <w:b/>
        </w:rPr>
        <w:t>Punti principali</w:t>
      </w:r>
    </w:p>
    <w:p w14:paraId="170D9736" w14:textId="77777777" w:rsidR="000122F3" w:rsidRPr="005835DE" w:rsidRDefault="000122F3" w:rsidP="000122F3">
      <w:pPr>
        <w:keepNext/>
        <w:keepLines/>
        <w:tabs>
          <w:tab w:val="center" w:pos="284"/>
        </w:tabs>
        <w:overflowPunct w:val="0"/>
        <w:autoSpaceDE w:val="0"/>
        <w:autoSpaceDN w:val="0"/>
        <w:adjustRightInd w:val="0"/>
        <w:ind w:left="266" w:hanging="266"/>
        <w:rPr>
          <w:b/>
          <w:lang w:val="en-GB"/>
        </w:rPr>
      </w:pPr>
    </w:p>
    <w:p w14:paraId="7F6EAEC8" w14:textId="77777777" w:rsidR="000122F3" w:rsidRPr="005835DE" w:rsidRDefault="000122F3" w:rsidP="000122F3">
      <w:pPr>
        <w:overflowPunct w:val="0"/>
        <w:autoSpaceDE w:val="0"/>
        <w:autoSpaceDN w:val="0"/>
        <w:adjustRightInd w:val="0"/>
      </w:pPr>
      <w:r w:rsidRPr="005835DE">
        <w:t>Il CESE raccomanda:</w:t>
      </w:r>
    </w:p>
    <w:p w14:paraId="00652B16" w14:textId="77777777" w:rsidR="00D40BB6" w:rsidRPr="005835DE" w:rsidRDefault="00D40BB6" w:rsidP="000122F3">
      <w:pPr>
        <w:overflowPunct w:val="0"/>
        <w:autoSpaceDE w:val="0"/>
        <w:autoSpaceDN w:val="0"/>
        <w:adjustRightInd w:val="0"/>
        <w:rPr>
          <w:lang w:val="en-GB"/>
        </w:rPr>
      </w:pPr>
    </w:p>
    <w:p w14:paraId="54342963" w14:textId="77777777" w:rsidR="000122F3" w:rsidRPr="005835DE" w:rsidRDefault="000122F3" w:rsidP="00C41A4D">
      <w:pPr>
        <w:widowControl w:val="0"/>
        <w:numPr>
          <w:ilvl w:val="0"/>
          <w:numId w:val="30"/>
        </w:numPr>
        <w:overflowPunct w:val="0"/>
        <w:autoSpaceDE w:val="0"/>
        <w:autoSpaceDN w:val="0"/>
        <w:adjustRightInd w:val="0"/>
        <w:ind w:left="426" w:hanging="426"/>
      </w:pPr>
      <w:r w:rsidRPr="005835DE">
        <w:t xml:space="preserve">di adottare un </w:t>
      </w:r>
      <w:r w:rsidRPr="005835DE">
        <w:rPr>
          <w:b/>
          <w:bCs/>
        </w:rPr>
        <w:t>approccio più ambizioso</w:t>
      </w:r>
      <w:r w:rsidRPr="005835DE">
        <w:t xml:space="preserve"> per quanto riguarda la riduzione e la prevenzione del rischio di catastrofi, anziché concentrarsi principalmente sulle capacità di risposta. L'istituzione di un meccanismo unionale di protezione civile (UCPM) efficiente e integrato deve prevedere un </w:t>
      </w:r>
      <w:r w:rsidRPr="005835DE">
        <w:rPr>
          <w:b/>
          <w:bCs/>
        </w:rPr>
        <w:t>quadro globale per le politiche di riduzione dei rischi</w:t>
      </w:r>
      <w:r w:rsidRPr="005835DE">
        <w:t xml:space="preserve"> in tutta l'UE e prestare maggiore attenzione alla prevenzione </w:t>
      </w:r>
      <w:r w:rsidRPr="005835DE">
        <w:rPr>
          <w:b/>
          <w:bCs/>
        </w:rPr>
        <w:t>trans-settoriale e transfrontaliera</w:t>
      </w:r>
      <w:r w:rsidRPr="005835DE">
        <w:t xml:space="preserve"> delle catastrofi, con un'attuazione nell'ambito di un sistema olistico di gestione dei rischi;</w:t>
      </w:r>
    </w:p>
    <w:p w14:paraId="7024A92F" w14:textId="77777777" w:rsidR="000122F3" w:rsidRPr="005835DE" w:rsidRDefault="000122F3" w:rsidP="00C41A4D">
      <w:pPr>
        <w:widowControl w:val="0"/>
        <w:numPr>
          <w:ilvl w:val="0"/>
          <w:numId w:val="30"/>
        </w:numPr>
        <w:overflowPunct w:val="0"/>
        <w:autoSpaceDE w:val="0"/>
        <w:autoSpaceDN w:val="0"/>
        <w:adjustRightInd w:val="0"/>
        <w:ind w:left="426" w:hanging="426"/>
      </w:pPr>
      <w:r w:rsidRPr="005835DE">
        <w:t xml:space="preserve">di </w:t>
      </w:r>
      <w:r w:rsidRPr="005835DE">
        <w:rPr>
          <w:b/>
          <w:bCs/>
        </w:rPr>
        <w:t>ridurre gli oneri amministrativi</w:t>
      </w:r>
      <w:r w:rsidRPr="005835DE">
        <w:t xml:space="preserve">, eliminare le sovrapposizioni, mettere al passo coi tempi i sistemi di dati e di sostegno inadeguati, aumentare le risorse umane formate e investire in capacità interoperabili sulla base di norme e percorsi di formazione comuni, garantendo nel contempo </w:t>
      </w:r>
      <w:r w:rsidRPr="005835DE">
        <w:rPr>
          <w:b/>
          <w:bCs/>
        </w:rPr>
        <w:t>condizioni di lavoro di qualità</w:t>
      </w:r>
      <w:r w:rsidRPr="005835DE">
        <w:t xml:space="preserve"> quali presupposti per rafforzare la resilienza della società nel quadro di un approccio alle crisi che coinvolga la società nel suo insieme;</w:t>
      </w:r>
    </w:p>
    <w:p w14:paraId="497B5155" w14:textId="77777777" w:rsidR="000122F3" w:rsidRPr="005835DE" w:rsidRDefault="000122F3" w:rsidP="00C41A4D">
      <w:pPr>
        <w:widowControl w:val="0"/>
        <w:numPr>
          <w:ilvl w:val="0"/>
          <w:numId w:val="30"/>
        </w:numPr>
        <w:overflowPunct w:val="0"/>
        <w:autoSpaceDE w:val="0"/>
        <w:autoSpaceDN w:val="0"/>
        <w:adjustRightInd w:val="0"/>
        <w:ind w:left="426" w:hanging="426"/>
      </w:pPr>
      <w:r w:rsidRPr="005835DE">
        <w:t xml:space="preserve">di </w:t>
      </w:r>
      <w:r w:rsidRPr="005835DE">
        <w:rPr>
          <w:b/>
          <w:bCs/>
        </w:rPr>
        <w:t>procedere a una migliore anticipazione e comprensione</w:t>
      </w:r>
      <w:r w:rsidRPr="005835DE">
        <w:t xml:space="preserve"> delle catastrofi e delle crisi, tenendo conto del ruolo della propaganda e della disinformazione nell'amplificare lo stress sociale;</w:t>
      </w:r>
    </w:p>
    <w:p w14:paraId="1AEBFB07" w14:textId="77777777" w:rsidR="000122F3" w:rsidRPr="005835DE" w:rsidRDefault="000122F3" w:rsidP="00C41A4D">
      <w:pPr>
        <w:widowControl w:val="0"/>
        <w:numPr>
          <w:ilvl w:val="0"/>
          <w:numId w:val="30"/>
        </w:numPr>
        <w:overflowPunct w:val="0"/>
        <w:autoSpaceDE w:val="0"/>
        <w:autoSpaceDN w:val="0"/>
        <w:adjustRightInd w:val="0"/>
        <w:ind w:left="426" w:hanging="426"/>
      </w:pPr>
      <w:r w:rsidRPr="005835DE">
        <w:t xml:space="preserve">di rafforzare l'UCPM mediante </w:t>
      </w:r>
      <w:r w:rsidRPr="005835DE">
        <w:rPr>
          <w:b/>
          <w:bCs/>
        </w:rPr>
        <w:t>finanziamenti supplementari</w:t>
      </w:r>
      <w:r w:rsidRPr="005835DE">
        <w:t>, in particolare a favore dei gruppi e delle regioni vulnerabili, comprese le regioni ultraperiferiche e quelle vicine alle zone di guerra;</w:t>
      </w:r>
    </w:p>
    <w:p w14:paraId="6A0A0A84" w14:textId="77777777" w:rsidR="000122F3" w:rsidRPr="005835DE" w:rsidRDefault="000122F3" w:rsidP="00C41A4D">
      <w:pPr>
        <w:widowControl w:val="0"/>
        <w:numPr>
          <w:ilvl w:val="0"/>
          <w:numId w:val="30"/>
        </w:numPr>
        <w:overflowPunct w:val="0"/>
        <w:autoSpaceDE w:val="0"/>
        <w:autoSpaceDN w:val="0"/>
        <w:adjustRightInd w:val="0"/>
        <w:ind w:left="426" w:hanging="426"/>
      </w:pPr>
      <w:r w:rsidRPr="005835DE">
        <w:t xml:space="preserve">di garantire la </w:t>
      </w:r>
      <w:r w:rsidRPr="005835DE">
        <w:rPr>
          <w:b/>
          <w:bCs/>
        </w:rPr>
        <w:t>coerenza con i piani di partenariato nazionali e regionali</w:t>
      </w:r>
      <w:r w:rsidRPr="005835DE">
        <w:t xml:space="preserve"> (piani NRP) proposti per il periodo di programmazione 2028-2034;</w:t>
      </w:r>
    </w:p>
    <w:p w14:paraId="1E425507" w14:textId="77777777" w:rsidR="000122F3" w:rsidRPr="005835DE" w:rsidRDefault="000122F3" w:rsidP="00C41A4D">
      <w:pPr>
        <w:widowControl w:val="0"/>
        <w:numPr>
          <w:ilvl w:val="0"/>
          <w:numId w:val="30"/>
        </w:numPr>
        <w:overflowPunct w:val="0"/>
        <w:autoSpaceDE w:val="0"/>
        <w:autoSpaceDN w:val="0"/>
        <w:adjustRightInd w:val="0"/>
        <w:ind w:left="426" w:hanging="426"/>
      </w:pPr>
      <w:r w:rsidRPr="005835DE">
        <w:t xml:space="preserve">di favorire </w:t>
      </w:r>
      <w:r w:rsidRPr="005835DE">
        <w:rPr>
          <w:b/>
          <w:bCs/>
        </w:rPr>
        <w:t>maggiori complementarità</w:t>
      </w:r>
      <w:r w:rsidRPr="005835DE">
        <w:t xml:space="preserve"> tra gli strumenti esistenti, quali lo strumento di azione per la sicurezza dell'Europa, il corpo europeo di solidarietà e l'UCPM;</w:t>
      </w:r>
    </w:p>
    <w:p w14:paraId="71C4B6AC" w14:textId="77777777" w:rsidR="000122F3" w:rsidRPr="005835DE" w:rsidRDefault="000122F3" w:rsidP="00C41A4D">
      <w:pPr>
        <w:widowControl w:val="0"/>
        <w:numPr>
          <w:ilvl w:val="0"/>
          <w:numId w:val="30"/>
        </w:numPr>
        <w:overflowPunct w:val="0"/>
        <w:autoSpaceDE w:val="0"/>
        <w:autoSpaceDN w:val="0"/>
        <w:adjustRightInd w:val="0"/>
        <w:ind w:left="426" w:hanging="426"/>
      </w:pPr>
      <w:r w:rsidRPr="005835DE">
        <w:t xml:space="preserve">di garantire </w:t>
      </w:r>
      <w:r w:rsidRPr="005835DE">
        <w:rPr>
          <w:b/>
          <w:bCs/>
        </w:rPr>
        <w:t>finanziamenti</w:t>
      </w:r>
      <w:r w:rsidRPr="005835DE">
        <w:t xml:space="preserve"> sufficienti e stabili </w:t>
      </w:r>
      <w:r w:rsidRPr="005835DE">
        <w:rPr>
          <w:b/>
          <w:bCs/>
        </w:rPr>
        <w:t>per i vigili del fuoco professionisti e il personale sanitario</w:t>
      </w:r>
      <w:r w:rsidRPr="005835DE">
        <w:t>, al fine di assicurare l'efficienza e una risposta rapida nel quadro dell'UCPM, rafforzando nel contempo il ruolo dei volontari;</w:t>
      </w:r>
    </w:p>
    <w:p w14:paraId="22A0C91D" w14:textId="77777777" w:rsidR="000122F3" w:rsidRPr="005835DE" w:rsidRDefault="000122F3" w:rsidP="00C41A4D">
      <w:pPr>
        <w:widowControl w:val="0"/>
        <w:numPr>
          <w:ilvl w:val="0"/>
          <w:numId w:val="30"/>
        </w:numPr>
        <w:overflowPunct w:val="0"/>
        <w:autoSpaceDE w:val="0"/>
        <w:autoSpaceDN w:val="0"/>
        <w:adjustRightInd w:val="0"/>
        <w:ind w:left="426" w:hanging="426"/>
      </w:pPr>
      <w:r w:rsidRPr="005835DE">
        <w:t>che l'</w:t>
      </w:r>
      <w:r w:rsidRPr="005835DE">
        <w:rPr>
          <w:b/>
          <w:bCs/>
        </w:rPr>
        <w:t>UCPM sia dotato della flessibilità</w:t>
      </w:r>
      <w:r w:rsidRPr="005835DE">
        <w:t xml:space="preserve"> necessaria per rispettare la diversità dei sistemi nazionali di gestione delle catastrofi, </w:t>
      </w:r>
      <w:r w:rsidRPr="005835DE">
        <w:rPr>
          <w:b/>
          <w:bCs/>
        </w:rPr>
        <w:t>garantendo nel contempo la cooperazione e il coordinamento transfrontalieri</w:t>
      </w:r>
      <w:r w:rsidRPr="005835DE">
        <w:t xml:space="preserve"> per una risposta rapida ed efficace alle catastrofi che non conoscono frontiere, con il pieno coinvolgimento della società civile organizzata;</w:t>
      </w:r>
    </w:p>
    <w:p w14:paraId="0D503548" w14:textId="77777777" w:rsidR="000122F3" w:rsidRPr="005835DE" w:rsidRDefault="000122F3" w:rsidP="00C41A4D">
      <w:pPr>
        <w:widowControl w:val="0"/>
        <w:numPr>
          <w:ilvl w:val="0"/>
          <w:numId w:val="30"/>
        </w:numPr>
        <w:overflowPunct w:val="0"/>
        <w:autoSpaceDE w:val="0"/>
        <w:autoSpaceDN w:val="0"/>
        <w:adjustRightInd w:val="0"/>
        <w:ind w:left="426" w:hanging="426"/>
      </w:pPr>
      <w:r w:rsidRPr="005835DE">
        <w:t xml:space="preserve">di adeguare le norme in materia di appalti al fine di </w:t>
      </w:r>
      <w:r w:rsidRPr="005835DE">
        <w:rPr>
          <w:b/>
          <w:bCs/>
        </w:rPr>
        <w:t>garantire una distribuzione rapida ed efficace delle forniture e dei servizi cruciali</w:t>
      </w:r>
      <w:r w:rsidRPr="005835DE">
        <w:t xml:space="preserve"> in tempi di crisi;</w:t>
      </w:r>
    </w:p>
    <w:p w14:paraId="5918B32B" w14:textId="77777777" w:rsidR="000122F3" w:rsidRPr="005835DE" w:rsidRDefault="000122F3" w:rsidP="00C41A4D">
      <w:pPr>
        <w:widowControl w:val="0"/>
        <w:numPr>
          <w:ilvl w:val="0"/>
          <w:numId w:val="30"/>
        </w:numPr>
        <w:overflowPunct w:val="0"/>
        <w:autoSpaceDE w:val="0"/>
        <w:autoSpaceDN w:val="0"/>
        <w:adjustRightInd w:val="0"/>
        <w:ind w:left="426" w:hanging="426"/>
      </w:pPr>
      <w:r w:rsidRPr="005835DE">
        <w:t xml:space="preserve">di introdurre un </w:t>
      </w:r>
      <w:r w:rsidRPr="005835DE">
        <w:rPr>
          <w:b/>
          <w:bCs/>
        </w:rPr>
        <w:t>modulo di segnalazione delle catastrofi standardizzato</w:t>
      </w:r>
      <w:r w:rsidRPr="005835DE">
        <w:t xml:space="preserve"> che tutti gli Stati membri siano tenuti a utilizzare.</w:t>
      </w:r>
    </w:p>
    <w:p w14:paraId="239E5250" w14:textId="77777777" w:rsidR="000122F3" w:rsidRPr="005835DE" w:rsidRDefault="000122F3" w:rsidP="000122F3">
      <w:pPr>
        <w:widowControl w:val="0"/>
        <w:overflowPunct w:val="0"/>
        <w:autoSpaceDE w:val="0"/>
        <w:autoSpaceDN w:val="0"/>
        <w:adjustRightInd w:val="0"/>
        <w:ind w:left="709"/>
        <w:rPr>
          <w:lang w:val="en-GB"/>
        </w:rPr>
      </w:pPr>
    </w:p>
    <w:tbl>
      <w:tblPr>
        <w:tblStyle w:val="TableGrid1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9"/>
      </w:tblGrid>
      <w:tr w:rsidR="000122F3" w:rsidRPr="005835DE" w14:paraId="315A6780" w14:textId="77777777">
        <w:tc>
          <w:tcPr>
            <w:tcW w:w="1077" w:type="pct"/>
            <w:hideMark/>
          </w:tcPr>
          <w:p w14:paraId="0BC88ACD" w14:textId="77777777" w:rsidR="000122F3" w:rsidRPr="005835DE" w:rsidRDefault="000122F3" w:rsidP="000122F3">
            <w:pPr>
              <w:overflowPunct w:val="0"/>
              <w:autoSpaceDE w:val="0"/>
              <w:autoSpaceDN w:val="0"/>
              <w:adjustRightInd w:val="0"/>
              <w:rPr>
                <w:i/>
                <w:iCs/>
              </w:rPr>
            </w:pPr>
            <w:r w:rsidRPr="005835DE">
              <w:rPr>
                <w:b/>
                <w:i/>
              </w:rPr>
              <w:t>Contatto</w:t>
            </w:r>
          </w:p>
        </w:tc>
        <w:tc>
          <w:tcPr>
            <w:tcW w:w="3923" w:type="pct"/>
            <w:hideMark/>
          </w:tcPr>
          <w:p w14:paraId="278195BE" w14:textId="77777777" w:rsidR="000122F3" w:rsidRPr="005835DE" w:rsidRDefault="000122F3" w:rsidP="000122F3">
            <w:pPr>
              <w:overflowPunct w:val="0"/>
              <w:autoSpaceDE w:val="0"/>
              <w:autoSpaceDN w:val="0"/>
              <w:adjustRightInd w:val="0"/>
              <w:rPr>
                <w:i/>
                <w:iCs/>
              </w:rPr>
            </w:pPr>
            <w:r w:rsidRPr="005835DE">
              <w:rPr>
                <w:i/>
              </w:rPr>
              <w:t>Arturo INIGUEZ YUSTE</w:t>
            </w:r>
          </w:p>
        </w:tc>
      </w:tr>
      <w:tr w:rsidR="000122F3" w:rsidRPr="005835DE" w14:paraId="326D7576" w14:textId="77777777">
        <w:tc>
          <w:tcPr>
            <w:tcW w:w="1077" w:type="pct"/>
            <w:hideMark/>
          </w:tcPr>
          <w:p w14:paraId="74416C4B" w14:textId="77777777" w:rsidR="000122F3" w:rsidRPr="005835DE" w:rsidRDefault="000122F3" w:rsidP="000122F3">
            <w:pPr>
              <w:overflowPunct w:val="0"/>
              <w:autoSpaceDE w:val="0"/>
              <w:autoSpaceDN w:val="0"/>
              <w:adjustRightInd w:val="0"/>
              <w:rPr>
                <w:i/>
              </w:rPr>
            </w:pPr>
            <w:r w:rsidRPr="005835DE">
              <w:rPr>
                <w:i/>
              </w:rPr>
              <w:t>Tel.</w:t>
            </w:r>
          </w:p>
        </w:tc>
        <w:tc>
          <w:tcPr>
            <w:tcW w:w="3923" w:type="pct"/>
            <w:hideMark/>
          </w:tcPr>
          <w:p w14:paraId="0CE46E70" w14:textId="77777777" w:rsidR="000122F3" w:rsidRPr="005835DE" w:rsidRDefault="000122F3" w:rsidP="000122F3">
            <w:pPr>
              <w:overflowPunct w:val="0"/>
              <w:autoSpaceDE w:val="0"/>
              <w:autoSpaceDN w:val="0"/>
              <w:adjustRightInd w:val="0"/>
              <w:rPr>
                <w:i/>
              </w:rPr>
            </w:pPr>
            <w:r w:rsidRPr="005835DE">
              <w:rPr>
                <w:i/>
              </w:rPr>
              <w:t>+32 25468768</w:t>
            </w:r>
          </w:p>
        </w:tc>
      </w:tr>
      <w:tr w:rsidR="000122F3" w:rsidRPr="005835DE" w14:paraId="753D0F57" w14:textId="77777777">
        <w:tc>
          <w:tcPr>
            <w:tcW w:w="1077" w:type="pct"/>
            <w:hideMark/>
          </w:tcPr>
          <w:p w14:paraId="2C40013E" w14:textId="158300C4" w:rsidR="000122F3" w:rsidRPr="005835DE" w:rsidRDefault="00332E33" w:rsidP="000122F3">
            <w:pPr>
              <w:overflowPunct w:val="0"/>
              <w:autoSpaceDE w:val="0"/>
              <w:autoSpaceDN w:val="0"/>
              <w:adjustRightInd w:val="0"/>
              <w:rPr>
                <w:i/>
              </w:rPr>
            </w:pPr>
            <w:r w:rsidRPr="005835DE">
              <w:rPr>
                <w:i/>
              </w:rPr>
              <w:t>E</w:t>
            </w:r>
            <w:r w:rsidR="000122F3" w:rsidRPr="005835DE">
              <w:rPr>
                <w:i/>
              </w:rPr>
              <w:t>-mail</w:t>
            </w:r>
          </w:p>
        </w:tc>
        <w:tc>
          <w:tcPr>
            <w:tcW w:w="3923" w:type="pct"/>
            <w:hideMark/>
          </w:tcPr>
          <w:p w14:paraId="2E7C650A" w14:textId="77777777" w:rsidR="000122F3" w:rsidRPr="005835DE" w:rsidRDefault="00520E78" w:rsidP="000122F3">
            <w:pPr>
              <w:overflowPunct w:val="0"/>
              <w:autoSpaceDE w:val="0"/>
              <w:autoSpaceDN w:val="0"/>
              <w:adjustRightInd w:val="0"/>
              <w:rPr>
                <w:i/>
              </w:rPr>
            </w:pPr>
            <w:hyperlink r:id="rId45" w:history="1">
              <w:r w:rsidR="00A27BD2" w:rsidRPr="005835DE">
                <w:rPr>
                  <w:i/>
                  <w:color w:val="0000FF"/>
                  <w:u w:val="single"/>
                </w:rPr>
                <w:t>Arturo.Iniguez@eesc.europa.eu</w:t>
              </w:r>
            </w:hyperlink>
          </w:p>
        </w:tc>
      </w:tr>
    </w:tbl>
    <w:p w14:paraId="73A0193B" w14:textId="77777777" w:rsidR="00395794" w:rsidRPr="005835DE" w:rsidRDefault="00395794">
      <w:pPr>
        <w:spacing w:after="160" w:line="259" w:lineRule="auto"/>
        <w:jc w:val="left"/>
        <w:rPr>
          <w:sz w:val="4"/>
          <w:szCs w:val="4"/>
        </w:rPr>
      </w:pPr>
      <w:r w:rsidRPr="005835DE">
        <w:rPr>
          <w:sz w:val="4"/>
          <w:szCs w:val="4"/>
        </w:rPr>
        <w:br w:type="page"/>
      </w:r>
    </w:p>
    <w:p w14:paraId="14026A78" w14:textId="4FAE1588" w:rsidR="007F5784" w:rsidRPr="005835DE" w:rsidRDefault="007F5784" w:rsidP="007F5784">
      <w:pPr>
        <w:pStyle w:val="Heading1"/>
        <w:rPr>
          <w:b/>
        </w:rPr>
      </w:pPr>
      <w:bookmarkStart w:id="15" w:name="_Toc216702596"/>
      <w:r w:rsidRPr="005835DE">
        <w:rPr>
          <w:b/>
        </w:rPr>
        <w:lastRenderedPageBreak/>
        <w:t>RELAZIONI ESTERNE</w:t>
      </w:r>
      <w:bookmarkEnd w:id="15"/>
    </w:p>
    <w:p w14:paraId="3BBB3E68" w14:textId="77777777" w:rsidR="007F5784" w:rsidRPr="005835DE" w:rsidRDefault="007F5784" w:rsidP="007F5784"/>
    <w:p w14:paraId="15F03B8E" w14:textId="19987F61" w:rsidR="00237C67" w:rsidRPr="005835DE" w:rsidRDefault="00237C67" w:rsidP="00237C67">
      <w:pPr>
        <w:widowControl w:val="0"/>
        <w:numPr>
          <w:ilvl w:val="0"/>
          <w:numId w:val="15"/>
        </w:numPr>
        <w:overflowPunct w:val="0"/>
        <w:autoSpaceDE w:val="0"/>
        <w:autoSpaceDN w:val="0"/>
        <w:adjustRightInd w:val="0"/>
        <w:spacing w:line="276" w:lineRule="auto"/>
        <w:ind w:left="567" w:hanging="567"/>
        <w:contextualSpacing/>
        <w:jc w:val="left"/>
        <w:textAlignment w:val="baseline"/>
        <w:rPr>
          <w:sz w:val="28"/>
          <w:szCs w:val="28"/>
        </w:rPr>
      </w:pPr>
      <w:r w:rsidRPr="005835DE">
        <w:rPr>
          <w:b/>
          <w:i/>
          <w:sz w:val="28"/>
          <w:szCs w:val="28"/>
        </w:rPr>
        <w:fldChar w:fldCharType="begin"/>
      </w:r>
      <w:r w:rsidRPr="005835DE">
        <w:rPr>
          <w:b/>
          <w:i/>
          <w:sz w:val="28"/>
          <w:szCs w:val="28"/>
        </w:rPr>
        <w:instrText>HYPERLINK "https://www.eesc.europa.eu/it/our-work/opinions-information-reports/opinions/european-unions-strategic-approach-black-sea-region"</w:instrText>
      </w:r>
      <w:r w:rsidRPr="005835DE">
        <w:rPr>
          <w:b/>
          <w:i/>
          <w:sz w:val="28"/>
          <w:szCs w:val="28"/>
        </w:rPr>
        <w:fldChar w:fldCharType="separate"/>
      </w:r>
      <w:r w:rsidRPr="005835DE">
        <w:rPr>
          <w:b/>
          <w:i/>
          <w:color w:val="0000FF"/>
          <w:sz w:val="28"/>
          <w:szCs w:val="28"/>
          <w:u w:val="single"/>
        </w:rPr>
        <w:t>L'approccio strategico dell'Unione europea alla regione del Mar Nero</w:t>
      </w:r>
    </w:p>
    <w:p w14:paraId="3C2969D6" w14:textId="77777777" w:rsidR="00237C67" w:rsidRPr="005835DE" w:rsidRDefault="00237C67" w:rsidP="00237C67">
      <w:pPr>
        <w:tabs>
          <w:tab w:val="center" w:pos="284"/>
        </w:tabs>
        <w:overflowPunct w:val="0"/>
        <w:autoSpaceDE w:val="0"/>
        <w:autoSpaceDN w:val="0"/>
        <w:adjustRightInd w:val="0"/>
        <w:ind w:left="266" w:hanging="266"/>
        <w:textAlignment w:val="baseline"/>
        <w:rPr>
          <w:b/>
        </w:rPr>
      </w:pPr>
      <w:r w:rsidRPr="005835DE">
        <w:rPr>
          <w:b/>
          <w:i/>
          <w:sz w:val="28"/>
          <w:szCs w:val="28"/>
        </w:rPr>
        <w:fldChar w:fldCharType="end"/>
      </w:r>
    </w:p>
    <w:tbl>
      <w:tblPr>
        <w:tblStyle w:val="TableGrid14"/>
        <w:tblW w:w="492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6947"/>
      </w:tblGrid>
      <w:tr w:rsidR="00237C67" w:rsidRPr="005835DE" w14:paraId="7F23DD4D" w14:textId="77777777" w:rsidTr="003F28F6">
        <w:trPr>
          <w:trHeight w:val="255"/>
        </w:trPr>
        <w:tc>
          <w:tcPr>
            <w:tcW w:w="1111" w:type="pct"/>
          </w:tcPr>
          <w:p w14:paraId="1BCE19E0" w14:textId="0A45070A" w:rsidR="00237C67" w:rsidRPr="005835DE" w:rsidRDefault="00332E33" w:rsidP="00237C67">
            <w:pPr>
              <w:tabs>
                <w:tab w:val="center" w:pos="284"/>
              </w:tabs>
              <w:overflowPunct w:val="0"/>
              <w:autoSpaceDE w:val="0"/>
              <w:autoSpaceDN w:val="0"/>
              <w:adjustRightInd w:val="0"/>
              <w:ind w:left="266" w:hanging="266"/>
              <w:textAlignment w:val="baseline"/>
              <w:rPr>
                <w:b/>
              </w:rPr>
            </w:pPr>
            <w:r w:rsidRPr="005835DE">
              <w:rPr>
                <w:b/>
              </w:rPr>
              <w:t>Relatrice</w:t>
            </w:r>
          </w:p>
        </w:tc>
        <w:tc>
          <w:tcPr>
            <w:tcW w:w="3889" w:type="pct"/>
          </w:tcPr>
          <w:p w14:paraId="4CC365C4" w14:textId="0A5B6F9A" w:rsidR="00237C67" w:rsidRPr="005835DE" w:rsidRDefault="00237C67" w:rsidP="00237C67">
            <w:pPr>
              <w:tabs>
                <w:tab w:val="center" w:pos="284"/>
              </w:tabs>
              <w:overflowPunct w:val="0"/>
              <w:autoSpaceDE w:val="0"/>
              <w:autoSpaceDN w:val="0"/>
              <w:adjustRightInd w:val="0"/>
              <w:ind w:left="266" w:hanging="266"/>
              <w:textAlignment w:val="baseline"/>
            </w:pPr>
            <w:r w:rsidRPr="005835DE">
              <w:t>Milena ANGELOVA (Datori di lavoro - BG)</w:t>
            </w:r>
          </w:p>
        </w:tc>
      </w:tr>
      <w:tr w:rsidR="003F28F6" w:rsidRPr="005835DE" w14:paraId="2832AC57" w14:textId="77777777" w:rsidTr="003F28F6">
        <w:trPr>
          <w:trHeight w:val="255"/>
        </w:trPr>
        <w:tc>
          <w:tcPr>
            <w:tcW w:w="1111" w:type="pct"/>
          </w:tcPr>
          <w:p w14:paraId="3A31AA06" w14:textId="77777777" w:rsidR="003F28F6" w:rsidRPr="005835DE" w:rsidRDefault="003F28F6" w:rsidP="00237C67">
            <w:pPr>
              <w:tabs>
                <w:tab w:val="center" w:pos="284"/>
              </w:tabs>
              <w:overflowPunct w:val="0"/>
              <w:autoSpaceDE w:val="0"/>
              <w:autoSpaceDN w:val="0"/>
              <w:adjustRightInd w:val="0"/>
              <w:ind w:left="266" w:hanging="266"/>
              <w:textAlignment w:val="baseline"/>
              <w:rPr>
                <w:b/>
                <w:sz w:val="16"/>
                <w:szCs w:val="16"/>
              </w:rPr>
            </w:pPr>
          </w:p>
        </w:tc>
        <w:tc>
          <w:tcPr>
            <w:tcW w:w="3889" w:type="pct"/>
          </w:tcPr>
          <w:p w14:paraId="1E546EFD" w14:textId="77777777" w:rsidR="003F28F6" w:rsidRPr="005835DE" w:rsidRDefault="003F28F6" w:rsidP="00237C67">
            <w:pPr>
              <w:tabs>
                <w:tab w:val="center" w:pos="284"/>
              </w:tabs>
              <w:overflowPunct w:val="0"/>
              <w:autoSpaceDE w:val="0"/>
              <w:autoSpaceDN w:val="0"/>
              <w:adjustRightInd w:val="0"/>
              <w:ind w:left="266" w:hanging="266"/>
              <w:textAlignment w:val="baseline"/>
              <w:rPr>
                <w:sz w:val="16"/>
                <w:szCs w:val="16"/>
              </w:rPr>
            </w:pPr>
          </w:p>
        </w:tc>
      </w:tr>
      <w:tr w:rsidR="00237C67" w:rsidRPr="005835DE" w14:paraId="1B1D2359" w14:textId="77777777" w:rsidTr="00C201AB">
        <w:tc>
          <w:tcPr>
            <w:tcW w:w="1111" w:type="pct"/>
          </w:tcPr>
          <w:p w14:paraId="1DEDCFA8" w14:textId="77777777" w:rsidR="00237C67" w:rsidRPr="005835DE" w:rsidRDefault="00237C67" w:rsidP="00237C67">
            <w:pPr>
              <w:tabs>
                <w:tab w:val="center" w:pos="284"/>
              </w:tabs>
              <w:overflowPunct w:val="0"/>
              <w:autoSpaceDE w:val="0"/>
              <w:autoSpaceDN w:val="0"/>
              <w:adjustRightInd w:val="0"/>
              <w:ind w:left="266" w:hanging="266"/>
              <w:textAlignment w:val="baseline"/>
              <w:rPr>
                <w:b/>
              </w:rPr>
            </w:pPr>
            <w:r w:rsidRPr="005835DE">
              <w:rPr>
                <w:b/>
              </w:rPr>
              <w:t>Riferimento</w:t>
            </w:r>
          </w:p>
        </w:tc>
        <w:tc>
          <w:tcPr>
            <w:tcW w:w="3889" w:type="pct"/>
          </w:tcPr>
          <w:p w14:paraId="25C8A6CE" w14:textId="16BE3594" w:rsidR="001A7442" w:rsidRPr="005835DE" w:rsidRDefault="001A7442" w:rsidP="00237C67">
            <w:pPr>
              <w:tabs>
                <w:tab w:val="center" w:pos="284"/>
              </w:tabs>
              <w:overflowPunct w:val="0"/>
              <w:autoSpaceDE w:val="0"/>
              <w:autoSpaceDN w:val="0"/>
              <w:adjustRightInd w:val="0"/>
              <w:ind w:left="266" w:hanging="266"/>
              <w:textAlignment w:val="baseline"/>
            </w:pPr>
            <w:r w:rsidRPr="005835DE">
              <w:t>JOIN(2025) 135 final</w:t>
            </w:r>
          </w:p>
          <w:p w14:paraId="47441D19" w14:textId="338F915F" w:rsidR="00237C67" w:rsidRPr="005835DE" w:rsidRDefault="00237C67" w:rsidP="00237C67">
            <w:pPr>
              <w:tabs>
                <w:tab w:val="center" w:pos="284"/>
              </w:tabs>
              <w:overflowPunct w:val="0"/>
              <w:autoSpaceDE w:val="0"/>
              <w:autoSpaceDN w:val="0"/>
              <w:adjustRightInd w:val="0"/>
              <w:ind w:left="266" w:hanging="266"/>
              <w:textAlignment w:val="baseline"/>
            </w:pPr>
            <w:r w:rsidRPr="005835DE">
              <w:t>EESC-2025-02608-00-00-AC</w:t>
            </w:r>
          </w:p>
        </w:tc>
      </w:tr>
    </w:tbl>
    <w:p w14:paraId="47E1C9F3" w14:textId="77777777" w:rsidR="00237C67" w:rsidRPr="005835DE" w:rsidRDefault="00237C67" w:rsidP="00237C67">
      <w:pPr>
        <w:keepNext/>
        <w:keepLines/>
        <w:tabs>
          <w:tab w:val="center" w:pos="284"/>
        </w:tabs>
        <w:overflowPunct w:val="0"/>
        <w:autoSpaceDE w:val="0"/>
        <w:autoSpaceDN w:val="0"/>
        <w:adjustRightInd w:val="0"/>
        <w:ind w:left="266" w:hanging="266"/>
        <w:textAlignment w:val="baseline"/>
        <w:rPr>
          <w:b/>
          <w:lang w:val="en-GB"/>
        </w:rPr>
      </w:pPr>
    </w:p>
    <w:p w14:paraId="3C0D4718" w14:textId="77777777" w:rsidR="00237C67" w:rsidRPr="005835DE" w:rsidRDefault="00237C67" w:rsidP="00237C67">
      <w:pPr>
        <w:keepNext/>
        <w:keepLines/>
        <w:tabs>
          <w:tab w:val="center" w:pos="284"/>
        </w:tabs>
        <w:overflowPunct w:val="0"/>
        <w:autoSpaceDE w:val="0"/>
        <w:autoSpaceDN w:val="0"/>
        <w:adjustRightInd w:val="0"/>
        <w:ind w:left="266" w:hanging="266"/>
        <w:textAlignment w:val="baseline"/>
        <w:rPr>
          <w:b/>
        </w:rPr>
      </w:pPr>
      <w:r w:rsidRPr="005835DE">
        <w:rPr>
          <w:b/>
        </w:rPr>
        <w:t>Punti principali</w:t>
      </w:r>
    </w:p>
    <w:p w14:paraId="646D390F" w14:textId="77777777" w:rsidR="00237C67" w:rsidRPr="005835DE" w:rsidRDefault="00237C67" w:rsidP="00237C67">
      <w:pPr>
        <w:keepNext/>
        <w:keepLines/>
        <w:tabs>
          <w:tab w:val="center" w:pos="284"/>
        </w:tabs>
        <w:overflowPunct w:val="0"/>
        <w:autoSpaceDE w:val="0"/>
        <w:autoSpaceDN w:val="0"/>
        <w:adjustRightInd w:val="0"/>
        <w:ind w:left="266" w:hanging="266"/>
        <w:textAlignment w:val="baseline"/>
        <w:rPr>
          <w:b/>
          <w:lang w:val="en-GB"/>
        </w:rPr>
      </w:pPr>
    </w:p>
    <w:p w14:paraId="4D32F061" w14:textId="77777777" w:rsidR="00237C67" w:rsidRPr="005835DE" w:rsidRDefault="00237C67" w:rsidP="00237C67">
      <w:pPr>
        <w:overflowPunct w:val="0"/>
        <w:autoSpaceDE w:val="0"/>
        <w:autoSpaceDN w:val="0"/>
        <w:adjustRightInd w:val="0"/>
        <w:textAlignment w:val="baseline"/>
        <w:rPr>
          <w:bCs/>
          <w:iCs/>
        </w:rPr>
      </w:pPr>
      <w:r w:rsidRPr="005835DE">
        <w:t>Il CESE:</w:t>
      </w:r>
    </w:p>
    <w:p w14:paraId="0A01AEAC" w14:textId="77777777" w:rsidR="001A7442" w:rsidRPr="005835DE" w:rsidRDefault="001A7442" w:rsidP="00237C67">
      <w:pPr>
        <w:overflowPunct w:val="0"/>
        <w:autoSpaceDE w:val="0"/>
        <w:autoSpaceDN w:val="0"/>
        <w:adjustRightInd w:val="0"/>
        <w:textAlignment w:val="baseline"/>
        <w:rPr>
          <w:bCs/>
          <w:iCs/>
          <w:lang w:val="en-GB"/>
        </w:rPr>
      </w:pPr>
    </w:p>
    <w:p w14:paraId="363CA3B6" w14:textId="77777777" w:rsidR="00237C67" w:rsidRPr="005835DE" w:rsidRDefault="00237C67" w:rsidP="00744D76">
      <w:pPr>
        <w:numPr>
          <w:ilvl w:val="0"/>
          <w:numId w:val="31"/>
        </w:numPr>
        <w:overflowPunct w:val="0"/>
        <w:autoSpaceDE w:val="0"/>
        <w:autoSpaceDN w:val="0"/>
        <w:adjustRightInd w:val="0"/>
        <w:ind w:left="426" w:hanging="426"/>
        <w:contextualSpacing/>
        <w:textAlignment w:val="baseline"/>
        <w:rPr>
          <w:bCs/>
          <w:iCs/>
        </w:rPr>
      </w:pPr>
      <w:r w:rsidRPr="005835DE">
        <w:t>accoglie con favore l'</w:t>
      </w:r>
      <w:r w:rsidRPr="005835DE">
        <w:rPr>
          <w:b/>
          <w:bCs/>
        </w:rPr>
        <w:t>iniziativa, attesa da tempo</w:t>
      </w:r>
      <w:r w:rsidRPr="005835DE">
        <w:t xml:space="preserve">, di dedicare </w:t>
      </w:r>
      <w:r w:rsidRPr="005835DE">
        <w:rPr>
          <w:b/>
          <w:bCs/>
        </w:rPr>
        <w:t>un'attenzione particolare alla regione del Mar Nero</w:t>
      </w:r>
      <w:r w:rsidRPr="005835DE">
        <w:t xml:space="preserve"> proponendo un approccio strategico dell'Unione europea, ma osserva che essa arriva con </w:t>
      </w:r>
      <w:r w:rsidRPr="005835DE">
        <w:rPr>
          <w:b/>
          <w:bCs/>
        </w:rPr>
        <w:t>un certo ritardo</w:t>
      </w:r>
      <w:r w:rsidRPr="005835DE">
        <w:t xml:space="preserve">, e chiede quindi di </w:t>
      </w:r>
      <w:r w:rsidRPr="005835DE">
        <w:rPr>
          <w:b/>
          <w:bCs/>
        </w:rPr>
        <w:t>adottare azioni rapide e incisive per attuarla</w:t>
      </w:r>
      <w:r w:rsidRPr="005835DE">
        <w:t xml:space="preserve">, nonché di </w:t>
      </w:r>
      <w:r w:rsidRPr="005835DE">
        <w:rPr>
          <w:b/>
          <w:bCs/>
        </w:rPr>
        <w:t>destinare ad essa risorse sufficienti</w:t>
      </w:r>
      <w:r w:rsidRPr="005835DE">
        <w:t>;</w:t>
      </w:r>
    </w:p>
    <w:p w14:paraId="4F615B3A" w14:textId="77777777" w:rsidR="00237C67" w:rsidRPr="005835DE" w:rsidRDefault="00237C67" w:rsidP="00744D76">
      <w:pPr>
        <w:numPr>
          <w:ilvl w:val="0"/>
          <w:numId w:val="31"/>
        </w:numPr>
        <w:overflowPunct w:val="0"/>
        <w:autoSpaceDE w:val="0"/>
        <w:autoSpaceDN w:val="0"/>
        <w:adjustRightInd w:val="0"/>
        <w:ind w:left="426" w:hanging="426"/>
        <w:contextualSpacing/>
        <w:textAlignment w:val="baseline"/>
        <w:rPr>
          <w:bCs/>
          <w:iCs/>
        </w:rPr>
      </w:pPr>
      <w:r w:rsidRPr="005835DE">
        <w:t xml:space="preserve">sottolinea che, sebbene </w:t>
      </w:r>
      <w:r w:rsidRPr="005835DE">
        <w:rPr>
          <w:b/>
          <w:bCs/>
        </w:rPr>
        <w:t>tutti i paesi della regione</w:t>
      </w:r>
      <w:r w:rsidRPr="005835DE">
        <w:t xml:space="preserve"> subiscano le </w:t>
      </w:r>
      <w:r w:rsidRPr="005835DE">
        <w:rPr>
          <w:b/>
          <w:bCs/>
        </w:rPr>
        <w:t>conseguenze delle ostilità militari, non tutti hanno ricevuto un sostegno sociale ed economico mirato e proporzionale ai loro sforzi e sacrifici</w:t>
      </w:r>
      <w:r w:rsidRPr="005835DE">
        <w:t>;</w:t>
      </w:r>
    </w:p>
    <w:p w14:paraId="64F59F4D" w14:textId="77777777" w:rsidR="00237C67" w:rsidRPr="005835DE" w:rsidRDefault="00237C67" w:rsidP="00744D76">
      <w:pPr>
        <w:numPr>
          <w:ilvl w:val="0"/>
          <w:numId w:val="31"/>
        </w:numPr>
        <w:overflowPunct w:val="0"/>
        <w:autoSpaceDE w:val="0"/>
        <w:autoSpaceDN w:val="0"/>
        <w:adjustRightInd w:val="0"/>
        <w:ind w:left="426" w:hanging="426"/>
        <w:contextualSpacing/>
        <w:textAlignment w:val="baseline"/>
        <w:rPr>
          <w:bCs/>
          <w:iCs/>
        </w:rPr>
      </w:pPr>
      <w:r w:rsidRPr="005835DE">
        <w:t xml:space="preserve">esorta la Commissione – in consultazione con gli Stati membri dell'UE, i paesi della regione del Mar Nero e tutte le parti interessate – a </w:t>
      </w:r>
      <w:r w:rsidRPr="005835DE">
        <w:rPr>
          <w:b/>
          <w:bCs/>
        </w:rPr>
        <w:t>procedere rapidamente</w:t>
      </w:r>
      <w:r w:rsidRPr="005835DE">
        <w:t xml:space="preserve">, idealmente entro la fine del 2025, </w:t>
      </w:r>
      <w:r w:rsidRPr="005835DE">
        <w:rPr>
          <w:b/>
          <w:bCs/>
        </w:rPr>
        <w:t>all'elaborazione di una strategia pragmatica e dotata di finanziamenti adeguati per lo sviluppo della regione</w:t>
      </w:r>
      <w:r w:rsidRPr="005835DE">
        <w:t>;</w:t>
      </w:r>
    </w:p>
    <w:p w14:paraId="3DED4801" w14:textId="77777777" w:rsidR="00237C67" w:rsidRPr="005835DE" w:rsidRDefault="00237C67" w:rsidP="00744D76">
      <w:pPr>
        <w:numPr>
          <w:ilvl w:val="0"/>
          <w:numId w:val="31"/>
        </w:numPr>
        <w:overflowPunct w:val="0"/>
        <w:autoSpaceDE w:val="0"/>
        <w:autoSpaceDN w:val="0"/>
        <w:adjustRightInd w:val="0"/>
        <w:ind w:left="426" w:hanging="426"/>
        <w:contextualSpacing/>
        <w:textAlignment w:val="baseline"/>
        <w:rPr>
          <w:bCs/>
          <w:iCs/>
        </w:rPr>
      </w:pPr>
      <w:r w:rsidRPr="005835DE">
        <w:t xml:space="preserve">osserva con rammarico che la </w:t>
      </w:r>
      <w:r w:rsidRPr="005835DE">
        <w:rPr>
          <w:b/>
          <w:bCs/>
        </w:rPr>
        <w:t>precedente politica quadro dell'UE</w:t>
      </w:r>
      <w:r w:rsidRPr="005835DE">
        <w:t xml:space="preserve"> per la regione (la Sinergia del Mar Nero del 2007) non copriva la </w:t>
      </w:r>
      <w:r w:rsidRPr="005835DE">
        <w:rPr>
          <w:b/>
          <w:bCs/>
        </w:rPr>
        <w:t>dimensione della sicurezza</w:t>
      </w:r>
      <w:r w:rsidRPr="005835DE">
        <w:t xml:space="preserve">, e fa rilevare che </w:t>
      </w:r>
      <w:r w:rsidRPr="005835DE">
        <w:rPr>
          <w:b/>
          <w:bCs/>
        </w:rPr>
        <w:t>le iniziative dell'UE in materia di sicurezza nella regione del Mar Nero devono produrre risultati tangibili</w:t>
      </w:r>
      <w:r w:rsidRPr="005835DE">
        <w:t>;</w:t>
      </w:r>
    </w:p>
    <w:p w14:paraId="52F031F1" w14:textId="77777777" w:rsidR="00237C67" w:rsidRPr="005835DE" w:rsidRDefault="00237C67" w:rsidP="00744D76">
      <w:pPr>
        <w:numPr>
          <w:ilvl w:val="0"/>
          <w:numId w:val="31"/>
        </w:numPr>
        <w:overflowPunct w:val="0"/>
        <w:autoSpaceDE w:val="0"/>
        <w:autoSpaceDN w:val="0"/>
        <w:adjustRightInd w:val="0"/>
        <w:ind w:left="426" w:hanging="426"/>
        <w:contextualSpacing/>
        <w:textAlignment w:val="baseline"/>
        <w:rPr>
          <w:bCs/>
          <w:iCs/>
        </w:rPr>
      </w:pPr>
      <w:r w:rsidRPr="005835DE">
        <w:t xml:space="preserve">sottolinea che il </w:t>
      </w:r>
      <w:r w:rsidRPr="005835DE">
        <w:rPr>
          <w:b/>
          <w:bCs/>
        </w:rPr>
        <w:t>conseguimento di una pace duratura</w:t>
      </w:r>
      <w:r w:rsidRPr="005835DE">
        <w:t xml:space="preserve"> è un </w:t>
      </w:r>
      <w:r w:rsidRPr="005835DE">
        <w:rPr>
          <w:b/>
          <w:bCs/>
        </w:rPr>
        <w:t>prerequisito necessario ed essenziale per uno sviluppo economico sostenibile</w:t>
      </w:r>
      <w:r w:rsidRPr="005835DE">
        <w:t>, e rileva con rammarico la mancata menzione di questo obiettivo nel documento;</w:t>
      </w:r>
    </w:p>
    <w:p w14:paraId="63B8D3C0" w14:textId="77777777" w:rsidR="00237C67" w:rsidRPr="005835DE" w:rsidRDefault="00237C67" w:rsidP="00744D76">
      <w:pPr>
        <w:numPr>
          <w:ilvl w:val="0"/>
          <w:numId w:val="31"/>
        </w:numPr>
        <w:overflowPunct w:val="0"/>
        <w:autoSpaceDE w:val="0"/>
        <w:autoSpaceDN w:val="0"/>
        <w:adjustRightInd w:val="0"/>
        <w:ind w:left="426" w:hanging="426"/>
        <w:contextualSpacing/>
        <w:textAlignment w:val="baseline"/>
        <w:rPr>
          <w:bCs/>
          <w:iCs/>
        </w:rPr>
      </w:pPr>
      <w:r w:rsidRPr="005835DE">
        <w:t xml:space="preserve">ritiene che </w:t>
      </w:r>
      <w:r w:rsidRPr="005835DE">
        <w:rPr>
          <w:b/>
          <w:bCs/>
        </w:rPr>
        <w:t>uno dei principali limiti dell'approccio strategico</w:t>
      </w:r>
      <w:r w:rsidRPr="005835DE">
        <w:t xml:space="preserve"> sia il fatto che </w:t>
      </w:r>
      <w:r w:rsidRPr="005835DE">
        <w:rPr>
          <w:b/>
          <w:bCs/>
        </w:rPr>
        <w:t>si basi interamente sugli strumenti di finanziamento e sulle risorse di bilancio esistenti previsti nel quadro finanziario pluriennale 2021-2027</w:t>
      </w:r>
      <w:r w:rsidRPr="005835DE">
        <w:t xml:space="preserve">; chiede che </w:t>
      </w:r>
      <w:r w:rsidRPr="005835DE">
        <w:rPr>
          <w:b/>
          <w:bCs/>
        </w:rPr>
        <w:t>gli strumenti siano semplificati, consolidati e considerati prioritari</w:t>
      </w:r>
      <w:r w:rsidRPr="005835DE">
        <w:t xml:space="preserve"> in modo da produrre un effetto immediato e visibile;</w:t>
      </w:r>
    </w:p>
    <w:p w14:paraId="44A0477D" w14:textId="77777777" w:rsidR="00237C67" w:rsidRPr="005835DE" w:rsidRDefault="00237C67" w:rsidP="00744D76">
      <w:pPr>
        <w:numPr>
          <w:ilvl w:val="0"/>
          <w:numId w:val="31"/>
        </w:numPr>
        <w:overflowPunct w:val="0"/>
        <w:autoSpaceDE w:val="0"/>
        <w:autoSpaceDN w:val="0"/>
        <w:adjustRightInd w:val="0"/>
        <w:ind w:left="426" w:hanging="426"/>
        <w:contextualSpacing/>
        <w:textAlignment w:val="baseline"/>
        <w:rPr>
          <w:bCs/>
          <w:iCs/>
        </w:rPr>
      </w:pPr>
      <w:r w:rsidRPr="005835DE">
        <w:t xml:space="preserve">raccomanda di </w:t>
      </w:r>
      <w:r w:rsidRPr="005835DE">
        <w:rPr>
          <w:b/>
          <w:bCs/>
        </w:rPr>
        <w:t>effettuare una valutazione d'impatto approfondita di tutti gli strumenti attualmente esistenti</w:t>
      </w:r>
      <w:r w:rsidRPr="005835DE">
        <w:t xml:space="preserve"> e di formulare, su tale base, </w:t>
      </w:r>
      <w:r w:rsidRPr="005835DE">
        <w:rPr>
          <w:b/>
          <w:bCs/>
        </w:rPr>
        <w:t>impegni più specifici e chiari</w:t>
      </w:r>
      <w:r w:rsidRPr="005835DE">
        <w:t xml:space="preserve"> per quanto riguarda il loro utilizzo in futuro;</w:t>
      </w:r>
    </w:p>
    <w:p w14:paraId="53E35EF9" w14:textId="77777777" w:rsidR="00237C67" w:rsidRPr="005835DE" w:rsidRDefault="00237C67" w:rsidP="00744D76">
      <w:pPr>
        <w:widowControl w:val="0"/>
        <w:numPr>
          <w:ilvl w:val="0"/>
          <w:numId w:val="31"/>
        </w:numPr>
        <w:overflowPunct w:val="0"/>
        <w:autoSpaceDE w:val="0"/>
        <w:autoSpaceDN w:val="0"/>
        <w:adjustRightInd w:val="0"/>
        <w:ind w:left="426" w:hanging="426"/>
        <w:contextualSpacing/>
        <w:textAlignment w:val="baseline"/>
      </w:pPr>
      <w:r w:rsidRPr="005835DE">
        <w:t xml:space="preserve">ritiene che si debba dedicare maggiore attenzione alla </w:t>
      </w:r>
      <w:r w:rsidRPr="005835DE">
        <w:rPr>
          <w:b/>
          <w:bCs/>
        </w:rPr>
        <w:t>lotta contro le minacce ibride</w:t>
      </w:r>
      <w:r w:rsidRPr="005835DE">
        <w:t xml:space="preserve"> e </w:t>
      </w:r>
      <w:r w:rsidRPr="005835DE">
        <w:rPr>
          <w:b/>
          <w:bCs/>
        </w:rPr>
        <w:t>i malfunzionamenti a livello di governance</w:t>
      </w:r>
      <w:r w:rsidRPr="005835DE">
        <w:t>, che minacciano di compromettere la stabilità regionale.</w:t>
      </w:r>
    </w:p>
    <w:p w14:paraId="54BF6B1F" w14:textId="77777777" w:rsidR="00237C67" w:rsidRPr="005835DE" w:rsidRDefault="00237C67" w:rsidP="00237C67">
      <w:pPr>
        <w:widowControl w:val="0"/>
        <w:overflowPunct w:val="0"/>
        <w:autoSpaceDE w:val="0"/>
        <w:autoSpaceDN w:val="0"/>
        <w:adjustRightInd w:val="0"/>
        <w:ind w:left="709"/>
        <w:textAlignment w:val="baseline"/>
        <w:rPr>
          <w:szCs w:val="20"/>
          <w:lang w:val="en-GB"/>
        </w:rPr>
      </w:pPr>
    </w:p>
    <w:tbl>
      <w:tblPr>
        <w:tblStyle w:val="TableGrid1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8"/>
        <w:gridCol w:w="7095"/>
      </w:tblGrid>
      <w:tr w:rsidR="00237C67" w:rsidRPr="005835DE" w14:paraId="500155AD" w14:textId="77777777" w:rsidTr="00C201AB">
        <w:tc>
          <w:tcPr>
            <w:tcW w:w="1090" w:type="pct"/>
          </w:tcPr>
          <w:p w14:paraId="4E7D56FB" w14:textId="77777777" w:rsidR="00237C67" w:rsidRPr="005835DE" w:rsidRDefault="00237C67" w:rsidP="00237C67">
            <w:pPr>
              <w:overflowPunct w:val="0"/>
              <w:autoSpaceDE w:val="0"/>
              <w:autoSpaceDN w:val="0"/>
              <w:adjustRightInd w:val="0"/>
              <w:textAlignment w:val="baseline"/>
              <w:rPr>
                <w:i/>
              </w:rPr>
            </w:pPr>
            <w:r w:rsidRPr="005835DE">
              <w:rPr>
                <w:b/>
                <w:i/>
              </w:rPr>
              <w:t>Contatto</w:t>
            </w:r>
          </w:p>
        </w:tc>
        <w:tc>
          <w:tcPr>
            <w:tcW w:w="3910" w:type="pct"/>
          </w:tcPr>
          <w:p w14:paraId="397EC967" w14:textId="77777777" w:rsidR="00237C67" w:rsidRPr="005835DE" w:rsidRDefault="00237C67" w:rsidP="00237C67">
            <w:pPr>
              <w:overflowPunct w:val="0"/>
              <w:autoSpaceDE w:val="0"/>
              <w:autoSpaceDN w:val="0"/>
              <w:adjustRightInd w:val="0"/>
              <w:textAlignment w:val="baseline"/>
              <w:rPr>
                <w:i/>
                <w:iCs/>
              </w:rPr>
            </w:pPr>
            <w:r w:rsidRPr="005835DE">
              <w:t>Marie-Laurence DRILLON</w:t>
            </w:r>
          </w:p>
        </w:tc>
      </w:tr>
      <w:tr w:rsidR="00237C67" w:rsidRPr="005835DE" w14:paraId="4A4056F6" w14:textId="77777777" w:rsidTr="00C201AB">
        <w:tc>
          <w:tcPr>
            <w:tcW w:w="1090" w:type="pct"/>
          </w:tcPr>
          <w:p w14:paraId="5E409ED8" w14:textId="77777777" w:rsidR="00237C67" w:rsidRPr="005835DE" w:rsidRDefault="00237C67" w:rsidP="00237C67">
            <w:pPr>
              <w:overflowPunct w:val="0"/>
              <w:autoSpaceDE w:val="0"/>
              <w:autoSpaceDN w:val="0"/>
              <w:adjustRightInd w:val="0"/>
              <w:textAlignment w:val="baseline"/>
              <w:rPr>
                <w:i/>
              </w:rPr>
            </w:pPr>
            <w:r w:rsidRPr="005835DE">
              <w:rPr>
                <w:i/>
              </w:rPr>
              <w:t>Tel.</w:t>
            </w:r>
          </w:p>
        </w:tc>
        <w:tc>
          <w:tcPr>
            <w:tcW w:w="3910" w:type="pct"/>
          </w:tcPr>
          <w:p w14:paraId="701AABDE" w14:textId="70D525BC" w:rsidR="00237C67" w:rsidRPr="005835DE" w:rsidRDefault="00237C67" w:rsidP="00237C67">
            <w:pPr>
              <w:overflowPunct w:val="0"/>
              <w:autoSpaceDE w:val="0"/>
              <w:autoSpaceDN w:val="0"/>
              <w:adjustRightInd w:val="0"/>
              <w:textAlignment w:val="baseline"/>
              <w:rPr>
                <w:i/>
              </w:rPr>
            </w:pPr>
            <w:r w:rsidRPr="005835DE">
              <w:rPr>
                <w:i/>
              </w:rPr>
              <w:t>+32 2546 8320</w:t>
            </w:r>
          </w:p>
        </w:tc>
      </w:tr>
      <w:tr w:rsidR="00237C67" w:rsidRPr="005835DE" w14:paraId="532005DF" w14:textId="77777777" w:rsidTr="00C201AB">
        <w:tc>
          <w:tcPr>
            <w:tcW w:w="1090" w:type="pct"/>
          </w:tcPr>
          <w:p w14:paraId="21550A30" w14:textId="365D12C5" w:rsidR="00237C67" w:rsidRPr="005835DE" w:rsidRDefault="00332E33" w:rsidP="00237C67">
            <w:pPr>
              <w:overflowPunct w:val="0"/>
              <w:autoSpaceDE w:val="0"/>
              <w:autoSpaceDN w:val="0"/>
              <w:adjustRightInd w:val="0"/>
              <w:textAlignment w:val="baseline"/>
              <w:rPr>
                <w:i/>
              </w:rPr>
            </w:pPr>
            <w:r w:rsidRPr="005835DE">
              <w:rPr>
                <w:i/>
              </w:rPr>
              <w:t>E</w:t>
            </w:r>
            <w:r w:rsidR="00237C67" w:rsidRPr="005835DE">
              <w:rPr>
                <w:i/>
              </w:rPr>
              <w:t>-mail</w:t>
            </w:r>
          </w:p>
        </w:tc>
        <w:tc>
          <w:tcPr>
            <w:tcW w:w="3910" w:type="pct"/>
          </w:tcPr>
          <w:p w14:paraId="56749FB7" w14:textId="77777777" w:rsidR="00237C67" w:rsidRPr="005835DE" w:rsidRDefault="00520E78" w:rsidP="00237C67">
            <w:pPr>
              <w:overflowPunct w:val="0"/>
              <w:autoSpaceDE w:val="0"/>
              <w:autoSpaceDN w:val="0"/>
              <w:adjustRightInd w:val="0"/>
              <w:textAlignment w:val="baseline"/>
              <w:rPr>
                <w:i/>
              </w:rPr>
            </w:pPr>
            <w:hyperlink r:id="rId46" w:history="1">
              <w:r w:rsidR="00A27BD2" w:rsidRPr="005835DE">
                <w:rPr>
                  <w:i/>
                  <w:color w:val="0000FF"/>
                  <w:u w:val="single"/>
                </w:rPr>
                <w:t>Marie-Laurence.Drillon@eesc.europa.eu</w:t>
              </w:r>
            </w:hyperlink>
          </w:p>
        </w:tc>
      </w:tr>
    </w:tbl>
    <w:p w14:paraId="74D4B137" w14:textId="77777777" w:rsidR="007F5784" w:rsidRPr="005835DE" w:rsidRDefault="007F5784" w:rsidP="007F5784">
      <w:pPr>
        <w:spacing w:after="160" w:line="259" w:lineRule="auto"/>
        <w:jc w:val="left"/>
      </w:pPr>
    </w:p>
    <w:p w14:paraId="210E1333" w14:textId="1FC47D3D" w:rsidR="00C913CA" w:rsidRPr="005835DE" w:rsidRDefault="006D2C8A" w:rsidP="00C913CA">
      <w:pPr>
        <w:widowControl w:val="0"/>
        <w:numPr>
          <w:ilvl w:val="0"/>
          <w:numId w:val="4"/>
        </w:numPr>
        <w:overflowPunct w:val="0"/>
        <w:autoSpaceDE w:val="0"/>
        <w:autoSpaceDN w:val="0"/>
        <w:adjustRightInd w:val="0"/>
        <w:ind w:hanging="567"/>
        <w:textAlignment w:val="baseline"/>
        <w:rPr>
          <w:sz w:val="28"/>
          <w:szCs w:val="28"/>
        </w:rPr>
      </w:pPr>
      <w:r w:rsidRPr="005835DE">
        <w:br w:type="page"/>
      </w:r>
      <w:hyperlink r:id="rId47" w:history="1">
        <w:r w:rsidRPr="005835DE">
          <w:rPr>
            <w:b/>
            <w:i/>
            <w:color w:val="0000FF"/>
            <w:sz w:val="28"/>
            <w:szCs w:val="28"/>
            <w:u w:val="single"/>
          </w:rPr>
          <w:t>Europa globale (proposta relativa al quadro finanziario pluriennale)</w:t>
        </w:r>
      </w:hyperlink>
    </w:p>
    <w:p w14:paraId="340361FF" w14:textId="77777777" w:rsidR="00C913CA" w:rsidRPr="005835DE" w:rsidRDefault="00C913CA" w:rsidP="00C913CA">
      <w:pPr>
        <w:tabs>
          <w:tab w:val="center" w:pos="284"/>
        </w:tabs>
        <w:overflowPunct w:val="0"/>
        <w:autoSpaceDE w:val="0"/>
        <w:autoSpaceDN w:val="0"/>
        <w:adjustRightInd w:val="0"/>
        <w:ind w:left="266" w:hanging="266"/>
        <w:textAlignment w:val="baseline"/>
        <w:rPr>
          <w:b/>
          <w:lang w:val="en-GB"/>
        </w:rPr>
      </w:pPr>
    </w:p>
    <w:tbl>
      <w:tblPr>
        <w:tblStyle w:val="TableGrid1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9"/>
      </w:tblGrid>
      <w:tr w:rsidR="00C913CA" w:rsidRPr="005835DE" w14:paraId="617F8D50" w14:textId="77777777" w:rsidTr="00C201AB">
        <w:tc>
          <w:tcPr>
            <w:tcW w:w="1077" w:type="pct"/>
          </w:tcPr>
          <w:p w14:paraId="00D33EA5" w14:textId="4F28E879" w:rsidR="00C913CA" w:rsidRPr="005835DE" w:rsidRDefault="00332E33" w:rsidP="00C913CA">
            <w:pPr>
              <w:tabs>
                <w:tab w:val="center" w:pos="284"/>
              </w:tabs>
              <w:overflowPunct w:val="0"/>
              <w:autoSpaceDE w:val="0"/>
              <w:autoSpaceDN w:val="0"/>
              <w:adjustRightInd w:val="0"/>
              <w:ind w:left="266" w:hanging="266"/>
              <w:textAlignment w:val="baseline"/>
              <w:rPr>
                <w:b/>
              </w:rPr>
            </w:pPr>
            <w:r w:rsidRPr="005835DE">
              <w:rPr>
                <w:b/>
              </w:rPr>
              <w:t>Relatore</w:t>
            </w:r>
          </w:p>
        </w:tc>
        <w:tc>
          <w:tcPr>
            <w:tcW w:w="3923" w:type="pct"/>
          </w:tcPr>
          <w:p w14:paraId="4316EC99" w14:textId="50054E32" w:rsidR="00C913CA" w:rsidRPr="005835DE" w:rsidRDefault="00C913CA" w:rsidP="00C913CA">
            <w:pPr>
              <w:tabs>
                <w:tab w:val="center" w:pos="284"/>
              </w:tabs>
              <w:overflowPunct w:val="0"/>
              <w:autoSpaceDE w:val="0"/>
              <w:autoSpaceDN w:val="0"/>
              <w:adjustRightInd w:val="0"/>
              <w:ind w:left="266" w:right="-3091" w:hanging="266"/>
              <w:textAlignment w:val="baseline"/>
            </w:pPr>
            <w:r w:rsidRPr="005835DE">
              <w:t>Mateusz SZYMAŃSKI (Lavoratori - PL)</w:t>
            </w:r>
          </w:p>
        </w:tc>
      </w:tr>
      <w:tr w:rsidR="00C913CA" w:rsidRPr="005835DE" w14:paraId="59C9D0E5" w14:textId="77777777" w:rsidTr="00C201AB">
        <w:tc>
          <w:tcPr>
            <w:tcW w:w="1077" w:type="pct"/>
          </w:tcPr>
          <w:p w14:paraId="755D124C" w14:textId="112B1636" w:rsidR="00C913CA" w:rsidRPr="005835DE" w:rsidRDefault="00332E33" w:rsidP="00C913CA">
            <w:pPr>
              <w:tabs>
                <w:tab w:val="center" w:pos="284"/>
              </w:tabs>
              <w:overflowPunct w:val="0"/>
              <w:autoSpaceDE w:val="0"/>
              <w:autoSpaceDN w:val="0"/>
              <w:adjustRightInd w:val="0"/>
              <w:ind w:left="266" w:hanging="266"/>
              <w:textAlignment w:val="baseline"/>
              <w:rPr>
                <w:b/>
              </w:rPr>
            </w:pPr>
            <w:r w:rsidRPr="005835DE">
              <w:rPr>
                <w:b/>
              </w:rPr>
              <w:t>Correlatore</w:t>
            </w:r>
          </w:p>
        </w:tc>
        <w:tc>
          <w:tcPr>
            <w:tcW w:w="3923" w:type="pct"/>
          </w:tcPr>
          <w:p w14:paraId="0E93DE74" w14:textId="7E65CACD" w:rsidR="00515DDF" w:rsidRPr="005835DE" w:rsidRDefault="00C913CA" w:rsidP="00C913CA">
            <w:pPr>
              <w:tabs>
                <w:tab w:val="center" w:pos="284"/>
              </w:tabs>
              <w:overflowPunct w:val="0"/>
              <w:autoSpaceDE w:val="0"/>
              <w:autoSpaceDN w:val="0"/>
              <w:adjustRightInd w:val="0"/>
              <w:ind w:left="266" w:right="-3091" w:hanging="266"/>
              <w:textAlignment w:val="baseline"/>
            </w:pPr>
            <w:r w:rsidRPr="005835DE">
              <w:t>Luca JAHIER (Organizzazioni della società civile - IT)</w:t>
            </w:r>
          </w:p>
        </w:tc>
      </w:tr>
      <w:tr w:rsidR="00744D76" w:rsidRPr="005835DE" w14:paraId="44C6AB26" w14:textId="77777777" w:rsidTr="00C201AB">
        <w:tc>
          <w:tcPr>
            <w:tcW w:w="1077" w:type="pct"/>
          </w:tcPr>
          <w:p w14:paraId="3A2D99F2" w14:textId="77777777" w:rsidR="00744D76" w:rsidRPr="005835DE" w:rsidRDefault="00744D76" w:rsidP="00C913CA">
            <w:pPr>
              <w:tabs>
                <w:tab w:val="center" w:pos="284"/>
              </w:tabs>
              <w:overflowPunct w:val="0"/>
              <w:autoSpaceDE w:val="0"/>
              <w:autoSpaceDN w:val="0"/>
              <w:adjustRightInd w:val="0"/>
              <w:ind w:left="266" w:hanging="266"/>
              <w:textAlignment w:val="baseline"/>
              <w:rPr>
                <w:b/>
                <w:sz w:val="16"/>
                <w:szCs w:val="16"/>
              </w:rPr>
            </w:pPr>
          </w:p>
        </w:tc>
        <w:tc>
          <w:tcPr>
            <w:tcW w:w="3923" w:type="pct"/>
          </w:tcPr>
          <w:p w14:paraId="0277B0CF" w14:textId="77777777" w:rsidR="00744D76" w:rsidRPr="005835DE" w:rsidRDefault="00744D76" w:rsidP="00C913CA">
            <w:pPr>
              <w:tabs>
                <w:tab w:val="center" w:pos="284"/>
              </w:tabs>
              <w:overflowPunct w:val="0"/>
              <w:autoSpaceDE w:val="0"/>
              <w:autoSpaceDN w:val="0"/>
              <w:adjustRightInd w:val="0"/>
              <w:ind w:left="266" w:right="-3091" w:hanging="266"/>
              <w:textAlignment w:val="baseline"/>
              <w:rPr>
                <w:sz w:val="16"/>
                <w:szCs w:val="16"/>
              </w:rPr>
            </w:pPr>
          </w:p>
        </w:tc>
      </w:tr>
      <w:tr w:rsidR="00C913CA" w:rsidRPr="005835DE" w14:paraId="65944F45" w14:textId="77777777" w:rsidTr="00C201AB">
        <w:tc>
          <w:tcPr>
            <w:tcW w:w="1077" w:type="pct"/>
          </w:tcPr>
          <w:p w14:paraId="2E5FC958" w14:textId="77777777" w:rsidR="00C913CA" w:rsidRPr="005835DE" w:rsidRDefault="00C913CA" w:rsidP="00C913CA">
            <w:pPr>
              <w:tabs>
                <w:tab w:val="center" w:pos="284"/>
              </w:tabs>
              <w:overflowPunct w:val="0"/>
              <w:autoSpaceDE w:val="0"/>
              <w:autoSpaceDN w:val="0"/>
              <w:adjustRightInd w:val="0"/>
              <w:ind w:left="266" w:hanging="266"/>
              <w:textAlignment w:val="baseline"/>
              <w:rPr>
                <w:b/>
              </w:rPr>
            </w:pPr>
            <w:r w:rsidRPr="005835DE">
              <w:rPr>
                <w:b/>
              </w:rPr>
              <w:t>Riferimento</w:t>
            </w:r>
          </w:p>
        </w:tc>
        <w:tc>
          <w:tcPr>
            <w:tcW w:w="3923" w:type="pct"/>
          </w:tcPr>
          <w:p w14:paraId="6347258A" w14:textId="51379C47" w:rsidR="00515DDF" w:rsidRPr="005835DE" w:rsidRDefault="00515DDF" w:rsidP="00C913CA">
            <w:pPr>
              <w:tabs>
                <w:tab w:val="center" w:pos="284"/>
              </w:tabs>
              <w:overflowPunct w:val="0"/>
              <w:autoSpaceDE w:val="0"/>
              <w:autoSpaceDN w:val="0"/>
              <w:adjustRightInd w:val="0"/>
              <w:ind w:left="266" w:right="-3091" w:hanging="266"/>
              <w:textAlignment w:val="baseline"/>
            </w:pPr>
            <w:r w:rsidRPr="005835DE">
              <w:t>COM(2025) 551 final</w:t>
            </w:r>
          </w:p>
          <w:p w14:paraId="2BBBFAE1" w14:textId="6B128210" w:rsidR="00C913CA" w:rsidRPr="005835DE" w:rsidRDefault="00C913CA" w:rsidP="00C913CA">
            <w:pPr>
              <w:tabs>
                <w:tab w:val="center" w:pos="284"/>
              </w:tabs>
              <w:overflowPunct w:val="0"/>
              <w:autoSpaceDE w:val="0"/>
              <w:autoSpaceDN w:val="0"/>
              <w:adjustRightInd w:val="0"/>
              <w:ind w:left="266" w:right="-3091" w:hanging="266"/>
              <w:textAlignment w:val="baseline"/>
            </w:pPr>
            <w:r w:rsidRPr="005835DE">
              <w:t>EESC-2025-02605-00-00-AC</w:t>
            </w:r>
          </w:p>
        </w:tc>
      </w:tr>
    </w:tbl>
    <w:p w14:paraId="05B1F97D" w14:textId="77777777" w:rsidR="00C913CA" w:rsidRPr="005835DE" w:rsidRDefault="00C913CA" w:rsidP="00C913CA">
      <w:pPr>
        <w:tabs>
          <w:tab w:val="center" w:pos="284"/>
        </w:tabs>
        <w:overflowPunct w:val="0"/>
        <w:autoSpaceDE w:val="0"/>
        <w:autoSpaceDN w:val="0"/>
        <w:adjustRightInd w:val="0"/>
        <w:ind w:left="266" w:hanging="266"/>
        <w:textAlignment w:val="baseline"/>
        <w:rPr>
          <w:b/>
          <w:lang w:val="en-GB"/>
        </w:rPr>
      </w:pPr>
    </w:p>
    <w:p w14:paraId="17BCE7B6" w14:textId="77777777" w:rsidR="00C913CA" w:rsidRPr="005835DE" w:rsidRDefault="00C913CA" w:rsidP="00C913CA">
      <w:pPr>
        <w:keepNext/>
        <w:keepLines/>
        <w:tabs>
          <w:tab w:val="center" w:pos="284"/>
        </w:tabs>
        <w:overflowPunct w:val="0"/>
        <w:autoSpaceDE w:val="0"/>
        <w:autoSpaceDN w:val="0"/>
        <w:adjustRightInd w:val="0"/>
        <w:ind w:left="266" w:hanging="266"/>
        <w:textAlignment w:val="baseline"/>
        <w:rPr>
          <w:b/>
        </w:rPr>
      </w:pPr>
      <w:r w:rsidRPr="005835DE">
        <w:rPr>
          <w:b/>
        </w:rPr>
        <w:t>Punti principali</w:t>
      </w:r>
    </w:p>
    <w:p w14:paraId="4511E68B" w14:textId="77777777" w:rsidR="00C913CA" w:rsidRPr="005835DE" w:rsidRDefault="00C913CA" w:rsidP="00C913CA">
      <w:pPr>
        <w:keepNext/>
        <w:keepLines/>
        <w:tabs>
          <w:tab w:val="center" w:pos="284"/>
        </w:tabs>
        <w:overflowPunct w:val="0"/>
        <w:autoSpaceDE w:val="0"/>
        <w:autoSpaceDN w:val="0"/>
        <w:adjustRightInd w:val="0"/>
        <w:ind w:left="266" w:hanging="266"/>
        <w:textAlignment w:val="baseline"/>
        <w:rPr>
          <w:b/>
          <w:lang w:val="en-GB"/>
        </w:rPr>
      </w:pPr>
    </w:p>
    <w:p w14:paraId="5AC62987" w14:textId="2A834BCE" w:rsidR="00C913CA" w:rsidRPr="005835DE" w:rsidRDefault="00C913CA" w:rsidP="00C913CA">
      <w:pPr>
        <w:overflowPunct w:val="0"/>
        <w:autoSpaceDE w:val="0"/>
        <w:autoSpaceDN w:val="0"/>
        <w:adjustRightInd w:val="0"/>
        <w:textAlignment w:val="baseline"/>
      </w:pPr>
      <w:r w:rsidRPr="005835DE">
        <w:t>Il CESE:</w:t>
      </w:r>
    </w:p>
    <w:p w14:paraId="09FFD835" w14:textId="77777777" w:rsidR="00B913E0" w:rsidRPr="005835DE" w:rsidRDefault="00B913E0" w:rsidP="00C913CA">
      <w:pPr>
        <w:overflowPunct w:val="0"/>
        <w:autoSpaceDE w:val="0"/>
        <w:autoSpaceDN w:val="0"/>
        <w:adjustRightInd w:val="0"/>
        <w:textAlignment w:val="baseline"/>
        <w:rPr>
          <w:bCs/>
          <w:iCs/>
        </w:rPr>
      </w:pPr>
    </w:p>
    <w:p w14:paraId="7F34015F" w14:textId="77777777" w:rsidR="00C913CA" w:rsidRPr="005835DE" w:rsidRDefault="00C913CA" w:rsidP="00B913E0">
      <w:pPr>
        <w:widowControl w:val="0"/>
        <w:numPr>
          <w:ilvl w:val="0"/>
          <w:numId w:val="32"/>
        </w:numPr>
        <w:overflowPunct w:val="0"/>
        <w:autoSpaceDE w:val="0"/>
        <w:autoSpaceDN w:val="0"/>
        <w:adjustRightInd w:val="0"/>
        <w:ind w:left="426" w:hanging="426"/>
        <w:textAlignment w:val="baseline"/>
        <w:rPr>
          <w:bCs/>
          <w:iCs/>
        </w:rPr>
      </w:pPr>
      <w:r w:rsidRPr="005835DE">
        <w:t>accoglie con favore la proposta della Commissione di aumentare la spesa per le politiche esterne dell'UE nell'ambito del prossimo quadro finanziario pluriennale (QFP), con uno strumento Europa globale che comprenda una riserva per l'Ucraina, e ritiene che tale aumento sia essenziale per consentire all'UE di affermare il suo ruolo di attore globale, difendere i suoi valori e rafforzare la sua autonomia strategica;</w:t>
      </w:r>
    </w:p>
    <w:p w14:paraId="092597D8" w14:textId="40148BA2" w:rsidR="00C913CA" w:rsidRPr="005835DE" w:rsidRDefault="00C913CA" w:rsidP="00B913E0">
      <w:pPr>
        <w:widowControl w:val="0"/>
        <w:numPr>
          <w:ilvl w:val="0"/>
          <w:numId w:val="32"/>
        </w:numPr>
        <w:overflowPunct w:val="0"/>
        <w:autoSpaceDE w:val="0"/>
        <w:autoSpaceDN w:val="0"/>
        <w:adjustRightInd w:val="0"/>
        <w:ind w:left="426" w:hanging="426"/>
        <w:textAlignment w:val="baseline"/>
        <w:rPr>
          <w:bCs/>
          <w:iCs/>
        </w:rPr>
      </w:pPr>
      <w:r w:rsidRPr="005835DE">
        <w:t xml:space="preserve">ritiene che l'UE dovrebbe svolgere un ruolo guida negli sforzi umanitari e di sviluppo e nel rilancio del sistema delle Nazioni Unite, e che il Global Gateway debba diventare il suo strumento principale; </w:t>
      </w:r>
    </w:p>
    <w:p w14:paraId="023EF68A" w14:textId="77777777" w:rsidR="00C913CA" w:rsidRPr="005835DE" w:rsidRDefault="00C913CA" w:rsidP="00B913E0">
      <w:pPr>
        <w:widowControl w:val="0"/>
        <w:numPr>
          <w:ilvl w:val="0"/>
          <w:numId w:val="32"/>
        </w:numPr>
        <w:overflowPunct w:val="0"/>
        <w:autoSpaceDE w:val="0"/>
        <w:autoSpaceDN w:val="0"/>
        <w:adjustRightInd w:val="0"/>
        <w:ind w:left="426" w:hanging="426"/>
        <w:textAlignment w:val="baseline"/>
        <w:rPr>
          <w:bCs/>
          <w:iCs/>
        </w:rPr>
      </w:pPr>
      <w:r w:rsidRPr="005835DE">
        <w:t>osserva che il comitato consultivo delle organizzazioni della società civile e delle autorità locali per il Global Gateway è rimasto scollegato dal processo decisionale e questo ha frammentato il dialogo. Il CESE chiede di garantire una partecipazione significativa, anche del CESE e del CdR;</w:t>
      </w:r>
    </w:p>
    <w:p w14:paraId="4484C108" w14:textId="77777777" w:rsidR="00C913CA" w:rsidRPr="005835DE" w:rsidRDefault="00C913CA" w:rsidP="00B913E0">
      <w:pPr>
        <w:widowControl w:val="0"/>
        <w:numPr>
          <w:ilvl w:val="0"/>
          <w:numId w:val="32"/>
        </w:numPr>
        <w:overflowPunct w:val="0"/>
        <w:autoSpaceDE w:val="0"/>
        <w:autoSpaceDN w:val="0"/>
        <w:adjustRightInd w:val="0"/>
        <w:ind w:left="426" w:hanging="426"/>
        <w:textAlignment w:val="baseline"/>
        <w:rPr>
          <w:bCs/>
          <w:iCs/>
        </w:rPr>
      </w:pPr>
      <w:r w:rsidRPr="005835DE">
        <w:t>sottolinea la necessità di assicurare la coerenza tra la politica estera, lo sviluppo, il commercio e il Fondo europeo per la competitività, al fine di conseguire lo sviluppo sostenibile e la resilienza economica;</w:t>
      </w:r>
    </w:p>
    <w:p w14:paraId="33EE32E4" w14:textId="77777777" w:rsidR="00C913CA" w:rsidRPr="005835DE" w:rsidRDefault="00C913CA" w:rsidP="00B913E0">
      <w:pPr>
        <w:widowControl w:val="0"/>
        <w:numPr>
          <w:ilvl w:val="0"/>
          <w:numId w:val="32"/>
        </w:numPr>
        <w:overflowPunct w:val="0"/>
        <w:autoSpaceDE w:val="0"/>
        <w:autoSpaceDN w:val="0"/>
        <w:adjustRightInd w:val="0"/>
        <w:ind w:left="426" w:hanging="426"/>
        <w:textAlignment w:val="baseline"/>
        <w:rPr>
          <w:bCs/>
          <w:iCs/>
        </w:rPr>
      </w:pPr>
      <w:r w:rsidRPr="005835DE">
        <w:t>nonostante la valutazione positiva data alla flessibilità proposta nell'azione esterna, si aspetta piena trasparenza e assunzione di responsabilità nella spesa dei finanziamenti;</w:t>
      </w:r>
    </w:p>
    <w:p w14:paraId="54231D48" w14:textId="77777777" w:rsidR="00C913CA" w:rsidRPr="005835DE" w:rsidRDefault="00C913CA" w:rsidP="00B913E0">
      <w:pPr>
        <w:widowControl w:val="0"/>
        <w:numPr>
          <w:ilvl w:val="0"/>
          <w:numId w:val="32"/>
        </w:numPr>
        <w:overflowPunct w:val="0"/>
        <w:autoSpaceDE w:val="0"/>
        <w:autoSpaceDN w:val="0"/>
        <w:adjustRightInd w:val="0"/>
        <w:ind w:left="426" w:hanging="426"/>
        <w:textAlignment w:val="baseline"/>
        <w:rPr>
          <w:bCs/>
          <w:iCs/>
        </w:rPr>
      </w:pPr>
      <w:r w:rsidRPr="005835DE">
        <w:t xml:space="preserve">chiede di estendere l'indicatore delle disuguaglianze della Commissione ai progetti della strategia Global Gateway; </w:t>
      </w:r>
    </w:p>
    <w:p w14:paraId="622745CB" w14:textId="77777777" w:rsidR="00C913CA" w:rsidRPr="005835DE" w:rsidRDefault="00C913CA" w:rsidP="00B913E0">
      <w:pPr>
        <w:widowControl w:val="0"/>
        <w:numPr>
          <w:ilvl w:val="0"/>
          <w:numId w:val="32"/>
        </w:numPr>
        <w:overflowPunct w:val="0"/>
        <w:autoSpaceDE w:val="0"/>
        <w:autoSpaceDN w:val="0"/>
        <w:adjustRightInd w:val="0"/>
        <w:ind w:left="426" w:hanging="426"/>
        <w:textAlignment w:val="baseline"/>
        <w:rPr>
          <w:bCs/>
          <w:iCs/>
        </w:rPr>
      </w:pPr>
      <w:r w:rsidRPr="005835DE">
        <w:t xml:space="preserve">si attende un maggiore coinvolgimento degli organismi esistenti, come le piattaforme della società civile, nel mantenimento delle relazioni con le organizzazioni dei paesi partner; </w:t>
      </w:r>
    </w:p>
    <w:p w14:paraId="17AD7981" w14:textId="77777777" w:rsidR="00C913CA" w:rsidRPr="005835DE" w:rsidRDefault="00C913CA" w:rsidP="00B913E0">
      <w:pPr>
        <w:widowControl w:val="0"/>
        <w:numPr>
          <w:ilvl w:val="0"/>
          <w:numId w:val="32"/>
        </w:numPr>
        <w:overflowPunct w:val="0"/>
        <w:autoSpaceDE w:val="0"/>
        <w:autoSpaceDN w:val="0"/>
        <w:adjustRightInd w:val="0"/>
        <w:ind w:left="426" w:hanging="426"/>
        <w:textAlignment w:val="baseline"/>
        <w:rPr>
          <w:bCs/>
          <w:iCs/>
        </w:rPr>
      </w:pPr>
      <w:r w:rsidRPr="005835DE">
        <w:t>sostiene tutti gli sforzi volti a rafforzare la prosperità e la sicurezza nel nostro vicinato e quindi all'interno dell'UE, e sostiene l'ulteriore allargamento dell'Unione;</w:t>
      </w:r>
    </w:p>
    <w:p w14:paraId="751B0DE5" w14:textId="77777777" w:rsidR="00C913CA" w:rsidRPr="005835DE" w:rsidRDefault="00C913CA" w:rsidP="00B913E0">
      <w:pPr>
        <w:widowControl w:val="0"/>
        <w:numPr>
          <w:ilvl w:val="0"/>
          <w:numId w:val="32"/>
        </w:numPr>
        <w:overflowPunct w:val="0"/>
        <w:autoSpaceDE w:val="0"/>
        <w:autoSpaceDN w:val="0"/>
        <w:adjustRightInd w:val="0"/>
        <w:ind w:left="426" w:hanging="426"/>
        <w:textAlignment w:val="baseline"/>
        <w:rPr>
          <w:bCs/>
          <w:iCs/>
        </w:rPr>
      </w:pPr>
      <w:r w:rsidRPr="005835DE">
        <w:t>sottolinea la necessità di finanziamenti prevedibili e stabili per le organizzazioni della società civile, in particolare per rafforzare la democrazia, lo spazio a disposizione della società civile e la parità di genere;</w:t>
      </w:r>
    </w:p>
    <w:p w14:paraId="29F107B3" w14:textId="77777777" w:rsidR="00C913CA" w:rsidRPr="005835DE" w:rsidRDefault="00C913CA" w:rsidP="00B913E0">
      <w:pPr>
        <w:widowControl w:val="0"/>
        <w:numPr>
          <w:ilvl w:val="0"/>
          <w:numId w:val="32"/>
        </w:numPr>
        <w:overflowPunct w:val="0"/>
        <w:autoSpaceDE w:val="0"/>
        <w:autoSpaceDN w:val="0"/>
        <w:adjustRightInd w:val="0"/>
        <w:ind w:left="426" w:hanging="426"/>
        <w:textAlignment w:val="baseline"/>
        <w:rPr>
          <w:bCs/>
          <w:iCs/>
        </w:rPr>
      </w:pPr>
      <w:r w:rsidRPr="005835DE">
        <w:t>si attende inoltre che gli obiettivi relativi alla cooperazione economica e all'imprenditorialità siano accompagnati da garanzie ambiziose in ambito sociale e ambientale e in materia di diritti umani;</w:t>
      </w:r>
    </w:p>
    <w:p w14:paraId="1EC11B19" w14:textId="77777777" w:rsidR="00C913CA" w:rsidRPr="005835DE" w:rsidRDefault="00C913CA" w:rsidP="00B913E0">
      <w:pPr>
        <w:widowControl w:val="0"/>
        <w:numPr>
          <w:ilvl w:val="0"/>
          <w:numId w:val="32"/>
        </w:numPr>
        <w:overflowPunct w:val="0"/>
        <w:autoSpaceDE w:val="0"/>
        <w:autoSpaceDN w:val="0"/>
        <w:adjustRightInd w:val="0"/>
        <w:ind w:left="426" w:hanging="426"/>
        <w:textAlignment w:val="baseline"/>
        <w:rPr>
          <w:bCs/>
          <w:iCs/>
        </w:rPr>
      </w:pPr>
      <w:r w:rsidRPr="005835DE">
        <w:t>si oppone all'approccio di sospendere i pagamenti nel contesto della politica migratoria, sottolineando la necessità di incentivi concreti per conseguire gli obiettivi dichiarati.</w:t>
      </w:r>
    </w:p>
    <w:p w14:paraId="713942FB" w14:textId="77777777" w:rsidR="00C913CA" w:rsidRPr="005835DE" w:rsidRDefault="00C913CA" w:rsidP="00C913CA">
      <w:pPr>
        <w:widowControl w:val="0"/>
        <w:overflowPunct w:val="0"/>
        <w:autoSpaceDE w:val="0"/>
        <w:autoSpaceDN w:val="0"/>
        <w:adjustRightInd w:val="0"/>
        <w:ind w:left="709"/>
        <w:textAlignment w:val="baseline"/>
        <w:rPr>
          <w:szCs w:val="20"/>
          <w:lang w:val="en-GB"/>
        </w:rPr>
      </w:pPr>
    </w:p>
    <w:tbl>
      <w:tblPr>
        <w:tblStyle w:val="TableGrid1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6"/>
        <w:gridCol w:w="5357"/>
      </w:tblGrid>
      <w:tr w:rsidR="00C913CA" w:rsidRPr="005835DE" w14:paraId="430D0F1E" w14:textId="77777777" w:rsidTr="00C201AB">
        <w:tc>
          <w:tcPr>
            <w:tcW w:w="1077" w:type="pct"/>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2650"/>
            </w:tblGrid>
            <w:tr w:rsidR="006559C7" w:rsidRPr="005835DE" w14:paraId="566687C9" w14:textId="77777777" w:rsidTr="002238FF">
              <w:tc>
                <w:tcPr>
                  <w:tcW w:w="1077" w:type="pct"/>
                </w:tcPr>
                <w:p w14:paraId="5EE88CD7" w14:textId="77777777" w:rsidR="006559C7" w:rsidRPr="005835DE" w:rsidRDefault="006559C7" w:rsidP="006559C7">
                  <w:pPr>
                    <w:ind w:hanging="78"/>
                    <w:rPr>
                      <w:i/>
                      <w:sz w:val="20"/>
                      <w:szCs w:val="20"/>
                    </w:rPr>
                  </w:pPr>
                  <w:r w:rsidRPr="005835DE">
                    <w:rPr>
                      <w:b/>
                      <w:i/>
                      <w:sz w:val="20"/>
                    </w:rPr>
                    <w:t>Contatto</w:t>
                  </w:r>
                </w:p>
              </w:tc>
              <w:tc>
                <w:tcPr>
                  <w:tcW w:w="3923" w:type="pct"/>
                </w:tcPr>
                <w:p w14:paraId="1A70046D" w14:textId="77777777" w:rsidR="006559C7" w:rsidRPr="005835DE" w:rsidRDefault="006559C7" w:rsidP="006559C7">
                  <w:pPr>
                    <w:ind w:hanging="78"/>
                    <w:rPr>
                      <w:i/>
                      <w:sz w:val="20"/>
                      <w:szCs w:val="20"/>
                    </w:rPr>
                  </w:pPr>
                  <w:r w:rsidRPr="005835DE">
                    <w:rPr>
                      <w:i/>
                      <w:sz w:val="20"/>
                    </w:rPr>
                    <w:t xml:space="preserve">Daniele VITALI </w:t>
                  </w:r>
                </w:p>
              </w:tc>
            </w:tr>
            <w:tr w:rsidR="006559C7" w:rsidRPr="005835DE" w14:paraId="6A2E51F7" w14:textId="77777777" w:rsidTr="002238FF">
              <w:tc>
                <w:tcPr>
                  <w:tcW w:w="1077" w:type="pct"/>
                </w:tcPr>
                <w:p w14:paraId="36742115" w14:textId="77777777" w:rsidR="006559C7" w:rsidRPr="005835DE" w:rsidRDefault="006559C7" w:rsidP="006559C7">
                  <w:pPr>
                    <w:ind w:hanging="78"/>
                    <w:rPr>
                      <w:i/>
                      <w:sz w:val="20"/>
                      <w:szCs w:val="20"/>
                    </w:rPr>
                  </w:pPr>
                  <w:r w:rsidRPr="005835DE">
                    <w:rPr>
                      <w:i/>
                      <w:sz w:val="20"/>
                    </w:rPr>
                    <w:t>Tel.</w:t>
                  </w:r>
                </w:p>
              </w:tc>
              <w:tc>
                <w:tcPr>
                  <w:tcW w:w="3923" w:type="pct"/>
                </w:tcPr>
                <w:p w14:paraId="2025EE29" w14:textId="2C5781A0" w:rsidR="006559C7" w:rsidRPr="005835DE" w:rsidRDefault="006559C7" w:rsidP="006559C7">
                  <w:pPr>
                    <w:ind w:hanging="78"/>
                    <w:rPr>
                      <w:i/>
                      <w:sz w:val="20"/>
                      <w:szCs w:val="20"/>
                    </w:rPr>
                  </w:pPr>
                  <w:r w:rsidRPr="005835DE">
                    <w:rPr>
                      <w:i/>
                      <w:sz w:val="20"/>
                    </w:rPr>
                    <w:t>+32 25468817</w:t>
                  </w:r>
                </w:p>
              </w:tc>
            </w:tr>
            <w:tr w:rsidR="006559C7" w:rsidRPr="005835DE" w14:paraId="40EB0530" w14:textId="77777777" w:rsidTr="002238FF">
              <w:tc>
                <w:tcPr>
                  <w:tcW w:w="1077" w:type="pct"/>
                </w:tcPr>
                <w:p w14:paraId="0E0B5DFB" w14:textId="3B278DD7" w:rsidR="006559C7" w:rsidRPr="005835DE" w:rsidRDefault="00332E33" w:rsidP="006559C7">
                  <w:pPr>
                    <w:ind w:hanging="78"/>
                    <w:rPr>
                      <w:i/>
                      <w:sz w:val="20"/>
                      <w:szCs w:val="20"/>
                    </w:rPr>
                  </w:pPr>
                  <w:r w:rsidRPr="005835DE">
                    <w:rPr>
                      <w:i/>
                      <w:sz w:val="20"/>
                    </w:rPr>
                    <w:t>E</w:t>
                  </w:r>
                  <w:r w:rsidR="006559C7" w:rsidRPr="005835DE">
                    <w:rPr>
                      <w:i/>
                      <w:sz w:val="20"/>
                    </w:rPr>
                    <w:t>-mail</w:t>
                  </w:r>
                </w:p>
              </w:tc>
              <w:tc>
                <w:tcPr>
                  <w:tcW w:w="3923" w:type="pct"/>
                </w:tcPr>
                <w:p w14:paraId="65211337" w14:textId="77777777" w:rsidR="006559C7" w:rsidRPr="005835DE" w:rsidRDefault="00520E78" w:rsidP="006559C7">
                  <w:pPr>
                    <w:ind w:hanging="78"/>
                    <w:rPr>
                      <w:i/>
                      <w:sz w:val="20"/>
                      <w:szCs w:val="20"/>
                    </w:rPr>
                  </w:pPr>
                  <w:hyperlink r:id="rId48" w:history="1">
                    <w:r w:rsidR="00A27BD2" w:rsidRPr="005835DE">
                      <w:rPr>
                        <w:rStyle w:val="Hyperlink"/>
                        <w:i/>
                        <w:sz w:val="20"/>
                      </w:rPr>
                      <w:t>Daniele.Vitali@eesc.europa.eu</w:t>
                    </w:r>
                  </w:hyperlink>
                </w:p>
              </w:tc>
            </w:tr>
          </w:tbl>
          <w:p w14:paraId="3CCB7A2A" w14:textId="391432AF" w:rsidR="00C913CA" w:rsidRPr="005835DE" w:rsidRDefault="00C913CA" w:rsidP="00C913CA">
            <w:pPr>
              <w:overflowPunct w:val="0"/>
              <w:autoSpaceDE w:val="0"/>
              <w:autoSpaceDN w:val="0"/>
              <w:adjustRightInd w:val="0"/>
              <w:textAlignment w:val="baseline"/>
              <w:rPr>
                <w:i/>
              </w:rPr>
            </w:pPr>
          </w:p>
        </w:tc>
        <w:tc>
          <w:tcPr>
            <w:tcW w:w="3923" w:type="pct"/>
          </w:tcPr>
          <w:p w14:paraId="651A7526" w14:textId="52EF1562" w:rsidR="00C913CA" w:rsidRPr="005835DE" w:rsidRDefault="00C913CA" w:rsidP="00C913CA">
            <w:pPr>
              <w:overflowPunct w:val="0"/>
              <w:autoSpaceDE w:val="0"/>
              <w:autoSpaceDN w:val="0"/>
              <w:adjustRightInd w:val="0"/>
              <w:textAlignment w:val="baseline"/>
              <w:rPr>
                <w:i/>
              </w:rPr>
            </w:pPr>
          </w:p>
        </w:tc>
      </w:tr>
      <w:tr w:rsidR="00C913CA" w:rsidRPr="005835DE" w14:paraId="6C24B983" w14:textId="77777777" w:rsidTr="00C201AB">
        <w:tc>
          <w:tcPr>
            <w:tcW w:w="1077" w:type="pct"/>
          </w:tcPr>
          <w:p w14:paraId="6709C358" w14:textId="56E9347F" w:rsidR="00C913CA" w:rsidRPr="005835DE" w:rsidRDefault="00C913CA" w:rsidP="00C913CA">
            <w:pPr>
              <w:overflowPunct w:val="0"/>
              <w:autoSpaceDE w:val="0"/>
              <w:autoSpaceDN w:val="0"/>
              <w:adjustRightInd w:val="0"/>
              <w:textAlignment w:val="baseline"/>
              <w:rPr>
                <w:i/>
              </w:rPr>
            </w:pPr>
          </w:p>
        </w:tc>
        <w:tc>
          <w:tcPr>
            <w:tcW w:w="3923" w:type="pct"/>
          </w:tcPr>
          <w:p w14:paraId="7C97F1D0" w14:textId="77777777" w:rsidR="009041AE" w:rsidRPr="005835DE" w:rsidRDefault="009041AE" w:rsidP="00C913CA">
            <w:pPr>
              <w:overflowPunct w:val="0"/>
              <w:autoSpaceDE w:val="0"/>
              <w:autoSpaceDN w:val="0"/>
              <w:adjustRightInd w:val="0"/>
              <w:textAlignment w:val="baseline"/>
              <w:rPr>
                <w:i/>
              </w:rPr>
            </w:pPr>
          </w:p>
        </w:tc>
      </w:tr>
    </w:tbl>
    <w:p w14:paraId="0D67EAE9" w14:textId="1879C98B" w:rsidR="004503DC" w:rsidRPr="005835DE" w:rsidRDefault="00C913CA" w:rsidP="004503DC">
      <w:pPr>
        <w:widowControl w:val="0"/>
        <w:numPr>
          <w:ilvl w:val="0"/>
          <w:numId w:val="4"/>
        </w:numPr>
        <w:overflowPunct w:val="0"/>
        <w:autoSpaceDE w:val="0"/>
        <w:autoSpaceDN w:val="0"/>
        <w:adjustRightInd w:val="0"/>
        <w:ind w:hanging="567"/>
        <w:textAlignment w:val="baseline"/>
        <w:rPr>
          <w:sz w:val="28"/>
          <w:szCs w:val="28"/>
        </w:rPr>
      </w:pPr>
      <w:r w:rsidRPr="005835DE">
        <w:br w:type="page"/>
      </w:r>
      <w:hyperlink r:id="rId49" w:history="1">
        <w:r w:rsidRPr="005835DE">
          <w:rPr>
            <w:b/>
            <w:i/>
            <w:color w:val="0000FF"/>
            <w:sz w:val="28"/>
            <w:szCs w:val="28"/>
            <w:u w:val="single"/>
          </w:rPr>
          <w:t>Una via europea prevedibile e comune per il futuro degli Ucraini presenti nell'UE</w:t>
        </w:r>
      </w:hyperlink>
    </w:p>
    <w:p w14:paraId="66ABB207" w14:textId="77777777" w:rsidR="004503DC" w:rsidRPr="005835DE" w:rsidRDefault="004503DC" w:rsidP="004503DC">
      <w:pPr>
        <w:tabs>
          <w:tab w:val="center" w:pos="284"/>
        </w:tabs>
        <w:overflowPunct w:val="0"/>
        <w:autoSpaceDE w:val="0"/>
        <w:autoSpaceDN w:val="0"/>
        <w:adjustRightInd w:val="0"/>
        <w:ind w:left="266" w:hanging="266"/>
        <w:textAlignment w:val="baseline"/>
        <w:rPr>
          <w:b/>
          <w:lang w:val="en-GB"/>
        </w:rPr>
      </w:pPr>
    </w:p>
    <w:tbl>
      <w:tblPr>
        <w:tblStyle w:val="TableGrid1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9"/>
      </w:tblGrid>
      <w:tr w:rsidR="004503DC" w:rsidRPr="005835DE" w14:paraId="6E6B74AA" w14:textId="77777777" w:rsidTr="00C201AB">
        <w:tc>
          <w:tcPr>
            <w:tcW w:w="1077" w:type="pct"/>
          </w:tcPr>
          <w:p w14:paraId="63D99806" w14:textId="5284773F" w:rsidR="004503DC" w:rsidRPr="005835DE" w:rsidRDefault="00332E33" w:rsidP="004503DC">
            <w:pPr>
              <w:tabs>
                <w:tab w:val="center" w:pos="284"/>
              </w:tabs>
              <w:overflowPunct w:val="0"/>
              <w:autoSpaceDE w:val="0"/>
              <w:autoSpaceDN w:val="0"/>
              <w:adjustRightInd w:val="0"/>
              <w:ind w:left="266" w:hanging="266"/>
              <w:textAlignment w:val="baseline"/>
              <w:rPr>
                <w:b/>
              </w:rPr>
            </w:pPr>
            <w:r w:rsidRPr="005835DE">
              <w:rPr>
                <w:b/>
              </w:rPr>
              <w:t>Relatore</w:t>
            </w:r>
            <w:r w:rsidR="004503DC" w:rsidRPr="005835DE">
              <w:rPr>
                <w:b/>
              </w:rPr>
              <w:t xml:space="preserve"> </w:t>
            </w:r>
          </w:p>
        </w:tc>
        <w:tc>
          <w:tcPr>
            <w:tcW w:w="3923" w:type="pct"/>
          </w:tcPr>
          <w:p w14:paraId="2DAA0415" w14:textId="1B2B62CA" w:rsidR="006559C7" w:rsidRPr="005835DE" w:rsidRDefault="004503DC" w:rsidP="00F733BE">
            <w:pPr>
              <w:tabs>
                <w:tab w:val="center" w:pos="284"/>
              </w:tabs>
              <w:overflowPunct w:val="0"/>
              <w:autoSpaceDE w:val="0"/>
              <w:autoSpaceDN w:val="0"/>
              <w:adjustRightInd w:val="0"/>
              <w:ind w:left="266" w:right="-3091" w:hanging="266"/>
              <w:textAlignment w:val="baseline"/>
            </w:pPr>
            <w:r w:rsidRPr="005835DE">
              <w:t>Mateusz SZYMAŃSKI (Lavoratori - PL)</w:t>
            </w:r>
          </w:p>
        </w:tc>
      </w:tr>
      <w:tr w:rsidR="004503DC" w:rsidRPr="005835DE" w14:paraId="712EFFED" w14:textId="77777777" w:rsidTr="00C201AB">
        <w:tc>
          <w:tcPr>
            <w:tcW w:w="1077" w:type="pct"/>
          </w:tcPr>
          <w:p w14:paraId="2B679233" w14:textId="62A2AB80" w:rsidR="004503DC" w:rsidRPr="005835DE" w:rsidRDefault="00332E33" w:rsidP="004503DC">
            <w:pPr>
              <w:tabs>
                <w:tab w:val="center" w:pos="284"/>
              </w:tabs>
              <w:overflowPunct w:val="0"/>
              <w:autoSpaceDE w:val="0"/>
              <w:autoSpaceDN w:val="0"/>
              <w:adjustRightInd w:val="0"/>
              <w:ind w:left="266" w:hanging="266"/>
              <w:textAlignment w:val="baseline"/>
              <w:rPr>
                <w:b/>
              </w:rPr>
            </w:pPr>
            <w:r w:rsidRPr="005835DE">
              <w:rPr>
                <w:b/>
              </w:rPr>
              <w:t>Correlatore</w:t>
            </w:r>
          </w:p>
        </w:tc>
        <w:tc>
          <w:tcPr>
            <w:tcW w:w="3923" w:type="pct"/>
          </w:tcPr>
          <w:p w14:paraId="3F606C7E" w14:textId="2AE66B98" w:rsidR="00F733BE" w:rsidRPr="005835DE" w:rsidRDefault="004503DC" w:rsidP="004503DC">
            <w:pPr>
              <w:tabs>
                <w:tab w:val="center" w:pos="284"/>
              </w:tabs>
              <w:overflowPunct w:val="0"/>
              <w:autoSpaceDE w:val="0"/>
              <w:autoSpaceDN w:val="0"/>
              <w:adjustRightInd w:val="0"/>
              <w:ind w:left="266" w:right="-3091" w:hanging="266"/>
              <w:textAlignment w:val="baseline"/>
            </w:pPr>
            <w:r w:rsidRPr="005835DE">
              <w:t>Krzysztof BALON (Organizzazioni della società civile - PL)</w:t>
            </w:r>
          </w:p>
        </w:tc>
      </w:tr>
      <w:tr w:rsidR="00734AF4" w:rsidRPr="005835DE" w14:paraId="5F28337A" w14:textId="77777777" w:rsidTr="00C201AB">
        <w:tc>
          <w:tcPr>
            <w:tcW w:w="1077" w:type="pct"/>
          </w:tcPr>
          <w:p w14:paraId="1F25EE17" w14:textId="77777777" w:rsidR="00734AF4" w:rsidRPr="005835DE" w:rsidRDefault="00734AF4" w:rsidP="004503DC">
            <w:pPr>
              <w:tabs>
                <w:tab w:val="center" w:pos="284"/>
              </w:tabs>
              <w:overflowPunct w:val="0"/>
              <w:autoSpaceDE w:val="0"/>
              <w:autoSpaceDN w:val="0"/>
              <w:adjustRightInd w:val="0"/>
              <w:ind w:left="266" w:hanging="266"/>
              <w:textAlignment w:val="baseline"/>
              <w:rPr>
                <w:b/>
                <w:sz w:val="16"/>
                <w:szCs w:val="16"/>
              </w:rPr>
            </w:pPr>
          </w:p>
        </w:tc>
        <w:tc>
          <w:tcPr>
            <w:tcW w:w="3923" w:type="pct"/>
          </w:tcPr>
          <w:p w14:paraId="0D2BAA12" w14:textId="77777777" w:rsidR="00734AF4" w:rsidRPr="005835DE" w:rsidRDefault="00734AF4" w:rsidP="004503DC">
            <w:pPr>
              <w:tabs>
                <w:tab w:val="center" w:pos="284"/>
              </w:tabs>
              <w:overflowPunct w:val="0"/>
              <w:autoSpaceDE w:val="0"/>
              <w:autoSpaceDN w:val="0"/>
              <w:adjustRightInd w:val="0"/>
              <w:ind w:left="266" w:right="-3091" w:hanging="266"/>
              <w:textAlignment w:val="baseline"/>
              <w:rPr>
                <w:sz w:val="16"/>
                <w:szCs w:val="16"/>
              </w:rPr>
            </w:pPr>
          </w:p>
        </w:tc>
      </w:tr>
      <w:tr w:rsidR="004503DC" w:rsidRPr="005835DE" w14:paraId="1E0B600C" w14:textId="77777777" w:rsidTr="00C201AB">
        <w:tc>
          <w:tcPr>
            <w:tcW w:w="1077" w:type="pct"/>
          </w:tcPr>
          <w:p w14:paraId="331D255A" w14:textId="77777777" w:rsidR="004503DC" w:rsidRPr="005835DE" w:rsidRDefault="004503DC" w:rsidP="004503DC">
            <w:pPr>
              <w:tabs>
                <w:tab w:val="center" w:pos="284"/>
              </w:tabs>
              <w:overflowPunct w:val="0"/>
              <w:autoSpaceDE w:val="0"/>
              <w:autoSpaceDN w:val="0"/>
              <w:adjustRightInd w:val="0"/>
              <w:ind w:left="266" w:hanging="266"/>
              <w:textAlignment w:val="baseline"/>
              <w:rPr>
                <w:b/>
              </w:rPr>
            </w:pPr>
            <w:r w:rsidRPr="005835DE">
              <w:rPr>
                <w:b/>
              </w:rPr>
              <w:t>Riferimento</w:t>
            </w:r>
          </w:p>
        </w:tc>
        <w:tc>
          <w:tcPr>
            <w:tcW w:w="3923" w:type="pct"/>
          </w:tcPr>
          <w:p w14:paraId="2C22F4DD" w14:textId="16761502" w:rsidR="00F733BE" w:rsidRPr="005835DE" w:rsidRDefault="00F733BE" w:rsidP="004503DC">
            <w:pPr>
              <w:tabs>
                <w:tab w:val="center" w:pos="284"/>
              </w:tabs>
              <w:overflowPunct w:val="0"/>
              <w:autoSpaceDE w:val="0"/>
              <w:autoSpaceDN w:val="0"/>
              <w:adjustRightInd w:val="0"/>
              <w:ind w:left="266" w:right="-3091" w:hanging="266"/>
              <w:textAlignment w:val="baseline"/>
            </w:pPr>
            <w:r w:rsidRPr="005835DE">
              <w:t>COM(2025) 649 final</w:t>
            </w:r>
          </w:p>
          <w:p w14:paraId="002ECA16" w14:textId="7A871AFA" w:rsidR="004503DC" w:rsidRPr="005835DE" w:rsidRDefault="004503DC" w:rsidP="004503DC">
            <w:pPr>
              <w:tabs>
                <w:tab w:val="center" w:pos="284"/>
              </w:tabs>
              <w:overflowPunct w:val="0"/>
              <w:autoSpaceDE w:val="0"/>
              <w:autoSpaceDN w:val="0"/>
              <w:adjustRightInd w:val="0"/>
              <w:ind w:left="266" w:right="-3091" w:hanging="266"/>
              <w:textAlignment w:val="baseline"/>
            </w:pPr>
            <w:r w:rsidRPr="005835DE">
              <w:t>EESC-2025-02613-00-00-AC</w:t>
            </w:r>
          </w:p>
        </w:tc>
      </w:tr>
    </w:tbl>
    <w:p w14:paraId="35706CBA" w14:textId="77777777" w:rsidR="004503DC" w:rsidRPr="005835DE" w:rsidRDefault="004503DC" w:rsidP="004503DC">
      <w:pPr>
        <w:tabs>
          <w:tab w:val="center" w:pos="284"/>
        </w:tabs>
        <w:overflowPunct w:val="0"/>
        <w:autoSpaceDE w:val="0"/>
        <w:autoSpaceDN w:val="0"/>
        <w:adjustRightInd w:val="0"/>
        <w:ind w:left="266" w:hanging="266"/>
        <w:textAlignment w:val="baseline"/>
        <w:rPr>
          <w:b/>
          <w:lang w:val="en-GB"/>
        </w:rPr>
      </w:pPr>
    </w:p>
    <w:p w14:paraId="3507DE8F" w14:textId="77777777" w:rsidR="004503DC" w:rsidRPr="005835DE" w:rsidRDefault="004503DC" w:rsidP="004503DC">
      <w:pPr>
        <w:keepNext/>
        <w:keepLines/>
        <w:tabs>
          <w:tab w:val="center" w:pos="284"/>
        </w:tabs>
        <w:overflowPunct w:val="0"/>
        <w:autoSpaceDE w:val="0"/>
        <w:autoSpaceDN w:val="0"/>
        <w:adjustRightInd w:val="0"/>
        <w:ind w:left="266" w:hanging="266"/>
        <w:textAlignment w:val="baseline"/>
        <w:rPr>
          <w:b/>
        </w:rPr>
      </w:pPr>
      <w:r w:rsidRPr="005835DE">
        <w:rPr>
          <w:b/>
        </w:rPr>
        <w:t>Punti principali</w:t>
      </w:r>
    </w:p>
    <w:p w14:paraId="09F1D644" w14:textId="77777777" w:rsidR="004503DC" w:rsidRPr="005835DE" w:rsidRDefault="004503DC" w:rsidP="004503DC">
      <w:pPr>
        <w:keepNext/>
        <w:keepLines/>
        <w:tabs>
          <w:tab w:val="center" w:pos="284"/>
        </w:tabs>
        <w:overflowPunct w:val="0"/>
        <w:autoSpaceDE w:val="0"/>
        <w:autoSpaceDN w:val="0"/>
        <w:adjustRightInd w:val="0"/>
        <w:ind w:left="266" w:hanging="266"/>
        <w:textAlignment w:val="baseline"/>
        <w:rPr>
          <w:b/>
          <w:lang w:val="en-GB"/>
        </w:rPr>
      </w:pPr>
    </w:p>
    <w:p w14:paraId="1DB598AA" w14:textId="77777777" w:rsidR="004503DC" w:rsidRPr="005835DE" w:rsidRDefault="004503DC" w:rsidP="004503DC">
      <w:pPr>
        <w:overflowPunct w:val="0"/>
        <w:autoSpaceDE w:val="0"/>
        <w:autoSpaceDN w:val="0"/>
        <w:adjustRightInd w:val="0"/>
        <w:textAlignment w:val="baseline"/>
        <w:rPr>
          <w:bCs/>
          <w:iCs/>
        </w:rPr>
      </w:pPr>
      <w:r w:rsidRPr="005835DE">
        <w:t>Il CESE:</w:t>
      </w:r>
    </w:p>
    <w:p w14:paraId="446A35DC" w14:textId="77777777" w:rsidR="00F733BE" w:rsidRPr="005835DE" w:rsidRDefault="00F733BE" w:rsidP="004503DC">
      <w:pPr>
        <w:overflowPunct w:val="0"/>
        <w:autoSpaceDE w:val="0"/>
        <w:autoSpaceDN w:val="0"/>
        <w:adjustRightInd w:val="0"/>
        <w:textAlignment w:val="baseline"/>
        <w:rPr>
          <w:bCs/>
          <w:iCs/>
          <w:lang w:val="en-GB"/>
        </w:rPr>
      </w:pPr>
    </w:p>
    <w:p w14:paraId="5AAE80CE" w14:textId="77777777" w:rsidR="004503DC" w:rsidRPr="005835DE" w:rsidRDefault="004503DC" w:rsidP="00F21CFE">
      <w:pPr>
        <w:widowControl w:val="0"/>
        <w:numPr>
          <w:ilvl w:val="0"/>
          <w:numId w:val="33"/>
        </w:numPr>
        <w:overflowPunct w:val="0"/>
        <w:autoSpaceDE w:val="0"/>
        <w:autoSpaceDN w:val="0"/>
        <w:adjustRightInd w:val="0"/>
        <w:ind w:left="426" w:hanging="426"/>
        <w:textAlignment w:val="baseline"/>
        <w:rPr>
          <w:bCs/>
          <w:iCs/>
        </w:rPr>
      </w:pPr>
      <w:r w:rsidRPr="005835DE">
        <w:t>ribadisce la propria solidarietà al popolo ucraino ricordando che l'aggressione russa nei confronti dell'Ucraina ha spinto milioni di Ucraini a fuggire dal pericolo, e sottolinea il ruolo svolto dalle organizzazioni della società civile quando si è verificato il maggiore afflusso di sfollati dall'Ucraina;</w:t>
      </w:r>
    </w:p>
    <w:p w14:paraId="739050E0" w14:textId="77777777" w:rsidR="004503DC" w:rsidRPr="005835DE" w:rsidRDefault="004503DC" w:rsidP="00F21CFE">
      <w:pPr>
        <w:widowControl w:val="0"/>
        <w:numPr>
          <w:ilvl w:val="0"/>
          <w:numId w:val="33"/>
        </w:numPr>
        <w:overflowPunct w:val="0"/>
        <w:autoSpaceDE w:val="0"/>
        <w:autoSpaceDN w:val="0"/>
        <w:adjustRightInd w:val="0"/>
        <w:ind w:left="426" w:hanging="426"/>
        <w:textAlignment w:val="baseline"/>
        <w:rPr>
          <w:bCs/>
          <w:iCs/>
        </w:rPr>
      </w:pPr>
      <w:r w:rsidRPr="005835DE">
        <w:t>osserva che la protezione temporanea si è rivelata una soluzione vantaggiosa per gli sfollati provenienti dall'Ucraina, anche se non sussistono ancora le condizioni per un loro ritorno nel paese a causa dell'aggressione russa tuttora in corso, e accoglie con favore la decisione di prorogare ulteriormente la protezione temporanea;</w:t>
      </w:r>
    </w:p>
    <w:p w14:paraId="027B8CC0" w14:textId="77777777" w:rsidR="004503DC" w:rsidRPr="005835DE" w:rsidRDefault="004503DC" w:rsidP="00F21CFE">
      <w:pPr>
        <w:widowControl w:val="0"/>
        <w:numPr>
          <w:ilvl w:val="0"/>
          <w:numId w:val="33"/>
        </w:numPr>
        <w:overflowPunct w:val="0"/>
        <w:autoSpaceDE w:val="0"/>
        <w:autoSpaceDN w:val="0"/>
        <w:adjustRightInd w:val="0"/>
        <w:ind w:left="426" w:hanging="426"/>
        <w:textAlignment w:val="baseline"/>
        <w:rPr>
          <w:bCs/>
          <w:iCs/>
        </w:rPr>
      </w:pPr>
      <w:r w:rsidRPr="005835DE">
        <w:t>sottolinea che le persone che beneficiano di questa protezione temporanea hanno bisogno di una prospettiva a lungo termine, e invita la Commissione europea e gli Stati membri ad adoperarsi per facilitare una transizione agevole che consenta a queste persone di abbandonare gradualmente la protezione temporanea per passare a un titolo di soggiorno più permanente;</w:t>
      </w:r>
    </w:p>
    <w:p w14:paraId="58D36077" w14:textId="77777777" w:rsidR="004503DC" w:rsidRPr="005835DE" w:rsidRDefault="004503DC" w:rsidP="00F21CFE">
      <w:pPr>
        <w:widowControl w:val="0"/>
        <w:numPr>
          <w:ilvl w:val="0"/>
          <w:numId w:val="33"/>
        </w:numPr>
        <w:overflowPunct w:val="0"/>
        <w:autoSpaceDE w:val="0"/>
        <w:autoSpaceDN w:val="0"/>
        <w:adjustRightInd w:val="0"/>
        <w:ind w:left="426" w:hanging="426"/>
        <w:textAlignment w:val="baseline"/>
        <w:rPr>
          <w:bCs/>
          <w:iCs/>
        </w:rPr>
      </w:pPr>
      <w:r w:rsidRPr="005835DE">
        <w:t>ricorda che la situazione creatasi con l'arrivo degli Ucraini nell'UE ha aumentato le pressioni cui sono sottoposti i sistemi di servizi pubblici degli Stati membri e sottolinea la necessità di aumentare gli investimenti in servizi di interesse generale di qualità, anche nel settore degli alloggi, da mettere a disposizione alle stesse condizioni per tutte le persone che soggiornano legalmente nell'UE;</w:t>
      </w:r>
    </w:p>
    <w:p w14:paraId="40289059" w14:textId="77777777" w:rsidR="004503DC" w:rsidRPr="005835DE" w:rsidRDefault="004503DC" w:rsidP="00F21CFE">
      <w:pPr>
        <w:widowControl w:val="0"/>
        <w:numPr>
          <w:ilvl w:val="0"/>
          <w:numId w:val="33"/>
        </w:numPr>
        <w:overflowPunct w:val="0"/>
        <w:autoSpaceDE w:val="0"/>
        <w:autoSpaceDN w:val="0"/>
        <w:adjustRightInd w:val="0"/>
        <w:ind w:left="426" w:hanging="426"/>
        <w:textAlignment w:val="baseline"/>
      </w:pPr>
      <w:r w:rsidRPr="005835DE">
        <w:t>osserva che occorre adoperarsi per assicurare la riuscita integrazione dei cittadini ucraini nell'UE attraverso corsi di lingua, il sostegno alle iniziative delle comunità locali, l'inserimento scolastico dei minori ucraini nell'ambito dei sistemi di istruzione degli Stati membri, il contrasto della disinformazione e delle attività di intelligence di fonte russa, nonché coinvolgendo gli Ucraini presenti nell'UE nelle associazioni che operano nelle comunità locali di riferimento;</w:t>
      </w:r>
    </w:p>
    <w:p w14:paraId="6F366C03" w14:textId="77777777" w:rsidR="004503DC" w:rsidRPr="005835DE" w:rsidRDefault="004503DC" w:rsidP="00F21CFE">
      <w:pPr>
        <w:widowControl w:val="0"/>
        <w:numPr>
          <w:ilvl w:val="0"/>
          <w:numId w:val="33"/>
        </w:numPr>
        <w:overflowPunct w:val="0"/>
        <w:autoSpaceDE w:val="0"/>
        <w:autoSpaceDN w:val="0"/>
        <w:adjustRightInd w:val="0"/>
        <w:ind w:left="426" w:hanging="426"/>
        <w:textAlignment w:val="baseline"/>
        <w:rPr>
          <w:szCs w:val="20"/>
        </w:rPr>
      </w:pPr>
      <w:r w:rsidRPr="005835DE">
        <w:t>sottolinea che è importante stabilire condizioni di lavoro eque per i cittadini ucraini, sia all'interno dell'UE che in Ucraina: gli Stati membri dovrebbero combattere lo sfruttamento e la disparità di trattamento in ambito lavorativo a danno degli Ucraini, mentre il governo ucraino dovrebbe ripristinare soluzioni favorevoli per i lavoratori e le attività sindacali attraverso il dialogo sociale.</w:t>
      </w:r>
    </w:p>
    <w:p w14:paraId="15DAAC73" w14:textId="77777777" w:rsidR="004503DC" w:rsidRPr="005835DE" w:rsidRDefault="004503DC" w:rsidP="004503DC">
      <w:pPr>
        <w:widowControl w:val="0"/>
        <w:overflowPunct w:val="0"/>
        <w:autoSpaceDE w:val="0"/>
        <w:autoSpaceDN w:val="0"/>
        <w:adjustRightInd w:val="0"/>
        <w:ind w:left="709"/>
        <w:textAlignment w:val="baseline"/>
        <w:rPr>
          <w:szCs w:val="20"/>
          <w:lang w:val="en-GB"/>
        </w:rPr>
      </w:pPr>
    </w:p>
    <w:tbl>
      <w:tblPr>
        <w:tblStyle w:val="TableGrid1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9"/>
      </w:tblGrid>
      <w:tr w:rsidR="004503DC" w:rsidRPr="005835DE" w14:paraId="0C28C241" w14:textId="77777777" w:rsidTr="00C201AB">
        <w:tc>
          <w:tcPr>
            <w:tcW w:w="1077" w:type="pct"/>
          </w:tcPr>
          <w:p w14:paraId="011666E9" w14:textId="77777777" w:rsidR="004503DC" w:rsidRPr="005835DE" w:rsidRDefault="004503DC" w:rsidP="004503DC">
            <w:pPr>
              <w:overflowPunct w:val="0"/>
              <w:autoSpaceDE w:val="0"/>
              <w:autoSpaceDN w:val="0"/>
              <w:adjustRightInd w:val="0"/>
              <w:textAlignment w:val="baseline"/>
              <w:rPr>
                <w:i/>
              </w:rPr>
            </w:pPr>
            <w:r w:rsidRPr="005835DE">
              <w:rPr>
                <w:b/>
                <w:i/>
              </w:rPr>
              <w:t>Contatto</w:t>
            </w:r>
          </w:p>
        </w:tc>
        <w:tc>
          <w:tcPr>
            <w:tcW w:w="3923" w:type="pct"/>
          </w:tcPr>
          <w:p w14:paraId="5376B5C9" w14:textId="1E39C147" w:rsidR="004503DC" w:rsidRPr="005835DE" w:rsidRDefault="004503DC" w:rsidP="004503DC">
            <w:pPr>
              <w:overflowPunct w:val="0"/>
              <w:autoSpaceDE w:val="0"/>
              <w:autoSpaceDN w:val="0"/>
              <w:adjustRightInd w:val="0"/>
              <w:textAlignment w:val="baseline"/>
              <w:rPr>
                <w:i/>
              </w:rPr>
            </w:pPr>
            <w:r w:rsidRPr="005835DE">
              <w:rPr>
                <w:i/>
              </w:rPr>
              <w:t>Katarína GRZESZCZYK ALBRECHTOVÁ</w:t>
            </w:r>
          </w:p>
        </w:tc>
      </w:tr>
      <w:tr w:rsidR="004503DC" w:rsidRPr="005835DE" w14:paraId="3DF91CE1" w14:textId="77777777" w:rsidTr="00C201AB">
        <w:tc>
          <w:tcPr>
            <w:tcW w:w="1077" w:type="pct"/>
          </w:tcPr>
          <w:p w14:paraId="12B0FB94" w14:textId="77777777" w:rsidR="004503DC" w:rsidRPr="005835DE" w:rsidRDefault="004503DC" w:rsidP="004503DC">
            <w:pPr>
              <w:overflowPunct w:val="0"/>
              <w:autoSpaceDE w:val="0"/>
              <w:autoSpaceDN w:val="0"/>
              <w:adjustRightInd w:val="0"/>
              <w:textAlignment w:val="baseline"/>
              <w:rPr>
                <w:i/>
              </w:rPr>
            </w:pPr>
            <w:r w:rsidRPr="005835DE">
              <w:rPr>
                <w:i/>
              </w:rPr>
              <w:t>Tel.</w:t>
            </w:r>
          </w:p>
        </w:tc>
        <w:tc>
          <w:tcPr>
            <w:tcW w:w="3923" w:type="pct"/>
          </w:tcPr>
          <w:p w14:paraId="2AB00694" w14:textId="77777777" w:rsidR="004503DC" w:rsidRPr="005835DE" w:rsidRDefault="004503DC" w:rsidP="004503DC">
            <w:pPr>
              <w:overflowPunct w:val="0"/>
              <w:autoSpaceDE w:val="0"/>
              <w:autoSpaceDN w:val="0"/>
              <w:adjustRightInd w:val="0"/>
              <w:textAlignment w:val="baseline"/>
              <w:rPr>
                <w:i/>
              </w:rPr>
            </w:pPr>
            <w:r w:rsidRPr="005835DE">
              <w:rPr>
                <w:i/>
              </w:rPr>
              <w:t>+32 25469460</w:t>
            </w:r>
          </w:p>
        </w:tc>
      </w:tr>
      <w:tr w:rsidR="004503DC" w:rsidRPr="005835DE" w14:paraId="704DFCB6" w14:textId="77777777" w:rsidTr="00C201AB">
        <w:tc>
          <w:tcPr>
            <w:tcW w:w="1077" w:type="pct"/>
          </w:tcPr>
          <w:p w14:paraId="18D5B7A9" w14:textId="5AE17FDB" w:rsidR="004503DC" w:rsidRPr="005835DE" w:rsidRDefault="00332E33" w:rsidP="004503DC">
            <w:pPr>
              <w:overflowPunct w:val="0"/>
              <w:autoSpaceDE w:val="0"/>
              <w:autoSpaceDN w:val="0"/>
              <w:adjustRightInd w:val="0"/>
              <w:textAlignment w:val="baseline"/>
              <w:rPr>
                <w:i/>
              </w:rPr>
            </w:pPr>
            <w:r w:rsidRPr="005835DE">
              <w:rPr>
                <w:i/>
              </w:rPr>
              <w:t>E</w:t>
            </w:r>
            <w:r w:rsidR="004503DC" w:rsidRPr="005835DE">
              <w:rPr>
                <w:i/>
              </w:rPr>
              <w:t>-mail</w:t>
            </w:r>
          </w:p>
        </w:tc>
        <w:tc>
          <w:tcPr>
            <w:tcW w:w="3923" w:type="pct"/>
          </w:tcPr>
          <w:p w14:paraId="59F392A7" w14:textId="77777777" w:rsidR="004503DC" w:rsidRPr="005835DE" w:rsidRDefault="00520E78" w:rsidP="004503DC">
            <w:pPr>
              <w:overflowPunct w:val="0"/>
              <w:autoSpaceDE w:val="0"/>
              <w:autoSpaceDN w:val="0"/>
              <w:adjustRightInd w:val="0"/>
              <w:textAlignment w:val="baseline"/>
              <w:rPr>
                <w:i/>
              </w:rPr>
            </w:pPr>
            <w:hyperlink r:id="rId50" w:history="1">
              <w:r w:rsidR="00A27BD2" w:rsidRPr="005835DE">
                <w:rPr>
                  <w:i/>
                  <w:color w:val="0000FF"/>
                  <w:u w:val="single"/>
                </w:rPr>
                <w:t>Katarina.Albrechtova@eesc.europa.eu</w:t>
              </w:r>
            </w:hyperlink>
            <w:r w:rsidR="00A27BD2" w:rsidRPr="005835DE">
              <w:rPr>
                <w:i/>
              </w:rPr>
              <w:t xml:space="preserve"> </w:t>
            </w:r>
          </w:p>
        </w:tc>
      </w:tr>
    </w:tbl>
    <w:tbl>
      <w:tblPr>
        <w:tblStyle w:val="TableGrid1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9"/>
      </w:tblGrid>
      <w:tr w:rsidR="00C913CA" w:rsidRPr="005835DE" w14:paraId="2C0E6338" w14:textId="77777777" w:rsidTr="00C201AB">
        <w:tc>
          <w:tcPr>
            <w:tcW w:w="1077" w:type="pct"/>
          </w:tcPr>
          <w:p w14:paraId="57EDC7A8" w14:textId="6955C181" w:rsidR="00C913CA" w:rsidRPr="005835DE" w:rsidRDefault="00C913CA" w:rsidP="00C913CA">
            <w:pPr>
              <w:overflowPunct w:val="0"/>
              <w:autoSpaceDE w:val="0"/>
              <w:autoSpaceDN w:val="0"/>
              <w:adjustRightInd w:val="0"/>
              <w:textAlignment w:val="baseline"/>
              <w:rPr>
                <w:i/>
              </w:rPr>
            </w:pPr>
          </w:p>
        </w:tc>
        <w:tc>
          <w:tcPr>
            <w:tcW w:w="3923" w:type="pct"/>
          </w:tcPr>
          <w:p w14:paraId="5811559E" w14:textId="50EE8449" w:rsidR="00C913CA" w:rsidRPr="005835DE" w:rsidRDefault="00C913CA" w:rsidP="00C913CA">
            <w:pPr>
              <w:overflowPunct w:val="0"/>
              <w:autoSpaceDE w:val="0"/>
              <w:autoSpaceDN w:val="0"/>
              <w:adjustRightInd w:val="0"/>
              <w:textAlignment w:val="baseline"/>
              <w:rPr>
                <w:i/>
              </w:rPr>
            </w:pPr>
          </w:p>
        </w:tc>
      </w:tr>
    </w:tbl>
    <w:p w14:paraId="4464305F" w14:textId="38E0F292" w:rsidR="004503DC" w:rsidRPr="005835DE" w:rsidRDefault="004503DC">
      <w:pPr>
        <w:spacing w:after="160" w:line="259" w:lineRule="auto"/>
        <w:jc w:val="left"/>
      </w:pPr>
    </w:p>
    <w:p w14:paraId="28C69286" w14:textId="77777777" w:rsidR="004503DC" w:rsidRPr="005835DE" w:rsidRDefault="004503DC">
      <w:pPr>
        <w:spacing w:after="160" w:line="259" w:lineRule="auto"/>
        <w:jc w:val="left"/>
      </w:pPr>
      <w:r w:rsidRPr="005835DE">
        <w:br w:type="page"/>
      </w:r>
    </w:p>
    <w:p w14:paraId="528C73AA" w14:textId="46DE726B" w:rsidR="006D2C8A" w:rsidRPr="005835DE" w:rsidRDefault="006D2C8A" w:rsidP="006D2C8A">
      <w:pPr>
        <w:pStyle w:val="Heading1"/>
        <w:rPr>
          <w:b/>
        </w:rPr>
      </w:pPr>
      <w:bookmarkStart w:id="16" w:name="_Toc216702597"/>
      <w:r w:rsidRPr="005835DE">
        <w:rPr>
          <w:b/>
          <w:color w:val="222A35" w:themeColor="text2" w:themeShade="80"/>
        </w:rPr>
        <w:lastRenderedPageBreak/>
        <w:t>COMMISSIONE CONSULTIVA PER LE TRASFORMAZIONI INDUSTRIALI</w:t>
      </w:r>
      <w:bookmarkEnd w:id="16"/>
    </w:p>
    <w:p w14:paraId="713E272F" w14:textId="77777777" w:rsidR="006D2C8A" w:rsidRPr="005835DE" w:rsidRDefault="006D2C8A" w:rsidP="006D2C8A"/>
    <w:p w14:paraId="7383D97E" w14:textId="13359D4F" w:rsidR="00ED76AC" w:rsidRPr="005835DE" w:rsidRDefault="00520E78" w:rsidP="00ED76AC">
      <w:pPr>
        <w:widowControl w:val="0"/>
        <w:numPr>
          <w:ilvl w:val="0"/>
          <w:numId w:val="16"/>
        </w:numPr>
        <w:overflowPunct w:val="0"/>
        <w:autoSpaceDE w:val="0"/>
        <w:autoSpaceDN w:val="0"/>
        <w:adjustRightInd w:val="0"/>
        <w:ind w:hanging="567"/>
        <w:rPr>
          <w:sz w:val="28"/>
          <w:szCs w:val="28"/>
        </w:rPr>
      </w:pPr>
      <w:hyperlink r:id="rId51" w:history="1">
        <w:r w:rsidR="00A27BD2" w:rsidRPr="005835DE">
          <w:rPr>
            <w:b/>
            <w:i/>
            <w:color w:val="0000FF"/>
            <w:sz w:val="28"/>
            <w:szCs w:val="28"/>
            <w:u w:val="single"/>
          </w:rPr>
          <w:t>Sviluppare il potenziale dei materiali permanenti nell'economia circolare dell'UE</w:t>
        </w:r>
      </w:hyperlink>
    </w:p>
    <w:p w14:paraId="243BA033" w14:textId="77777777" w:rsidR="00ED76AC" w:rsidRPr="005835DE" w:rsidRDefault="00ED76AC" w:rsidP="00ED76AC">
      <w:pPr>
        <w:widowControl w:val="0"/>
        <w:overflowPunct w:val="0"/>
        <w:autoSpaceDE w:val="0"/>
        <w:autoSpaceDN w:val="0"/>
        <w:adjustRightInd w:val="0"/>
        <w:ind w:left="567"/>
        <w:rPr>
          <w:sz w:val="20"/>
          <w:szCs w:val="20"/>
          <w:lang w:val="en-GB"/>
        </w:rPr>
      </w:pPr>
    </w:p>
    <w:tbl>
      <w:tblPr>
        <w:tblStyle w:val="TableGrid17"/>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9"/>
      </w:tblGrid>
      <w:tr w:rsidR="00ED76AC" w:rsidRPr="005835DE" w14:paraId="3E004ABC" w14:textId="77777777">
        <w:tc>
          <w:tcPr>
            <w:tcW w:w="1077" w:type="pct"/>
            <w:hideMark/>
          </w:tcPr>
          <w:p w14:paraId="1E7D8DE2" w14:textId="128C3BA5" w:rsidR="00ED76AC" w:rsidRPr="005835DE" w:rsidRDefault="00332E33" w:rsidP="00ED76AC">
            <w:pPr>
              <w:tabs>
                <w:tab w:val="center" w:pos="284"/>
              </w:tabs>
              <w:overflowPunct w:val="0"/>
              <w:autoSpaceDE w:val="0"/>
              <w:autoSpaceDN w:val="0"/>
              <w:adjustRightInd w:val="0"/>
              <w:ind w:left="266" w:hanging="266"/>
              <w:rPr>
                <w:b/>
              </w:rPr>
            </w:pPr>
            <w:r w:rsidRPr="005835DE">
              <w:rPr>
                <w:b/>
              </w:rPr>
              <w:t>Relatore</w:t>
            </w:r>
          </w:p>
        </w:tc>
        <w:tc>
          <w:tcPr>
            <w:tcW w:w="3923" w:type="pct"/>
            <w:hideMark/>
          </w:tcPr>
          <w:p w14:paraId="51B8EA45" w14:textId="77777777" w:rsidR="00ED76AC" w:rsidRPr="005835DE" w:rsidRDefault="00ED76AC" w:rsidP="00ED76AC">
            <w:pPr>
              <w:tabs>
                <w:tab w:val="center" w:pos="284"/>
              </w:tabs>
              <w:overflowPunct w:val="0"/>
              <w:autoSpaceDE w:val="0"/>
              <w:autoSpaceDN w:val="0"/>
              <w:adjustRightInd w:val="0"/>
              <w:ind w:left="266" w:right="-3091" w:hanging="266"/>
            </w:pPr>
            <w:r w:rsidRPr="005835DE">
              <w:t>Andrea MONE (Lavoratori - IT)</w:t>
            </w:r>
          </w:p>
        </w:tc>
      </w:tr>
      <w:tr w:rsidR="00ED76AC" w:rsidRPr="005835DE" w14:paraId="21F71A9D" w14:textId="77777777">
        <w:tc>
          <w:tcPr>
            <w:tcW w:w="1077" w:type="pct"/>
            <w:hideMark/>
          </w:tcPr>
          <w:p w14:paraId="2C3FD6D4" w14:textId="32B62F74" w:rsidR="00ED76AC" w:rsidRPr="005835DE" w:rsidRDefault="00332E33" w:rsidP="00ED76AC">
            <w:pPr>
              <w:tabs>
                <w:tab w:val="center" w:pos="284"/>
              </w:tabs>
              <w:overflowPunct w:val="0"/>
              <w:autoSpaceDE w:val="0"/>
              <w:autoSpaceDN w:val="0"/>
              <w:adjustRightInd w:val="0"/>
              <w:ind w:left="266" w:hanging="266"/>
              <w:rPr>
                <w:b/>
              </w:rPr>
            </w:pPr>
            <w:r w:rsidRPr="005835DE">
              <w:rPr>
                <w:b/>
              </w:rPr>
              <w:t>Correlatore</w:t>
            </w:r>
          </w:p>
        </w:tc>
        <w:tc>
          <w:tcPr>
            <w:tcW w:w="3923" w:type="pct"/>
            <w:hideMark/>
          </w:tcPr>
          <w:p w14:paraId="1CE8569E" w14:textId="77777777" w:rsidR="00ED76AC" w:rsidRPr="005835DE" w:rsidRDefault="00ED76AC" w:rsidP="00ED76AC">
            <w:pPr>
              <w:tabs>
                <w:tab w:val="center" w:pos="284"/>
              </w:tabs>
              <w:overflowPunct w:val="0"/>
              <w:autoSpaceDE w:val="0"/>
              <w:autoSpaceDN w:val="0"/>
              <w:adjustRightInd w:val="0"/>
              <w:ind w:left="266" w:right="-3091" w:hanging="266"/>
            </w:pPr>
            <w:r w:rsidRPr="005835DE">
              <w:t>Michal PINTÉR (Datori di lavoro - SK)</w:t>
            </w:r>
          </w:p>
          <w:p w14:paraId="28215643" w14:textId="77777777" w:rsidR="00707689" w:rsidRPr="005835DE" w:rsidRDefault="00707689" w:rsidP="00ED76AC">
            <w:pPr>
              <w:tabs>
                <w:tab w:val="center" w:pos="284"/>
              </w:tabs>
              <w:overflowPunct w:val="0"/>
              <w:autoSpaceDE w:val="0"/>
              <w:autoSpaceDN w:val="0"/>
              <w:adjustRightInd w:val="0"/>
              <w:ind w:left="266" w:right="-3091" w:hanging="266"/>
            </w:pPr>
          </w:p>
        </w:tc>
      </w:tr>
      <w:tr w:rsidR="00F7508A" w:rsidRPr="005835DE" w14:paraId="45CB4BB9" w14:textId="77777777">
        <w:tc>
          <w:tcPr>
            <w:tcW w:w="1077" w:type="pct"/>
          </w:tcPr>
          <w:p w14:paraId="32283FAB" w14:textId="77777777" w:rsidR="00F7508A" w:rsidRPr="005835DE" w:rsidRDefault="00F7508A" w:rsidP="00ED76AC">
            <w:pPr>
              <w:tabs>
                <w:tab w:val="center" w:pos="284"/>
              </w:tabs>
              <w:overflowPunct w:val="0"/>
              <w:autoSpaceDE w:val="0"/>
              <w:autoSpaceDN w:val="0"/>
              <w:adjustRightInd w:val="0"/>
              <w:ind w:left="266" w:hanging="266"/>
              <w:rPr>
                <w:b/>
                <w:sz w:val="16"/>
                <w:szCs w:val="16"/>
              </w:rPr>
            </w:pPr>
          </w:p>
        </w:tc>
        <w:tc>
          <w:tcPr>
            <w:tcW w:w="3923" w:type="pct"/>
          </w:tcPr>
          <w:p w14:paraId="4D1F534B" w14:textId="77777777" w:rsidR="00F7508A" w:rsidRPr="005835DE" w:rsidRDefault="00F7508A" w:rsidP="00ED76AC">
            <w:pPr>
              <w:tabs>
                <w:tab w:val="center" w:pos="284"/>
              </w:tabs>
              <w:overflowPunct w:val="0"/>
              <w:autoSpaceDE w:val="0"/>
              <w:autoSpaceDN w:val="0"/>
              <w:adjustRightInd w:val="0"/>
              <w:ind w:left="266" w:right="-3091" w:hanging="266"/>
              <w:rPr>
                <w:sz w:val="16"/>
                <w:szCs w:val="16"/>
              </w:rPr>
            </w:pPr>
          </w:p>
        </w:tc>
      </w:tr>
      <w:tr w:rsidR="00ED76AC" w:rsidRPr="005835DE" w14:paraId="19833206" w14:textId="77777777">
        <w:tc>
          <w:tcPr>
            <w:tcW w:w="1077" w:type="pct"/>
            <w:hideMark/>
          </w:tcPr>
          <w:p w14:paraId="1FC4BD72" w14:textId="77777777" w:rsidR="00ED76AC" w:rsidRPr="005835DE" w:rsidRDefault="00ED76AC" w:rsidP="00ED76AC">
            <w:pPr>
              <w:tabs>
                <w:tab w:val="center" w:pos="284"/>
              </w:tabs>
              <w:overflowPunct w:val="0"/>
              <w:autoSpaceDE w:val="0"/>
              <w:autoSpaceDN w:val="0"/>
              <w:adjustRightInd w:val="0"/>
              <w:ind w:left="266" w:hanging="266"/>
              <w:rPr>
                <w:b/>
              </w:rPr>
            </w:pPr>
            <w:r w:rsidRPr="005835DE">
              <w:rPr>
                <w:b/>
              </w:rPr>
              <w:t>Riferimento</w:t>
            </w:r>
          </w:p>
        </w:tc>
        <w:tc>
          <w:tcPr>
            <w:tcW w:w="3923" w:type="pct"/>
            <w:hideMark/>
          </w:tcPr>
          <w:p w14:paraId="340633E9" w14:textId="2162F333" w:rsidR="00707689" w:rsidRPr="005835DE" w:rsidRDefault="00707689" w:rsidP="00ED76AC">
            <w:pPr>
              <w:tabs>
                <w:tab w:val="center" w:pos="284"/>
              </w:tabs>
              <w:overflowPunct w:val="0"/>
              <w:autoSpaceDE w:val="0"/>
              <w:autoSpaceDN w:val="0"/>
              <w:adjustRightInd w:val="0"/>
              <w:ind w:left="266" w:right="-3091" w:hanging="266"/>
            </w:pPr>
            <w:r w:rsidRPr="005835DE">
              <w:t>Parere d'iniziativa</w:t>
            </w:r>
          </w:p>
          <w:p w14:paraId="59A49208" w14:textId="5D1970B8" w:rsidR="00ED76AC" w:rsidRPr="005835DE" w:rsidRDefault="00ED76AC" w:rsidP="00ED76AC">
            <w:pPr>
              <w:tabs>
                <w:tab w:val="center" w:pos="284"/>
              </w:tabs>
              <w:overflowPunct w:val="0"/>
              <w:autoSpaceDE w:val="0"/>
              <w:autoSpaceDN w:val="0"/>
              <w:adjustRightInd w:val="0"/>
              <w:ind w:left="266" w:right="-3091" w:hanging="266"/>
            </w:pPr>
            <w:r w:rsidRPr="005835DE">
              <w:t>EESC-2025-02364-00-00-AC</w:t>
            </w:r>
          </w:p>
        </w:tc>
      </w:tr>
    </w:tbl>
    <w:p w14:paraId="5922BFFC" w14:textId="77777777" w:rsidR="00ED76AC" w:rsidRPr="005835DE" w:rsidRDefault="00ED76AC" w:rsidP="00ED76AC">
      <w:pPr>
        <w:tabs>
          <w:tab w:val="center" w:pos="284"/>
        </w:tabs>
        <w:overflowPunct w:val="0"/>
        <w:autoSpaceDE w:val="0"/>
        <w:autoSpaceDN w:val="0"/>
        <w:adjustRightInd w:val="0"/>
        <w:ind w:left="266" w:hanging="266"/>
        <w:rPr>
          <w:b/>
          <w:lang w:val="en-GB"/>
        </w:rPr>
      </w:pPr>
    </w:p>
    <w:p w14:paraId="252BFC0B" w14:textId="77777777" w:rsidR="00ED76AC" w:rsidRPr="005835DE" w:rsidRDefault="00ED76AC" w:rsidP="00ED76AC">
      <w:pPr>
        <w:keepNext/>
        <w:keepLines/>
        <w:tabs>
          <w:tab w:val="center" w:pos="284"/>
        </w:tabs>
        <w:overflowPunct w:val="0"/>
        <w:autoSpaceDE w:val="0"/>
        <w:autoSpaceDN w:val="0"/>
        <w:adjustRightInd w:val="0"/>
        <w:ind w:left="266" w:hanging="266"/>
        <w:rPr>
          <w:b/>
        </w:rPr>
      </w:pPr>
      <w:r w:rsidRPr="005835DE">
        <w:rPr>
          <w:b/>
        </w:rPr>
        <w:t>Punti principali</w:t>
      </w:r>
    </w:p>
    <w:p w14:paraId="2370EF24" w14:textId="77777777" w:rsidR="00ED76AC" w:rsidRPr="005835DE" w:rsidRDefault="00ED76AC" w:rsidP="00ED76AC">
      <w:pPr>
        <w:keepNext/>
        <w:keepLines/>
        <w:tabs>
          <w:tab w:val="center" w:pos="284"/>
        </w:tabs>
        <w:overflowPunct w:val="0"/>
        <w:autoSpaceDE w:val="0"/>
        <w:autoSpaceDN w:val="0"/>
        <w:adjustRightInd w:val="0"/>
        <w:ind w:left="266" w:hanging="266"/>
        <w:rPr>
          <w:b/>
          <w:lang w:val="en-GB"/>
        </w:rPr>
      </w:pPr>
    </w:p>
    <w:p w14:paraId="3E92F3F2" w14:textId="2324CC21" w:rsidR="00ED76AC" w:rsidRPr="005835DE" w:rsidRDefault="00ED76AC" w:rsidP="00ED76AC">
      <w:pPr>
        <w:overflowPunct w:val="0"/>
        <w:autoSpaceDE w:val="0"/>
        <w:autoSpaceDN w:val="0"/>
        <w:adjustRightInd w:val="0"/>
      </w:pPr>
      <w:r w:rsidRPr="005835DE">
        <w:t>Il CESE:</w:t>
      </w:r>
    </w:p>
    <w:p w14:paraId="55B7D23F" w14:textId="77777777" w:rsidR="00F7508A" w:rsidRPr="005835DE" w:rsidRDefault="00F7508A" w:rsidP="00ED76AC">
      <w:pPr>
        <w:overflowPunct w:val="0"/>
        <w:autoSpaceDE w:val="0"/>
        <w:autoSpaceDN w:val="0"/>
        <w:adjustRightInd w:val="0"/>
        <w:rPr>
          <w:bCs/>
          <w:iCs/>
        </w:rPr>
      </w:pPr>
    </w:p>
    <w:p w14:paraId="26A569C6" w14:textId="77777777" w:rsidR="00ED76AC" w:rsidRPr="005835DE" w:rsidRDefault="00ED76AC" w:rsidP="003361CB">
      <w:pPr>
        <w:numPr>
          <w:ilvl w:val="0"/>
          <w:numId w:val="34"/>
        </w:numPr>
        <w:overflowPunct w:val="0"/>
        <w:autoSpaceDE w:val="0"/>
        <w:autoSpaceDN w:val="0"/>
        <w:adjustRightInd w:val="0"/>
        <w:ind w:left="426" w:hanging="426"/>
      </w:pPr>
      <w:r w:rsidRPr="005835DE">
        <w:rPr>
          <w:b/>
          <w:bCs/>
        </w:rPr>
        <w:t>riconosce il ruolo cruciale dei materiali permanenti</w:t>
      </w:r>
      <w:r w:rsidRPr="005835DE">
        <w:t xml:space="preserve"> nel consentire un'autentica economia circolare, in particolare negli imballaggi, e </w:t>
      </w:r>
      <w:r w:rsidRPr="005835DE">
        <w:rPr>
          <w:b/>
          <w:bCs/>
        </w:rPr>
        <w:t>ne chiede il riconoscimento esplicito nella legislazione dell'UE</w:t>
      </w:r>
      <w:r w:rsidRPr="005835DE">
        <w:t>;</w:t>
      </w:r>
    </w:p>
    <w:p w14:paraId="32D7A91F" w14:textId="77777777" w:rsidR="00ED76AC" w:rsidRPr="005835DE" w:rsidRDefault="00ED76AC" w:rsidP="003361CB">
      <w:pPr>
        <w:numPr>
          <w:ilvl w:val="0"/>
          <w:numId w:val="34"/>
        </w:numPr>
        <w:overflowPunct w:val="0"/>
        <w:autoSpaceDE w:val="0"/>
        <w:autoSpaceDN w:val="0"/>
        <w:adjustRightInd w:val="0"/>
        <w:ind w:left="426" w:hanging="426"/>
      </w:pPr>
      <w:r w:rsidRPr="005835DE">
        <w:rPr>
          <w:b/>
          <w:bCs/>
        </w:rPr>
        <w:t>appoggia l'approccio ambizioso che l'UE sta adottando al fine di raggiungere entro il 2030 l'obiettivo del 90 % di raccolta differenziata per i rifiuti di imballaggio</w:t>
      </w:r>
      <w:r w:rsidRPr="005835DE">
        <w:t>, sottolineando che una raccolta, una cernita e sistemi di riciclaggio avanzati, adeguatamente finanziati e di elevata qualità sono essenziali per aumentare al massimo la conservazione dei materiali e rendere possibile il riciclaggio a ciclo chiuso dei materiali permanenti;</w:t>
      </w:r>
    </w:p>
    <w:p w14:paraId="167FDC16" w14:textId="77777777" w:rsidR="00ED76AC" w:rsidRPr="005835DE" w:rsidRDefault="00ED76AC" w:rsidP="003361CB">
      <w:pPr>
        <w:numPr>
          <w:ilvl w:val="0"/>
          <w:numId w:val="34"/>
        </w:numPr>
        <w:overflowPunct w:val="0"/>
        <w:autoSpaceDE w:val="0"/>
        <w:autoSpaceDN w:val="0"/>
        <w:adjustRightInd w:val="0"/>
        <w:ind w:left="426" w:hanging="426"/>
      </w:pPr>
      <w:r w:rsidRPr="005835DE">
        <w:t xml:space="preserve">chiede di </w:t>
      </w:r>
      <w:r w:rsidRPr="005835DE">
        <w:rPr>
          <w:b/>
          <w:bCs/>
        </w:rPr>
        <w:t>rafforzare e armonizzare i regimi di responsabilità estesa del produttore (REP)</w:t>
      </w:r>
      <w:r w:rsidRPr="005835DE">
        <w:t xml:space="preserve"> tra tutti gli Stati membri. Ciò comprende l'applicazione di </w:t>
      </w:r>
      <w:r w:rsidRPr="005835DE">
        <w:rPr>
          <w:b/>
          <w:bCs/>
        </w:rPr>
        <w:t>contributi finanziari eco-modulati sulla base di criteri chiari e coerenti, strutturati</w:t>
      </w:r>
      <w:r w:rsidRPr="005835DE">
        <w:t xml:space="preserve"> in modo proporzionale, nonché la </w:t>
      </w:r>
      <w:r w:rsidRPr="005835DE">
        <w:rPr>
          <w:b/>
          <w:bCs/>
        </w:rPr>
        <w:t>separazione delle entrate derivanti dai suddetti regimi</w:t>
      </w:r>
      <w:r w:rsidRPr="005835DE">
        <w:t xml:space="preserve"> per destinarle a reinvestimenti nello stesso flusso di materiali;</w:t>
      </w:r>
    </w:p>
    <w:p w14:paraId="422AF8F5" w14:textId="77777777" w:rsidR="00ED76AC" w:rsidRPr="005835DE" w:rsidRDefault="00ED76AC" w:rsidP="003361CB">
      <w:pPr>
        <w:numPr>
          <w:ilvl w:val="0"/>
          <w:numId w:val="34"/>
        </w:numPr>
        <w:overflowPunct w:val="0"/>
        <w:autoSpaceDE w:val="0"/>
        <w:autoSpaceDN w:val="0"/>
        <w:adjustRightInd w:val="0"/>
        <w:ind w:left="426" w:hanging="426"/>
      </w:pPr>
      <w:r w:rsidRPr="005835DE">
        <w:rPr>
          <w:b/>
          <w:bCs/>
        </w:rPr>
        <w:t>osserva che è necessario dare priorità agli investimenti</w:t>
      </w:r>
      <w:r w:rsidRPr="005835DE">
        <w:t xml:space="preserve"> in infrastrutture moderne per la raccolta differenziata, la cernita e il riciclaggio dei rifiuti di imballaggio. Sottolinea che il </w:t>
      </w:r>
      <w:r w:rsidRPr="005835DE">
        <w:rPr>
          <w:b/>
          <w:bCs/>
        </w:rPr>
        <w:t>sostegno supplementare dovrebbe concentrarsi sulle regioni con prestazioni o capacità di investimento limitate</w:t>
      </w:r>
      <w:r w:rsidRPr="005835DE">
        <w:t>, garantendo che tutti gli Stati membri possano conseguire gli obiettivi dell'economia circolare;</w:t>
      </w:r>
    </w:p>
    <w:p w14:paraId="059D94FE" w14:textId="77777777" w:rsidR="00ED76AC" w:rsidRPr="005835DE" w:rsidRDefault="00ED76AC" w:rsidP="003361CB">
      <w:pPr>
        <w:numPr>
          <w:ilvl w:val="0"/>
          <w:numId w:val="34"/>
        </w:numPr>
        <w:overflowPunct w:val="0"/>
        <w:autoSpaceDE w:val="0"/>
        <w:autoSpaceDN w:val="0"/>
        <w:adjustRightInd w:val="0"/>
        <w:ind w:left="426" w:hanging="426"/>
      </w:pPr>
      <w:r w:rsidRPr="005835DE">
        <w:rPr>
          <w:b/>
          <w:bCs/>
        </w:rPr>
        <w:t>raccomanda una valutazione globale a livello dell'UE dei comportamenti dei cittadini in rapporto al riciclaggio</w:t>
      </w:r>
      <w:r w:rsidRPr="005835DE">
        <w:t>, al fine di individuare le carenze, gli ostacoli e le buone pratiche. Sulla base di tale valutazione, il CESE chiede misure volte a rafforzare la partecipazione dei consumatori alla raccolta differenziata dei rifiuti di imballaggio, riconoscendo che la cernita domestica è il primo passo essenziale per un riciclaggio efficace;</w:t>
      </w:r>
    </w:p>
    <w:p w14:paraId="09697A6A" w14:textId="77777777" w:rsidR="00ED76AC" w:rsidRPr="005835DE" w:rsidRDefault="00ED76AC" w:rsidP="003361CB">
      <w:pPr>
        <w:numPr>
          <w:ilvl w:val="0"/>
          <w:numId w:val="34"/>
        </w:numPr>
        <w:overflowPunct w:val="0"/>
        <w:autoSpaceDE w:val="0"/>
        <w:autoSpaceDN w:val="0"/>
        <w:adjustRightInd w:val="0"/>
        <w:ind w:left="426" w:hanging="426"/>
      </w:pPr>
      <w:r w:rsidRPr="005835DE">
        <w:rPr>
          <w:b/>
          <w:bCs/>
        </w:rPr>
        <w:t>sottolinea l'importanza di una transizione verso un'economia circolare che sia sostenibile sul piano sociale</w:t>
      </w:r>
      <w:r w:rsidRPr="005835DE">
        <w:t xml:space="preserve">, esortando ad anticipare per tempo gli impatti sul mercato del lavoro. Chiede un accesso garantito ad </w:t>
      </w:r>
      <w:r w:rsidRPr="005835DE">
        <w:rPr>
          <w:b/>
          <w:bCs/>
        </w:rPr>
        <w:t>opportunità di aggiornamento delle competenze e di riqualificazione</w:t>
      </w:r>
      <w:r w:rsidRPr="005835DE">
        <w:t xml:space="preserve"> per sostenere transizioni professionali agevoli, affinché i lavoratori possano partecipare pienamente allo sviluppo dell'economia circolare e trarne beneficio;</w:t>
      </w:r>
    </w:p>
    <w:p w14:paraId="2E89F971" w14:textId="77777777" w:rsidR="00ED76AC" w:rsidRPr="005835DE" w:rsidRDefault="00ED76AC" w:rsidP="003361CB">
      <w:pPr>
        <w:numPr>
          <w:ilvl w:val="0"/>
          <w:numId w:val="34"/>
        </w:numPr>
        <w:overflowPunct w:val="0"/>
        <w:autoSpaceDE w:val="0"/>
        <w:autoSpaceDN w:val="0"/>
        <w:adjustRightInd w:val="0"/>
        <w:ind w:left="426" w:hanging="426"/>
      </w:pPr>
      <w:r w:rsidRPr="005835DE">
        <w:rPr>
          <w:b/>
          <w:bCs/>
        </w:rPr>
        <w:t>invita a rafforzare il dialogo sociale e la contrattazione collettiva a tutti i livelli</w:t>
      </w:r>
      <w:r w:rsidRPr="005835DE">
        <w:t>, anche all'interno delle imprese, per garantire che i lavoratori siano informati, consultati e coinvolti nella transizione verso modelli imprenditoriali circolari.</w:t>
      </w:r>
    </w:p>
    <w:tbl>
      <w:tblPr>
        <w:tblStyle w:val="TableGrid17"/>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9"/>
      </w:tblGrid>
      <w:tr w:rsidR="00ED76AC" w:rsidRPr="005835DE" w14:paraId="412ADC26" w14:textId="77777777">
        <w:tc>
          <w:tcPr>
            <w:tcW w:w="1077" w:type="pct"/>
            <w:hideMark/>
          </w:tcPr>
          <w:p w14:paraId="0F7B1E43" w14:textId="77777777" w:rsidR="00ED76AC" w:rsidRPr="005835DE" w:rsidRDefault="00ED76AC" w:rsidP="00ED76AC">
            <w:pPr>
              <w:overflowPunct w:val="0"/>
              <w:autoSpaceDE w:val="0"/>
              <w:autoSpaceDN w:val="0"/>
              <w:adjustRightInd w:val="0"/>
              <w:rPr>
                <w:i/>
              </w:rPr>
            </w:pPr>
            <w:r w:rsidRPr="005835DE">
              <w:rPr>
                <w:b/>
                <w:i/>
              </w:rPr>
              <w:lastRenderedPageBreak/>
              <w:t>Contatto</w:t>
            </w:r>
          </w:p>
        </w:tc>
        <w:tc>
          <w:tcPr>
            <w:tcW w:w="3923" w:type="pct"/>
            <w:hideMark/>
          </w:tcPr>
          <w:p w14:paraId="0144A2EC" w14:textId="10811451" w:rsidR="00ED76AC" w:rsidRPr="005835DE" w:rsidRDefault="00ED76AC" w:rsidP="00ED76AC">
            <w:pPr>
              <w:overflowPunct w:val="0"/>
              <w:autoSpaceDE w:val="0"/>
              <w:autoSpaceDN w:val="0"/>
              <w:adjustRightInd w:val="0"/>
              <w:rPr>
                <w:i/>
              </w:rPr>
            </w:pPr>
            <w:r w:rsidRPr="005835DE">
              <w:rPr>
                <w:i/>
              </w:rPr>
              <w:t>Adam DORYWALSKI</w:t>
            </w:r>
          </w:p>
        </w:tc>
      </w:tr>
      <w:tr w:rsidR="00ED76AC" w:rsidRPr="005835DE" w14:paraId="7414D71C" w14:textId="77777777">
        <w:tc>
          <w:tcPr>
            <w:tcW w:w="1077" w:type="pct"/>
            <w:hideMark/>
          </w:tcPr>
          <w:p w14:paraId="244C8249" w14:textId="77777777" w:rsidR="00ED76AC" w:rsidRPr="005835DE" w:rsidRDefault="00ED76AC" w:rsidP="00ED76AC">
            <w:pPr>
              <w:overflowPunct w:val="0"/>
              <w:autoSpaceDE w:val="0"/>
              <w:autoSpaceDN w:val="0"/>
              <w:adjustRightInd w:val="0"/>
              <w:rPr>
                <w:i/>
              </w:rPr>
            </w:pPr>
            <w:r w:rsidRPr="005835DE">
              <w:rPr>
                <w:i/>
              </w:rPr>
              <w:t>Tel.</w:t>
            </w:r>
          </w:p>
        </w:tc>
        <w:tc>
          <w:tcPr>
            <w:tcW w:w="3923" w:type="pct"/>
            <w:hideMark/>
          </w:tcPr>
          <w:p w14:paraId="262EFFB7" w14:textId="66B13D8A" w:rsidR="00ED76AC" w:rsidRPr="005835DE" w:rsidRDefault="00ED76AC" w:rsidP="00ED76AC">
            <w:pPr>
              <w:overflowPunct w:val="0"/>
              <w:autoSpaceDE w:val="0"/>
              <w:autoSpaceDN w:val="0"/>
              <w:adjustRightInd w:val="0"/>
              <w:rPr>
                <w:i/>
              </w:rPr>
            </w:pPr>
            <w:r w:rsidRPr="005835DE">
              <w:rPr>
                <w:i/>
              </w:rPr>
              <w:t>+32 25469397</w:t>
            </w:r>
          </w:p>
        </w:tc>
      </w:tr>
      <w:tr w:rsidR="00ED76AC" w:rsidRPr="005835DE" w14:paraId="760698CC" w14:textId="77777777">
        <w:tc>
          <w:tcPr>
            <w:tcW w:w="1077" w:type="pct"/>
            <w:hideMark/>
          </w:tcPr>
          <w:p w14:paraId="5E8D3FE3" w14:textId="69007866" w:rsidR="00ED76AC" w:rsidRPr="005835DE" w:rsidRDefault="00332E33" w:rsidP="00ED76AC">
            <w:pPr>
              <w:overflowPunct w:val="0"/>
              <w:autoSpaceDE w:val="0"/>
              <w:autoSpaceDN w:val="0"/>
              <w:adjustRightInd w:val="0"/>
              <w:rPr>
                <w:i/>
              </w:rPr>
            </w:pPr>
            <w:r w:rsidRPr="005835DE">
              <w:rPr>
                <w:i/>
              </w:rPr>
              <w:t>E</w:t>
            </w:r>
            <w:r w:rsidR="00ED76AC" w:rsidRPr="005835DE">
              <w:rPr>
                <w:i/>
              </w:rPr>
              <w:t>-mail</w:t>
            </w:r>
          </w:p>
        </w:tc>
        <w:tc>
          <w:tcPr>
            <w:tcW w:w="3923" w:type="pct"/>
            <w:hideMark/>
          </w:tcPr>
          <w:p w14:paraId="6BD8C4E6" w14:textId="77777777" w:rsidR="00ED76AC" w:rsidRPr="005835DE" w:rsidRDefault="00520E78" w:rsidP="00ED76AC">
            <w:pPr>
              <w:overflowPunct w:val="0"/>
              <w:autoSpaceDE w:val="0"/>
              <w:autoSpaceDN w:val="0"/>
              <w:adjustRightInd w:val="0"/>
              <w:rPr>
                <w:i/>
              </w:rPr>
            </w:pPr>
            <w:hyperlink r:id="rId52" w:history="1">
              <w:r w:rsidR="00A27BD2" w:rsidRPr="005835DE">
                <w:rPr>
                  <w:i/>
                  <w:color w:val="0000FF"/>
                  <w:u w:val="single"/>
                </w:rPr>
                <w:t>Adam.Dorywalski@eesc.europa.eu</w:t>
              </w:r>
            </w:hyperlink>
          </w:p>
        </w:tc>
      </w:tr>
    </w:tbl>
    <w:p w14:paraId="0FA13A3E" w14:textId="309D4ADD" w:rsidR="00ED76AC" w:rsidRPr="005835DE" w:rsidRDefault="00ED76AC" w:rsidP="006D2C8A">
      <w:pPr>
        <w:spacing w:after="160" w:line="259" w:lineRule="auto"/>
        <w:jc w:val="left"/>
      </w:pPr>
    </w:p>
    <w:p w14:paraId="1D4DBE8E" w14:textId="77777777" w:rsidR="00ED76AC" w:rsidRPr="005835DE" w:rsidRDefault="00ED76AC">
      <w:pPr>
        <w:spacing w:after="160" w:line="259" w:lineRule="auto"/>
        <w:jc w:val="left"/>
      </w:pPr>
      <w:r w:rsidRPr="005835DE">
        <w:br w:type="page"/>
      </w:r>
    </w:p>
    <w:p w14:paraId="1EC58FCD" w14:textId="54489841" w:rsidR="009F1AE3" w:rsidRPr="005835DE" w:rsidRDefault="00520E78" w:rsidP="009F1AE3">
      <w:pPr>
        <w:widowControl w:val="0"/>
        <w:numPr>
          <w:ilvl w:val="0"/>
          <w:numId w:val="4"/>
        </w:numPr>
        <w:overflowPunct w:val="0"/>
        <w:autoSpaceDE w:val="0"/>
        <w:autoSpaceDN w:val="0"/>
        <w:adjustRightInd w:val="0"/>
        <w:ind w:hanging="567"/>
        <w:textAlignment w:val="baseline"/>
        <w:rPr>
          <w:sz w:val="28"/>
          <w:szCs w:val="28"/>
        </w:rPr>
      </w:pPr>
      <w:hyperlink r:id="rId53" w:history="1">
        <w:r w:rsidR="009F1AE3" w:rsidRPr="005835DE">
          <w:rPr>
            <w:b/>
            <w:i/>
            <w:color w:val="0000FF"/>
            <w:sz w:val="28"/>
            <w:szCs w:val="28"/>
            <w:u w:val="single"/>
          </w:rPr>
          <w:t xml:space="preserve">Cooperative industriali </w:t>
        </w:r>
      </w:hyperlink>
    </w:p>
    <w:p w14:paraId="1C2A6159" w14:textId="77777777" w:rsidR="009F1AE3" w:rsidRPr="005835DE" w:rsidRDefault="009F1AE3" w:rsidP="009F1AE3">
      <w:pPr>
        <w:tabs>
          <w:tab w:val="center" w:pos="284"/>
        </w:tabs>
        <w:overflowPunct w:val="0"/>
        <w:autoSpaceDE w:val="0"/>
        <w:autoSpaceDN w:val="0"/>
        <w:adjustRightInd w:val="0"/>
        <w:ind w:left="266" w:hanging="266"/>
        <w:textAlignment w:val="baseline"/>
        <w:rPr>
          <w:b/>
          <w:lang w:val="en-GB"/>
        </w:rPr>
      </w:pPr>
    </w:p>
    <w:tbl>
      <w:tblPr>
        <w:tblStyle w:val="TableGrid1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9"/>
      </w:tblGrid>
      <w:tr w:rsidR="009F1AE3" w:rsidRPr="005835DE" w14:paraId="0D01F4D7" w14:textId="77777777" w:rsidTr="007C5DD5">
        <w:tc>
          <w:tcPr>
            <w:tcW w:w="1077" w:type="pct"/>
          </w:tcPr>
          <w:p w14:paraId="20E55DD0" w14:textId="04DC2686" w:rsidR="009F1AE3" w:rsidRPr="005835DE" w:rsidRDefault="00332E33" w:rsidP="009F1AE3">
            <w:pPr>
              <w:tabs>
                <w:tab w:val="center" w:pos="284"/>
              </w:tabs>
              <w:overflowPunct w:val="0"/>
              <w:autoSpaceDE w:val="0"/>
              <w:autoSpaceDN w:val="0"/>
              <w:adjustRightInd w:val="0"/>
              <w:ind w:left="266" w:hanging="266"/>
              <w:textAlignment w:val="baseline"/>
              <w:rPr>
                <w:b/>
              </w:rPr>
            </w:pPr>
            <w:r w:rsidRPr="005835DE">
              <w:rPr>
                <w:b/>
              </w:rPr>
              <w:t>Relatore</w:t>
            </w:r>
          </w:p>
        </w:tc>
        <w:tc>
          <w:tcPr>
            <w:tcW w:w="3923" w:type="pct"/>
          </w:tcPr>
          <w:p w14:paraId="1A4CBD2C" w14:textId="77777777" w:rsidR="009F1AE3" w:rsidRPr="005835DE" w:rsidRDefault="009F1AE3" w:rsidP="009F1AE3">
            <w:pPr>
              <w:tabs>
                <w:tab w:val="center" w:pos="284"/>
              </w:tabs>
              <w:overflowPunct w:val="0"/>
              <w:autoSpaceDE w:val="0"/>
              <w:autoSpaceDN w:val="0"/>
              <w:adjustRightInd w:val="0"/>
              <w:ind w:left="266" w:right="-3091" w:hanging="266"/>
              <w:textAlignment w:val="baseline"/>
            </w:pPr>
            <w:r w:rsidRPr="005835DE">
              <w:t>Giuseppe GUERINI (Organizzazioni della società civile - IT)</w:t>
            </w:r>
          </w:p>
        </w:tc>
      </w:tr>
      <w:tr w:rsidR="009F1AE3" w:rsidRPr="005835DE" w14:paraId="33F2C2EB" w14:textId="77777777" w:rsidTr="007C5DD5">
        <w:tc>
          <w:tcPr>
            <w:tcW w:w="1077" w:type="pct"/>
          </w:tcPr>
          <w:p w14:paraId="1F1A83E5" w14:textId="0CE0FBA1" w:rsidR="009F1AE3" w:rsidRPr="005835DE" w:rsidRDefault="00332E33" w:rsidP="009F1AE3">
            <w:pPr>
              <w:tabs>
                <w:tab w:val="center" w:pos="284"/>
              </w:tabs>
              <w:overflowPunct w:val="0"/>
              <w:autoSpaceDE w:val="0"/>
              <w:autoSpaceDN w:val="0"/>
              <w:adjustRightInd w:val="0"/>
              <w:ind w:left="266" w:hanging="266"/>
              <w:textAlignment w:val="baseline"/>
              <w:rPr>
                <w:b/>
              </w:rPr>
            </w:pPr>
            <w:r w:rsidRPr="005835DE">
              <w:rPr>
                <w:b/>
              </w:rPr>
              <w:t>Correlatore</w:t>
            </w:r>
          </w:p>
        </w:tc>
        <w:tc>
          <w:tcPr>
            <w:tcW w:w="3923" w:type="pct"/>
          </w:tcPr>
          <w:p w14:paraId="5742ACF9" w14:textId="1CA4DCBF" w:rsidR="005A2512" w:rsidRPr="005835DE" w:rsidRDefault="009F1AE3" w:rsidP="009F1AE3">
            <w:pPr>
              <w:tabs>
                <w:tab w:val="center" w:pos="284"/>
              </w:tabs>
              <w:overflowPunct w:val="0"/>
              <w:autoSpaceDE w:val="0"/>
              <w:autoSpaceDN w:val="0"/>
              <w:adjustRightInd w:val="0"/>
              <w:ind w:left="266" w:right="-3091" w:hanging="266"/>
              <w:textAlignment w:val="baseline"/>
            </w:pPr>
            <w:r w:rsidRPr="005835DE">
              <w:t>Michal PINTÉR (Datori di lavoro - SK)</w:t>
            </w:r>
          </w:p>
        </w:tc>
      </w:tr>
      <w:tr w:rsidR="006836FC" w:rsidRPr="005835DE" w14:paraId="7AD268B2" w14:textId="77777777" w:rsidTr="007C5DD5">
        <w:tc>
          <w:tcPr>
            <w:tcW w:w="1077" w:type="pct"/>
          </w:tcPr>
          <w:p w14:paraId="2590E8B6" w14:textId="77777777" w:rsidR="006836FC" w:rsidRPr="005835DE" w:rsidRDefault="006836FC" w:rsidP="009F1AE3">
            <w:pPr>
              <w:tabs>
                <w:tab w:val="center" w:pos="284"/>
              </w:tabs>
              <w:overflowPunct w:val="0"/>
              <w:autoSpaceDE w:val="0"/>
              <w:autoSpaceDN w:val="0"/>
              <w:adjustRightInd w:val="0"/>
              <w:ind w:left="266" w:hanging="266"/>
              <w:textAlignment w:val="baseline"/>
              <w:rPr>
                <w:b/>
                <w:sz w:val="16"/>
                <w:szCs w:val="16"/>
              </w:rPr>
            </w:pPr>
          </w:p>
        </w:tc>
        <w:tc>
          <w:tcPr>
            <w:tcW w:w="3923" w:type="pct"/>
          </w:tcPr>
          <w:p w14:paraId="433C493C" w14:textId="77777777" w:rsidR="006836FC" w:rsidRPr="005835DE" w:rsidRDefault="006836FC" w:rsidP="009F1AE3">
            <w:pPr>
              <w:tabs>
                <w:tab w:val="center" w:pos="284"/>
              </w:tabs>
              <w:overflowPunct w:val="0"/>
              <w:autoSpaceDE w:val="0"/>
              <w:autoSpaceDN w:val="0"/>
              <w:adjustRightInd w:val="0"/>
              <w:ind w:left="266" w:right="-3091" w:hanging="266"/>
              <w:textAlignment w:val="baseline"/>
              <w:rPr>
                <w:sz w:val="16"/>
                <w:szCs w:val="16"/>
              </w:rPr>
            </w:pPr>
          </w:p>
        </w:tc>
      </w:tr>
      <w:tr w:rsidR="009F1AE3" w:rsidRPr="005835DE" w14:paraId="7859888A" w14:textId="77777777" w:rsidTr="007C5DD5">
        <w:tc>
          <w:tcPr>
            <w:tcW w:w="1077" w:type="pct"/>
          </w:tcPr>
          <w:p w14:paraId="032C91E2" w14:textId="77777777" w:rsidR="009F1AE3" w:rsidRPr="005835DE" w:rsidRDefault="009F1AE3" w:rsidP="009F1AE3">
            <w:pPr>
              <w:tabs>
                <w:tab w:val="center" w:pos="284"/>
              </w:tabs>
              <w:overflowPunct w:val="0"/>
              <w:autoSpaceDE w:val="0"/>
              <w:autoSpaceDN w:val="0"/>
              <w:adjustRightInd w:val="0"/>
              <w:ind w:left="266" w:hanging="266"/>
              <w:textAlignment w:val="baseline"/>
              <w:rPr>
                <w:b/>
              </w:rPr>
            </w:pPr>
            <w:r w:rsidRPr="005835DE">
              <w:rPr>
                <w:b/>
              </w:rPr>
              <w:t>Riferimento</w:t>
            </w:r>
          </w:p>
        </w:tc>
        <w:tc>
          <w:tcPr>
            <w:tcW w:w="3923" w:type="pct"/>
          </w:tcPr>
          <w:p w14:paraId="0B0CF888" w14:textId="0BC5D656" w:rsidR="005A2512" w:rsidRPr="005835DE" w:rsidRDefault="005A2512" w:rsidP="009F1AE3">
            <w:pPr>
              <w:tabs>
                <w:tab w:val="center" w:pos="284"/>
              </w:tabs>
              <w:overflowPunct w:val="0"/>
              <w:autoSpaceDE w:val="0"/>
              <w:autoSpaceDN w:val="0"/>
              <w:adjustRightInd w:val="0"/>
              <w:ind w:left="266" w:right="-3091" w:hanging="266"/>
              <w:textAlignment w:val="baseline"/>
            </w:pPr>
            <w:r w:rsidRPr="005835DE">
              <w:t>Parere d'iniziativa</w:t>
            </w:r>
          </w:p>
          <w:p w14:paraId="5FE53CC7" w14:textId="075CB809" w:rsidR="009F1AE3" w:rsidRPr="005835DE" w:rsidRDefault="009F1AE3" w:rsidP="009F1AE3">
            <w:pPr>
              <w:tabs>
                <w:tab w:val="center" w:pos="284"/>
              </w:tabs>
              <w:overflowPunct w:val="0"/>
              <w:autoSpaceDE w:val="0"/>
              <w:autoSpaceDN w:val="0"/>
              <w:adjustRightInd w:val="0"/>
              <w:ind w:left="266" w:right="-3091" w:hanging="266"/>
              <w:textAlignment w:val="baseline"/>
            </w:pPr>
            <w:r w:rsidRPr="005835DE">
              <w:t>EESC-2025-01083-00-00-AC</w:t>
            </w:r>
          </w:p>
        </w:tc>
      </w:tr>
    </w:tbl>
    <w:p w14:paraId="1DD81CB5" w14:textId="77777777" w:rsidR="009F1AE3" w:rsidRPr="005835DE" w:rsidRDefault="009F1AE3" w:rsidP="009F1AE3">
      <w:pPr>
        <w:tabs>
          <w:tab w:val="center" w:pos="284"/>
        </w:tabs>
        <w:overflowPunct w:val="0"/>
        <w:autoSpaceDE w:val="0"/>
        <w:autoSpaceDN w:val="0"/>
        <w:adjustRightInd w:val="0"/>
        <w:ind w:left="266" w:hanging="266"/>
        <w:textAlignment w:val="baseline"/>
        <w:rPr>
          <w:b/>
          <w:lang w:val="en-GB"/>
        </w:rPr>
      </w:pPr>
    </w:p>
    <w:p w14:paraId="06D207ED" w14:textId="77777777" w:rsidR="009F1AE3" w:rsidRPr="005835DE" w:rsidRDefault="009F1AE3" w:rsidP="009F1AE3">
      <w:pPr>
        <w:keepNext/>
        <w:keepLines/>
        <w:tabs>
          <w:tab w:val="center" w:pos="284"/>
        </w:tabs>
        <w:overflowPunct w:val="0"/>
        <w:autoSpaceDE w:val="0"/>
        <w:autoSpaceDN w:val="0"/>
        <w:adjustRightInd w:val="0"/>
        <w:ind w:left="266" w:hanging="266"/>
        <w:textAlignment w:val="baseline"/>
        <w:rPr>
          <w:b/>
        </w:rPr>
      </w:pPr>
      <w:r w:rsidRPr="005835DE">
        <w:rPr>
          <w:b/>
        </w:rPr>
        <w:t>Punti principali</w:t>
      </w:r>
    </w:p>
    <w:p w14:paraId="4286BD1B" w14:textId="77777777" w:rsidR="009F1AE3" w:rsidRPr="005835DE" w:rsidRDefault="009F1AE3" w:rsidP="009F1AE3">
      <w:pPr>
        <w:keepNext/>
        <w:keepLines/>
        <w:tabs>
          <w:tab w:val="center" w:pos="284"/>
        </w:tabs>
        <w:overflowPunct w:val="0"/>
        <w:autoSpaceDE w:val="0"/>
        <w:autoSpaceDN w:val="0"/>
        <w:adjustRightInd w:val="0"/>
        <w:ind w:left="266" w:hanging="266"/>
        <w:textAlignment w:val="baseline"/>
        <w:rPr>
          <w:b/>
          <w:lang w:val="en-GB"/>
        </w:rPr>
      </w:pPr>
    </w:p>
    <w:p w14:paraId="46117C84" w14:textId="77777777" w:rsidR="009F1AE3" w:rsidRPr="005835DE" w:rsidRDefault="009F1AE3" w:rsidP="009F1AE3">
      <w:pPr>
        <w:overflowPunct w:val="0"/>
        <w:autoSpaceDE w:val="0"/>
        <w:autoSpaceDN w:val="0"/>
        <w:adjustRightInd w:val="0"/>
        <w:textAlignment w:val="baseline"/>
        <w:rPr>
          <w:bCs/>
          <w:iCs/>
        </w:rPr>
      </w:pPr>
      <w:r w:rsidRPr="005835DE">
        <w:t>Il CESE:</w:t>
      </w:r>
    </w:p>
    <w:p w14:paraId="6845B3DF" w14:textId="77777777" w:rsidR="007B326F" w:rsidRPr="005835DE" w:rsidRDefault="007B326F" w:rsidP="009F1AE3">
      <w:pPr>
        <w:overflowPunct w:val="0"/>
        <w:autoSpaceDE w:val="0"/>
        <w:autoSpaceDN w:val="0"/>
        <w:adjustRightInd w:val="0"/>
        <w:textAlignment w:val="baseline"/>
        <w:rPr>
          <w:bCs/>
          <w:iCs/>
          <w:lang w:val="en-GB"/>
        </w:rPr>
      </w:pPr>
    </w:p>
    <w:p w14:paraId="27E2A746" w14:textId="77777777" w:rsidR="009F1AE3" w:rsidRPr="005835DE" w:rsidRDefault="009F1AE3" w:rsidP="006836FC">
      <w:pPr>
        <w:widowControl w:val="0"/>
        <w:numPr>
          <w:ilvl w:val="0"/>
          <w:numId w:val="35"/>
        </w:numPr>
        <w:overflowPunct w:val="0"/>
        <w:autoSpaceDE w:val="0"/>
        <w:autoSpaceDN w:val="0"/>
        <w:adjustRightInd w:val="0"/>
        <w:ind w:left="426" w:hanging="426"/>
        <w:textAlignment w:val="baseline"/>
        <w:rPr>
          <w:bCs/>
          <w:iCs/>
        </w:rPr>
      </w:pPr>
      <w:r w:rsidRPr="005835DE">
        <w:t xml:space="preserve">osserva che Le Nazioni Unite hanno proclamato il 2025 Anno internazionale delle cooperative con il tema </w:t>
      </w:r>
      <w:r w:rsidRPr="005835DE">
        <w:rPr>
          <w:i/>
          <w:iCs/>
        </w:rPr>
        <w:t>Cooperatives Build a Better World</w:t>
      </w:r>
      <w:r w:rsidRPr="005835DE">
        <w:t xml:space="preserve"> (Le cooperative costruiscono un mondo migliore), a testimonianza del crescente riconoscimento del ruolo svolto dalle cooperative in molti settori;</w:t>
      </w:r>
    </w:p>
    <w:p w14:paraId="3D3801AB" w14:textId="6A207D67" w:rsidR="009F1AE3" w:rsidRPr="005835DE" w:rsidRDefault="009F1AE3" w:rsidP="006836FC">
      <w:pPr>
        <w:widowControl w:val="0"/>
        <w:numPr>
          <w:ilvl w:val="0"/>
          <w:numId w:val="35"/>
        </w:numPr>
        <w:overflowPunct w:val="0"/>
        <w:autoSpaceDE w:val="0"/>
        <w:autoSpaceDN w:val="0"/>
        <w:adjustRightInd w:val="0"/>
        <w:ind w:left="426" w:hanging="426"/>
        <w:textAlignment w:val="baseline"/>
        <w:rPr>
          <w:bCs/>
          <w:iCs/>
        </w:rPr>
      </w:pPr>
      <w:r w:rsidRPr="005835DE">
        <w:t xml:space="preserve">raccomanda di integrare l'insegnamento del modello cooperativo nella formazione tradizionale sulle attività imprenditoriali e professionali, organizzando anche campagne di sensibilizzazione rivolte agli istituti finanziari e </w:t>
      </w:r>
      <w:r w:rsidR="00332E33" w:rsidRPr="005835DE">
        <w:t>in merito al</w:t>
      </w:r>
      <w:r w:rsidRPr="005835DE">
        <w:t>le opportunità offerte nell'ambito di Erasmus+;</w:t>
      </w:r>
    </w:p>
    <w:p w14:paraId="28A4E3C6" w14:textId="77777777" w:rsidR="009F1AE3" w:rsidRPr="005835DE" w:rsidRDefault="009F1AE3" w:rsidP="006836FC">
      <w:pPr>
        <w:widowControl w:val="0"/>
        <w:numPr>
          <w:ilvl w:val="0"/>
          <w:numId w:val="35"/>
        </w:numPr>
        <w:overflowPunct w:val="0"/>
        <w:autoSpaceDE w:val="0"/>
        <w:autoSpaceDN w:val="0"/>
        <w:adjustRightInd w:val="0"/>
        <w:ind w:left="426" w:hanging="426"/>
        <w:textAlignment w:val="baseline"/>
        <w:rPr>
          <w:bCs/>
          <w:iCs/>
        </w:rPr>
      </w:pPr>
      <w:r w:rsidRPr="005835DE">
        <w:t>ritiene che il modello cooperativo debba essere attivamente promosso tra le start-up e i giovani imprenditori;</w:t>
      </w:r>
    </w:p>
    <w:p w14:paraId="58C2F6EC" w14:textId="77777777" w:rsidR="009F1AE3" w:rsidRPr="005835DE" w:rsidRDefault="009F1AE3" w:rsidP="006836FC">
      <w:pPr>
        <w:widowControl w:val="0"/>
        <w:numPr>
          <w:ilvl w:val="0"/>
          <w:numId w:val="35"/>
        </w:numPr>
        <w:overflowPunct w:val="0"/>
        <w:autoSpaceDE w:val="0"/>
        <w:autoSpaceDN w:val="0"/>
        <w:adjustRightInd w:val="0"/>
        <w:ind w:left="426" w:hanging="426"/>
        <w:textAlignment w:val="baseline"/>
        <w:rPr>
          <w:bCs/>
          <w:iCs/>
        </w:rPr>
      </w:pPr>
      <w:r w:rsidRPr="005835DE">
        <w:t>chiede che le cooperative industriali siano riconosciute come attori economici fondamentali e che vengano concessi incentivi finanziari mirati a livello dell'UE, nazionale e regionale (agevolazioni fiscali, sovvenzioni, finanziamenti a basso tasso di interesse) al fine di sostenere la simbiosi industriale e la circolarità;</w:t>
      </w:r>
    </w:p>
    <w:p w14:paraId="4A87AD53" w14:textId="77777777" w:rsidR="009F1AE3" w:rsidRPr="005835DE" w:rsidRDefault="009F1AE3" w:rsidP="006836FC">
      <w:pPr>
        <w:widowControl w:val="0"/>
        <w:numPr>
          <w:ilvl w:val="0"/>
          <w:numId w:val="35"/>
        </w:numPr>
        <w:overflowPunct w:val="0"/>
        <w:autoSpaceDE w:val="0"/>
        <w:autoSpaceDN w:val="0"/>
        <w:adjustRightInd w:val="0"/>
        <w:ind w:left="426" w:hanging="426"/>
        <w:textAlignment w:val="baseline"/>
        <w:rPr>
          <w:bCs/>
          <w:iCs/>
        </w:rPr>
      </w:pPr>
      <w:r w:rsidRPr="005835DE">
        <w:t>incoraggia gli investimenti nei parchi industriali condivisi e nelle zone ecoindustriali, oltre che nelle piattaforme cooperative di condivisione delle conoscenze, allo scopo di rafforzare il radicamento territoriale delle cooperative e una produzione sostenibile;</w:t>
      </w:r>
    </w:p>
    <w:p w14:paraId="52113114" w14:textId="77777777" w:rsidR="009F1AE3" w:rsidRPr="005835DE" w:rsidRDefault="009F1AE3" w:rsidP="006836FC">
      <w:pPr>
        <w:widowControl w:val="0"/>
        <w:numPr>
          <w:ilvl w:val="0"/>
          <w:numId w:val="35"/>
        </w:numPr>
        <w:overflowPunct w:val="0"/>
        <w:autoSpaceDE w:val="0"/>
        <w:autoSpaceDN w:val="0"/>
        <w:adjustRightInd w:val="0"/>
        <w:ind w:left="426" w:hanging="426"/>
        <w:textAlignment w:val="baseline"/>
        <w:rPr>
          <w:bCs/>
          <w:iCs/>
        </w:rPr>
      </w:pPr>
      <w:r w:rsidRPr="005835DE">
        <w:t>sollecita l'inserimento di misure politiche specifiche per le cooperative nei programmi di coesione e nelle strategie di sviluppo regionale dell'UE, dando la priorità alle iniziative guidate dalle cooperative al fine di rafforzare la resilienza e la sostenibilità a livello regionale;</w:t>
      </w:r>
    </w:p>
    <w:p w14:paraId="7894A3A1" w14:textId="77777777" w:rsidR="009F1AE3" w:rsidRPr="005835DE" w:rsidRDefault="009F1AE3" w:rsidP="006836FC">
      <w:pPr>
        <w:widowControl w:val="0"/>
        <w:numPr>
          <w:ilvl w:val="0"/>
          <w:numId w:val="35"/>
        </w:numPr>
        <w:overflowPunct w:val="0"/>
        <w:autoSpaceDE w:val="0"/>
        <w:autoSpaceDN w:val="0"/>
        <w:adjustRightInd w:val="0"/>
        <w:ind w:left="426" w:hanging="426"/>
        <w:textAlignment w:val="baseline"/>
        <w:rPr>
          <w:bCs/>
          <w:iCs/>
        </w:rPr>
      </w:pPr>
      <w:r w:rsidRPr="005835DE">
        <w:t>sottolinea la crescente importanza strategica delle cooperative basate sui dati e invita l'UE e le autorità nazionali a sostenere le iniziative collegiali per la gestione e la condivisione di dati industriali;</w:t>
      </w:r>
    </w:p>
    <w:p w14:paraId="79564FBF" w14:textId="2AC94D21" w:rsidR="009F1AE3" w:rsidRPr="005835DE" w:rsidRDefault="009F1AE3" w:rsidP="006836FC">
      <w:pPr>
        <w:widowControl w:val="0"/>
        <w:numPr>
          <w:ilvl w:val="0"/>
          <w:numId w:val="35"/>
        </w:numPr>
        <w:overflowPunct w:val="0"/>
        <w:autoSpaceDE w:val="0"/>
        <w:autoSpaceDN w:val="0"/>
        <w:adjustRightInd w:val="0"/>
        <w:ind w:left="426" w:hanging="426"/>
        <w:textAlignment w:val="baseline"/>
        <w:rPr>
          <w:bCs/>
          <w:iCs/>
        </w:rPr>
      </w:pPr>
      <w:r w:rsidRPr="005835DE">
        <w:t>sottolinea che il modello cooperativo offre un valore aggiunto unico attraverso caratteristiche quali una governance democratica, l'equa distribuzione della ricchezza, un forte impegno nella comunità e una forte adattabilità, rafforzando quindi l'autonomia strategica dell'UE.</w:t>
      </w:r>
    </w:p>
    <w:p w14:paraId="12471B63" w14:textId="77777777" w:rsidR="009F1AE3" w:rsidRPr="005835DE" w:rsidRDefault="009F1AE3" w:rsidP="009F1AE3">
      <w:pPr>
        <w:widowControl w:val="0"/>
        <w:overflowPunct w:val="0"/>
        <w:autoSpaceDE w:val="0"/>
        <w:autoSpaceDN w:val="0"/>
        <w:adjustRightInd w:val="0"/>
        <w:ind w:left="709"/>
        <w:textAlignment w:val="baseline"/>
        <w:rPr>
          <w:szCs w:val="20"/>
          <w:lang w:val="en-GB"/>
        </w:rPr>
      </w:pPr>
    </w:p>
    <w:tbl>
      <w:tblPr>
        <w:tblStyle w:val="TableGrid1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9"/>
      </w:tblGrid>
      <w:tr w:rsidR="009F1AE3" w:rsidRPr="005835DE" w14:paraId="23DAFD40" w14:textId="77777777" w:rsidTr="007C5DD5">
        <w:tc>
          <w:tcPr>
            <w:tcW w:w="1077" w:type="pct"/>
          </w:tcPr>
          <w:p w14:paraId="4CF24E66" w14:textId="77777777" w:rsidR="009F1AE3" w:rsidRPr="005835DE" w:rsidRDefault="009F1AE3" w:rsidP="009F1AE3">
            <w:pPr>
              <w:overflowPunct w:val="0"/>
              <w:autoSpaceDE w:val="0"/>
              <w:autoSpaceDN w:val="0"/>
              <w:adjustRightInd w:val="0"/>
              <w:textAlignment w:val="baseline"/>
              <w:rPr>
                <w:i/>
              </w:rPr>
            </w:pPr>
            <w:r w:rsidRPr="005835DE">
              <w:rPr>
                <w:b/>
                <w:i/>
              </w:rPr>
              <w:t>Contatto</w:t>
            </w:r>
          </w:p>
        </w:tc>
        <w:tc>
          <w:tcPr>
            <w:tcW w:w="3923" w:type="pct"/>
          </w:tcPr>
          <w:p w14:paraId="06B68A0E" w14:textId="546486E8" w:rsidR="009F1AE3" w:rsidRPr="005835DE" w:rsidRDefault="009F1AE3" w:rsidP="009F1AE3">
            <w:pPr>
              <w:overflowPunct w:val="0"/>
              <w:autoSpaceDE w:val="0"/>
              <w:autoSpaceDN w:val="0"/>
              <w:adjustRightInd w:val="0"/>
              <w:textAlignment w:val="baseline"/>
              <w:rPr>
                <w:i/>
              </w:rPr>
            </w:pPr>
            <w:r w:rsidRPr="005835DE">
              <w:rPr>
                <w:i/>
              </w:rPr>
              <w:t>Adam DORYWALSKI</w:t>
            </w:r>
          </w:p>
        </w:tc>
      </w:tr>
      <w:tr w:rsidR="009F1AE3" w:rsidRPr="005835DE" w14:paraId="7AF1CC27" w14:textId="77777777" w:rsidTr="007C5DD5">
        <w:tc>
          <w:tcPr>
            <w:tcW w:w="1077" w:type="pct"/>
          </w:tcPr>
          <w:p w14:paraId="233242A3" w14:textId="77777777" w:rsidR="009F1AE3" w:rsidRPr="005835DE" w:rsidRDefault="009F1AE3" w:rsidP="009F1AE3">
            <w:pPr>
              <w:overflowPunct w:val="0"/>
              <w:autoSpaceDE w:val="0"/>
              <w:autoSpaceDN w:val="0"/>
              <w:adjustRightInd w:val="0"/>
              <w:textAlignment w:val="baseline"/>
              <w:rPr>
                <w:i/>
              </w:rPr>
            </w:pPr>
            <w:r w:rsidRPr="005835DE">
              <w:rPr>
                <w:i/>
              </w:rPr>
              <w:t>Tel.</w:t>
            </w:r>
          </w:p>
        </w:tc>
        <w:tc>
          <w:tcPr>
            <w:tcW w:w="3923" w:type="pct"/>
          </w:tcPr>
          <w:p w14:paraId="5A333E81" w14:textId="77777777" w:rsidR="009F1AE3" w:rsidRPr="005835DE" w:rsidRDefault="009F1AE3" w:rsidP="009F1AE3">
            <w:pPr>
              <w:overflowPunct w:val="0"/>
              <w:autoSpaceDE w:val="0"/>
              <w:autoSpaceDN w:val="0"/>
              <w:adjustRightInd w:val="0"/>
              <w:textAlignment w:val="baseline"/>
              <w:rPr>
                <w:i/>
              </w:rPr>
            </w:pPr>
            <w:r w:rsidRPr="005835DE">
              <w:rPr>
                <w:i/>
              </w:rPr>
              <w:t>+32 25469397</w:t>
            </w:r>
          </w:p>
        </w:tc>
      </w:tr>
      <w:tr w:rsidR="009F1AE3" w:rsidRPr="005835DE" w14:paraId="7ABF5273" w14:textId="77777777" w:rsidTr="007C5DD5">
        <w:tc>
          <w:tcPr>
            <w:tcW w:w="1077" w:type="pct"/>
          </w:tcPr>
          <w:p w14:paraId="2931E696" w14:textId="0C758E3E" w:rsidR="009F1AE3" w:rsidRPr="005835DE" w:rsidRDefault="00332E33" w:rsidP="009F1AE3">
            <w:pPr>
              <w:overflowPunct w:val="0"/>
              <w:autoSpaceDE w:val="0"/>
              <w:autoSpaceDN w:val="0"/>
              <w:adjustRightInd w:val="0"/>
              <w:textAlignment w:val="baseline"/>
              <w:rPr>
                <w:i/>
              </w:rPr>
            </w:pPr>
            <w:r w:rsidRPr="005835DE">
              <w:rPr>
                <w:i/>
              </w:rPr>
              <w:t>E</w:t>
            </w:r>
            <w:r w:rsidR="009F1AE3" w:rsidRPr="005835DE">
              <w:rPr>
                <w:i/>
              </w:rPr>
              <w:t>-mail</w:t>
            </w:r>
          </w:p>
        </w:tc>
        <w:tc>
          <w:tcPr>
            <w:tcW w:w="3923" w:type="pct"/>
          </w:tcPr>
          <w:p w14:paraId="7A67CA0D" w14:textId="77777777" w:rsidR="009F1AE3" w:rsidRPr="005835DE" w:rsidRDefault="00520E78" w:rsidP="009F1AE3">
            <w:pPr>
              <w:overflowPunct w:val="0"/>
              <w:autoSpaceDE w:val="0"/>
              <w:autoSpaceDN w:val="0"/>
              <w:adjustRightInd w:val="0"/>
              <w:textAlignment w:val="baseline"/>
              <w:rPr>
                <w:i/>
              </w:rPr>
            </w:pPr>
            <w:hyperlink r:id="rId54" w:history="1">
              <w:r w:rsidR="00A27BD2" w:rsidRPr="005835DE">
                <w:rPr>
                  <w:i/>
                  <w:color w:val="0000FF"/>
                  <w:u w:val="single"/>
                </w:rPr>
                <w:t>Adam.Dorywalski@eesc.europa.eu</w:t>
              </w:r>
            </w:hyperlink>
          </w:p>
        </w:tc>
      </w:tr>
    </w:tbl>
    <w:p w14:paraId="09A596F7" w14:textId="77777777" w:rsidR="006D2C8A" w:rsidRPr="005835DE" w:rsidRDefault="006D2C8A" w:rsidP="006D2C8A">
      <w:pPr>
        <w:spacing w:after="160" w:line="259" w:lineRule="auto"/>
        <w:jc w:val="left"/>
      </w:pPr>
    </w:p>
    <w:p w14:paraId="2E28EF19" w14:textId="3B368787" w:rsidR="000D394D" w:rsidRPr="005835DE" w:rsidRDefault="00EB462E" w:rsidP="00054C58">
      <w:pPr>
        <w:spacing w:after="160" w:line="259" w:lineRule="auto"/>
        <w:jc w:val="center"/>
      </w:pPr>
      <w:r w:rsidRPr="005835DE">
        <w:t>______________</w:t>
      </w:r>
    </w:p>
    <w:sectPr w:rsidR="000D394D" w:rsidRPr="005835DE" w:rsidSect="00EE6F0B">
      <w:headerReference w:type="even" r:id="rId55"/>
      <w:headerReference w:type="default" r:id="rId56"/>
      <w:footerReference w:type="even" r:id="rId57"/>
      <w:footerReference w:type="default" r:id="rId58"/>
      <w:headerReference w:type="first" r:id="rId59"/>
      <w:footerReference w:type="first" r:id="rId60"/>
      <w:pgSz w:w="11907" w:h="1683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183ED" w14:textId="77777777" w:rsidR="007068C8" w:rsidRDefault="007068C8" w:rsidP="00B518C9">
      <w:pPr>
        <w:spacing w:line="240" w:lineRule="auto"/>
      </w:pPr>
      <w:r>
        <w:separator/>
      </w:r>
    </w:p>
  </w:endnote>
  <w:endnote w:type="continuationSeparator" w:id="0">
    <w:p w14:paraId="2DEC234A" w14:textId="77777777" w:rsidR="007068C8" w:rsidRDefault="007068C8"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90286" w14:textId="77777777" w:rsidR="00BA2A2C" w:rsidRPr="00EE6F0B" w:rsidRDefault="00BA2A2C" w:rsidP="00EE6F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3129FCBE" w:rsidR="00B518C9" w:rsidRPr="00EE6F0B" w:rsidRDefault="00EE6F0B" w:rsidP="00EE6F0B">
    <w:pPr>
      <w:pStyle w:val="Footer"/>
    </w:pPr>
    <w:r>
      <w:t xml:space="preserve">EESC-2025-03552-00-00-TCD-TRA (EN) </w:t>
    </w:r>
    <w:r>
      <w:fldChar w:fldCharType="begin"/>
    </w:r>
    <w:r>
      <w:instrText xml:space="preserve"> PAGE  \* Arabic  \* MERGEFORMAT </w:instrText>
    </w:r>
    <w:r>
      <w:fldChar w:fldCharType="separate"/>
    </w:r>
    <w:r w:rsidR="008541DE">
      <w:t>1</w:t>
    </w:r>
    <w:r>
      <w:fldChar w:fldCharType="end"/>
    </w:r>
    <w:r>
      <w:t>/</w:t>
    </w:r>
    <w:r w:rsidR="00520E78">
      <w:fldChar w:fldCharType="begin"/>
    </w:r>
    <w:r w:rsidR="00520E78">
      <w:instrText xml:space="preserve"> NUMPAGES </w:instrText>
    </w:r>
    <w:r w:rsidR="00520E78">
      <w:fldChar w:fldCharType="separate"/>
    </w:r>
    <w:r w:rsidR="008541DE">
      <w:t>1</w:t>
    </w:r>
    <w:r w:rsidR="00520E7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5E05A" w14:textId="77777777" w:rsidR="00BA2A2C" w:rsidRPr="00EE6F0B" w:rsidRDefault="00BA2A2C" w:rsidP="00EE6F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A5BF5" w14:textId="77777777" w:rsidR="00EE6F0B" w:rsidRPr="00EE6F0B" w:rsidRDefault="00EE6F0B" w:rsidP="00EE6F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1AE1F" w14:textId="4BF61E79" w:rsidR="00EE6F0B" w:rsidRPr="00EE6F0B" w:rsidRDefault="00EE6F0B" w:rsidP="00EE6F0B">
    <w:pPr>
      <w:pStyle w:val="Footer"/>
    </w:pPr>
    <w:r>
      <w:t xml:space="preserve">EESC-2025-03552-00-00-TCD-TRA (EN) </w:t>
    </w:r>
    <w:r>
      <w:fldChar w:fldCharType="begin"/>
    </w:r>
    <w:r>
      <w:instrText xml:space="preserve"> PAGE  \* Arabic  \* MERGEFORMAT </w:instrText>
    </w:r>
    <w:r>
      <w:fldChar w:fldCharType="separate"/>
    </w:r>
    <w:r w:rsidR="008541DE">
      <w:t>16</w:t>
    </w:r>
    <w:r>
      <w:fldChar w:fldCharType="end"/>
    </w:r>
    <w:r>
      <w:t>/</w:t>
    </w:r>
    <w:r w:rsidR="00520E78">
      <w:fldChar w:fldCharType="begin"/>
    </w:r>
    <w:r w:rsidR="00520E78">
      <w:instrText xml:space="preserve"> NUMPAGES </w:instrText>
    </w:r>
    <w:r w:rsidR="00520E78">
      <w:fldChar w:fldCharType="separate"/>
    </w:r>
    <w:r w:rsidR="008541DE">
      <w:t>16</w:t>
    </w:r>
    <w:r w:rsidR="00520E78">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AA5D8" w14:textId="77777777" w:rsidR="00EE6F0B" w:rsidRPr="00EE6F0B" w:rsidRDefault="00EE6F0B" w:rsidP="00EE6F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FB7AD" w14:textId="77777777" w:rsidR="007068C8" w:rsidRDefault="007068C8" w:rsidP="00B518C9">
      <w:pPr>
        <w:spacing w:line="240" w:lineRule="auto"/>
      </w:pPr>
      <w:r>
        <w:separator/>
      </w:r>
    </w:p>
  </w:footnote>
  <w:footnote w:type="continuationSeparator" w:id="0">
    <w:p w14:paraId="1C004BEA" w14:textId="77777777" w:rsidR="007068C8" w:rsidRDefault="007068C8" w:rsidP="00B518C9">
      <w:pPr>
        <w:spacing w:line="240" w:lineRule="auto"/>
      </w:pPr>
      <w:r>
        <w:continuationSeparator/>
      </w:r>
    </w:p>
  </w:footnote>
  <w:footnote w:id="1">
    <w:p w14:paraId="64A91302" w14:textId="77777777" w:rsidR="00E972B2" w:rsidRPr="005835DE" w:rsidRDefault="00E972B2" w:rsidP="00E972B2">
      <w:pPr>
        <w:keepLines/>
        <w:spacing w:after="60" w:line="240" w:lineRule="auto"/>
        <w:ind w:left="567" w:hanging="567"/>
        <w:rPr>
          <w:sz w:val="16"/>
          <w:szCs w:val="16"/>
        </w:rPr>
      </w:pPr>
      <w:r w:rsidRPr="005835DE">
        <w:rPr>
          <w:rStyle w:val="FootnoteReference"/>
        </w:rPr>
        <w:footnoteRef/>
      </w:r>
      <w:r w:rsidRPr="005835DE">
        <w:rPr>
          <w:sz w:val="16"/>
        </w:rPr>
        <w:tab/>
      </w:r>
      <w:hyperlink r:id="rId1">
        <w:r w:rsidRPr="005835DE">
          <w:rPr>
            <w:color w:val="0000FF"/>
            <w:sz w:val="16"/>
            <w:u w:val="single"/>
          </w:rPr>
          <w:t>https://eur-lex.europa.eu/legal-content/IT/TXT/?uri=legissum:4623532</w:t>
        </w:r>
      </w:hyperlink>
      <w:r w:rsidRPr="005835DE">
        <w:rPr>
          <w:sz w:val="16"/>
        </w:rPr>
        <w:t>.</w:t>
      </w:r>
    </w:p>
  </w:footnote>
  <w:footnote w:id="2">
    <w:p w14:paraId="454B3162" w14:textId="378F8E7D" w:rsidR="00E972B2" w:rsidRPr="005835DE" w:rsidRDefault="00E972B2" w:rsidP="00E972B2">
      <w:pPr>
        <w:keepLines/>
        <w:spacing w:after="60" w:line="240" w:lineRule="auto"/>
        <w:ind w:left="567" w:hanging="567"/>
      </w:pPr>
      <w:r w:rsidRPr="005835DE">
        <w:rPr>
          <w:rStyle w:val="FootnoteReference"/>
        </w:rPr>
        <w:footnoteRef/>
      </w:r>
      <w:r w:rsidRPr="005835DE">
        <w:rPr>
          <w:sz w:val="16"/>
        </w:rPr>
        <w:tab/>
      </w:r>
      <w:hyperlink r:id="rId2">
        <w:r w:rsidRPr="005835DE">
          <w:rPr>
            <w:color w:val="0000FF"/>
            <w:sz w:val="16"/>
            <w:u w:val="single"/>
          </w:rPr>
          <w:t>https://eur-lex.europa.eu/legal-content/IT/TXT/?uri=CELEX%3A52022XC093</w:t>
        </w:r>
        <w:r w:rsidR="00332E33" w:rsidRPr="005835DE">
          <w:rPr>
            <w:color w:val="0000FF"/>
            <w:sz w:val="16"/>
            <w:u w:val="single"/>
          </w:rPr>
          <w:t>0%</w:t>
        </w:r>
        <w:r w:rsidRPr="005835DE">
          <w:rPr>
            <w:color w:val="0000FF"/>
            <w:sz w:val="16"/>
            <w:u w:val="single"/>
          </w:rPr>
          <w:t>280</w:t>
        </w:r>
        <w:r w:rsidR="00332E33" w:rsidRPr="005835DE">
          <w:rPr>
            <w:color w:val="0000FF"/>
            <w:sz w:val="16"/>
            <w:u w:val="single"/>
          </w:rPr>
          <w:t>2%</w:t>
        </w:r>
        <w:r w:rsidRPr="005835DE">
          <w:rPr>
            <w:color w:val="0000FF"/>
            <w:sz w:val="16"/>
            <w:u w:val="single"/>
          </w:rPr>
          <w:t>29</w:t>
        </w:r>
      </w:hyperlink>
      <w:r w:rsidRPr="005835DE">
        <w:rPr>
          <w:sz w:val="16"/>
        </w:rPr>
        <w:t>.</w:t>
      </w:r>
    </w:p>
  </w:footnote>
  <w:footnote w:id="3">
    <w:p w14:paraId="70B24787" w14:textId="77777777" w:rsidR="00E972B2" w:rsidRPr="005835DE" w:rsidRDefault="00E972B2" w:rsidP="00E972B2">
      <w:pPr>
        <w:keepLines/>
        <w:spacing w:after="60" w:line="240" w:lineRule="auto"/>
        <w:ind w:left="567" w:hanging="567"/>
        <w:rPr>
          <w:color w:val="0000FF"/>
          <w:sz w:val="16"/>
          <w:szCs w:val="16"/>
        </w:rPr>
      </w:pPr>
      <w:r w:rsidRPr="005835DE">
        <w:rPr>
          <w:rStyle w:val="FootnoteReference"/>
        </w:rPr>
        <w:footnoteRef/>
      </w:r>
      <w:r w:rsidRPr="005835DE">
        <w:rPr>
          <w:sz w:val="16"/>
        </w:rPr>
        <w:tab/>
      </w:r>
      <w:hyperlink r:id="rId3">
        <w:r w:rsidRPr="005835DE">
          <w:rPr>
            <w:color w:val="0000FF"/>
            <w:sz w:val="16"/>
            <w:u w:val="single"/>
          </w:rPr>
          <w:t>https://digital-strategy.ec.europa.eu/it/library/recommendation-protection-safety-and-empowerment-journalists</w:t>
        </w:r>
      </w:hyperlink>
      <w:r w:rsidRPr="005835DE">
        <w:rPr>
          <w:sz w:val="16"/>
        </w:rPr>
        <w:t>.</w:t>
      </w:r>
    </w:p>
  </w:footnote>
  <w:footnote w:id="4">
    <w:p w14:paraId="026EF876" w14:textId="0B84FAFC" w:rsidR="00E972B2" w:rsidRPr="005835DE" w:rsidRDefault="00E972B2" w:rsidP="00E972B2">
      <w:pPr>
        <w:keepLines/>
        <w:spacing w:after="60" w:line="240" w:lineRule="auto"/>
        <w:ind w:left="567" w:hanging="567"/>
      </w:pPr>
      <w:r w:rsidRPr="005835DE">
        <w:rPr>
          <w:rStyle w:val="FootnoteReference"/>
        </w:rPr>
        <w:footnoteRef/>
      </w:r>
      <w:r w:rsidRPr="005835DE">
        <w:tab/>
      </w:r>
      <w:r w:rsidRPr="005835DE">
        <w:rPr>
          <w:sz w:val="16"/>
        </w:rPr>
        <w:t>GU C, C/2025/114, 10.</w:t>
      </w:r>
      <w:r w:rsidR="00332E33" w:rsidRPr="005835DE">
        <w:rPr>
          <w:sz w:val="16"/>
        </w:rPr>
        <w:t>1.2025</w:t>
      </w:r>
      <w:r w:rsidRPr="005835DE">
        <w:rPr>
          <w:sz w:val="16"/>
        </w:rPr>
        <w:t xml:space="preserve">, ELI: </w:t>
      </w:r>
      <w:hyperlink r:id="rId4" w:history="1">
        <w:r w:rsidRPr="005835DE">
          <w:rPr>
            <w:rStyle w:val="Hyperlink"/>
            <w:sz w:val="16"/>
          </w:rPr>
          <w:t>http://data.europa.eu/eli/C/2025/114/oj</w:t>
        </w:r>
      </w:hyperlink>
      <w:r w:rsidRPr="005835DE">
        <w:rPr>
          <w:sz w:val="16"/>
        </w:rPr>
        <w:t>.</w:t>
      </w:r>
    </w:p>
  </w:footnote>
  <w:footnote w:id="5">
    <w:p w14:paraId="01E2CCA5" w14:textId="73186334" w:rsidR="00836765" w:rsidRPr="005835DE" w:rsidRDefault="00836765" w:rsidP="00836765">
      <w:pPr>
        <w:pStyle w:val="FootnoteText"/>
      </w:pPr>
      <w:r w:rsidRPr="005835DE">
        <w:rPr>
          <w:rStyle w:val="FootnoteReference"/>
        </w:rPr>
        <w:footnoteRef/>
      </w:r>
      <w:r w:rsidRPr="005835DE">
        <w:tab/>
        <w:t xml:space="preserve">Parere d'iniziativa del CESE </w:t>
      </w:r>
      <w:r w:rsidR="00332E33" w:rsidRPr="005835DE">
        <w:t>sul tema</w:t>
      </w:r>
      <w:r w:rsidRPr="005835DE">
        <w:t xml:space="preserve"> </w:t>
      </w:r>
      <w:hyperlink r:id="rId5" w:anchor=":~:text=The%20only%20reliable%20way%20to%20preserve%20the%20rainforests%20is%20through" w:history="1">
        <w:r w:rsidRPr="005835DE">
          <w:rPr>
            <w:rStyle w:val="Hyperlink"/>
            <w:i/>
          </w:rPr>
          <w:t>Deforestazione della foresta amazzonica - impatto sui cambiamenti climatici e sull'ambiente globale; conseguenze per le imprese, i lavoratori e la popolazione</w:t>
        </w:r>
      </w:hyperlink>
      <w:r w:rsidRPr="005835DE">
        <w:t>, GU C, C/2024/6882, 28.1</w:t>
      </w:r>
      <w:r w:rsidR="00332E33" w:rsidRPr="005835DE">
        <w:t>1.2024</w:t>
      </w:r>
      <w:r w:rsidRPr="005835DE">
        <w:t>.</w:t>
      </w:r>
    </w:p>
  </w:footnote>
  <w:footnote w:id="6">
    <w:p w14:paraId="74D17928" w14:textId="1A98E1E8" w:rsidR="00836765" w:rsidRPr="005835DE" w:rsidRDefault="00836765" w:rsidP="00836765">
      <w:pPr>
        <w:pStyle w:val="FootnoteText"/>
      </w:pPr>
      <w:r w:rsidRPr="005835DE">
        <w:rPr>
          <w:rStyle w:val="FootnoteReference"/>
        </w:rPr>
        <w:footnoteRef/>
      </w:r>
      <w:r w:rsidRPr="005835DE">
        <w:tab/>
        <w:t xml:space="preserve">Parere del CESE </w:t>
      </w:r>
      <w:r w:rsidR="00332E33" w:rsidRPr="005835DE">
        <w:t>sul tema</w:t>
      </w:r>
      <w:r w:rsidRPr="005835DE">
        <w:t xml:space="preserve"> </w:t>
      </w:r>
      <w:hyperlink r:id="rId6" w:history="1">
        <w:r w:rsidRPr="005835DE">
          <w:rPr>
            <w:rStyle w:val="Hyperlink"/>
            <w:i/>
          </w:rPr>
          <w:t>Ridurre al minimo il rischio di deforestazione e degrado forestale associato a prodotti immessi sul mercato dell'UE</w:t>
        </w:r>
      </w:hyperlink>
      <w:r w:rsidRPr="005835DE">
        <w:t xml:space="preserve">, </w:t>
      </w:r>
      <w:hyperlink r:id="rId7" w:history="1">
        <w:r w:rsidRPr="005835DE">
          <w:rPr>
            <w:rStyle w:val="Hyperlink"/>
          </w:rPr>
          <w:t>GU C 275 del 18.</w:t>
        </w:r>
        <w:r w:rsidR="00332E33" w:rsidRPr="005835DE">
          <w:rPr>
            <w:rStyle w:val="Hyperlink"/>
          </w:rPr>
          <w:t>7.2022</w:t>
        </w:r>
      </w:hyperlink>
      <w:r w:rsidRPr="005835D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234A7" w14:textId="77777777" w:rsidR="00BA2A2C" w:rsidRPr="00EE6F0B" w:rsidRDefault="00BA2A2C" w:rsidP="00EE6F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3DE50" w14:textId="6A64B190" w:rsidR="00BA2A2C" w:rsidRPr="00EE6F0B" w:rsidRDefault="00BA2A2C" w:rsidP="00EE6F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B0F6F" w14:textId="77777777" w:rsidR="00BA2A2C" w:rsidRPr="00EE6F0B" w:rsidRDefault="00BA2A2C" w:rsidP="00EE6F0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AC11B" w14:textId="77777777" w:rsidR="00EE6F0B" w:rsidRPr="00EE6F0B" w:rsidRDefault="00EE6F0B" w:rsidP="00EE6F0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0CF56" w14:textId="041A1C85" w:rsidR="00EE6F0B" w:rsidRPr="00EE6F0B" w:rsidRDefault="00EE6F0B" w:rsidP="00EE6F0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F285E" w14:textId="77777777" w:rsidR="00EE6F0B" w:rsidRPr="00EE6F0B" w:rsidRDefault="00EE6F0B" w:rsidP="00EE6F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DDE088C8"/>
    <w:lvl w:ilvl="0">
      <w:numFmt w:val="decimal"/>
      <w:lvlText w:val="*"/>
      <w:lvlJc w:val="left"/>
    </w:lvl>
  </w:abstractNum>
  <w:abstractNum w:abstractNumId="2" w15:restartNumberingAfterBreak="0">
    <w:nsid w:val="01AD6BFB"/>
    <w:multiLevelType w:val="hybridMultilevel"/>
    <w:tmpl w:val="8DE8923A"/>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 w15:restartNumberingAfterBreak="0">
    <w:nsid w:val="0C6E7E92"/>
    <w:multiLevelType w:val="hybridMultilevel"/>
    <w:tmpl w:val="D852615C"/>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 w15:restartNumberingAfterBreak="0">
    <w:nsid w:val="12805E4A"/>
    <w:multiLevelType w:val="hybridMultilevel"/>
    <w:tmpl w:val="0E9A9FEC"/>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52A281C"/>
    <w:multiLevelType w:val="multilevel"/>
    <w:tmpl w:val="DC36A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596CA9"/>
    <w:multiLevelType w:val="hybridMultilevel"/>
    <w:tmpl w:val="A2A65726"/>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7" w15:restartNumberingAfterBreak="0">
    <w:nsid w:val="176B0C2D"/>
    <w:multiLevelType w:val="hybridMultilevel"/>
    <w:tmpl w:val="EA30BBB2"/>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20E64D01"/>
    <w:multiLevelType w:val="multilevel"/>
    <w:tmpl w:val="E362D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3E3335"/>
    <w:multiLevelType w:val="hybridMultilevel"/>
    <w:tmpl w:val="6742EDEA"/>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0" w15:restartNumberingAfterBreak="0">
    <w:nsid w:val="24187467"/>
    <w:multiLevelType w:val="hybridMultilevel"/>
    <w:tmpl w:val="73644BDA"/>
    <w:lvl w:ilvl="0" w:tplc="8E864B0C">
      <w:start w:val="1"/>
      <w:numFmt w:val="bullet"/>
      <w:lvlText w:val=""/>
      <w:lvlJc w:val="left"/>
      <w:pPr>
        <w:ind w:left="720" w:hanging="360"/>
      </w:pPr>
      <w:rPr>
        <w:rFonts w:ascii="Symbol" w:hAnsi="Symbol"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50909E3"/>
    <w:multiLevelType w:val="hybridMultilevel"/>
    <w:tmpl w:val="FC481F60"/>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2" w15:restartNumberingAfterBreak="0">
    <w:nsid w:val="26F77B86"/>
    <w:multiLevelType w:val="hybridMultilevel"/>
    <w:tmpl w:val="2D104712"/>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3" w15:restartNumberingAfterBreak="0">
    <w:nsid w:val="2AD155A9"/>
    <w:multiLevelType w:val="hybridMultilevel"/>
    <w:tmpl w:val="F09C53E4"/>
    <w:lvl w:ilvl="0" w:tplc="DDE088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CC0C48"/>
    <w:multiLevelType w:val="hybridMultilevel"/>
    <w:tmpl w:val="30EC54EA"/>
    <w:lvl w:ilvl="0" w:tplc="20000001">
      <w:start w:val="1"/>
      <w:numFmt w:val="bullet"/>
      <w:lvlText w:val=""/>
      <w:lvlJc w:val="left"/>
      <w:pPr>
        <w:ind w:left="720" w:hanging="360"/>
      </w:pPr>
      <w:rPr>
        <w:rFonts w:ascii="Symbol" w:hAnsi="Symbol" w:hint="default"/>
      </w:rPr>
    </w:lvl>
    <w:lvl w:ilvl="1" w:tplc="C7D4BED2">
      <w:start w:val="1"/>
      <w:numFmt w:val="lowerLetter"/>
      <w:lvlText w:val="%2."/>
      <w:lvlJc w:val="left"/>
      <w:pPr>
        <w:ind w:left="1440" w:hanging="360"/>
      </w:pPr>
    </w:lvl>
    <w:lvl w:ilvl="2" w:tplc="EDDA7C24">
      <w:start w:val="1"/>
      <w:numFmt w:val="lowerRoman"/>
      <w:lvlText w:val="%3."/>
      <w:lvlJc w:val="right"/>
      <w:pPr>
        <w:ind w:left="2160" w:hanging="180"/>
      </w:pPr>
    </w:lvl>
    <w:lvl w:ilvl="3" w:tplc="D6D8B25C">
      <w:start w:val="1"/>
      <w:numFmt w:val="decimal"/>
      <w:lvlText w:val="%4."/>
      <w:lvlJc w:val="left"/>
      <w:pPr>
        <w:ind w:left="2880" w:hanging="360"/>
      </w:pPr>
    </w:lvl>
    <w:lvl w:ilvl="4" w:tplc="15BC3358">
      <w:start w:val="1"/>
      <w:numFmt w:val="lowerLetter"/>
      <w:lvlText w:val="%5."/>
      <w:lvlJc w:val="left"/>
      <w:pPr>
        <w:ind w:left="3600" w:hanging="360"/>
      </w:pPr>
    </w:lvl>
    <w:lvl w:ilvl="5" w:tplc="286291C8">
      <w:start w:val="1"/>
      <w:numFmt w:val="lowerRoman"/>
      <w:lvlText w:val="%6."/>
      <w:lvlJc w:val="right"/>
      <w:pPr>
        <w:ind w:left="4320" w:hanging="180"/>
      </w:pPr>
    </w:lvl>
    <w:lvl w:ilvl="6" w:tplc="18BA1814">
      <w:start w:val="1"/>
      <w:numFmt w:val="decimal"/>
      <w:lvlText w:val="%7."/>
      <w:lvlJc w:val="left"/>
      <w:pPr>
        <w:ind w:left="5040" w:hanging="360"/>
      </w:pPr>
    </w:lvl>
    <w:lvl w:ilvl="7" w:tplc="288E5478">
      <w:start w:val="1"/>
      <w:numFmt w:val="lowerLetter"/>
      <w:lvlText w:val="%8."/>
      <w:lvlJc w:val="left"/>
      <w:pPr>
        <w:ind w:left="5760" w:hanging="360"/>
      </w:pPr>
    </w:lvl>
    <w:lvl w:ilvl="8" w:tplc="FE92EFCA">
      <w:start w:val="1"/>
      <w:numFmt w:val="lowerRoman"/>
      <w:lvlText w:val="%9."/>
      <w:lvlJc w:val="right"/>
      <w:pPr>
        <w:ind w:left="6480" w:hanging="180"/>
      </w:pPr>
    </w:lvl>
  </w:abstractNum>
  <w:abstractNum w:abstractNumId="15" w15:restartNumberingAfterBreak="0">
    <w:nsid w:val="3ACE296A"/>
    <w:multiLevelType w:val="hybridMultilevel"/>
    <w:tmpl w:val="474C91D2"/>
    <w:lvl w:ilvl="0" w:tplc="DDE088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277714"/>
    <w:multiLevelType w:val="multilevel"/>
    <w:tmpl w:val="CEC6278C"/>
    <w:lvl w:ilvl="0">
      <w:start w:val="1"/>
      <w:numFmt w:val="decimal"/>
      <w:lvlText w:val="%1."/>
      <w:legacy w:legacy="1" w:legacySpace="0" w:legacyIndent="0"/>
      <w:lvlJc w:val="left"/>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7" w15:restartNumberingAfterBreak="0">
    <w:nsid w:val="40BB0637"/>
    <w:multiLevelType w:val="multilevel"/>
    <w:tmpl w:val="D5C0BC5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5C78C1"/>
    <w:multiLevelType w:val="hybridMultilevel"/>
    <w:tmpl w:val="B11E6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327BE6"/>
    <w:multiLevelType w:val="hybridMultilevel"/>
    <w:tmpl w:val="8EA829E0"/>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3221321"/>
    <w:multiLevelType w:val="hybridMultilevel"/>
    <w:tmpl w:val="401829F8"/>
    <w:lvl w:ilvl="0" w:tplc="8E864B0C">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57C72E15"/>
    <w:multiLevelType w:val="hybridMultilevel"/>
    <w:tmpl w:val="49D4986E"/>
    <w:lvl w:ilvl="0" w:tplc="04090001">
      <w:start w:val="1"/>
      <w:numFmt w:val="bullet"/>
      <w:lvlText w:val=""/>
      <w:lvlJc w:val="left"/>
      <w:pPr>
        <w:ind w:left="720" w:hanging="360"/>
      </w:pPr>
      <w:rPr>
        <w:rFonts w:ascii="Symbol" w:hAnsi="Symbol" w:hint="default"/>
      </w:rPr>
    </w:lvl>
    <w:lvl w:ilvl="1" w:tplc="4394E770">
      <w:start w:val="1"/>
      <w:numFmt w:val="lowerLetter"/>
      <w:lvlText w:val="%2."/>
      <w:lvlJc w:val="left"/>
      <w:pPr>
        <w:ind w:left="1440" w:hanging="360"/>
      </w:pPr>
    </w:lvl>
    <w:lvl w:ilvl="2" w:tplc="48F2FBB0">
      <w:start w:val="1"/>
      <w:numFmt w:val="lowerRoman"/>
      <w:lvlText w:val="%3."/>
      <w:lvlJc w:val="right"/>
      <w:pPr>
        <w:ind w:left="2160" w:hanging="180"/>
      </w:pPr>
    </w:lvl>
    <w:lvl w:ilvl="3" w:tplc="194A9B02">
      <w:start w:val="1"/>
      <w:numFmt w:val="decimal"/>
      <w:lvlText w:val="%4."/>
      <w:lvlJc w:val="left"/>
      <w:pPr>
        <w:ind w:left="2880" w:hanging="360"/>
      </w:pPr>
    </w:lvl>
    <w:lvl w:ilvl="4" w:tplc="10E6AFD6">
      <w:start w:val="1"/>
      <w:numFmt w:val="lowerLetter"/>
      <w:lvlText w:val="%5."/>
      <w:lvlJc w:val="left"/>
      <w:pPr>
        <w:ind w:left="3600" w:hanging="360"/>
      </w:pPr>
    </w:lvl>
    <w:lvl w:ilvl="5" w:tplc="59546A76">
      <w:start w:val="1"/>
      <w:numFmt w:val="lowerRoman"/>
      <w:lvlText w:val="%6."/>
      <w:lvlJc w:val="right"/>
      <w:pPr>
        <w:ind w:left="4320" w:hanging="180"/>
      </w:pPr>
    </w:lvl>
    <w:lvl w:ilvl="6" w:tplc="B28879B6">
      <w:start w:val="1"/>
      <w:numFmt w:val="decimal"/>
      <w:lvlText w:val="%7."/>
      <w:lvlJc w:val="left"/>
      <w:pPr>
        <w:ind w:left="5040" w:hanging="360"/>
      </w:pPr>
    </w:lvl>
    <w:lvl w:ilvl="7" w:tplc="C930E540">
      <w:start w:val="1"/>
      <w:numFmt w:val="lowerLetter"/>
      <w:lvlText w:val="%8."/>
      <w:lvlJc w:val="left"/>
      <w:pPr>
        <w:ind w:left="5760" w:hanging="360"/>
      </w:pPr>
    </w:lvl>
    <w:lvl w:ilvl="8" w:tplc="766A47CC">
      <w:start w:val="1"/>
      <w:numFmt w:val="lowerRoman"/>
      <w:lvlText w:val="%9."/>
      <w:lvlJc w:val="right"/>
      <w:pPr>
        <w:ind w:left="6480" w:hanging="180"/>
      </w:pPr>
    </w:lvl>
  </w:abstractNum>
  <w:abstractNum w:abstractNumId="22" w15:restartNumberingAfterBreak="0">
    <w:nsid w:val="5E0A6BF8"/>
    <w:multiLevelType w:val="hybridMultilevel"/>
    <w:tmpl w:val="9A2AC15E"/>
    <w:lvl w:ilvl="0" w:tplc="8E864B0C">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5EB34897"/>
    <w:multiLevelType w:val="hybridMultilevel"/>
    <w:tmpl w:val="2DF20D56"/>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4" w15:restartNumberingAfterBreak="0">
    <w:nsid w:val="646E239B"/>
    <w:multiLevelType w:val="hybridMultilevel"/>
    <w:tmpl w:val="4378B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5F1DCB"/>
    <w:multiLevelType w:val="hybridMultilevel"/>
    <w:tmpl w:val="5F1059D2"/>
    <w:lvl w:ilvl="0" w:tplc="10000001">
      <w:start w:val="1"/>
      <w:numFmt w:val="bullet"/>
      <w:lvlText w:val=""/>
      <w:lvlJc w:val="left"/>
      <w:pPr>
        <w:ind w:left="1440" w:hanging="360"/>
      </w:pPr>
      <w:rPr>
        <w:rFonts w:ascii="Symbol" w:hAnsi="Symbo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26" w15:restartNumberingAfterBreak="0">
    <w:nsid w:val="69E014D1"/>
    <w:multiLevelType w:val="hybridMultilevel"/>
    <w:tmpl w:val="84DED000"/>
    <w:lvl w:ilvl="0" w:tplc="4D645226">
      <w:start w:val="1"/>
      <w:numFmt w:val="bullet"/>
      <w:lvlText w:val=""/>
      <w:lvlJc w:val="left"/>
      <w:pPr>
        <w:ind w:left="1070" w:hanging="360"/>
      </w:pPr>
      <w:rPr>
        <w:rFonts w:ascii="Symbol" w:hAnsi="Symbol" w:hint="default"/>
        <w:sz w:val="28"/>
        <w:szCs w:val="28"/>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7" w15:restartNumberingAfterBreak="0">
    <w:nsid w:val="6B3767B2"/>
    <w:multiLevelType w:val="hybridMultilevel"/>
    <w:tmpl w:val="CF9ADD5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8" w15:restartNumberingAfterBreak="0">
    <w:nsid w:val="6D051B82"/>
    <w:multiLevelType w:val="hybridMultilevel"/>
    <w:tmpl w:val="06A2BD0C"/>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9" w15:restartNumberingAfterBreak="0">
    <w:nsid w:val="6D790D12"/>
    <w:multiLevelType w:val="hybridMultilevel"/>
    <w:tmpl w:val="A63CD1A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72BC55E4"/>
    <w:multiLevelType w:val="multilevel"/>
    <w:tmpl w:val="3FF64D9A"/>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7D7BDC"/>
    <w:multiLevelType w:val="hybridMultilevel"/>
    <w:tmpl w:val="193433BE"/>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105596"/>
    <w:multiLevelType w:val="hybridMultilevel"/>
    <w:tmpl w:val="3730B994"/>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num w:numId="1">
    <w:abstractNumId w:val="0"/>
  </w:num>
  <w:num w:numId="2">
    <w:abstractNumId w:val="26"/>
  </w:num>
  <w:num w:numId="3">
    <w:abstractNumId w:val="31"/>
  </w:num>
  <w:num w:numId="4">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5">
    <w:abstractNumId w:val="27"/>
  </w:num>
  <w:num w:numId="6">
    <w:abstractNumId w:val="1"/>
    <w:lvlOverride w:ilvl="0">
      <w:lvl w:ilvl="0">
        <w:start w:val="1"/>
        <w:numFmt w:val="bullet"/>
        <w:lvlText w:val=""/>
        <w:lvlJc w:val="left"/>
        <w:pPr>
          <w:ind w:left="720" w:hanging="360"/>
        </w:pPr>
        <w:rPr>
          <w:rFonts w:ascii="Symbol" w:hAnsi="Symbol" w:hint="default"/>
          <w:color w:val="auto"/>
        </w:rPr>
      </w:lvl>
    </w:lvlOverride>
  </w:num>
  <w:num w:numId="7">
    <w:abstractNumId w:val="8"/>
  </w:num>
  <w:num w:numId="8">
    <w:abstractNumId w:val="5"/>
  </w:num>
  <w:num w:numId="9">
    <w:abstractNumId w:val="29"/>
  </w:num>
  <w:num w:numId="10">
    <w:abstractNumId w:val="13"/>
  </w:num>
  <w:num w:numId="11">
    <w:abstractNumId w:val="15"/>
  </w:num>
  <w:num w:numId="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24"/>
  </w:num>
  <w:num w:numId="15">
    <w:abstractNumId w:val="25"/>
  </w:num>
  <w:num w:numId="16">
    <w:abstractNumId w:val="1"/>
    <w:lvlOverride w:ilvl="0">
      <w:lvl w:ilvl="0">
        <w:numFmt w:val="bullet"/>
        <w:lvlText w:val=""/>
        <w:legacy w:legacy="1" w:legacySpace="0" w:legacyIndent="283"/>
        <w:lvlJc w:val="left"/>
        <w:pPr>
          <w:ind w:left="567" w:hanging="283"/>
        </w:pPr>
        <w:rPr>
          <w:rFonts w:ascii="Symbol" w:hAnsi="Symbol" w:hint="default"/>
          <w:color w:val="auto"/>
        </w:rPr>
      </w:lvl>
    </w:lvlOverride>
  </w:num>
  <w:num w:numId="17">
    <w:abstractNumId w:val="14"/>
  </w:num>
  <w:num w:numId="18">
    <w:abstractNumId w:val="7"/>
  </w:num>
  <w:num w:numId="19">
    <w:abstractNumId w:val="4"/>
  </w:num>
  <w:num w:numId="20">
    <w:abstractNumId w:val="16"/>
  </w:num>
  <w:num w:numId="21">
    <w:abstractNumId w:val="30"/>
  </w:num>
  <w:num w:numId="22">
    <w:abstractNumId w:val="12"/>
  </w:num>
  <w:num w:numId="23">
    <w:abstractNumId w:val="32"/>
  </w:num>
  <w:num w:numId="24">
    <w:abstractNumId w:val="28"/>
  </w:num>
  <w:num w:numId="25">
    <w:abstractNumId w:val="2"/>
  </w:num>
  <w:num w:numId="26">
    <w:abstractNumId w:val="17"/>
  </w:num>
  <w:num w:numId="27">
    <w:abstractNumId w:val="19"/>
  </w:num>
  <w:num w:numId="28">
    <w:abstractNumId w:val="20"/>
  </w:num>
  <w:num w:numId="29">
    <w:abstractNumId w:val="3"/>
  </w:num>
  <w:num w:numId="30">
    <w:abstractNumId w:val="10"/>
  </w:num>
  <w:num w:numId="31">
    <w:abstractNumId w:val="22"/>
  </w:num>
  <w:num w:numId="32">
    <w:abstractNumId w:val="9"/>
  </w:num>
  <w:num w:numId="33">
    <w:abstractNumId w:val="6"/>
  </w:num>
  <w:num w:numId="34">
    <w:abstractNumId w:val="23"/>
  </w:num>
  <w:num w:numId="35">
    <w:abstractNumId w:val="11"/>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AC0"/>
    <w:rsid w:val="00007A3B"/>
    <w:rsid w:val="00010A4D"/>
    <w:rsid w:val="000122F3"/>
    <w:rsid w:val="00034990"/>
    <w:rsid w:val="0005334D"/>
    <w:rsid w:val="00054433"/>
    <w:rsid w:val="00054C58"/>
    <w:rsid w:val="00056F0F"/>
    <w:rsid w:val="00063DFF"/>
    <w:rsid w:val="00085AF6"/>
    <w:rsid w:val="000A1597"/>
    <w:rsid w:val="000C7C8B"/>
    <w:rsid w:val="000D394D"/>
    <w:rsid w:val="000E7346"/>
    <w:rsid w:val="001307DF"/>
    <w:rsid w:val="00145DF7"/>
    <w:rsid w:val="00194E7D"/>
    <w:rsid w:val="001A7442"/>
    <w:rsid w:val="001D4615"/>
    <w:rsid w:val="001E391D"/>
    <w:rsid w:val="00200153"/>
    <w:rsid w:val="00224116"/>
    <w:rsid w:val="00237C67"/>
    <w:rsid w:val="00271662"/>
    <w:rsid w:val="002A5636"/>
    <w:rsid w:val="002B0636"/>
    <w:rsid w:val="002B5AEF"/>
    <w:rsid w:val="002B7981"/>
    <w:rsid w:val="002D3663"/>
    <w:rsid w:val="00302A41"/>
    <w:rsid w:val="003066BE"/>
    <w:rsid w:val="00317075"/>
    <w:rsid w:val="003227CC"/>
    <w:rsid w:val="003236B4"/>
    <w:rsid w:val="00326313"/>
    <w:rsid w:val="00332E33"/>
    <w:rsid w:val="003361CB"/>
    <w:rsid w:val="00340927"/>
    <w:rsid w:val="00366C6A"/>
    <w:rsid w:val="00381A92"/>
    <w:rsid w:val="00384191"/>
    <w:rsid w:val="003922CE"/>
    <w:rsid w:val="00395794"/>
    <w:rsid w:val="003B64AB"/>
    <w:rsid w:val="003C16C3"/>
    <w:rsid w:val="003D4EDF"/>
    <w:rsid w:val="003F190C"/>
    <w:rsid w:val="003F28F6"/>
    <w:rsid w:val="003F326D"/>
    <w:rsid w:val="003F79EF"/>
    <w:rsid w:val="0040402B"/>
    <w:rsid w:val="0043191A"/>
    <w:rsid w:val="00440FDE"/>
    <w:rsid w:val="00446882"/>
    <w:rsid w:val="004503DC"/>
    <w:rsid w:val="00463600"/>
    <w:rsid w:val="00465162"/>
    <w:rsid w:val="004A5CD7"/>
    <w:rsid w:val="004A6CE5"/>
    <w:rsid w:val="004D7AC0"/>
    <w:rsid w:val="004E64BE"/>
    <w:rsid w:val="00505C80"/>
    <w:rsid w:val="00515DDF"/>
    <w:rsid w:val="00520E78"/>
    <w:rsid w:val="00532089"/>
    <w:rsid w:val="00537F29"/>
    <w:rsid w:val="00552363"/>
    <w:rsid w:val="00556EC8"/>
    <w:rsid w:val="005650A9"/>
    <w:rsid w:val="005835DE"/>
    <w:rsid w:val="00586B4B"/>
    <w:rsid w:val="00591A62"/>
    <w:rsid w:val="00593110"/>
    <w:rsid w:val="005A0BDA"/>
    <w:rsid w:val="005A2512"/>
    <w:rsid w:val="005B225E"/>
    <w:rsid w:val="005B6DD4"/>
    <w:rsid w:val="005B6F6D"/>
    <w:rsid w:val="005E7651"/>
    <w:rsid w:val="00601DF4"/>
    <w:rsid w:val="006028E5"/>
    <w:rsid w:val="00612898"/>
    <w:rsid w:val="00625CA3"/>
    <w:rsid w:val="00631077"/>
    <w:rsid w:val="00635AF7"/>
    <w:rsid w:val="00641262"/>
    <w:rsid w:val="006559C7"/>
    <w:rsid w:val="00665929"/>
    <w:rsid w:val="00667D18"/>
    <w:rsid w:val="00673B8C"/>
    <w:rsid w:val="0068013D"/>
    <w:rsid w:val="006836FC"/>
    <w:rsid w:val="00685A3A"/>
    <w:rsid w:val="006D249E"/>
    <w:rsid w:val="006D2C8A"/>
    <w:rsid w:val="006D2D64"/>
    <w:rsid w:val="006E6F14"/>
    <w:rsid w:val="006F321D"/>
    <w:rsid w:val="007068C8"/>
    <w:rsid w:val="00707689"/>
    <w:rsid w:val="0072769B"/>
    <w:rsid w:val="00734AF4"/>
    <w:rsid w:val="00740A23"/>
    <w:rsid w:val="007417EF"/>
    <w:rsid w:val="00744D76"/>
    <w:rsid w:val="00754027"/>
    <w:rsid w:val="00766B1A"/>
    <w:rsid w:val="0076787A"/>
    <w:rsid w:val="007B245D"/>
    <w:rsid w:val="007B326F"/>
    <w:rsid w:val="007F5784"/>
    <w:rsid w:val="00802750"/>
    <w:rsid w:val="00803D75"/>
    <w:rsid w:val="0080647A"/>
    <w:rsid w:val="00811D4F"/>
    <w:rsid w:val="00836765"/>
    <w:rsid w:val="00845F24"/>
    <w:rsid w:val="008541DE"/>
    <w:rsid w:val="00871818"/>
    <w:rsid w:val="0087455D"/>
    <w:rsid w:val="0088219D"/>
    <w:rsid w:val="0088325A"/>
    <w:rsid w:val="00896BC8"/>
    <w:rsid w:val="008A27AD"/>
    <w:rsid w:val="008A6059"/>
    <w:rsid w:val="008C414B"/>
    <w:rsid w:val="008D0052"/>
    <w:rsid w:val="009041AE"/>
    <w:rsid w:val="00906676"/>
    <w:rsid w:val="00926A3C"/>
    <w:rsid w:val="00946B15"/>
    <w:rsid w:val="009679E7"/>
    <w:rsid w:val="00973F68"/>
    <w:rsid w:val="009E1915"/>
    <w:rsid w:val="009E4148"/>
    <w:rsid w:val="009F1AE3"/>
    <w:rsid w:val="009F1D56"/>
    <w:rsid w:val="00A1783E"/>
    <w:rsid w:val="00A20E9D"/>
    <w:rsid w:val="00A23E40"/>
    <w:rsid w:val="00A272B2"/>
    <w:rsid w:val="00A27BD2"/>
    <w:rsid w:val="00A44608"/>
    <w:rsid w:val="00A50553"/>
    <w:rsid w:val="00A51688"/>
    <w:rsid w:val="00A8344C"/>
    <w:rsid w:val="00A841F3"/>
    <w:rsid w:val="00A96C92"/>
    <w:rsid w:val="00AA61BE"/>
    <w:rsid w:val="00B203DA"/>
    <w:rsid w:val="00B3176C"/>
    <w:rsid w:val="00B4650B"/>
    <w:rsid w:val="00B518C9"/>
    <w:rsid w:val="00B730AD"/>
    <w:rsid w:val="00B8543B"/>
    <w:rsid w:val="00B913E0"/>
    <w:rsid w:val="00B94F6D"/>
    <w:rsid w:val="00BA2A2C"/>
    <w:rsid w:val="00BC676C"/>
    <w:rsid w:val="00BE54B3"/>
    <w:rsid w:val="00BF235F"/>
    <w:rsid w:val="00C008B4"/>
    <w:rsid w:val="00C04670"/>
    <w:rsid w:val="00C10402"/>
    <w:rsid w:val="00C1207D"/>
    <w:rsid w:val="00C17ABD"/>
    <w:rsid w:val="00C2078A"/>
    <w:rsid w:val="00C24C34"/>
    <w:rsid w:val="00C26C67"/>
    <w:rsid w:val="00C41A4D"/>
    <w:rsid w:val="00C61F36"/>
    <w:rsid w:val="00C62A6C"/>
    <w:rsid w:val="00C7741D"/>
    <w:rsid w:val="00C821A5"/>
    <w:rsid w:val="00C82E34"/>
    <w:rsid w:val="00C913CA"/>
    <w:rsid w:val="00CC18D0"/>
    <w:rsid w:val="00D07777"/>
    <w:rsid w:val="00D40BB6"/>
    <w:rsid w:val="00D43613"/>
    <w:rsid w:val="00D52579"/>
    <w:rsid w:val="00D6499D"/>
    <w:rsid w:val="00D7076A"/>
    <w:rsid w:val="00D74212"/>
    <w:rsid w:val="00D81F5E"/>
    <w:rsid w:val="00D92269"/>
    <w:rsid w:val="00DB1B79"/>
    <w:rsid w:val="00DE176A"/>
    <w:rsid w:val="00DF03F8"/>
    <w:rsid w:val="00E00A6B"/>
    <w:rsid w:val="00E1278A"/>
    <w:rsid w:val="00E13363"/>
    <w:rsid w:val="00E22D43"/>
    <w:rsid w:val="00E61DB8"/>
    <w:rsid w:val="00E77899"/>
    <w:rsid w:val="00E82D3E"/>
    <w:rsid w:val="00E95CBE"/>
    <w:rsid w:val="00E972B2"/>
    <w:rsid w:val="00EA023B"/>
    <w:rsid w:val="00EB462E"/>
    <w:rsid w:val="00EB4962"/>
    <w:rsid w:val="00ED76AC"/>
    <w:rsid w:val="00EE6F0B"/>
    <w:rsid w:val="00EF2BEB"/>
    <w:rsid w:val="00F00B42"/>
    <w:rsid w:val="00F104CA"/>
    <w:rsid w:val="00F21CFE"/>
    <w:rsid w:val="00F2608E"/>
    <w:rsid w:val="00F26C84"/>
    <w:rsid w:val="00F41BE1"/>
    <w:rsid w:val="00F65006"/>
    <w:rsid w:val="00F733BE"/>
    <w:rsid w:val="00F73CD8"/>
    <w:rsid w:val="00F7508A"/>
    <w:rsid w:val="00F83C17"/>
    <w:rsid w:val="00F96D7F"/>
    <w:rsid w:val="00FC43EF"/>
    <w:rsid w:val="00FC456F"/>
    <w:rsid w:val="00FE5F71"/>
    <w:rsid w:val="00FF3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2DD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ind w:left="567" w:hanging="567"/>
      <w:outlineLvl w:val="0"/>
    </w:pPr>
    <w:rPr>
      <w:kern w:val="28"/>
    </w:rPr>
  </w:style>
  <w:style w:type="paragraph" w:styleId="Heading2">
    <w:name w:val="heading 2"/>
    <w:basedOn w:val="Normal"/>
    <w:next w:val="Normal"/>
    <w:link w:val="Heading2Char"/>
    <w:qFormat/>
    <w:rsid w:val="004D7AC0"/>
    <w:pPr>
      <w:numPr>
        <w:ilvl w:val="1"/>
        <w:numId w:val="1"/>
      </w:numPr>
      <w:ind w:left="567" w:hanging="567"/>
      <w:outlineLvl w:val="1"/>
    </w:p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aliases w:val="Footnote symbol"/>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4D7AC0"/>
    <w:pPr>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table" w:customStyle="1" w:styleId="TableGrid1">
    <w:name w:val="Table Grid1"/>
    <w:basedOn w:val="TableNormal"/>
    <w:next w:val="TableGrid"/>
    <w:rsid w:val="006128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82E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972B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8D00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BC67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0533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B854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4651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8A60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685A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685A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8367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0122F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237C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C913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4503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ED76A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9F1AE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A27AD"/>
    <w:pPr>
      <w:spacing w:after="0" w:line="240" w:lineRule="auto"/>
    </w:pPr>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056F0F"/>
    <w:rPr>
      <w:color w:val="605E5C"/>
      <w:shd w:val="clear" w:color="auto" w:fill="E1DFDD"/>
    </w:rPr>
  </w:style>
  <w:style w:type="table" w:customStyle="1" w:styleId="TableGrid19">
    <w:name w:val="Table Grid19"/>
    <w:basedOn w:val="TableNormal"/>
    <w:next w:val="TableGrid"/>
    <w:rsid w:val="00CC18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41D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1DE"/>
    <w:rPr>
      <w:rFonts w:ascii="Segoe UI" w:eastAsia="Times New Roman" w:hAnsi="Segoe UI" w:cs="Segoe UI"/>
      <w:sz w:val="18"/>
      <w:szCs w:val="18"/>
    </w:rPr>
  </w:style>
  <w:style w:type="paragraph" w:styleId="TOC2">
    <w:name w:val="toc 2"/>
    <w:basedOn w:val="Normal"/>
    <w:next w:val="Normal"/>
    <w:autoRedefine/>
    <w:uiPriority w:val="39"/>
    <w:unhideWhenUsed/>
    <w:rsid w:val="00F00B42"/>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eader" Target="header3.xml"/><Relationship Id="rId26" Type="http://schemas.openxmlformats.org/officeDocument/2006/relationships/hyperlink" Target="https://www.eesc.europa.eu/it/our-work/opinions-information-reports/opinions/agoraeu-and-justice-programmes" TargetMode="External"/><Relationship Id="rId39" Type="http://schemas.openxmlformats.org/officeDocument/2006/relationships/hyperlink" Target="mailto:Silvia.Staffa@eesc.europa.eu" TargetMode="External"/><Relationship Id="rId21" Type="http://schemas.openxmlformats.org/officeDocument/2006/relationships/hyperlink" Target="mailto:Georgios.Meleas@eesc.europa.eu" TargetMode="External"/><Relationship Id="rId34" Type="http://schemas.openxmlformats.org/officeDocument/2006/relationships/hyperlink" Target="https://www.eesc.europa.eu/it/our-work/opinions-information-reports/opinions/single-market-strategy" TargetMode="External"/><Relationship Id="rId42" Type="http://schemas.openxmlformats.org/officeDocument/2006/relationships/hyperlink" Target="https://www.eesc.europa.eu/it/our-work/opinions-information-reports/opinions/amendment-deforestation-regulation-eu-20231115" TargetMode="External"/><Relationship Id="rId47" Type="http://schemas.openxmlformats.org/officeDocument/2006/relationships/hyperlink" Target="https://www.eesc.europa.eu/it/our-work/opinions-information-reports/opinions/global-europe-multiannual-financial-framework-proposal" TargetMode="External"/><Relationship Id="rId50" Type="http://schemas.openxmlformats.org/officeDocument/2006/relationships/hyperlink" Target="mailto:Katarina.Albrechtova@eesc.europa.eu" TargetMode="External"/><Relationship Id="rId55" Type="http://schemas.openxmlformats.org/officeDocument/2006/relationships/header" Target="head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eesc.europa.eu/it/our-work/opinions-information-reports/opinions/implementation-eu-macro-regional-strategies-5th-report" TargetMode="External"/><Relationship Id="rId29" Type="http://schemas.openxmlformats.org/officeDocument/2006/relationships/hyperlink" Target="https://eur-lex.europa.eu/eli/C/2023/874/oj" TargetMode="External"/><Relationship Id="rId41" Type="http://schemas.openxmlformats.org/officeDocument/2006/relationships/hyperlink" Target="mailto:Annalisa.Tessarolo@eesc.europa.eu" TargetMode="External"/><Relationship Id="rId54" Type="http://schemas.openxmlformats.org/officeDocument/2006/relationships/hyperlink" Target="mailto:Adam.Dorywalski@eesc.europa.eu"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eesc.europa.eu/it/our-work/opinions-information-reports/opinions/labour-rights-journalists-and-media-professionals-safeguard-independence-and-truthful-information" TargetMode="External"/><Relationship Id="rId32" Type="http://schemas.openxmlformats.org/officeDocument/2006/relationships/hyperlink" Target="https://www.eesc.europa.eu/it/our-work/opinions-information-reports/opinions/nuclear-illustrative-programme-1" TargetMode="External"/><Relationship Id="rId37" Type="http://schemas.openxmlformats.org/officeDocument/2006/relationships/hyperlink" Target="mailto:Silvia.Staffa@eesc.europa.eu" TargetMode="External"/><Relationship Id="rId40" Type="http://schemas.openxmlformats.org/officeDocument/2006/relationships/hyperlink" Target="https://www.eesc.europa.eu/it/our-work/opinions-information-reports/opinions/review-european-public-procurement-legal-framework" TargetMode="External"/><Relationship Id="rId45" Type="http://schemas.openxmlformats.org/officeDocument/2006/relationships/hyperlink" Target="mailto:Arturo.Iniguez@eesc.europa.eu" TargetMode="External"/><Relationship Id="rId53" Type="http://schemas.openxmlformats.org/officeDocument/2006/relationships/hyperlink" Target="https://www.eesc.europa.eu/it/our-work/opinions-information-reports/opinions/industrial-cooperatives-tool-challenge-inclusive-and-sustainable-competitiveness" TargetMode="External"/><Relationship Id="rId58"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Georgios.Meleas@eesc.europa.eu" TargetMode="External"/><Relationship Id="rId28" Type="http://schemas.openxmlformats.org/officeDocument/2006/relationships/hyperlink" Target="https://www.eesc.europa.eu/it/our-work/opinions-information-reports/opinions/co2-emission-class-heavy-duty-vehicles-trailers-0" TargetMode="External"/><Relationship Id="rId36" Type="http://schemas.openxmlformats.org/officeDocument/2006/relationships/hyperlink" Target="https://www.eesc.europa.eu/it/our-work/opinions-information-reports/opinions/report-competition-policy-2024" TargetMode="External"/><Relationship Id="rId49" Type="http://schemas.openxmlformats.org/officeDocument/2006/relationships/hyperlink" Target="https://www.eesc.europa.eu/it/our-work/opinions-information-reports/opinions/predictable-and-common-european-way-forward-ukrainians-eu" TargetMode="External"/><Relationship Id="rId57" Type="http://schemas.openxmlformats.org/officeDocument/2006/relationships/footer" Target="footer4.xml"/><Relationship Id="rId61"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mailto:GiorgiaAndrea.Bordignon@eesc.europa.eu" TargetMode="External"/><Relationship Id="rId44" Type="http://schemas.openxmlformats.org/officeDocument/2006/relationships/hyperlink" Target="https://www.eesc.europa.eu/it/our-work/opinions-information-reports/opinions/revision-union-civil-protection-mechanism" TargetMode="External"/><Relationship Id="rId52" Type="http://schemas.openxmlformats.org/officeDocument/2006/relationships/hyperlink" Target="mailto:Adam.Dorywalski@eesc.europa.eu" TargetMode="External"/><Relationship Id="rId60"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eesc.europa.eu/it/our-work/opinions-information-reports/opinions/establishing-european-fund-regional-development-including-european-territorial-cooperation-interreg-and-cohesion-fund" TargetMode="External"/><Relationship Id="rId27" Type="http://schemas.openxmlformats.org/officeDocument/2006/relationships/hyperlink" Target="mailto:Alessia.Cova@eesc.europa.eu" TargetMode="External"/><Relationship Id="rId30" Type="http://schemas.openxmlformats.org/officeDocument/2006/relationships/hyperlink" Target="mailto:Maja.Radman@eesc.europa.eu" TargetMode="External"/><Relationship Id="rId35" Type="http://schemas.openxmlformats.org/officeDocument/2006/relationships/hyperlink" Target="mailto:Annalisa.Tessarolo@eesc.europa.eu" TargetMode="External"/><Relationship Id="rId43" Type="http://schemas.openxmlformats.org/officeDocument/2006/relationships/hyperlink" Target="mailto:Martine.Delanoy@eesc.europa.eu" TargetMode="External"/><Relationship Id="rId48" Type="http://schemas.openxmlformats.org/officeDocument/2006/relationships/hyperlink" Target="mailto:Daniele.Vitali@eesc.europa.eu" TargetMode="External"/><Relationship Id="rId56" Type="http://schemas.openxmlformats.org/officeDocument/2006/relationships/header" Target="header5.xml"/><Relationship Id="rId8" Type="http://schemas.openxmlformats.org/officeDocument/2006/relationships/webSettings" Target="webSettings.xml"/><Relationship Id="rId51" Type="http://schemas.openxmlformats.org/officeDocument/2006/relationships/hyperlink" Target="https://www.eesc.europa.eu/it/our-work/opinions-information-reports/opinions/facilitating-potential-permanent-materials-eu-circular-economy" TargetMode="External"/><Relationship Id="rId3" Type="http://schemas.openxmlformats.org/officeDocument/2006/relationships/customXml" Target="../customXml/item3.xml"/><Relationship Id="rId12" Type="http://schemas.openxmlformats.org/officeDocument/2006/relationships/hyperlink" Target="https://www.eesc.europa.eu/it/our-work/opinions-information-reports/plenary-session-summaries" TargetMode="External"/><Relationship Id="rId17" Type="http://schemas.openxmlformats.org/officeDocument/2006/relationships/footer" Target="footer2.xml"/><Relationship Id="rId25" Type="http://schemas.openxmlformats.org/officeDocument/2006/relationships/hyperlink" Target="mailto:june.bedaton@eesc.europa.eu" TargetMode="External"/><Relationship Id="rId33" Type="http://schemas.openxmlformats.org/officeDocument/2006/relationships/hyperlink" Target="mailto:Albert.Precup@eesc.europa.eu" TargetMode="External"/><Relationship Id="rId38" Type="http://schemas.openxmlformats.org/officeDocument/2006/relationships/hyperlink" Target="https://www.eesc.europa.eu/it/our-work/opinions-information-reports/opinions/competitiveness-fund" TargetMode="External"/><Relationship Id="rId46" Type="http://schemas.openxmlformats.org/officeDocument/2006/relationships/hyperlink" Target="mailto:Marie-Laurence.Drillon@eesc.europa.eu" TargetMode="External"/><Relationship Id="rId59" Type="http://schemas.openxmlformats.org/officeDocument/2006/relationships/header" Target="header6.xml"/></Relationships>
</file>

<file path=word/_rels/footnotes.xml.rels><?xml version="1.0" encoding="UTF-8" standalone="yes"?>
<Relationships xmlns="http://schemas.openxmlformats.org/package/2006/relationships"><Relationship Id="rId3" Type="http://schemas.openxmlformats.org/officeDocument/2006/relationships/hyperlink" Target="https://digital-strategy.ec.europa.eu/it/library/recommendation-protection-safety-and-empowerment-journalists" TargetMode="External"/><Relationship Id="rId7" Type="http://schemas.openxmlformats.org/officeDocument/2006/relationships/hyperlink" Target="https://eur-lex.europa.eu/legal-content/IT/TXT/?uri=uriserv%3AOJ.C_.2022.275.01.0088.01.ITA&amp;toc=OJ%3AC%3A2022%3A275%3ATOC" TargetMode="External"/><Relationship Id="rId2" Type="http://schemas.openxmlformats.org/officeDocument/2006/relationships/hyperlink" Target="https://eur-lex.europa.eu/legal-content/IT/TXT/?uri=CELEX%3A52022XC0930%2802%29" TargetMode="External"/><Relationship Id="rId1" Type="http://schemas.openxmlformats.org/officeDocument/2006/relationships/hyperlink" Target="https://eur-lex.europa.eu/legal-content/IT/TXT/?uri=LEGISSUM:4623532" TargetMode="External"/><Relationship Id="rId6" Type="http://schemas.openxmlformats.org/officeDocument/2006/relationships/hyperlink" Target="https://www.eesc.europa.eu/it/our-work/opinions-information-reports/opinions/minimising-risk-deforestation-and-forest-degradation-associated-products-placed-eu-market" TargetMode="External"/><Relationship Id="rId5" Type="http://schemas.openxmlformats.org/officeDocument/2006/relationships/hyperlink" Target="https://www.eesc.europa.eu/it/our-work/opinions-information-reports/opinions/deforestation-amazon-rainforest-impact-climate-change-and-global-environment-consequences-companies-workers-and" TargetMode="External"/><Relationship Id="rId4" Type="http://schemas.openxmlformats.org/officeDocument/2006/relationships/hyperlink" Target="http://data.europa.eu/eli/C/2025/114/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B192796EE9568A4C8E77C6EF5F22B614" ma:contentTypeVersion="4" ma:contentTypeDescription="Defines the documents for Document Manager V2" ma:contentTypeScope="" ma:versionID="b9faea45a7e02bbb816d4162149d5e49">
  <xsd:schema xmlns:xsd="http://www.w3.org/2001/XMLSchema" xmlns:xs="http://www.w3.org/2001/XMLSchema" xmlns:p="http://schemas.microsoft.com/office/2006/metadata/properties" xmlns:ns2="1a33af13-4045-4f88-9d7b-618e30f79918" xmlns:ns3="http://schemas.microsoft.com/sharepoint/v3/fields" xmlns:ns4="27994258-8564-426c-a7a1-d6286d62992e" targetNamespace="http://schemas.microsoft.com/office/2006/metadata/properties" ma:root="true" ma:fieldsID="af51dee0f9c2d9a0a51b5858d1a4441d" ns2:_="" ns3:_="" ns4:_="">
    <xsd:import namespace="1a33af13-4045-4f88-9d7b-618e30f79918"/>
    <xsd:import namespace="http://schemas.microsoft.com/sharepoint/v3/fields"/>
    <xsd:import namespace="27994258-8564-426c-a7a1-d6286d62992e"/>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994258-8564-426c-a7a1-d6286d62992e"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A6WAAD5KZT2Q-284857674-6400</_dlc_DocId>
    <_dlc_DocIdUrl xmlns="1a33af13-4045-4f88-9d7b-618e30f79918">
      <Url>http://dm/eesc/2025/_layouts/15/DocIdRedir.aspx?ID=A6WAAD5KZT2Q-284857674-6400</Url>
      <Description>A6WAAD5KZT2Q-284857674-6400</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2025-12-19T12:00:00+00:00</ProductionDate>
    <DocumentNumber xmlns="27994258-8564-426c-a7a1-d6286d62992e">3552</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TaxCatchAll xmlns="1a33af13-4045-4f88-9d7b-618e30f79918">
      <Value>67</Value>
      <Value>50</Value>
      <Value>47</Value>
      <Value>46</Value>
      <Value>42</Value>
      <Value>41</Value>
      <Value>40</Value>
      <Value>39</Value>
      <Value>37</Value>
      <Value>36</Value>
      <Value>35</Value>
      <Value>34</Value>
      <Value>33</Value>
      <Value>31</Value>
      <Value>30</Value>
      <Value>29</Value>
      <Value>28</Value>
      <Value>27</Value>
      <Value>24</Value>
      <Value>23</Value>
      <Value>19</Value>
      <Value>16</Value>
      <Value>15</Value>
      <Value>13</Value>
      <Value>12</Value>
      <Value>8</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IT</TermName>
          <TermId xmlns="http://schemas.microsoft.com/office/infopath/2007/PartnerControls">0774613c-01ed-4e5d-a25d-11d2388de825</TermId>
        </TermInfo>
      </Terms>
    </DocumentLanguage_0>
    <MeetingDate xmlns="1a33af13-4045-4f88-9d7b-618e30f79918">2026-01-21T12:00:00+00:00</MeetingDat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297819</FicheNumber>
    <OriginalSender xmlns="1a33af13-4045-4f88-9d7b-618e30f79918">
      <UserInfo>
        <DisplayName>Ferro Federica</DisplayName>
        <AccountId>1999</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27994258-8564-426c-a7a1-d6286d62992e" xsi:nil="true"/>
    <DossierName_0 xmlns="http://schemas.microsoft.com/sharepoint/v3/fields">
      <Terms xmlns="http://schemas.microsoft.com/office/infopath/2007/PartnerControls"/>
    </DossierName_0>
    <DocumentVersion xmlns="1a33af13-4045-4f88-9d7b-618e30f79918">0</DocumentVersion>
  </documentManagement>
</p:properties>
</file>

<file path=customXml/itemProps1.xml><?xml version="1.0" encoding="utf-8"?>
<ds:datastoreItem xmlns:ds="http://schemas.openxmlformats.org/officeDocument/2006/customXml" ds:itemID="{D13BCF6B-584B-4868-ABBD-A4D25BF7C52C}"/>
</file>

<file path=customXml/itemProps2.xml><?xml version="1.0" encoding="utf-8"?>
<ds:datastoreItem xmlns:ds="http://schemas.openxmlformats.org/officeDocument/2006/customXml" ds:itemID="{A5982D98-2B49-4D8D-9E82-3A196D630916}">
  <ds:schemaRefs>
    <ds:schemaRef ds:uri="http://schemas.microsoft.com/sharepoint/v3/contenttype/forms"/>
  </ds:schemaRefs>
</ds:datastoreItem>
</file>

<file path=customXml/itemProps3.xml><?xml version="1.0" encoding="utf-8"?>
<ds:datastoreItem xmlns:ds="http://schemas.openxmlformats.org/officeDocument/2006/customXml" ds:itemID="{4550B7D9-B944-4719-A93C-2F495E041519}">
  <ds:schemaRefs>
    <ds:schemaRef ds:uri="http://schemas.microsoft.com/sharepoint/events"/>
  </ds:schemaRefs>
</ds:datastoreItem>
</file>

<file path=customXml/itemProps4.xml><?xml version="1.0" encoding="utf-8"?>
<ds:datastoreItem xmlns:ds="http://schemas.openxmlformats.org/officeDocument/2006/customXml" ds:itemID="{FA5B0471-EE33-4BA9-BB89-D492EFC236E6}">
  <ds:schemaRefs>
    <ds:schemaRef ds:uri="http://schemas.microsoft.com/office/2006/metadata/properties"/>
    <ds:schemaRef ds:uri="http://schemas.microsoft.com/office/infopath/2007/PartnerControls"/>
    <ds:schemaRef ds:uri="bdd5dab9-bfdd-4431-a245-30f3c6677de9"/>
    <ds:schemaRef ds:uri="http://schemas.microsoft.com/sharepoint/v3/fields"/>
    <ds:schemaRef ds:uri="eb21defb-1074-42ca-8d3e-c3f375910b4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7390</Words>
  <Characters>42129</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Summary of opinions - EESC new model</vt:lpstr>
    </vt:vector>
  </TitlesOfParts>
  <Manager/>
  <Company/>
  <LinksUpToDate>false</LinksUpToDate>
  <CharactersWithSpaces>49421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Sintesi dei pareri - 601ª sessione plenaria - dicembre 2025</dc:title>
  <dc:subject>ADMIN</dc:subject>
  <dc:creator/>
  <cp:keywords>COR-EESC-2022-02583-00-00-ADMIN-TRA-EN</cp:keywords>
  <dc:description>Rapporteur:  - Original language: EN - Date of document: 20/05/2022 - Date of meeting:  - External documents:  - Administrator:  SUCIU Serban</dc:description>
  <cp:lastModifiedBy/>
  <cp:revision>47</cp:revision>
  <dcterms:created xsi:type="dcterms:W3CDTF">2025-12-15T12:16:00Z</dcterms:created>
  <dcterms:modified xsi:type="dcterms:W3CDTF">2025-12-19T15:21:00Z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15/12/2025, 02/05/2022, 02/05/2022, 28/06/2021</vt:lpwstr>
  </property>
  <property fmtid="{D5CDD505-2E9C-101B-9397-08002B2CF9AE}" pid="4" name="Pref_Time">
    <vt:lpwstr>11:21:32, 12:28:29, 12:25:37, 08:41:48</vt:lpwstr>
  </property>
  <property fmtid="{D5CDD505-2E9C-101B-9397-08002B2CF9AE}" pid="5" name="Pref_User">
    <vt:lpwstr>jhvi, enied, enied, enied</vt:lpwstr>
  </property>
  <property fmtid="{D5CDD505-2E9C-101B-9397-08002B2CF9AE}" pid="6" name="Pref_FileName">
    <vt:lpwstr>EESC-2025-03552-00-00-TCD-ORI.docx, Summary of opinions.docx, COR-EESC-2022-02370-00-00-ADMIN-ORI.docx, Synthese des avis Template.docx</vt:lpwstr>
  </property>
  <property fmtid="{D5CDD505-2E9C-101B-9397-08002B2CF9AE}" pid="7" name="ContentTypeId">
    <vt:lpwstr>0x010100EA97B91038054C99906057A708A1480A00B192796EE9568A4C8E77C6EF5F22B614</vt:lpwstr>
  </property>
  <property fmtid="{D5CDD505-2E9C-101B-9397-08002B2CF9AE}" pid="8" name="_dlc_DocIdItemGuid">
    <vt:lpwstr>e58ad3fe-d16e-48ae-9ea3-6d71d295d690</vt:lpwstr>
  </property>
  <property fmtid="{D5CDD505-2E9C-101B-9397-08002B2CF9AE}" pid="9" name="AvailableTranslations">
    <vt:lpwstr>23;#DE|f6b31e5a-26fa-4935-b661-318e46daf27e;#30;#LT|a7ff5ce7-6123-4f68-865a-a57c31810414;#28;#SV|c2ed69e7-a339-43d7-8f22-d93680a92aa0;#27;#NL|55c6556c-b4f4-441d-9acf-c498d4f838bd;#41;#ET|ff6c3f4c-b02c-4c3c-ab07-2c37995a7a0a;#5;#EN|f2175f21-25d7-44a3-96da-d6a61b075e1b;#35;#FI|87606a43-d45f-42d6-b8c9-e1a3457db5b7;#39;#LV|46f7e311-5d9f-4663-b433-18aeccb7ace7;#40;#DA|5d49c027-8956-412b-aa16-e85a0f96ad0e;#42;#EL|6d4f4d51-af9b-4650-94b4-4276bee85c91;#34;#IT|0774613c-01ed-4e5d-a25d-11d2388de825;#46;#SK|46d9fce0-ef79-4f71-b89b-cd6aa82426b8;#12;#FR|d2afafd3-4c81-4f60-8f52-ee33f2f54ff3;#50;#HR|2f555653-ed1a-4fe6-8362-9082d95989e5;#31;#SL|98a412ae-eb01-49e9-ae3d-585a81724cfc;#29;#CS|72f9705b-0217-4fd3-bea2-cbc7ed80e26e;#37;#HU|6b229040-c589-4408-b4c1-4285663d20a8;#36;#RO|feb747a2-64cd-4299-af12-4833ddc30497;#16;#ES|e7a6b05b-ae16-40c8-add9-68b64b03aeba;#33;#PT|50ccc04a-eadd-42ae-a0cb-acaf45f812ba;#24;#PL|1e03da61-4678-4e07-b136-b5024ca9197b;#47;#BG|1a1b3951-7821-4e6a-85f5-5673fc08bd2c</vt:lpwstr>
  </property>
  <property fmtid="{D5CDD505-2E9C-101B-9397-08002B2CF9AE}" pid="10" name="DocumentType_0">
    <vt:lpwstr>TCD|cd9d6eb6-3f4f-424a-b2d1-57c9d450eaaf</vt:lpwstr>
  </property>
  <property fmtid="{D5CDD505-2E9C-101B-9397-08002B2CF9AE}" pid="11" name="DocumentSource_0">
    <vt:lpwstr>EESC|422833ec-8d7e-4e65-8e4e-8bed07ffb729</vt:lpwstr>
  </property>
  <property fmtid="{D5CDD505-2E9C-101B-9397-08002B2CF9AE}" pid="12" name="ProductionDate">
    <vt:filetime>2022-05-18T12:00:00Z</vt:filetime>
  </property>
  <property fmtid="{D5CDD505-2E9C-101B-9397-08002B2CF9AE}" pid="13" name="DocumentNumber">
    <vt:i4>3552</vt:i4>
  </property>
  <property fmtid="{D5CDD505-2E9C-101B-9397-08002B2CF9AE}" pid="14" name="DocumentVersion">
    <vt:i4>0</vt:i4>
  </property>
  <property fmtid="{D5CDD505-2E9C-101B-9397-08002B2CF9AE}" pid="15" name="DocumentStatus">
    <vt:lpwstr>13;#TRA|150d2a88-1431-44e6-a8ca-0bb753ab8672</vt:lpwstr>
  </property>
  <property fmtid="{D5CDD505-2E9C-101B-9397-08002B2CF9AE}" pid="16" name="DossierName">
    <vt:lpwstr/>
  </property>
  <property fmtid="{D5CDD505-2E9C-101B-9397-08002B2CF9AE}" pid="17" name="Confidentiality_0">
    <vt:lpwstr>Unrestricted|826e22d7-d029-4ec0-a450-0c28ff673572</vt:lpwstr>
  </property>
  <property fmtid="{D5CDD505-2E9C-101B-9397-08002B2CF9AE}" pid="18" name="Confidentiality">
    <vt:lpwstr>15;#Unrestricted|826e22d7-d029-4ec0-a450-0c28ff673572</vt:lpwstr>
  </property>
  <property fmtid="{D5CDD505-2E9C-101B-9397-08002B2CF9AE}" pid="19" name="OriginalLanguage">
    <vt:lpwstr>5;#EN|f2175f21-25d7-44a3-96da-d6a61b075e1b</vt:lpwstr>
  </property>
  <property fmtid="{D5CDD505-2E9C-101B-9397-08002B2CF9AE}" pid="20" name="MeetingName">
    <vt:lpwstr>67;#SPL-CES|32d8cb1f-c9ec-4365-95c7-8385a18618ac</vt:lpwstr>
  </property>
  <property fmtid="{D5CDD505-2E9C-101B-9397-08002B2CF9AE}" pid="21" name="TaxCatchAll">
    <vt:lpwstr>67;#SPL-CES|32d8cb1f-c9ec-4365-95c7-8385a18618ac;#15;#Unrestricted|826e22d7-d029-4ec0-a450-0c28ff673572;#13;#TRA|150d2a88-1431-44e6-a8ca-0bb753ab8672;#8;#Final|ea5e6674-7b27-4bac-b091-73adbb394efe;#5;#EN|f2175f21-25d7-44a3-96da-d6a61b075e1b;#19;#TCD|cd9d6eb6-3f4f-424a-b2d1-57c9d450eaaf;#1;#EESC|422833ec-8d7e-4e65-8e4e-8bed07ffb729</vt:lpwstr>
  </property>
  <property fmtid="{D5CDD505-2E9C-101B-9397-08002B2CF9AE}" pid="22" name="DocumentLanguage_0">
    <vt:lpwstr>EN|f2175f21-25d7-44a3-96da-d6a61b075e1b</vt:lpwstr>
  </property>
  <property fmtid="{D5CDD505-2E9C-101B-9397-08002B2CF9AE}" pid="23" name="VersionStatus_0">
    <vt:lpwstr>Final|ea5e6674-7b27-4bac-b091-73adbb394efe</vt:lpwstr>
  </property>
  <property fmtid="{D5CDD505-2E9C-101B-9397-08002B2CF9AE}" pid="24" name="VersionStatus">
    <vt:lpwstr>8;#Final|ea5e6674-7b27-4bac-b091-73adbb394efe</vt:lpwstr>
  </property>
  <property fmtid="{D5CDD505-2E9C-101B-9397-08002B2CF9AE}" pid="25" name="DocumentYear">
    <vt:i4>2025</vt:i4>
  </property>
  <property fmtid="{D5CDD505-2E9C-101B-9397-08002B2CF9AE}" pid="26" name="FicheNumber">
    <vt:i4>297819</vt:i4>
  </property>
  <property fmtid="{D5CDD505-2E9C-101B-9397-08002B2CF9AE}" pid="27" name="OriginalSender">
    <vt:lpwstr>1528;#TDriveSVCUserProd</vt:lpwstr>
  </property>
  <property fmtid="{D5CDD505-2E9C-101B-9397-08002B2CF9AE}" pid="28" name="DocumentPart">
    <vt:i4>0</vt:i4>
  </property>
  <property fmtid="{D5CDD505-2E9C-101B-9397-08002B2CF9AE}" pid="29" name="DocumentSource">
    <vt:lpwstr>1;#EESC|422833ec-8d7e-4e65-8e4e-8bed07ffb729</vt:lpwstr>
  </property>
  <property fmtid="{D5CDD505-2E9C-101B-9397-08002B2CF9AE}" pid="30" name="DocumentType">
    <vt:lpwstr>19;#TCD|cd9d6eb6-3f4f-424a-b2d1-57c9d450eaaf</vt:lpwstr>
  </property>
  <property fmtid="{D5CDD505-2E9C-101B-9397-08002B2CF9AE}" pid="31" name="RequestingService">
    <vt:lpwstr>Greffe</vt:lpwstr>
  </property>
  <property fmtid="{D5CDD505-2E9C-101B-9397-08002B2CF9AE}" pid="32" name="DocumentLanguage">
    <vt:lpwstr>34;#IT|0774613c-01ed-4e5d-a25d-11d2388de825</vt:lpwstr>
  </property>
  <property fmtid="{D5CDD505-2E9C-101B-9397-08002B2CF9AE}" pid="33" name="AvailableTranslations_0">
    <vt:lpwstr/>
  </property>
  <property fmtid="{D5CDD505-2E9C-101B-9397-08002B2CF9AE}" pid="34" name="DocumentStatus_0">
    <vt:lpwstr>TRA|150d2a88-1431-44e6-a8ca-0bb753ab8672</vt:lpwstr>
  </property>
  <property fmtid="{D5CDD505-2E9C-101B-9397-08002B2CF9AE}" pid="35" name="OriginalLanguage_0">
    <vt:lpwstr>EN|f2175f21-25d7-44a3-96da-d6a61b075e1b</vt:lpwstr>
  </property>
  <property fmtid="{D5CDD505-2E9C-101B-9397-08002B2CF9AE}" pid="36" name="_docset_NoMedatataSyncRequired">
    <vt:lpwstr>False</vt:lpwstr>
  </property>
  <property fmtid="{D5CDD505-2E9C-101B-9397-08002B2CF9AE}" pid="37" name="MeetingName_0">
    <vt:lpwstr>SPL-CES|32d8cb1f-c9ec-4365-95c7-8385a18618ac</vt:lpwstr>
  </property>
  <property fmtid="{D5CDD505-2E9C-101B-9397-08002B2CF9AE}" pid="38" name="DossierName_0">
    <vt:lpwstr/>
  </property>
  <property fmtid="{D5CDD505-2E9C-101B-9397-08002B2CF9AE}" pid="39" name="MeetingDate">
    <vt:filetime>2026-01-21T12:00:00Z</vt:filetime>
  </property>
</Properties>
</file>