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2DD4D" w14:textId="68B0F7F7" w:rsidR="004D7AC0" w:rsidRDefault="00326BD5" w:rsidP="004D7AC0">
      <w:pPr>
        <w:jc w:val="center"/>
      </w:pPr>
      <w:r>
        <w:rPr>
          <w:noProof/>
        </w:rPr>
        <w:drawing>
          <wp:inline distT="0" distB="0" distL="0" distR="0" wp14:anchorId="31A9F4C6" wp14:editId="3AE47032">
            <wp:extent cx="1792605" cy="1239520"/>
            <wp:effectExtent l="0" t="0" r="0" b="0"/>
            <wp:docPr id="1" name="Picture 1" title="EESCLogo_H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EESCLogo_HU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7AC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82DE48" wp14:editId="6825BBB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2DE54" w14:textId="77777777" w:rsidR="004D7AC0" w:rsidRPr="00260E65" w:rsidRDefault="004D7AC0" w:rsidP="004D7A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2DE4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 o:allowincell="f" filled="f" stroked="f">
                <v:textbox>
                  <w:txbxContent>
                    <w:p w14:paraId="4982DE54" w14:textId="77777777" w:rsidR="004D7AC0" w:rsidRPr="00260E65" w:rsidRDefault="004D7AC0" w:rsidP="004D7AC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2DD4E" w14:textId="77777777" w:rsidR="004D7AC0" w:rsidRDefault="004D7AC0" w:rsidP="004D7AC0"/>
    <w:p w14:paraId="4982DD4F" w14:textId="583AC3F3" w:rsidR="004D7AC0" w:rsidRDefault="004D7AC0" w:rsidP="004D7AC0">
      <w:pPr>
        <w:jc w:val="right"/>
      </w:pPr>
      <w:r>
        <w:t>Brüsszel, 2025. december 17.</w:t>
      </w:r>
    </w:p>
    <w:p w14:paraId="4982DD50" w14:textId="77777777" w:rsidR="004D7AC0" w:rsidRDefault="004D7AC0" w:rsidP="004D7AC0"/>
    <w:p w14:paraId="4982DD51" w14:textId="77777777" w:rsidR="004D7AC0" w:rsidRDefault="004D7AC0" w:rsidP="004D7AC0"/>
    <w:p w14:paraId="4982DD52" w14:textId="77777777" w:rsidR="004D7AC0" w:rsidRDefault="004D7AC0" w:rsidP="004D7AC0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="004D7AC0" w14:paraId="4982DD59" w14:textId="77777777" w:rsidTr="00600C84">
        <w:tc>
          <w:tcPr>
            <w:tcW w:w="9289" w:type="dxa"/>
            <w:tcBorders>
              <w:bottom w:val="double" w:sz="4" w:space="0" w:color="auto"/>
            </w:tcBorders>
          </w:tcPr>
          <w:p w14:paraId="4982DD53" w14:textId="02802AB8" w:rsidR="003066BE" w:rsidRDefault="00340927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601. PLENÁRIS ÜLÉSSZAK</w:t>
            </w:r>
          </w:p>
          <w:p w14:paraId="4982DD54" w14:textId="77777777" w:rsidR="003066BE" w:rsidRDefault="003066BE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5" w14:textId="2F334972" w:rsidR="003066BE" w:rsidRDefault="00340927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2025. december 3. és 4.</w:t>
            </w:r>
          </w:p>
          <w:p w14:paraId="4982DD56" w14:textId="77777777" w:rsidR="003066BE" w:rsidRDefault="003066BE" w:rsidP="00600C84">
            <w:pPr>
              <w:snapToGrid w:val="0"/>
              <w:jc w:val="center"/>
              <w:rPr>
                <w:b/>
                <w:sz w:val="32"/>
                <w:szCs w:val="32"/>
              </w:rPr>
            </w:pPr>
          </w:p>
          <w:p w14:paraId="4982DD57" w14:textId="5A35E792" w:rsidR="004D7AC0" w:rsidRPr="0081153B" w:rsidRDefault="00754027" w:rsidP="00600C84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>AZ ELFOGADOTT VÉLEMÉNYEK, ÁLLÁSFOGLALÁSOK ÉS TÁJÉKOZTATÓ/ÉRTÉKELŐ JELENTÉSEK ÖSSZEFOGLALÁSA</w:t>
            </w:r>
          </w:p>
          <w:p w14:paraId="4982DD58" w14:textId="77777777" w:rsidR="004D7AC0" w:rsidRDefault="004D7AC0" w:rsidP="00600C84">
            <w:pPr>
              <w:snapToGrid w:val="0"/>
            </w:pPr>
          </w:p>
        </w:tc>
      </w:tr>
      <w:tr w:rsidR="004D7AC0" w14:paraId="4982DD5F" w14:textId="77777777" w:rsidTr="00600C84">
        <w:tc>
          <w:tcPr>
            <w:tcW w:w="9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2DD5A" w14:textId="0C0FF99D" w:rsidR="004D7AC0" w:rsidRPr="0081153B" w:rsidRDefault="004D7AC0" w:rsidP="00600C84">
            <w:pPr>
              <w:snapToGrid w:val="0"/>
              <w:jc w:val="center"/>
            </w:pPr>
            <w:r>
              <w:t>Ez a dokumentum az Európai Unió valamennyi hivatalos nyelvén elérhető az EGSZB honlapján:</w:t>
            </w:r>
            <w:r>
              <w:br/>
            </w:r>
            <w:r>
              <w:br/>
            </w:r>
            <w:hyperlink r:id="rId13" w:history="1">
              <w:r>
                <w:rPr>
                  <w:rStyle w:val="Hyperlink"/>
                </w:rPr>
                <w:t>https://www.eesc.europa.eu/hu/our-work/opinions-information-reports/plenary-session-summaries</w:t>
              </w:r>
            </w:hyperlink>
          </w:p>
          <w:p w14:paraId="4982DD5B" w14:textId="77777777" w:rsidR="004D7AC0" w:rsidRPr="0081153B" w:rsidRDefault="004D7AC0" w:rsidP="00600C84">
            <w:pPr>
              <w:snapToGrid w:val="0"/>
              <w:jc w:val="center"/>
            </w:pPr>
          </w:p>
          <w:p w14:paraId="4982DD5C" w14:textId="77777777" w:rsidR="004D7AC0" w:rsidRPr="0081153B" w:rsidRDefault="004D7AC0" w:rsidP="00600C84">
            <w:pPr>
              <w:snapToGrid w:val="0"/>
              <w:jc w:val="center"/>
              <w:rPr>
                <w:rFonts w:eastAsia="SimSun"/>
              </w:rPr>
            </w:pPr>
          </w:p>
          <w:p w14:paraId="4982DD5D" w14:textId="77777777" w:rsidR="004D7AC0" w:rsidRPr="00044561" w:rsidRDefault="004D7AC0" w:rsidP="00600C84">
            <w:pPr>
              <w:snapToGrid w:val="0"/>
              <w:jc w:val="center"/>
            </w:pPr>
            <w:r>
              <w:t>A felsorolt vélemények online az EGSZB keresőrendszerén keresztül érhetők el:</w:t>
            </w:r>
            <w:r>
              <w:br/>
            </w:r>
            <w:r>
              <w:br/>
            </w:r>
            <w:hyperlink r:id="rId14" w:history="1">
              <w:r>
                <w:rPr>
                  <w:rStyle w:val="Hyperlink"/>
                </w:rPr>
                <w:t>https://dmsearch.eesc.europa.eu/search/opinion</w:t>
              </w:r>
            </w:hyperlink>
          </w:p>
          <w:p w14:paraId="4982DD5E" w14:textId="77777777" w:rsidR="004D7AC0" w:rsidRPr="00044561" w:rsidRDefault="004D7AC0" w:rsidP="00600C84">
            <w:pPr>
              <w:snapToGrid w:val="0"/>
              <w:jc w:val="center"/>
            </w:pPr>
          </w:p>
        </w:tc>
      </w:tr>
    </w:tbl>
    <w:p w14:paraId="4982DD60" w14:textId="77777777" w:rsidR="004D7AC0" w:rsidRDefault="004D7AC0" w:rsidP="004D7AC0"/>
    <w:p w14:paraId="4982DD61" w14:textId="77777777" w:rsidR="004D7AC0" w:rsidRDefault="004D7AC0" w:rsidP="004D7AC0"/>
    <w:p w14:paraId="4982DD62" w14:textId="77777777" w:rsidR="004D7AC0" w:rsidRDefault="004D7AC0" w:rsidP="004D7AC0">
      <w:pPr>
        <w:sectPr w:rsidR="004D7AC0" w:rsidSect="00EE6F0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14:paraId="4982DD63" w14:textId="77777777" w:rsidR="004D7AC0" w:rsidRPr="00A81AFE" w:rsidRDefault="004D7AC0" w:rsidP="004D7AC0">
      <w:pPr>
        <w:rPr>
          <w:b/>
        </w:rPr>
      </w:pPr>
      <w:r>
        <w:rPr>
          <w:b/>
        </w:rPr>
        <w:lastRenderedPageBreak/>
        <w:t>Tartalomjegyzék</w:t>
      </w: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</w:rPr>
        <w:id w:val="-17007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82DD64" w14:textId="77777777" w:rsidR="004D7AC0" w:rsidRPr="00A81AFE" w:rsidRDefault="004D7AC0" w:rsidP="004D7AC0">
          <w:pPr>
            <w:pStyle w:val="TOCHeading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14:paraId="27E19449" w14:textId="04F6B4F4" w:rsidR="00FC7F19" w:rsidRDefault="004D7AC0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962440" w:history="1">
            <w:r w:rsidR="00FC7F19" w:rsidRPr="00D22DDE">
              <w:rPr>
                <w:rStyle w:val="Hyperlink"/>
                <w:b/>
                <w:noProof/>
              </w:rPr>
              <w:t>1.</w:t>
            </w:r>
            <w:r w:rsidR="00FC7F1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C7F19" w:rsidRPr="00D22DDE">
              <w:rPr>
                <w:rStyle w:val="Hyperlink"/>
                <w:b/>
                <w:noProof/>
              </w:rPr>
              <w:t>GAZDASÁGI ÉS MONETÁRIS UNIÓ, GAZDASÁGI ÉS TÁRSADALMI KOHÉZIÓ</w:t>
            </w:r>
            <w:r w:rsidR="00FC7F19">
              <w:rPr>
                <w:noProof/>
                <w:webHidden/>
              </w:rPr>
              <w:tab/>
            </w:r>
            <w:r w:rsidR="00FC7F19">
              <w:rPr>
                <w:noProof/>
                <w:webHidden/>
              </w:rPr>
              <w:fldChar w:fldCharType="begin"/>
            </w:r>
            <w:r w:rsidR="00FC7F19">
              <w:rPr>
                <w:noProof/>
                <w:webHidden/>
              </w:rPr>
              <w:instrText xml:space="preserve"> PAGEREF _Toc216962440 \h </w:instrText>
            </w:r>
            <w:r w:rsidR="00FC7F19">
              <w:rPr>
                <w:noProof/>
                <w:webHidden/>
              </w:rPr>
            </w:r>
            <w:r w:rsidR="00FC7F19">
              <w:rPr>
                <w:noProof/>
                <w:webHidden/>
              </w:rPr>
              <w:fldChar w:fldCharType="separate"/>
            </w:r>
            <w:r w:rsidR="0070734A">
              <w:rPr>
                <w:noProof/>
                <w:webHidden/>
              </w:rPr>
              <w:t>3</w:t>
            </w:r>
            <w:r w:rsidR="00FC7F19">
              <w:rPr>
                <w:noProof/>
                <w:webHidden/>
              </w:rPr>
              <w:fldChar w:fldCharType="end"/>
            </w:r>
          </w:hyperlink>
        </w:p>
        <w:p w14:paraId="14028632" w14:textId="21167387" w:rsidR="00FC7F19" w:rsidRDefault="008B736D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6962441" w:history="1">
            <w:r w:rsidR="00FC7F19" w:rsidRPr="00D22DDE">
              <w:rPr>
                <w:rStyle w:val="Hyperlink"/>
                <w:b/>
                <w:noProof/>
              </w:rPr>
              <w:t>2.</w:t>
            </w:r>
            <w:r w:rsidR="00FC7F1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C7F19" w:rsidRPr="00D22DDE">
              <w:rPr>
                <w:rStyle w:val="Hyperlink"/>
                <w:b/>
                <w:noProof/>
              </w:rPr>
              <w:t>FOGLALKOZTATÁS- ÉS SZOCIÁLPOLITIKA, UNIÓS POLGÁRSÁG</w:t>
            </w:r>
            <w:r w:rsidR="00FC7F19">
              <w:rPr>
                <w:noProof/>
                <w:webHidden/>
              </w:rPr>
              <w:tab/>
            </w:r>
            <w:r w:rsidR="00FC7F19">
              <w:rPr>
                <w:noProof/>
                <w:webHidden/>
              </w:rPr>
              <w:fldChar w:fldCharType="begin"/>
            </w:r>
            <w:r w:rsidR="00FC7F19">
              <w:rPr>
                <w:noProof/>
                <w:webHidden/>
              </w:rPr>
              <w:instrText xml:space="preserve"> PAGEREF _Toc216962441 \h </w:instrText>
            </w:r>
            <w:r w:rsidR="00FC7F19">
              <w:rPr>
                <w:noProof/>
                <w:webHidden/>
              </w:rPr>
            </w:r>
            <w:r w:rsidR="00FC7F19">
              <w:rPr>
                <w:noProof/>
                <w:webHidden/>
              </w:rPr>
              <w:fldChar w:fldCharType="separate"/>
            </w:r>
            <w:r w:rsidR="0070734A">
              <w:rPr>
                <w:noProof/>
                <w:webHidden/>
              </w:rPr>
              <w:t>7</w:t>
            </w:r>
            <w:r w:rsidR="00FC7F19">
              <w:rPr>
                <w:noProof/>
                <w:webHidden/>
              </w:rPr>
              <w:fldChar w:fldCharType="end"/>
            </w:r>
          </w:hyperlink>
        </w:p>
        <w:p w14:paraId="3FE2DF31" w14:textId="5C4005E9" w:rsidR="00FC7F19" w:rsidRDefault="008B736D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6962442" w:history="1">
            <w:r w:rsidR="00FC7F19" w:rsidRPr="00D22DDE">
              <w:rPr>
                <w:rStyle w:val="Hyperlink"/>
                <w:b/>
                <w:noProof/>
              </w:rPr>
              <w:t>3.</w:t>
            </w:r>
            <w:r w:rsidR="00FC7F1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C7F19" w:rsidRPr="00D22DDE">
              <w:rPr>
                <w:rStyle w:val="Hyperlink"/>
                <w:b/>
                <w:noProof/>
              </w:rPr>
              <w:t>KÖZLEKEDÉS, ENERGIA, INFRASTRUKTÚRA ÉS INFORMÁCIÓS TÁRSADALOM</w:t>
            </w:r>
            <w:r w:rsidR="00FC7F19">
              <w:rPr>
                <w:noProof/>
                <w:webHidden/>
              </w:rPr>
              <w:tab/>
            </w:r>
            <w:r w:rsidR="00366E73">
              <w:rPr>
                <w:noProof/>
                <w:webHidden/>
              </w:rPr>
              <w:tab/>
            </w:r>
            <w:r w:rsidR="00366E73">
              <w:rPr>
                <w:noProof/>
                <w:webHidden/>
              </w:rPr>
              <w:tab/>
            </w:r>
            <w:r w:rsidR="00FC7F19">
              <w:rPr>
                <w:noProof/>
                <w:webHidden/>
              </w:rPr>
              <w:fldChar w:fldCharType="begin"/>
            </w:r>
            <w:r w:rsidR="00FC7F19">
              <w:rPr>
                <w:noProof/>
                <w:webHidden/>
              </w:rPr>
              <w:instrText xml:space="preserve"> PAGEREF _Toc216962442 \h </w:instrText>
            </w:r>
            <w:r w:rsidR="00FC7F19">
              <w:rPr>
                <w:noProof/>
                <w:webHidden/>
              </w:rPr>
            </w:r>
            <w:r w:rsidR="00FC7F19">
              <w:rPr>
                <w:noProof/>
                <w:webHidden/>
              </w:rPr>
              <w:fldChar w:fldCharType="separate"/>
            </w:r>
            <w:r w:rsidR="0070734A">
              <w:rPr>
                <w:noProof/>
                <w:webHidden/>
              </w:rPr>
              <w:t>11</w:t>
            </w:r>
            <w:r w:rsidR="00FC7F19">
              <w:rPr>
                <w:noProof/>
                <w:webHidden/>
              </w:rPr>
              <w:fldChar w:fldCharType="end"/>
            </w:r>
          </w:hyperlink>
        </w:p>
        <w:p w14:paraId="7D992906" w14:textId="1C50B201" w:rsidR="00FC7F19" w:rsidRDefault="008B736D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6962443" w:history="1">
            <w:r w:rsidR="00FC7F19" w:rsidRPr="00D22DDE">
              <w:rPr>
                <w:rStyle w:val="Hyperlink"/>
                <w:b/>
                <w:noProof/>
              </w:rPr>
              <w:t>4.</w:t>
            </w:r>
            <w:r w:rsidR="00FC7F1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C7F19" w:rsidRPr="00D22DDE">
              <w:rPr>
                <w:rStyle w:val="Hyperlink"/>
                <w:b/>
                <w:noProof/>
              </w:rPr>
              <w:t>EGYSÉGES PIAC, TERMELÉS ÉS FOGYASZTÁS</w:t>
            </w:r>
            <w:r w:rsidR="00FC7F19">
              <w:rPr>
                <w:noProof/>
                <w:webHidden/>
              </w:rPr>
              <w:tab/>
            </w:r>
            <w:r w:rsidR="00FC7F19">
              <w:rPr>
                <w:noProof/>
                <w:webHidden/>
              </w:rPr>
              <w:fldChar w:fldCharType="begin"/>
            </w:r>
            <w:r w:rsidR="00FC7F19">
              <w:rPr>
                <w:noProof/>
                <w:webHidden/>
              </w:rPr>
              <w:instrText xml:space="preserve"> PAGEREF _Toc216962443 \h </w:instrText>
            </w:r>
            <w:r w:rsidR="00FC7F19">
              <w:rPr>
                <w:noProof/>
                <w:webHidden/>
              </w:rPr>
            </w:r>
            <w:r w:rsidR="00FC7F19">
              <w:rPr>
                <w:noProof/>
                <w:webHidden/>
              </w:rPr>
              <w:fldChar w:fldCharType="separate"/>
            </w:r>
            <w:r w:rsidR="0070734A">
              <w:rPr>
                <w:noProof/>
                <w:webHidden/>
              </w:rPr>
              <w:t>14</w:t>
            </w:r>
            <w:r w:rsidR="00FC7F19">
              <w:rPr>
                <w:noProof/>
                <w:webHidden/>
              </w:rPr>
              <w:fldChar w:fldCharType="end"/>
            </w:r>
          </w:hyperlink>
        </w:p>
        <w:p w14:paraId="77C7BD4B" w14:textId="73B6E211" w:rsidR="00FC7F19" w:rsidRDefault="008B736D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6962444" w:history="1">
            <w:r w:rsidR="00FC7F19" w:rsidRPr="00D22DDE">
              <w:rPr>
                <w:rStyle w:val="Hyperlink"/>
                <w:b/>
                <w:noProof/>
              </w:rPr>
              <w:t>5.</w:t>
            </w:r>
            <w:r w:rsidR="00FC7F1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C7F19" w:rsidRPr="00D22DDE">
              <w:rPr>
                <w:rStyle w:val="Hyperlink"/>
                <w:b/>
                <w:noProof/>
              </w:rPr>
              <w:t>MEZŐGAZDASÁG, VIDÉKFEJLESZTÉS ÉS KÖRNYEZETVÉDELEM</w:t>
            </w:r>
            <w:r w:rsidR="00FC7F19">
              <w:rPr>
                <w:noProof/>
                <w:webHidden/>
              </w:rPr>
              <w:tab/>
            </w:r>
            <w:r w:rsidR="00FC7F19">
              <w:rPr>
                <w:noProof/>
                <w:webHidden/>
              </w:rPr>
              <w:fldChar w:fldCharType="begin"/>
            </w:r>
            <w:r w:rsidR="00FC7F19">
              <w:rPr>
                <w:noProof/>
                <w:webHidden/>
              </w:rPr>
              <w:instrText xml:space="preserve"> PAGEREF _Toc216962444 \h </w:instrText>
            </w:r>
            <w:r w:rsidR="00FC7F19">
              <w:rPr>
                <w:noProof/>
                <w:webHidden/>
              </w:rPr>
            </w:r>
            <w:r w:rsidR="00FC7F19">
              <w:rPr>
                <w:noProof/>
                <w:webHidden/>
              </w:rPr>
              <w:fldChar w:fldCharType="separate"/>
            </w:r>
            <w:r w:rsidR="0070734A">
              <w:rPr>
                <w:noProof/>
                <w:webHidden/>
              </w:rPr>
              <w:t>18</w:t>
            </w:r>
            <w:r w:rsidR="00FC7F19">
              <w:rPr>
                <w:noProof/>
                <w:webHidden/>
              </w:rPr>
              <w:fldChar w:fldCharType="end"/>
            </w:r>
          </w:hyperlink>
        </w:p>
        <w:p w14:paraId="44B5D8A9" w14:textId="3C56A4D9" w:rsidR="00FC7F19" w:rsidRDefault="008B736D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6962445" w:history="1">
            <w:r w:rsidR="00FC7F19" w:rsidRPr="00D22DDE">
              <w:rPr>
                <w:rStyle w:val="Hyperlink"/>
                <w:b/>
                <w:noProof/>
              </w:rPr>
              <w:t>6.</w:t>
            </w:r>
            <w:r w:rsidR="00FC7F1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C7F19" w:rsidRPr="00D22DDE">
              <w:rPr>
                <w:rStyle w:val="Hyperlink"/>
                <w:b/>
                <w:noProof/>
              </w:rPr>
              <w:t>KÜLKAPCSOLATOK</w:t>
            </w:r>
            <w:r w:rsidR="00FC7F19">
              <w:rPr>
                <w:noProof/>
                <w:webHidden/>
              </w:rPr>
              <w:tab/>
            </w:r>
            <w:r w:rsidR="00FC7F19">
              <w:rPr>
                <w:noProof/>
                <w:webHidden/>
              </w:rPr>
              <w:fldChar w:fldCharType="begin"/>
            </w:r>
            <w:r w:rsidR="00FC7F19">
              <w:rPr>
                <w:noProof/>
                <w:webHidden/>
              </w:rPr>
              <w:instrText xml:space="preserve"> PAGEREF _Toc216962445 \h </w:instrText>
            </w:r>
            <w:r w:rsidR="00FC7F19">
              <w:rPr>
                <w:noProof/>
                <w:webHidden/>
              </w:rPr>
            </w:r>
            <w:r w:rsidR="00FC7F19">
              <w:rPr>
                <w:noProof/>
                <w:webHidden/>
              </w:rPr>
              <w:fldChar w:fldCharType="separate"/>
            </w:r>
            <w:r w:rsidR="0070734A">
              <w:rPr>
                <w:noProof/>
                <w:webHidden/>
              </w:rPr>
              <w:t>20</w:t>
            </w:r>
            <w:r w:rsidR="00FC7F19">
              <w:rPr>
                <w:noProof/>
                <w:webHidden/>
              </w:rPr>
              <w:fldChar w:fldCharType="end"/>
            </w:r>
          </w:hyperlink>
        </w:p>
        <w:p w14:paraId="0F45B353" w14:textId="6826B3DF" w:rsidR="00FC7F19" w:rsidRDefault="008B736D">
          <w:pPr>
            <w:pStyle w:val="TOC1"/>
            <w:tabs>
              <w:tab w:val="left" w:pos="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6962446" w:history="1">
            <w:r w:rsidR="00FC7F19" w:rsidRPr="00D22DDE">
              <w:rPr>
                <w:rStyle w:val="Hyperlink"/>
                <w:b/>
                <w:noProof/>
              </w:rPr>
              <w:t>7.</w:t>
            </w:r>
            <w:r w:rsidR="00FC7F19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FC7F19" w:rsidRPr="00D22DDE">
              <w:rPr>
                <w:rStyle w:val="Hyperlink"/>
                <w:b/>
                <w:noProof/>
              </w:rPr>
              <w:t>IPARI SZERKEZETVÁLTÁS KONZULTATÍV BIZOTTSÁGA</w:t>
            </w:r>
            <w:r w:rsidR="00FC7F19">
              <w:rPr>
                <w:noProof/>
                <w:webHidden/>
              </w:rPr>
              <w:tab/>
            </w:r>
            <w:r w:rsidR="00FC7F19">
              <w:rPr>
                <w:noProof/>
                <w:webHidden/>
              </w:rPr>
              <w:fldChar w:fldCharType="begin"/>
            </w:r>
            <w:r w:rsidR="00FC7F19">
              <w:rPr>
                <w:noProof/>
                <w:webHidden/>
              </w:rPr>
              <w:instrText xml:space="preserve"> PAGEREF _Toc216962446 \h </w:instrText>
            </w:r>
            <w:r w:rsidR="00FC7F19">
              <w:rPr>
                <w:noProof/>
                <w:webHidden/>
              </w:rPr>
            </w:r>
            <w:r w:rsidR="00FC7F19">
              <w:rPr>
                <w:noProof/>
                <w:webHidden/>
              </w:rPr>
              <w:fldChar w:fldCharType="separate"/>
            </w:r>
            <w:r w:rsidR="0070734A">
              <w:rPr>
                <w:noProof/>
                <w:webHidden/>
              </w:rPr>
              <w:t>23</w:t>
            </w:r>
            <w:r w:rsidR="00FC7F19">
              <w:rPr>
                <w:noProof/>
                <w:webHidden/>
              </w:rPr>
              <w:fldChar w:fldCharType="end"/>
            </w:r>
          </w:hyperlink>
        </w:p>
        <w:p w14:paraId="4982DD6A" w14:textId="7FFD2827" w:rsidR="004D7AC0" w:rsidRDefault="004D7AC0" w:rsidP="004D7AC0">
          <w:r>
            <w:rPr>
              <w:b/>
            </w:rPr>
            <w:fldChar w:fldCharType="end"/>
          </w:r>
        </w:p>
      </w:sdtContent>
    </w:sdt>
    <w:p w14:paraId="4982DD6B" w14:textId="77777777" w:rsidR="004D7AC0" w:rsidRDefault="004D7AC0" w:rsidP="004D7AC0"/>
    <w:p w14:paraId="4982DD6C" w14:textId="77777777" w:rsidR="004D7AC0" w:rsidRDefault="004D7AC0" w:rsidP="004D7AC0">
      <w:pPr>
        <w:spacing w:after="160" w:line="259" w:lineRule="auto"/>
        <w:jc w:val="left"/>
      </w:pPr>
      <w:r>
        <w:br w:type="page"/>
      </w:r>
    </w:p>
    <w:p w14:paraId="4982DD6D" w14:textId="77777777" w:rsidR="004D7AC0" w:rsidRDefault="004D7AC0" w:rsidP="004D7AC0">
      <w:pPr>
        <w:pStyle w:val="Heading1"/>
        <w:rPr>
          <w:b/>
        </w:rPr>
      </w:pPr>
      <w:bookmarkStart w:id="0" w:name="_Toc216962440"/>
      <w:r>
        <w:rPr>
          <w:b/>
        </w:rPr>
        <w:lastRenderedPageBreak/>
        <w:t>GAZDASÁGI ÉS MONETÁRIS UNIÓ, GAZDASÁGI ÉS TÁRSADALMI KOHÉZIÓ</w:t>
      </w:r>
      <w:bookmarkEnd w:id="0"/>
    </w:p>
    <w:p w14:paraId="4982DD6E" w14:textId="77777777" w:rsidR="004D7AC0" w:rsidRDefault="004D7AC0" w:rsidP="004D7AC0"/>
    <w:p w14:paraId="7E506423" w14:textId="4B34D16E" w:rsidR="00612898" w:rsidRPr="00612898" w:rsidRDefault="008B736D" w:rsidP="006128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ind w:hanging="567"/>
        <w:textAlignment w:val="baseline"/>
        <w:rPr>
          <w:b/>
          <w:i/>
          <w:iCs/>
          <w:sz w:val="28"/>
          <w:szCs w:val="28"/>
        </w:rPr>
      </w:pPr>
      <w:hyperlink r:id="rId21" w:history="1">
        <w:r w:rsidR="00326BD5">
          <w:rPr>
            <w:b/>
            <w:i/>
            <w:color w:val="0000FF"/>
            <w:sz w:val="28"/>
            <w:u w:val="single"/>
          </w:rPr>
          <w:t xml:space="preserve">Az EU </w:t>
        </w:r>
        <w:proofErr w:type="spellStart"/>
        <w:r w:rsidR="00326BD5">
          <w:rPr>
            <w:b/>
            <w:i/>
            <w:color w:val="0000FF"/>
            <w:sz w:val="28"/>
            <w:u w:val="single"/>
          </w:rPr>
          <w:t>makroregionális</w:t>
        </w:r>
        <w:proofErr w:type="spellEnd"/>
        <w:r w:rsidR="00326BD5">
          <w:rPr>
            <w:b/>
            <w:i/>
            <w:color w:val="0000FF"/>
            <w:sz w:val="28"/>
            <w:u w:val="single"/>
          </w:rPr>
          <w:t xml:space="preserve"> stratégiáinak végrehajtása – 5. jelentés</w:t>
        </w:r>
      </w:hyperlink>
    </w:p>
    <w:p w14:paraId="6D1E8521" w14:textId="77777777" w:rsidR="00612898" w:rsidRPr="00612898" w:rsidRDefault="00612898" w:rsidP="00612898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  <w:lang w:val="en-GB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612898" w:rsidRPr="00612898" w14:paraId="05AE56A5" w14:textId="77777777" w:rsidTr="0036489A">
        <w:tc>
          <w:tcPr>
            <w:tcW w:w="1701" w:type="dxa"/>
          </w:tcPr>
          <w:p w14:paraId="46E62AEA" w14:textId="77777777" w:rsidR="00612898" w:rsidRPr="00612898" w:rsidRDefault="00612898" w:rsidP="00054C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7621" w:type="dxa"/>
          </w:tcPr>
          <w:p w14:paraId="28CBAA45" w14:textId="4453529C" w:rsidR="00612898" w:rsidRDefault="0061289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proofErr w:type="spellStart"/>
            <w:r>
              <w:t>Stefano</w:t>
            </w:r>
            <w:proofErr w:type="spellEnd"/>
            <w:r>
              <w:t xml:space="preserve"> PALMIERI (Munkavállalók/IT)</w:t>
            </w:r>
          </w:p>
          <w:p w14:paraId="07092A74" w14:textId="4FEAC4CC" w:rsidR="008C414B" w:rsidRPr="00612898" w:rsidRDefault="008C414B" w:rsidP="00054C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Cs/>
              </w:rPr>
            </w:pPr>
          </w:p>
        </w:tc>
      </w:tr>
      <w:tr w:rsidR="00612898" w:rsidRPr="00C62A6C" w14:paraId="257F78E5" w14:textId="77777777" w:rsidTr="0036489A">
        <w:tc>
          <w:tcPr>
            <w:tcW w:w="1701" w:type="dxa"/>
          </w:tcPr>
          <w:p w14:paraId="0C3EBBC1" w14:textId="77777777" w:rsidR="00612898" w:rsidRPr="00612898" w:rsidRDefault="00612898" w:rsidP="00054C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7621" w:type="dxa"/>
          </w:tcPr>
          <w:p w14:paraId="58F0DB08" w14:textId="4B9508DB" w:rsidR="00896BC8" w:rsidRDefault="0061289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 xml:space="preserve">COM(2025) 191 </w:t>
            </w:r>
            <w:proofErr w:type="spellStart"/>
            <w:r>
              <w:t>final</w:t>
            </w:r>
            <w:proofErr w:type="spellEnd"/>
          </w:p>
          <w:p w14:paraId="5DB59D59" w14:textId="2F819FC3" w:rsidR="00612898" w:rsidRPr="00612898" w:rsidRDefault="00612898" w:rsidP="00054C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 xml:space="preserve">COM(2025) 196 </w:t>
            </w:r>
            <w:proofErr w:type="spellStart"/>
            <w:r>
              <w:t>final</w:t>
            </w:r>
            <w:proofErr w:type="spellEnd"/>
          </w:p>
          <w:p w14:paraId="1B624F0D" w14:textId="1ADACC64" w:rsidR="00612898" w:rsidRPr="00612898" w:rsidRDefault="00612898" w:rsidP="00054C5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376"/>
              <w:textAlignment w:val="baseline"/>
            </w:pPr>
            <w:r>
              <w:t>EESC-2025-02216-00-00-AC</w:t>
            </w:r>
          </w:p>
        </w:tc>
      </w:tr>
    </w:tbl>
    <w:p w14:paraId="264DB47F" w14:textId="77777777" w:rsidR="00612898" w:rsidRDefault="00612898" w:rsidP="00612898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7E8CAAEB" w14:textId="77777777" w:rsidR="004A6CE5" w:rsidRPr="00612898" w:rsidRDefault="004A6CE5" w:rsidP="00612898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  <w:lang w:val="en-GB"/>
        </w:rPr>
      </w:pPr>
    </w:p>
    <w:p w14:paraId="0E1234AC" w14:textId="77777777" w:rsidR="00612898" w:rsidRDefault="00612898" w:rsidP="00612898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1B6220CA" w14:textId="77777777" w:rsidR="004A6CE5" w:rsidRPr="00612898" w:rsidRDefault="004A6CE5" w:rsidP="00612898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6B7B575D" w14:textId="56DFD5EB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elismeri a </w:t>
      </w:r>
      <w:proofErr w:type="spellStart"/>
      <w:r>
        <w:t>makroregionális</w:t>
      </w:r>
      <w:proofErr w:type="spellEnd"/>
      <w:r>
        <w:t xml:space="preserve"> stratégiák szerepét a szakpolitikák, programok és szereplők közötti többszintű szinergiák megteremtésében. E stratégiák támogatták a zöld és a digitális átállást, és fontos </w:t>
      </w:r>
      <w:proofErr w:type="spellStart"/>
      <w:r>
        <w:t>reziliencia</w:t>
      </w:r>
      <w:proofErr w:type="spellEnd"/>
      <w:r>
        <w:t>- és szolidaritási kapacitást fejlesztettek ki a világjárvány és a jelenlegi válságok idején,</w:t>
      </w:r>
    </w:p>
    <w:p w14:paraId="75D3836B" w14:textId="641E7E0C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>kéri a vertikális és horizontális többszintű kormányzás megerősítését a helyi struktúrák bevonásának biztosítása révén,</w:t>
      </w:r>
    </w:p>
    <w:p w14:paraId="4E658ACB" w14:textId="00D67EDC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üdvözli a felülvizsgálati folyamatokat, és a szociális dimenzió, a polgári részvétel (beleértve a fiatalokat is) és a régiók közötti együttműködés megerősítését szorgalmazza. A </w:t>
      </w:r>
      <w:proofErr w:type="spellStart"/>
      <w:r>
        <w:t>makroregionális</w:t>
      </w:r>
      <w:proofErr w:type="spellEnd"/>
      <w:r>
        <w:t xml:space="preserve"> stratégiáknak a társadalmi befogadás és a szociális innováció kísérleti terepeiként kell működniük, támogatva a zöld adózást és a humán tőkét,</w:t>
      </w:r>
    </w:p>
    <w:p w14:paraId="288A6F61" w14:textId="77777777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tudomásul veszi a balti-tengeri régióra vonatkozó </w:t>
      </w:r>
      <w:proofErr w:type="spellStart"/>
      <w:r>
        <w:t>makroregionális</w:t>
      </w:r>
      <w:proofErr w:type="spellEnd"/>
      <w:r>
        <w:t xml:space="preserve"> stratégia (EUSBSR) eredményeit: a stratégia előmozdította a fenntarthatóságot és az összeköttetéseket a balti-tengeri térségben. A 2021. évi felülvizsgálat és a Balti-tengeri Stratégiai Pont megerősítette az együttműködést és a stratégia irányítását. Bár az Oroszországgal és </w:t>
      </w:r>
      <w:proofErr w:type="spellStart"/>
      <w:r>
        <w:t>Belarusszal</w:t>
      </w:r>
      <w:proofErr w:type="spellEnd"/>
      <w:r>
        <w:t xml:space="preserve"> fenntartott kapcsolatokat felfüggesztették, a stratégia továbbra is érvényes,</w:t>
      </w:r>
    </w:p>
    <w:p w14:paraId="61DFA9B6" w14:textId="3FCD71FF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kiemeli a Duna régióra vonatkozó </w:t>
      </w:r>
      <w:proofErr w:type="spellStart"/>
      <w:r>
        <w:t>makroregionális</w:t>
      </w:r>
      <w:proofErr w:type="spellEnd"/>
      <w:r>
        <w:t xml:space="preserve"> stratégia (EUSDR) terén elért eredményeket. A 2020. évi felülvizsgálat megerősítette az uniós prioritásokkal való összhangot és a fiatalok részvételét, bár továbbra is fennállnak egyenlőtlenségek és a politikai elkötelezettség terén tapasztalható eltérések. Az elnökségek újraindították az innovációt és az irányítást,</w:t>
      </w:r>
    </w:p>
    <w:p w14:paraId="5C7EA446" w14:textId="479B26B1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kiemeli az adriai- és jón-tengeri régióra vonatkozó </w:t>
      </w:r>
      <w:proofErr w:type="spellStart"/>
      <w:r>
        <w:t>makroregionális</w:t>
      </w:r>
      <w:proofErr w:type="spellEnd"/>
      <w:r>
        <w:t xml:space="preserve"> stratégia (EUSAIR) eredményeit. A stratégiához kapcsolódó cselekvési tervet a közelmúltban aktualizálták egy ötödik, szociális pillér bevezetésével. A stratégia magában foglalja a bővítés, a körforgásos gazdaság és a digitalizáció területét, miközben erősíti a partnerségeket és a </w:t>
      </w:r>
      <w:proofErr w:type="spellStart"/>
      <w:r>
        <w:t>rezilienciát</w:t>
      </w:r>
      <w:proofErr w:type="spellEnd"/>
      <w:r>
        <w:t>,</w:t>
      </w:r>
    </w:p>
    <w:p w14:paraId="0171069F" w14:textId="26283E8D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üdvözli az Alpok-régióra vonatkozó </w:t>
      </w:r>
      <w:proofErr w:type="spellStart"/>
      <w:r>
        <w:t>makroregionális</w:t>
      </w:r>
      <w:proofErr w:type="spellEnd"/>
      <w:r>
        <w:t xml:space="preserve"> stratégiát (EUSALP), amely megerősítette az együttműködést és a stabil kormányzást, és harmadik országok előtt is nyitva áll. A felülvizsgálat digitalizációval, energiával, vízzel és körforgásos gazdasággal kapcsolatos prioritásokat épít be,</w:t>
      </w:r>
    </w:p>
    <w:p w14:paraId="6817B888" w14:textId="70F4706D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megjegyzi, hogy a Nyugat-Balkánnal, Ukrajnával és Moldovával való bővítés stratégiai prioritást jelent, és hogy a </w:t>
      </w:r>
      <w:proofErr w:type="spellStart"/>
      <w:r>
        <w:t>makroregionális</w:t>
      </w:r>
      <w:proofErr w:type="spellEnd"/>
      <w:r>
        <w:t xml:space="preserve"> stratégiák képesek megerősíteni az együttműködést és az intézményi kapacitásokat,</w:t>
      </w:r>
    </w:p>
    <w:p w14:paraId="710F3124" w14:textId="6C89F131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megjegyzi, hogy Oroszország Ukrajna elleni katonai agressziója megerősítette a </w:t>
      </w:r>
      <w:proofErr w:type="spellStart"/>
      <w:r>
        <w:t>makroregionális</w:t>
      </w:r>
      <w:proofErr w:type="spellEnd"/>
      <w:r>
        <w:t xml:space="preserve"> stratégiáknak a szolidaritás és a </w:t>
      </w:r>
      <w:proofErr w:type="spellStart"/>
      <w:r>
        <w:t>reziliencia</w:t>
      </w:r>
      <w:proofErr w:type="spellEnd"/>
      <w:r>
        <w:t xml:space="preserve"> eszközeként betöltött szerepét,</w:t>
      </w:r>
    </w:p>
    <w:p w14:paraId="6EDD216B" w14:textId="02F6DEB7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lastRenderedPageBreak/>
        <w:t xml:space="preserve">kulcsfontosságúnak tartja a </w:t>
      </w:r>
      <w:proofErr w:type="spellStart"/>
      <w:r>
        <w:t>makroregionális</w:t>
      </w:r>
      <w:proofErr w:type="spellEnd"/>
      <w:r>
        <w:t xml:space="preserve"> stratégiák helyi alapú megközelítését, amely hozzáigazítja az európai prioritásokat a területi sajátosságokhoz, és előmozdítja a kohéziót olyan eszközök révén, mint a </w:t>
      </w:r>
      <w:proofErr w:type="spellStart"/>
      <w:r>
        <w:t>közösségvezérelt</w:t>
      </w:r>
      <w:proofErr w:type="spellEnd"/>
      <w:r>
        <w:t xml:space="preserve"> helyi fejlesztés, valamint a különböző innovatív kezdeményezések, amelyek ösztönzik a polgári részvételt és a fiatalok részvételét,</w:t>
      </w:r>
    </w:p>
    <w:p w14:paraId="34580314" w14:textId="53CAB3F9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az irányítás és a finanszírozás megerősítését szorgalmazza, a </w:t>
      </w:r>
      <w:proofErr w:type="spellStart"/>
      <w:r>
        <w:t>makroregionális</w:t>
      </w:r>
      <w:proofErr w:type="spellEnd"/>
      <w:r>
        <w:t xml:space="preserve"> stratégiák prioritásait beépítve a kulcsfontosságú uniós programokba. Meg kell erősíteni a helyi hatásköröket, meg kell szilárdítani a partnerségeket, és aktívan be kell vonni a civil társadalmat és a fiatalokat,</w:t>
      </w:r>
    </w:p>
    <w:p w14:paraId="2F7ADDD3" w14:textId="226738B8" w:rsidR="00612898" w:rsidRPr="00612898" w:rsidRDefault="003C16C3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úgy véli, hogy az új (vagyis a 2028–2034 időszakra szóló) többéves pénzügyi keret kockázatot jelent a </w:t>
      </w:r>
      <w:proofErr w:type="spellStart"/>
      <w:r>
        <w:t>makroregionális</w:t>
      </w:r>
      <w:proofErr w:type="spellEnd"/>
      <w:r>
        <w:t xml:space="preserve"> stratégiák megfelelő működésére nézve. Ezért alapvető fontosságú, hogy biztosítsák a </w:t>
      </w:r>
      <w:proofErr w:type="spellStart"/>
      <w:r>
        <w:t>makroregionális</w:t>
      </w:r>
      <w:proofErr w:type="spellEnd"/>
      <w:r>
        <w:t xml:space="preserve"> stratégiákhoz kapcsolódó prioritások beépítését a partnerségi tervekbe,</w:t>
      </w:r>
    </w:p>
    <w:p w14:paraId="179CAD0A" w14:textId="6CF7AC7B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szCs w:val="20"/>
        </w:rPr>
      </w:pPr>
      <w:r>
        <w:t xml:space="preserve">hangsúlyozza, hogy átlátható, elszámoltatható és korrupciómentes irányításra van szükség a </w:t>
      </w:r>
      <w:proofErr w:type="spellStart"/>
      <w:r>
        <w:t>makroregionális</w:t>
      </w:r>
      <w:proofErr w:type="spellEnd"/>
      <w:r>
        <w:t xml:space="preserve"> stratégiákban részt vevő intézményekben,</w:t>
      </w:r>
    </w:p>
    <w:p w14:paraId="70A713C0" w14:textId="77777777" w:rsidR="00612898" w:rsidRPr="00612898" w:rsidRDefault="00612898" w:rsidP="00054C58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textAlignment w:val="baseline"/>
        <w:rPr>
          <w:bCs/>
          <w:iCs/>
        </w:rPr>
      </w:pPr>
      <w:r>
        <w:t xml:space="preserve">egy új </w:t>
      </w:r>
      <w:proofErr w:type="spellStart"/>
      <w:r>
        <w:t>makrorégió</w:t>
      </w:r>
      <w:proofErr w:type="spellEnd"/>
      <w:r>
        <w:t xml:space="preserve"> létrehozását kéri a földközi-tengeri térségben az olyan közös kihívások kezelése érdekében, mint az éghajlatváltozás, a migrációs áramlások, az energetikai átállás és a kék fenntarthatóság.</w:t>
      </w:r>
    </w:p>
    <w:p w14:paraId="54AD92A7" w14:textId="77777777" w:rsidR="00612898" w:rsidRPr="00612898" w:rsidRDefault="00612898" w:rsidP="00612898">
      <w:pPr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bCs/>
          <w:iCs/>
          <w:lang w:val="en-GB"/>
        </w:rPr>
      </w:pPr>
    </w:p>
    <w:tbl>
      <w:tblPr>
        <w:tblStyle w:val="TableGrid1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7839"/>
      </w:tblGrid>
      <w:tr w:rsidR="00612898" w:rsidRPr="00612898" w14:paraId="242A4532" w14:textId="77777777" w:rsidTr="0036489A">
        <w:tc>
          <w:tcPr>
            <w:tcW w:w="1418" w:type="dxa"/>
          </w:tcPr>
          <w:p w14:paraId="21DFEBB5" w14:textId="77777777" w:rsidR="00612898" w:rsidRPr="00612898" w:rsidRDefault="00612898" w:rsidP="006128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7904" w:type="dxa"/>
          </w:tcPr>
          <w:p w14:paraId="26624CD5" w14:textId="0E28249F" w:rsidR="00612898" w:rsidRPr="00612898" w:rsidRDefault="00612898" w:rsidP="006128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Georgios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Meleas</w:t>
            </w:r>
            <w:proofErr w:type="spellEnd"/>
          </w:p>
        </w:tc>
      </w:tr>
      <w:tr w:rsidR="00612898" w:rsidRPr="00612898" w14:paraId="169FB5DD" w14:textId="77777777" w:rsidTr="0036489A">
        <w:tc>
          <w:tcPr>
            <w:tcW w:w="1418" w:type="dxa"/>
          </w:tcPr>
          <w:p w14:paraId="04AD6363" w14:textId="77777777" w:rsidR="00612898" w:rsidRPr="00612898" w:rsidRDefault="00612898" w:rsidP="006128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14:paraId="0ACA86BD" w14:textId="574C92AA" w:rsidR="00612898" w:rsidRPr="00612898" w:rsidRDefault="00612898" w:rsidP="006128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+32 25469795</w:t>
            </w:r>
          </w:p>
        </w:tc>
      </w:tr>
      <w:tr w:rsidR="00612898" w:rsidRPr="00612898" w14:paraId="74BB4CF2" w14:textId="77777777" w:rsidTr="0036489A">
        <w:tc>
          <w:tcPr>
            <w:tcW w:w="1418" w:type="dxa"/>
          </w:tcPr>
          <w:p w14:paraId="0810916A" w14:textId="77777777" w:rsidR="00612898" w:rsidRPr="00612898" w:rsidRDefault="00612898" w:rsidP="006128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904" w:type="dxa"/>
          </w:tcPr>
          <w:p w14:paraId="7EA756D6" w14:textId="77777777" w:rsidR="00612898" w:rsidRPr="00612898" w:rsidRDefault="008B736D" w:rsidP="006128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hyperlink r:id="rId22" w:history="1">
              <w:r w:rsidR="00326BD5">
                <w:rPr>
                  <w:i/>
                  <w:color w:val="0000FF"/>
                  <w:u w:val="single"/>
                </w:rPr>
                <w:t>Georgios.Meleas@eesc.europa.eu</w:t>
              </w:r>
            </w:hyperlink>
          </w:p>
        </w:tc>
      </w:tr>
    </w:tbl>
    <w:p w14:paraId="4982DD96" w14:textId="77777777" w:rsidR="004D7AC0" w:rsidRDefault="004D7AC0" w:rsidP="004D7AC0">
      <w:pPr>
        <w:pStyle w:val="ListParagraph"/>
        <w:ind w:left="0"/>
      </w:pPr>
    </w:p>
    <w:p w14:paraId="4B3225FD" w14:textId="69ABDE54" w:rsidR="00C82E34" w:rsidRPr="00C82E34" w:rsidRDefault="00612898" w:rsidP="00054C58">
      <w:pPr>
        <w:spacing w:after="160" w:line="259" w:lineRule="auto"/>
        <w:jc w:val="left"/>
        <w:rPr>
          <w:b/>
          <w:i/>
          <w:iCs/>
          <w:sz w:val="28"/>
          <w:szCs w:val="28"/>
        </w:rPr>
      </w:pPr>
      <w:r>
        <w:br w:type="page"/>
      </w:r>
      <w:hyperlink r:id="rId23" w:history="1">
        <w:r>
          <w:rPr>
            <w:b/>
            <w:i/>
            <w:color w:val="0000FF"/>
            <w:sz w:val="28"/>
            <w:u w:val="single"/>
          </w:rPr>
          <w:t>Az Európai Regionális Fejlesztési Alap és azon belül az európai területi együttműködés (</w:t>
        </w:r>
        <w:proofErr w:type="spellStart"/>
        <w:r>
          <w:rPr>
            <w:b/>
            <w:i/>
            <w:color w:val="0000FF"/>
            <w:sz w:val="28"/>
            <w:u w:val="single"/>
          </w:rPr>
          <w:t>Interreg</w:t>
        </w:r>
        <w:proofErr w:type="spellEnd"/>
        <w:r>
          <w:rPr>
            <w:b/>
            <w:i/>
            <w:color w:val="0000FF"/>
            <w:sz w:val="28"/>
            <w:u w:val="single"/>
          </w:rPr>
          <w:t>), valamint a Kohéziós Alap létrehozása</w:t>
        </w:r>
      </w:hyperlink>
    </w:p>
    <w:p w14:paraId="5DE846E1" w14:textId="77777777" w:rsidR="00C82E34" w:rsidRPr="00C82E34" w:rsidRDefault="00C82E34" w:rsidP="00C82E34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/>
          <w:i/>
          <w:iCs/>
          <w:sz w:val="20"/>
          <w:szCs w:val="20"/>
          <w:lang w:val="en-GB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C82E34" w:rsidRPr="00C82E34" w14:paraId="2D50146C" w14:textId="77777777" w:rsidTr="0036489A">
        <w:tc>
          <w:tcPr>
            <w:tcW w:w="1701" w:type="dxa"/>
          </w:tcPr>
          <w:p w14:paraId="32F41C20" w14:textId="77777777" w:rsidR="00C82E34" w:rsidRPr="00C82E34" w:rsidRDefault="00C82E34" w:rsidP="00C82E3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7621" w:type="dxa"/>
          </w:tcPr>
          <w:p w14:paraId="297CD7E5" w14:textId="017D2306" w:rsidR="00C82E34" w:rsidRDefault="00C82E34" w:rsidP="00C82E3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David SVENTEK (Munkáltatók/CZ)</w:t>
            </w:r>
          </w:p>
          <w:p w14:paraId="59E7D12A" w14:textId="53E0EAA6" w:rsidR="00446882" w:rsidRPr="00C82E34" w:rsidRDefault="00446882" w:rsidP="00C82E3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</w:p>
        </w:tc>
      </w:tr>
      <w:tr w:rsidR="00C82E34" w:rsidRPr="00C82E34" w14:paraId="4B15388C" w14:textId="77777777" w:rsidTr="0036489A">
        <w:tc>
          <w:tcPr>
            <w:tcW w:w="1701" w:type="dxa"/>
          </w:tcPr>
          <w:p w14:paraId="742C36BE" w14:textId="77777777" w:rsidR="00C82E34" w:rsidRPr="00C82E34" w:rsidRDefault="00C82E34" w:rsidP="00C82E3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7621" w:type="dxa"/>
          </w:tcPr>
          <w:p w14:paraId="5F3D0A1D" w14:textId="77777777" w:rsidR="00C82E34" w:rsidRPr="00C82E34" w:rsidRDefault="00C82E34" w:rsidP="00C82E3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552 </w:t>
            </w:r>
            <w:proofErr w:type="spellStart"/>
            <w:r>
              <w:t>final</w:t>
            </w:r>
            <w:proofErr w:type="spellEnd"/>
          </w:p>
          <w:p w14:paraId="43B9D460" w14:textId="38B53CE0" w:rsidR="00C82E34" w:rsidRPr="00C82E34" w:rsidRDefault="00C82E34" w:rsidP="00C82E3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EESC-2025-03305-00-00-AC</w:t>
            </w:r>
          </w:p>
        </w:tc>
      </w:tr>
    </w:tbl>
    <w:p w14:paraId="08272C41" w14:textId="77777777" w:rsidR="00C82E34" w:rsidRDefault="00C82E34" w:rsidP="00C82E34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61DEFF14" w14:textId="77777777" w:rsidR="00C2078A" w:rsidRPr="00C82E34" w:rsidRDefault="00C2078A" w:rsidP="00C82E34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before="120"/>
        <w:ind w:left="266" w:hanging="266"/>
        <w:textAlignment w:val="baseline"/>
        <w:rPr>
          <w:b/>
          <w:lang w:val="en-GB"/>
        </w:rPr>
      </w:pPr>
    </w:p>
    <w:p w14:paraId="61D96179" w14:textId="77777777" w:rsidR="00C82E34" w:rsidRDefault="00C82E34" w:rsidP="00C82E34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6B7D5112" w14:textId="77777777" w:rsidR="00C82E34" w:rsidRPr="00C82E34" w:rsidRDefault="00C82E34" w:rsidP="00054C58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>hangsúlyozza, hogy a regionális és területi egyenlőtlenségek szükséges csökkentése továbbra is az uniós integráció egyik fő prioritása, és hogy a hagyományos, bevált és hatékony kohéziós politikai eszközök alkalmazása a megfelelő módja annak, hogy az EU valamennyi régiójában támogassák a fenntartható jólétet.</w:t>
      </w:r>
    </w:p>
    <w:p w14:paraId="419C11E1" w14:textId="77777777" w:rsidR="00C82E34" w:rsidRPr="00C82E34" w:rsidRDefault="00C82E34" w:rsidP="00054C58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>azt ajánlja, hogy tisztázzák az ERFA és a Kohéziós Alap szerepét a Nemzeti és Regionális Partnerségi Alapban (NRPA), mégpedig úgy, hogy a rendeletben nemcsak általános és konkrét célkitűzéseket adnak meg, hanem részletesen kidolgozzák azokat. üdvözölné, ha alaposabban kidolgoznák az e vélemény tárgyát képező rendelettervezetet, és legalább egy melléklettel kiegészítenék, amely iránymutatást nyújtana arra vonatkozóan, hogy miként lehet hatékonyan integrálni az ERFA-t és a Kohéziós Alapot az NRPA-</w:t>
      </w:r>
      <w:proofErr w:type="spellStart"/>
      <w:r>
        <w:t>ba</w:t>
      </w:r>
      <w:proofErr w:type="spellEnd"/>
      <w:r>
        <w:t>.</w:t>
      </w:r>
    </w:p>
    <w:p w14:paraId="1B66C5C6" w14:textId="77777777" w:rsidR="00C82E34" w:rsidRPr="00C82E34" w:rsidRDefault="00C82E34" w:rsidP="00054C58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>hangsúlyozza, hogy az új rendszer nem vezethet az ERFA és a Kohéziós Alap jelentőségének és küldetésének csökkenéséhez, különösen a lemaradásban lévő régiók fejlődésének és az ipari területek átalakításának támogatása terén, azt is hangsúlyozza, hogy a partnerség elvének fontos szerepe van a jövőbeli programok kialakításában,</w:t>
      </w:r>
    </w:p>
    <w:p w14:paraId="50BDF906" w14:textId="77777777" w:rsidR="00C82E34" w:rsidRPr="00C82E34" w:rsidRDefault="00C82E34" w:rsidP="00054C58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 xml:space="preserve">egyetért a jövőbeli </w:t>
      </w:r>
      <w:proofErr w:type="spellStart"/>
      <w:r>
        <w:t>Interreg</w:t>
      </w:r>
      <w:proofErr w:type="spellEnd"/>
      <w:r>
        <w:t xml:space="preserve"> program tartalmával és választott kiemelt témáival, valamint azzal, hogy a javasolt konkrét esetekben szinergiában </w:t>
      </w:r>
      <w:proofErr w:type="spellStart"/>
      <w:r>
        <w:t>működjön</w:t>
      </w:r>
      <w:proofErr w:type="spellEnd"/>
      <w:r>
        <w:t xml:space="preserve"> a Globális Európa programmal.</w:t>
      </w:r>
    </w:p>
    <w:p w14:paraId="23072895" w14:textId="77777777" w:rsidR="00C82E34" w:rsidRPr="00C82E34" w:rsidRDefault="00C82E34" w:rsidP="00054C58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 xml:space="preserve">általánosságban egyetért a javaslat innovatív megközelítésével a létrehozott </w:t>
      </w:r>
      <w:proofErr w:type="spellStart"/>
      <w:r>
        <w:t>Interreg</w:t>
      </w:r>
      <w:proofErr w:type="spellEnd"/>
      <w:r>
        <w:t xml:space="preserve"> program jövőjét illetően, különösen támogatja az </w:t>
      </w:r>
      <w:proofErr w:type="spellStart"/>
      <w:r>
        <w:t>Interreg</w:t>
      </w:r>
      <w:proofErr w:type="spellEnd"/>
      <w:r>
        <w:t>-terv egyes fejezeteinek szintjén javasolt végrehajtási struktúrát.</w:t>
      </w:r>
    </w:p>
    <w:p w14:paraId="64ACA7F4" w14:textId="77777777" w:rsidR="00C82E34" w:rsidRPr="00C82E34" w:rsidRDefault="00C82E34" w:rsidP="00054C58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>felhívja a figyelmet annak kockázatára, hogy a határon átnyúló regionális együttműködés szereplői esetleg nem tudnak megállapodásra jutni, mivel a rendelettervezet nem eléggé részletes. azt is ajánlja, hogy a rendelet elfogadását követően azonnal fogadják el a végrehajtási jogi aktust is.</w:t>
      </w:r>
    </w:p>
    <w:p w14:paraId="4EB434F3" w14:textId="77777777" w:rsidR="00C82E34" w:rsidRPr="00C82E34" w:rsidRDefault="00C82E34" w:rsidP="00054C58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>véleménye szerint ajánlatos biztosítani, hogy az alapok tagállami szintű értelmezése és végrehajtása összehasonlítható legyen, és ne legyenek jelentős különbségek a tagállamok között,</w:t>
      </w:r>
    </w:p>
    <w:p w14:paraId="72602B09" w14:textId="77777777" w:rsidR="00C82E34" w:rsidRPr="00C82E34" w:rsidRDefault="00C82E34" w:rsidP="00054C58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szCs w:val="20"/>
        </w:rPr>
      </w:pPr>
      <w:r>
        <w:t>a források hatékonyabb felhasználása érdekében az EGSZB támogatja a végrehajtási és adminisztratív folyamatok egyszerűsítését.</w:t>
      </w:r>
    </w:p>
    <w:p w14:paraId="6E5FF386" w14:textId="77777777" w:rsidR="00C82E34" w:rsidRPr="00056F0F" w:rsidRDefault="00C82E34" w:rsidP="00C2078A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nagyra értékeli, hogy az ERFA-</w:t>
      </w:r>
      <w:proofErr w:type="spellStart"/>
      <w:r>
        <w:t>ról</w:t>
      </w:r>
      <w:proofErr w:type="spellEnd"/>
      <w:r>
        <w:t xml:space="preserve"> és a Kohéziós Alapról szóló rendeletjavaslat lehetőséget biztosít a fenntartható városfejlesztés és ennek keretében az olyan integrált város- és területfejlesztési stratégiák támogatására is, amelyek a fenntartható fejlődésre, valamint a környezetvédelem, az energia és az éghajlat, illetve a tiszta, klímasemleges és </w:t>
      </w:r>
      <w:proofErr w:type="spellStart"/>
      <w:r>
        <w:t>reziliens</w:t>
      </w:r>
      <w:proofErr w:type="spellEnd"/>
      <w:r>
        <w:t xml:space="preserve"> gazdaságra való méltányos átállás területén jelentkező kihívások kezelésére összpontosítanak, különös tekintettel a megfizethető lakhatásra, a szegénységre, a kulturális örökségre, valamint a digitális technológiákban rejlő potenciál innovációs és energiahatékonysági célú felhasználására.</w:t>
      </w:r>
    </w:p>
    <w:p w14:paraId="63EC4849" w14:textId="77777777" w:rsidR="00056F0F" w:rsidRPr="00C82E34" w:rsidRDefault="00056F0F" w:rsidP="00054C58">
      <w:pPr>
        <w:overflowPunct w:val="0"/>
        <w:autoSpaceDE w:val="0"/>
        <w:autoSpaceDN w:val="0"/>
        <w:adjustRightInd w:val="0"/>
        <w:ind w:left="284"/>
        <w:contextualSpacing/>
        <w:textAlignment w:val="baseline"/>
        <w:rPr>
          <w:bCs/>
          <w:iCs/>
          <w:lang w:val="en-GB"/>
        </w:rPr>
      </w:pPr>
    </w:p>
    <w:tbl>
      <w:tblPr>
        <w:tblStyle w:val="TableGrid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7839"/>
      </w:tblGrid>
      <w:tr w:rsidR="00C82E34" w:rsidRPr="00C82E34" w14:paraId="04833A6C" w14:textId="77777777" w:rsidTr="00A87891">
        <w:tc>
          <w:tcPr>
            <w:tcW w:w="1483" w:type="dxa"/>
          </w:tcPr>
          <w:p w14:paraId="720E543D" w14:textId="77777777" w:rsidR="00C82E34" w:rsidRPr="00C82E34" w:rsidRDefault="00C82E34" w:rsidP="00C82E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lastRenderedPageBreak/>
              <w:t>Kapcsolattartó:</w:t>
            </w:r>
          </w:p>
        </w:tc>
        <w:tc>
          <w:tcPr>
            <w:tcW w:w="7839" w:type="dxa"/>
          </w:tcPr>
          <w:p w14:paraId="2AC28C0B" w14:textId="5FFF53BD" w:rsidR="00C82E34" w:rsidRPr="00C82E34" w:rsidRDefault="00C82E34" w:rsidP="00C82E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Georgios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Meleas</w:t>
            </w:r>
            <w:proofErr w:type="spellEnd"/>
          </w:p>
        </w:tc>
      </w:tr>
      <w:tr w:rsidR="00C82E34" w:rsidRPr="00C82E34" w14:paraId="06EB7C5A" w14:textId="77777777" w:rsidTr="00A87891">
        <w:tc>
          <w:tcPr>
            <w:tcW w:w="1483" w:type="dxa"/>
          </w:tcPr>
          <w:p w14:paraId="3964EC18" w14:textId="77777777" w:rsidR="00C82E34" w:rsidRPr="00C82E34" w:rsidRDefault="00C82E34" w:rsidP="00C82E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839" w:type="dxa"/>
          </w:tcPr>
          <w:p w14:paraId="6FC22AA9" w14:textId="7577C11B" w:rsidR="00C82E34" w:rsidRPr="00C82E34" w:rsidRDefault="00C82E34" w:rsidP="00C82E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+32 25469795</w:t>
            </w:r>
          </w:p>
        </w:tc>
      </w:tr>
      <w:tr w:rsidR="00C82E34" w:rsidRPr="00C82E34" w14:paraId="03D8EF0B" w14:textId="77777777" w:rsidTr="00A87891">
        <w:tc>
          <w:tcPr>
            <w:tcW w:w="1483" w:type="dxa"/>
          </w:tcPr>
          <w:p w14:paraId="130E2BFD" w14:textId="77777777" w:rsidR="00C82E34" w:rsidRPr="00C82E34" w:rsidRDefault="00C82E34" w:rsidP="00C82E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839" w:type="dxa"/>
          </w:tcPr>
          <w:p w14:paraId="21BA5198" w14:textId="7C846EBE" w:rsidR="00D6499D" w:rsidRPr="00A87891" w:rsidRDefault="008B736D" w:rsidP="00C82E34">
            <w:pPr>
              <w:overflowPunct w:val="0"/>
              <w:autoSpaceDE w:val="0"/>
              <w:autoSpaceDN w:val="0"/>
              <w:adjustRightInd w:val="0"/>
              <w:textAlignment w:val="baseline"/>
            </w:pPr>
            <w:hyperlink r:id="rId24" w:history="1">
              <w:r w:rsidR="00326BD5">
                <w:rPr>
                  <w:i/>
                  <w:color w:val="0000FF"/>
                  <w:u w:val="single"/>
                </w:rPr>
                <w:t>Georgios.Meleas@eesc.europa.eu</w:t>
              </w:r>
            </w:hyperlink>
          </w:p>
        </w:tc>
      </w:tr>
      <w:tr w:rsidR="00A87891" w:rsidRPr="00C82E34" w14:paraId="4B2D8D43" w14:textId="77777777" w:rsidTr="00A87891">
        <w:tc>
          <w:tcPr>
            <w:tcW w:w="1483" w:type="dxa"/>
          </w:tcPr>
          <w:p w14:paraId="604EE1BC" w14:textId="77777777" w:rsidR="00A87891" w:rsidRDefault="00A87891" w:rsidP="00C82E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7839" w:type="dxa"/>
          </w:tcPr>
          <w:p w14:paraId="4D36D245" w14:textId="77777777" w:rsidR="00A87891" w:rsidRDefault="00A87891" w:rsidP="00C82E3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2E1CCC31" w14:textId="77777777" w:rsidR="00A87891" w:rsidRDefault="00A87891">
      <w:r>
        <w:br w:type="page"/>
      </w:r>
    </w:p>
    <w:p w14:paraId="4982DD99" w14:textId="77777777" w:rsidR="004D7AC0" w:rsidRDefault="004D7AC0" w:rsidP="004D7AC0">
      <w:pPr>
        <w:pStyle w:val="Heading1"/>
        <w:rPr>
          <w:b/>
        </w:rPr>
      </w:pPr>
      <w:bookmarkStart w:id="1" w:name="_Toc75527081"/>
      <w:bookmarkStart w:id="2" w:name="_Toc216962441"/>
      <w:r>
        <w:rPr>
          <w:b/>
        </w:rPr>
        <w:lastRenderedPageBreak/>
        <w:t>FOGLALKOZTATÁS- ÉS SZOCIÁLPOLITIKA, UNIÓS POLGÁRSÁG</w:t>
      </w:r>
      <w:bookmarkEnd w:id="1"/>
      <w:bookmarkEnd w:id="2"/>
    </w:p>
    <w:p w14:paraId="4982DD9A" w14:textId="77777777" w:rsidR="004D7AC0" w:rsidRDefault="004D7AC0" w:rsidP="004D7AC0"/>
    <w:p w14:paraId="0203F323" w14:textId="77777777" w:rsidR="00C24C34" w:rsidRDefault="00C24C34" w:rsidP="004D7AC0"/>
    <w:p w14:paraId="0D85C8AE" w14:textId="4B607989" w:rsidR="00E972B2" w:rsidRPr="00E972B2" w:rsidRDefault="008B736D" w:rsidP="00E972B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</w:rPr>
      </w:pPr>
      <w:hyperlink r:id="rId25" w:history="1">
        <w:r w:rsidR="00E972B2">
          <w:rPr>
            <w:rStyle w:val="Hyperlink"/>
            <w:b/>
            <w:i/>
            <w:sz w:val="28"/>
          </w:rPr>
          <w:t>Az újságírók és médiaszakemberek munkavállalói jogai a függetlenség és a valósághű tájékoztatás biztosítékaként</w:t>
        </w:r>
      </w:hyperlink>
    </w:p>
    <w:p w14:paraId="60707368" w14:textId="77777777" w:rsidR="00E972B2" w:rsidRDefault="00E972B2" w:rsidP="00E972B2">
      <w:pPr>
        <w:tabs>
          <w:tab w:val="center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 w:val="16"/>
          <w:szCs w:val="16"/>
        </w:rPr>
      </w:pPr>
    </w:p>
    <w:p w14:paraId="6F01FD8F" w14:textId="77777777" w:rsidR="00DB1B79" w:rsidRDefault="00DB1B79" w:rsidP="00E972B2">
      <w:pPr>
        <w:tabs>
          <w:tab w:val="center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 w:val="16"/>
          <w:szCs w:val="16"/>
        </w:rPr>
      </w:pPr>
    </w:p>
    <w:p w14:paraId="0ABA41B8" w14:textId="77777777" w:rsidR="000C7C8B" w:rsidRDefault="000C7C8B" w:rsidP="00E972B2">
      <w:pPr>
        <w:tabs>
          <w:tab w:val="center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 w:val="16"/>
          <w:szCs w:val="16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237"/>
      </w:tblGrid>
      <w:tr w:rsidR="00E972B2" w:rsidRPr="00E972B2" w14:paraId="7386250C" w14:textId="77777777" w:rsidTr="0036489A">
        <w:tc>
          <w:tcPr>
            <w:tcW w:w="1701" w:type="dxa"/>
          </w:tcPr>
          <w:p w14:paraId="55083F76" w14:textId="77777777" w:rsidR="00E972B2" w:rsidRPr="00E972B2" w:rsidRDefault="00E972B2" w:rsidP="00E972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  <w:p w14:paraId="3877742D" w14:textId="77777777" w:rsidR="00E972B2" w:rsidRPr="00E972B2" w:rsidRDefault="00E972B2" w:rsidP="00E972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Társelőadó:</w:t>
            </w:r>
          </w:p>
        </w:tc>
        <w:tc>
          <w:tcPr>
            <w:tcW w:w="6237" w:type="dxa"/>
          </w:tcPr>
          <w:p w14:paraId="59B0A1D0" w14:textId="77777777" w:rsidR="00E972B2" w:rsidRPr="00E972B2" w:rsidRDefault="00E972B2" w:rsidP="00E972B2">
            <w:p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José Antonio MORENO DÍAZ (Munkavállalók/ES)</w:t>
            </w:r>
          </w:p>
          <w:p w14:paraId="683C7CA1" w14:textId="4F234B12" w:rsidR="00E972B2" w:rsidRPr="00E972B2" w:rsidRDefault="00E972B2" w:rsidP="00E972B2">
            <w:p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Christian MOOS (Civil társadalmi szervezetek/DE)</w:t>
            </w:r>
          </w:p>
        </w:tc>
      </w:tr>
      <w:tr w:rsidR="00E972B2" w:rsidRPr="00E972B2" w14:paraId="403DF22C" w14:textId="77777777" w:rsidTr="0036489A">
        <w:tc>
          <w:tcPr>
            <w:tcW w:w="1701" w:type="dxa"/>
            <w:vMerge w:val="restart"/>
          </w:tcPr>
          <w:p w14:paraId="7C482129" w14:textId="77777777" w:rsidR="00E972B2" w:rsidRPr="00E972B2" w:rsidRDefault="00E972B2" w:rsidP="00E972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</w:p>
          <w:p w14:paraId="762D1FFF" w14:textId="77777777" w:rsidR="00E972B2" w:rsidRPr="00E972B2" w:rsidRDefault="00E972B2" w:rsidP="00E972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6237" w:type="dxa"/>
          </w:tcPr>
          <w:p w14:paraId="3C316E73" w14:textId="77777777" w:rsidR="00E972B2" w:rsidRPr="00054C58" w:rsidRDefault="00E972B2" w:rsidP="00E972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lang w:val="en-GB"/>
              </w:rPr>
            </w:pPr>
          </w:p>
          <w:p w14:paraId="29981116" w14:textId="11CD9731" w:rsidR="00DB1B79" w:rsidRPr="00054C58" w:rsidRDefault="00DB1B79" w:rsidP="00E972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saját kezdeményezésű vélemény</w:t>
            </w:r>
          </w:p>
          <w:p w14:paraId="4F671282" w14:textId="1803C443" w:rsidR="00E972B2" w:rsidRPr="00054C58" w:rsidRDefault="00E972B2" w:rsidP="00E972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EESC-2025-01400-00-00-AC</w:t>
            </w:r>
          </w:p>
        </w:tc>
      </w:tr>
      <w:tr w:rsidR="00E972B2" w:rsidRPr="00E972B2" w14:paraId="5DAEC2A3" w14:textId="77777777" w:rsidTr="0036489A">
        <w:tc>
          <w:tcPr>
            <w:tcW w:w="1701" w:type="dxa"/>
            <w:vMerge/>
          </w:tcPr>
          <w:p w14:paraId="23805FDF" w14:textId="77777777" w:rsidR="00E972B2" w:rsidRPr="00054C58" w:rsidRDefault="00E972B2" w:rsidP="00E972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en-GB"/>
              </w:rPr>
            </w:pPr>
          </w:p>
        </w:tc>
        <w:tc>
          <w:tcPr>
            <w:tcW w:w="6237" w:type="dxa"/>
          </w:tcPr>
          <w:p w14:paraId="0EEAB858" w14:textId="77777777" w:rsidR="00E972B2" w:rsidRPr="00054C58" w:rsidRDefault="00E972B2" w:rsidP="00E972B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16"/>
                <w:szCs w:val="16"/>
                <w:lang w:val="en-GB"/>
              </w:rPr>
            </w:pPr>
          </w:p>
        </w:tc>
      </w:tr>
    </w:tbl>
    <w:p w14:paraId="770A689E" w14:textId="77777777" w:rsidR="00C24C34" w:rsidRDefault="00C24C34" w:rsidP="00E972B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146DC9AC" w14:textId="5044B617" w:rsidR="00E972B2" w:rsidRPr="00E972B2" w:rsidRDefault="00E972B2" w:rsidP="00E972B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7CEC89B2" w14:textId="77777777" w:rsidR="00C24C34" w:rsidRPr="00E972B2" w:rsidRDefault="00C24C34" w:rsidP="00E972B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09C084B" w14:textId="11E1ED7F" w:rsidR="00E972B2" w:rsidRDefault="00E972B2" w:rsidP="00E972B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Cs w:val="20"/>
        </w:rPr>
      </w:pPr>
      <w:r>
        <w:t>Az EGSZB:</w:t>
      </w:r>
    </w:p>
    <w:p w14:paraId="466A1A93" w14:textId="77777777" w:rsidR="00C24C34" w:rsidRDefault="00C24C34" w:rsidP="00E972B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Cs w:val="20"/>
          <w:lang w:val="en-GB"/>
        </w:rPr>
      </w:pPr>
    </w:p>
    <w:p w14:paraId="3CF6F831" w14:textId="59E2F641" w:rsidR="00E972B2" w:rsidRDefault="00E972B2" w:rsidP="00FC7F19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 w:rsidRPr="00FC7F19">
        <w:t xml:space="preserve">arra kéri a hatóságokat, hogy sürgősen hozzanak </w:t>
      </w:r>
      <w:proofErr w:type="spellStart"/>
      <w:r w:rsidRPr="00FC7F19">
        <w:t>védintézkedéseket</w:t>
      </w:r>
      <w:proofErr w:type="spellEnd"/>
      <w:r w:rsidRPr="00FC7F19">
        <w:t xml:space="preserve"> az újságírók egyre bizonytalanabb munkakörülményeivel szemben, és kéri a tömegtájékoztatás szabadságáról szóló európai rendelet teljes körű alkalmazását. Kéri továbbá, hogy az európai médiaágazat fenntarthatóságának biztosítása érdekében a meglévő támogatások kiegészítéseként gondoskodjanak független támogatásról a médiaorgánumok számára, és jelentősen növeljék a stabil információs ökoszisztéma védelmére szánt forrásokat;</w:t>
      </w:r>
    </w:p>
    <w:p w14:paraId="730E0855" w14:textId="15AD70F1" w:rsidR="00FC7F19" w:rsidRDefault="00FC7F19" w:rsidP="00FC7F19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arra kéri az Európai Bizottságot, hogy terjesszen elő egy olyan ambiciózus csomagot, amely szakpolitikai intézkedéseket és beruházásokat is előirányoz annak érdekében, hogy elő lehessen segíteni a minőségi munkahelyeket a médiaágazatban, valamint arra kéri a kormányokat, hogy valamennyi újságíró, köztük a szabadúszók számára is mozdítsák elő a szociális párbeszédet és a kollektív tárgyalásokat azáltal, hogy – ahol az alkalmazható – átültetik a megfelelő minimálbérekről szóló irányelvet</w:t>
      </w:r>
      <w:r w:rsidRPr="00E972B2">
        <w:rPr>
          <w:sz w:val="24"/>
          <w:szCs w:val="24"/>
          <w:vertAlign w:val="superscript"/>
          <w:lang w:val="en-GB"/>
        </w:rPr>
        <w:footnoteReference w:id="1"/>
      </w:r>
      <w:r>
        <w:t>, valamint azt az iránymutatást, amely arról szól, hogy miként kell alkalmazni az uniós versenyjogot az egyéni önfoglalkoztatók munkafeltételeire vonatkozó kollektív szerződéseknél</w:t>
      </w:r>
      <w:r w:rsidRPr="00E972B2">
        <w:rPr>
          <w:sz w:val="24"/>
          <w:szCs w:val="24"/>
          <w:vertAlign w:val="superscript"/>
          <w:lang w:val="en-GB"/>
        </w:rPr>
        <w:footnoteReference w:id="2"/>
      </w:r>
      <w:r>
        <w:t>. Arra kéri továbbá az Európai Bizottságot és a tagállamokat, hogy lépjenek fel a színlelt önfoglalkoztatás ellen.</w:t>
      </w:r>
    </w:p>
    <w:p w14:paraId="26E5CCEA" w14:textId="7104557E" w:rsidR="00FC7F19" w:rsidRDefault="00FC7F19" w:rsidP="00FC7F19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arra kéri az Európai Bizottságot, hogy kövesse nyomon az újságírók védelméről, biztonságáról és szerepvállalásának biztosításáról szóló ajánlást</w:t>
      </w:r>
      <w:r w:rsidRPr="00FC7F19">
        <w:footnoteReference w:id="3"/>
      </w:r>
      <w:r>
        <w:t xml:space="preserve"> , és hangsúlyozza, hogy szorosabb együttműködésre van szükség az újságírói szervezetekkel, hogy olyan struktúrákat építsenek ki, amelyek megvédhetik az újságírók biztonságát. Az újságírók olyan munkavállalók, akik jelentős mértékben ki vannak téve a stressznek, a kiégésnek, az online zaklatásnak és a digitális túlterheltségnek. Hasznos lenne, ha az Európai Bizottság fontolóra venné, milyen további lépéseket kell tenni a </w:t>
      </w:r>
      <w:proofErr w:type="spellStart"/>
      <w:r>
        <w:t>pszichoszociális</w:t>
      </w:r>
      <w:proofErr w:type="spellEnd"/>
      <w:r>
        <w:t xml:space="preserve"> kockázatokról szóló irányelv elfogadására felszólító, 2022. március </w:t>
      </w:r>
      <w:r>
        <w:lastRenderedPageBreak/>
        <w:t>10-i európai parlamenti állásfoglalást követően. Az EGSZB készen áll arra, hogy véleményt dolgozzon ki ebben a témában</w:t>
      </w:r>
      <w:r w:rsidRPr="00E972B2">
        <w:rPr>
          <w:sz w:val="24"/>
          <w:szCs w:val="20"/>
          <w:vertAlign w:val="superscript"/>
          <w:lang w:val="en-GB"/>
        </w:rPr>
        <w:footnoteReference w:id="4"/>
      </w:r>
      <w:r>
        <w:t>.</w:t>
      </w:r>
    </w:p>
    <w:p w14:paraId="15FE9461" w14:textId="77777777" w:rsidR="00E972B2" w:rsidRPr="00FC7F19" w:rsidRDefault="00E972B2" w:rsidP="00FC7F19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arra kéri az Európai Bizottságot, hogy kövesse nyomon a mesterséges intelligencia (MI) használatára vonatkozó uniós jogszabályi keret alkalmazását, hogy biztosítani lehessen az újságírók védelmét. Emellett arra ösztönzi az újságírói szakszervezeteket és a médiaszervezeteket, hogy a szociális párbeszéd keretében foglalkozzanak azokkal a kérdésekkel, amelyek a mesterséges intelligencia szerkesztőségekben történő használatával kapcsolatosan merülnek fel.  Kéri továbbá, hogy hozzanak létre finanszírozási rendszert az újságírók mesterséges intelligenciával kapcsolatos jártasságát fejlesztő projektek számára, fontolóra véve, hogy miként lehetne </w:t>
      </w:r>
      <w:proofErr w:type="spellStart"/>
      <w:r>
        <w:t>társfinanszírozni</w:t>
      </w:r>
      <w:proofErr w:type="spellEnd"/>
      <w:r>
        <w:t xml:space="preserve"> „európai újságírói akadémiákat”, valamint képzést és fizetési támogatást nyújtani fiatal újságíróknak azoknál a médiavállalatoknál, amelyek a minőségi újságírás és a munkakörülmények magas színvonaláról tesznek tanúbizonyságot.</w:t>
      </w:r>
    </w:p>
    <w:p w14:paraId="628F03B6" w14:textId="77777777" w:rsidR="00E972B2" w:rsidRPr="00E972B2" w:rsidRDefault="00E972B2" w:rsidP="00E972B2">
      <w:pPr>
        <w:overflowPunct w:val="0"/>
        <w:autoSpaceDE w:val="0"/>
        <w:autoSpaceDN w:val="0"/>
        <w:adjustRightInd w:val="0"/>
        <w:textAlignment w:val="baseline"/>
        <w:rPr>
          <w:szCs w:val="20"/>
          <w:lang w:val="en-GB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4493"/>
      </w:tblGrid>
      <w:tr w:rsidR="00E972B2" w:rsidRPr="00E972B2" w14:paraId="2A48BF49" w14:textId="77777777" w:rsidTr="0036489A">
        <w:tc>
          <w:tcPr>
            <w:tcW w:w="1210" w:type="dxa"/>
          </w:tcPr>
          <w:p w14:paraId="238E38FB" w14:textId="77777777" w:rsidR="00E972B2" w:rsidRPr="00E972B2" w:rsidRDefault="00E972B2" w:rsidP="00E972B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4493" w:type="dxa"/>
          </w:tcPr>
          <w:p w14:paraId="222CC330" w14:textId="77777777" w:rsidR="00E972B2" w:rsidRPr="00E972B2" w:rsidRDefault="00E972B2" w:rsidP="00E972B2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2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June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Bedaton</w:t>
            </w:r>
            <w:proofErr w:type="spellEnd"/>
          </w:p>
        </w:tc>
      </w:tr>
      <w:tr w:rsidR="00E972B2" w:rsidRPr="00E972B2" w14:paraId="6AAFD04B" w14:textId="77777777" w:rsidTr="0036489A">
        <w:tc>
          <w:tcPr>
            <w:tcW w:w="1210" w:type="dxa"/>
          </w:tcPr>
          <w:p w14:paraId="43DF2BDC" w14:textId="77777777" w:rsidR="00E972B2" w:rsidRPr="00E972B2" w:rsidRDefault="00E972B2" w:rsidP="00E972B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493" w:type="dxa"/>
          </w:tcPr>
          <w:p w14:paraId="63A276AE" w14:textId="77777777" w:rsidR="00E972B2" w:rsidRPr="00E972B2" w:rsidRDefault="00E972B2" w:rsidP="00E972B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+32 25468134</w:t>
            </w:r>
          </w:p>
        </w:tc>
      </w:tr>
      <w:tr w:rsidR="00E972B2" w:rsidRPr="00E972B2" w14:paraId="20D34920" w14:textId="77777777" w:rsidTr="0036489A">
        <w:tc>
          <w:tcPr>
            <w:tcW w:w="1210" w:type="dxa"/>
          </w:tcPr>
          <w:p w14:paraId="75D6BA57" w14:textId="77777777" w:rsidR="00E972B2" w:rsidRPr="00E972B2" w:rsidRDefault="00E972B2" w:rsidP="00E972B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493" w:type="dxa"/>
          </w:tcPr>
          <w:p w14:paraId="49B7876D" w14:textId="77777777" w:rsidR="00E972B2" w:rsidRPr="00E972B2" w:rsidRDefault="008B736D" w:rsidP="00E972B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r:id="rId26" w:history="1">
              <w:r w:rsidR="00326BD5">
                <w:rPr>
                  <w:i/>
                  <w:color w:val="0000FF"/>
                  <w:u w:val="single"/>
                </w:rPr>
                <w:t>june.bedaton@eesc.europa.eu</w:t>
              </w:r>
            </w:hyperlink>
            <w:r w:rsidR="00326BD5">
              <w:rPr>
                <w:i/>
              </w:rPr>
              <w:t xml:space="preserve"> </w:t>
            </w:r>
          </w:p>
        </w:tc>
      </w:tr>
    </w:tbl>
    <w:p w14:paraId="4982DDC2" w14:textId="77777777" w:rsidR="004D7AC0" w:rsidRDefault="004D7AC0" w:rsidP="004D7AC0">
      <w:pPr>
        <w:pStyle w:val="ListParagraph"/>
        <w:ind w:left="0"/>
      </w:pPr>
    </w:p>
    <w:p w14:paraId="3BBEED3B" w14:textId="2A08F509" w:rsidR="008D0052" w:rsidRPr="008D0052" w:rsidRDefault="004D7AC0" w:rsidP="008D005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b/>
        </w:rPr>
      </w:pPr>
      <w:r>
        <w:br w:type="page"/>
      </w:r>
      <w:hyperlink r:id="rId27" w:history="1">
        <w:r>
          <w:rPr>
            <w:b/>
            <w:i/>
            <w:color w:val="0000FF"/>
            <w:sz w:val="28"/>
            <w:u w:val="single"/>
          </w:rPr>
          <w:t xml:space="preserve">Az </w:t>
        </w:r>
        <w:proofErr w:type="spellStart"/>
        <w:r>
          <w:rPr>
            <w:b/>
            <w:i/>
            <w:color w:val="0000FF"/>
            <w:sz w:val="28"/>
            <w:u w:val="single"/>
          </w:rPr>
          <w:t>AgoraEU</w:t>
        </w:r>
        <w:proofErr w:type="spellEnd"/>
        <w:r>
          <w:rPr>
            <w:b/>
            <w:i/>
            <w:color w:val="0000FF"/>
            <w:sz w:val="28"/>
            <w:u w:val="single"/>
          </w:rPr>
          <w:t xml:space="preserve"> és a Jogérvényesülés program</w:t>
        </w:r>
      </w:hyperlink>
    </w:p>
    <w:p w14:paraId="269FC09C" w14:textId="77777777" w:rsidR="008D0052" w:rsidRDefault="008D0052" w:rsidP="008D0052">
      <w:pPr>
        <w:tabs>
          <w:tab w:val="center" w:pos="284"/>
        </w:tabs>
        <w:overflowPunct w:val="0"/>
        <w:autoSpaceDE w:val="0"/>
        <w:autoSpaceDN w:val="0"/>
        <w:adjustRightInd w:val="0"/>
        <w:ind w:left="567" w:hanging="567"/>
        <w:textAlignment w:val="baseline"/>
        <w:rPr>
          <w:sz w:val="16"/>
          <w:szCs w:val="16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237"/>
      </w:tblGrid>
      <w:tr w:rsidR="008D0052" w:rsidRPr="008D0052" w14:paraId="439074D0" w14:textId="77777777" w:rsidTr="0036489A">
        <w:tc>
          <w:tcPr>
            <w:tcW w:w="1701" w:type="dxa"/>
          </w:tcPr>
          <w:p w14:paraId="59ACE1C9" w14:textId="77777777" w:rsidR="008D0052" w:rsidRPr="008D0052" w:rsidRDefault="008D0052" w:rsidP="008D00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6237" w:type="dxa"/>
          </w:tcPr>
          <w:p w14:paraId="585EAFF0" w14:textId="77777777" w:rsidR="008D0052" w:rsidRPr="008D0052" w:rsidRDefault="008D0052" w:rsidP="008D0052">
            <w:pPr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proofErr w:type="spellStart"/>
            <w:r>
              <w:t>Ionuţ</w:t>
            </w:r>
            <w:proofErr w:type="spellEnd"/>
            <w:r>
              <w:t xml:space="preserve"> SIBIAN (Civil társadalmi szervezetek/RO)</w:t>
            </w:r>
          </w:p>
        </w:tc>
      </w:tr>
      <w:tr w:rsidR="008D0052" w:rsidRPr="008D0052" w14:paraId="43DDD9C1" w14:textId="77777777" w:rsidTr="0036489A">
        <w:tc>
          <w:tcPr>
            <w:tcW w:w="1701" w:type="dxa"/>
            <w:vMerge w:val="restart"/>
          </w:tcPr>
          <w:p w14:paraId="17DE1540" w14:textId="77777777" w:rsidR="008D0052" w:rsidRPr="008D0052" w:rsidRDefault="008D0052" w:rsidP="008D00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</w:p>
          <w:p w14:paraId="3DE1E8E1" w14:textId="77777777" w:rsidR="008D0052" w:rsidRPr="008D0052" w:rsidRDefault="008D0052" w:rsidP="008D00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6237" w:type="dxa"/>
          </w:tcPr>
          <w:p w14:paraId="1EAFD529" w14:textId="77777777" w:rsidR="008D0052" w:rsidRPr="008D0052" w:rsidRDefault="008D0052" w:rsidP="008D00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lang w:val="pt-PT"/>
              </w:rPr>
            </w:pPr>
          </w:p>
          <w:p w14:paraId="5CB40F8B" w14:textId="72EE90C4" w:rsidR="00D6499D" w:rsidRDefault="008D0052" w:rsidP="008D00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 xml:space="preserve">COM(2025) 463 </w:t>
            </w:r>
            <w:proofErr w:type="spellStart"/>
            <w:r>
              <w:t>final</w:t>
            </w:r>
            <w:proofErr w:type="spellEnd"/>
          </w:p>
          <w:p w14:paraId="1E0886B9" w14:textId="77777777" w:rsidR="008D0052" w:rsidRDefault="008D0052" w:rsidP="008D00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 xml:space="preserve">COM(2025) 550 </w:t>
            </w:r>
            <w:proofErr w:type="spellStart"/>
            <w:r>
              <w:t>final</w:t>
            </w:r>
            <w:proofErr w:type="spellEnd"/>
          </w:p>
          <w:p w14:paraId="36D67FA6" w14:textId="77777777" w:rsidR="00F65006" w:rsidRDefault="00F65006" w:rsidP="008D00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</w:pPr>
            <w:r>
              <w:t>EESC-2025-02823-00-00-AC</w:t>
            </w:r>
          </w:p>
          <w:p w14:paraId="53FD9F87" w14:textId="5EF766CA" w:rsidR="00AA61BE" w:rsidRPr="008D0052" w:rsidRDefault="00AA61BE" w:rsidP="008D00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67" w:hanging="567"/>
              <w:textAlignment w:val="baseline"/>
              <w:rPr>
                <w:lang w:val="pt-PT"/>
              </w:rPr>
            </w:pPr>
          </w:p>
        </w:tc>
      </w:tr>
      <w:tr w:rsidR="008D0052" w:rsidRPr="008D0052" w14:paraId="53E4D815" w14:textId="77777777" w:rsidTr="0036489A">
        <w:tc>
          <w:tcPr>
            <w:tcW w:w="1701" w:type="dxa"/>
            <w:vMerge/>
          </w:tcPr>
          <w:p w14:paraId="30F7A78B" w14:textId="77777777" w:rsidR="008D0052" w:rsidRPr="008D0052" w:rsidRDefault="008D0052" w:rsidP="008D00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pt-PT"/>
              </w:rPr>
            </w:pPr>
          </w:p>
        </w:tc>
        <w:tc>
          <w:tcPr>
            <w:tcW w:w="6237" w:type="dxa"/>
          </w:tcPr>
          <w:p w14:paraId="27E33E96" w14:textId="77777777" w:rsidR="008D0052" w:rsidRPr="008D0052" w:rsidRDefault="008D0052" w:rsidP="008D005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sz w:val="2"/>
                <w:szCs w:val="2"/>
                <w:lang w:val="pt-PT"/>
              </w:rPr>
            </w:pPr>
          </w:p>
        </w:tc>
      </w:tr>
    </w:tbl>
    <w:p w14:paraId="0D42846F" w14:textId="77777777" w:rsidR="008D0052" w:rsidRPr="008D0052" w:rsidRDefault="008D0052" w:rsidP="008D005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4BDF51E4" w14:textId="77777777" w:rsidR="008D0052" w:rsidRPr="008D0052" w:rsidRDefault="008D0052" w:rsidP="008D005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5155812D" w14:textId="77777777" w:rsidR="008D0052" w:rsidRDefault="008D0052" w:rsidP="008D0052">
      <w:pPr>
        <w:jc w:val="left"/>
        <w:rPr>
          <w:b/>
          <w:bCs/>
        </w:rPr>
      </w:pPr>
      <w:r>
        <w:rPr>
          <w:b/>
        </w:rPr>
        <w:t>Az EGSZB:</w:t>
      </w:r>
    </w:p>
    <w:p w14:paraId="6CD2846B" w14:textId="77777777" w:rsidR="00F65006" w:rsidRPr="008D0052" w:rsidRDefault="00F65006" w:rsidP="008D0052">
      <w:pPr>
        <w:jc w:val="left"/>
        <w:rPr>
          <w:lang w:val="fr-BE" w:eastAsia="fr-BE"/>
        </w:rPr>
      </w:pPr>
    </w:p>
    <w:p w14:paraId="58498405" w14:textId="77777777" w:rsidR="008D0052" w:rsidRPr="008D0052" w:rsidRDefault="008D0052" w:rsidP="00054C5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üdvözli az </w:t>
      </w:r>
      <w:proofErr w:type="spellStart"/>
      <w:r>
        <w:t>AgoraEU-ra</w:t>
      </w:r>
      <w:proofErr w:type="spellEnd"/>
      <w:r>
        <w:t xml:space="preserve"> és a Jogérvényesülés programra irányuló európai bizottsági javaslatokat, és arra kéri az Európai Parlamentet és a Tanácsot, hogy a javasolt pénzügyi keret csökkentése nélkül hagyják jóvá a javaslatokat,</w:t>
      </w:r>
    </w:p>
    <w:p w14:paraId="175AAA81" w14:textId="77777777" w:rsidR="008D0052" w:rsidRPr="008D0052" w:rsidRDefault="008D0052" w:rsidP="00054C5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kéri, hogy kifejezetten ismerjék el, hogy az érdekérvényesítés a civil társadalmi szervezetek munkájának kulcsfontosságú része, illetve hogy a civil társadalom politikai döntéshozatalba való bevonása a demokratikus részvétel és a társadalmi </w:t>
      </w:r>
      <w:proofErr w:type="spellStart"/>
      <w:r>
        <w:t>reziliencia</w:t>
      </w:r>
      <w:proofErr w:type="spellEnd"/>
      <w:r>
        <w:t xml:space="preserve"> megerősítésének szerves része,</w:t>
      </w:r>
    </w:p>
    <w:p w14:paraId="0C4BE5EB" w14:textId="77777777" w:rsidR="008D0052" w:rsidRPr="008D0052" w:rsidRDefault="008D0052" w:rsidP="00054C5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javasolja, hogy az </w:t>
      </w:r>
      <w:proofErr w:type="spellStart"/>
      <w:r>
        <w:t>AgoraEU</w:t>
      </w:r>
      <w:proofErr w:type="spellEnd"/>
      <w:r>
        <w:t xml:space="preserve"> valamennyi ágában vezessenek be működési támogatásokat a civil társadalom intézményi </w:t>
      </w:r>
      <w:proofErr w:type="spellStart"/>
      <w:r>
        <w:t>rezilienciájának</w:t>
      </w:r>
      <w:proofErr w:type="spellEnd"/>
      <w:r>
        <w:t xml:space="preserve"> megerősítése érdekében, és kéri, hogy bővítsék a működési támogatásokat a Jogérvényesülés program keretében az általános európai érdekű célt követő nonprofit szervezetek számára,</w:t>
      </w:r>
    </w:p>
    <w:p w14:paraId="56C00DAF" w14:textId="77777777" w:rsidR="008D0052" w:rsidRPr="008D0052" w:rsidRDefault="008D0052" w:rsidP="00054C5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támogatja, hogy közvetítő szervezeteken keresztül továbbra is lehessen pénzügyi támogatást nyújtani harmadik feleknek a kisebb és alulról szerveződő szervezetek elérésére. Kéri, hogy a közvetítők kiválasztása során tekintsék kulcsfontosságú támogathatósági kritériumnak azt, hogy ezek függetlenek legyenek, valamint hogy irányításuk és tevékenységeik megfeleljenek az Európai Unió Alapjogi Chartájának. Az EGSZB azt is kéri, hogy egyértelműsítsék a társfinanszírozási arányokat, és azt ajánlja, hogy tegyék lehetővé, hogy akár 100%-os uniós finanszírozást lehessen nyújtani a támogatások kedvezményezettjeinek, valamint olyan közvetítő szervezeteknek, amelyek valamilyen átruházott tevékenységet hajtanak végre,</w:t>
      </w:r>
    </w:p>
    <w:p w14:paraId="20D9DDF3" w14:textId="77777777" w:rsidR="008D0052" w:rsidRPr="008D0052" w:rsidRDefault="008D0052" w:rsidP="00054C5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megjegyzi, hogy ki kell igazítani a „Kreatív Európa” tájékoztató irodák feladatkörét és emberi erőforrásait, hogy képesek legyenek hatékonyan támogatni az </w:t>
      </w:r>
      <w:proofErr w:type="spellStart"/>
      <w:r>
        <w:t>AgoraEU</w:t>
      </w:r>
      <w:proofErr w:type="spellEnd"/>
      <w:r>
        <w:t xml:space="preserve"> által lefedett szélesebb területeket a kulturális, a média- és a polgári szféra terén,</w:t>
      </w:r>
    </w:p>
    <w:p w14:paraId="612471EA" w14:textId="77777777" w:rsidR="008D0052" w:rsidRPr="008D0052" w:rsidRDefault="008D0052" w:rsidP="00054C5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rugalmasságot és biztosítékok (például indexálást, korrekciós mechanizmusokat) szorgalmaz az egyösszegű kifizetések és a többéves támogatások alkalmazása terén, hogy el lehessen kerülni a kedvezményezettekre nehezedő pénzügyi </w:t>
      </w:r>
      <w:proofErr w:type="spellStart"/>
      <w:r>
        <w:t>terheket</w:t>
      </w:r>
      <w:proofErr w:type="spellEnd"/>
      <w:r>
        <w:t>,</w:t>
      </w:r>
    </w:p>
    <w:p w14:paraId="4E331884" w14:textId="77777777" w:rsidR="008D0052" w:rsidRPr="008D0052" w:rsidRDefault="008D0052" w:rsidP="00054C5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szinergiákat szorgalmaz az Európai Versenyképességi Alap és az </w:t>
      </w:r>
      <w:proofErr w:type="spellStart"/>
      <w:r>
        <w:t>AgoraEU</w:t>
      </w:r>
      <w:proofErr w:type="spellEnd"/>
      <w:r>
        <w:t xml:space="preserve"> „MEDIA+” ága között; kéri az Európai Bizottságot, hogy segítse összehozni egymással a támogatási kedvezményezetteket, valamint dolgozzon ki cselekvési tervet, hogy működőképessé váljon a két rendelet kombinált és kumulatív finanszírozása, ennek jegyében közös pályázati felhívásokat, teljesítménymutatókat, illetve együttműködést szorgalmaz a bizottsági főigazgatóságok között,</w:t>
      </w:r>
    </w:p>
    <w:p w14:paraId="1940591F" w14:textId="77777777" w:rsidR="008D0052" w:rsidRPr="008D0052" w:rsidRDefault="008D0052" w:rsidP="00054C5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javasolja, hogy a Jogérvényesülés programban helyezzenek nagyobb hangsúlyt az áldozatok jogaira és az igazságszolgáltatáshoz való hozzáférésre, finanszírozást biztosítva a támogató hálózatok számára, a gyakorló szakemberek képzéséhez és a határon átnyúló jogi segítségnyújtáshoz;</w:t>
      </w:r>
    </w:p>
    <w:p w14:paraId="54A7B395" w14:textId="77777777" w:rsidR="008D0052" w:rsidRPr="008D0052" w:rsidRDefault="008D0052" w:rsidP="00054C5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lastRenderedPageBreak/>
        <w:t>kéri, hogy mindkét programban kezeljék a finanszírozással kapcsolatban az EU-n belül észlelt egyensúlyhiányokat, különösen a kelet-nyugati megosztottságot,</w:t>
      </w:r>
    </w:p>
    <w:p w14:paraId="40A1333F" w14:textId="77777777" w:rsidR="008D0052" w:rsidRPr="008D0052" w:rsidRDefault="008D0052" w:rsidP="00054C58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sajnálatát fejezi ki amiatt, hogy a civil párbeszéddel foglalkozó munkacsoport kikerült az </w:t>
      </w:r>
      <w:proofErr w:type="spellStart"/>
      <w:r>
        <w:t>AgoraEU</w:t>
      </w:r>
      <w:proofErr w:type="spellEnd"/>
      <w:r>
        <w:t xml:space="preserve"> rendeletből, és kéri annak visszaállítását,</w:t>
      </w:r>
    </w:p>
    <w:p w14:paraId="0337C2BE" w14:textId="77777777" w:rsidR="008D0052" w:rsidRDefault="008D0052" w:rsidP="00F65006">
      <w:pPr>
        <w:numPr>
          <w:ilvl w:val="0"/>
          <w:numId w:val="21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hangsúlyozza, hogy a program hatása a megfelelő nemzeti infrastruktúrától és társfinanszírozástól függ, és javasolja, hogy a tagállamok csak akkor férhessenek hozzá megosztott irányítású uniós alapokhoz ha bizonyíthatóan vállalják, hogy támogatják az </w:t>
      </w:r>
      <w:proofErr w:type="spellStart"/>
      <w:r>
        <w:t>AgoraEU</w:t>
      </w:r>
      <w:proofErr w:type="spellEnd"/>
      <w:r>
        <w:t xml:space="preserve"> és a Jogérvényesülés program célkitűzéseit.</w:t>
      </w:r>
    </w:p>
    <w:p w14:paraId="1831EAE3" w14:textId="77777777" w:rsidR="00F65006" w:rsidRPr="008D0052" w:rsidRDefault="00F65006" w:rsidP="00054C58">
      <w:pPr>
        <w:overflowPunct w:val="0"/>
        <w:autoSpaceDE w:val="0"/>
        <w:autoSpaceDN w:val="0"/>
        <w:adjustRightInd w:val="0"/>
        <w:ind w:left="360"/>
        <w:textAlignment w:val="baseline"/>
        <w:rPr>
          <w:lang w:eastAsia="fr-BE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4493"/>
      </w:tblGrid>
      <w:tr w:rsidR="008D0052" w:rsidRPr="008D0052" w14:paraId="02CD12AD" w14:textId="77777777" w:rsidTr="0036489A">
        <w:tc>
          <w:tcPr>
            <w:tcW w:w="1210" w:type="dxa"/>
          </w:tcPr>
          <w:p w14:paraId="0D36B81C" w14:textId="77777777" w:rsidR="008D0052" w:rsidRPr="008D0052" w:rsidRDefault="008D0052" w:rsidP="008D00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4493" w:type="dxa"/>
          </w:tcPr>
          <w:p w14:paraId="0741CFC9" w14:textId="77777777" w:rsidR="008D0052" w:rsidRPr="008D0052" w:rsidRDefault="008D0052" w:rsidP="008D0052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2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Alessia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Cova</w:t>
            </w:r>
            <w:proofErr w:type="spellEnd"/>
          </w:p>
        </w:tc>
      </w:tr>
      <w:tr w:rsidR="008D0052" w:rsidRPr="008D0052" w14:paraId="00343FBD" w14:textId="77777777" w:rsidTr="0036489A">
        <w:tc>
          <w:tcPr>
            <w:tcW w:w="1210" w:type="dxa"/>
          </w:tcPr>
          <w:p w14:paraId="10523811" w14:textId="77777777" w:rsidR="008D0052" w:rsidRPr="008D0052" w:rsidRDefault="008D0052" w:rsidP="008D00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493" w:type="dxa"/>
          </w:tcPr>
          <w:p w14:paraId="3D3DA01D" w14:textId="77777777" w:rsidR="008D0052" w:rsidRPr="008D0052" w:rsidRDefault="008D0052" w:rsidP="008D00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+32 25469426</w:t>
            </w:r>
          </w:p>
        </w:tc>
      </w:tr>
      <w:tr w:rsidR="008D0052" w:rsidRPr="008D0052" w14:paraId="6CB55D06" w14:textId="77777777" w:rsidTr="0036489A">
        <w:tc>
          <w:tcPr>
            <w:tcW w:w="1210" w:type="dxa"/>
          </w:tcPr>
          <w:p w14:paraId="6F7DF6B2" w14:textId="77777777" w:rsidR="008D0052" w:rsidRPr="008D0052" w:rsidRDefault="008D0052" w:rsidP="008D00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493" w:type="dxa"/>
          </w:tcPr>
          <w:p w14:paraId="4E6DFDFB" w14:textId="77777777" w:rsidR="008D0052" w:rsidRPr="008D0052" w:rsidRDefault="008B736D" w:rsidP="008D005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r:id="rId28" w:history="1">
              <w:r w:rsidR="00326BD5">
                <w:rPr>
                  <w:i/>
                  <w:color w:val="0000FF"/>
                  <w:u w:val="single"/>
                </w:rPr>
                <w:t>Alessia.Cova@eesc.europa.eu</w:t>
              </w:r>
            </w:hyperlink>
          </w:p>
        </w:tc>
      </w:tr>
    </w:tbl>
    <w:p w14:paraId="4982DDC5" w14:textId="2BBCE25D" w:rsidR="00A87891" w:rsidRDefault="00A87891" w:rsidP="004D7AC0">
      <w:pPr>
        <w:spacing w:after="160" w:line="259" w:lineRule="auto"/>
        <w:jc w:val="left"/>
      </w:pPr>
    </w:p>
    <w:p w14:paraId="0844C9DA" w14:textId="77777777" w:rsidR="00A87891" w:rsidRDefault="00A87891">
      <w:pPr>
        <w:spacing w:after="160" w:line="259" w:lineRule="auto"/>
        <w:jc w:val="left"/>
      </w:pPr>
      <w:r>
        <w:br w:type="page"/>
      </w:r>
    </w:p>
    <w:p w14:paraId="4982DDC6" w14:textId="77777777" w:rsidR="004D7AC0" w:rsidRDefault="004D7AC0" w:rsidP="004D7AC0">
      <w:pPr>
        <w:pStyle w:val="Heading1"/>
        <w:rPr>
          <w:b/>
        </w:rPr>
      </w:pPr>
      <w:bookmarkStart w:id="3" w:name="_Toc24617160"/>
      <w:bookmarkStart w:id="4" w:name="_Toc75527082"/>
      <w:bookmarkStart w:id="5" w:name="_Toc216962442"/>
      <w:r>
        <w:rPr>
          <w:b/>
        </w:rPr>
        <w:lastRenderedPageBreak/>
        <w:t>KÖZLEKEDÉS, ENERGIA, INFRASTRUKTÚRA ÉS INFORMÁCIÓS TÁRSADALOM</w:t>
      </w:r>
      <w:bookmarkEnd w:id="3"/>
      <w:bookmarkEnd w:id="4"/>
      <w:bookmarkEnd w:id="5"/>
    </w:p>
    <w:p w14:paraId="4982DDC7" w14:textId="77777777" w:rsidR="004D7AC0" w:rsidRDefault="004D7AC0" w:rsidP="004D7AC0"/>
    <w:p w14:paraId="34EB6B62" w14:textId="6F247683" w:rsidR="00BC676C" w:rsidRPr="00BC676C" w:rsidRDefault="008B736D" w:rsidP="00BC676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29" w:history="1">
        <w:r w:rsidR="00326BD5">
          <w:rPr>
            <w:b/>
            <w:i/>
            <w:color w:val="0000FF"/>
            <w:sz w:val="28"/>
            <w:u w:val="single"/>
          </w:rPr>
          <w:t>A pótkocsival felszerelt nehézgépjárművek szén-dioxid-kibocsátási osztálya</w:t>
        </w:r>
      </w:hyperlink>
    </w:p>
    <w:p w14:paraId="46836B10" w14:textId="77777777" w:rsidR="00BC676C" w:rsidRPr="00BC676C" w:rsidRDefault="00BC676C" w:rsidP="00BC676C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sz w:val="20"/>
          <w:szCs w:val="20"/>
          <w:lang w:val="en-GB"/>
        </w:rPr>
      </w:pPr>
    </w:p>
    <w:tbl>
      <w:tblPr>
        <w:tblStyle w:val="TableGrid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21"/>
      </w:tblGrid>
      <w:tr w:rsidR="00BC676C" w:rsidRPr="00BC676C" w14:paraId="47E39230" w14:textId="77777777" w:rsidTr="0036489A">
        <w:tc>
          <w:tcPr>
            <w:tcW w:w="1701" w:type="dxa"/>
          </w:tcPr>
          <w:p w14:paraId="573F7BF1" w14:textId="77777777" w:rsidR="00BC676C" w:rsidRPr="00BC676C" w:rsidRDefault="00BC676C" w:rsidP="00BC676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596" w:hanging="709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7621" w:type="dxa"/>
          </w:tcPr>
          <w:p w14:paraId="02FEC31D" w14:textId="2FEC81BF" w:rsidR="00F2608E" w:rsidRDefault="00F2608E" w:rsidP="00BC676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bCs/>
              </w:rPr>
            </w:pPr>
            <w:r>
              <w:t>„C” kategóriás vélemény</w:t>
            </w:r>
          </w:p>
          <w:p w14:paraId="3982A737" w14:textId="64E384F6" w:rsidR="00BC676C" w:rsidRPr="00BC676C" w:rsidRDefault="00BC676C" w:rsidP="00BC676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bCs/>
              </w:rPr>
            </w:pPr>
            <w:r>
              <w:t xml:space="preserve">COM(2025) 589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14:paraId="6455BA93" w14:textId="77777777" w:rsidR="00BC676C" w:rsidRPr="00BC676C" w:rsidRDefault="00BC676C" w:rsidP="00BC676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</w:pPr>
            <w:r>
              <w:t>EESC-2023-03779-00-AC</w:t>
            </w:r>
          </w:p>
        </w:tc>
      </w:tr>
    </w:tbl>
    <w:p w14:paraId="006C0DCA" w14:textId="77777777" w:rsidR="00BC676C" w:rsidRPr="00BC676C" w:rsidRDefault="00BC676C" w:rsidP="00BC676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b/>
          <w:lang w:val="en-GB"/>
        </w:rPr>
      </w:pPr>
    </w:p>
    <w:p w14:paraId="4C59A366" w14:textId="77777777" w:rsidR="00BC676C" w:rsidRPr="00BC676C" w:rsidRDefault="00BC676C" w:rsidP="00BC676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b/>
        </w:rPr>
      </w:pPr>
      <w:r>
        <w:rPr>
          <w:b/>
        </w:rPr>
        <w:t>Főbb pontok</w:t>
      </w:r>
    </w:p>
    <w:p w14:paraId="25DE4F8F" w14:textId="77777777" w:rsidR="00BC676C" w:rsidRPr="00BC676C" w:rsidRDefault="00BC676C" w:rsidP="00BC676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720" w:hanging="720"/>
        <w:textAlignment w:val="baseline"/>
        <w:rPr>
          <w:b/>
          <w:lang w:val="en-GB"/>
        </w:rPr>
      </w:pPr>
    </w:p>
    <w:p w14:paraId="5C9ED52C" w14:textId="77777777" w:rsidR="00BC676C" w:rsidRPr="00BC676C" w:rsidRDefault="00BC676C" w:rsidP="00BC676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Cs/>
          <w:iCs/>
        </w:rPr>
      </w:pPr>
      <w:r>
        <w:t>Mivel az EGSZB a 2023. szeptember 20-án elfogadott, „A</w:t>
      </w:r>
      <w:r>
        <w:rPr>
          <w:i/>
          <w:iCs/>
        </w:rPr>
        <w:t xml:space="preserve"> pótkocsival felszerelt nehézgépjárművek szén-dioxid-kibocsátási osztálya</w:t>
      </w:r>
      <w:r>
        <w:t>” című TEN/815. sz. véleményében [</w:t>
      </w:r>
      <w:hyperlink r:id="rId30" w:history="1">
        <w:r>
          <w:rPr>
            <w:color w:val="0000FF"/>
            <w:u w:val="single"/>
          </w:rPr>
          <w:t>C/2023/874</w:t>
        </w:r>
      </w:hyperlink>
      <w:r>
        <w:t xml:space="preserve">] már nyilatkozott a fenti javaslat tárgyában, úgy határozott, hogy nem </w:t>
      </w:r>
      <w:proofErr w:type="spellStart"/>
      <w:r>
        <w:t>dolgoz</w:t>
      </w:r>
      <w:proofErr w:type="spellEnd"/>
      <w:r>
        <w:t xml:space="preserve"> ki újabb véleményt a témában, hanem az említett dokumentumban kifejtett álláspontjára hivatkozik.</w:t>
      </w:r>
    </w:p>
    <w:p w14:paraId="5464E9FA" w14:textId="77777777" w:rsidR="00BC676C" w:rsidRPr="00BC676C" w:rsidRDefault="00BC676C" w:rsidP="00BC676C">
      <w:pPr>
        <w:widowControl w:val="0"/>
        <w:overflowPunct w:val="0"/>
        <w:autoSpaceDE w:val="0"/>
        <w:autoSpaceDN w:val="0"/>
        <w:adjustRightInd w:val="0"/>
        <w:ind w:left="720" w:hanging="720"/>
        <w:textAlignment w:val="baseline"/>
        <w:rPr>
          <w:szCs w:val="20"/>
          <w:lang w:val="en-GB"/>
        </w:rPr>
      </w:pPr>
    </w:p>
    <w:tbl>
      <w:tblPr>
        <w:tblStyle w:val="TableGrid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7839"/>
      </w:tblGrid>
      <w:tr w:rsidR="00BC676C" w:rsidRPr="00BC676C" w14:paraId="63E00060" w14:textId="77777777" w:rsidTr="0036489A">
        <w:tc>
          <w:tcPr>
            <w:tcW w:w="1418" w:type="dxa"/>
          </w:tcPr>
          <w:p w14:paraId="3E70F25D" w14:textId="77777777" w:rsidR="00BC676C" w:rsidRPr="00BC676C" w:rsidRDefault="00BC676C" w:rsidP="00BC676C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7904" w:type="dxa"/>
          </w:tcPr>
          <w:p w14:paraId="0E0EABC3" w14:textId="609FD13C" w:rsidR="00BC676C" w:rsidRPr="00BC676C" w:rsidRDefault="00BC676C" w:rsidP="00BC676C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</w:rPr>
            </w:pPr>
            <w:r>
              <w:rPr>
                <w:i/>
              </w:rPr>
              <w:t xml:space="preserve">Maja </w:t>
            </w:r>
            <w:proofErr w:type="spellStart"/>
            <w:r>
              <w:rPr>
                <w:i/>
              </w:rPr>
              <w:t>Radman</w:t>
            </w:r>
            <w:proofErr w:type="spellEnd"/>
          </w:p>
        </w:tc>
      </w:tr>
      <w:tr w:rsidR="00BC676C" w:rsidRPr="00BC676C" w14:paraId="10A1FE95" w14:textId="77777777" w:rsidTr="0036489A">
        <w:tc>
          <w:tcPr>
            <w:tcW w:w="1418" w:type="dxa"/>
          </w:tcPr>
          <w:p w14:paraId="237B46FB" w14:textId="77777777" w:rsidR="00BC676C" w:rsidRPr="00BC676C" w:rsidRDefault="00BC676C" w:rsidP="00BC676C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904" w:type="dxa"/>
          </w:tcPr>
          <w:p w14:paraId="4B5ED86F" w14:textId="77777777" w:rsidR="00BC676C" w:rsidRPr="00BC676C" w:rsidRDefault="00BC676C" w:rsidP="00BC676C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</w:rPr>
            </w:pPr>
            <w:r>
              <w:rPr>
                <w:i/>
              </w:rPr>
              <w:t>+32 254690</w:t>
            </w:r>
            <w:r>
              <w:t>51</w:t>
            </w:r>
          </w:p>
        </w:tc>
      </w:tr>
      <w:tr w:rsidR="00BC676C" w:rsidRPr="00BC676C" w14:paraId="31255C9B" w14:textId="77777777" w:rsidTr="0036489A">
        <w:tc>
          <w:tcPr>
            <w:tcW w:w="1418" w:type="dxa"/>
          </w:tcPr>
          <w:p w14:paraId="31B04EF4" w14:textId="77777777" w:rsidR="00BC676C" w:rsidRPr="00BC676C" w:rsidRDefault="00BC676C" w:rsidP="00BC676C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904" w:type="dxa"/>
          </w:tcPr>
          <w:p w14:paraId="53D1C2A7" w14:textId="77777777" w:rsidR="00BC676C" w:rsidRPr="00BC676C" w:rsidRDefault="008B736D" w:rsidP="00BC676C">
            <w:pPr>
              <w:overflowPunct w:val="0"/>
              <w:autoSpaceDE w:val="0"/>
              <w:autoSpaceDN w:val="0"/>
              <w:adjustRightInd w:val="0"/>
              <w:ind w:left="720" w:hanging="720"/>
              <w:textAlignment w:val="baseline"/>
              <w:rPr>
                <w:i/>
              </w:rPr>
            </w:pPr>
            <w:hyperlink r:id="rId31" w:history="1">
              <w:r w:rsidR="00326BD5">
                <w:rPr>
                  <w:i/>
                  <w:color w:val="0000FF"/>
                  <w:u w:val="single"/>
                </w:rPr>
                <w:t>Maja.Radman@eesc.europa.eu</w:t>
              </w:r>
            </w:hyperlink>
          </w:p>
        </w:tc>
      </w:tr>
    </w:tbl>
    <w:p w14:paraId="4982DDEF" w14:textId="77777777" w:rsidR="004D7AC0" w:rsidRDefault="004D7AC0" w:rsidP="004D7AC0">
      <w:pPr>
        <w:pStyle w:val="ListParagraph"/>
        <w:ind w:left="0"/>
      </w:pPr>
    </w:p>
    <w:p w14:paraId="4982DDF0" w14:textId="09A1E184" w:rsidR="0005334D" w:rsidRDefault="0005334D">
      <w:pPr>
        <w:spacing w:after="160" w:line="259" w:lineRule="auto"/>
        <w:jc w:val="left"/>
      </w:pPr>
      <w:r>
        <w:br w:type="page"/>
      </w:r>
    </w:p>
    <w:p w14:paraId="15C6E6D3" w14:textId="0770B780" w:rsidR="0005334D" w:rsidRPr="0005334D" w:rsidRDefault="0005334D" w:rsidP="0005334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color w:val="0000FF"/>
          <w:sz w:val="24"/>
          <w:szCs w:val="24"/>
          <w:u w:val="single"/>
        </w:rPr>
      </w:pPr>
      <w:r w:rsidRPr="0005334D">
        <w:rPr>
          <w:b/>
          <w:i/>
          <w:sz w:val="28"/>
        </w:rPr>
        <w:lastRenderedPageBreak/>
        <w:fldChar w:fldCharType="begin"/>
      </w:r>
      <w:r w:rsidRPr="0005334D">
        <w:rPr>
          <w:b/>
          <w:i/>
          <w:sz w:val="28"/>
        </w:rPr>
        <w:instrText xml:space="preserve"> HYPERLINK "https://www.eesc.europa.eu/hu/our-work/opinions-information-reports/opinions/eu-space-act" </w:instrText>
      </w:r>
      <w:r w:rsidRPr="0005334D">
        <w:rPr>
          <w:b/>
          <w:i/>
          <w:sz w:val="28"/>
        </w:rPr>
        <w:fldChar w:fldCharType="separate"/>
      </w:r>
      <w:r>
        <w:rPr>
          <w:b/>
          <w:i/>
          <w:color w:val="0000FF"/>
          <w:sz w:val="28"/>
          <w:u w:val="single"/>
        </w:rPr>
        <w:t>Uniós űrjogszabály</w:t>
      </w:r>
    </w:p>
    <w:p w14:paraId="0A91F32A" w14:textId="77777777" w:rsidR="0005334D" w:rsidRPr="0005334D" w:rsidRDefault="0005334D" w:rsidP="0005334D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4"/>
        </w:rPr>
      </w:pPr>
      <w:r w:rsidRPr="0005334D">
        <w:rPr>
          <w:b/>
          <w:i/>
          <w:sz w:val="28"/>
        </w:rPr>
        <w:fldChar w:fldCharType="end"/>
      </w: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="0005334D" w:rsidRPr="0005334D" w14:paraId="0F0AF7C0" w14:textId="77777777" w:rsidTr="0036489A">
        <w:tc>
          <w:tcPr>
            <w:tcW w:w="1701" w:type="dxa"/>
          </w:tcPr>
          <w:p w14:paraId="1C2A42D0" w14:textId="77777777" w:rsidR="0005334D" w:rsidRPr="0005334D" w:rsidRDefault="0005334D" w:rsidP="000533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5387" w:type="dxa"/>
          </w:tcPr>
          <w:p w14:paraId="1C51F404" w14:textId="0A3C4CB8" w:rsidR="0005334D" w:rsidRPr="0005334D" w:rsidRDefault="0005334D" w:rsidP="000533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Angelo PAGLIARA (Munkavállalók/IT)</w:t>
            </w:r>
          </w:p>
        </w:tc>
      </w:tr>
      <w:tr w:rsidR="0005334D" w:rsidRPr="0005334D" w14:paraId="53E511CA" w14:textId="77777777" w:rsidTr="0036489A">
        <w:tc>
          <w:tcPr>
            <w:tcW w:w="7088" w:type="dxa"/>
            <w:gridSpan w:val="2"/>
          </w:tcPr>
          <w:p w14:paraId="32CF405E" w14:textId="77777777" w:rsidR="0005334D" w:rsidRPr="0005334D" w:rsidRDefault="0005334D" w:rsidP="000533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="0005334D" w:rsidRPr="0005334D" w14:paraId="3F8991D4" w14:textId="77777777" w:rsidTr="0036489A">
        <w:tc>
          <w:tcPr>
            <w:tcW w:w="1701" w:type="dxa"/>
            <w:vMerge w:val="restart"/>
          </w:tcPr>
          <w:p w14:paraId="15E862B4" w14:textId="77777777" w:rsidR="0005334D" w:rsidRPr="0005334D" w:rsidRDefault="0005334D" w:rsidP="000533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Hivatkozások: </w:t>
            </w:r>
          </w:p>
        </w:tc>
        <w:tc>
          <w:tcPr>
            <w:tcW w:w="5387" w:type="dxa"/>
          </w:tcPr>
          <w:p w14:paraId="0F1F5196" w14:textId="4657F08E" w:rsidR="0005334D" w:rsidRPr="0005334D" w:rsidRDefault="0005334D" w:rsidP="000533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335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="0005334D" w:rsidRPr="0005334D" w14:paraId="5CF8C9B4" w14:textId="77777777" w:rsidTr="0036489A">
        <w:tc>
          <w:tcPr>
            <w:tcW w:w="1701" w:type="dxa"/>
            <w:vMerge/>
          </w:tcPr>
          <w:p w14:paraId="1BAC3D8C" w14:textId="77777777" w:rsidR="0005334D" w:rsidRPr="0005334D" w:rsidRDefault="0005334D" w:rsidP="000533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5387" w:type="dxa"/>
          </w:tcPr>
          <w:p w14:paraId="39C1DAEF" w14:textId="77777777" w:rsidR="0005334D" w:rsidRPr="0005334D" w:rsidRDefault="0005334D" w:rsidP="0005334D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EESC-2024-00225-00-00-AC</w:t>
            </w:r>
          </w:p>
        </w:tc>
      </w:tr>
    </w:tbl>
    <w:p w14:paraId="4F5EF826" w14:textId="77777777" w:rsidR="0005334D" w:rsidRPr="0005334D" w:rsidRDefault="0005334D" w:rsidP="0005334D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sz w:val="14"/>
          <w:szCs w:val="14"/>
          <w:lang w:val="en-GB"/>
        </w:rPr>
      </w:pPr>
    </w:p>
    <w:p w14:paraId="0962AA04" w14:textId="77777777" w:rsidR="0005334D" w:rsidRPr="0005334D" w:rsidRDefault="0005334D" w:rsidP="0005334D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2921179F" w14:textId="77777777" w:rsidR="0005334D" w:rsidRPr="0005334D" w:rsidRDefault="0005334D" w:rsidP="0005334D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75940321" w14:textId="77777777" w:rsidR="0005334D" w:rsidRPr="0005334D" w:rsidRDefault="0005334D" w:rsidP="0005334D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4A48F70F" w14:textId="77777777" w:rsidR="0005334D" w:rsidRPr="0005334D" w:rsidRDefault="0005334D" w:rsidP="0005334D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6C3ACDD8" w14:textId="77777777" w:rsidR="0005334D" w:rsidRPr="0005334D" w:rsidRDefault="0005334D" w:rsidP="00054C58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azt ajánlja, hogy strukturálisan és azonnal </w:t>
      </w:r>
      <w:r>
        <w:rPr>
          <w:b/>
          <w:bCs/>
        </w:rPr>
        <w:t>erősítsék meg az európai közberuházásokat az űrkutatás területén</w:t>
      </w:r>
      <w:r>
        <w:t xml:space="preserve">, és hogy 2030-ig növeljék az űrkutatási beruházásokat </w:t>
      </w:r>
      <w:r>
        <w:rPr>
          <w:b/>
          <w:bCs/>
        </w:rPr>
        <w:t>legalább a GDP 0,2 %-ára</w:t>
      </w:r>
      <w:r>
        <w:t>;</w:t>
      </w:r>
    </w:p>
    <w:p w14:paraId="26F7B7AE" w14:textId="77777777" w:rsidR="0005334D" w:rsidRPr="0005334D" w:rsidRDefault="0005334D" w:rsidP="00054C58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javasolja </w:t>
      </w:r>
      <w:r>
        <w:rPr>
          <w:b/>
          <w:bCs/>
        </w:rPr>
        <w:t>annak tisztázását, hogy az Európai Unió működéséről szóló szerződés 114. cikke hogyan szolgálhat jogalapként az űrrel kapcsolatos termékek, szolgáltatások és adatok belső piacának létrehozásához és működtetéséhez</w:t>
      </w:r>
      <w:r>
        <w:t xml:space="preserve">, javasolja továbbá egy olyan záradék bevezetését, amely előírja, hogy az űrjogszabály rendelkezéseit azoknak </w:t>
      </w:r>
      <w:r>
        <w:rPr>
          <w:b/>
          <w:bCs/>
        </w:rPr>
        <w:t>a nemzetközi kötelezettségeknek a fényében kell értelmezni, amelyeket a tagállamok már elfogadtak</w:t>
      </w:r>
      <w:r>
        <w:t>;</w:t>
      </w:r>
    </w:p>
    <w:p w14:paraId="084E4A62" w14:textId="77777777" w:rsidR="0005334D" w:rsidRPr="0005334D" w:rsidRDefault="0005334D" w:rsidP="00054C58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ajánlja annak tisztázását, </w:t>
      </w:r>
      <w:r>
        <w:rPr>
          <w:b/>
          <w:bCs/>
        </w:rPr>
        <w:t>hogy az I. cím miért csak az üzemeltető székhelye szerinti államra vagy egy harmadik ország űrüzemeltetőjére vonatkozó kritériumra hivatkozik</w:t>
      </w:r>
      <w:r>
        <w:t xml:space="preserve">, anélkül, hogy bármilyen utalást tenne ezen üzemeltetők állampolgárság szerinti államára, javasolja továbbá a </w:t>
      </w:r>
      <w:r>
        <w:rPr>
          <w:b/>
          <w:bCs/>
        </w:rPr>
        <w:t>6. cikk (3) bekezdésének pontosítását</w:t>
      </w:r>
      <w:r>
        <w:t xml:space="preserve"> a tagállamok űrre vonatkozó </w:t>
      </w:r>
      <w:r>
        <w:rPr>
          <w:b/>
          <w:bCs/>
        </w:rPr>
        <w:t>nemzeti jogszabályaival való jobb koordináció</w:t>
      </w:r>
      <w:r>
        <w:t xml:space="preserve"> biztosítása érdekében, amelyek meghatározzák azon üzemeltetőket, akiknek – állampolgárságuk, vagy az űrtevékenység végzésének földrajzi helye függvényében – űrtevékenységükhöz engedélyt kell szerezniük;</w:t>
      </w:r>
    </w:p>
    <w:p w14:paraId="3E883F9C" w14:textId="77777777" w:rsidR="0005334D" w:rsidRPr="0005334D" w:rsidRDefault="0005334D" w:rsidP="00054C58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javasolja, hogy </w:t>
      </w:r>
      <w:r>
        <w:rPr>
          <w:b/>
          <w:bCs/>
        </w:rPr>
        <w:t>a II. címben tisztázzák az eltérések és rugalmassági mechanizmusok működését az engedélyezési eljárás során</w:t>
      </w:r>
      <w:r>
        <w:t>, határozzák meg az eljárási határidőket, a nem kereskedelmi célú kiküldetésekre való alkalmazhatóságot, az Európai Bizottság ellenőrzési hatásköreit, valamint az Európai Űrügynökség (ESA) és az Európai Unió Űrprogramügynöksége (EUSPA) operatív szerepét;</w:t>
      </w:r>
    </w:p>
    <w:p w14:paraId="0BFD0B62" w14:textId="77777777" w:rsidR="0005334D" w:rsidRPr="0005334D" w:rsidRDefault="0005334D" w:rsidP="00054C58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javasolja, hogy határozzák meg azokat </w:t>
      </w:r>
      <w:r>
        <w:rPr>
          <w:b/>
          <w:bCs/>
        </w:rPr>
        <w:t>a kereteket, amelyeken belül a tagállamok szigorúbb követelményeket szabhatnak mind</w:t>
      </w:r>
      <w:r>
        <w:t xml:space="preserve"> az űralapú adatok és az űrszolgáltatások Unión belüli szabad mozgása tekintetében;</w:t>
      </w:r>
    </w:p>
    <w:p w14:paraId="05AA5B90" w14:textId="77777777" w:rsidR="0005334D" w:rsidRPr="0005334D" w:rsidRDefault="0005334D" w:rsidP="00054C58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hangsúlyozza, hogy a széttagoltság és a bürokratikus akadályok elkerülése érdekében </w:t>
      </w:r>
      <w:r>
        <w:rPr>
          <w:b/>
          <w:bCs/>
        </w:rPr>
        <w:t>meg kell erősíteni a kölcsönös elismerés elvét és a közös szabályokat</w:t>
      </w:r>
      <w:r>
        <w:t>;</w:t>
      </w:r>
    </w:p>
    <w:p w14:paraId="73875630" w14:textId="77777777" w:rsidR="0005334D" w:rsidRPr="0005334D" w:rsidRDefault="0005334D" w:rsidP="00054C58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javasolja, </w:t>
      </w:r>
      <w:r>
        <w:rPr>
          <w:b/>
          <w:bCs/>
        </w:rPr>
        <w:t>hogy az európai</w:t>
      </w:r>
      <w:r>
        <w:t xml:space="preserve"> </w:t>
      </w:r>
      <w:r>
        <w:rPr>
          <w:b/>
          <w:bCs/>
        </w:rPr>
        <w:t>űrstratégiát</w:t>
      </w:r>
      <w:r>
        <w:t xml:space="preserve"> </w:t>
      </w:r>
      <w:r>
        <w:rPr>
          <w:b/>
          <w:bCs/>
        </w:rPr>
        <w:t>kapcsolják</w:t>
      </w:r>
      <w:r>
        <w:t xml:space="preserve"> </w:t>
      </w:r>
      <w:r>
        <w:rPr>
          <w:b/>
          <w:bCs/>
        </w:rPr>
        <w:t>össze</w:t>
      </w:r>
      <w:r>
        <w:t xml:space="preserve"> </w:t>
      </w:r>
      <w:r>
        <w:rPr>
          <w:b/>
          <w:bCs/>
        </w:rPr>
        <w:t>az</w:t>
      </w:r>
      <w:r>
        <w:t xml:space="preserve"> </w:t>
      </w:r>
      <w:r>
        <w:rPr>
          <w:b/>
          <w:bCs/>
        </w:rPr>
        <w:t>európai</w:t>
      </w:r>
      <w:r>
        <w:t xml:space="preserve"> </w:t>
      </w:r>
      <w:r>
        <w:rPr>
          <w:b/>
          <w:bCs/>
        </w:rPr>
        <w:t>stratégiai</w:t>
      </w:r>
      <w:r>
        <w:t xml:space="preserve"> </w:t>
      </w:r>
      <w:r>
        <w:rPr>
          <w:b/>
          <w:bCs/>
        </w:rPr>
        <w:t>autonómiával</w:t>
      </w:r>
      <w:r>
        <w:t xml:space="preserve">, mozdítsák elő </w:t>
      </w:r>
      <w:r>
        <w:rPr>
          <w:b/>
          <w:bCs/>
        </w:rPr>
        <w:t>a kiegészítő ökoszisztémák</w:t>
      </w:r>
      <w:r>
        <w:t xml:space="preserve"> </w:t>
      </w:r>
      <w:r>
        <w:rPr>
          <w:b/>
          <w:bCs/>
        </w:rPr>
        <w:t>beindítását és az űrgazdaság multiplikátorhatását</w:t>
      </w:r>
      <w:r>
        <w:t xml:space="preserve"> bizonyos ágazatok támogatása érdekében;</w:t>
      </w:r>
    </w:p>
    <w:p w14:paraId="2A025617" w14:textId="77777777" w:rsidR="0005334D" w:rsidRPr="0005334D" w:rsidRDefault="0005334D" w:rsidP="00054C58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javasolja </w:t>
      </w:r>
      <w:r>
        <w:rPr>
          <w:b/>
          <w:bCs/>
        </w:rPr>
        <w:t>az űrkészségekre és a foglalkoztatásra vonatkozó integrált stratégia kidolgozását</w:t>
      </w:r>
      <w:r>
        <w:t>, valamint</w:t>
      </w:r>
      <w:r>
        <w:rPr>
          <w:b/>
          <w:bCs/>
        </w:rPr>
        <w:t xml:space="preserve"> egy európai űrkészség-fejlesztési program</w:t>
      </w:r>
      <w:r>
        <w:t xml:space="preserve"> </w:t>
      </w:r>
      <w:r>
        <w:rPr>
          <w:b/>
          <w:bCs/>
        </w:rPr>
        <w:t>elfogadását</w:t>
      </w:r>
      <w:r>
        <w:t>;</w:t>
      </w:r>
    </w:p>
    <w:p w14:paraId="36AD8480" w14:textId="77777777" w:rsidR="0005334D" w:rsidRPr="0005334D" w:rsidRDefault="0005334D" w:rsidP="00054C58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 xml:space="preserve">kéri, hogy a következő, 2028–2034-es többéves pénzügyi keretben biztosítsanak megfelelő forrásokat </w:t>
      </w:r>
      <w:r>
        <w:rPr>
          <w:b/>
          <w:bCs/>
        </w:rPr>
        <w:t>az EUSPA operatív megerősítésére</w:t>
      </w:r>
      <w:r>
        <w:t>.</w:t>
      </w:r>
    </w:p>
    <w:p w14:paraId="39C0FBAA" w14:textId="77777777" w:rsidR="0005334D" w:rsidRPr="0005334D" w:rsidRDefault="0005334D" w:rsidP="0005334D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 w:val="14"/>
          <w:szCs w:val="12"/>
          <w:lang w:val="en-GB"/>
        </w:rPr>
      </w:pPr>
    </w:p>
    <w:tbl>
      <w:tblPr>
        <w:tblStyle w:val="TableGrid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5670"/>
      </w:tblGrid>
      <w:tr w:rsidR="0005334D" w:rsidRPr="0005334D" w14:paraId="2E1C4F7A" w14:textId="77777777" w:rsidTr="0036489A">
        <w:tc>
          <w:tcPr>
            <w:tcW w:w="1418" w:type="dxa"/>
          </w:tcPr>
          <w:p w14:paraId="3B838871" w14:textId="77777777" w:rsidR="0005334D" w:rsidRPr="0005334D" w:rsidRDefault="0005334D" w:rsidP="000533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5670" w:type="dxa"/>
          </w:tcPr>
          <w:p w14:paraId="40162F2B" w14:textId="77777777" w:rsidR="0005334D" w:rsidRPr="0005334D" w:rsidRDefault="0005334D" w:rsidP="000533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Giorgia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Bordignon</w:t>
            </w:r>
            <w:proofErr w:type="spellEnd"/>
          </w:p>
        </w:tc>
      </w:tr>
      <w:tr w:rsidR="0005334D" w:rsidRPr="0005334D" w14:paraId="362A9B5A" w14:textId="77777777" w:rsidTr="0036489A">
        <w:tc>
          <w:tcPr>
            <w:tcW w:w="1418" w:type="dxa"/>
          </w:tcPr>
          <w:p w14:paraId="0F21C068" w14:textId="77777777" w:rsidR="0005334D" w:rsidRPr="0005334D" w:rsidRDefault="0005334D" w:rsidP="000533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1CDF1B64" w14:textId="77777777" w:rsidR="0005334D" w:rsidRPr="0005334D" w:rsidRDefault="0005334D" w:rsidP="000533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+32 25468</w:t>
            </w:r>
            <w:r>
              <w:t>535</w:t>
            </w:r>
          </w:p>
        </w:tc>
      </w:tr>
      <w:tr w:rsidR="0005334D" w:rsidRPr="0005334D" w14:paraId="2C7002E1" w14:textId="77777777" w:rsidTr="0036489A">
        <w:tc>
          <w:tcPr>
            <w:tcW w:w="1418" w:type="dxa"/>
          </w:tcPr>
          <w:p w14:paraId="1B96A53D" w14:textId="36B45CE4" w:rsidR="0005334D" w:rsidRPr="0005334D" w:rsidRDefault="008C414B" w:rsidP="000533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14:paraId="7D4DCAF5" w14:textId="77777777" w:rsidR="0005334D" w:rsidRPr="0005334D" w:rsidRDefault="008B736D" w:rsidP="000533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32" w:history="1">
              <w:r w:rsidR="00326BD5">
                <w:rPr>
                  <w:i/>
                  <w:color w:val="0000FF"/>
                  <w:u w:val="single"/>
                </w:rPr>
                <w:t>GiorgiaAndrea.Bordignon@eesc.europa.eu</w:t>
              </w:r>
            </w:hyperlink>
            <w:r w:rsidR="00326BD5">
              <w:rPr>
                <w:i/>
              </w:rPr>
              <w:t xml:space="preserve"> </w:t>
            </w:r>
          </w:p>
        </w:tc>
      </w:tr>
    </w:tbl>
    <w:p w14:paraId="7416E75B" w14:textId="52006F49" w:rsidR="00B8543B" w:rsidRDefault="00B8543B">
      <w:pPr>
        <w:spacing w:after="160" w:line="259" w:lineRule="auto"/>
        <w:jc w:val="left"/>
      </w:pPr>
    </w:p>
    <w:p w14:paraId="77FAB844" w14:textId="405C607C" w:rsidR="00B8543B" w:rsidRPr="00B8543B" w:rsidRDefault="008B736D" w:rsidP="00B8543B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33" w:history="1">
        <w:r w:rsidR="00326BD5">
          <w:rPr>
            <w:b/>
            <w:i/>
            <w:color w:val="0000FF"/>
            <w:sz w:val="28"/>
            <w:u w:val="single"/>
          </w:rPr>
          <w:t>Nukleáris indikatív program</w:t>
        </w:r>
      </w:hyperlink>
    </w:p>
    <w:p w14:paraId="687BF486" w14:textId="77777777" w:rsidR="00B8543B" w:rsidRPr="00B8543B" w:rsidRDefault="00B8543B" w:rsidP="00B8543B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8543B" w:rsidRPr="00B8543B" w14:paraId="6BF7DB04" w14:textId="77777777" w:rsidTr="0036489A">
        <w:tc>
          <w:tcPr>
            <w:tcW w:w="1951" w:type="dxa"/>
          </w:tcPr>
          <w:p w14:paraId="7660A134" w14:textId="77777777" w:rsidR="00B8543B" w:rsidRPr="00B8543B" w:rsidRDefault="00B8543B" w:rsidP="00B8543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7229" w:type="dxa"/>
          </w:tcPr>
          <w:p w14:paraId="741530A3" w14:textId="32EE3DBA" w:rsidR="00B8543B" w:rsidRPr="00B8543B" w:rsidRDefault="00B8543B" w:rsidP="00B8543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Dumitru</w:t>
            </w:r>
            <w:proofErr w:type="spellEnd"/>
            <w:r>
              <w:t xml:space="preserve"> FORNEA (Munkavállalók/RO)</w:t>
            </w:r>
          </w:p>
        </w:tc>
      </w:tr>
      <w:tr w:rsidR="00B8543B" w:rsidRPr="00B8543B" w14:paraId="1EF069F7" w14:textId="77777777" w:rsidTr="0036489A">
        <w:tc>
          <w:tcPr>
            <w:tcW w:w="1951" w:type="dxa"/>
          </w:tcPr>
          <w:p w14:paraId="1E9A27C2" w14:textId="77777777" w:rsidR="00B8543B" w:rsidRPr="00B8543B" w:rsidRDefault="00B8543B" w:rsidP="00B8543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Társelőadó:</w:t>
            </w:r>
          </w:p>
        </w:tc>
        <w:tc>
          <w:tcPr>
            <w:tcW w:w="7229" w:type="dxa"/>
          </w:tcPr>
          <w:p w14:paraId="6C41DC74" w14:textId="78C2E9C0" w:rsidR="00B8543B" w:rsidRDefault="00B8543B" w:rsidP="00B8543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Alena</w:t>
            </w:r>
            <w:proofErr w:type="spellEnd"/>
            <w:r>
              <w:t xml:space="preserve"> MASTANTUONO (Munkáltatók/CZ)</w:t>
            </w:r>
          </w:p>
          <w:p w14:paraId="1AF40855" w14:textId="47D44167" w:rsidR="00F104CA" w:rsidRPr="00B8543B" w:rsidRDefault="00F104CA" w:rsidP="00B8543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  <w:tr w:rsidR="00B8543B" w:rsidRPr="00B8543B" w14:paraId="6C9EC1C7" w14:textId="77777777" w:rsidTr="0036489A">
        <w:tc>
          <w:tcPr>
            <w:tcW w:w="1951" w:type="dxa"/>
          </w:tcPr>
          <w:p w14:paraId="081DEE58" w14:textId="77777777" w:rsidR="00B8543B" w:rsidRPr="00B8543B" w:rsidRDefault="00B8543B" w:rsidP="00B8543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7229" w:type="dxa"/>
          </w:tcPr>
          <w:p w14:paraId="7F4D4FA0" w14:textId="77777777" w:rsidR="00B8543B" w:rsidRPr="00B8543B" w:rsidRDefault="00B8543B" w:rsidP="00B8543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315 </w:t>
            </w:r>
            <w:proofErr w:type="spellStart"/>
            <w:r>
              <w:t>final</w:t>
            </w:r>
            <w:proofErr w:type="spellEnd"/>
          </w:p>
          <w:p w14:paraId="53F4AD07" w14:textId="77777777" w:rsidR="00B8543B" w:rsidRPr="00B8543B" w:rsidRDefault="00B8543B" w:rsidP="00B8543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EESC-2025-02173-00-00-AC</w:t>
            </w:r>
          </w:p>
        </w:tc>
      </w:tr>
    </w:tbl>
    <w:p w14:paraId="217CE023" w14:textId="77777777" w:rsidR="00B8543B" w:rsidRPr="00B8543B" w:rsidRDefault="00B8543B" w:rsidP="00B8543B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pt-PT"/>
        </w:rPr>
      </w:pPr>
    </w:p>
    <w:p w14:paraId="4EAF6778" w14:textId="77777777" w:rsidR="00B8543B" w:rsidRPr="00B8543B" w:rsidRDefault="00B8543B" w:rsidP="00B8543B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3A214EBF" w14:textId="77777777" w:rsidR="00B8543B" w:rsidRPr="00B8543B" w:rsidRDefault="00B8543B" w:rsidP="00B8543B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2AD6BB4C" w14:textId="77777777" w:rsidR="00B8543B" w:rsidRDefault="00B8543B" w:rsidP="00B8543B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00EA794C" w14:textId="77777777" w:rsidR="00F104CA" w:rsidRPr="00B8543B" w:rsidRDefault="00F104CA" w:rsidP="00B8543B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0ADC1825" w14:textId="77777777" w:rsidR="00B8543B" w:rsidRPr="00B8543B" w:rsidRDefault="00B8543B" w:rsidP="00054C5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úgy véli, hogy a nukleáris energia most és a jövőben is döntő szerepet játszik az európai kontinens </w:t>
      </w:r>
      <w:proofErr w:type="spellStart"/>
      <w:r>
        <w:t>dekarbonizációjában</w:t>
      </w:r>
      <w:proofErr w:type="spellEnd"/>
      <w:r>
        <w:t>, és megszilárdítja Európa stratégiai autonómiáját az energia és a technológia területén;</w:t>
      </w:r>
    </w:p>
    <w:p w14:paraId="38970C7F" w14:textId="77777777" w:rsidR="00B8543B" w:rsidRPr="00B8543B" w:rsidRDefault="00B8543B" w:rsidP="00054C5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ajánlja, hogy az atomenergia-ágazat beruházásaira ugyanazok a feltételek vonatkozzanak, mint a megújuló energiaforrásokra;</w:t>
      </w:r>
    </w:p>
    <w:p w14:paraId="15C741CD" w14:textId="77777777" w:rsidR="00B8543B" w:rsidRPr="00B8543B" w:rsidRDefault="00B8543B" w:rsidP="00054C5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ajánlja, hogy konkrét pénzügyi és szabályozási intézkedések révén gyorsítsák fel a beruházásokat, gondolva itt például egyszerűsített állami támogatási eljárásokra, az uniós forrásokhoz való hozzáférésre, fenntartható finanszírozásra, engedélyezési eljárásokra, valamint gyorsabb uniós és nemzeti szintű döntésekre;</w:t>
      </w:r>
    </w:p>
    <w:p w14:paraId="18340AE6" w14:textId="77777777" w:rsidR="00B8543B" w:rsidRPr="00B8543B" w:rsidRDefault="00B8543B" w:rsidP="00054C5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úgy véli, hogy a civil társadalommal folytatott párbeszéd elengedhetetlen a bizalom, a felelősségvállalás és a társadalmi elfogadottság kiépítéséhez.</w:t>
      </w:r>
    </w:p>
    <w:p w14:paraId="1F92E097" w14:textId="77777777" w:rsidR="00B8543B" w:rsidRPr="00B8543B" w:rsidRDefault="00B8543B" w:rsidP="00054C5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fokozott szabályozási együttműködésre szólít fel a tagállamok között;</w:t>
      </w:r>
    </w:p>
    <w:p w14:paraId="60BEBBD3" w14:textId="77777777" w:rsidR="00B8543B" w:rsidRPr="00B8543B" w:rsidRDefault="00B8543B" w:rsidP="00054C58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ajánlja, hogy vegyék figyelembe az atomenergia szerepét a hálózat stabilizálásában, és kéri, hogy a nukleáris indikatív programban szerepeljen annak kiszámítása, hogy rendszerszinten milyen költségeket lehet elkerülni az atomenergiának köszönhetően.</w:t>
      </w:r>
    </w:p>
    <w:p w14:paraId="1038659F" w14:textId="77777777" w:rsidR="00B8543B" w:rsidRPr="00B8543B" w:rsidRDefault="00B8543B" w:rsidP="00F104CA">
      <w:pPr>
        <w:widowControl w:val="0"/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  <w:lang w:val="en-GB"/>
        </w:rPr>
      </w:pP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8543B" w:rsidRPr="00B8543B" w14:paraId="1A87DBFF" w14:textId="77777777" w:rsidTr="0036489A">
        <w:tc>
          <w:tcPr>
            <w:tcW w:w="1951" w:type="dxa"/>
          </w:tcPr>
          <w:p w14:paraId="5E9F41AD" w14:textId="77777777" w:rsidR="00B8543B" w:rsidRPr="00B8543B" w:rsidRDefault="00B8543B" w:rsidP="00B854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7229" w:type="dxa"/>
          </w:tcPr>
          <w:p w14:paraId="1EA77D8A" w14:textId="6DF16979" w:rsidR="00B8543B" w:rsidRPr="00B8543B" w:rsidRDefault="00B8543B" w:rsidP="00B854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Albert </w:t>
            </w:r>
            <w:proofErr w:type="spellStart"/>
            <w:r>
              <w:rPr>
                <w:i/>
              </w:rPr>
              <w:t>Precup</w:t>
            </w:r>
            <w:proofErr w:type="spellEnd"/>
          </w:p>
        </w:tc>
      </w:tr>
      <w:tr w:rsidR="00B8543B" w:rsidRPr="00B8543B" w14:paraId="3CDABFB0" w14:textId="77777777" w:rsidTr="0036489A">
        <w:tc>
          <w:tcPr>
            <w:tcW w:w="1951" w:type="dxa"/>
          </w:tcPr>
          <w:p w14:paraId="690F7657" w14:textId="77777777" w:rsidR="00B8543B" w:rsidRPr="00B8543B" w:rsidRDefault="00B8543B" w:rsidP="00B854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7229" w:type="dxa"/>
          </w:tcPr>
          <w:p w14:paraId="113BC3FF" w14:textId="77777777" w:rsidR="00B8543B" w:rsidRPr="00B8543B" w:rsidRDefault="00B8543B" w:rsidP="00B854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+32 25469326</w:t>
            </w:r>
          </w:p>
        </w:tc>
      </w:tr>
      <w:tr w:rsidR="00B8543B" w:rsidRPr="00B8543B" w14:paraId="358EB551" w14:textId="77777777" w:rsidTr="0036489A">
        <w:tc>
          <w:tcPr>
            <w:tcW w:w="1951" w:type="dxa"/>
          </w:tcPr>
          <w:p w14:paraId="2EF8A9AA" w14:textId="77777777" w:rsidR="00B8543B" w:rsidRPr="00B8543B" w:rsidRDefault="00B8543B" w:rsidP="00B854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7229" w:type="dxa"/>
          </w:tcPr>
          <w:p w14:paraId="1491B9B9" w14:textId="77777777" w:rsidR="00B8543B" w:rsidRPr="00B8543B" w:rsidRDefault="008B736D" w:rsidP="00B854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34" w:history="1">
              <w:r w:rsidR="00326BD5">
                <w:rPr>
                  <w:i/>
                  <w:color w:val="0000FF"/>
                  <w:u w:val="single"/>
                </w:rPr>
                <w:t>Albert.Precup@eesc.europa.eu</w:t>
              </w:r>
            </w:hyperlink>
          </w:p>
        </w:tc>
      </w:tr>
    </w:tbl>
    <w:p w14:paraId="4C06F621" w14:textId="77777777" w:rsidR="004D7AC0" w:rsidRDefault="004D7AC0" w:rsidP="004D7AC0">
      <w:pPr>
        <w:pStyle w:val="ListParagraph"/>
        <w:ind w:left="0"/>
      </w:pPr>
    </w:p>
    <w:p w14:paraId="4982DDF2" w14:textId="0D337987" w:rsidR="00BC676C" w:rsidRDefault="004D7AC0">
      <w:pPr>
        <w:spacing w:after="160" w:line="259" w:lineRule="auto"/>
        <w:jc w:val="left"/>
      </w:pPr>
      <w:r>
        <w:br w:type="page"/>
      </w:r>
    </w:p>
    <w:p w14:paraId="64D55A18" w14:textId="77777777" w:rsidR="004D7AC0" w:rsidRDefault="004D7AC0" w:rsidP="004D7AC0">
      <w:pPr>
        <w:spacing w:after="160" w:line="259" w:lineRule="auto"/>
        <w:jc w:val="left"/>
      </w:pPr>
    </w:p>
    <w:p w14:paraId="4982DDF3" w14:textId="77777777" w:rsidR="004D7AC0" w:rsidRDefault="004D7AC0" w:rsidP="004D7AC0">
      <w:pPr>
        <w:pStyle w:val="Heading1"/>
        <w:rPr>
          <w:b/>
        </w:rPr>
      </w:pPr>
      <w:bookmarkStart w:id="6" w:name="_Toc75527083"/>
      <w:bookmarkStart w:id="7" w:name="_Toc216962443"/>
      <w:r>
        <w:rPr>
          <w:b/>
        </w:rPr>
        <w:t>EGYSÉGES PIAC, TERMELÉS ÉS FOGYASZTÁS</w:t>
      </w:r>
      <w:bookmarkEnd w:id="6"/>
      <w:bookmarkEnd w:id="7"/>
    </w:p>
    <w:p w14:paraId="4982DDF4" w14:textId="77777777" w:rsidR="004D7AC0" w:rsidRDefault="004D7AC0" w:rsidP="004D7AC0"/>
    <w:p w14:paraId="5D547137" w14:textId="688E5B24" w:rsidR="00465162" w:rsidRPr="00465162" w:rsidRDefault="008B736D" w:rsidP="0046516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35" w:history="1">
        <w:r w:rsidR="00326BD5">
          <w:rPr>
            <w:b/>
            <w:i/>
            <w:color w:val="0000FF"/>
            <w:sz w:val="28"/>
            <w:u w:val="single"/>
          </w:rPr>
          <w:t>Egységes piaci stratégia</w:t>
        </w:r>
      </w:hyperlink>
    </w:p>
    <w:p w14:paraId="0B883575" w14:textId="77777777" w:rsidR="00465162" w:rsidRPr="00465162" w:rsidRDefault="00465162" w:rsidP="0046516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521"/>
      </w:tblGrid>
      <w:tr w:rsidR="00465162" w:rsidRPr="00465162" w14:paraId="79DD90B6" w14:textId="77777777" w:rsidTr="0036489A">
        <w:tc>
          <w:tcPr>
            <w:tcW w:w="1701" w:type="dxa"/>
          </w:tcPr>
          <w:p w14:paraId="03778141" w14:textId="77777777" w:rsidR="00465162" w:rsidRPr="00465162" w:rsidRDefault="00465162" w:rsidP="004651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Előadók:</w:t>
            </w:r>
          </w:p>
        </w:tc>
        <w:tc>
          <w:tcPr>
            <w:tcW w:w="6521" w:type="dxa"/>
          </w:tcPr>
          <w:p w14:paraId="1AA6537D" w14:textId="384B5F9A" w:rsidR="00465162" w:rsidRPr="00465162" w:rsidRDefault="00465162" w:rsidP="004651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Emilie</w:t>
            </w:r>
            <w:proofErr w:type="spellEnd"/>
            <w:r>
              <w:t xml:space="preserve"> PROUZET (Munkáltatók/FR)</w:t>
            </w:r>
          </w:p>
        </w:tc>
      </w:tr>
      <w:tr w:rsidR="00465162" w:rsidRPr="00465162" w14:paraId="60565F73" w14:textId="77777777" w:rsidTr="0036489A">
        <w:tc>
          <w:tcPr>
            <w:tcW w:w="1701" w:type="dxa"/>
          </w:tcPr>
          <w:p w14:paraId="4405A00F" w14:textId="77777777" w:rsidR="00465162" w:rsidRPr="00465162" w:rsidRDefault="00465162" w:rsidP="004651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521" w:type="dxa"/>
          </w:tcPr>
          <w:p w14:paraId="26DA48BA" w14:textId="3E9F6386" w:rsidR="00465162" w:rsidRPr="00465162" w:rsidRDefault="00465162" w:rsidP="004651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Angelo PAGLIARA (Munkavállalók/IT)</w:t>
            </w:r>
          </w:p>
          <w:p w14:paraId="1F24C2EA" w14:textId="03B9D796" w:rsidR="00465162" w:rsidRPr="00465162" w:rsidRDefault="00465162" w:rsidP="004651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Giuseppe GUERINI (Civil társadalmi szervezetek/IT)</w:t>
            </w:r>
          </w:p>
        </w:tc>
      </w:tr>
      <w:tr w:rsidR="00465162" w:rsidRPr="00465162" w14:paraId="39372820" w14:textId="77777777" w:rsidTr="0036489A">
        <w:tc>
          <w:tcPr>
            <w:tcW w:w="8222" w:type="dxa"/>
            <w:gridSpan w:val="2"/>
          </w:tcPr>
          <w:p w14:paraId="6C98B3D0" w14:textId="77777777" w:rsidR="00465162" w:rsidRPr="00465162" w:rsidRDefault="00465162" w:rsidP="004651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="00465162" w:rsidRPr="00465162" w14:paraId="7C667684" w14:textId="77777777" w:rsidTr="0036489A">
        <w:tc>
          <w:tcPr>
            <w:tcW w:w="1701" w:type="dxa"/>
            <w:vMerge w:val="restart"/>
          </w:tcPr>
          <w:p w14:paraId="140B2D51" w14:textId="77777777" w:rsidR="00465162" w:rsidRPr="00465162" w:rsidRDefault="00465162" w:rsidP="004651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6521" w:type="dxa"/>
          </w:tcPr>
          <w:p w14:paraId="0BD6402A" w14:textId="77777777" w:rsidR="00465162" w:rsidRPr="00465162" w:rsidRDefault="00465162" w:rsidP="004651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500 </w:t>
            </w:r>
            <w:proofErr w:type="spellStart"/>
            <w:r>
              <w:t>final</w:t>
            </w:r>
            <w:proofErr w:type="spellEnd"/>
          </w:p>
          <w:p w14:paraId="35684687" w14:textId="77777777" w:rsidR="00465162" w:rsidRPr="00465162" w:rsidRDefault="00465162" w:rsidP="004651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EESC-2025-01859-00-00-AC</w:t>
            </w:r>
          </w:p>
        </w:tc>
      </w:tr>
      <w:tr w:rsidR="00465162" w:rsidRPr="00465162" w14:paraId="3287886F" w14:textId="77777777" w:rsidTr="0036489A">
        <w:tc>
          <w:tcPr>
            <w:tcW w:w="1701" w:type="dxa"/>
            <w:vMerge/>
          </w:tcPr>
          <w:p w14:paraId="01DD9F1E" w14:textId="77777777" w:rsidR="00465162" w:rsidRPr="00465162" w:rsidRDefault="00465162" w:rsidP="004651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521" w:type="dxa"/>
          </w:tcPr>
          <w:p w14:paraId="2E2DEA70" w14:textId="77777777" w:rsidR="00465162" w:rsidRPr="00465162" w:rsidRDefault="00465162" w:rsidP="0046516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14:paraId="1489C838" w14:textId="77777777" w:rsidR="00465162" w:rsidRPr="00465162" w:rsidRDefault="00465162" w:rsidP="0046516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04D2C12C" w14:textId="77777777" w:rsidR="00465162" w:rsidRPr="00465162" w:rsidRDefault="00465162" w:rsidP="00465162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24496AA3" w14:textId="77777777" w:rsidR="00465162" w:rsidRPr="00465162" w:rsidRDefault="00465162" w:rsidP="00465162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2F8CA4CA" w14:textId="77777777" w:rsidR="00465162" w:rsidRPr="00465162" w:rsidRDefault="00465162" w:rsidP="00465162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419AAE5A" w14:textId="77777777" w:rsidR="00465162" w:rsidRPr="00465162" w:rsidRDefault="00465162" w:rsidP="00054C58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teljes mértékben támogatja az Európai Bizottság által meghatározott prioritásokat, amelyek választ adnak az érdekelt felek által felvetett kihívásokra;</w:t>
      </w:r>
    </w:p>
    <w:p w14:paraId="634276BC" w14:textId="77777777" w:rsidR="00465162" w:rsidRPr="00465162" w:rsidRDefault="00465162" w:rsidP="00054C58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megismétli, hogy a szabályozás egyszerűsítését a szociális és munkavállalói jogok teljes körű tiszteletben tartása mellett kell végrehajtani. Ezért kiemelten fontos, hogy az Európai Parlamentet és a nemzeti parlamenteket, valamint a szociális partnereket már a jogalkotási folyamat korai szakaszától kezdve strukturált módon bevonják a folyamatba;</w:t>
      </w:r>
    </w:p>
    <w:p w14:paraId="1A85E040" w14:textId="77777777" w:rsidR="00465162" w:rsidRPr="00465162" w:rsidRDefault="00465162" w:rsidP="00054C58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aktívabban hozzá kíván járulni az egységes piac irányításához többek között azáltal, hogy megerősített szerepet vállal az egységes piac szabályainak érvényesítésével foglalkozó munkacsoporton (SMET) belül;</w:t>
      </w:r>
    </w:p>
    <w:p w14:paraId="0DE50EC7" w14:textId="77777777" w:rsidR="00465162" w:rsidRPr="00465162" w:rsidRDefault="00465162" w:rsidP="00054C58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arra kéri az Európai Bizottságot, hogy terjesszen elő jogalkotási javaslatokat a területi ellátási korlátok kezelésére és a termékek címkézésének harmonizálására;</w:t>
      </w:r>
    </w:p>
    <w:p w14:paraId="3DC83A6A" w14:textId="77777777" w:rsidR="00465162" w:rsidRPr="00465162" w:rsidRDefault="00465162" w:rsidP="00054C58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üdvözli, hogy az Európai Bizottság bejelentette a vállalkozások számára választható „28. rendszer” létrehozására irányuló javaslatot, de hangsúlyozza, hogy hatékony biztosítékokra van szükség az esetleges visszaélések ellen;</w:t>
      </w:r>
    </w:p>
    <w:p w14:paraId="52044ED1" w14:textId="77777777" w:rsidR="00465162" w:rsidRPr="00465162" w:rsidRDefault="00465162" w:rsidP="00054C58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elismeri a szabványosítás mint az integráció és az innováció motorjának kulcsszerepét, de hangsúlyozza az átláthatóság, az </w:t>
      </w:r>
      <w:proofErr w:type="spellStart"/>
      <w:r>
        <w:t>inkluzivitás</w:t>
      </w:r>
      <w:proofErr w:type="spellEnd"/>
      <w:r>
        <w:t xml:space="preserve"> és a strukturált részvétel elvét;</w:t>
      </w:r>
    </w:p>
    <w:p w14:paraId="4D4A10FA" w14:textId="77777777" w:rsidR="00465162" w:rsidRPr="00465162" w:rsidRDefault="00465162" w:rsidP="00054C58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támogatja a szakmai képesítések elismerésének egyszerűsítését, a harmadik országbeli állampolgárok esetében is, de a képesítéseknek egyértelműen meghatározottnak, ellenőrizhetőnek és bizonyított minőségűnek kell lenniük;</w:t>
      </w:r>
    </w:p>
    <w:p w14:paraId="44855F90" w14:textId="77777777" w:rsidR="00465162" w:rsidRPr="00465162" w:rsidRDefault="00465162" w:rsidP="00054C58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360"/>
        <w:textAlignment w:val="baseline"/>
        <w:rPr>
          <w:bCs/>
          <w:iCs/>
        </w:rPr>
      </w:pPr>
      <w:r>
        <w:t>támogatja az Európai Munkaügyi Hatóság megerősítését;</w:t>
      </w:r>
    </w:p>
    <w:p w14:paraId="36D1C1B4" w14:textId="77777777" w:rsidR="00465162" w:rsidRPr="00465162" w:rsidRDefault="00465162" w:rsidP="00054C58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ind w:left="360"/>
        <w:textAlignment w:val="baseline"/>
        <w:rPr>
          <w:bCs/>
          <w:iCs/>
        </w:rPr>
      </w:pPr>
      <w:r>
        <w:t xml:space="preserve">kéri, hogy az egységes piac alkalmazási körét terjesszék ki az olyan stratégiai ágazatokra, mint az energia és a pénzügy. Hangsúlyozza, hogy inkluzív irányítási modellre van szükség, és felszólít a közbeszerzési jogszabályok felülvizsgálatára. Ugyanakkor meg kell találni a megfelelő módot a szociális, környezetvédelmi és innovációs célkitűzések figyelembevételére. </w:t>
      </w:r>
    </w:p>
    <w:p w14:paraId="2800F0AE" w14:textId="77777777" w:rsidR="00465162" w:rsidRPr="00465162" w:rsidRDefault="00465162" w:rsidP="0046516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p w14:paraId="471E1854" w14:textId="77777777" w:rsidR="00465162" w:rsidRPr="00465162" w:rsidRDefault="00465162" w:rsidP="00465162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5670"/>
      </w:tblGrid>
      <w:tr w:rsidR="00465162" w:rsidRPr="00465162" w14:paraId="7E653814" w14:textId="77777777" w:rsidTr="0036489A">
        <w:tc>
          <w:tcPr>
            <w:tcW w:w="1418" w:type="dxa"/>
          </w:tcPr>
          <w:p w14:paraId="6898358A" w14:textId="77777777" w:rsidR="00465162" w:rsidRPr="00465162" w:rsidRDefault="00465162" w:rsidP="004651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5670" w:type="dxa"/>
          </w:tcPr>
          <w:p w14:paraId="324AE5F8" w14:textId="77777777" w:rsidR="00465162" w:rsidRPr="00465162" w:rsidRDefault="00465162" w:rsidP="004651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Annalisa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Tessarolo</w:t>
            </w:r>
            <w:proofErr w:type="spellEnd"/>
          </w:p>
        </w:tc>
      </w:tr>
      <w:tr w:rsidR="00465162" w:rsidRPr="00465162" w14:paraId="3F0424C9" w14:textId="77777777" w:rsidTr="0036489A">
        <w:tc>
          <w:tcPr>
            <w:tcW w:w="1418" w:type="dxa"/>
          </w:tcPr>
          <w:p w14:paraId="0C254111" w14:textId="77777777" w:rsidR="00465162" w:rsidRPr="00465162" w:rsidRDefault="00465162" w:rsidP="004651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0C3DEEF0" w14:textId="77777777" w:rsidR="00465162" w:rsidRPr="00465162" w:rsidRDefault="00465162" w:rsidP="004651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+ 32 25469732</w:t>
            </w:r>
          </w:p>
        </w:tc>
      </w:tr>
      <w:tr w:rsidR="00465162" w:rsidRPr="00465162" w14:paraId="6449EA12" w14:textId="77777777" w:rsidTr="0036489A">
        <w:tc>
          <w:tcPr>
            <w:tcW w:w="1418" w:type="dxa"/>
          </w:tcPr>
          <w:p w14:paraId="1D040452" w14:textId="0B90490C" w:rsidR="00465162" w:rsidRPr="00465162" w:rsidRDefault="00034990" w:rsidP="004651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14:paraId="3E267456" w14:textId="77777777" w:rsidR="00465162" w:rsidRPr="00465162" w:rsidRDefault="008B736D" w:rsidP="00465162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r:id="rId36" w:history="1">
              <w:r w:rsidR="00326BD5">
                <w:rPr>
                  <w:i/>
                  <w:color w:val="0000FF"/>
                  <w:u w:val="single"/>
                </w:rPr>
                <w:t>Annalisa.Tessarolo@eesc.europa.eu</w:t>
              </w:r>
            </w:hyperlink>
          </w:p>
        </w:tc>
      </w:tr>
    </w:tbl>
    <w:p w14:paraId="7BF91C3B" w14:textId="274B597C" w:rsidR="008A6059" w:rsidRPr="008A6059" w:rsidRDefault="00465162" w:rsidP="008A605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br w:type="page"/>
      </w:r>
      <w:hyperlink r:id="rId37" w:tgtFrame="_blank" w:history="1">
        <w:r>
          <w:rPr>
            <w:b/>
            <w:i/>
            <w:color w:val="0000FF"/>
            <w:sz w:val="28"/>
            <w:u w:val="single"/>
          </w:rPr>
          <w:t>2024. évi jelentés a versenypolitikáról</w:t>
        </w:r>
      </w:hyperlink>
    </w:p>
    <w:p w14:paraId="1EBCF21B" w14:textId="77777777" w:rsidR="008A6059" w:rsidRPr="008A6059" w:rsidRDefault="008A6059" w:rsidP="008A605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="008A6059" w:rsidRPr="008A6059" w14:paraId="2893C03B" w14:textId="77777777" w:rsidTr="0036489A">
        <w:tc>
          <w:tcPr>
            <w:tcW w:w="1701" w:type="dxa"/>
          </w:tcPr>
          <w:p w14:paraId="51A0B439" w14:textId="77777777" w:rsidR="008A6059" w:rsidRPr="008A6059" w:rsidRDefault="008A6059" w:rsidP="008A605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5387" w:type="dxa"/>
          </w:tcPr>
          <w:p w14:paraId="1D2ED450" w14:textId="10B4B8A6" w:rsidR="008A6059" w:rsidRPr="008A6059" w:rsidRDefault="008A6059" w:rsidP="008A605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Andrea MONE (Munkavállalók/IT)</w:t>
            </w:r>
          </w:p>
        </w:tc>
      </w:tr>
      <w:tr w:rsidR="008A6059" w:rsidRPr="008A6059" w14:paraId="55F5B62B" w14:textId="77777777" w:rsidTr="0036489A">
        <w:tc>
          <w:tcPr>
            <w:tcW w:w="7088" w:type="dxa"/>
            <w:gridSpan w:val="2"/>
          </w:tcPr>
          <w:p w14:paraId="47424FA1" w14:textId="77777777" w:rsidR="008A6059" w:rsidRPr="008A6059" w:rsidRDefault="008A6059" w:rsidP="008A605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="008A6059" w:rsidRPr="008A6059" w14:paraId="6946E1F7" w14:textId="77777777" w:rsidTr="0036489A">
        <w:tc>
          <w:tcPr>
            <w:tcW w:w="1701" w:type="dxa"/>
            <w:vMerge w:val="restart"/>
          </w:tcPr>
          <w:p w14:paraId="4E5A71ED" w14:textId="77777777" w:rsidR="008A6059" w:rsidRPr="008A6059" w:rsidRDefault="008A6059" w:rsidP="008A605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5387" w:type="dxa"/>
          </w:tcPr>
          <w:p w14:paraId="7ED176EC" w14:textId="77777777" w:rsidR="008A6059" w:rsidRPr="008A6059" w:rsidRDefault="008A6059" w:rsidP="008A605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181 </w:t>
            </w:r>
            <w:proofErr w:type="spellStart"/>
            <w:r>
              <w:t>final</w:t>
            </w:r>
            <w:proofErr w:type="spellEnd"/>
          </w:p>
          <w:p w14:paraId="44CC362B" w14:textId="77777777" w:rsidR="008A6059" w:rsidRPr="008A6059" w:rsidRDefault="008A6059" w:rsidP="008A605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EESC-2025-02299-00-00-AC</w:t>
            </w:r>
          </w:p>
        </w:tc>
      </w:tr>
      <w:tr w:rsidR="008A6059" w:rsidRPr="008A6059" w14:paraId="7566A6A0" w14:textId="77777777" w:rsidTr="0036489A">
        <w:tc>
          <w:tcPr>
            <w:tcW w:w="1701" w:type="dxa"/>
            <w:vMerge/>
          </w:tcPr>
          <w:p w14:paraId="5F57B278" w14:textId="77777777" w:rsidR="008A6059" w:rsidRPr="008A6059" w:rsidRDefault="008A6059" w:rsidP="008A605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5387" w:type="dxa"/>
          </w:tcPr>
          <w:p w14:paraId="42669B75" w14:textId="77777777" w:rsidR="008A6059" w:rsidRPr="008A6059" w:rsidRDefault="008A6059" w:rsidP="008A605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14:paraId="7E134121" w14:textId="77777777" w:rsidR="008A6059" w:rsidRPr="008A6059" w:rsidRDefault="008A6059" w:rsidP="008A6059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en-GB"/>
        </w:rPr>
      </w:pPr>
    </w:p>
    <w:p w14:paraId="43B69CAE" w14:textId="77777777" w:rsidR="008A6059" w:rsidRPr="008A6059" w:rsidRDefault="008A6059" w:rsidP="008A605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4FA58545" w14:textId="77777777" w:rsidR="008A6059" w:rsidRPr="008A6059" w:rsidRDefault="008A6059" w:rsidP="008A6059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1BF67B8A" w14:textId="77777777" w:rsidR="008A6059" w:rsidRPr="008A6059" w:rsidRDefault="008A6059" w:rsidP="008A6059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59EE1DF2" w14:textId="77777777" w:rsidR="008A6059" w:rsidRPr="008A6059" w:rsidRDefault="008A6059" w:rsidP="008A6059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1EFFAB53" w14:textId="77777777" w:rsidR="008A6059" w:rsidRPr="008A6059" w:rsidRDefault="008A6059" w:rsidP="00054C58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üdvözli az </w:t>
      </w:r>
      <w:r>
        <w:rPr>
          <w:b/>
          <w:bCs/>
        </w:rPr>
        <w:t>Európai Bizottság által 2024-ben elfogadott jogérvényesítési megközelítést</w:t>
      </w:r>
      <w:r>
        <w:t xml:space="preserve">, amely összehangolja a versenypolitikát az EU digitális, zöld és </w:t>
      </w:r>
      <w:proofErr w:type="spellStart"/>
      <w:r>
        <w:t>reziliens</w:t>
      </w:r>
      <w:proofErr w:type="spellEnd"/>
      <w:r>
        <w:t xml:space="preserve"> célkitűzéseivel, a jól működő és versenyképes belső piac fenntartása mellett,</w:t>
      </w:r>
    </w:p>
    <w:p w14:paraId="607132BD" w14:textId="77777777" w:rsidR="008A6059" w:rsidRPr="008A6059" w:rsidRDefault="008A6059" w:rsidP="00054C58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>támogatja az Európai Bizottság arra irányuló erőfeszítéseit, hogy f</w:t>
      </w:r>
      <w:r>
        <w:rPr>
          <w:b/>
          <w:bCs/>
        </w:rPr>
        <w:t>okozza a versenyszabályok hatékonyságát és kiszámíthatóságát</w:t>
      </w:r>
      <w:r>
        <w:t>, ezen belül az erőfölénnyel való, kiszorításra irányuló visszaélésekre vonatkozó új iránymutatások kidolgozását, a piac meghatározásáról szóló frissített közleményt, valamint a fogyasztói jólétet befolyásoló hatások értékelésére szolgáló jobb eszközöket,</w:t>
      </w:r>
    </w:p>
    <w:p w14:paraId="30166AC6" w14:textId="77777777" w:rsidR="008A6059" w:rsidRPr="008A6059" w:rsidRDefault="008A6059" w:rsidP="00054C58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hangsúlyozza a </w:t>
      </w:r>
      <w:r>
        <w:rPr>
          <w:b/>
          <w:bCs/>
        </w:rPr>
        <w:t>digitális</w:t>
      </w:r>
      <w:r>
        <w:t xml:space="preserve"> </w:t>
      </w:r>
      <w:r>
        <w:rPr>
          <w:b/>
          <w:bCs/>
        </w:rPr>
        <w:t>piacokon</w:t>
      </w:r>
      <w:r>
        <w:t xml:space="preserve"> jelentkező versenykihívások kezelésének fontosságát, és ösztönzi az Európai Bizottságot, hogy folytassa a verseny érvényesítését a hagyományos versenyszabályok és a digitális piacokról szóló jogszabály alapján, tekintettel a platformalapú üzleti modellek strukturális erőfölényére és piacra lépésük akadályaira,</w:t>
      </w:r>
    </w:p>
    <w:p w14:paraId="2C7DEA84" w14:textId="77777777" w:rsidR="008A6059" w:rsidRPr="008A6059" w:rsidRDefault="008A6059" w:rsidP="00054C58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felszólít az </w:t>
      </w:r>
      <w:r>
        <w:rPr>
          <w:b/>
          <w:bCs/>
        </w:rPr>
        <w:t>összefonódások</w:t>
      </w:r>
      <w:r>
        <w:t xml:space="preserve"> </w:t>
      </w:r>
      <w:r>
        <w:rPr>
          <w:b/>
          <w:bCs/>
        </w:rPr>
        <w:t>szigorúbb</w:t>
      </w:r>
      <w:r>
        <w:t xml:space="preserve"> </w:t>
      </w:r>
      <w:r>
        <w:rPr>
          <w:b/>
          <w:bCs/>
        </w:rPr>
        <w:t>ellenőrzésére</w:t>
      </w:r>
      <w:r>
        <w:t xml:space="preserve">, beleértve egy olyan keretet is, amely ellenőrzi a küszöbérték alatti felvásárlásokat, amelyek károsíthatják a versenyt (pl. „gyilkos felvásárlások”), és sürgeti, hogy az összefonódások értékelése során </w:t>
      </w:r>
      <w:r>
        <w:rPr>
          <w:b/>
          <w:bCs/>
        </w:rPr>
        <w:t>nagyobb mértékben vegyék figyelembe a munkaerőpiaci hatásokat és az</w:t>
      </w:r>
      <w:r>
        <w:t xml:space="preserve"> </w:t>
      </w:r>
      <w:r>
        <w:rPr>
          <w:b/>
          <w:bCs/>
        </w:rPr>
        <w:t>innovációs</w:t>
      </w:r>
      <w:r>
        <w:t xml:space="preserve"> dinamikát,</w:t>
      </w:r>
    </w:p>
    <w:p w14:paraId="47C13D78" w14:textId="77777777" w:rsidR="008A6059" w:rsidRPr="008A6059" w:rsidRDefault="008A6059" w:rsidP="00054C58">
      <w:pPr>
        <w:numPr>
          <w:ilvl w:val="0"/>
          <w:numId w:val="26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hangsúlyozza, hogy szükség van az </w:t>
      </w:r>
      <w:r>
        <w:rPr>
          <w:b/>
          <w:bCs/>
        </w:rPr>
        <w:t>állami</w:t>
      </w:r>
      <w:r>
        <w:t xml:space="preserve"> </w:t>
      </w:r>
      <w:r>
        <w:rPr>
          <w:b/>
          <w:bCs/>
        </w:rPr>
        <w:t>támogatási</w:t>
      </w:r>
      <w:r>
        <w:t xml:space="preserve"> </w:t>
      </w:r>
      <w:r>
        <w:rPr>
          <w:b/>
          <w:bCs/>
        </w:rPr>
        <w:t>szabályokra</w:t>
      </w:r>
      <w:r>
        <w:t xml:space="preserve"> – különösen a tisztaipar-megállapodás állami támogatási keretrendszerére és a közös európai érdeket szolgáló fontos projektek folyamataira – </w:t>
      </w:r>
      <w:r>
        <w:rPr>
          <w:b/>
          <w:bCs/>
        </w:rPr>
        <w:t>a határokon átnyúló részvétel előmozdítása, a széttagoltság csökkentése</w:t>
      </w:r>
      <w:r>
        <w:t xml:space="preserve"> és a tisztaipar-megállapodáshoz elengedhetetlen </w:t>
      </w:r>
      <w:r>
        <w:rPr>
          <w:b/>
          <w:bCs/>
        </w:rPr>
        <w:t>stratégiai</w:t>
      </w:r>
      <w:r>
        <w:t xml:space="preserve"> </w:t>
      </w:r>
      <w:r>
        <w:rPr>
          <w:b/>
          <w:bCs/>
        </w:rPr>
        <w:t>beruházások</w:t>
      </w:r>
      <w:r>
        <w:t xml:space="preserve"> </w:t>
      </w:r>
      <w:r>
        <w:rPr>
          <w:b/>
          <w:bCs/>
        </w:rPr>
        <w:t>támogatása</w:t>
      </w:r>
      <w:r>
        <w:t xml:space="preserve"> érdekében, biztosítva ugyanakkor a kohéziót és az egyenlő versenyfeltételeket a tagállamok között.</w:t>
      </w:r>
    </w:p>
    <w:p w14:paraId="5B6011EA" w14:textId="77777777" w:rsidR="008A6059" w:rsidRPr="008A6059" w:rsidRDefault="008A6059" w:rsidP="008A6059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5670"/>
      </w:tblGrid>
      <w:tr w:rsidR="008A6059" w:rsidRPr="008A6059" w14:paraId="60D2607C" w14:textId="77777777" w:rsidTr="0036489A">
        <w:tc>
          <w:tcPr>
            <w:tcW w:w="1418" w:type="dxa"/>
          </w:tcPr>
          <w:p w14:paraId="0F9C1860" w14:textId="77777777" w:rsidR="008A6059" w:rsidRPr="008A6059" w:rsidRDefault="008A6059" w:rsidP="008A605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5670" w:type="dxa"/>
          </w:tcPr>
          <w:p w14:paraId="725FD099" w14:textId="77777777" w:rsidR="008A6059" w:rsidRPr="008A6059" w:rsidRDefault="008A6059" w:rsidP="008A605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Silvia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Staffa</w:t>
            </w:r>
            <w:proofErr w:type="spellEnd"/>
          </w:p>
        </w:tc>
      </w:tr>
      <w:tr w:rsidR="008A6059" w:rsidRPr="008A6059" w14:paraId="3BAB393F" w14:textId="77777777" w:rsidTr="0036489A">
        <w:tc>
          <w:tcPr>
            <w:tcW w:w="1418" w:type="dxa"/>
          </w:tcPr>
          <w:p w14:paraId="01CC6C43" w14:textId="77777777" w:rsidR="008A6059" w:rsidRPr="008A6059" w:rsidRDefault="008A6059" w:rsidP="008A605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5670" w:type="dxa"/>
          </w:tcPr>
          <w:p w14:paraId="1A61F972" w14:textId="77777777" w:rsidR="008A6059" w:rsidRPr="008A6059" w:rsidRDefault="008A6059" w:rsidP="008A605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+ 32 25468378</w:t>
            </w:r>
          </w:p>
        </w:tc>
      </w:tr>
      <w:tr w:rsidR="008A6059" w:rsidRPr="008A6059" w14:paraId="6DC120EA" w14:textId="77777777" w:rsidTr="0036489A">
        <w:tc>
          <w:tcPr>
            <w:tcW w:w="1418" w:type="dxa"/>
          </w:tcPr>
          <w:p w14:paraId="32C00486" w14:textId="001C808A" w:rsidR="008A6059" w:rsidRPr="008A6059" w:rsidRDefault="006E6F14" w:rsidP="008A605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14:paraId="0B7A4BF8" w14:textId="77777777" w:rsidR="008A6059" w:rsidRPr="008A6059" w:rsidRDefault="008B736D" w:rsidP="008A6059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r:id="rId38" w:history="1">
              <w:r w:rsidR="00326BD5"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14:paraId="4982DE1D" w14:textId="77777777" w:rsidR="004D7AC0" w:rsidRDefault="004D7AC0" w:rsidP="004D7AC0">
      <w:pPr>
        <w:pStyle w:val="ListParagraph"/>
        <w:ind w:left="0"/>
      </w:pPr>
    </w:p>
    <w:p w14:paraId="4E659D6D" w14:textId="0C2068A0" w:rsidR="00685A3A" w:rsidRPr="00685A3A" w:rsidRDefault="004D7AC0" w:rsidP="00685A3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i/>
          <w:iCs/>
          <w:sz w:val="28"/>
          <w:szCs w:val="28"/>
        </w:rPr>
      </w:pPr>
      <w:r>
        <w:br w:type="page"/>
      </w:r>
      <w:hyperlink r:id="rId39" w:history="1">
        <w:r>
          <w:rPr>
            <w:b/>
            <w:i/>
            <w:color w:val="0000FF"/>
            <w:sz w:val="28"/>
            <w:u w:val="single"/>
          </w:rPr>
          <w:t>Versenyképességi Alap</w:t>
        </w:r>
      </w:hyperlink>
    </w:p>
    <w:p w14:paraId="2B552AA7" w14:textId="77777777" w:rsidR="00685A3A" w:rsidRPr="00685A3A" w:rsidRDefault="00685A3A" w:rsidP="00685A3A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0"/>
        <w:tblW w:w="49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5"/>
      </w:tblGrid>
      <w:tr w:rsidR="00685A3A" w:rsidRPr="00685A3A" w14:paraId="5D349B8F" w14:textId="77777777" w:rsidTr="0036489A">
        <w:trPr>
          <w:trHeight w:val="406"/>
        </w:trPr>
        <w:tc>
          <w:tcPr>
            <w:tcW w:w="1108" w:type="pct"/>
          </w:tcPr>
          <w:p w14:paraId="7D52188A" w14:textId="77777777" w:rsidR="00685A3A" w:rsidRPr="00685A3A" w:rsidRDefault="00685A3A" w:rsidP="00685A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3892" w:type="pct"/>
          </w:tcPr>
          <w:p w14:paraId="51845819" w14:textId="525A6D0F" w:rsidR="00685A3A" w:rsidRPr="00685A3A" w:rsidRDefault="00685A3A" w:rsidP="00685A3A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Milena</w:t>
            </w:r>
            <w:proofErr w:type="spellEnd"/>
            <w:r>
              <w:t xml:space="preserve"> ANGELOVA (Munkáltatók/BG)</w:t>
            </w:r>
          </w:p>
        </w:tc>
      </w:tr>
      <w:tr w:rsidR="00685A3A" w:rsidRPr="00685A3A" w14:paraId="3F4509C4" w14:textId="77777777" w:rsidTr="0036489A">
        <w:tc>
          <w:tcPr>
            <w:tcW w:w="1108" w:type="pct"/>
          </w:tcPr>
          <w:p w14:paraId="4640AD0B" w14:textId="77777777" w:rsidR="00685A3A" w:rsidRPr="00685A3A" w:rsidRDefault="00685A3A" w:rsidP="00685A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3892" w:type="pct"/>
          </w:tcPr>
          <w:p w14:paraId="3A3B4EA5" w14:textId="6C386D40" w:rsidR="00685A3A" w:rsidRPr="00685A3A" w:rsidRDefault="00685A3A" w:rsidP="00685A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COM(2025) 555 </w:t>
            </w:r>
            <w:proofErr w:type="spellStart"/>
            <w:r>
              <w:t>final</w:t>
            </w:r>
            <w:proofErr w:type="spellEnd"/>
          </w:p>
          <w:p w14:paraId="1044ED01" w14:textId="77777777" w:rsidR="00685A3A" w:rsidRPr="00685A3A" w:rsidRDefault="00685A3A" w:rsidP="00685A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EESC-2025-02576-00-00-AC</w:t>
            </w:r>
          </w:p>
        </w:tc>
      </w:tr>
    </w:tbl>
    <w:p w14:paraId="56948C34" w14:textId="77777777" w:rsidR="00685A3A" w:rsidRPr="00685A3A" w:rsidRDefault="00685A3A" w:rsidP="00685A3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pt-PT"/>
        </w:rPr>
      </w:pPr>
    </w:p>
    <w:p w14:paraId="1BD3853A" w14:textId="77777777" w:rsidR="00685A3A" w:rsidRPr="00685A3A" w:rsidRDefault="00685A3A" w:rsidP="00685A3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1CAACFD9" w14:textId="77777777" w:rsidR="00685A3A" w:rsidRPr="00685A3A" w:rsidRDefault="00685A3A" w:rsidP="00685A3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5FF48023" w14:textId="77777777" w:rsidR="00685A3A" w:rsidRDefault="00685A3A" w:rsidP="00685A3A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2BFD330A" w14:textId="77777777" w:rsidR="0068013D" w:rsidRPr="00685A3A" w:rsidRDefault="0068013D" w:rsidP="00685A3A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41E4A36B" w14:textId="77777777" w:rsidR="00685A3A" w:rsidRPr="00685A3A" w:rsidRDefault="00685A3A" w:rsidP="00054C5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támogatja az Európai Versenyképességi Alap (EVA) létrehozását, amely a következő uniós költségvetés sarokköve és az innováció, a </w:t>
      </w:r>
      <w:proofErr w:type="spellStart"/>
      <w:r>
        <w:t>reziliencia</w:t>
      </w:r>
      <w:proofErr w:type="spellEnd"/>
      <w:r>
        <w:t xml:space="preserve"> és a biztonság motorja, és hangsúlyozza, hogy </w:t>
      </w:r>
      <w:r>
        <w:rPr>
          <w:b/>
          <w:bCs/>
        </w:rPr>
        <w:t>a finanszírozást továbbra is határozottan a fenntarthatósághoz és az EU szociális piacgazdaságához kell igazítani,</w:t>
      </w:r>
    </w:p>
    <w:p w14:paraId="7B5E1E81" w14:textId="77777777" w:rsidR="00685A3A" w:rsidRPr="00685A3A" w:rsidRDefault="00685A3A" w:rsidP="00054C5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rPr>
          <w:b/>
          <w:bCs/>
        </w:rPr>
        <w:t>felszólít az EU-szerte egységesen alkalmazandó, érdemeken alapuló projektkiválasztásra</w:t>
      </w:r>
      <w:r>
        <w:t xml:space="preserve">, olyan egyértelmű kritériumokkal, mint a kiválóság, a jövőorientáltság és a gazdasági potenciál. </w:t>
      </w:r>
      <w:r>
        <w:rPr>
          <w:b/>
          <w:bCs/>
        </w:rPr>
        <w:t>A tagállami kapuőr-jelenség elkerülése</w:t>
      </w:r>
      <w:r>
        <w:t xml:space="preserve"> érdekében az EGSZB átlátható eljárásokat, a pályázók számára valamennyi tagállamban egyenlő hozzáférést sürget, valamint kéri a szociális partnerek és a civil társadalom aktív bevonását a kormányzásba,</w:t>
      </w:r>
    </w:p>
    <w:p w14:paraId="64C52483" w14:textId="77777777" w:rsidR="00685A3A" w:rsidRPr="00685A3A" w:rsidRDefault="00685A3A" w:rsidP="00054C5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rPr>
          <w:b/>
          <w:bCs/>
        </w:rPr>
        <w:t>javasolja egy „piaci megerősítési követelmény” bevezetését,</w:t>
      </w:r>
      <w:r>
        <w:t xml:space="preserve"> amely megköveteli, hogy a jelentős uniós kiegészítő finanszírozást kereső projektek – például közös európai érdeket szolgáló fontos projektek vagy más nagyszabású beruházások – először bizonyos arányú magánforrást mozgósítsanak. Ez a piacvizsgálati mechanizmus segítene értékelni a projektek minőségét, visszaszorítani az átpolitizált finanszírozási döntéseket, és megerősíteni az állami támogatás és a tényleges versenyképesség közötti kapcsolatot,</w:t>
      </w:r>
    </w:p>
    <w:p w14:paraId="7A1693EC" w14:textId="77777777" w:rsidR="00685A3A" w:rsidRPr="00685A3A" w:rsidRDefault="00685A3A" w:rsidP="00054C5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rPr>
          <w:b/>
          <w:bCs/>
        </w:rPr>
        <w:t>hangsúlyozza, hogy erős kockázatértékelési és megelőzési eszközökre van szükség</w:t>
      </w:r>
      <w:r>
        <w:t>, amelyek biztosítják, hogy az EVA forrásait csak olyan projektekre fordítsák, amelyek ténylegesen javítják Európa versenyképességét, és elkerülik az uniós finanszírozási programok múltbeli hiányosságainak megismétlődését;</w:t>
      </w:r>
    </w:p>
    <w:p w14:paraId="4F35B8DF" w14:textId="77777777" w:rsidR="00685A3A" w:rsidRPr="00685A3A" w:rsidRDefault="00685A3A" w:rsidP="00054C58">
      <w:pPr>
        <w:numPr>
          <w:ilvl w:val="0"/>
          <w:numId w:val="27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 xml:space="preserve">kiemeli, hogy fontos </w:t>
      </w:r>
      <w:r>
        <w:rPr>
          <w:b/>
          <w:bCs/>
        </w:rPr>
        <w:t>támogatni a kkv-kat, a regionális és határokon átnyúló innovációs ökoszisztémákat, valamint beruházni a készségekbe és a méltányos munkakörülményekbe</w:t>
      </w:r>
      <w:r>
        <w:t>, ugyanakkor egyszerűsíteni kell az eljárásokat, és biztosítani kell az átlátható, kiszámítható és inkluzív irányítást.</w:t>
      </w:r>
    </w:p>
    <w:tbl>
      <w:tblPr>
        <w:tblStyle w:val="TableGrid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891"/>
      </w:tblGrid>
      <w:tr w:rsidR="00685A3A" w:rsidRPr="00685A3A" w14:paraId="5EE7D4B5" w14:textId="77777777" w:rsidTr="0036489A">
        <w:tc>
          <w:tcPr>
            <w:tcW w:w="742" w:type="pct"/>
          </w:tcPr>
          <w:p w14:paraId="7E3E84A7" w14:textId="6B50AAD3" w:rsidR="00685A3A" w:rsidRPr="00685A3A" w:rsidRDefault="00685A3A" w:rsidP="00685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4258" w:type="pct"/>
          </w:tcPr>
          <w:p w14:paraId="3F73F76D" w14:textId="15EE200F" w:rsidR="00685A3A" w:rsidRPr="00685A3A" w:rsidRDefault="00685A3A" w:rsidP="00685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  <w:tr w:rsidR="00685A3A" w:rsidRPr="00685A3A" w14:paraId="1DB97510" w14:textId="77777777" w:rsidTr="0036489A">
        <w:tc>
          <w:tcPr>
            <w:tcW w:w="742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10"/>
              <w:gridCol w:w="2572"/>
            </w:tblGrid>
            <w:tr w:rsidR="00E13363" w:rsidRPr="00A6689B" w14:paraId="014CFA79" w14:textId="77777777" w:rsidTr="0036489A">
              <w:tc>
                <w:tcPr>
                  <w:tcW w:w="742" w:type="pct"/>
                </w:tcPr>
                <w:p w14:paraId="7EB958FC" w14:textId="77777777" w:rsidR="00E13363" w:rsidRPr="00A6689B" w:rsidRDefault="00E13363" w:rsidP="00E13363">
                  <w:pPr>
                    <w:rPr>
                      <w:i/>
                    </w:rPr>
                  </w:pPr>
                  <w:r>
                    <w:rPr>
                      <w:b/>
                      <w:i/>
                    </w:rPr>
                    <w:t>Kapcsolattartó:</w:t>
                  </w:r>
                </w:p>
              </w:tc>
              <w:tc>
                <w:tcPr>
                  <w:tcW w:w="4258" w:type="pct"/>
                </w:tcPr>
                <w:p w14:paraId="2797B023" w14:textId="00679360" w:rsidR="00E13363" w:rsidRPr="00A6689B" w:rsidRDefault="00E13363" w:rsidP="00E13363">
                  <w:pPr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Silvia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Staffa</w:t>
                  </w:r>
                  <w:proofErr w:type="spellEnd"/>
                </w:p>
              </w:tc>
            </w:tr>
            <w:tr w:rsidR="00E13363" w:rsidRPr="00A6689B" w14:paraId="545C7BC0" w14:textId="77777777" w:rsidTr="0036489A">
              <w:tc>
                <w:tcPr>
                  <w:tcW w:w="742" w:type="pct"/>
                </w:tcPr>
                <w:p w14:paraId="01319993" w14:textId="77777777" w:rsidR="00E13363" w:rsidRPr="00A6689B" w:rsidRDefault="00E13363" w:rsidP="00E13363">
                  <w:pPr>
                    <w:rPr>
                      <w:i/>
                    </w:rPr>
                  </w:pPr>
                  <w:r>
                    <w:rPr>
                      <w:i/>
                    </w:rPr>
                    <w:t>Tel.:</w:t>
                  </w:r>
                </w:p>
              </w:tc>
              <w:tc>
                <w:tcPr>
                  <w:tcW w:w="4258" w:type="pct"/>
                </w:tcPr>
                <w:p w14:paraId="66DD56EC" w14:textId="77777777" w:rsidR="00E13363" w:rsidRPr="00A6689B" w:rsidRDefault="00E13363" w:rsidP="00E13363">
                  <w:pPr>
                    <w:rPr>
                      <w:i/>
                    </w:rPr>
                  </w:pPr>
                  <w:r>
                    <w:rPr>
                      <w:i/>
                    </w:rPr>
                    <w:t>+32 254 68378</w:t>
                  </w:r>
                </w:p>
              </w:tc>
            </w:tr>
            <w:tr w:rsidR="00E13363" w:rsidRPr="00CB5569" w14:paraId="4CC970C9" w14:textId="77777777" w:rsidTr="0036489A">
              <w:tc>
                <w:tcPr>
                  <w:tcW w:w="742" w:type="pct"/>
                </w:tcPr>
                <w:p w14:paraId="7B046870" w14:textId="77777777" w:rsidR="00E13363" w:rsidRPr="00A6689B" w:rsidRDefault="00E13363" w:rsidP="00E13363">
                  <w:pPr>
                    <w:rPr>
                      <w:i/>
                    </w:rPr>
                  </w:pPr>
                  <w:r>
                    <w:rPr>
                      <w:i/>
                    </w:rPr>
                    <w:t>E-mail:</w:t>
                  </w:r>
                </w:p>
              </w:tc>
              <w:tc>
                <w:tcPr>
                  <w:tcW w:w="4258" w:type="pct"/>
                </w:tcPr>
                <w:p w14:paraId="73277BE8" w14:textId="77777777" w:rsidR="00E13363" w:rsidRPr="00CB5569" w:rsidRDefault="008B736D" w:rsidP="00E13363">
                  <w:pPr>
                    <w:rPr>
                      <w:i/>
                      <w:iCs/>
                      <w:sz w:val="20"/>
                    </w:rPr>
                  </w:pPr>
                  <w:hyperlink r:id="rId40" w:history="1">
                    <w:r w:rsidR="00326BD5">
                      <w:rPr>
                        <w:rStyle w:val="Hyperlink"/>
                        <w:i/>
                        <w:sz w:val="20"/>
                      </w:rPr>
                      <w:t>Silvia.Staffa@eesc.europa.eu</w:t>
                    </w:r>
                  </w:hyperlink>
                </w:p>
              </w:tc>
            </w:tr>
          </w:tbl>
          <w:p w14:paraId="7ED801DC" w14:textId="10B65685" w:rsidR="00685A3A" w:rsidRPr="00685A3A" w:rsidRDefault="00685A3A" w:rsidP="00685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4258" w:type="pct"/>
          </w:tcPr>
          <w:p w14:paraId="3FCC5A85" w14:textId="77777777" w:rsidR="00685A3A" w:rsidRPr="00685A3A" w:rsidRDefault="00685A3A" w:rsidP="00685A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</w:tbl>
    <w:p w14:paraId="488199D1" w14:textId="4BC42091" w:rsidR="00685A3A" w:rsidRPr="00685A3A" w:rsidRDefault="00685A3A" w:rsidP="00685A3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br w:type="page"/>
      </w:r>
      <w:hyperlink r:id="rId41" w:history="1">
        <w:r>
          <w:rPr>
            <w:b/>
            <w:i/>
            <w:color w:val="0000FF"/>
            <w:sz w:val="28"/>
            <w:u w:val="single"/>
          </w:rPr>
          <w:t>Az európai közbeszerzési jogi keret felülvizsgálata</w:t>
        </w:r>
      </w:hyperlink>
    </w:p>
    <w:p w14:paraId="2EF6D0F3" w14:textId="77777777" w:rsidR="00685A3A" w:rsidRPr="00685A3A" w:rsidRDefault="00685A3A" w:rsidP="00685A3A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1"/>
        <w:tblW w:w="49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7145"/>
      </w:tblGrid>
      <w:tr w:rsidR="00685A3A" w:rsidRPr="00685A3A" w14:paraId="6187CB39" w14:textId="77777777" w:rsidTr="0036489A">
        <w:trPr>
          <w:trHeight w:val="406"/>
        </w:trPr>
        <w:tc>
          <w:tcPr>
            <w:tcW w:w="1108" w:type="pct"/>
          </w:tcPr>
          <w:p w14:paraId="4DBAD4F1" w14:textId="77777777" w:rsidR="00685A3A" w:rsidRPr="00685A3A" w:rsidRDefault="00685A3A" w:rsidP="00685A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3892" w:type="pct"/>
          </w:tcPr>
          <w:p w14:paraId="1387F327" w14:textId="3E223F4E" w:rsidR="00685A3A" w:rsidRPr="00685A3A" w:rsidRDefault="00685A3A" w:rsidP="00685A3A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Philip VON BROCKDORFF (Munkavállalók/MT)</w:t>
            </w:r>
          </w:p>
        </w:tc>
      </w:tr>
      <w:tr w:rsidR="00685A3A" w:rsidRPr="00685A3A" w14:paraId="74E460F2" w14:textId="77777777" w:rsidTr="0036489A">
        <w:tc>
          <w:tcPr>
            <w:tcW w:w="1108" w:type="pct"/>
          </w:tcPr>
          <w:p w14:paraId="318C426B" w14:textId="77777777" w:rsidR="00685A3A" w:rsidRPr="00685A3A" w:rsidRDefault="00685A3A" w:rsidP="00685A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3892" w:type="pct"/>
          </w:tcPr>
          <w:p w14:paraId="6CDCCE3F" w14:textId="74C336A8" w:rsidR="00685A3A" w:rsidRPr="00685A3A" w:rsidRDefault="00685A3A" w:rsidP="00685A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Feltáró vélemény az Európai Bizottság felkérésére</w:t>
            </w:r>
          </w:p>
          <w:p w14:paraId="6DE13CBF" w14:textId="77777777" w:rsidR="00685A3A" w:rsidRPr="00685A3A" w:rsidRDefault="00685A3A" w:rsidP="00685A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EESC-2025-01402-00-00-AC</w:t>
            </w:r>
          </w:p>
        </w:tc>
      </w:tr>
    </w:tbl>
    <w:p w14:paraId="786823F7" w14:textId="77777777" w:rsidR="00685A3A" w:rsidRPr="00685A3A" w:rsidRDefault="00685A3A" w:rsidP="00685A3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E38A4E7" w14:textId="77777777" w:rsidR="00685A3A" w:rsidRPr="00685A3A" w:rsidRDefault="00685A3A" w:rsidP="00685A3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6E1B1A97" w14:textId="77777777" w:rsidR="00685A3A" w:rsidRPr="00685A3A" w:rsidRDefault="00685A3A" w:rsidP="00685A3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Cs/>
          <w:lang w:val="en-GB"/>
        </w:rPr>
      </w:pPr>
    </w:p>
    <w:p w14:paraId="20D8098B" w14:textId="77777777" w:rsidR="00685A3A" w:rsidRDefault="00685A3A" w:rsidP="00685A3A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70A20C64" w14:textId="77777777" w:rsidR="00665929" w:rsidRPr="00685A3A" w:rsidRDefault="00665929" w:rsidP="00685A3A">
      <w:pPr>
        <w:overflowPunct w:val="0"/>
        <w:autoSpaceDE w:val="0"/>
        <w:autoSpaceDN w:val="0"/>
        <w:adjustRightInd w:val="0"/>
        <w:textAlignment w:val="baseline"/>
        <w:rPr>
          <w:lang w:val="en-GB"/>
        </w:rPr>
      </w:pPr>
    </w:p>
    <w:p w14:paraId="1AF2E88C" w14:textId="77777777" w:rsidR="00685A3A" w:rsidRPr="00685A3A" w:rsidRDefault="00685A3A" w:rsidP="00054C58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egyetért azzal, hogy az egyszerűsítés elősegítése, az adminisztratív költségek csökkentése és az egységes piac további harmonizációjának ösztönzése érdekében felül kell vizsgálni a hatályos uniós jogszabályokat,</w:t>
      </w:r>
    </w:p>
    <w:p w14:paraId="73D00E89" w14:textId="77777777" w:rsidR="00685A3A" w:rsidRPr="00685A3A" w:rsidRDefault="00685A3A" w:rsidP="00054C58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úgy véli, hogy a fenntartható uniós közbeszerzési politika túlmutathat a piaci hiányosság korlátozott paradigmáján, lehetővé téve a stratégiai, közjóra irányuló közbeszerzést; egyenlő célkitűzésekként rögzítve a társadalmi, innovációs és környezetvédelmi kritériumokat; valamint biztosítva, hogy a magánszereplők tisztességes feltételek mellett hozzáférjenek közbeszerzésekhez.</w:t>
      </w:r>
    </w:p>
    <w:p w14:paraId="0FCA8925" w14:textId="77777777" w:rsidR="00685A3A" w:rsidRPr="00685A3A" w:rsidRDefault="00685A3A" w:rsidP="00054C58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 xml:space="preserve">úgy véli, hogy a közbeszerzési szerződéseket az alapján kell odaítélni, hogy melyik a gazdaságilag legelőnyösebb ajánlat, hangsúlyozva a nem </w:t>
      </w:r>
      <w:proofErr w:type="spellStart"/>
      <w:r>
        <w:t>árjellegű</w:t>
      </w:r>
      <w:proofErr w:type="spellEnd"/>
      <w:r>
        <w:t xml:space="preserve"> kritériumok, például a minőséggel, innovációval, környezetvédelemmel és fenntarthatósággal kapcsolatos, illetve szociális szempontok, különösen a munkavállalói jogok és a kollektív megállapodások jelentőségét is,</w:t>
      </w:r>
    </w:p>
    <w:p w14:paraId="67FC0F27" w14:textId="77777777" w:rsidR="00685A3A" w:rsidRPr="00685A3A" w:rsidRDefault="00685A3A" w:rsidP="00054C58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holisztikus megközelítést szorgalmaz az általános érdekű szolgáltatásokra vonatkozó politikákkal kapcsolatban.</w:t>
      </w:r>
    </w:p>
    <w:p w14:paraId="4BDE4CA5" w14:textId="77777777" w:rsidR="00685A3A" w:rsidRPr="00685A3A" w:rsidRDefault="00685A3A" w:rsidP="00054C58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úgy véli, hogy nem szabad olyan vállalatoknak odaítélni közbeszerzési szerződéseket, amelyek rendszeresen megsértenek alapvető munkavállalói jogokat vagy rájuk kötelezően vonatkozó kollektív szerződéseket.</w:t>
      </w:r>
    </w:p>
    <w:p w14:paraId="2A2F2AFD" w14:textId="77777777" w:rsidR="00685A3A" w:rsidRPr="00685A3A" w:rsidRDefault="00685A3A" w:rsidP="00054C58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véleménye szerint a megfelelő jogi kritériumok teljesülése esetén és biztosítva, hogy ez csak minimális mértékben torzítsa a versenyt, az uniós közbeszerzési irányelvek felülvizsgálata során meg kell tartani a többségi ellenőrzés alatt álló jogalanyokra vonatkozó, házon belüli beszerzésekre vonatkozó lehetőséget és a közvetlen odaítélés lehetőségét,</w:t>
      </w:r>
    </w:p>
    <w:p w14:paraId="6E90E59A" w14:textId="77777777" w:rsidR="00685A3A" w:rsidRPr="00685A3A" w:rsidRDefault="00685A3A" w:rsidP="00054C58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>javasolja, hogy vezessenek be jogi kötelezettséget a közszolgáltatási szerződésekre vonatkozó jelenlegi küszöbértékek hatásainak értékelésére.</w:t>
      </w:r>
    </w:p>
    <w:p w14:paraId="47C53FE7" w14:textId="77777777" w:rsidR="00685A3A" w:rsidRPr="00685A3A" w:rsidRDefault="00685A3A" w:rsidP="00054C58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</w:pPr>
      <w:r>
        <w:t xml:space="preserve">úgy véli, hogy a közbeszerzés a közjó javára támogathatja a társadalmilag igazságos, </w:t>
      </w:r>
      <w:proofErr w:type="spellStart"/>
      <w:r>
        <w:t>ökológiailag</w:t>
      </w:r>
      <w:proofErr w:type="spellEnd"/>
      <w:r>
        <w:t xml:space="preserve"> fenntartható és gazdaságilag </w:t>
      </w:r>
      <w:proofErr w:type="spellStart"/>
      <w:r>
        <w:t>reziliens</w:t>
      </w:r>
      <w:proofErr w:type="spellEnd"/>
      <w:r>
        <w:t xml:space="preserve"> Európát,</w:t>
      </w:r>
    </w:p>
    <w:p w14:paraId="75315D9A" w14:textId="77777777" w:rsidR="00685A3A" w:rsidRPr="00685A3A" w:rsidRDefault="00685A3A" w:rsidP="00054C58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line="276" w:lineRule="auto"/>
        <w:ind w:left="284" w:hanging="284"/>
        <w:contextualSpacing/>
        <w:textAlignment w:val="baseline"/>
        <w:rPr>
          <w:rFonts w:ascii="Calibri" w:hAnsi="Calibri"/>
        </w:rPr>
      </w:pPr>
      <w:r>
        <w:t>kötelező záradékokat szorgalmaz az ár felülvizsgálatára vonatkozóan, hogy figyelembe vegyék a kollektív szerződések és/vagy a munkaügyi jogszabályok bérekkel kapcsolatos változásait, illetve az inflációt, valamint a szerződés teljesítését érintő egyéb releváns tényezőket is, például az energiaköltségeket.</w:t>
      </w:r>
    </w:p>
    <w:p w14:paraId="01E0D13D" w14:textId="77777777" w:rsidR="00685A3A" w:rsidRPr="00685A3A" w:rsidRDefault="00685A3A" w:rsidP="00685A3A">
      <w:pPr>
        <w:spacing w:line="276" w:lineRule="auto"/>
        <w:ind w:left="567"/>
        <w:contextualSpacing/>
        <w:rPr>
          <w:rFonts w:ascii="Calibri" w:hAnsi="Calibri"/>
          <w:bCs/>
          <w:iCs/>
          <w:lang w:val="en-GB" w:eastAsia="zh-CN"/>
        </w:rPr>
      </w:pPr>
    </w:p>
    <w:tbl>
      <w:tblPr>
        <w:tblStyle w:val="TableGrid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7806"/>
      </w:tblGrid>
      <w:tr w:rsidR="00685A3A" w:rsidRPr="00685A3A" w14:paraId="0E43841C" w14:textId="77777777" w:rsidTr="0036489A">
        <w:tc>
          <w:tcPr>
            <w:tcW w:w="742" w:type="pct"/>
          </w:tcPr>
          <w:p w14:paraId="28C7C10B" w14:textId="77777777" w:rsidR="00685A3A" w:rsidRPr="00685A3A" w:rsidRDefault="00685A3A" w:rsidP="00685A3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4258" w:type="pct"/>
          </w:tcPr>
          <w:p w14:paraId="1245791A" w14:textId="77777777" w:rsidR="00685A3A" w:rsidRPr="00685A3A" w:rsidRDefault="00685A3A" w:rsidP="00685A3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Annalisa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Tessarolo</w:t>
            </w:r>
            <w:proofErr w:type="spellEnd"/>
          </w:p>
        </w:tc>
      </w:tr>
      <w:tr w:rsidR="00685A3A" w:rsidRPr="00685A3A" w14:paraId="3DD656A6" w14:textId="77777777" w:rsidTr="0036489A">
        <w:tc>
          <w:tcPr>
            <w:tcW w:w="742" w:type="pct"/>
          </w:tcPr>
          <w:p w14:paraId="4F2FD959" w14:textId="77777777" w:rsidR="00685A3A" w:rsidRPr="00685A3A" w:rsidRDefault="00685A3A" w:rsidP="00685A3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4258" w:type="pct"/>
          </w:tcPr>
          <w:p w14:paraId="79B2077E" w14:textId="77777777" w:rsidR="00685A3A" w:rsidRPr="00685A3A" w:rsidRDefault="00685A3A" w:rsidP="00685A3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+ 32 25469732</w:t>
            </w:r>
          </w:p>
        </w:tc>
      </w:tr>
      <w:tr w:rsidR="00685A3A" w:rsidRPr="00685A3A" w14:paraId="31FFB9F3" w14:textId="77777777" w:rsidTr="0036489A">
        <w:tc>
          <w:tcPr>
            <w:tcW w:w="742" w:type="pct"/>
          </w:tcPr>
          <w:p w14:paraId="62C6EB1B" w14:textId="77777777" w:rsidR="00685A3A" w:rsidRPr="00685A3A" w:rsidRDefault="00685A3A" w:rsidP="00685A3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258" w:type="pct"/>
          </w:tcPr>
          <w:p w14:paraId="04364B9F" w14:textId="77777777" w:rsidR="00685A3A" w:rsidRPr="00685A3A" w:rsidRDefault="008B736D" w:rsidP="00685A3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r:id="rId42" w:history="1">
              <w:r w:rsidR="00326BD5">
                <w:rPr>
                  <w:i/>
                  <w:color w:val="0000FF"/>
                  <w:u w:val="single"/>
                </w:rPr>
                <w:t>Annalisa.Tessarolo@eesc.europa.eu</w:t>
              </w:r>
            </w:hyperlink>
          </w:p>
        </w:tc>
      </w:tr>
    </w:tbl>
    <w:p w14:paraId="40169B8F" w14:textId="3A8D790B" w:rsidR="00685A3A" w:rsidRDefault="00685A3A"/>
    <w:p w14:paraId="1E327181" w14:textId="77777777" w:rsidR="00685A3A" w:rsidRDefault="00685A3A">
      <w:r>
        <w:br w:type="page"/>
      </w:r>
    </w:p>
    <w:p w14:paraId="4982DE1E" w14:textId="5B30CC22" w:rsidR="004D7AC0" w:rsidRDefault="004D7AC0" w:rsidP="004D7AC0">
      <w:pPr>
        <w:spacing w:after="160" w:line="259" w:lineRule="auto"/>
        <w:jc w:val="left"/>
      </w:pPr>
    </w:p>
    <w:p w14:paraId="4982DE1F" w14:textId="77777777" w:rsidR="004D7AC0" w:rsidRDefault="004D7AC0" w:rsidP="004D7AC0">
      <w:pPr>
        <w:pStyle w:val="Heading1"/>
        <w:rPr>
          <w:b/>
        </w:rPr>
      </w:pPr>
      <w:bookmarkStart w:id="8" w:name="_Toc70322234"/>
      <w:bookmarkStart w:id="9" w:name="_Toc75527084"/>
      <w:bookmarkStart w:id="10" w:name="_Toc216962444"/>
      <w:r>
        <w:rPr>
          <w:b/>
        </w:rPr>
        <w:t>MEZŐGAZDASÁG, VIDÉKFEJLESZTÉS ÉS KÖRNYEZETVÉDELEM</w:t>
      </w:r>
      <w:bookmarkEnd w:id="8"/>
      <w:bookmarkEnd w:id="9"/>
      <w:bookmarkEnd w:id="10"/>
    </w:p>
    <w:p w14:paraId="4982DE20" w14:textId="77777777" w:rsidR="004D7AC0" w:rsidRDefault="004D7AC0" w:rsidP="004D7AC0"/>
    <w:p w14:paraId="280704BE" w14:textId="42E36B01" w:rsidR="00836765" w:rsidRPr="00836765" w:rsidRDefault="008B736D" w:rsidP="00836765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</w:rPr>
      </w:pPr>
      <w:hyperlink r:id="rId43" w:history="1">
        <w:r w:rsidR="00326BD5">
          <w:rPr>
            <w:b/>
            <w:i/>
            <w:color w:val="0000FF"/>
            <w:sz w:val="28"/>
            <w:u w:val="single"/>
          </w:rPr>
          <w:t>Az erdőirtásról szóló (EU) 2023/1115 rendelet módosítása</w:t>
        </w:r>
      </w:hyperlink>
      <w:r w:rsidR="00326BD5">
        <w:rPr>
          <w:b/>
          <w:i/>
          <w:sz w:val="28"/>
        </w:rPr>
        <w:t xml:space="preserve"> </w:t>
      </w:r>
    </w:p>
    <w:p w14:paraId="32C19EBC" w14:textId="77777777" w:rsidR="00836765" w:rsidRPr="00836765" w:rsidRDefault="00836765" w:rsidP="00836765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lang w:val="en-GB"/>
        </w:rPr>
      </w:pPr>
    </w:p>
    <w:tbl>
      <w:tblPr>
        <w:tblStyle w:val="TableGrid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836765" w:rsidRPr="00836765" w14:paraId="353187E9" w14:textId="77777777" w:rsidTr="0036489A">
        <w:tc>
          <w:tcPr>
            <w:tcW w:w="1077" w:type="pct"/>
            <w:vMerge w:val="restart"/>
          </w:tcPr>
          <w:p w14:paraId="48F35E0D" w14:textId="77777777" w:rsidR="00836765" w:rsidRPr="00836765" w:rsidRDefault="00836765" w:rsidP="0083676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3923" w:type="pct"/>
          </w:tcPr>
          <w:p w14:paraId="445830D4" w14:textId="19171181" w:rsidR="00B730AD" w:rsidRDefault="00B730AD" w:rsidP="0083676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„C” kategóriás vélemény</w:t>
            </w:r>
          </w:p>
          <w:p w14:paraId="3B6BE4B3" w14:textId="6F87B5D9" w:rsidR="00836765" w:rsidRPr="00836765" w:rsidRDefault="00836765" w:rsidP="0083676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 xml:space="preserve">COM(2025) 652 </w:t>
            </w:r>
            <w:proofErr w:type="spellStart"/>
            <w:r>
              <w:t>final</w:t>
            </w:r>
            <w:proofErr w:type="spellEnd"/>
          </w:p>
        </w:tc>
      </w:tr>
      <w:tr w:rsidR="00836765" w:rsidRPr="00836765" w14:paraId="61D1A2FF" w14:textId="77777777" w:rsidTr="0036489A">
        <w:tc>
          <w:tcPr>
            <w:tcW w:w="1077" w:type="pct"/>
            <w:vMerge/>
          </w:tcPr>
          <w:p w14:paraId="4837CA2A" w14:textId="77777777" w:rsidR="00836765" w:rsidRPr="00836765" w:rsidRDefault="00836765" w:rsidP="0083676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3923" w:type="pct"/>
          </w:tcPr>
          <w:p w14:paraId="1F5382E7" w14:textId="77777777" w:rsidR="00836765" w:rsidRPr="00836765" w:rsidRDefault="00836765" w:rsidP="0083676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EESC-2025-03869-00-00-AC-TRA</w:t>
            </w:r>
          </w:p>
        </w:tc>
      </w:tr>
    </w:tbl>
    <w:p w14:paraId="4266EAA0" w14:textId="77777777" w:rsidR="00836765" w:rsidRPr="00836765" w:rsidRDefault="00836765" w:rsidP="00836765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143DBBD" w14:textId="77777777" w:rsidR="00836765" w:rsidRPr="00836765" w:rsidRDefault="00836765" w:rsidP="00836765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23518C72" w14:textId="77777777" w:rsidR="00836765" w:rsidRPr="00836765" w:rsidRDefault="00836765" w:rsidP="00836765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A85C065" w14:textId="77777777" w:rsidR="00836765" w:rsidRPr="00836765" w:rsidRDefault="00836765" w:rsidP="00836765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48328C8A" w14:textId="77777777" w:rsidR="00836765" w:rsidRPr="00836765" w:rsidRDefault="00836765" w:rsidP="00836765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564661E9" w14:textId="77777777" w:rsidR="00836765" w:rsidRPr="00836765" w:rsidRDefault="00836765" w:rsidP="00054C58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a 2024. szeptember 19-én elfogadott, EESC-2024-01183-00-00-AC-TRA sz. véleményében</w:t>
      </w:r>
      <w:r w:rsidRPr="00836765">
        <w:rPr>
          <w:sz w:val="18"/>
          <w:szCs w:val="14"/>
          <w:vertAlign w:val="superscript"/>
          <w:lang w:val="en-GB"/>
        </w:rPr>
        <w:footnoteReference w:id="5"/>
      </w:r>
      <w:r>
        <w:t xml:space="preserve"> és a 2022. február 23-án elfogadott, EESC-2021-05690-00-00-AC-TRA sz. véleményében</w:t>
      </w:r>
      <w:r w:rsidRPr="00836765">
        <w:rPr>
          <w:sz w:val="18"/>
          <w:szCs w:val="14"/>
          <w:vertAlign w:val="superscript"/>
          <w:lang w:val="en-GB"/>
        </w:rPr>
        <w:footnoteReference w:id="6"/>
      </w:r>
      <w:r>
        <w:t xml:space="preserve"> már nyilatkozott a fenti javaslat tárgyában, ezért úgy határozott, hogy nem </w:t>
      </w:r>
      <w:proofErr w:type="spellStart"/>
      <w:r>
        <w:t>dolgoz</w:t>
      </w:r>
      <w:proofErr w:type="spellEnd"/>
      <w:r>
        <w:t xml:space="preserve"> ki újabb véleményt a témában, hanem az említett dokumentumokban kifejtett álláspontjára hivatkozik.</w:t>
      </w:r>
    </w:p>
    <w:p w14:paraId="65270CA5" w14:textId="77777777" w:rsidR="00836765" w:rsidRPr="00836765" w:rsidRDefault="00836765" w:rsidP="00836765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rFonts w:asciiTheme="minorHAnsi" w:hAnsiTheme="minorHAnsi"/>
          <w:szCs w:val="20"/>
          <w:lang w:val="en-GB"/>
        </w:rPr>
      </w:pPr>
    </w:p>
    <w:p w14:paraId="261D1073" w14:textId="77777777" w:rsidR="00836765" w:rsidRPr="00836765" w:rsidRDefault="00836765" w:rsidP="00836765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2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7288"/>
      </w:tblGrid>
      <w:tr w:rsidR="00836765" w:rsidRPr="00836765" w14:paraId="4FE2C2E9" w14:textId="77777777" w:rsidTr="0036489A">
        <w:tc>
          <w:tcPr>
            <w:tcW w:w="1078" w:type="pct"/>
          </w:tcPr>
          <w:p w14:paraId="440CE4F1" w14:textId="77777777" w:rsidR="00836765" w:rsidRPr="00836765" w:rsidRDefault="00836765" w:rsidP="008367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3922" w:type="pct"/>
          </w:tcPr>
          <w:p w14:paraId="3DB7D13C" w14:textId="2A0D3DD3" w:rsidR="00836765" w:rsidRPr="00836765" w:rsidRDefault="00836765" w:rsidP="008367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Martine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Delanoy</w:t>
            </w:r>
            <w:proofErr w:type="spellEnd"/>
          </w:p>
        </w:tc>
      </w:tr>
      <w:tr w:rsidR="00836765" w:rsidRPr="00836765" w14:paraId="79B8361E" w14:textId="77777777" w:rsidTr="0036489A">
        <w:tc>
          <w:tcPr>
            <w:tcW w:w="1078" w:type="pct"/>
          </w:tcPr>
          <w:p w14:paraId="495C55DC" w14:textId="77777777" w:rsidR="00836765" w:rsidRPr="00836765" w:rsidRDefault="00836765" w:rsidP="008367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2" w:type="pct"/>
          </w:tcPr>
          <w:p w14:paraId="7656C45E" w14:textId="77777777" w:rsidR="00836765" w:rsidRPr="00836765" w:rsidRDefault="00836765" w:rsidP="008367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</w:t>
            </w:r>
            <w:r>
              <w:t>802</w:t>
            </w:r>
          </w:p>
        </w:tc>
      </w:tr>
      <w:tr w:rsidR="00836765" w:rsidRPr="00836765" w14:paraId="24D7B260" w14:textId="77777777" w:rsidTr="0036489A">
        <w:tc>
          <w:tcPr>
            <w:tcW w:w="1078" w:type="pct"/>
          </w:tcPr>
          <w:p w14:paraId="2B01135D" w14:textId="77777777" w:rsidR="00836765" w:rsidRPr="00836765" w:rsidRDefault="00836765" w:rsidP="008367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3922" w:type="pct"/>
          </w:tcPr>
          <w:p w14:paraId="63509101" w14:textId="77777777" w:rsidR="00836765" w:rsidRPr="00836765" w:rsidRDefault="008B736D" w:rsidP="008367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44" w:history="1">
              <w:r w:rsidR="00326BD5">
                <w:rPr>
                  <w:i/>
                  <w:color w:val="0000FF"/>
                  <w:u w:val="single"/>
                </w:rPr>
                <w:t>Martine.Delanoy@eesc.europa.eu</w:t>
              </w:r>
            </w:hyperlink>
          </w:p>
        </w:tc>
      </w:tr>
    </w:tbl>
    <w:p w14:paraId="4982DE45" w14:textId="52A07963" w:rsidR="007F5784" w:rsidRDefault="007F5784">
      <w:pPr>
        <w:spacing w:after="160" w:line="259" w:lineRule="auto"/>
        <w:jc w:val="left"/>
      </w:pPr>
    </w:p>
    <w:p w14:paraId="7B893721" w14:textId="77777777" w:rsidR="00673B8C" w:rsidRDefault="00673B8C">
      <w:pPr>
        <w:spacing w:after="160" w:line="259" w:lineRule="auto"/>
        <w:jc w:val="left"/>
      </w:pPr>
    </w:p>
    <w:p w14:paraId="5314991A" w14:textId="298CCCC6" w:rsidR="000122F3" w:rsidRPr="000122F3" w:rsidRDefault="007F5784" w:rsidP="000122F3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ind w:left="567" w:hanging="567"/>
        <w:rPr>
          <w:sz w:val="20"/>
          <w:szCs w:val="20"/>
        </w:rPr>
      </w:pPr>
      <w:r>
        <w:br w:type="page"/>
      </w:r>
      <w:hyperlink r:id="rId45" w:history="1">
        <w:r>
          <w:rPr>
            <w:b/>
            <w:i/>
            <w:color w:val="0000FF"/>
            <w:sz w:val="28"/>
            <w:u w:val="single"/>
          </w:rPr>
          <w:t>Az uniós polgári védelmi mechanizmus felülvizsgálata</w:t>
        </w:r>
      </w:hyperlink>
    </w:p>
    <w:p w14:paraId="5842569B" w14:textId="77777777" w:rsidR="000122F3" w:rsidRPr="000122F3" w:rsidRDefault="000122F3" w:rsidP="000122F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  <w:lang w:val="en-GB"/>
        </w:rPr>
      </w:pPr>
    </w:p>
    <w:tbl>
      <w:tblPr>
        <w:tblStyle w:val="TableGrid1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0122F3" w:rsidRPr="000122F3" w14:paraId="2BBA9F50" w14:textId="77777777">
        <w:tc>
          <w:tcPr>
            <w:tcW w:w="1077" w:type="pct"/>
            <w:hideMark/>
          </w:tcPr>
          <w:p w14:paraId="04016230" w14:textId="77777777" w:rsidR="000122F3" w:rsidRPr="000122F3" w:rsidRDefault="000122F3" w:rsidP="000122F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3923" w:type="pct"/>
            <w:hideMark/>
          </w:tcPr>
          <w:p w14:paraId="198FB4FA" w14:textId="073E7805" w:rsidR="000122F3" w:rsidRDefault="000122F3" w:rsidP="000122F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</w:pPr>
            <w:proofErr w:type="spellStart"/>
            <w:r>
              <w:t>Florian</w:t>
            </w:r>
            <w:proofErr w:type="spellEnd"/>
            <w:r>
              <w:t xml:space="preserve"> MARIN (Munkavállalók/RO)</w:t>
            </w:r>
          </w:p>
          <w:p w14:paraId="442071CD" w14:textId="77777777" w:rsidR="00973F68" w:rsidRPr="000122F3" w:rsidRDefault="00973F68" w:rsidP="000122F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</w:pPr>
          </w:p>
        </w:tc>
      </w:tr>
      <w:tr w:rsidR="000122F3" w:rsidRPr="000122F3" w14:paraId="0C38D82B" w14:textId="77777777">
        <w:tc>
          <w:tcPr>
            <w:tcW w:w="1077" w:type="pct"/>
            <w:hideMark/>
          </w:tcPr>
          <w:p w14:paraId="317E91BC" w14:textId="77777777" w:rsidR="000122F3" w:rsidRPr="000122F3" w:rsidRDefault="000122F3" w:rsidP="000122F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3923" w:type="pct"/>
            <w:hideMark/>
          </w:tcPr>
          <w:p w14:paraId="19D10923" w14:textId="14D39408" w:rsidR="00973F68" w:rsidRDefault="00973F68" w:rsidP="000122F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</w:pPr>
            <w:r>
              <w:t xml:space="preserve">COM(2025) 548 </w:t>
            </w:r>
            <w:proofErr w:type="spellStart"/>
            <w:r>
              <w:t>final</w:t>
            </w:r>
            <w:proofErr w:type="spellEnd"/>
          </w:p>
          <w:p w14:paraId="5FA9B2AF" w14:textId="75780E7F" w:rsidR="000122F3" w:rsidRPr="000122F3" w:rsidRDefault="000122F3" w:rsidP="000122F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</w:pPr>
            <w:r>
              <w:t>EESC-2025-03573-00-00-AC</w:t>
            </w:r>
          </w:p>
        </w:tc>
      </w:tr>
    </w:tbl>
    <w:p w14:paraId="7BC98F02" w14:textId="77777777" w:rsidR="000122F3" w:rsidRPr="000122F3" w:rsidRDefault="000122F3" w:rsidP="000122F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  <w:lang w:val="en-GB"/>
        </w:rPr>
      </w:pPr>
    </w:p>
    <w:p w14:paraId="7E803210" w14:textId="77777777" w:rsidR="000122F3" w:rsidRPr="000122F3" w:rsidRDefault="000122F3" w:rsidP="000122F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  <w:r>
        <w:rPr>
          <w:b/>
        </w:rPr>
        <w:t>Főbb pontok</w:t>
      </w:r>
    </w:p>
    <w:p w14:paraId="170D9736" w14:textId="77777777" w:rsidR="000122F3" w:rsidRPr="000122F3" w:rsidRDefault="000122F3" w:rsidP="000122F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  <w:lang w:val="en-GB"/>
        </w:rPr>
      </w:pPr>
    </w:p>
    <w:p w14:paraId="7F6EAEC8" w14:textId="77777777" w:rsidR="000122F3" w:rsidRDefault="000122F3" w:rsidP="000122F3">
      <w:pPr>
        <w:overflowPunct w:val="0"/>
        <w:autoSpaceDE w:val="0"/>
        <w:autoSpaceDN w:val="0"/>
        <w:adjustRightInd w:val="0"/>
      </w:pPr>
      <w:r>
        <w:t>Az EGSZB a következőket ajánlja:</w:t>
      </w:r>
    </w:p>
    <w:p w14:paraId="00652B16" w14:textId="77777777" w:rsidR="00D40BB6" w:rsidRPr="000122F3" w:rsidRDefault="00D40BB6" w:rsidP="000122F3">
      <w:pPr>
        <w:overflowPunct w:val="0"/>
        <w:autoSpaceDE w:val="0"/>
        <w:autoSpaceDN w:val="0"/>
        <w:adjustRightInd w:val="0"/>
        <w:rPr>
          <w:lang w:val="en-GB"/>
        </w:rPr>
      </w:pPr>
    </w:p>
    <w:p w14:paraId="54342963" w14:textId="77777777" w:rsidR="000122F3" w:rsidRPr="000122F3" w:rsidRDefault="000122F3" w:rsidP="00054C5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</w:pPr>
      <w:r>
        <w:t xml:space="preserve">az ambíciók fokozása a katasztrófakockázatok csökkentése és megelőzése tekintetében, a reagálási képességekre történő összpontosítás előnyben részesítése helyett. Ahhoz, hogy hatékony és integrált uniós polgári védelmi mechanizmus (UCPM) jöjjön létre, az EU-szerte alkalmazott </w:t>
      </w:r>
      <w:r>
        <w:rPr>
          <w:b/>
          <w:bCs/>
        </w:rPr>
        <w:t>kockázatcsökkentési</w:t>
      </w:r>
      <w:r>
        <w:t xml:space="preserve"> </w:t>
      </w:r>
      <w:r>
        <w:rPr>
          <w:b/>
          <w:bCs/>
        </w:rPr>
        <w:t>politikák</w:t>
      </w:r>
      <w:r>
        <w:t xml:space="preserve"> </w:t>
      </w:r>
      <w:r>
        <w:rPr>
          <w:b/>
          <w:bCs/>
        </w:rPr>
        <w:t>átfogó</w:t>
      </w:r>
      <w:r>
        <w:t xml:space="preserve"> </w:t>
      </w:r>
      <w:r>
        <w:rPr>
          <w:b/>
          <w:bCs/>
        </w:rPr>
        <w:t>keretére</w:t>
      </w:r>
      <w:r>
        <w:t xml:space="preserve"> van szükség, valamint fokozott figyelmet kell fordítani az </w:t>
      </w:r>
      <w:r>
        <w:rPr>
          <w:b/>
          <w:bCs/>
        </w:rPr>
        <w:t>ágazatközi</w:t>
      </w:r>
      <w:r>
        <w:t xml:space="preserve"> </w:t>
      </w:r>
      <w:r>
        <w:rPr>
          <w:b/>
          <w:bCs/>
        </w:rPr>
        <w:t>és</w:t>
      </w:r>
      <w:r>
        <w:t xml:space="preserve"> </w:t>
      </w:r>
      <w:r>
        <w:rPr>
          <w:b/>
          <w:bCs/>
        </w:rPr>
        <w:t>határokon</w:t>
      </w:r>
      <w:r>
        <w:t xml:space="preserve"> </w:t>
      </w:r>
      <w:r>
        <w:rPr>
          <w:b/>
          <w:bCs/>
        </w:rPr>
        <w:t>átnyúló</w:t>
      </w:r>
      <w:r>
        <w:t xml:space="preserve"> katasztrófamegelőzésre. Mindezt egy holisztikus kockázatkezelési rendszer keretében kell végrehajtani;</w:t>
      </w:r>
    </w:p>
    <w:p w14:paraId="7024A92F" w14:textId="77777777" w:rsidR="000122F3" w:rsidRPr="000122F3" w:rsidRDefault="000122F3" w:rsidP="00054C5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</w:pPr>
      <w:r>
        <w:rPr>
          <w:b/>
          <w:bCs/>
        </w:rPr>
        <w:t xml:space="preserve">az adminisztratív </w:t>
      </w:r>
      <w:proofErr w:type="spellStart"/>
      <w:r>
        <w:rPr>
          <w:b/>
          <w:bCs/>
        </w:rPr>
        <w:t>terhek</w:t>
      </w:r>
      <w:proofErr w:type="spellEnd"/>
      <w:r>
        <w:rPr>
          <w:b/>
          <w:bCs/>
        </w:rPr>
        <w:t xml:space="preserve"> csökkentése</w:t>
      </w:r>
      <w:r>
        <w:t xml:space="preserve">, az átfedések megszüntetése, a nem megfelelő adat- és támogatási rendszerek korszerűsítése, a képzett emberi erőforrás bővítése, valamint beruházás közös szabványokon és képzési pályákon alapuló </w:t>
      </w:r>
      <w:proofErr w:type="spellStart"/>
      <w:r>
        <w:t>interoperábilis</w:t>
      </w:r>
      <w:proofErr w:type="spellEnd"/>
      <w:r>
        <w:t xml:space="preserve"> kapacitásokba. Ezzel párhuzamosan </w:t>
      </w:r>
      <w:r>
        <w:rPr>
          <w:b/>
          <w:bCs/>
        </w:rPr>
        <w:t>magas</w:t>
      </w:r>
      <w:r>
        <w:t xml:space="preserve"> </w:t>
      </w:r>
      <w:r>
        <w:rPr>
          <w:b/>
          <w:bCs/>
        </w:rPr>
        <w:t>színvonalú</w:t>
      </w:r>
      <w:r>
        <w:t xml:space="preserve"> </w:t>
      </w:r>
      <w:r>
        <w:rPr>
          <w:b/>
          <w:bCs/>
        </w:rPr>
        <w:t>munkafeltételek</w:t>
      </w:r>
      <w:r>
        <w:t xml:space="preserve"> biztosítása, ami a társadalmi </w:t>
      </w:r>
      <w:proofErr w:type="spellStart"/>
      <w:r>
        <w:t>reziliencia</w:t>
      </w:r>
      <w:proofErr w:type="spellEnd"/>
      <w:r>
        <w:t xml:space="preserve"> megerősítésének előfeltétele a társadalom egészére kiterjedő válságkezelési megközelítésben;</w:t>
      </w:r>
    </w:p>
    <w:p w14:paraId="497B5155" w14:textId="77777777" w:rsidR="000122F3" w:rsidRPr="000122F3" w:rsidRDefault="000122F3" w:rsidP="00054C5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</w:pPr>
      <w:r>
        <w:t xml:space="preserve">a katasztrófák és válságok </w:t>
      </w:r>
      <w:r>
        <w:rPr>
          <w:b/>
          <w:bCs/>
        </w:rPr>
        <w:t>jobb előrejelzése és megértése</w:t>
      </w:r>
      <w:r>
        <w:t>, figyelembe véve ugyanakkor a propaganda és a dezinformáció szerepét a társadalmi stressz felerősítésében.</w:t>
      </w:r>
    </w:p>
    <w:p w14:paraId="1AEBFB07" w14:textId="77777777" w:rsidR="000122F3" w:rsidRPr="000122F3" w:rsidRDefault="000122F3" w:rsidP="00054C5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</w:pPr>
      <w:r>
        <w:t xml:space="preserve">az UCPM megerősítése </w:t>
      </w:r>
      <w:r>
        <w:rPr>
          <w:b/>
          <w:bCs/>
        </w:rPr>
        <w:t>kiegészítő</w:t>
      </w:r>
      <w:r>
        <w:t xml:space="preserve"> </w:t>
      </w:r>
      <w:r>
        <w:rPr>
          <w:b/>
          <w:bCs/>
        </w:rPr>
        <w:t>finanszírozás</w:t>
      </w:r>
      <w:r>
        <w:t xml:space="preserve"> révén, különösen a kiszolgáltatott csoportok és régiók tekintetében, a legkülső régiókat és a háborús területekhez közeli régiókat is ideértve.</w:t>
      </w:r>
    </w:p>
    <w:p w14:paraId="6A0A0A84" w14:textId="77777777" w:rsidR="000122F3" w:rsidRPr="000122F3" w:rsidRDefault="000122F3" w:rsidP="00054C5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</w:pPr>
      <w:r>
        <w:t>a 2028–2034-es programozási időszakra javasolt</w:t>
      </w:r>
      <w:r>
        <w:rPr>
          <w:b/>
          <w:bCs/>
        </w:rPr>
        <w:t xml:space="preserve"> nemzeti és regionális partnerségi tervekkel való összhang</w:t>
      </w:r>
      <w:r>
        <w:t xml:space="preserve"> biztosítása.</w:t>
      </w:r>
    </w:p>
    <w:p w14:paraId="1E425507" w14:textId="77777777" w:rsidR="000122F3" w:rsidRPr="000122F3" w:rsidRDefault="000122F3" w:rsidP="00054C5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</w:pPr>
      <w:r>
        <w:t xml:space="preserve">a meglévő eszközök, például az Európa biztonságát szolgáló cselekvési eszköz, az Európai Szolidaritási Testület és az UCPM közötti </w:t>
      </w:r>
      <w:r>
        <w:rPr>
          <w:b/>
          <w:bCs/>
        </w:rPr>
        <w:t>nagyobb</w:t>
      </w:r>
      <w:r>
        <w:t xml:space="preserve"> </w:t>
      </w:r>
      <w:r>
        <w:rPr>
          <w:b/>
          <w:bCs/>
        </w:rPr>
        <w:t>komplementaritás</w:t>
      </w:r>
      <w:r>
        <w:t xml:space="preserve"> előmozdítása,</w:t>
      </w:r>
    </w:p>
    <w:p w14:paraId="71C4B6AC" w14:textId="77777777" w:rsidR="000122F3" w:rsidRPr="000122F3" w:rsidRDefault="000122F3" w:rsidP="00054C5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</w:pPr>
      <w:r>
        <w:t xml:space="preserve">elegendő és stabil </w:t>
      </w:r>
      <w:r>
        <w:rPr>
          <w:b/>
          <w:bCs/>
        </w:rPr>
        <w:t>finanszírozás biztosítása a hivatásos tűzoltók és egészségügyi személyzet számára</w:t>
      </w:r>
      <w:r>
        <w:t>, hogy az uniós polgári védelmi mechanizmus keretében folyamatosan hatékonyak legyenek és gyorsan reagáljanak, ugyanakkor az önkéntesek szerepének megerősítése.</w:t>
      </w:r>
    </w:p>
    <w:p w14:paraId="22A0C91D" w14:textId="77777777" w:rsidR="000122F3" w:rsidRPr="000122F3" w:rsidRDefault="000122F3" w:rsidP="00054C5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</w:pPr>
      <w:r>
        <w:rPr>
          <w:b/>
          <w:bCs/>
        </w:rPr>
        <w:t>az uniós polgári védelmi mechanizmus alapja a rugalmasság legyen</w:t>
      </w:r>
      <w:r>
        <w:t xml:space="preserve">, hogy tiszteletben tartsa a nemzeti katasztrófavédelmi rendszerek sokféleségét, ugyanakkor </w:t>
      </w:r>
      <w:r>
        <w:rPr>
          <w:b/>
          <w:bCs/>
        </w:rPr>
        <w:t>biztosítsa a határon átnyúló együttműködést</w:t>
      </w:r>
      <w:r>
        <w:t xml:space="preserve"> és koordinációt a határokat nem ismerő katasztrófákra való gyors és hatékony reagálás érdekében, a szervezett civil társadalom teljes körű bevonásával.</w:t>
      </w:r>
    </w:p>
    <w:p w14:paraId="0D503548" w14:textId="77777777" w:rsidR="000122F3" w:rsidRPr="000122F3" w:rsidRDefault="000122F3" w:rsidP="00054C5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</w:pPr>
      <w:r>
        <w:t>a közbeszerzési szabályok kiigazítása annak garantálása érdekében, hogy a</w:t>
      </w:r>
      <w:r>
        <w:rPr>
          <w:b/>
          <w:bCs/>
        </w:rPr>
        <w:t xml:space="preserve"> kritikus fontosságú áruk</w:t>
      </w:r>
      <w:r>
        <w:t xml:space="preserve"> és szolgáltatások válság idején</w:t>
      </w:r>
      <w:r>
        <w:rPr>
          <w:b/>
          <w:bCs/>
        </w:rPr>
        <w:t xml:space="preserve"> gyorsan és hatékonyan legyenek biztosíthatók</w:t>
      </w:r>
      <w:r>
        <w:t>.</w:t>
      </w:r>
    </w:p>
    <w:p w14:paraId="5918B32B" w14:textId="77777777" w:rsidR="000122F3" w:rsidRPr="000122F3" w:rsidRDefault="000122F3" w:rsidP="00054C58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284" w:hanging="284"/>
      </w:pPr>
      <w:r>
        <w:t xml:space="preserve">az összes tagállam által használandó </w:t>
      </w:r>
      <w:r>
        <w:rPr>
          <w:b/>
          <w:bCs/>
        </w:rPr>
        <w:t>egységes formanyomtatvány létrehozása a katasztrófák bejelentésére</w:t>
      </w:r>
      <w:r>
        <w:t>.</w:t>
      </w:r>
    </w:p>
    <w:p w14:paraId="239E5250" w14:textId="77777777" w:rsidR="000122F3" w:rsidRPr="000122F3" w:rsidRDefault="000122F3" w:rsidP="000122F3">
      <w:pPr>
        <w:widowControl w:val="0"/>
        <w:overflowPunct w:val="0"/>
        <w:autoSpaceDE w:val="0"/>
        <w:autoSpaceDN w:val="0"/>
        <w:adjustRightInd w:val="0"/>
        <w:ind w:left="709"/>
        <w:rPr>
          <w:lang w:val="en-GB"/>
        </w:rPr>
      </w:pPr>
    </w:p>
    <w:tbl>
      <w:tblPr>
        <w:tblStyle w:val="TableGrid13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0122F3" w:rsidRPr="000122F3" w14:paraId="315A6780" w14:textId="77777777">
        <w:tc>
          <w:tcPr>
            <w:tcW w:w="1077" w:type="pct"/>
            <w:hideMark/>
          </w:tcPr>
          <w:p w14:paraId="0BC88ACD" w14:textId="77777777" w:rsidR="000122F3" w:rsidRPr="000122F3" w:rsidRDefault="000122F3" w:rsidP="000122F3">
            <w:pPr>
              <w:overflowPunct w:val="0"/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3923" w:type="pct"/>
            <w:hideMark/>
          </w:tcPr>
          <w:p w14:paraId="278195BE" w14:textId="77777777" w:rsidR="000122F3" w:rsidRPr="000122F3" w:rsidRDefault="000122F3" w:rsidP="000122F3">
            <w:pPr>
              <w:overflowPunct w:val="0"/>
              <w:autoSpaceDE w:val="0"/>
              <w:autoSpaceDN w:val="0"/>
              <w:adjustRightInd w:val="0"/>
              <w:rPr>
                <w:i/>
                <w:iCs/>
              </w:rPr>
            </w:pPr>
            <w:proofErr w:type="spellStart"/>
            <w:r>
              <w:rPr>
                <w:i/>
              </w:rPr>
              <w:t>Arturo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Iniguez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Yuste</w:t>
            </w:r>
            <w:proofErr w:type="spellEnd"/>
          </w:p>
        </w:tc>
      </w:tr>
      <w:tr w:rsidR="000122F3" w:rsidRPr="000122F3" w14:paraId="326D7576" w14:textId="77777777">
        <w:tc>
          <w:tcPr>
            <w:tcW w:w="1077" w:type="pct"/>
            <w:hideMark/>
          </w:tcPr>
          <w:p w14:paraId="74416C4B" w14:textId="77777777" w:rsidR="000122F3" w:rsidRPr="000122F3" w:rsidRDefault="000122F3" w:rsidP="000122F3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  <w:hideMark/>
          </w:tcPr>
          <w:p w14:paraId="0CE46E70" w14:textId="77777777" w:rsidR="000122F3" w:rsidRPr="000122F3" w:rsidRDefault="000122F3" w:rsidP="000122F3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+32 25468768</w:t>
            </w:r>
          </w:p>
        </w:tc>
      </w:tr>
      <w:tr w:rsidR="000122F3" w:rsidRPr="000122F3" w14:paraId="753D0F57" w14:textId="77777777">
        <w:tc>
          <w:tcPr>
            <w:tcW w:w="1077" w:type="pct"/>
            <w:hideMark/>
          </w:tcPr>
          <w:p w14:paraId="2C40013E" w14:textId="77777777" w:rsidR="000122F3" w:rsidRPr="000122F3" w:rsidRDefault="000122F3" w:rsidP="000122F3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3923" w:type="pct"/>
            <w:hideMark/>
          </w:tcPr>
          <w:p w14:paraId="2E7C650A" w14:textId="77777777" w:rsidR="000122F3" w:rsidRPr="000122F3" w:rsidRDefault="008B736D" w:rsidP="000122F3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hyperlink r:id="rId46" w:history="1">
              <w:r w:rsidR="00326BD5"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</w:tc>
      </w:tr>
    </w:tbl>
    <w:p w14:paraId="73A0193B" w14:textId="77777777" w:rsidR="00395794" w:rsidRDefault="00395794">
      <w:pPr>
        <w:spacing w:after="160" w:line="259" w:lineRule="auto"/>
        <w:jc w:val="left"/>
      </w:pPr>
      <w:r>
        <w:br w:type="page"/>
      </w:r>
    </w:p>
    <w:p w14:paraId="0B0F00AD" w14:textId="77777777" w:rsidR="007F5784" w:rsidRDefault="007F5784">
      <w:pPr>
        <w:spacing w:after="160" w:line="259" w:lineRule="auto"/>
        <w:jc w:val="left"/>
      </w:pPr>
    </w:p>
    <w:p w14:paraId="14026A78" w14:textId="4FAE1588" w:rsidR="007F5784" w:rsidRDefault="007F5784" w:rsidP="007F5784">
      <w:pPr>
        <w:pStyle w:val="Heading1"/>
        <w:rPr>
          <w:b/>
        </w:rPr>
      </w:pPr>
      <w:bookmarkStart w:id="11" w:name="_Toc216962445"/>
      <w:r>
        <w:rPr>
          <w:b/>
        </w:rPr>
        <w:t>KÜLKAPCSOLATOK</w:t>
      </w:r>
      <w:bookmarkEnd w:id="11"/>
    </w:p>
    <w:p w14:paraId="3BBB3E68" w14:textId="77777777" w:rsidR="007F5784" w:rsidRDefault="007F5784" w:rsidP="007F5784"/>
    <w:p w14:paraId="15F03B8E" w14:textId="19987F61" w:rsidR="00237C67" w:rsidRPr="00C62A6C" w:rsidRDefault="00237C67" w:rsidP="00237C67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76" w:lineRule="auto"/>
        <w:ind w:left="567" w:hanging="567"/>
        <w:contextualSpacing/>
        <w:jc w:val="left"/>
        <w:textAlignment w:val="baseline"/>
        <w:rPr>
          <w:sz w:val="28"/>
          <w:szCs w:val="28"/>
        </w:rPr>
      </w:pPr>
      <w:r w:rsidRPr="00C62A6C">
        <w:rPr>
          <w:b/>
          <w:i/>
          <w:sz w:val="28"/>
        </w:rPr>
        <w:fldChar w:fldCharType="begin"/>
      </w:r>
      <w:r w:rsidRPr="00C62A6C">
        <w:rPr>
          <w:b/>
          <w:i/>
          <w:sz w:val="28"/>
        </w:rPr>
        <w:instrText>HYPERLINK "https://www.eesc.europa.eu/hu/our-work/opinions-information-reports/opinions/european-unions-strategic-approach-black-sea-region"</w:instrText>
      </w:r>
      <w:r w:rsidRPr="00C62A6C">
        <w:rPr>
          <w:b/>
          <w:i/>
          <w:sz w:val="28"/>
        </w:rPr>
        <w:fldChar w:fldCharType="separate"/>
      </w:r>
      <w:r>
        <w:rPr>
          <w:b/>
          <w:i/>
          <w:color w:val="0000FF"/>
          <w:sz w:val="28"/>
          <w:u w:val="single"/>
        </w:rPr>
        <w:t>Az Európai Unió fekete-tengeri régióval kapcsolatos stratégiai megközelítése</w:t>
      </w:r>
    </w:p>
    <w:p w14:paraId="3C2969D6" w14:textId="77777777" w:rsidR="00237C67" w:rsidRPr="00237C67" w:rsidRDefault="00237C67" w:rsidP="00237C6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 w:rsidRPr="00C62A6C">
        <w:rPr>
          <w:b/>
          <w:i/>
          <w:sz w:val="28"/>
        </w:rPr>
        <w:fldChar w:fldCharType="end"/>
      </w:r>
    </w:p>
    <w:tbl>
      <w:tblPr>
        <w:tblStyle w:val="TableGrid14"/>
        <w:tblW w:w="49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7112"/>
      </w:tblGrid>
      <w:tr w:rsidR="00237C67" w:rsidRPr="00237C67" w14:paraId="7F23DD4D" w14:textId="77777777" w:rsidTr="00C201AB">
        <w:trPr>
          <w:trHeight w:val="445"/>
        </w:trPr>
        <w:tc>
          <w:tcPr>
            <w:tcW w:w="1111" w:type="pct"/>
          </w:tcPr>
          <w:p w14:paraId="1BCE19E0" w14:textId="77777777" w:rsidR="00237C67" w:rsidRPr="00237C67" w:rsidRDefault="00237C67" w:rsidP="00237C6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3889" w:type="pct"/>
          </w:tcPr>
          <w:p w14:paraId="4CC365C4" w14:textId="0A5B6F9A" w:rsidR="00237C67" w:rsidRPr="00237C67" w:rsidRDefault="00237C67" w:rsidP="00237C6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Milena</w:t>
            </w:r>
            <w:proofErr w:type="spellEnd"/>
            <w:r>
              <w:t xml:space="preserve"> ANGELOVA (Munkáltatók/BG)</w:t>
            </w:r>
          </w:p>
        </w:tc>
      </w:tr>
      <w:tr w:rsidR="00237C67" w:rsidRPr="00237C67" w14:paraId="1B1D2359" w14:textId="77777777" w:rsidTr="00C201AB">
        <w:tc>
          <w:tcPr>
            <w:tcW w:w="1111" w:type="pct"/>
          </w:tcPr>
          <w:p w14:paraId="1DEDCFA8" w14:textId="77777777" w:rsidR="00237C67" w:rsidRPr="00237C67" w:rsidRDefault="00237C67" w:rsidP="00237C6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3889" w:type="pct"/>
          </w:tcPr>
          <w:p w14:paraId="25C8A6CE" w14:textId="16BE3594" w:rsidR="001A7442" w:rsidRDefault="001A7442" w:rsidP="00237C6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JOIN(2025) 135 </w:t>
            </w:r>
            <w:proofErr w:type="spellStart"/>
            <w:r>
              <w:t>final</w:t>
            </w:r>
            <w:proofErr w:type="spellEnd"/>
          </w:p>
          <w:p w14:paraId="47441D19" w14:textId="338F915F" w:rsidR="00237C67" w:rsidRPr="00237C67" w:rsidRDefault="00237C67" w:rsidP="00237C6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EESC-2025-02608-00-00-AC</w:t>
            </w:r>
          </w:p>
        </w:tc>
      </w:tr>
    </w:tbl>
    <w:p w14:paraId="47E1C9F3" w14:textId="77777777" w:rsidR="00237C67" w:rsidRPr="00237C67" w:rsidRDefault="00237C67" w:rsidP="00237C6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3C0D4718" w14:textId="77777777" w:rsidR="00237C67" w:rsidRPr="00237C67" w:rsidRDefault="00237C67" w:rsidP="00237C6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646D390F" w14:textId="77777777" w:rsidR="00237C67" w:rsidRPr="00237C67" w:rsidRDefault="00237C67" w:rsidP="00237C6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D32F061" w14:textId="77777777" w:rsidR="00237C67" w:rsidRDefault="00237C67" w:rsidP="00237C6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0A01AEAC" w14:textId="77777777" w:rsidR="001A7442" w:rsidRPr="00237C67" w:rsidRDefault="001A7442" w:rsidP="00237C6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363CA3B6" w14:textId="77777777" w:rsidR="00237C67" w:rsidRPr="00237C67" w:rsidRDefault="00237C67" w:rsidP="00054C58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 xml:space="preserve">üdvözli azt a </w:t>
      </w:r>
      <w:r>
        <w:rPr>
          <w:b/>
          <w:bCs/>
        </w:rPr>
        <w:t>régóta várt kezdeményezést,</w:t>
      </w:r>
      <w:r>
        <w:t xml:space="preserve"> amely </w:t>
      </w:r>
      <w:r>
        <w:rPr>
          <w:b/>
          <w:bCs/>
        </w:rPr>
        <w:t>különös figyelmet szentel a fekete-tengeri régiónak</w:t>
      </w:r>
      <w:r>
        <w:t xml:space="preserve"> és ehhez európai uniós stratégiai megközelítést javasol, de megállapítja, hogy ez </w:t>
      </w:r>
      <w:r>
        <w:rPr>
          <w:b/>
          <w:bCs/>
        </w:rPr>
        <w:t>némileg</w:t>
      </w:r>
      <w:r>
        <w:t xml:space="preserve"> </w:t>
      </w:r>
      <w:r>
        <w:rPr>
          <w:b/>
          <w:bCs/>
        </w:rPr>
        <w:t>késve</w:t>
      </w:r>
      <w:r>
        <w:t xml:space="preserve"> érkezik, és </w:t>
      </w:r>
      <w:r>
        <w:rPr>
          <w:b/>
          <w:bCs/>
        </w:rPr>
        <w:t>a végrehajtáshoz</w:t>
      </w:r>
      <w:r>
        <w:t xml:space="preserve"> </w:t>
      </w:r>
      <w:r>
        <w:rPr>
          <w:b/>
          <w:bCs/>
        </w:rPr>
        <w:t>gyors és határozott intézkedéseket</w:t>
      </w:r>
      <w:r>
        <w:t xml:space="preserve">, illetve </w:t>
      </w:r>
      <w:r>
        <w:rPr>
          <w:b/>
          <w:bCs/>
        </w:rPr>
        <w:t>megfelelő</w:t>
      </w:r>
      <w:r>
        <w:t xml:space="preserve"> </w:t>
      </w:r>
      <w:r>
        <w:rPr>
          <w:b/>
          <w:bCs/>
        </w:rPr>
        <w:t>források</w:t>
      </w:r>
      <w:r>
        <w:t xml:space="preserve"> </w:t>
      </w:r>
      <w:r>
        <w:rPr>
          <w:b/>
          <w:bCs/>
        </w:rPr>
        <w:t>biztosítását</w:t>
      </w:r>
      <w:r>
        <w:t xml:space="preserve"> szorgalmazza,</w:t>
      </w:r>
    </w:p>
    <w:p w14:paraId="4F615B3A" w14:textId="77777777" w:rsidR="00237C67" w:rsidRPr="00237C67" w:rsidRDefault="00237C67" w:rsidP="00054C58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hangsúlyozza, hogy bár</w:t>
      </w:r>
      <w:r>
        <w:rPr>
          <w:b/>
          <w:bCs/>
        </w:rPr>
        <w:t xml:space="preserve"> a régió valamennyi országa elszenvedi a katonai összetűzések negatív következményeit, nem</w:t>
      </w:r>
      <w:r>
        <w:t xml:space="preserve"> </w:t>
      </w:r>
      <w:r>
        <w:rPr>
          <w:b/>
          <w:bCs/>
        </w:rPr>
        <w:t>mindegyiküknek</w:t>
      </w:r>
      <w:r>
        <w:t xml:space="preserve"> </w:t>
      </w:r>
      <w:r>
        <w:rPr>
          <w:b/>
          <w:bCs/>
        </w:rPr>
        <w:t>nyújtottak erőfeszítéseikkel és áldozataikkal arányos célzott társadalmi és gazdasági támogatást</w:t>
      </w:r>
      <w:r>
        <w:t>,</w:t>
      </w:r>
    </w:p>
    <w:p w14:paraId="64F59F4D" w14:textId="77777777" w:rsidR="00237C67" w:rsidRPr="00237C67" w:rsidRDefault="00237C67" w:rsidP="00054C58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 xml:space="preserve">sürgeti az Európai Bizottságot, hogy az uniós tagállamokkal, a fekete-tengeri régió országaival és valamennyi érdekelt féllel konzultálva </w:t>
      </w:r>
      <w:r>
        <w:rPr>
          <w:b/>
          <w:bCs/>
        </w:rPr>
        <w:t>mielőbb</w:t>
      </w:r>
      <w:r>
        <w:t xml:space="preserve">, ideális esetben 2025 vége előtt </w:t>
      </w:r>
      <w:r>
        <w:rPr>
          <w:b/>
          <w:bCs/>
        </w:rPr>
        <w:t>dolgozzon</w:t>
      </w:r>
      <w:r>
        <w:t xml:space="preserve"> </w:t>
      </w:r>
      <w:r>
        <w:rPr>
          <w:b/>
          <w:bCs/>
        </w:rPr>
        <w:t>ki</w:t>
      </w:r>
      <w:r>
        <w:t xml:space="preserve"> </w:t>
      </w:r>
      <w:r>
        <w:rPr>
          <w:b/>
          <w:bCs/>
        </w:rPr>
        <w:t>pragmatikus és megfelelően finanszírozott fejlesztési stratégiát a régió számára</w:t>
      </w:r>
      <w:r>
        <w:t>,</w:t>
      </w:r>
    </w:p>
    <w:p w14:paraId="3DED4801" w14:textId="77777777" w:rsidR="00237C67" w:rsidRPr="00237C67" w:rsidRDefault="00237C67" w:rsidP="00054C58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 xml:space="preserve">sajnálja, hogy a régióra vonatkozó </w:t>
      </w:r>
      <w:r>
        <w:rPr>
          <w:b/>
          <w:bCs/>
        </w:rPr>
        <w:t>korábbi</w:t>
      </w:r>
      <w:r>
        <w:t xml:space="preserve"> </w:t>
      </w:r>
      <w:r>
        <w:rPr>
          <w:b/>
          <w:bCs/>
        </w:rPr>
        <w:t>uniós</w:t>
      </w:r>
      <w:r>
        <w:t xml:space="preserve"> </w:t>
      </w:r>
      <w:r>
        <w:rPr>
          <w:b/>
          <w:bCs/>
        </w:rPr>
        <w:t>szakpolitikai</w:t>
      </w:r>
      <w:r>
        <w:t xml:space="preserve"> </w:t>
      </w:r>
      <w:r>
        <w:rPr>
          <w:b/>
          <w:bCs/>
        </w:rPr>
        <w:t>keret</w:t>
      </w:r>
      <w:r>
        <w:t xml:space="preserve"> (a 2007-es fekete-tengeri szinergia) nem terjedt ki a </w:t>
      </w:r>
      <w:r>
        <w:rPr>
          <w:b/>
          <w:bCs/>
        </w:rPr>
        <w:t>biztonsági</w:t>
      </w:r>
      <w:r>
        <w:t xml:space="preserve"> </w:t>
      </w:r>
      <w:r>
        <w:rPr>
          <w:b/>
          <w:bCs/>
        </w:rPr>
        <w:t>dimenzióra</w:t>
      </w:r>
      <w:r>
        <w:t xml:space="preserve">, és rámutat, hogy az </w:t>
      </w:r>
      <w:r>
        <w:rPr>
          <w:b/>
          <w:bCs/>
        </w:rPr>
        <w:t>EU fekete-tengeri régióban indított biztonsági kezdeményezéseinek kézzelfogható eredményekkel kell</w:t>
      </w:r>
      <w:r>
        <w:t xml:space="preserve"> </w:t>
      </w:r>
      <w:r>
        <w:rPr>
          <w:b/>
          <w:bCs/>
        </w:rPr>
        <w:t>járniuk</w:t>
      </w:r>
      <w:r>
        <w:t>,</w:t>
      </w:r>
    </w:p>
    <w:p w14:paraId="52F031F1" w14:textId="77777777" w:rsidR="00237C67" w:rsidRPr="00237C67" w:rsidRDefault="00237C67" w:rsidP="00054C58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>hangsúlyozza, hogy</w:t>
      </w:r>
      <w:r>
        <w:rPr>
          <w:b/>
          <w:bCs/>
        </w:rPr>
        <w:t xml:space="preserve"> a tartós béke megteremtése a fenntartható gazdasági fejlődés szükséges és alapvető előfeltétele</w:t>
      </w:r>
      <w:r>
        <w:t>, és sajnálattal állapítja meg, hogy az nem szerepel célkitűzésként a dokumentumban,</w:t>
      </w:r>
    </w:p>
    <w:p w14:paraId="63B8D3C0" w14:textId="77777777" w:rsidR="00237C67" w:rsidRPr="00237C67" w:rsidRDefault="00237C67" w:rsidP="00054C58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 xml:space="preserve">véleménye szerint </w:t>
      </w:r>
      <w:r>
        <w:rPr>
          <w:b/>
          <w:bCs/>
        </w:rPr>
        <w:t>a stratégiai megközelítés fő korlátja</w:t>
      </w:r>
      <w:r>
        <w:t xml:space="preserve"> az, hogy az teljes mértékben </w:t>
      </w:r>
      <w:r>
        <w:rPr>
          <w:b/>
          <w:bCs/>
        </w:rPr>
        <w:t>a 2021–2027-es időszakra vonatkozó többéves pénzügyi keretben foglalt meglévő pénzügyi eszközökön és költségvetési forrásokon alapul</w:t>
      </w:r>
      <w:r>
        <w:t xml:space="preserve">; az azonnali és látható hatás elérése érdekében kéri </w:t>
      </w:r>
      <w:r>
        <w:rPr>
          <w:b/>
          <w:bCs/>
        </w:rPr>
        <w:t>az eszközök egyszerűsítését, egységesítését és rangsorolását</w:t>
      </w:r>
      <w:r>
        <w:t>,</w:t>
      </w:r>
    </w:p>
    <w:p w14:paraId="44A0477D" w14:textId="77777777" w:rsidR="00237C67" w:rsidRPr="00237C67" w:rsidRDefault="00237C67" w:rsidP="00054C58">
      <w:pPr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  <w:rPr>
          <w:bCs/>
          <w:iCs/>
        </w:rPr>
      </w:pPr>
      <w:r>
        <w:t xml:space="preserve">azt ajánlja, hogy </w:t>
      </w:r>
      <w:r>
        <w:rPr>
          <w:b/>
          <w:bCs/>
        </w:rPr>
        <w:t>végezzenek</w:t>
      </w:r>
      <w:r>
        <w:t xml:space="preserve"> </w:t>
      </w:r>
      <w:r>
        <w:rPr>
          <w:b/>
          <w:bCs/>
        </w:rPr>
        <w:t>mélyreható</w:t>
      </w:r>
      <w:r>
        <w:t xml:space="preserve"> </w:t>
      </w:r>
      <w:r>
        <w:rPr>
          <w:b/>
          <w:bCs/>
        </w:rPr>
        <w:t>hatásvizsgálatot</w:t>
      </w:r>
      <w:r>
        <w:t xml:space="preserve"> </w:t>
      </w:r>
      <w:r>
        <w:rPr>
          <w:b/>
          <w:bCs/>
        </w:rPr>
        <w:t>az</w:t>
      </w:r>
      <w:r>
        <w:t xml:space="preserve"> eddigi összes </w:t>
      </w:r>
      <w:r>
        <w:rPr>
          <w:b/>
          <w:bCs/>
        </w:rPr>
        <w:t>meglévő</w:t>
      </w:r>
      <w:r>
        <w:t xml:space="preserve"> </w:t>
      </w:r>
      <w:r>
        <w:rPr>
          <w:b/>
          <w:bCs/>
        </w:rPr>
        <w:t>eszközről</w:t>
      </w:r>
      <w:r>
        <w:t xml:space="preserve">, és ennek alapján fogalmazzanak meg </w:t>
      </w:r>
      <w:r>
        <w:rPr>
          <w:b/>
          <w:bCs/>
        </w:rPr>
        <w:t>konkrétabb</w:t>
      </w:r>
      <w:r>
        <w:t xml:space="preserve"> </w:t>
      </w:r>
      <w:r>
        <w:rPr>
          <w:b/>
          <w:bCs/>
        </w:rPr>
        <w:t>és</w:t>
      </w:r>
      <w:r>
        <w:t xml:space="preserve"> </w:t>
      </w:r>
      <w:r>
        <w:rPr>
          <w:b/>
          <w:bCs/>
        </w:rPr>
        <w:t>egyértelműbb</w:t>
      </w:r>
      <w:r>
        <w:t xml:space="preserve"> </w:t>
      </w:r>
      <w:r>
        <w:rPr>
          <w:b/>
          <w:bCs/>
        </w:rPr>
        <w:t>kötelezettségvállalásokat</w:t>
      </w:r>
      <w:r>
        <w:t xml:space="preserve"> azok jövőbeli alkalmazására vonatkozóan.</w:t>
      </w:r>
    </w:p>
    <w:p w14:paraId="53E35EF9" w14:textId="77777777" w:rsidR="00237C67" w:rsidRPr="00237C67" w:rsidRDefault="00237C67" w:rsidP="00054C58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ind w:left="284" w:hanging="284"/>
        <w:contextualSpacing/>
        <w:textAlignment w:val="baseline"/>
      </w:pPr>
      <w:r>
        <w:t xml:space="preserve">megítélése szerint nagyobb figyelmet kell fordítani </w:t>
      </w:r>
      <w:r>
        <w:rPr>
          <w:b/>
          <w:bCs/>
        </w:rPr>
        <w:t>a hibrid fenyegetések kezelésére</w:t>
      </w:r>
      <w:r>
        <w:t xml:space="preserve"> és </w:t>
      </w:r>
      <w:r>
        <w:rPr>
          <w:b/>
          <w:bCs/>
        </w:rPr>
        <w:t>a</w:t>
      </w:r>
      <w:r>
        <w:t xml:space="preserve"> </w:t>
      </w:r>
      <w:r>
        <w:rPr>
          <w:b/>
          <w:bCs/>
        </w:rPr>
        <w:t>kormányzásban</w:t>
      </w:r>
      <w:r>
        <w:t xml:space="preserve"> </w:t>
      </w:r>
      <w:r>
        <w:rPr>
          <w:b/>
          <w:bCs/>
        </w:rPr>
        <w:t>tapasztalható</w:t>
      </w:r>
      <w:r>
        <w:t xml:space="preserve"> </w:t>
      </w:r>
      <w:r>
        <w:rPr>
          <w:b/>
          <w:bCs/>
        </w:rPr>
        <w:t>működési</w:t>
      </w:r>
      <w:r>
        <w:t xml:space="preserve"> </w:t>
      </w:r>
      <w:r>
        <w:rPr>
          <w:b/>
          <w:bCs/>
        </w:rPr>
        <w:t>zavarokra</w:t>
      </w:r>
      <w:r>
        <w:t>, amelyek azzal a kockázattal járnak, hogy aláássák a regionális stabilitást.</w:t>
      </w:r>
    </w:p>
    <w:p w14:paraId="54BF6B1F" w14:textId="77777777" w:rsidR="00237C67" w:rsidRPr="00237C67" w:rsidRDefault="00237C67" w:rsidP="00237C6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5"/>
        <w:gridCol w:w="7264"/>
      </w:tblGrid>
      <w:tr w:rsidR="00237C67" w:rsidRPr="00237C67" w14:paraId="500155AD" w14:textId="77777777" w:rsidTr="00C201AB">
        <w:tc>
          <w:tcPr>
            <w:tcW w:w="1090" w:type="pct"/>
          </w:tcPr>
          <w:p w14:paraId="4E7D56FB" w14:textId="77777777" w:rsidR="00237C67" w:rsidRPr="00237C67" w:rsidRDefault="00237C67" w:rsidP="00237C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3910" w:type="pct"/>
          </w:tcPr>
          <w:p w14:paraId="397EC967" w14:textId="77777777" w:rsidR="00237C67" w:rsidRPr="00237C67" w:rsidRDefault="00237C67" w:rsidP="00237C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t>Marie-</w:t>
            </w:r>
            <w:proofErr w:type="spellStart"/>
            <w:r>
              <w:t>Laurence</w:t>
            </w:r>
            <w:proofErr w:type="spellEnd"/>
            <w:r>
              <w:t xml:space="preserve"> </w:t>
            </w:r>
            <w:proofErr w:type="spellStart"/>
            <w:r>
              <w:t>Drillon</w:t>
            </w:r>
            <w:proofErr w:type="spellEnd"/>
          </w:p>
        </w:tc>
      </w:tr>
      <w:tr w:rsidR="00237C67" w:rsidRPr="00237C67" w14:paraId="4A4056F6" w14:textId="77777777" w:rsidTr="00C201AB">
        <w:tc>
          <w:tcPr>
            <w:tcW w:w="1090" w:type="pct"/>
          </w:tcPr>
          <w:p w14:paraId="5E409ED8" w14:textId="77777777" w:rsidR="00237C67" w:rsidRPr="00237C67" w:rsidRDefault="00237C67" w:rsidP="00237C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10" w:type="pct"/>
          </w:tcPr>
          <w:p w14:paraId="701AABDE" w14:textId="70D525BC" w:rsidR="00237C67" w:rsidRPr="00237C67" w:rsidRDefault="00237C67" w:rsidP="00237C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+32 2546 8320</w:t>
            </w:r>
          </w:p>
        </w:tc>
      </w:tr>
      <w:tr w:rsidR="00237C67" w:rsidRPr="00237C67" w14:paraId="532005DF" w14:textId="77777777" w:rsidTr="00C201AB">
        <w:tc>
          <w:tcPr>
            <w:tcW w:w="1090" w:type="pct"/>
          </w:tcPr>
          <w:p w14:paraId="21550A30" w14:textId="77777777" w:rsidR="00237C67" w:rsidRPr="00237C67" w:rsidRDefault="00237C67" w:rsidP="00237C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3910" w:type="pct"/>
          </w:tcPr>
          <w:p w14:paraId="56749FB7" w14:textId="77777777" w:rsidR="00237C67" w:rsidRPr="00237C67" w:rsidRDefault="008B736D" w:rsidP="00237C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47" w:history="1">
              <w:r w:rsidR="00326BD5">
                <w:rPr>
                  <w:i/>
                  <w:color w:val="0000FF"/>
                  <w:u w:val="single"/>
                </w:rPr>
                <w:t>Marie-Laurence.Drillon@eesc.europa.eu</w:t>
              </w:r>
            </w:hyperlink>
          </w:p>
        </w:tc>
      </w:tr>
    </w:tbl>
    <w:p w14:paraId="210E1333" w14:textId="1FC47D3D" w:rsidR="00C913CA" w:rsidRPr="00C913CA" w:rsidRDefault="006D2C8A" w:rsidP="00C913C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br w:type="page"/>
      </w:r>
      <w:hyperlink r:id="rId48" w:history="1">
        <w:r>
          <w:rPr>
            <w:b/>
            <w:i/>
            <w:color w:val="0000FF"/>
            <w:sz w:val="28"/>
            <w:u w:val="single"/>
          </w:rPr>
          <w:t>Globális Európa (a többéves pénzügyi kerethez kapcsolódó javaslat)</w:t>
        </w:r>
      </w:hyperlink>
    </w:p>
    <w:p w14:paraId="340361FF" w14:textId="77777777" w:rsidR="00C913CA" w:rsidRPr="00C913CA" w:rsidRDefault="00C913CA" w:rsidP="00C913CA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C913CA" w:rsidRPr="00C913CA" w14:paraId="617F8D50" w14:textId="77777777" w:rsidTr="00C201AB">
        <w:tc>
          <w:tcPr>
            <w:tcW w:w="1077" w:type="pct"/>
          </w:tcPr>
          <w:p w14:paraId="00D33EA5" w14:textId="77777777" w:rsidR="00C913CA" w:rsidRPr="00C913CA" w:rsidRDefault="00C913CA" w:rsidP="00C913C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3923" w:type="pct"/>
          </w:tcPr>
          <w:p w14:paraId="4316EC99" w14:textId="50054E32" w:rsidR="00C913CA" w:rsidRPr="00C913CA" w:rsidRDefault="00C913CA" w:rsidP="00C913C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proofErr w:type="spellStart"/>
            <w:r>
              <w:t>Mateusz</w:t>
            </w:r>
            <w:proofErr w:type="spellEnd"/>
            <w:r>
              <w:t xml:space="preserve"> SZYMAŃSKI (Munkavállalók/PL)</w:t>
            </w:r>
          </w:p>
        </w:tc>
      </w:tr>
      <w:tr w:rsidR="00C913CA" w:rsidRPr="00C913CA" w14:paraId="59C9D0E5" w14:textId="77777777" w:rsidTr="00C201AB">
        <w:tc>
          <w:tcPr>
            <w:tcW w:w="1077" w:type="pct"/>
          </w:tcPr>
          <w:p w14:paraId="755D124C" w14:textId="77777777" w:rsidR="00C913CA" w:rsidRPr="00C913CA" w:rsidRDefault="00C913CA" w:rsidP="00C913C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Társelőadó:</w:t>
            </w:r>
          </w:p>
        </w:tc>
        <w:tc>
          <w:tcPr>
            <w:tcW w:w="3923" w:type="pct"/>
          </w:tcPr>
          <w:p w14:paraId="7376BE83" w14:textId="7695C77A" w:rsidR="00C913CA" w:rsidRDefault="00C913CA" w:rsidP="00C913C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Luca JAHIER (Civil társadalmi szervezetek/IT)</w:t>
            </w:r>
          </w:p>
          <w:p w14:paraId="0E93DE74" w14:textId="1F3DE290" w:rsidR="00515DDF" w:rsidRPr="00C913CA" w:rsidRDefault="00515DDF" w:rsidP="00C913C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</w:p>
        </w:tc>
      </w:tr>
      <w:tr w:rsidR="00C913CA" w:rsidRPr="00C913CA" w14:paraId="65944F45" w14:textId="77777777" w:rsidTr="00C201AB">
        <w:tc>
          <w:tcPr>
            <w:tcW w:w="1077" w:type="pct"/>
          </w:tcPr>
          <w:p w14:paraId="2E5FC958" w14:textId="77777777" w:rsidR="00C913CA" w:rsidRPr="00C913CA" w:rsidRDefault="00C913CA" w:rsidP="00C913C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3923" w:type="pct"/>
          </w:tcPr>
          <w:p w14:paraId="6347258A" w14:textId="51379C47" w:rsidR="00515DDF" w:rsidRDefault="00515DDF" w:rsidP="00C913C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 xml:space="preserve">COM(2025) 551 </w:t>
            </w:r>
            <w:proofErr w:type="spellStart"/>
            <w:r>
              <w:t>final</w:t>
            </w:r>
            <w:proofErr w:type="spellEnd"/>
          </w:p>
          <w:p w14:paraId="2BBBFAE1" w14:textId="6B128210" w:rsidR="00C913CA" w:rsidRPr="00C913CA" w:rsidRDefault="00C913CA" w:rsidP="00C913C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EESC-2025-02605-00-00-AC</w:t>
            </w:r>
          </w:p>
        </w:tc>
      </w:tr>
    </w:tbl>
    <w:p w14:paraId="05B1F97D" w14:textId="77777777" w:rsidR="00C913CA" w:rsidRPr="00C913CA" w:rsidRDefault="00C913CA" w:rsidP="00C913CA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17BCE7B6" w14:textId="77777777" w:rsidR="00C913CA" w:rsidRPr="00C913CA" w:rsidRDefault="00C913CA" w:rsidP="00C913C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4511E68B" w14:textId="77777777" w:rsidR="00C913CA" w:rsidRPr="00C913CA" w:rsidRDefault="00C913CA" w:rsidP="00C913CA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5AC62987" w14:textId="77777777" w:rsidR="00C913CA" w:rsidRDefault="00C913CA" w:rsidP="00C913CA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7F34015F" w14:textId="77777777" w:rsidR="00C913CA" w:rsidRPr="00C913CA" w:rsidRDefault="00C913CA" w:rsidP="00054C5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üdvözli az Európai Bizottság arra irányuló javaslatát, hogy a következő többéves pénzügyi keretben növeljék az EU külső politikáira fordított kiadásokat, a „Globális Európa” eszköz pedig tartalmazzon egy Ukrajnára irányuló tartalékot, és úgy véli, hogy ez a növelés elengedhetetlen ahhoz, hogy az EU megerősítse globális szereplőként betöltött szerepét és értékeit, valamint stratégiai autonómiát építsen ki,</w:t>
      </w:r>
    </w:p>
    <w:p w14:paraId="092597D8" w14:textId="40148BA2" w:rsidR="00C913CA" w:rsidRPr="00C913CA" w:rsidRDefault="00C913CA" w:rsidP="00054C5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úgy véli, hogy az EU-nak vezető szerepet kell játszania a fejlesztési és humanitárius erőfeszítésekben, valamint az ENSZ rendszerének újjáélesztésében, és ennek fő eszközét a Global </w:t>
      </w:r>
      <w:proofErr w:type="spellStart"/>
      <w:r>
        <w:t>Gateway-nek</w:t>
      </w:r>
      <w:proofErr w:type="spellEnd"/>
      <w:r>
        <w:t xml:space="preserve"> kell jelentenie, </w:t>
      </w:r>
    </w:p>
    <w:p w14:paraId="023EF68A" w14:textId="77777777" w:rsidR="00C913CA" w:rsidRPr="00C913CA" w:rsidRDefault="00C913CA" w:rsidP="00054C5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rámutat, hogy a Global </w:t>
      </w:r>
      <w:proofErr w:type="spellStart"/>
      <w:r>
        <w:t>Gateway</w:t>
      </w:r>
      <w:proofErr w:type="spellEnd"/>
      <w:r>
        <w:t xml:space="preserve"> keretében működő, a civil társadalmi szervezetek és a helyi önkormányzatok tanácsadó testülete nagyrészt távol maradt a döntéshozataltól, és ez széttagolt párbeszédet eredményezett. Az EGSZB kéri, hogy biztosítsák az érdemi részvételt, többek között az EGSZB és az RB részvételét,</w:t>
      </w:r>
    </w:p>
    <w:p w14:paraId="4484C108" w14:textId="77777777" w:rsidR="00C913CA" w:rsidRPr="00C913CA" w:rsidRDefault="00C913CA" w:rsidP="00054C5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hangsúlyozza, hogy a fenntartható fejlődés és a gazdasági </w:t>
      </w:r>
      <w:proofErr w:type="spellStart"/>
      <w:r>
        <w:t>reziliencia</w:t>
      </w:r>
      <w:proofErr w:type="spellEnd"/>
      <w:r>
        <w:t xml:space="preserve"> elérése érdekében összhangot kell teremteni a külpolitika, a fejlesztés, a kereskedelem és az Európai Versenyképességi Alap között,</w:t>
      </w:r>
    </w:p>
    <w:p w14:paraId="33EE32E4" w14:textId="77777777" w:rsidR="00C913CA" w:rsidRPr="00C913CA" w:rsidRDefault="00C913CA" w:rsidP="00054C5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jóllehet a külső fellépések tekintetében javasolt rugalmasságot kedvezően értékeli, teljes átláthatóságot és elszámoltathatóságot vár el a források felhasználása terén,</w:t>
      </w:r>
    </w:p>
    <w:p w14:paraId="54231D48" w14:textId="77777777" w:rsidR="00C913CA" w:rsidRPr="00C913CA" w:rsidRDefault="00C913CA" w:rsidP="00054C5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kéri, hogy az Európai Bizottság egyenlőtlenségi mutatóját terjesszék ki a Global </w:t>
      </w:r>
      <w:proofErr w:type="spellStart"/>
      <w:r>
        <w:t>Gateway</w:t>
      </w:r>
      <w:proofErr w:type="spellEnd"/>
      <w:r>
        <w:t xml:space="preserve">-projektekre is, </w:t>
      </w:r>
    </w:p>
    <w:p w14:paraId="622745CB" w14:textId="77777777" w:rsidR="00C913CA" w:rsidRPr="00C913CA" w:rsidRDefault="00C913CA" w:rsidP="00054C5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reméli, hogy a meglévő szerveket, például a civil társadalmi platformokat szélesebb körben bevonják a partnerországok szervezeteivel való kapcsolatok fenntartásába, </w:t>
      </w:r>
    </w:p>
    <w:p w14:paraId="17AD7981" w14:textId="77777777" w:rsidR="00C913CA" w:rsidRPr="00C913CA" w:rsidRDefault="00C913CA" w:rsidP="00054C5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támogat minden arra irányuló erőfeszítést, hogy szomszédságunkban és így az EU-n belül is megerősítsük a jólétet és a biztonságot, és támogatja az Unió további bővítését,</w:t>
      </w:r>
    </w:p>
    <w:p w14:paraId="751B0DE5" w14:textId="77777777" w:rsidR="00C913CA" w:rsidRPr="00C913CA" w:rsidRDefault="00C913CA" w:rsidP="00054C5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hangsúlyozza, hogy kiszámítható és stabil finanszírozásra van szükség a civil társadalmi szervezetek számára, különösen a demokrácia, a civil társadalmi tér és a nemek közötti egyenlőség megerősítése érdekében,</w:t>
      </w:r>
    </w:p>
    <w:p w14:paraId="29F107B3" w14:textId="77777777" w:rsidR="00C913CA" w:rsidRPr="00C913CA" w:rsidRDefault="00C913CA" w:rsidP="00054C5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elvárja, hogy a gazdasági együttműködéssel és a vállalkozási tevékenységekkel kapcsolatos célkitűzéseket ambiciózus szociális, emberi jogi és környezetvédelmi biztosítékok kísérjék,</w:t>
      </w:r>
    </w:p>
    <w:p w14:paraId="1EC11B19" w14:textId="77777777" w:rsidR="00C913CA" w:rsidRPr="00C913CA" w:rsidRDefault="00C913CA" w:rsidP="00054C58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ellenzi azt a megközelítést, hogy a migrációs politikához kapcsolódva felfüggesszék a kifizetéseket, hangsúlyozva, hogy a kitűzött célok eléréséhez pozitív ösztönzőkre van szükség.</w:t>
      </w:r>
    </w:p>
    <w:p w14:paraId="713942FB" w14:textId="77777777" w:rsidR="00C913CA" w:rsidRPr="00C913CA" w:rsidRDefault="00C913CA" w:rsidP="00C913CA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1"/>
        <w:gridCol w:w="5018"/>
      </w:tblGrid>
      <w:tr w:rsidR="00C913CA" w:rsidRPr="00C913CA" w14:paraId="430D0F1E" w14:textId="77777777" w:rsidTr="00C201AB">
        <w:tc>
          <w:tcPr>
            <w:tcW w:w="1077" w:type="pct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5"/>
              <w:gridCol w:w="2650"/>
            </w:tblGrid>
            <w:tr w:rsidR="006559C7" w:rsidRPr="00A6689B" w14:paraId="566687C9" w14:textId="77777777" w:rsidTr="002238FF">
              <w:tc>
                <w:tcPr>
                  <w:tcW w:w="1077" w:type="pct"/>
                </w:tcPr>
                <w:p w14:paraId="5EE88CD7" w14:textId="77777777" w:rsidR="006559C7" w:rsidRPr="006559C7" w:rsidRDefault="006559C7" w:rsidP="006559C7">
                  <w:pPr>
                    <w:ind w:hanging="78"/>
                    <w:rPr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</w:rPr>
                    <w:t>Kapcsolattartó:</w:t>
                  </w:r>
                </w:p>
              </w:tc>
              <w:tc>
                <w:tcPr>
                  <w:tcW w:w="3923" w:type="pct"/>
                </w:tcPr>
                <w:p w14:paraId="1A70046D" w14:textId="77777777" w:rsidR="006559C7" w:rsidRPr="006559C7" w:rsidRDefault="006559C7" w:rsidP="006559C7">
                  <w:pPr>
                    <w:ind w:hanging="78"/>
                    <w:rPr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i/>
                      <w:sz w:val="20"/>
                    </w:rPr>
                    <w:t>Daniele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Vitali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</w:p>
              </w:tc>
            </w:tr>
            <w:tr w:rsidR="006559C7" w:rsidRPr="00A6689B" w14:paraId="6A2E51F7" w14:textId="77777777" w:rsidTr="002238FF">
              <w:tc>
                <w:tcPr>
                  <w:tcW w:w="1077" w:type="pct"/>
                </w:tcPr>
                <w:p w14:paraId="36742115" w14:textId="77777777" w:rsidR="006559C7" w:rsidRPr="006559C7" w:rsidRDefault="006559C7" w:rsidP="006559C7">
                  <w:pPr>
                    <w:ind w:hanging="78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Tel.:</w:t>
                  </w:r>
                </w:p>
              </w:tc>
              <w:tc>
                <w:tcPr>
                  <w:tcW w:w="3923" w:type="pct"/>
                </w:tcPr>
                <w:p w14:paraId="2025EE29" w14:textId="2C5781A0" w:rsidR="006559C7" w:rsidRPr="006559C7" w:rsidRDefault="006559C7" w:rsidP="006559C7">
                  <w:pPr>
                    <w:ind w:hanging="78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+32 25468817</w:t>
                  </w:r>
                </w:p>
              </w:tc>
            </w:tr>
            <w:tr w:rsidR="006559C7" w:rsidRPr="00A6689B" w14:paraId="40EB0530" w14:textId="77777777" w:rsidTr="002238FF">
              <w:tc>
                <w:tcPr>
                  <w:tcW w:w="1077" w:type="pct"/>
                </w:tcPr>
                <w:p w14:paraId="0E0B5DFB" w14:textId="77777777" w:rsidR="006559C7" w:rsidRPr="006559C7" w:rsidRDefault="006559C7" w:rsidP="006559C7">
                  <w:pPr>
                    <w:ind w:hanging="78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</w:rPr>
                    <w:t>E-mail:</w:t>
                  </w:r>
                </w:p>
              </w:tc>
              <w:tc>
                <w:tcPr>
                  <w:tcW w:w="3923" w:type="pct"/>
                </w:tcPr>
                <w:p w14:paraId="65211337" w14:textId="77777777" w:rsidR="006559C7" w:rsidRPr="006559C7" w:rsidRDefault="008B736D" w:rsidP="006559C7">
                  <w:pPr>
                    <w:ind w:hanging="78"/>
                    <w:rPr>
                      <w:i/>
                      <w:sz w:val="20"/>
                      <w:szCs w:val="20"/>
                    </w:rPr>
                  </w:pPr>
                  <w:hyperlink r:id="rId49" w:history="1">
                    <w:r w:rsidR="00326BD5">
                      <w:rPr>
                        <w:rStyle w:val="Hyperlink"/>
                        <w:i/>
                        <w:sz w:val="20"/>
                      </w:rPr>
                      <w:t>Daniele.Vitali@eesc.europa.eu</w:t>
                    </w:r>
                  </w:hyperlink>
                </w:p>
              </w:tc>
            </w:tr>
          </w:tbl>
          <w:p w14:paraId="3CCB7A2A" w14:textId="391432AF" w:rsidR="00C913CA" w:rsidRPr="00C913CA" w:rsidRDefault="00C913CA" w:rsidP="00C91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3923" w:type="pct"/>
          </w:tcPr>
          <w:p w14:paraId="651A7526" w14:textId="52EF1562" w:rsidR="00C913CA" w:rsidRPr="00C913CA" w:rsidRDefault="00C913CA" w:rsidP="00C91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  <w:tr w:rsidR="00C913CA" w:rsidRPr="00C913CA" w14:paraId="6C24B983" w14:textId="77777777" w:rsidTr="00C201AB">
        <w:tc>
          <w:tcPr>
            <w:tcW w:w="1077" w:type="pct"/>
          </w:tcPr>
          <w:p w14:paraId="6709C358" w14:textId="56E9347F" w:rsidR="00C913CA" w:rsidRPr="00C913CA" w:rsidRDefault="00C913CA" w:rsidP="00C91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3923" w:type="pct"/>
          </w:tcPr>
          <w:p w14:paraId="7C97F1D0" w14:textId="77777777" w:rsidR="009041AE" w:rsidRPr="00C913CA" w:rsidRDefault="009041AE" w:rsidP="00C91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</w:tbl>
    <w:p w14:paraId="0D67EAE9" w14:textId="1879C98B" w:rsidR="004503DC" w:rsidRPr="004503DC" w:rsidRDefault="00C913CA" w:rsidP="004503D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r>
        <w:br w:type="page"/>
      </w:r>
      <w:hyperlink r:id="rId50" w:history="1">
        <w:r>
          <w:rPr>
            <w:b/>
            <w:i/>
            <w:color w:val="0000FF"/>
            <w:sz w:val="28"/>
            <w:u w:val="single"/>
          </w:rPr>
          <w:t>Kiszámítható és közös európai út az EU-ban tartózkodó ukránok számára</w:t>
        </w:r>
      </w:hyperlink>
    </w:p>
    <w:p w14:paraId="66ABB207" w14:textId="77777777" w:rsidR="004503DC" w:rsidRPr="004503DC" w:rsidRDefault="004503DC" w:rsidP="004503DC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4503DC" w:rsidRPr="004503DC" w14:paraId="6E6B74AA" w14:textId="77777777" w:rsidTr="00C201AB">
        <w:tc>
          <w:tcPr>
            <w:tcW w:w="1077" w:type="pct"/>
          </w:tcPr>
          <w:p w14:paraId="63D99806" w14:textId="77777777" w:rsidR="004503DC" w:rsidRPr="004503DC" w:rsidRDefault="004503DC" w:rsidP="004503D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Előadó: </w:t>
            </w:r>
          </w:p>
        </w:tc>
        <w:tc>
          <w:tcPr>
            <w:tcW w:w="3923" w:type="pct"/>
          </w:tcPr>
          <w:p w14:paraId="2DAA0415" w14:textId="1B2B62CA" w:rsidR="006559C7" w:rsidRPr="004503DC" w:rsidRDefault="004503DC" w:rsidP="00F733B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proofErr w:type="spellStart"/>
            <w:r>
              <w:t>Mateusz</w:t>
            </w:r>
            <w:proofErr w:type="spellEnd"/>
            <w:r>
              <w:t xml:space="preserve"> SZYMAŃSKI (Munkavállalók/PL)</w:t>
            </w:r>
          </w:p>
        </w:tc>
      </w:tr>
      <w:tr w:rsidR="004503DC" w:rsidRPr="004503DC" w14:paraId="712EFFED" w14:textId="77777777" w:rsidTr="00C201AB">
        <w:tc>
          <w:tcPr>
            <w:tcW w:w="1077" w:type="pct"/>
          </w:tcPr>
          <w:p w14:paraId="2B679233" w14:textId="77777777" w:rsidR="004503DC" w:rsidRPr="004503DC" w:rsidRDefault="004503DC" w:rsidP="004503D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Társelőadó:</w:t>
            </w:r>
          </w:p>
        </w:tc>
        <w:tc>
          <w:tcPr>
            <w:tcW w:w="3923" w:type="pct"/>
          </w:tcPr>
          <w:p w14:paraId="38932FB0" w14:textId="77777777" w:rsidR="004503DC" w:rsidRDefault="004503DC" w:rsidP="004503D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proofErr w:type="spellStart"/>
            <w:r>
              <w:t>Krzysztof</w:t>
            </w:r>
            <w:proofErr w:type="spellEnd"/>
            <w:r>
              <w:t xml:space="preserve"> BALON (Civil társadalmi szervezetek/PL)</w:t>
            </w:r>
          </w:p>
          <w:p w14:paraId="3F606C7E" w14:textId="77777777" w:rsidR="00F733BE" w:rsidRPr="004503DC" w:rsidRDefault="00F733BE" w:rsidP="004503D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</w:p>
        </w:tc>
      </w:tr>
      <w:tr w:rsidR="004503DC" w:rsidRPr="004503DC" w14:paraId="1E0B600C" w14:textId="77777777" w:rsidTr="00C201AB">
        <w:tc>
          <w:tcPr>
            <w:tcW w:w="1077" w:type="pct"/>
          </w:tcPr>
          <w:p w14:paraId="331D255A" w14:textId="77777777" w:rsidR="004503DC" w:rsidRPr="004503DC" w:rsidRDefault="004503DC" w:rsidP="004503D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3923" w:type="pct"/>
          </w:tcPr>
          <w:p w14:paraId="2C22F4DD" w14:textId="16761502" w:rsidR="00F733BE" w:rsidRDefault="00F733BE" w:rsidP="004503D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 xml:space="preserve">COM(2025) 649 </w:t>
            </w:r>
            <w:proofErr w:type="spellStart"/>
            <w:r>
              <w:t>final</w:t>
            </w:r>
            <w:proofErr w:type="spellEnd"/>
          </w:p>
          <w:p w14:paraId="002ECA16" w14:textId="7A871AFA" w:rsidR="004503DC" w:rsidRPr="004503DC" w:rsidRDefault="004503DC" w:rsidP="004503D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EESC-2025-02613-00-00-AC</w:t>
            </w:r>
          </w:p>
        </w:tc>
      </w:tr>
    </w:tbl>
    <w:p w14:paraId="35706CBA" w14:textId="77777777" w:rsidR="004503DC" w:rsidRPr="004503DC" w:rsidRDefault="004503DC" w:rsidP="004503DC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3507DE8F" w14:textId="77777777" w:rsidR="004503DC" w:rsidRPr="004503DC" w:rsidRDefault="004503DC" w:rsidP="004503D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09F1D644" w14:textId="77777777" w:rsidR="004503DC" w:rsidRPr="004503DC" w:rsidRDefault="004503DC" w:rsidP="004503D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1DB598AA" w14:textId="77777777" w:rsidR="004503DC" w:rsidRDefault="004503DC" w:rsidP="004503DC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446A35DC" w14:textId="77777777" w:rsidR="00F733BE" w:rsidRPr="004503DC" w:rsidRDefault="00F733BE" w:rsidP="004503DC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5AAE80CE" w14:textId="77777777" w:rsidR="004503DC" w:rsidRPr="004503DC" w:rsidRDefault="004503DC" w:rsidP="00054C58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ismételten szolidaritást vállal az ukrán néppel, emlékeztet arra, hogy az Ukrajna elleni orosz agresszió miatt ukránok milliói menekültek el a veszély elől, és kiemeli a civil társadalmi szervezetek szerepét abban az időszakban, amikor a legtöbb lakóhelyét elhagyni kényszerült ember érkezett Ukrajnából;</w:t>
      </w:r>
    </w:p>
    <w:p w14:paraId="739050E0" w14:textId="77777777" w:rsidR="004503DC" w:rsidRPr="004503DC" w:rsidRDefault="004503DC" w:rsidP="00054C58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megjegyzi, hogy az átmeneti védelem előnyös megoldásnak bizonyult a lakóhelyüket elhagyni kényszerült, Ukrajnából érkező emberek számára, ugyanakkor az Ukrajnába való visszatérés feltételei még nem adottak a továbbra is zajló orosz támadások miatt, ezért üdvözli az átmeneti védelem újabb időszakra történő meghosszabbításáról szóló döntést;</w:t>
      </w:r>
    </w:p>
    <w:p w14:paraId="027B8CC0" w14:textId="77777777" w:rsidR="004503DC" w:rsidRPr="004503DC" w:rsidRDefault="004503DC" w:rsidP="00054C58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hangsúlyozza, hogy hosszú távú perspektívára van szükség az átmeneti védelemben részesülő emberek számára, és arra kéri az Európai Bizottságot és a tagállamokat, hogy tegyenek lépéseket annak érdekében, hogy megkönnyítsék az átmenetet egy tartósabb tartózkodási forma felé, és fokozatosan vezessék ki az átmeneti védelem rendszerét;</w:t>
      </w:r>
    </w:p>
    <w:p w14:paraId="58D36077" w14:textId="77777777" w:rsidR="004503DC" w:rsidRPr="004503DC" w:rsidRDefault="004503DC" w:rsidP="00054C58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felhívja a figyelmet arra, hogy ukránok EU-ba érkezése növelte a tagállamok közszolgáltatási rendszereire nehezedő nyomást, és hangsúlyozza, hogy növelni kell a beruházásokat a magas színvonalú általános érdekű szolgáltatásokba és a lakhatásba, amelyeknek egyenlő feltételek mellett kell elérhetőnek lenniük az EU-ban jogszerűen tartózkodó minden személy számára;</w:t>
      </w:r>
    </w:p>
    <w:p w14:paraId="40289059" w14:textId="77777777" w:rsidR="004503DC" w:rsidRPr="004503DC" w:rsidRDefault="004503DC" w:rsidP="00054C58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284" w:hanging="284"/>
        <w:textAlignment w:val="baseline"/>
      </w:pPr>
      <w:r>
        <w:t>megjegyzi, hogy erőfeszítéseket kell tenni az ukránok sikeres integrációjának elősegítése érdekében az Európai Unióban, és ehhez jó eszközök a nyelvtanfolyamok, a helyi közösségi kezdeményezések támogatása, az ukrán gyermekek tagállamokban való oktatása, a dezinformáció és az orosz hírszerzési tevékenységek elleni fellépés, valamint az, ha az ukrán állampolgárokat bekapcsoljuk a helyi közösségeikben működő szervezetek tevékenységébe;</w:t>
      </w:r>
    </w:p>
    <w:p w14:paraId="6F366C03" w14:textId="77777777" w:rsidR="004503DC" w:rsidRPr="004503DC" w:rsidRDefault="004503DC" w:rsidP="00054C58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Cs w:val="20"/>
        </w:rPr>
      </w:pPr>
      <w:r>
        <w:t>kiemelten fontosnak tartja az ukránok számára a tisztességes munkafeltételek megteremtését – mind az EU-ban, mind Ukrajnában, és elvárás, hogy a tagállamok fellépjenek az ukrán munkavállalók kizsákmányolása és az egyenlőtlen bánásmód ellen, míg az ukrán kormánynak a szociális partnerekkel folytatott párbeszéd révén vissza kell állítania a munkavállalók és a szakszervezeti tevékenységek számára kedvező feltételeket.</w:t>
      </w:r>
    </w:p>
    <w:p w14:paraId="15DAAC73" w14:textId="77777777" w:rsidR="004503DC" w:rsidRPr="004503DC" w:rsidRDefault="004503DC" w:rsidP="004503DC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4503DC" w:rsidRPr="004503DC" w14:paraId="0C28C241" w14:textId="77777777" w:rsidTr="00C201AB">
        <w:tc>
          <w:tcPr>
            <w:tcW w:w="1077" w:type="pct"/>
          </w:tcPr>
          <w:p w14:paraId="011666E9" w14:textId="77777777" w:rsidR="004503DC" w:rsidRPr="004503DC" w:rsidRDefault="004503DC" w:rsidP="004503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3923" w:type="pct"/>
          </w:tcPr>
          <w:p w14:paraId="5376B5C9" w14:textId="1E39C147" w:rsidR="004503DC" w:rsidRPr="004503DC" w:rsidRDefault="004503DC" w:rsidP="004503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Katarína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Grzeszczyk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Albrechtová</w:t>
            </w:r>
            <w:proofErr w:type="spellEnd"/>
          </w:p>
        </w:tc>
      </w:tr>
      <w:tr w:rsidR="004503DC" w:rsidRPr="004503DC" w14:paraId="3DF91CE1" w14:textId="77777777" w:rsidTr="00C201AB">
        <w:tc>
          <w:tcPr>
            <w:tcW w:w="1077" w:type="pct"/>
          </w:tcPr>
          <w:p w14:paraId="12B0FB94" w14:textId="77777777" w:rsidR="004503DC" w:rsidRPr="004503DC" w:rsidRDefault="004503DC" w:rsidP="004503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2AB00694" w14:textId="77777777" w:rsidR="004503DC" w:rsidRPr="004503DC" w:rsidRDefault="004503DC" w:rsidP="004503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+32 25469460</w:t>
            </w:r>
          </w:p>
        </w:tc>
      </w:tr>
      <w:tr w:rsidR="004503DC" w:rsidRPr="004503DC" w14:paraId="704DFCB6" w14:textId="77777777" w:rsidTr="00C201AB">
        <w:tc>
          <w:tcPr>
            <w:tcW w:w="1077" w:type="pct"/>
          </w:tcPr>
          <w:p w14:paraId="18D5B7A9" w14:textId="77777777" w:rsidR="004503DC" w:rsidRPr="004503DC" w:rsidRDefault="004503DC" w:rsidP="004503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3923" w:type="pct"/>
          </w:tcPr>
          <w:p w14:paraId="59F392A7" w14:textId="77777777" w:rsidR="004503DC" w:rsidRPr="004503DC" w:rsidRDefault="008B736D" w:rsidP="004503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51" w:history="1">
              <w:r w:rsidR="00326BD5">
                <w:rPr>
                  <w:i/>
                  <w:color w:val="0000FF"/>
                  <w:u w:val="single"/>
                </w:rPr>
                <w:t>Katarina.Albrechtova@eesc.europa.eu</w:t>
              </w:r>
            </w:hyperlink>
            <w:r w:rsidR="00326BD5">
              <w:rPr>
                <w:i/>
              </w:rPr>
              <w:t xml:space="preserve"> </w:t>
            </w:r>
          </w:p>
        </w:tc>
      </w:tr>
    </w:tbl>
    <w:tbl>
      <w:tblPr>
        <w:tblStyle w:val="TableGrid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C913CA" w:rsidRPr="00C913CA" w14:paraId="2C0E6338" w14:textId="77777777" w:rsidTr="00C201AB">
        <w:tc>
          <w:tcPr>
            <w:tcW w:w="1077" w:type="pct"/>
          </w:tcPr>
          <w:p w14:paraId="57EDC7A8" w14:textId="6955C181" w:rsidR="00C913CA" w:rsidRPr="00C913CA" w:rsidRDefault="00C913CA" w:rsidP="00C91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3923" w:type="pct"/>
          </w:tcPr>
          <w:p w14:paraId="5811559E" w14:textId="50EE8449" w:rsidR="00C913CA" w:rsidRPr="00C913CA" w:rsidRDefault="00C913CA" w:rsidP="00C913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</w:tr>
    </w:tbl>
    <w:p w14:paraId="4464305F" w14:textId="38E0F292" w:rsidR="004503DC" w:rsidRDefault="004503DC">
      <w:pPr>
        <w:spacing w:after="160" w:line="259" w:lineRule="auto"/>
        <w:jc w:val="left"/>
      </w:pPr>
    </w:p>
    <w:p w14:paraId="28C69286" w14:textId="77777777" w:rsidR="004503DC" w:rsidRDefault="004503DC">
      <w:pPr>
        <w:spacing w:after="160" w:line="259" w:lineRule="auto"/>
        <w:jc w:val="left"/>
      </w:pPr>
      <w:r>
        <w:br w:type="page"/>
      </w:r>
    </w:p>
    <w:p w14:paraId="54681B02" w14:textId="77777777" w:rsidR="006D2C8A" w:rsidRDefault="006D2C8A">
      <w:pPr>
        <w:spacing w:after="160" w:line="259" w:lineRule="auto"/>
        <w:jc w:val="left"/>
      </w:pPr>
    </w:p>
    <w:p w14:paraId="528C73AA" w14:textId="46DE726B" w:rsidR="006D2C8A" w:rsidRPr="006D2C8A" w:rsidRDefault="006D2C8A" w:rsidP="006D2C8A">
      <w:pPr>
        <w:pStyle w:val="Heading1"/>
        <w:rPr>
          <w:b/>
        </w:rPr>
      </w:pPr>
      <w:bookmarkStart w:id="12" w:name="_Toc216962446"/>
      <w:r>
        <w:rPr>
          <w:b/>
          <w:color w:val="222A35" w:themeColor="text2" w:themeShade="80"/>
        </w:rPr>
        <w:t>IPARI SZERKEZETVÁLTÁS KONZULTATÍV BIZOTTSÁGA</w:t>
      </w:r>
      <w:bookmarkEnd w:id="12"/>
    </w:p>
    <w:p w14:paraId="713E272F" w14:textId="77777777" w:rsidR="006D2C8A" w:rsidRDefault="006D2C8A" w:rsidP="006D2C8A"/>
    <w:p w14:paraId="7383D97E" w14:textId="13359D4F" w:rsidR="00ED76AC" w:rsidRPr="00ED76AC" w:rsidRDefault="008B736D" w:rsidP="00ED76AC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567"/>
        <w:rPr>
          <w:sz w:val="20"/>
          <w:szCs w:val="20"/>
        </w:rPr>
      </w:pPr>
      <w:hyperlink r:id="rId52" w:history="1">
        <w:r w:rsidR="00326BD5">
          <w:rPr>
            <w:b/>
            <w:i/>
            <w:color w:val="0000FF"/>
            <w:sz w:val="28"/>
            <w:u w:val="single"/>
          </w:rPr>
          <w:t>Az állandó anyagokban rejlő lehetőségek elősegítése az EU körforgásos gazdaságában</w:t>
        </w:r>
      </w:hyperlink>
    </w:p>
    <w:p w14:paraId="243BA033" w14:textId="77777777" w:rsidR="00ED76AC" w:rsidRPr="00ED76AC" w:rsidRDefault="00ED76AC" w:rsidP="00ED76AC">
      <w:pPr>
        <w:widowControl w:val="0"/>
        <w:overflowPunct w:val="0"/>
        <w:autoSpaceDE w:val="0"/>
        <w:autoSpaceDN w:val="0"/>
        <w:adjustRightInd w:val="0"/>
        <w:ind w:left="567"/>
        <w:rPr>
          <w:sz w:val="20"/>
          <w:szCs w:val="20"/>
          <w:lang w:val="en-GB"/>
        </w:rPr>
      </w:pPr>
    </w:p>
    <w:tbl>
      <w:tblPr>
        <w:tblStyle w:val="TableGrid1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ED76AC" w:rsidRPr="00ED76AC" w14:paraId="3E004ABC" w14:textId="77777777">
        <w:tc>
          <w:tcPr>
            <w:tcW w:w="1077" w:type="pct"/>
            <w:hideMark/>
          </w:tcPr>
          <w:p w14:paraId="1E7D8DE2" w14:textId="77777777" w:rsidR="00ED76AC" w:rsidRPr="00ED76AC" w:rsidRDefault="00ED76AC" w:rsidP="00ED76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3923" w:type="pct"/>
            <w:hideMark/>
          </w:tcPr>
          <w:p w14:paraId="51B8EA45" w14:textId="77777777" w:rsidR="00ED76AC" w:rsidRPr="00ED76AC" w:rsidRDefault="00ED76AC" w:rsidP="00ED76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</w:pPr>
            <w:r>
              <w:t>Andrea MONE (Munkavállalók/IT)</w:t>
            </w:r>
          </w:p>
        </w:tc>
      </w:tr>
      <w:tr w:rsidR="00ED76AC" w:rsidRPr="00ED76AC" w14:paraId="21F71A9D" w14:textId="77777777">
        <w:tc>
          <w:tcPr>
            <w:tcW w:w="1077" w:type="pct"/>
            <w:hideMark/>
          </w:tcPr>
          <w:p w14:paraId="2C3FD6D4" w14:textId="77777777" w:rsidR="00ED76AC" w:rsidRPr="00ED76AC" w:rsidRDefault="00ED76AC" w:rsidP="00ED76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>
              <w:rPr>
                <w:b/>
              </w:rPr>
              <w:t>Társelőadó:</w:t>
            </w:r>
          </w:p>
        </w:tc>
        <w:tc>
          <w:tcPr>
            <w:tcW w:w="3923" w:type="pct"/>
            <w:hideMark/>
          </w:tcPr>
          <w:p w14:paraId="1CE8569E" w14:textId="77777777" w:rsidR="00ED76AC" w:rsidRDefault="00ED76AC" w:rsidP="00ED76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</w:pPr>
            <w:proofErr w:type="spellStart"/>
            <w:r>
              <w:t>Michal</w:t>
            </w:r>
            <w:proofErr w:type="spellEnd"/>
            <w:r>
              <w:t xml:space="preserve"> PINTÉR (Munkáltatók/SK)</w:t>
            </w:r>
          </w:p>
          <w:p w14:paraId="28215643" w14:textId="77777777" w:rsidR="00707689" w:rsidRPr="00ED76AC" w:rsidRDefault="00707689" w:rsidP="00ED76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</w:pPr>
          </w:p>
        </w:tc>
      </w:tr>
      <w:tr w:rsidR="00ED76AC" w:rsidRPr="00ED76AC" w14:paraId="19833206" w14:textId="77777777">
        <w:tc>
          <w:tcPr>
            <w:tcW w:w="1077" w:type="pct"/>
            <w:hideMark/>
          </w:tcPr>
          <w:p w14:paraId="1FC4BD72" w14:textId="77777777" w:rsidR="00ED76AC" w:rsidRPr="00ED76AC" w:rsidRDefault="00ED76AC" w:rsidP="00ED76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rPr>
                <w:b/>
              </w:rPr>
            </w:pPr>
            <w:r>
              <w:rPr>
                <w:b/>
              </w:rPr>
              <w:t>Hivatkozás:</w:t>
            </w:r>
          </w:p>
        </w:tc>
        <w:tc>
          <w:tcPr>
            <w:tcW w:w="3923" w:type="pct"/>
            <w:hideMark/>
          </w:tcPr>
          <w:p w14:paraId="340633E9" w14:textId="2162F333" w:rsidR="00707689" w:rsidRDefault="00707689" w:rsidP="00ED76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</w:pPr>
            <w:r>
              <w:t>Saját kezdeményezésű vélemény</w:t>
            </w:r>
          </w:p>
          <w:p w14:paraId="59A49208" w14:textId="5D1970B8" w:rsidR="00ED76AC" w:rsidRPr="00ED76AC" w:rsidRDefault="00ED76AC" w:rsidP="00ED76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</w:pPr>
            <w:r>
              <w:t>EESC-2025-02364-00-00-AC</w:t>
            </w:r>
          </w:p>
        </w:tc>
      </w:tr>
    </w:tbl>
    <w:p w14:paraId="5922BFFC" w14:textId="77777777" w:rsidR="00ED76AC" w:rsidRPr="00ED76AC" w:rsidRDefault="00ED76AC" w:rsidP="00ED76AC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  <w:lang w:val="en-GB"/>
        </w:rPr>
      </w:pPr>
    </w:p>
    <w:p w14:paraId="252BFC0B" w14:textId="77777777" w:rsidR="00ED76AC" w:rsidRPr="00ED76AC" w:rsidRDefault="00ED76AC" w:rsidP="00ED76A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</w:rPr>
      </w:pPr>
      <w:r>
        <w:rPr>
          <w:b/>
        </w:rPr>
        <w:t>Főbb pontok</w:t>
      </w:r>
    </w:p>
    <w:p w14:paraId="2370EF24" w14:textId="77777777" w:rsidR="00ED76AC" w:rsidRPr="00ED76AC" w:rsidRDefault="00ED76AC" w:rsidP="00ED76AC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rPr>
          <w:b/>
          <w:lang w:val="en-GB"/>
        </w:rPr>
      </w:pPr>
    </w:p>
    <w:p w14:paraId="3E92F3F2" w14:textId="77777777" w:rsidR="00ED76AC" w:rsidRPr="00ED76AC" w:rsidRDefault="00ED76AC" w:rsidP="00ED76AC">
      <w:pPr>
        <w:overflowPunct w:val="0"/>
        <w:autoSpaceDE w:val="0"/>
        <w:autoSpaceDN w:val="0"/>
        <w:adjustRightInd w:val="0"/>
        <w:rPr>
          <w:bCs/>
          <w:iCs/>
        </w:rPr>
      </w:pPr>
      <w:r>
        <w:t>Az EGSZB:</w:t>
      </w:r>
    </w:p>
    <w:p w14:paraId="26A569C6" w14:textId="77777777" w:rsidR="00ED76AC" w:rsidRPr="00ED76AC" w:rsidRDefault="00ED76AC" w:rsidP="00054C58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</w:pPr>
      <w:r>
        <w:rPr>
          <w:b/>
          <w:bCs/>
        </w:rPr>
        <w:t xml:space="preserve">rámutat, hogy a végtelenszer </w:t>
      </w:r>
      <w:proofErr w:type="spellStart"/>
      <w:r>
        <w:rPr>
          <w:b/>
          <w:bCs/>
        </w:rPr>
        <w:t>újrafeldolgozható</w:t>
      </w:r>
      <w:proofErr w:type="spellEnd"/>
      <w:r>
        <w:rPr>
          <w:b/>
          <w:bCs/>
        </w:rPr>
        <w:t xml:space="preserve"> anyagoknak alapvető jelentőségük van</w:t>
      </w:r>
      <w:r>
        <w:t xml:space="preserve"> a valóban körforgásos gazdaság megvalósítása szempontjából, különös tekintettel az ilyen anyagok csomagolásban való felhasználására. Kéri, hogy a végtelenszer </w:t>
      </w:r>
      <w:proofErr w:type="spellStart"/>
      <w:r>
        <w:t>újrafeldolgozható</w:t>
      </w:r>
      <w:proofErr w:type="spellEnd"/>
      <w:r>
        <w:t xml:space="preserve"> anyagokat </w:t>
      </w:r>
      <w:r>
        <w:rPr>
          <w:b/>
          <w:bCs/>
        </w:rPr>
        <w:t>kifejezetten</w:t>
      </w:r>
      <w:r>
        <w:t xml:space="preserve"> </w:t>
      </w:r>
      <w:r>
        <w:rPr>
          <w:b/>
          <w:bCs/>
        </w:rPr>
        <w:t>ismerjék el az uniós jogszabályokban</w:t>
      </w:r>
      <w:r>
        <w:t>,</w:t>
      </w:r>
    </w:p>
    <w:p w14:paraId="32D7A91F" w14:textId="77777777" w:rsidR="00ED76AC" w:rsidRPr="00ED76AC" w:rsidRDefault="00ED76AC" w:rsidP="00054C58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</w:pPr>
      <w:r>
        <w:rPr>
          <w:b/>
          <w:bCs/>
        </w:rPr>
        <w:t>támogatja azt az ambiciózus uniós megközelítést, hogy 2030-ra el kell érni a csomagolási hulladék elkülönített gyűjtésére vonatkozó 90%-os célkitűzést.</w:t>
      </w:r>
      <w:r>
        <w:t xml:space="preserve"> Hangsúlyozza, hogy a fejlett és jól finanszírozott gyűjtési és válogatási, illetve a magas színvonalú újrafeldolgozási rendszerek elengedhetetlenek a végtelenszer </w:t>
      </w:r>
      <w:proofErr w:type="spellStart"/>
      <w:r>
        <w:t>újrafeldolgozható</w:t>
      </w:r>
      <w:proofErr w:type="spellEnd"/>
      <w:r>
        <w:t xml:space="preserve"> anyagok zárt rendszerű </w:t>
      </w:r>
      <w:proofErr w:type="spellStart"/>
      <w:r>
        <w:t>újrahasznosításának</w:t>
      </w:r>
      <w:proofErr w:type="spellEnd"/>
      <w:r>
        <w:t xml:space="preserve"> lehetővé tételéhez, valamint ahhoz, hogy maximálisra növekedjen az anyagmegtartás,</w:t>
      </w:r>
    </w:p>
    <w:p w14:paraId="167FDC16" w14:textId="77777777" w:rsidR="00ED76AC" w:rsidRPr="00ED76AC" w:rsidRDefault="00ED76AC" w:rsidP="00054C58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</w:pPr>
      <w:r>
        <w:rPr>
          <w:b/>
          <w:bCs/>
        </w:rPr>
        <w:t xml:space="preserve">szorgalmazza a kiterjesztett gyártói felelősségi rendszerek megerősítését és harmonizálását </w:t>
      </w:r>
      <w:r>
        <w:t xml:space="preserve">az uniós tagállamokban. Ennek keretében </w:t>
      </w:r>
      <w:r>
        <w:rPr>
          <w:b/>
          <w:bCs/>
        </w:rPr>
        <w:t>átlátható</w:t>
      </w:r>
      <w:r>
        <w:t xml:space="preserve"> </w:t>
      </w:r>
      <w:r>
        <w:rPr>
          <w:b/>
          <w:bCs/>
        </w:rPr>
        <w:t>és konzisztens kritériumokon alapuló, környezetvédelmi szempontok szerint kialakított díjszabást</w:t>
      </w:r>
      <w:r>
        <w:t xml:space="preserve"> kell érvényesíteni, arányos díjstruktúrákat kell biztosítani, </w:t>
      </w:r>
      <w:r>
        <w:rPr>
          <w:b/>
          <w:bCs/>
        </w:rPr>
        <w:t>a kiterjesztett gyártói felelősségi</w:t>
      </w:r>
      <w:r>
        <w:t xml:space="preserve"> </w:t>
      </w:r>
      <w:r>
        <w:rPr>
          <w:b/>
          <w:bCs/>
        </w:rPr>
        <w:t>rendszerekből</w:t>
      </w:r>
      <w:r>
        <w:t xml:space="preserve"> </w:t>
      </w:r>
      <w:r>
        <w:rPr>
          <w:b/>
          <w:bCs/>
        </w:rPr>
        <w:t>származó</w:t>
      </w:r>
      <w:r>
        <w:t xml:space="preserve"> </w:t>
      </w:r>
      <w:r>
        <w:rPr>
          <w:b/>
          <w:bCs/>
        </w:rPr>
        <w:t>bevételeket</w:t>
      </w:r>
      <w:r>
        <w:t xml:space="preserve"> </w:t>
      </w:r>
      <w:r>
        <w:rPr>
          <w:b/>
          <w:bCs/>
        </w:rPr>
        <w:t>pedig</w:t>
      </w:r>
      <w:r>
        <w:t xml:space="preserve"> </w:t>
      </w:r>
      <w:r>
        <w:rPr>
          <w:b/>
          <w:bCs/>
        </w:rPr>
        <w:t>el</w:t>
      </w:r>
      <w:r>
        <w:t xml:space="preserve"> </w:t>
      </w:r>
      <w:r>
        <w:rPr>
          <w:b/>
          <w:bCs/>
        </w:rPr>
        <w:t>kell</w:t>
      </w:r>
      <w:r>
        <w:t xml:space="preserve"> </w:t>
      </w:r>
      <w:r>
        <w:rPr>
          <w:b/>
          <w:bCs/>
        </w:rPr>
        <w:t>különíteni</w:t>
      </w:r>
      <w:r>
        <w:t xml:space="preserve"> az ugyanazon anyagáramba történő újbóli befektetés céljára,</w:t>
      </w:r>
    </w:p>
    <w:p w14:paraId="422AF8F5" w14:textId="77777777" w:rsidR="00ED76AC" w:rsidRPr="00ED76AC" w:rsidRDefault="00ED76AC" w:rsidP="00054C58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</w:pPr>
      <w:r>
        <w:rPr>
          <w:b/>
          <w:bCs/>
        </w:rPr>
        <w:t>megjegyzi, hogy prioritásként kell kezelni</w:t>
      </w:r>
      <w:r>
        <w:t xml:space="preserve"> a csomagolási hulladék elkülönített gyűjtésére, válogatására és újrafeldolgozására szolgáló modern infrastruktúrába történő </w:t>
      </w:r>
      <w:r>
        <w:rPr>
          <w:b/>
          <w:bCs/>
        </w:rPr>
        <w:t>beruházásokat</w:t>
      </w:r>
      <w:r>
        <w:t xml:space="preserve">. Hangsúlyozza, hogy </w:t>
      </w:r>
      <w:r>
        <w:rPr>
          <w:b/>
          <w:bCs/>
        </w:rPr>
        <w:t>további támogatást kell nyújtani az alacsonyabb teljesítménnyel vagy beruházási kapacitással rendelkező régióknak</w:t>
      </w:r>
      <w:r>
        <w:t xml:space="preserve"> annak biztosítása érdekében, hogy valamennyi tagállam teljesíteni tudja a </w:t>
      </w:r>
      <w:proofErr w:type="spellStart"/>
      <w:r>
        <w:t>körforgásossággal</w:t>
      </w:r>
      <w:proofErr w:type="spellEnd"/>
      <w:r>
        <w:t xml:space="preserve"> kapcsolatos célkitűzéseket,</w:t>
      </w:r>
    </w:p>
    <w:p w14:paraId="059D94FE" w14:textId="77777777" w:rsidR="00ED76AC" w:rsidRPr="00ED76AC" w:rsidRDefault="00ED76AC" w:rsidP="00054C58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</w:pPr>
      <w:r>
        <w:rPr>
          <w:b/>
          <w:bCs/>
        </w:rPr>
        <w:t>azt ajánlja, hogy EU-szerte végezzék el a polgárok újrafeldolgozással kapcsolatos magatartásának átfogó értékelését</w:t>
      </w:r>
      <w:r>
        <w:t xml:space="preserve"> a hiányosságok, a korlátok és a bevált gyakorlatok azonosítása érdekében. Az EGSZB kéri, hogy ezen az értékelésen alapulva hozzanak olyan intézkedéseket, amelyek fokozzák a fogyasztók részvételét a csomagolási hulladék szétválogatásában, felismerve, hogy a háztartási hulladékválogatás a tényleges újrafeldolgozás alapvető első lépése,</w:t>
      </w:r>
    </w:p>
    <w:p w14:paraId="09697A6A" w14:textId="77777777" w:rsidR="00ED76AC" w:rsidRPr="00ED76AC" w:rsidRDefault="00ED76AC" w:rsidP="00054C58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</w:pPr>
      <w:r>
        <w:t xml:space="preserve">kiemeli, hogy a körforgásos gazdaságra való átállás során </w:t>
      </w:r>
      <w:r>
        <w:rPr>
          <w:b/>
          <w:bCs/>
        </w:rPr>
        <w:t>biztosítani kell a folyamat társadalmi fenntarthatóságát,</w:t>
      </w:r>
      <w:r>
        <w:t xml:space="preserve"> ezért szorgalmazza a munkaerőpiacra gyakorolt hatások korai előrejelzését. Kéri, hogy a zökkenőmentes munkahelyváltás támogatása érdekében garantálják a </w:t>
      </w:r>
      <w:r>
        <w:rPr>
          <w:b/>
          <w:bCs/>
        </w:rPr>
        <w:t>továbbképzési</w:t>
      </w:r>
      <w:r>
        <w:t xml:space="preserve"> </w:t>
      </w:r>
      <w:r>
        <w:rPr>
          <w:b/>
          <w:bCs/>
        </w:rPr>
        <w:t>és</w:t>
      </w:r>
      <w:r>
        <w:t xml:space="preserve"> </w:t>
      </w:r>
      <w:r>
        <w:rPr>
          <w:b/>
          <w:bCs/>
        </w:rPr>
        <w:t>átképzési</w:t>
      </w:r>
      <w:r>
        <w:t xml:space="preserve"> </w:t>
      </w:r>
      <w:r>
        <w:rPr>
          <w:b/>
          <w:bCs/>
        </w:rPr>
        <w:t>lehetőségekhez</w:t>
      </w:r>
      <w:r>
        <w:t xml:space="preserve"> való hozzáférést, hogy a munkavállalók részt vehessenek a fejlődő körforgásos gazdaságban, és teljes mértékben kihasználhassák annak előnyeit,</w:t>
      </w:r>
    </w:p>
    <w:p w14:paraId="2E89F971" w14:textId="77777777" w:rsidR="00ED76AC" w:rsidRPr="00ED76AC" w:rsidRDefault="00ED76AC" w:rsidP="00054C58">
      <w:pPr>
        <w:numPr>
          <w:ilvl w:val="0"/>
          <w:numId w:val="34"/>
        </w:numPr>
        <w:overflowPunct w:val="0"/>
        <w:autoSpaceDE w:val="0"/>
        <w:autoSpaceDN w:val="0"/>
        <w:adjustRightInd w:val="0"/>
        <w:ind w:left="284" w:hanging="284"/>
      </w:pPr>
      <w:r>
        <w:rPr>
          <w:b/>
          <w:bCs/>
        </w:rPr>
        <w:lastRenderedPageBreak/>
        <w:t xml:space="preserve">azt ajánlja, hogy valamennyi szinten erősítsék meg a szociális párbeszédet és </w:t>
      </w:r>
      <w:r>
        <w:t xml:space="preserve">– vállalati szinten is – </w:t>
      </w:r>
      <w:r>
        <w:rPr>
          <w:b/>
          <w:bCs/>
        </w:rPr>
        <w:t>mozdítsák</w:t>
      </w:r>
      <w:r>
        <w:t xml:space="preserve"> </w:t>
      </w:r>
      <w:r>
        <w:rPr>
          <w:b/>
          <w:bCs/>
        </w:rPr>
        <w:t>elő</w:t>
      </w:r>
      <w:r>
        <w:t xml:space="preserve"> </w:t>
      </w:r>
      <w:r>
        <w:rPr>
          <w:b/>
          <w:bCs/>
        </w:rPr>
        <w:t>a</w:t>
      </w:r>
      <w:r>
        <w:t xml:space="preserve"> </w:t>
      </w:r>
      <w:r>
        <w:rPr>
          <w:b/>
          <w:bCs/>
        </w:rPr>
        <w:t>kollektív</w:t>
      </w:r>
      <w:r>
        <w:t xml:space="preserve"> </w:t>
      </w:r>
      <w:r>
        <w:rPr>
          <w:b/>
          <w:bCs/>
        </w:rPr>
        <w:t>tárgyalásokat</w:t>
      </w:r>
      <w:r>
        <w:t>, hogy a munkavállalók tájékoztatást kapjanak, konzultáljanak velük és bevonják őket a körforgásos üzleti modellekre való átállásba.</w:t>
      </w:r>
    </w:p>
    <w:p w14:paraId="7E334215" w14:textId="77777777" w:rsidR="00ED76AC" w:rsidRPr="00ED76AC" w:rsidRDefault="00ED76AC" w:rsidP="001307DF">
      <w:pPr>
        <w:ind w:left="284" w:hanging="284"/>
        <w:rPr>
          <w:lang w:val="en-GB" w:eastAsia="en-GB"/>
        </w:rPr>
      </w:pPr>
    </w:p>
    <w:tbl>
      <w:tblPr>
        <w:tblStyle w:val="TableGrid1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ED76AC" w:rsidRPr="00ED76AC" w14:paraId="412ADC26" w14:textId="77777777">
        <w:tc>
          <w:tcPr>
            <w:tcW w:w="1077" w:type="pct"/>
            <w:hideMark/>
          </w:tcPr>
          <w:p w14:paraId="0F7B1E43" w14:textId="77777777" w:rsidR="00ED76AC" w:rsidRPr="00ED76AC" w:rsidRDefault="00ED76AC" w:rsidP="00ED76AC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3923" w:type="pct"/>
            <w:hideMark/>
          </w:tcPr>
          <w:p w14:paraId="0144A2EC" w14:textId="10811451" w:rsidR="00ED76AC" w:rsidRPr="00ED76AC" w:rsidRDefault="00ED76AC" w:rsidP="00ED76AC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Adam </w:t>
            </w:r>
            <w:proofErr w:type="spellStart"/>
            <w:r>
              <w:rPr>
                <w:i/>
              </w:rPr>
              <w:t>Dorywalski</w:t>
            </w:r>
            <w:proofErr w:type="spellEnd"/>
          </w:p>
        </w:tc>
      </w:tr>
      <w:tr w:rsidR="00ED76AC" w:rsidRPr="00ED76AC" w14:paraId="7414D71C" w14:textId="77777777">
        <w:tc>
          <w:tcPr>
            <w:tcW w:w="1077" w:type="pct"/>
            <w:hideMark/>
          </w:tcPr>
          <w:p w14:paraId="244C8249" w14:textId="77777777" w:rsidR="00ED76AC" w:rsidRPr="00ED76AC" w:rsidRDefault="00ED76AC" w:rsidP="00ED76AC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  <w:hideMark/>
          </w:tcPr>
          <w:p w14:paraId="262EFFB7" w14:textId="66B13D8A" w:rsidR="00ED76AC" w:rsidRPr="00ED76AC" w:rsidRDefault="00ED76AC" w:rsidP="00ED76AC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+32 25469397</w:t>
            </w:r>
          </w:p>
        </w:tc>
      </w:tr>
      <w:tr w:rsidR="00ED76AC" w:rsidRPr="00ED76AC" w14:paraId="760698CC" w14:textId="77777777">
        <w:tc>
          <w:tcPr>
            <w:tcW w:w="1077" w:type="pct"/>
            <w:hideMark/>
          </w:tcPr>
          <w:p w14:paraId="5E8D3FE3" w14:textId="77777777" w:rsidR="00ED76AC" w:rsidRPr="00ED76AC" w:rsidRDefault="00ED76AC" w:rsidP="00ED76AC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3923" w:type="pct"/>
            <w:hideMark/>
          </w:tcPr>
          <w:p w14:paraId="6BD8C4E6" w14:textId="77777777" w:rsidR="00ED76AC" w:rsidRPr="00ED76AC" w:rsidRDefault="008B736D" w:rsidP="00ED76AC">
            <w:pPr>
              <w:overflowPunct w:val="0"/>
              <w:autoSpaceDE w:val="0"/>
              <w:autoSpaceDN w:val="0"/>
              <w:adjustRightInd w:val="0"/>
              <w:rPr>
                <w:i/>
              </w:rPr>
            </w:pPr>
            <w:hyperlink r:id="rId53" w:history="1">
              <w:r w:rsidR="00326BD5">
                <w:rPr>
                  <w:i/>
                  <w:color w:val="0000FF"/>
                  <w:u w:val="single"/>
                </w:rPr>
                <w:t>Adam.Dorywalski@eesc.europa.eu</w:t>
              </w:r>
            </w:hyperlink>
          </w:p>
        </w:tc>
      </w:tr>
    </w:tbl>
    <w:p w14:paraId="0FA13A3E" w14:textId="309D4ADD" w:rsidR="00ED76AC" w:rsidRDefault="00ED76AC" w:rsidP="006D2C8A">
      <w:pPr>
        <w:spacing w:after="160" w:line="259" w:lineRule="auto"/>
        <w:jc w:val="left"/>
      </w:pPr>
    </w:p>
    <w:p w14:paraId="1D4DBE8E" w14:textId="77777777" w:rsidR="00ED76AC" w:rsidRDefault="00ED76AC">
      <w:pPr>
        <w:spacing w:after="160" w:line="259" w:lineRule="auto"/>
        <w:jc w:val="left"/>
      </w:pPr>
      <w:r>
        <w:br w:type="page"/>
      </w:r>
    </w:p>
    <w:p w14:paraId="1EC58FCD" w14:textId="735BFB6C" w:rsidR="009F1AE3" w:rsidRPr="009F1AE3" w:rsidRDefault="008B736D" w:rsidP="009F1AE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r:id="rId54" w:history="1">
        <w:r w:rsidR="009F1AE3">
          <w:rPr>
            <w:b/>
            <w:i/>
            <w:color w:val="0000FF"/>
            <w:sz w:val="28"/>
            <w:u w:val="single"/>
          </w:rPr>
          <w:t>Ipari szövetkezetek: eszköz az inkluzív és fenntartható versenyképesség kihívásának kezeléséhez</w:t>
        </w:r>
      </w:hyperlink>
      <w:r w:rsidR="009F1AE3">
        <w:rPr>
          <w:b/>
          <w:i/>
          <w:sz w:val="28"/>
        </w:rPr>
        <w:t xml:space="preserve"> </w:t>
      </w:r>
    </w:p>
    <w:p w14:paraId="1C2A6159" w14:textId="77777777" w:rsidR="009F1AE3" w:rsidRPr="009F1AE3" w:rsidRDefault="009F1AE3" w:rsidP="009F1AE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tbl>
      <w:tblPr>
        <w:tblStyle w:val="TableGrid1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9F1AE3" w:rsidRPr="009F1AE3" w14:paraId="0D01F4D7" w14:textId="77777777" w:rsidTr="007C5DD5">
        <w:tc>
          <w:tcPr>
            <w:tcW w:w="1077" w:type="pct"/>
          </w:tcPr>
          <w:p w14:paraId="20E55DD0" w14:textId="77777777" w:rsidR="009F1AE3" w:rsidRPr="009F1AE3" w:rsidRDefault="009F1AE3" w:rsidP="009F1AE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Előadó:</w:t>
            </w:r>
          </w:p>
        </w:tc>
        <w:tc>
          <w:tcPr>
            <w:tcW w:w="3923" w:type="pct"/>
          </w:tcPr>
          <w:p w14:paraId="1A4CBD2C" w14:textId="77777777" w:rsidR="009F1AE3" w:rsidRPr="009F1AE3" w:rsidRDefault="009F1AE3" w:rsidP="009F1AE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Giuseppe GUERINI (Civil társadalmi szervezetek/IT)</w:t>
            </w:r>
          </w:p>
        </w:tc>
      </w:tr>
      <w:tr w:rsidR="009F1AE3" w:rsidRPr="009F1AE3" w14:paraId="33F2C2EB" w14:textId="77777777" w:rsidTr="007C5DD5">
        <w:tc>
          <w:tcPr>
            <w:tcW w:w="1077" w:type="pct"/>
          </w:tcPr>
          <w:p w14:paraId="1F1A83E5" w14:textId="77777777" w:rsidR="009F1AE3" w:rsidRPr="009F1AE3" w:rsidRDefault="009F1AE3" w:rsidP="009F1AE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Társelőadó:</w:t>
            </w:r>
          </w:p>
        </w:tc>
        <w:tc>
          <w:tcPr>
            <w:tcW w:w="3923" w:type="pct"/>
          </w:tcPr>
          <w:p w14:paraId="33B4BB5B" w14:textId="77777777" w:rsidR="009F1AE3" w:rsidRDefault="009F1AE3" w:rsidP="009F1AE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proofErr w:type="spellStart"/>
            <w:r>
              <w:t>Michal</w:t>
            </w:r>
            <w:proofErr w:type="spellEnd"/>
            <w:r>
              <w:t xml:space="preserve"> PINTÉR (Munkáltatók/SK)</w:t>
            </w:r>
          </w:p>
          <w:p w14:paraId="5742ACF9" w14:textId="77777777" w:rsidR="005A2512" w:rsidRPr="009F1AE3" w:rsidRDefault="005A2512" w:rsidP="009F1AE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</w:p>
        </w:tc>
      </w:tr>
      <w:tr w:rsidR="009F1AE3" w:rsidRPr="009F1AE3" w14:paraId="7859888A" w14:textId="77777777" w:rsidTr="007C5DD5">
        <w:tc>
          <w:tcPr>
            <w:tcW w:w="1077" w:type="pct"/>
          </w:tcPr>
          <w:p w14:paraId="032C91E2" w14:textId="77777777" w:rsidR="009F1AE3" w:rsidRPr="009F1AE3" w:rsidRDefault="009F1AE3" w:rsidP="009F1AE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Hivatkozások:</w:t>
            </w:r>
          </w:p>
        </w:tc>
        <w:tc>
          <w:tcPr>
            <w:tcW w:w="3923" w:type="pct"/>
          </w:tcPr>
          <w:p w14:paraId="0B0CF888" w14:textId="0BC5D656" w:rsidR="005A2512" w:rsidRDefault="005A2512" w:rsidP="009F1AE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saját kezdeményezésű vélemény</w:t>
            </w:r>
          </w:p>
          <w:p w14:paraId="5FE53CC7" w14:textId="075CB809" w:rsidR="009F1AE3" w:rsidRPr="009F1AE3" w:rsidRDefault="009F1AE3" w:rsidP="009F1AE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right="-3091" w:hanging="266"/>
              <w:textAlignment w:val="baseline"/>
            </w:pPr>
            <w:r>
              <w:t>EESC-2025-01083-00-00-AC</w:t>
            </w:r>
          </w:p>
        </w:tc>
      </w:tr>
    </w:tbl>
    <w:p w14:paraId="1DD81CB5" w14:textId="77777777" w:rsidR="009F1AE3" w:rsidRPr="009F1AE3" w:rsidRDefault="009F1AE3" w:rsidP="009F1AE3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06D207ED" w14:textId="77777777" w:rsidR="009F1AE3" w:rsidRPr="009F1AE3" w:rsidRDefault="009F1AE3" w:rsidP="009F1AE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Főbb pontok</w:t>
      </w:r>
    </w:p>
    <w:p w14:paraId="4286BD1B" w14:textId="77777777" w:rsidR="009F1AE3" w:rsidRPr="009F1AE3" w:rsidRDefault="009F1AE3" w:rsidP="009F1AE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lang w:val="en-GB"/>
        </w:rPr>
      </w:pPr>
    </w:p>
    <w:p w14:paraId="46117C84" w14:textId="77777777" w:rsidR="009F1AE3" w:rsidRDefault="009F1AE3" w:rsidP="009F1AE3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Az EGSZB:</w:t>
      </w:r>
    </w:p>
    <w:p w14:paraId="6845B3DF" w14:textId="77777777" w:rsidR="007B326F" w:rsidRPr="009F1AE3" w:rsidRDefault="007B326F" w:rsidP="009F1AE3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en-GB"/>
        </w:rPr>
      </w:pPr>
    </w:p>
    <w:p w14:paraId="27E2A746" w14:textId="77777777" w:rsidR="009F1AE3" w:rsidRPr="009F1AE3" w:rsidRDefault="009F1AE3" w:rsidP="00054C58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megjegyzi, hogy az ENSZ 2025-öt a szövetkezetek nemzetközi évévé nyilvánította „</w:t>
      </w:r>
      <w:proofErr w:type="spellStart"/>
      <w:r>
        <w:t>Cooperatives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World” [Szövetkezetekkel egy jobb világért] jelmondattal, ami a számos ágazatban jelenlévő szövetkezeti modell növekvő nemzetközi elismertségét tükrözi,</w:t>
      </w:r>
    </w:p>
    <w:p w14:paraId="3D3801AB" w14:textId="77777777" w:rsidR="009F1AE3" w:rsidRPr="009F1AE3" w:rsidRDefault="009F1AE3" w:rsidP="00054C58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javasolja, hogy a szövetkezetekkel kapcsolatos üzleti ismereteket építsék be az általános vállalkozói és a szakképzésbe, szervezzenek figyelemfelkeltő tevékenységeket a pénzügyi intézmények számára és nyújtsanak ilyen lehetőségeket az Erasmus+ programon belül,</w:t>
      </w:r>
    </w:p>
    <w:p w14:paraId="28A4E3C6" w14:textId="77777777" w:rsidR="009F1AE3" w:rsidRPr="009F1AE3" w:rsidRDefault="009F1AE3" w:rsidP="00054C58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úgy véli, hogy a szövetkezeti modellt aktívan népszerűsíteni kell az induló innovatív vállalkozások és a fiatal vállalkozók körében,</w:t>
      </w:r>
    </w:p>
    <w:p w14:paraId="58C2F6EC" w14:textId="77777777" w:rsidR="009F1AE3" w:rsidRPr="009F1AE3" w:rsidRDefault="009F1AE3" w:rsidP="00054C58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kéri annak elismerését, hogy az ipari szövetkezetek fontos gazdasági szereplők, és uniós, nemzeti és regionális szinten célzott pénzügyi ösztönzőket (adókedvezményeket, támogatásokat, alacsony kamatú finanszírozást) szorgalmaz az ipari szimbiózis és a körforgásos gyakorlatok támogatására,</w:t>
      </w:r>
    </w:p>
    <w:p w14:paraId="4A87AD53" w14:textId="77777777" w:rsidR="009F1AE3" w:rsidRPr="009F1AE3" w:rsidRDefault="009F1AE3" w:rsidP="00054C58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a szövetkezetek helyben való letelepedésének megkönnyítése a fenntartható termelés bővítése érdekében ösztönzi a közös ipari parkokba, </w:t>
      </w:r>
      <w:proofErr w:type="spellStart"/>
      <w:r>
        <w:t>ökoipari</w:t>
      </w:r>
      <w:proofErr w:type="spellEnd"/>
      <w:r>
        <w:t xml:space="preserve"> övezetekbe és szövetkezeti tudásmegosztó platformokba történő beruházásokat,</w:t>
      </w:r>
    </w:p>
    <w:p w14:paraId="52113114" w14:textId="77777777" w:rsidR="009F1AE3" w:rsidRPr="009F1AE3" w:rsidRDefault="009F1AE3" w:rsidP="00054C58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sürgeti, hogy az uniós kohéziós programokba és regionális fejlesztési stratégiákba építsenek be szövetkezetspecifikus szakpolitikai intézkedéseket, prioritásként kezelve a regionális </w:t>
      </w:r>
      <w:proofErr w:type="spellStart"/>
      <w:r>
        <w:t>reziliencia</w:t>
      </w:r>
      <w:proofErr w:type="spellEnd"/>
      <w:r>
        <w:t xml:space="preserve"> fokozására irányuló szövetkezeti kezdeményezéseket,</w:t>
      </w:r>
    </w:p>
    <w:p w14:paraId="7894A3A1" w14:textId="77777777" w:rsidR="009F1AE3" w:rsidRPr="009F1AE3" w:rsidRDefault="009F1AE3" w:rsidP="00054C58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 xml:space="preserve">kiemeli az </w:t>
      </w:r>
      <w:proofErr w:type="spellStart"/>
      <w:r>
        <w:t>adatvezérelt</w:t>
      </w:r>
      <w:proofErr w:type="spellEnd"/>
      <w:r>
        <w:t xml:space="preserve"> szövetkezetek növekvő stratégiai jelentőségét, és arra kéri az uniós és nemzeti hatóságokat, hogy támogassák az ipari adatok kezelésére és megosztására irányuló kollektív kezdeményezéseket,</w:t>
      </w:r>
    </w:p>
    <w:p w14:paraId="79564FBF" w14:textId="2AC94D21" w:rsidR="009F1AE3" w:rsidRPr="009F1AE3" w:rsidRDefault="009F1AE3" w:rsidP="00054C58">
      <w:pPr>
        <w:widowControl w:val="0"/>
        <w:numPr>
          <w:ilvl w:val="0"/>
          <w:numId w:val="35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hangsúlyozza, hogy a szövetkezeti modell egyedülálló hozzáadott értéket biztosít a demokratikus irányítás, a javak méltányos elosztása, a közösségi szerepvállalás és a kiváló alkalmazkodóképesség révén, ezzel erősíti az EU stratégiai autonómiáját.</w:t>
      </w:r>
    </w:p>
    <w:p w14:paraId="7F3E40C1" w14:textId="77777777" w:rsidR="009F1AE3" w:rsidRPr="009F1AE3" w:rsidRDefault="009F1AE3" w:rsidP="009F1AE3">
      <w:pPr>
        <w:widowControl w:val="0"/>
        <w:overflowPunct w:val="0"/>
        <w:autoSpaceDE w:val="0"/>
        <w:autoSpaceDN w:val="0"/>
        <w:adjustRightInd w:val="0"/>
        <w:ind w:left="567"/>
        <w:textAlignment w:val="baseline"/>
        <w:rPr>
          <w:bCs/>
          <w:iCs/>
          <w:lang w:val="en-GB"/>
        </w:rPr>
      </w:pPr>
    </w:p>
    <w:p w14:paraId="12471B63" w14:textId="77777777" w:rsidR="009F1AE3" w:rsidRPr="009F1AE3" w:rsidRDefault="009F1AE3" w:rsidP="009F1AE3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  <w:lang w:val="en-GB"/>
        </w:rPr>
      </w:pPr>
    </w:p>
    <w:tbl>
      <w:tblPr>
        <w:tblStyle w:val="TableGrid1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288"/>
      </w:tblGrid>
      <w:tr w:rsidR="009F1AE3" w:rsidRPr="009F1AE3" w14:paraId="23DAFD40" w14:textId="77777777" w:rsidTr="007C5DD5">
        <w:tc>
          <w:tcPr>
            <w:tcW w:w="1077" w:type="pct"/>
          </w:tcPr>
          <w:p w14:paraId="4CF24E66" w14:textId="77777777" w:rsidR="009F1AE3" w:rsidRPr="009F1AE3" w:rsidRDefault="009F1AE3" w:rsidP="009F1A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Kapcsolattartó:</w:t>
            </w:r>
          </w:p>
        </w:tc>
        <w:tc>
          <w:tcPr>
            <w:tcW w:w="3923" w:type="pct"/>
          </w:tcPr>
          <w:p w14:paraId="06B68A0E" w14:textId="546486E8" w:rsidR="009F1AE3" w:rsidRPr="009F1AE3" w:rsidRDefault="009F1AE3" w:rsidP="009F1A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Adam </w:t>
            </w:r>
            <w:proofErr w:type="spellStart"/>
            <w:r>
              <w:rPr>
                <w:i/>
              </w:rPr>
              <w:t>Dorywalski</w:t>
            </w:r>
            <w:proofErr w:type="spellEnd"/>
          </w:p>
        </w:tc>
      </w:tr>
      <w:tr w:rsidR="009F1AE3" w:rsidRPr="009F1AE3" w14:paraId="7AF1CC27" w14:textId="77777777" w:rsidTr="007C5DD5">
        <w:tc>
          <w:tcPr>
            <w:tcW w:w="1077" w:type="pct"/>
          </w:tcPr>
          <w:p w14:paraId="233242A3" w14:textId="77777777" w:rsidR="009F1AE3" w:rsidRPr="009F1AE3" w:rsidRDefault="009F1AE3" w:rsidP="009F1A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Tel.:</w:t>
            </w:r>
          </w:p>
        </w:tc>
        <w:tc>
          <w:tcPr>
            <w:tcW w:w="3923" w:type="pct"/>
          </w:tcPr>
          <w:p w14:paraId="5A333E81" w14:textId="77777777" w:rsidR="009F1AE3" w:rsidRPr="009F1AE3" w:rsidRDefault="009F1AE3" w:rsidP="009F1A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+32 25469397</w:t>
            </w:r>
          </w:p>
        </w:tc>
      </w:tr>
      <w:tr w:rsidR="009F1AE3" w:rsidRPr="009F1AE3" w14:paraId="7ABF5273" w14:textId="77777777" w:rsidTr="007C5DD5">
        <w:tc>
          <w:tcPr>
            <w:tcW w:w="1077" w:type="pct"/>
          </w:tcPr>
          <w:p w14:paraId="2931E696" w14:textId="77777777" w:rsidR="009F1AE3" w:rsidRPr="009F1AE3" w:rsidRDefault="009F1AE3" w:rsidP="009F1A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3923" w:type="pct"/>
          </w:tcPr>
          <w:p w14:paraId="7A67CA0D" w14:textId="77777777" w:rsidR="009F1AE3" w:rsidRPr="009F1AE3" w:rsidRDefault="008B736D" w:rsidP="009F1A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r:id="rId55" w:history="1">
              <w:r w:rsidR="00326BD5">
                <w:rPr>
                  <w:i/>
                  <w:color w:val="0000FF"/>
                  <w:u w:val="single"/>
                </w:rPr>
                <w:t>Adam.Dorywalski@eesc.europa.eu</w:t>
              </w:r>
            </w:hyperlink>
          </w:p>
        </w:tc>
      </w:tr>
    </w:tbl>
    <w:p w14:paraId="09A596F7" w14:textId="77777777" w:rsidR="006D2C8A" w:rsidRDefault="006D2C8A" w:rsidP="006D2C8A">
      <w:pPr>
        <w:spacing w:after="160" w:line="259" w:lineRule="auto"/>
        <w:jc w:val="left"/>
      </w:pPr>
    </w:p>
    <w:p w14:paraId="2E28EF19" w14:textId="3B368787" w:rsidR="000D394D" w:rsidRDefault="00EB462E" w:rsidP="00054C58">
      <w:pPr>
        <w:spacing w:after="160" w:line="259" w:lineRule="auto"/>
        <w:jc w:val="center"/>
      </w:pPr>
      <w:r>
        <w:t>______________</w:t>
      </w:r>
    </w:p>
    <w:sectPr w:rsidR="000D394D" w:rsidSect="00EE6F0B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83ED" w14:textId="77777777" w:rsidR="007068C8" w:rsidRDefault="007068C8" w:rsidP="00B518C9">
      <w:pPr>
        <w:spacing w:line="240" w:lineRule="auto"/>
      </w:pPr>
      <w:r>
        <w:separator/>
      </w:r>
    </w:p>
  </w:endnote>
  <w:endnote w:type="continuationSeparator" w:id="0">
    <w:p w14:paraId="2DEC234A" w14:textId="77777777" w:rsidR="007068C8" w:rsidRDefault="007068C8" w:rsidP="00B5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0286" w14:textId="77777777" w:rsidR="00BA2A2C" w:rsidRPr="00EE6F0B" w:rsidRDefault="00BA2A2C" w:rsidP="00EE6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DE51" w14:textId="3129FCBE" w:rsidR="00B518C9" w:rsidRPr="00EE6F0B" w:rsidRDefault="00EE6F0B" w:rsidP="00EE6F0B">
    <w:pPr>
      <w:pStyle w:val="Footer"/>
    </w:pPr>
    <w:r>
      <w:t xml:space="preserve">EESC-2025-03552-00-00-TCD-TRA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541DE">
      <w:t>1</w:t>
    </w:r>
    <w:r>
      <w:fldChar w:fldCharType="end"/>
    </w:r>
    <w:r>
      <w:t>/</w:t>
    </w:r>
    <w:fldSimple w:instr=" NUMPAGES ">
      <w:r w:rsidR="008541DE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5E05A" w14:textId="77777777" w:rsidR="00BA2A2C" w:rsidRPr="00EE6F0B" w:rsidRDefault="00BA2A2C" w:rsidP="00EE6F0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5BF5" w14:textId="77777777" w:rsidR="00EE6F0B" w:rsidRPr="00EE6F0B" w:rsidRDefault="00EE6F0B" w:rsidP="00EE6F0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1AE1F" w14:textId="4BF61E79" w:rsidR="00EE6F0B" w:rsidRPr="00EE6F0B" w:rsidRDefault="00EE6F0B" w:rsidP="00EE6F0B">
    <w:pPr>
      <w:pStyle w:val="Footer"/>
    </w:pPr>
    <w:r>
      <w:t xml:space="preserve">EESC-2025-03552-00-00-TCD-TRA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541DE">
      <w:t>16</w:t>
    </w:r>
    <w:r>
      <w:fldChar w:fldCharType="end"/>
    </w:r>
    <w:r>
      <w:t>/</w:t>
    </w:r>
    <w:fldSimple w:instr=" NUMPAGES ">
      <w:r w:rsidR="008541DE">
        <w:t>16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A5D8" w14:textId="77777777" w:rsidR="00EE6F0B" w:rsidRPr="00EE6F0B" w:rsidRDefault="00EE6F0B" w:rsidP="00EE6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FB7AD" w14:textId="77777777" w:rsidR="007068C8" w:rsidRDefault="007068C8" w:rsidP="00B518C9">
      <w:pPr>
        <w:spacing w:line="240" w:lineRule="auto"/>
      </w:pPr>
      <w:r>
        <w:separator/>
      </w:r>
    </w:p>
  </w:footnote>
  <w:footnote w:type="continuationSeparator" w:id="0">
    <w:p w14:paraId="1C004BEA" w14:textId="77777777" w:rsidR="007068C8" w:rsidRDefault="007068C8" w:rsidP="00B518C9">
      <w:pPr>
        <w:spacing w:line="240" w:lineRule="auto"/>
      </w:pPr>
      <w:r>
        <w:continuationSeparator/>
      </w:r>
    </w:p>
  </w:footnote>
  <w:footnote w:id="1">
    <w:p w14:paraId="20E5F6A6" w14:textId="77777777" w:rsidR="00FC7F19" w:rsidRDefault="00FC7F19" w:rsidP="00FC7F19">
      <w:pPr>
        <w:keepLines/>
        <w:spacing w:after="60" w:line="240" w:lineRule="auto"/>
        <w:ind w:left="567" w:hanging="567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</w:rPr>
        <w:tab/>
      </w:r>
      <w:hyperlink r:id="rId1">
        <w:r>
          <w:rPr>
            <w:color w:val="0000FF"/>
            <w:sz w:val="16"/>
            <w:u w:val="single"/>
          </w:rPr>
          <w:t>https://eur-lex.europa.eu/legal-content/hu/TXT/?uri=legissum:4623532</w:t>
        </w:r>
      </w:hyperlink>
      <w:r>
        <w:t>.</w:t>
      </w:r>
    </w:p>
  </w:footnote>
  <w:footnote w:id="2">
    <w:p w14:paraId="31341273" w14:textId="77777777" w:rsidR="00FC7F19" w:rsidRPr="00ED3E39" w:rsidRDefault="00FC7F19" w:rsidP="00FC7F19">
      <w:pPr>
        <w:keepLines/>
        <w:spacing w:after="60" w:line="240" w:lineRule="auto"/>
        <w:ind w:left="567" w:hanging="567"/>
      </w:pPr>
      <w:r>
        <w:rPr>
          <w:rStyle w:val="FootnoteReference"/>
        </w:rPr>
        <w:footnoteRef/>
      </w:r>
      <w:r>
        <w:rPr>
          <w:sz w:val="16"/>
        </w:rPr>
        <w:tab/>
      </w:r>
      <w:hyperlink r:id="rId2">
        <w:r>
          <w:rPr>
            <w:color w:val="0000FF"/>
            <w:sz w:val="16"/>
            <w:u w:val="single"/>
          </w:rPr>
          <w:t>https://eur-lex.europa.eu/legal-content/hu/TXT/?uri=CELEX%3A52022XC0930%2802%29</w:t>
        </w:r>
      </w:hyperlink>
      <w:r>
        <w:t>.</w:t>
      </w:r>
    </w:p>
  </w:footnote>
  <w:footnote w:id="3">
    <w:p w14:paraId="18715D91" w14:textId="77777777" w:rsidR="00FC7F19" w:rsidRPr="0023267D" w:rsidRDefault="00FC7F19" w:rsidP="00FC7F19">
      <w:pPr>
        <w:keepLines/>
        <w:spacing w:after="60" w:line="240" w:lineRule="auto"/>
        <w:ind w:left="567" w:hanging="567"/>
        <w:rPr>
          <w:color w:val="0000FF"/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</w:rPr>
        <w:tab/>
      </w:r>
      <w:hyperlink r:id="rId3">
        <w:r>
          <w:rPr>
            <w:color w:val="0000FF"/>
            <w:sz w:val="16"/>
            <w:u w:val="single"/>
          </w:rPr>
          <w:t>https://digital-strategy.ec.europa.eu/hu/library/recommendation-protection-safety-and-empowerment-journalists</w:t>
        </w:r>
      </w:hyperlink>
      <w:r>
        <w:rPr>
          <w:sz w:val="16"/>
        </w:rPr>
        <w:t>.</w:t>
      </w:r>
    </w:p>
  </w:footnote>
  <w:footnote w:id="4">
    <w:p w14:paraId="501F5366" w14:textId="77777777" w:rsidR="00FC7F19" w:rsidRPr="00C510E4" w:rsidRDefault="00FC7F19" w:rsidP="00FC7F19">
      <w:pPr>
        <w:keepLines/>
        <w:spacing w:after="60" w:line="240" w:lineRule="auto"/>
        <w:ind w:left="567" w:hanging="567"/>
      </w:pPr>
      <w:r>
        <w:rPr>
          <w:rStyle w:val="FootnoteReference"/>
        </w:rPr>
        <w:footnoteRef/>
      </w:r>
      <w:r>
        <w:tab/>
      </w:r>
      <w:r>
        <w:rPr>
          <w:sz w:val="16"/>
        </w:rPr>
        <w:t>HL C, C/2025/114, 2025.1.10.</w:t>
      </w:r>
      <w:r>
        <w:t xml:space="preserve">, ELI: </w:t>
      </w:r>
      <w:hyperlink r:id="rId4" w:history="1">
        <w:r>
          <w:rPr>
            <w:rStyle w:val="Hyperlink"/>
            <w:sz w:val="16"/>
          </w:rPr>
          <w:t>http://data.europa.eu/eli/C/2025/114/oj.</w:t>
        </w:r>
      </w:hyperlink>
    </w:p>
  </w:footnote>
  <w:footnote w:id="5">
    <w:p w14:paraId="01E2CCA5" w14:textId="77777777" w:rsidR="00836765" w:rsidRPr="00360DD3" w:rsidRDefault="00836765" w:rsidP="008367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Az EGSZB saját kezdeményezésű véleménye: </w:t>
      </w:r>
      <w:hyperlink r:id="rId5" w:anchor=":~:text=The%20only%20reliable%20way%20to%20preserve%20the%20rainforests%20is%20through" w:history="1">
        <w:r>
          <w:rPr>
            <w:rStyle w:val="Hyperlink"/>
            <w:i/>
          </w:rPr>
          <w:t>Az Amazonas esőerdőit érintő erdőirtás – az éghajlatváltozásra és a globális környezetre gyakorolt hatás; következmények a vállalatokra, a munkavállalókra és a lakosságra nézve</w:t>
        </w:r>
      </w:hyperlink>
      <w:r>
        <w:t xml:space="preserve">, </w:t>
      </w:r>
      <w:hyperlink r:id="rId6" w:history="1">
        <w:r>
          <w:rPr>
            <w:rStyle w:val="Hyperlink"/>
          </w:rPr>
          <w:t>HL C/2024/6882, 2024.11.28.</w:t>
        </w:r>
      </w:hyperlink>
    </w:p>
  </w:footnote>
  <w:footnote w:id="6">
    <w:p w14:paraId="74D17928" w14:textId="77777777" w:rsidR="00836765" w:rsidRPr="00360DD3" w:rsidRDefault="00836765" w:rsidP="008367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Az EGSZB véleménye: </w:t>
      </w:r>
      <w:hyperlink r:id="rId7" w:history="1">
        <w:r>
          <w:rPr>
            <w:rStyle w:val="Hyperlink"/>
            <w:i/>
          </w:rPr>
          <w:t>Az uniós piacon forgalomba hozott termékekkel összefüggő erdőirtás és erdőpusztulás kockázatának minimálisra csökkentése</w:t>
        </w:r>
      </w:hyperlink>
      <w:r>
        <w:t xml:space="preserve">, </w:t>
      </w:r>
      <w:hyperlink r:id="rId8" w:history="1">
        <w:r>
          <w:rPr>
            <w:rStyle w:val="Hyperlink"/>
          </w:rPr>
          <w:t>HL C 275., 2022.7.18.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34A7" w14:textId="77777777" w:rsidR="00BA2A2C" w:rsidRPr="00EE6F0B" w:rsidRDefault="00BA2A2C" w:rsidP="00EE6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DE50" w14:textId="6A64B190" w:rsidR="00BA2A2C" w:rsidRPr="00EE6F0B" w:rsidRDefault="00BA2A2C" w:rsidP="00EE6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0F6F" w14:textId="77777777" w:rsidR="00BA2A2C" w:rsidRPr="00EE6F0B" w:rsidRDefault="00BA2A2C" w:rsidP="00EE6F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C11B" w14:textId="77777777" w:rsidR="00EE6F0B" w:rsidRPr="00EE6F0B" w:rsidRDefault="00EE6F0B" w:rsidP="00EE6F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CF56" w14:textId="041A1C85" w:rsidR="00EE6F0B" w:rsidRPr="00EE6F0B" w:rsidRDefault="00EE6F0B" w:rsidP="00EE6F0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285E" w14:textId="77777777" w:rsidR="00EE6F0B" w:rsidRPr="00EE6F0B" w:rsidRDefault="00EE6F0B" w:rsidP="00EE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DDE088C8"/>
    <w:lvl w:ilvl="0">
      <w:numFmt w:val="decimal"/>
      <w:lvlText w:val="*"/>
      <w:lvlJc w:val="left"/>
    </w:lvl>
  </w:abstractNum>
  <w:abstractNum w:abstractNumId="2" w15:restartNumberingAfterBreak="0">
    <w:nsid w:val="01AD6BFB"/>
    <w:multiLevelType w:val="hybridMultilevel"/>
    <w:tmpl w:val="8DE8923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C6E7E92"/>
    <w:multiLevelType w:val="hybridMultilevel"/>
    <w:tmpl w:val="D852615C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26C7720"/>
    <w:multiLevelType w:val="hybridMultilevel"/>
    <w:tmpl w:val="50B6E45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05E4A"/>
    <w:multiLevelType w:val="hybridMultilevel"/>
    <w:tmpl w:val="0E9A9FEC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A281C"/>
    <w:multiLevelType w:val="multilevel"/>
    <w:tmpl w:val="DC36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96CA9"/>
    <w:multiLevelType w:val="hybridMultilevel"/>
    <w:tmpl w:val="A2A65726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6B0C2D"/>
    <w:multiLevelType w:val="hybridMultilevel"/>
    <w:tmpl w:val="EA30BBB2"/>
    <w:lvl w:ilvl="0" w:tplc="8E864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64D01"/>
    <w:multiLevelType w:val="multilevel"/>
    <w:tmpl w:val="E362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E3335"/>
    <w:multiLevelType w:val="hybridMultilevel"/>
    <w:tmpl w:val="6742EDEA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4187467"/>
    <w:multiLevelType w:val="hybridMultilevel"/>
    <w:tmpl w:val="73644BDA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909E3"/>
    <w:multiLevelType w:val="hybridMultilevel"/>
    <w:tmpl w:val="FC481F60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6F77B86"/>
    <w:multiLevelType w:val="hybridMultilevel"/>
    <w:tmpl w:val="2D104712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AD155A9"/>
    <w:multiLevelType w:val="hybridMultilevel"/>
    <w:tmpl w:val="F09C53E4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C0C48"/>
    <w:multiLevelType w:val="hybridMultilevel"/>
    <w:tmpl w:val="30EC54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D4BED2">
      <w:start w:val="1"/>
      <w:numFmt w:val="lowerLetter"/>
      <w:lvlText w:val="%2."/>
      <w:lvlJc w:val="left"/>
      <w:pPr>
        <w:ind w:left="1440" w:hanging="360"/>
      </w:pPr>
    </w:lvl>
    <w:lvl w:ilvl="2" w:tplc="EDDA7C24">
      <w:start w:val="1"/>
      <w:numFmt w:val="lowerRoman"/>
      <w:lvlText w:val="%3."/>
      <w:lvlJc w:val="right"/>
      <w:pPr>
        <w:ind w:left="2160" w:hanging="180"/>
      </w:pPr>
    </w:lvl>
    <w:lvl w:ilvl="3" w:tplc="D6D8B25C">
      <w:start w:val="1"/>
      <w:numFmt w:val="decimal"/>
      <w:lvlText w:val="%4."/>
      <w:lvlJc w:val="left"/>
      <w:pPr>
        <w:ind w:left="2880" w:hanging="360"/>
      </w:pPr>
    </w:lvl>
    <w:lvl w:ilvl="4" w:tplc="15BC3358">
      <w:start w:val="1"/>
      <w:numFmt w:val="lowerLetter"/>
      <w:lvlText w:val="%5."/>
      <w:lvlJc w:val="left"/>
      <w:pPr>
        <w:ind w:left="3600" w:hanging="360"/>
      </w:pPr>
    </w:lvl>
    <w:lvl w:ilvl="5" w:tplc="286291C8">
      <w:start w:val="1"/>
      <w:numFmt w:val="lowerRoman"/>
      <w:lvlText w:val="%6."/>
      <w:lvlJc w:val="right"/>
      <w:pPr>
        <w:ind w:left="4320" w:hanging="180"/>
      </w:pPr>
    </w:lvl>
    <w:lvl w:ilvl="6" w:tplc="18BA1814">
      <w:start w:val="1"/>
      <w:numFmt w:val="decimal"/>
      <w:lvlText w:val="%7."/>
      <w:lvlJc w:val="left"/>
      <w:pPr>
        <w:ind w:left="5040" w:hanging="360"/>
      </w:pPr>
    </w:lvl>
    <w:lvl w:ilvl="7" w:tplc="288E5478">
      <w:start w:val="1"/>
      <w:numFmt w:val="lowerLetter"/>
      <w:lvlText w:val="%8."/>
      <w:lvlJc w:val="left"/>
      <w:pPr>
        <w:ind w:left="5760" w:hanging="360"/>
      </w:pPr>
    </w:lvl>
    <w:lvl w:ilvl="8" w:tplc="FE92EFC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E296A"/>
    <w:multiLevelType w:val="hybridMultilevel"/>
    <w:tmpl w:val="474C91D2"/>
    <w:lvl w:ilvl="0" w:tplc="DDE0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77714"/>
    <w:multiLevelType w:val="multilevel"/>
    <w:tmpl w:val="CEC627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8" w15:restartNumberingAfterBreak="0">
    <w:nsid w:val="40BB0637"/>
    <w:multiLevelType w:val="multilevel"/>
    <w:tmpl w:val="D5C0BC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4612F"/>
    <w:multiLevelType w:val="hybridMultilevel"/>
    <w:tmpl w:val="45DA3B3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27BE6"/>
    <w:multiLevelType w:val="hybridMultilevel"/>
    <w:tmpl w:val="8EA829E0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21321"/>
    <w:multiLevelType w:val="hybridMultilevel"/>
    <w:tmpl w:val="401829F8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72E15"/>
    <w:multiLevelType w:val="hybridMultilevel"/>
    <w:tmpl w:val="49D49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4E770">
      <w:start w:val="1"/>
      <w:numFmt w:val="lowerLetter"/>
      <w:lvlText w:val="%2."/>
      <w:lvlJc w:val="left"/>
      <w:pPr>
        <w:ind w:left="1440" w:hanging="360"/>
      </w:pPr>
    </w:lvl>
    <w:lvl w:ilvl="2" w:tplc="48F2FBB0">
      <w:start w:val="1"/>
      <w:numFmt w:val="lowerRoman"/>
      <w:lvlText w:val="%3."/>
      <w:lvlJc w:val="right"/>
      <w:pPr>
        <w:ind w:left="2160" w:hanging="180"/>
      </w:pPr>
    </w:lvl>
    <w:lvl w:ilvl="3" w:tplc="194A9B02">
      <w:start w:val="1"/>
      <w:numFmt w:val="decimal"/>
      <w:lvlText w:val="%4."/>
      <w:lvlJc w:val="left"/>
      <w:pPr>
        <w:ind w:left="2880" w:hanging="360"/>
      </w:pPr>
    </w:lvl>
    <w:lvl w:ilvl="4" w:tplc="10E6AFD6">
      <w:start w:val="1"/>
      <w:numFmt w:val="lowerLetter"/>
      <w:lvlText w:val="%5."/>
      <w:lvlJc w:val="left"/>
      <w:pPr>
        <w:ind w:left="3600" w:hanging="360"/>
      </w:pPr>
    </w:lvl>
    <w:lvl w:ilvl="5" w:tplc="59546A76">
      <w:start w:val="1"/>
      <w:numFmt w:val="lowerRoman"/>
      <w:lvlText w:val="%6."/>
      <w:lvlJc w:val="right"/>
      <w:pPr>
        <w:ind w:left="4320" w:hanging="180"/>
      </w:pPr>
    </w:lvl>
    <w:lvl w:ilvl="6" w:tplc="B28879B6">
      <w:start w:val="1"/>
      <w:numFmt w:val="decimal"/>
      <w:lvlText w:val="%7."/>
      <w:lvlJc w:val="left"/>
      <w:pPr>
        <w:ind w:left="5040" w:hanging="360"/>
      </w:pPr>
    </w:lvl>
    <w:lvl w:ilvl="7" w:tplc="C930E540">
      <w:start w:val="1"/>
      <w:numFmt w:val="lowerLetter"/>
      <w:lvlText w:val="%8."/>
      <w:lvlJc w:val="left"/>
      <w:pPr>
        <w:ind w:left="5760" w:hanging="360"/>
      </w:pPr>
    </w:lvl>
    <w:lvl w:ilvl="8" w:tplc="766A47C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A6BF8"/>
    <w:multiLevelType w:val="hybridMultilevel"/>
    <w:tmpl w:val="9A2AC15E"/>
    <w:lvl w:ilvl="0" w:tplc="8E864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34897"/>
    <w:multiLevelType w:val="hybridMultilevel"/>
    <w:tmpl w:val="2DF20D56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46E239B"/>
    <w:multiLevelType w:val="hybridMultilevel"/>
    <w:tmpl w:val="4378B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F1DCB"/>
    <w:multiLevelType w:val="hybridMultilevel"/>
    <w:tmpl w:val="5F1059D2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E014D1"/>
    <w:multiLevelType w:val="hybridMultilevel"/>
    <w:tmpl w:val="84DED000"/>
    <w:lvl w:ilvl="0" w:tplc="4D6452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B3767B2"/>
    <w:multiLevelType w:val="hybridMultilevel"/>
    <w:tmpl w:val="CF9ADD5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51B82"/>
    <w:multiLevelType w:val="hybridMultilevel"/>
    <w:tmpl w:val="06A2BD0C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D790D12"/>
    <w:multiLevelType w:val="hybridMultilevel"/>
    <w:tmpl w:val="A63CD1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C55E4"/>
    <w:multiLevelType w:val="multilevel"/>
    <w:tmpl w:val="3FF64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7D7BDC"/>
    <w:multiLevelType w:val="hybridMultilevel"/>
    <w:tmpl w:val="193433BE"/>
    <w:lvl w:ilvl="0" w:tplc="89029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05596"/>
    <w:multiLevelType w:val="hybridMultilevel"/>
    <w:tmpl w:val="3730B994"/>
    <w:lvl w:ilvl="0" w:tplc="8E864B0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5">
    <w:abstractNumId w:val="28"/>
  </w:num>
  <w:num w:numId="6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7">
    <w:abstractNumId w:val="9"/>
  </w:num>
  <w:num w:numId="8">
    <w:abstractNumId w:val="6"/>
  </w:num>
  <w:num w:numId="9">
    <w:abstractNumId w:val="30"/>
  </w:num>
  <w:num w:numId="10">
    <w:abstractNumId w:val="14"/>
  </w:num>
  <w:num w:numId="11">
    <w:abstractNumId w:val="16"/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5"/>
  </w:num>
  <w:num w:numId="15">
    <w:abstractNumId w:val="26"/>
  </w:num>
  <w:num w:numId="16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</w:rPr>
      </w:lvl>
    </w:lvlOverride>
  </w:num>
  <w:num w:numId="17">
    <w:abstractNumId w:val="15"/>
  </w:num>
  <w:num w:numId="18">
    <w:abstractNumId w:val="8"/>
  </w:num>
  <w:num w:numId="19">
    <w:abstractNumId w:val="5"/>
  </w:num>
  <w:num w:numId="20">
    <w:abstractNumId w:val="17"/>
  </w:num>
  <w:num w:numId="21">
    <w:abstractNumId w:val="31"/>
  </w:num>
  <w:num w:numId="22">
    <w:abstractNumId w:val="13"/>
  </w:num>
  <w:num w:numId="23">
    <w:abstractNumId w:val="33"/>
  </w:num>
  <w:num w:numId="24">
    <w:abstractNumId w:val="29"/>
  </w:num>
  <w:num w:numId="25">
    <w:abstractNumId w:val="2"/>
  </w:num>
  <w:num w:numId="26">
    <w:abstractNumId w:val="18"/>
  </w:num>
  <w:num w:numId="27">
    <w:abstractNumId w:val="20"/>
  </w:num>
  <w:num w:numId="28">
    <w:abstractNumId w:val="21"/>
  </w:num>
  <w:num w:numId="29">
    <w:abstractNumId w:val="3"/>
  </w:num>
  <w:num w:numId="30">
    <w:abstractNumId w:val="11"/>
  </w:num>
  <w:num w:numId="31">
    <w:abstractNumId w:val="23"/>
  </w:num>
  <w:num w:numId="32">
    <w:abstractNumId w:val="10"/>
  </w:num>
  <w:num w:numId="33">
    <w:abstractNumId w:val="7"/>
  </w:num>
  <w:num w:numId="34">
    <w:abstractNumId w:val="24"/>
  </w:num>
  <w:num w:numId="35">
    <w:abstractNumId w:val="12"/>
  </w:num>
  <w:num w:numId="36">
    <w:abstractNumId w:val="19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10A4D"/>
    <w:rsid w:val="000122F3"/>
    <w:rsid w:val="00034990"/>
    <w:rsid w:val="0005334D"/>
    <w:rsid w:val="00054433"/>
    <w:rsid w:val="00054C58"/>
    <w:rsid w:val="00056F0F"/>
    <w:rsid w:val="00063DFF"/>
    <w:rsid w:val="00085AF6"/>
    <w:rsid w:val="000A1597"/>
    <w:rsid w:val="000C7C8B"/>
    <w:rsid w:val="000D394D"/>
    <w:rsid w:val="000E7346"/>
    <w:rsid w:val="001307DF"/>
    <w:rsid w:val="00145DF7"/>
    <w:rsid w:val="00187A04"/>
    <w:rsid w:val="00194E7D"/>
    <w:rsid w:val="001A7442"/>
    <w:rsid w:val="001E391D"/>
    <w:rsid w:val="00237C67"/>
    <w:rsid w:val="002A5636"/>
    <w:rsid w:val="002B0636"/>
    <w:rsid w:val="002B5AEF"/>
    <w:rsid w:val="002B7981"/>
    <w:rsid w:val="002D3663"/>
    <w:rsid w:val="003066BE"/>
    <w:rsid w:val="003227CC"/>
    <w:rsid w:val="00326313"/>
    <w:rsid w:val="00326BD5"/>
    <w:rsid w:val="00340927"/>
    <w:rsid w:val="00366C6A"/>
    <w:rsid w:val="00366E73"/>
    <w:rsid w:val="00381A92"/>
    <w:rsid w:val="00384191"/>
    <w:rsid w:val="00395794"/>
    <w:rsid w:val="003C16C3"/>
    <w:rsid w:val="003D4EDF"/>
    <w:rsid w:val="003F190C"/>
    <w:rsid w:val="003F326D"/>
    <w:rsid w:val="003F79EF"/>
    <w:rsid w:val="0040402B"/>
    <w:rsid w:val="0043191A"/>
    <w:rsid w:val="00446882"/>
    <w:rsid w:val="004503DC"/>
    <w:rsid w:val="00463600"/>
    <w:rsid w:val="00465162"/>
    <w:rsid w:val="00481D4F"/>
    <w:rsid w:val="004A5CD7"/>
    <w:rsid w:val="004A6CE5"/>
    <w:rsid w:val="004D7AC0"/>
    <w:rsid w:val="004E64BE"/>
    <w:rsid w:val="00505C80"/>
    <w:rsid w:val="00515DDF"/>
    <w:rsid w:val="00532089"/>
    <w:rsid w:val="00537F29"/>
    <w:rsid w:val="005650A9"/>
    <w:rsid w:val="00586B4B"/>
    <w:rsid w:val="00591A62"/>
    <w:rsid w:val="00593110"/>
    <w:rsid w:val="005A0BDA"/>
    <w:rsid w:val="005A2512"/>
    <w:rsid w:val="005B225E"/>
    <w:rsid w:val="005B6DD4"/>
    <w:rsid w:val="005E7651"/>
    <w:rsid w:val="00601DF4"/>
    <w:rsid w:val="00612898"/>
    <w:rsid w:val="00625CA3"/>
    <w:rsid w:val="00635AF7"/>
    <w:rsid w:val="00641262"/>
    <w:rsid w:val="006559C7"/>
    <w:rsid w:val="00665929"/>
    <w:rsid w:val="00673B8C"/>
    <w:rsid w:val="0068013D"/>
    <w:rsid w:val="00685A3A"/>
    <w:rsid w:val="006D249E"/>
    <w:rsid w:val="006D2C8A"/>
    <w:rsid w:val="006D2D64"/>
    <w:rsid w:val="006E6F14"/>
    <w:rsid w:val="007068C8"/>
    <w:rsid w:val="0070734A"/>
    <w:rsid w:val="00707689"/>
    <w:rsid w:val="0072769B"/>
    <w:rsid w:val="00740A23"/>
    <w:rsid w:val="007417EF"/>
    <w:rsid w:val="00754027"/>
    <w:rsid w:val="00766B1A"/>
    <w:rsid w:val="0076787A"/>
    <w:rsid w:val="007B245D"/>
    <w:rsid w:val="007B326F"/>
    <w:rsid w:val="007F5784"/>
    <w:rsid w:val="00802750"/>
    <w:rsid w:val="00803D75"/>
    <w:rsid w:val="0080647A"/>
    <w:rsid w:val="00811D4F"/>
    <w:rsid w:val="00836765"/>
    <w:rsid w:val="00845F24"/>
    <w:rsid w:val="008541DE"/>
    <w:rsid w:val="00871818"/>
    <w:rsid w:val="0088219D"/>
    <w:rsid w:val="00896BC8"/>
    <w:rsid w:val="008A27AD"/>
    <w:rsid w:val="008A6059"/>
    <w:rsid w:val="008B736D"/>
    <w:rsid w:val="008C414B"/>
    <w:rsid w:val="008D0052"/>
    <w:rsid w:val="009041AE"/>
    <w:rsid w:val="00926A3C"/>
    <w:rsid w:val="00946B15"/>
    <w:rsid w:val="009679E7"/>
    <w:rsid w:val="00973F68"/>
    <w:rsid w:val="009E1915"/>
    <w:rsid w:val="009E4148"/>
    <w:rsid w:val="009F1AE3"/>
    <w:rsid w:val="00A20E9D"/>
    <w:rsid w:val="00A23E40"/>
    <w:rsid w:val="00A272B2"/>
    <w:rsid w:val="00A44608"/>
    <w:rsid w:val="00A50553"/>
    <w:rsid w:val="00A51688"/>
    <w:rsid w:val="00A87891"/>
    <w:rsid w:val="00A96C92"/>
    <w:rsid w:val="00AA61BE"/>
    <w:rsid w:val="00B203DA"/>
    <w:rsid w:val="00B3176C"/>
    <w:rsid w:val="00B518C9"/>
    <w:rsid w:val="00B730AD"/>
    <w:rsid w:val="00B8543B"/>
    <w:rsid w:val="00B94F6D"/>
    <w:rsid w:val="00BA2A2C"/>
    <w:rsid w:val="00BC676C"/>
    <w:rsid w:val="00BE54B3"/>
    <w:rsid w:val="00BF235F"/>
    <w:rsid w:val="00C008B4"/>
    <w:rsid w:val="00C1207D"/>
    <w:rsid w:val="00C17ABD"/>
    <w:rsid w:val="00C2078A"/>
    <w:rsid w:val="00C24C34"/>
    <w:rsid w:val="00C26C67"/>
    <w:rsid w:val="00C61F36"/>
    <w:rsid w:val="00C62A6C"/>
    <w:rsid w:val="00C7741D"/>
    <w:rsid w:val="00C821A5"/>
    <w:rsid w:val="00C82E34"/>
    <w:rsid w:val="00C913CA"/>
    <w:rsid w:val="00C9195A"/>
    <w:rsid w:val="00CC18D0"/>
    <w:rsid w:val="00D07777"/>
    <w:rsid w:val="00D40BB6"/>
    <w:rsid w:val="00D43613"/>
    <w:rsid w:val="00D6499D"/>
    <w:rsid w:val="00D7076A"/>
    <w:rsid w:val="00D81F5E"/>
    <w:rsid w:val="00D92269"/>
    <w:rsid w:val="00DB1B79"/>
    <w:rsid w:val="00DE176A"/>
    <w:rsid w:val="00DF03F8"/>
    <w:rsid w:val="00E00A6B"/>
    <w:rsid w:val="00E13363"/>
    <w:rsid w:val="00E22D43"/>
    <w:rsid w:val="00E77899"/>
    <w:rsid w:val="00E82D3E"/>
    <w:rsid w:val="00E95CBE"/>
    <w:rsid w:val="00E972B2"/>
    <w:rsid w:val="00EA023B"/>
    <w:rsid w:val="00EB462E"/>
    <w:rsid w:val="00ED76AC"/>
    <w:rsid w:val="00EE6F0B"/>
    <w:rsid w:val="00EF2BEB"/>
    <w:rsid w:val="00F104CA"/>
    <w:rsid w:val="00F2608E"/>
    <w:rsid w:val="00F26C84"/>
    <w:rsid w:val="00F41BE1"/>
    <w:rsid w:val="00F65006"/>
    <w:rsid w:val="00F733BE"/>
    <w:rsid w:val="00F73CD8"/>
    <w:rsid w:val="00F83C17"/>
    <w:rsid w:val="00F96D7F"/>
    <w:rsid w:val="00FC43EF"/>
    <w:rsid w:val="00FC456F"/>
    <w:rsid w:val="00FC7F19"/>
    <w:rsid w:val="00FE5F71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2DD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AC0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4D7AC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4D7AC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AC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7AC0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B518C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612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82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97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8D0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BC6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053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B85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46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8A6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68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8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83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012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237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C91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450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ED7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9F1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27A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F0F"/>
    <w:rPr>
      <w:color w:val="605E5C"/>
      <w:shd w:val="clear" w:color="auto" w:fill="E1DFDD"/>
    </w:rPr>
  </w:style>
  <w:style w:type="table" w:customStyle="1" w:styleId="TableGrid19">
    <w:name w:val="Table Grid19"/>
    <w:basedOn w:val="TableNormal"/>
    <w:next w:val="TableGrid"/>
    <w:rsid w:val="00CC1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41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DE"/>
    <w:rPr>
      <w:rFonts w:ascii="Segoe UI" w:eastAsia="Times New Roman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FC7F1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esc.europa.eu/hu/our-work/opinions-information-reports/plenary-session-summaries" TargetMode="External"/><Relationship Id="rId18" Type="http://schemas.openxmlformats.org/officeDocument/2006/relationships/footer" Target="footer2.xml"/><Relationship Id="rId26" Type="http://schemas.openxmlformats.org/officeDocument/2006/relationships/hyperlink" Target="mailto:june.bedaton@eesc.europa.eu" TargetMode="External"/><Relationship Id="rId39" Type="http://schemas.openxmlformats.org/officeDocument/2006/relationships/hyperlink" Target="https://www.eesc.europa.eu/hu/our-work/opinions-information-reports/opinions/competitiveness-fund" TargetMode="External"/><Relationship Id="rId21" Type="http://schemas.openxmlformats.org/officeDocument/2006/relationships/hyperlink" Target="https://www.eesc.europa.eu/hu/our-work/opinions-information-reports/opinions/implementation-eu-macro-regional-strategies-5th-report" TargetMode="External"/><Relationship Id="rId34" Type="http://schemas.openxmlformats.org/officeDocument/2006/relationships/hyperlink" Target="mailto:Albert.Precup@eesc.europa.eu" TargetMode="External"/><Relationship Id="rId42" Type="http://schemas.openxmlformats.org/officeDocument/2006/relationships/hyperlink" Target="mailto:Annalisa.Tessarolo@eesc.europa.eu" TargetMode="External"/><Relationship Id="rId47" Type="http://schemas.openxmlformats.org/officeDocument/2006/relationships/hyperlink" Target="mailto:Marie-Laurence.Drillon@eesc.europa.eu" TargetMode="External"/><Relationship Id="rId50" Type="http://schemas.openxmlformats.org/officeDocument/2006/relationships/hyperlink" Target="https://www.eesc.europa.eu/hu/our-work/opinions-information-reports/opinions/predictable-and-common-european-way-forward-ukrainians-eu" TargetMode="External"/><Relationship Id="rId55" Type="http://schemas.openxmlformats.org/officeDocument/2006/relationships/hyperlink" Target="mailto:Adam.Dorywalski@eesc.europa.eu" TargetMode="External"/><Relationship Id="rId63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www.eesc.europa.eu/hu/our-work/opinions-information-reports/opinions/co2-emission-class-heavy-duty-vehicles-trailers-0" TargetMode="External"/><Relationship Id="rId41" Type="http://schemas.openxmlformats.org/officeDocument/2006/relationships/hyperlink" Target="https://www.eesc.europa.eu/hu/our-work/opinions-information-reports/opinions/review-european-public-procurement-legal-framework" TargetMode="External"/><Relationship Id="rId54" Type="http://schemas.openxmlformats.org/officeDocument/2006/relationships/hyperlink" Target="https://www.eesc.europa.eu/hu/our-work/opinions-information-reports/opinions/industrial-cooperatives-tool-challenge-inclusive-and-sustainable-competitiveness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Georgios.Meleas@eesc.europa.eu" TargetMode="External"/><Relationship Id="rId32" Type="http://schemas.openxmlformats.org/officeDocument/2006/relationships/hyperlink" Target="mailto:GiorgiaAndrea.Bordignon@eesc.europa.eu" TargetMode="External"/><Relationship Id="rId37" Type="http://schemas.openxmlformats.org/officeDocument/2006/relationships/hyperlink" Target="https://www.eesc.europa.eu/hu/our-work/opinions-information-reports/opinions/report-competition-policy-2024" TargetMode="External"/><Relationship Id="rId40" Type="http://schemas.openxmlformats.org/officeDocument/2006/relationships/hyperlink" Target="mailto:Silvia.Staffa@eesc.europa.eu" TargetMode="External"/><Relationship Id="rId45" Type="http://schemas.openxmlformats.org/officeDocument/2006/relationships/hyperlink" Target="https://www.eesc.europa.eu/hu/our-work/opinions-information-reports/opinions/revision-union-civil-protection-mechanism" TargetMode="External"/><Relationship Id="rId53" Type="http://schemas.openxmlformats.org/officeDocument/2006/relationships/hyperlink" Target="mailto:Adam.Dorywalski@eesc.europa.eu" TargetMode="External"/><Relationship Id="rId58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www.eesc.europa.eu/hu/our-work/opinions-information-reports/opinions/establishing-european-fund-regional-development-including-european-territorial-cooperation-interreg-and-cohesion-fund" TargetMode="External"/><Relationship Id="rId28" Type="http://schemas.openxmlformats.org/officeDocument/2006/relationships/hyperlink" Target="mailto:Alessia.Cova@eesc.europa.eu" TargetMode="External"/><Relationship Id="rId36" Type="http://schemas.openxmlformats.org/officeDocument/2006/relationships/hyperlink" Target="mailto:Annalisa.Tessarolo@eesc.europa.eu" TargetMode="External"/><Relationship Id="rId49" Type="http://schemas.openxmlformats.org/officeDocument/2006/relationships/hyperlink" Target="mailto:Daniele.Vitali@eesc.europa.eu" TargetMode="External"/><Relationship Id="rId57" Type="http://schemas.openxmlformats.org/officeDocument/2006/relationships/header" Target="header5.xml"/><Relationship Id="rId61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yperlink" Target="mailto:Maja.Radman@eesc.europa.eu" TargetMode="External"/><Relationship Id="rId44" Type="http://schemas.openxmlformats.org/officeDocument/2006/relationships/hyperlink" Target="mailto:Martine.Delanoy@eesc.europa.eu" TargetMode="External"/><Relationship Id="rId52" Type="http://schemas.openxmlformats.org/officeDocument/2006/relationships/hyperlink" Target="https://www.eesc.europa.eu/hu/our-work/opinions-information-reports/opinions/facilitating-potential-permanent-materials-eu-circular-economy" TargetMode="External"/><Relationship Id="rId60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mailto:Georgios.Meleas@eesc.europa.eu" TargetMode="External"/><Relationship Id="rId27" Type="http://schemas.openxmlformats.org/officeDocument/2006/relationships/hyperlink" Target="https://www.eesc.europa.eu/hu/our-work/opinions-information-reports/opinions/agoraeu-and-justice-programmes" TargetMode="External"/><Relationship Id="rId30" Type="http://schemas.openxmlformats.org/officeDocument/2006/relationships/hyperlink" Target="https://eur-lex.europa.eu/eli/C/2023/874/oj" TargetMode="External"/><Relationship Id="rId35" Type="http://schemas.openxmlformats.org/officeDocument/2006/relationships/hyperlink" Target="https://www.eesc.europa.eu/hu/our-work/opinions-information-reports/opinions/single-market-strategy" TargetMode="External"/><Relationship Id="rId43" Type="http://schemas.openxmlformats.org/officeDocument/2006/relationships/hyperlink" Target="https://www.eesc.europa.eu/hu/our-work/opinions-information-reports/opinions/amendment-deforestation-regulation-eu-20231115" TargetMode="External"/><Relationship Id="rId48" Type="http://schemas.openxmlformats.org/officeDocument/2006/relationships/hyperlink" Target="https://www.eesc.europa.eu/hu/our-work/opinions-information-reports/opinions/global-europe-multiannual-financial-framework-proposal" TargetMode="External"/><Relationship Id="rId56" Type="http://schemas.openxmlformats.org/officeDocument/2006/relationships/header" Target="header4.xml"/><Relationship Id="rId8" Type="http://schemas.openxmlformats.org/officeDocument/2006/relationships/settings" Target="settings.xml"/><Relationship Id="rId51" Type="http://schemas.openxmlformats.org/officeDocument/2006/relationships/hyperlink" Target="mailto:Katarina.Albrechtova@eesc.europa.eu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hyperlink" Target="https://www.eesc.europa.eu/hu/our-work/opinions-information-reports/opinions/labour-rights-journalists-and-media-professionals-safeguard-independence-and-truthful-information" TargetMode="External"/><Relationship Id="rId33" Type="http://schemas.openxmlformats.org/officeDocument/2006/relationships/hyperlink" Target="https://www.eesc.europa.eu/hu/our-work/opinions-information-reports/opinions/nuclear-illustrative-programme-1" TargetMode="External"/><Relationship Id="rId38" Type="http://schemas.openxmlformats.org/officeDocument/2006/relationships/hyperlink" Target="mailto:Silvia.Staffa@eesc.europa.eu" TargetMode="External"/><Relationship Id="rId46" Type="http://schemas.openxmlformats.org/officeDocument/2006/relationships/hyperlink" Target="mailto:Arturo.Iniguez@eesc.europa.eu" TargetMode="External"/><Relationship Id="rId59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HU/TXT/?uri=uriserv%3AOJ.C_.2022.275.01.0088.01.ENG&amp;toc=OJ%3AC%3A2022%3A275%3ATOC" TargetMode="External"/><Relationship Id="rId3" Type="http://schemas.openxmlformats.org/officeDocument/2006/relationships/hyperlink" Target="https://digital-strategy.ec.europa.eu/hu/library/recommendation-protection-safety-and-empowerment-journalists" TargetMode="External"/><Relationship Id="rId7" Type="http://schemas.openxmlformats.org/officeDocument/2006/relationships/hyperlink" Target="https://www.eesc.europa.eu/hu/our-work/opinions-information-reports/opinions/minimising-risk-deforestation-and-forest-degradation-associated-products-placed-eu-market" TargetMode="External"/><Relationship Id="rId2" Type="http://schemas.openxmlformats.org/officeDocument/2006/relationships/hyperlink" Target="https://eur-lex.europa.eu/legal-content/hu/TXT/?uri=CELEX%3A52022XC0930%2802%29" TargetMode="External"/><Relationship Id="rId1" Type="http://schemas.openxmlformats.org/officeDocument/2006/relationships/hyperlink" Target="https://eur-lex.europa.eu/legal-content/hu/TXT/?uri=legissum:4623532" TargetMode="External"/><Relationship Id="rId6" Type="http://schemas.openxmlformats.org/officeDocument/2006/relationships/hyperlink" Target="https://eur-lex.europa.eu/legal-content/HU/TXT/?uri=OJ:C_202406882" TargetMode="External"/><Relationship Id="rId5" Type="http://schemas.openxmlformats.org/officeDocument/2006/relationships/hyperlink" Target="https://www.eesc.europa.eu/hu/our-work/opinions-information-reports/opinions/deforestation-amazon-rainforest-impact-climate-change-and-global-environment-consequences-companies-workers-and" TargetMode="External"/><Relationship Id="rId4" Type="http://schemas.openxmlformats.org/officeDocument/2006/relationships/hyperlink" Target="http://data.europa.eu/eli/C/2025/114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192796EE9568A4C8E77C6EF5F22B614" ma:contentTypeVersion="4" ma:contentTypeDescription="Defines the documents for Document Manager V2" ma:contentTypeScope="" ma:versionID="b9faea45a7e02bbb816d4162149d5e49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27994258-8564-426c-a7a1-d6286d62992e" targetNamespace="http://schemas.microsoft.com/office/2006/metadata/properties" ma:root="true" ma:fieldsID="af51dee0f9c2d9a0a51b5858d1a4441d" ns2:_="" ns3:_="" ns4:_="">
    <xsd:import namespace="1a33af13-4045-4f88-9d7b-618e30f79918"/>
    <xsd:import namespace="http://schemas.microsoft.com/sharepoint/v3/fields"/>
    <xsd:import namespace="27994258-8564-426c-a7a1-d6286d62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4258-8564-426c-a7a1-d6286d62992e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A6WAAD5KZT2Q-284857674-6421</_dlc_DocId>
    <_dlc_DocIdUrl xmlns="1a33af13-4045-4f88-9d7b-618e30f79918">
      <Url>http://dm/eesc/2025/_layouts/15/DocIdRedir.aspx?ID=A6WAAD5KZT2Q-284857674-6421</Url>
      <Description>A6WAAD5KZT2Q-284857674-6421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2025-12-21T12:00:00+00:00</ProductionDate>
    <DocumentNumber xmlns="27994258-8564-426c-a7a1-d6286d62992e">3552</DocumentNumber>
    <FicheYear xmlns="1a33af13-4045-4f88-9d7b-618e30f79918" xsi:nil="true"/>
    <DossierNumber xmlns="1a33af13-4045-4f88-9d7b-618e30f79918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TaxCatchAll xmlns="1a33af13-4045-4f88-9d7b-618e30f79918">
      <Value>67</Value>
      <Value>50</Value>
      <Value>47</Value>
      <Value>46</Value>
      <Value>42</Value>
      <Value>41</Value>
      <Value>40</Value>
      <Value>39</Value>
      <Value>37</Value>
      <Value>36</Value>
      <Value>35</Value>
      <Value>34</Value>
      <Value>33</Value>
      <Value>31</Value>
      <Value>30</Value>
      <Value>29</Value>
      <Value>28</Value>
      <Value>27</Value>
      <Value>24</Value>
      <Value>23</Value>
      <Value>19</Value>
      <Value>16</Value>
      <Value>15</Value>
      <Value>13</Value>
      <Value>12</Value>
      <Value>8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DocumentLanguage_0>
    <MeetingDate xmlns="1a33af13-4045-4f88-9d7b-618e30f79918">2026-01-21T12:00:00+00:00</MeetingDate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1a33af13-4045-4f88-9d7b-618e30f79918" xsi:nil="true"/>
    <DocumentYear xmlns="1a33af13-4045-4f88-9d7b-618e30f79918">2025</DocumentYear>
    <FicheNumber xmlns="1a33af13-4045-4f88-9d7b-618e30f79918">297819</FicheNumber>
    <OriginalSender xmlns="1a33af13-4045-4f88-9d7b-618e30f79918">
      <UserInfo>
        <DisplayName>Maszlag Andrea</DisplayName>
        <AccountId>1518</AccountId>
        <AccountType/>
      </UserInfo>
    </OriginalSender>
    <DocumentPart xmlns="1a33af13-4045-4f88-9d7b-618e30f79918">0</DocumentPart>
    <AdoptionDate xmlns="1a33af13-4045-4f88-9d7b-618e30f79918" xsi:nil="true"/>
    <RequestingService xmlns="1a33af13-4045-4f88-9d7b-618e30f79918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27994258-8564-426c-a7a1-d6286d62992e" xsi:nil="true"/>
    <DossierName_0 xmlns="http://schemas.microsoft.com/sharepoint/v3/fields">
      <Terms xmlns="http://schemas.microsoft.com/office/infopath/2007/PartnerControls"/>
    </DossierName_0>
    <DocumentVersion xmlns="1a33af13-4045-4f88-9d7b-618e30f79918">0</Document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B7D9-B944-4719-A93C-2F495E0415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982D98-2B49-4D8D-9E82-3A196D630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AB671-7BF3-4C2D-B3F5-2D4AE169F7DC}"/>
</file>

<file path=customXml/itemProps4.xml><?xml version="1.0" encoding="utf-8"?>
<ds:datastoreItem xmlns:ds="http://schemas.openxmlformats.org/officeDocument/2006/customXml" ds:itemID="{FA5B0471-EE33-4BA9-BB89-D492EFC236E6}">
  <ds:schemaRefs>
    <ds:schemaRef ds:uri="http://schemas.microsoft.com/office/2006/metadata/properties"/>
    <ds:schemaRef ds:uri="http://schemas.microsoft.com/office/infopath/2007/PartnerControls"/>
    <ds:schemaRef ds:uri="bdd5dab9-bfdd-4431-a245-30f3c6677de9"/>
    <ds:schemaRef ds:uri="http://schemas.microsoft.com/sharepoint/v3/fields"/>
    <ds:schemaRef ds:uri="eb21defb-1074-42ca-8d3e-c3f375910b41"/>
  </ds:schemaRefs>
</ds:datastoreItem>
</file>

<file path=customXml/itemProps5.xml><?xml version="1.0" encoding="utf-8"?>
<ds:datastoreItem xmlns:ds="http://schemas.openxmlformats.org/officeDocument/2006/customXml" ds:itemID="{93AAA265-642D-4634-A3BD-E961FB07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25</Pages>
  <Words>7478</Words>
  <Characters>42627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EESC new model</vt:lpstr>
    </vt:vector>
  </TitlesOfParts>
  <Manager/>
  <Company/>
  <LinksUpToDate>false</LinksUpToDate>
  <CharactersWithSpaces>50005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elfogadott vélemények összefoglalása - 601. plenáris ülésszak - 2025. december</dc:title>
  <dc:subject>ADMIN</dc:subject>
  <dc:creator/>
  <cp:keywords>COR-EESC-2022-02583-00-00-ADMIN-TRA-EN</cp:keywords>
  <dc:description>Rapporteur:  - Original language: EN - Date of document: 20/05/2022 - Date of meeting:  - External documents:  - Administrator:  SUCIU Serban</dc:description>
  <cp:lastModifiedBy/>
  <cp:revision>13</cp:revision>
  <dcterms:created xsi:type="dcterms:W3CDTF">2025-12-15T10:39:00Z</dcterms:created>
  <dcterms:modified xsi:type="dcterms:W3CDTF">2025-12-21T08:34:00Z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15/12/2025, 02/05/2022, 02/05/2022, 28/06/2021</vt:lpwstr>
  </property>
  <property fmtid="{D5CDD505-2E9C-101B-9397-08002B2CF9AE}" pid="4" name="Pref_Time">
    <vt:lpwstr>11:21:32, 12:28:29, 12:25:37, 08:41:48</vt:lpwstr>
  </property>
  <property fmtid="{D5CDD505-2E9C-101B-9397-08002B2CF9AE}" pid="5" name="Pref_User">
    <vt:lpwstr>jhvi, enied, enied, enied</vt:lpwstr>
  </property>
  <property fmtid="{D5CDD505-2E9C-101B-9397-08002B2CF9AE}" pid="6" name="Pref_FileName">
    <vt:lpwstr>EESC-2025-03552-00-00-TCD-ORI.docx, Summary of opinions.docx, COR-EESC-2022-02370-00-00-ADMIN-ORI.docx, Synthese des avis Template.docx</vt:lpwstr>
  </property>
  <property fmtid="{D5CDD505-2E9C-101B-9397-08002B2CF9AE}" pid="7" name="ContentTypeId">
    <vt:lpwstr>0x010100EA97B91038054C99906057A708A1480A00B192796EE9568A4C8E77C6EF5F22B614</vt:lpwstr>
  </property>
  <property fmtid="{D5CDD505-2E9C-101B-9397-08002B2CF9AE}" pid="8" name="_dlc_DocIdItemGuid">
    <vt:lpwstr>58abda12-7041-4a7a-b0c6-ab0f3a2f8308</vt:lpwstr>
  </property>
  <property fmtid="{D5CDD505-2E9C-101B-9397-08002B2CF9AE}" pid="9" name="AvailableTranslations">
    <vt:lpwstr>23;#DE|f6b31e5a-26fa-4935-b661-318e46daf27e;#30;#LT|a7ff5ce7-6123-4f68-865a-a57c31810414;#28;#SV|c2ed69e7-a339-43d7-8f22-d93680a92aa0;#27;#NL|55c6556c-b4f4-441d-9acf-c498d4f838bd;#41;#ET|ff6c3f4c-b02c-4c3c-ab07-2c37995a7a0a;#5;#EN|f2175f21-25d7-44a3-96da-d6a61b075e1b;#35;#FI|87606a43-d45f-42d6-b8c9-e1a3457db5b7;#39;#LV|46f7e311-5d9f-4663-b433-18aeccb7ace7;#40;#DA|5d49c027-8956-412b-aa16-e85a0f96ad0e;#42;#EL|6d4f4d51-af9b-4650-94b4-4276bee85c91;#34;#IT|0774613c-01ed-4e5d-a25d-11d2388de825;#46;#SK|46d9fce0-ef79-4f71-b89b-cd6aa82426b8;#12;#FR|d2afafd3-4c81-4f60-8f52-ee33f2f54ff3;#50;#HR|2f555653-ed1a-4fe6-8362-9082d95989e5;#31;#SL|98a412ae-eb01-49e9-ae3d-585a81724cfc;#29;#CS|72f9705b-0217-4fd3-bea2-cbc7ed80e26e;#37;#HU|6b229040-c589-4408-b4c1-4285663d20a8;#36;#RO|feb747a2-64cd-4299-af12-4833ddc30497;#16;#ES|e7a6b05b-ae16-40c8-add9-68b64b03aeba;#33;#PT|50ccc04a-eadd-42ae-a0cb-acaf45f812ba;#24;#PL|1e03da61-4678-4e07-b136-b5024ca9197b;#47;#BG|1a1b3951-7821-4e6a-85f5-5673fc08bd2c</vt:lpwstr>
  </property>
  <property fmtid="{D5CDD505-2E9C-101B-9397-08002B2CF9AE}" pid="10" name="DocumentType_0">
    <vt:lpwstr>TCD|cd9d6eb6-3f4f-424a-b2d1-57c9d450eaaf</vt:lpwstr>
  </property>
  <property fmtid="{D5CDD505-2E9C-101B-9397-08002B2CF9AE}" pid="11" name="DocumentSource_0">
    <vt:lpwstr>EESC|422833ec-8d7e-4e65-8e4e-8bed07ffb729</vt:lpwstr>
  </property>
  <property fmtid="{D5CDD505-2E9C-101B-9397-08002B2CF9AE}" pid="12" name="ProductionDate">
    <vt:filetime>2022-05-18T12:00:00Z</vt:filetime>
  </property>
  <property fmtid="{D5CDD505-2E9C-101B-9397-08002B2CF9AE}" pid="13" name="DocumentNumber">
    <vt:i4>3552</vt:i4>
  </property>
  <property fmtid="{D5CDD505-2E9C-101B-9397-08002B2CF9AE}" pid="14" name="DocumentVersion">
    <vt:i4>0</vt:i4>
  </property>
  <property fmtid="{D5CDD505-2E9C-101B-9397-08002B2CF9AE}" pid="15" name="DocumentStatus">
    <vt:lpwstr>13;#TRA|150d2a88-1431-44e6-a8ca-0bb753ab8672</vt:lpwstr>
  </property>
  <property fmtid="{D5CDD505-2E9C-101B-9397-08002B2CF9AE}" pid="16" name="DossierName">
    <vt:lpwstr/>
  </property>
  <property fmtid="{D5CDD505-2E9C-101B-9397-08002B2CF9AE}" pid="17" name="Confidentiality_0">
    <vt:lpwstr>Unrestricted|826e22d7-d029-4ec0-a450-0c28ff673572</vt:lpwstr>
  </property>
  <property fmtid="{D5CDD505-2E9C-101B-9397-08002B2CF9AE}" pid="18" name="Confidentiality">
    <vt:lpwstr>15;#Unrestricted|826e22d7-d029-4ec0-a450-0c28ff673572</vt:lpwstr>
  </property>
  <property fmtid="{D5CDD505-2E9C-101B-9397-08002B2CF9AE}" pid="19" name="OriginalLanguage">
    <vt:lpwstr>5;#EN|f2175f21-25d7-44a3-96da-d6a61b075e1b</vt:lpwstr>
  </property>
  <property fmtid="{D5CDD505-2E9C-101B-9397-08002B2CF9AE}" pid="20" name="MeetingName">
    <vt:lpwstr>67;#SPL-CES|32d8cb1f-c9ec-4365-95c7-8385a18618ac</vt:lpwstr>
  </property>
  <property fmtid="{D5CDD505-2E9C-101B-9397-08002B2CF9AE}" pid="21" name="TaxCatchAll">
    <vt:lpwstr>42;#EL|6d4f4d51-af9b-4650-94b4-4276bee85c91;#34;#IT|0774613c-01ed-4e5d-a25d-11d2388de825;#33;#PT|50ccc04a-eadd-42ae-a0cb-acaf45f812ba;#30;#LT|a7ff5ce7-6123-4f68-865a-a57c31810414;#67;#SPL-CES|32d8cb1f-c9ec-4365-95c7-8385a18618ac;#28;#SV|c2ed69e7-a339-43d7-8f22-d93680a92aa0;#27;#NL|55c6556c-b4f4-441d-9acf-c498d4f838bd;#50;#HR|2f555653-ed1a-4fe6-8362-9082d95989e5;#19;#TCD|cd9d6eb6-3f4f-424a-b2d1-57c9d450eaaf;#16;#ES|e7a6b05b-ae16-40c8-add9-68b64b03aeba;#15;#Unrestricted|826e22d7-d029-4ec0-a450-0c28ff673572;#13;#TRA|150d2a88-1431-44e6-a8ca-0bb753ab8672;#12;#FR|d2afafd3-4c81-4f60-8f52-ee33f2f54ff3;#8;#Final|ea5e6674-7b27-4bac-b091-73adbb394efe;#5;#EN|f2175f21-25d7-44a3-96da-d6a61b075e1b;#40;#DA|5d49c027-8956-412b-aa16-e85a0f96ad0e;#1;#EESC|422833ec-8d7e-4e65-8e4e-8bed07ffb729;#36;#RO|feb747a2-64cd-4299-af12-4833ddc30497</vt:lpwstr>
  </property>
  <property fmtid="{D5CDD505-2E9C-101B-9397-08002B2CF9AE}" pid="22" name="DocumentLanguage_0">
    <vt:lpwstr>EN|f2175f21-25d7-44a3-96da-d6a61b075e1b</vt:lpwstr>
  </property>
  <property fmtid="{D5CDD505-2E9C-101B-9397-08002B2CF9AE}" pid="23" name="VersionStatus_0">
    <vt:lpwstr>Final|ea5e6674-7b27-4bac-b091-73adbb394efe</vt:lpwstr>
  </property>
  <property fmtid="{D5CDD505-2E9C-101B-9397-08002B2CF9AE}" pid="24" name="VersionStatus">
    <vt:lpwstr>8;#Final|ea5e6674-7b27-4bac-b091-73adbb394efe</vt:lpwstr>
  </property>
  <property fmtid="{D5CDD505-2E9C-101B-9397-08002B2CF9AE}" pid="25" name="DocumentYear">
    <vt:i4>2025</vt:i4>
  </property>
  <property fmtid="{D5CDD505-2E9C-101B-9397-08002B2CF9AE}" pid="26" name="FicheNumber">
    <vt:i4>297819</vt:i4>
  </property>
  <property fmtid="{D5CDD505-2E9C-101B-9397-08002B2CF9AE}" pid="27" name="OriginalSender">
    <vt:lpwstr>1528;#TDriveSVCUserProd</vt:lpwstr>
  </property>
  <property fmtid="{D5CDD505-2E9C-101B-9397-08002B2CF9AE}" pid="28" name="DocumentPart">
    <vt:i4>0</vt:i4>
  </property>
  <property fmtid="{D5CDD505-2E9C-101B-9397-08002B2CF9AE}" pid="29" name="DocumentSource">
    <vt:lpwstr>1;#EESC|422833ec-8d7e-4e65-8e4e-8bed07ffb729</vt:lpwstr>
  </property>
  <property fmtid="{D5CDD505-2E9C-101B-9397-08002B2CF9AE}" pid="30" name="DocumentType">
    <vt:lpwstr>19;#TCD|cd9d6eb6-3f4f-424a-b2d1-57c9d450eaaf</vt:lpwstr>
  </property>
  <property fmtid="{D5CDD505-2E9C-101B-9397-08002B2CF9AE}" pid="31" name="RequestingService">
    <vt:lpwstr>Greffe</vt:lpwstr>
  </property>
  <property fmtid="{D5CDD505-2E9C-101B-9397-08002B2CF9AE}" pid="32" name="DocumentLanguage">
    <vt:lpwstr>37;#HU|6b229040-c589-4408-b4c1-4285663d20a8</vt:lpwstr>
  </property>
  <property fmtid="{D5CDD505-2E9C-101B-9397-08002B2CF9AE}" pid="33" name="AvailableTranslations_0">
    <vt:lpwstr>LT|a7ff5ce7-6123-4f68-865a-a57c31810414;SV|c2ed69e7-a339-43d7-8f22-d93680a92aa0;NL|55c6556c-b4f4-441d-9acf-c498d4f838bd;EN|f2175f21-25d7-44a3-96da-d6a61b075e1b;DA|5d49c027-8956-412b-aa16-e85a0f96ad0e;EL|6d4f4d51-af9b-4650-94b4-4276bee85c91;IT|0774613c-01ed-4e5d-a25d-11d2388de825;FR|d2afafd3-4c81-4f60-8f52-ee33f2f54ff3;HR|2f555653-ed1a-4fe6-8362-9082d95989e5;RO|feb747a2-64cd-4299-af12-4833ddc30497;ES|e7a6b05b-ae16-40c8-add9-68b64b03aeba;PT|50ccc04a-eadd-42ae-a0cb-acaf45f812ba</vt:lpwstr>
  </property>
  <property fmtid="{D5CDD505-2E9C-101B-9397-08002B2CF9AE}" pid="34" name="DocumentStatus_0">
    <vt:lpwstr>TRA|150d2a88-1431-44e6-a8ca-0bb753ab8672</vt:lpwstr>
  </property>
  <property fmtid="{D5CDD505-2E9C-101B-9397-08002B2CF9AE}" pid="35" name="OriginalLanguage_0">
    <vt:lpwstr>EN|f2175f21-25d7-44a3-96da-d6a61b075e1b</vt:lpwstr>
  </property>
  <property fmtid="{D5CDD505-2E9C-101B-9397-08002B2CF9AE}" pid="36" name="_docset_NoMedatataSyncRequired">
    <vt:lpwstr>False</vt:lpwstr>
  </property>
  <property fmtid="{D5CDD505-2E9C-101B-9397-08002B2CF9AE}" pid="37" name="MeetingName_0">
    <vt:lpwstr>SPL-CES|32d8cb1f-c9ec-4365-95c7-8385a18618ac</vt:lpwstr>
  </property>
  <property fmtid="{D5CDD505-2E9C-101B-9397-08002B2CF9AE}" pid="38" name="DossierName_0">
    <vt:lpwstr/>
  </property>
  <property fmtid="{D5CDD505-2E9C-101B-9397-08002B2CF9AE}" pid="39" name="MeetingDate">
    <vt:filetime>2026-01-21T12:00:00Z</vt:filetime>
  </property>
</Properties>
</file>